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B3502">
      <w:pPr>
        <w:keepNext w:val="0"/>
        <w:keepLines w:val="0"/>
        <w:pageBreakBefore w:val="0"/>
        <w:widowControl w:val="0"/>
        <w:shd w:val="clear"/>
        <w:kinsoku/>
        <w:wordWrap/>
        <w:overflowPunct/>
        <w:topLinePunct w:val="0"/>
        <w:autoSpaceDE/>
        <w:autoSpaceDN/>
        <w:bidi w:val="0"/>
        <w:adjustRightInd/>
        <w:snapToGrid/>
        <w:spacing w:line="600" w:lineRule="exact"/>
        <w:jc w:val="center"/>
        <w:textAlignment w:val="auto"/>
        <w:rPr>
          <w:rFonts w:hint="eastAsia" w:ascii="宋体" w:hAnsi="宋体"/>
          <w:b/>
          <w:color w:val="auto"/>
          <w:spacing w:val="0"/>
          <w:sz w:val="50"/>
          <w:szCs w:val="50"/>
          <w:highlight w:val="none"/>
          <w:lang w:eastAsia="zh-CN"/>
        </w:rPr>
      </w:pPr>
      <w:bookmarkStart w:id="678" w:name="_GoBack"/>
    </w:p>
    <w:p w14:paraId="1AD019EC">
      <w:pPr>
        <w:keepNext w:val="0"/>
        <w:keepLines w:val="0"/>
        <w:pageBreakBefore w:val="0"/>
        <w:widowControl w:val="0"/>
        <w:shd w:val="clear"/>
        <w:kinsoku/>
        <w:wordWrap/>
        <w:overflowPunct/>
        <w:topLinePunct w:val="0"/>
        <w:autoSpaceDE/>
        <w:autoSpaceDN/>
        <w:bidi w:val="0"/>
        <w:adjustRightInd/>
        <w:snapToGrid/>
        <w:spacing w:after="313" w:afterLines="100" w:line="1100" w:lineRule="exact"/>
        <w:jc w:val="center"/>
        <w:textAlignment w:val="auto"/>
        <w:rPr>
          <w:rFonts w:ascii="宋体" w:hAnsi="宋体" w:eastAsia="宋体" w:cs="Times New Roman"/>
          <w:color w:val="auto"/>
          <w:spacing w:val="0"/>
          <w:kern w:val="0"/>
          <w:sz w:val="24"/>
          <w:szCs w:val="24"/>
          <w:highlight w:val="none"/>
        </w:rPr>
      </w:pPr>
      <w:r>
        <w:rPr>
          <w:rFonts w:hint="eastAsia" w:ascii="宋体" w:hAnsi="宋体" w:cs="Times New Roman"/>
          <w:b/>
          <w:color w:val="auto"/>
          <w:spacing w:val="0"/>
          <w:kern w:val="0"/>
          <w:sz w:val="40"/>
          <w:szCs w:val="40"/>
          <w:highlight w:val="none"/>
          <w:lang w:eastAsia="zh-CN"/>
        </w:rPr>
        <w:t>西塘古镇智慧景区综合（票务）服务平台建设项目</w:t>
      </w:r>
    </w:p>
    <w:p w14:paraId="246F5354">
      <w:pPr>
        <w:pageBreakBefore w:val="0"/>
        <w:widowControl w:val="0"/>
        <w:shd w:val="clear"/>
        <w:kinsoku/>
        <w:wordWrap w:val="0"/>
        <w:overflowPunct/>
        <w:topLinePunct w:val="0"/>
        <w:bidi w:val="0"/>
        <w:spacing w:after="120" w:line="240" w:lineRule="auto"/>
        <w:ind w:left="480" w:leftChars="200" w:firstLine="1424" w:firstLineChars="200"/>
        <w:jc w:val="both"/>
        <w:rPr>
          <w:rFonts w:ascii="宋体" w:hAnsi="宋体" w:eastAsia="宋体" w:cs="Times New Roman"/>
          <w:color w:val="auto"/>
          <w:spacing w:val="-4"/>
          <w:kern w:val="2"/>
          <w:sz w:val="72"/>
          <w:szCs w:val="72"/>
          <w:highlight w:val="none"/>
          <w:lang w:val="en-US" w:eastAsia="zh-CN" w:bidi="ar-SA"/>
        </w:rPr>
      </w:pPr>
    </w:p>
    <w:p w14:paraId="7309493D">
      <w:pPr>
        <w:pageBreakBefore w:val="0"/>
        <w:shd w:val="clear"/>
        <w:kinsoku/>
        <w:wordWrap w:val="0"/>
        <w:overflowPunct/>
        <w:topLinePunct w:val="0"/>
        <w:bidi w:val="0"/>
        <w:rPr>
          <w:rFonts w:ascii="Times New Roman" w:hAnsi="Times New Roman" w:eastAsia="宋体" w:cs="Times New Roman"/>
          <w:color w:val="auto"/>
          <w:sz w:val="24"/>
          <w:highlight w:val="none"/>
        </w:rPr>
      </w:pPr>
    </w:p>
    <w:p w14:paraId="2C461271">
      <w:pPr>
        <w:pageBreakBefore w:val="0"/>
        <w:shd w:val="clear"/>
        <w:kinsoku/>
        <w:wordWrap w:val="0"/>
        <w:overflowPunct/>
        <w:topLinePunct w:val="0"/>
        <w:bidi w:val="0"/>
        <w:spacing w:beforeLines="50"/>
        <w:jc w:val="center"/>
        <w:rPr>
          <w:rFonts w:hint="eastAsia" w:ascii="宋体" w:hAnsi="宋体" w:eastAsia="宋体" w:cs="Times New Roman"/>
          <w:color w:val="auto"/>
          <w:sz w:val="72"/>
          <w:szCs w:val="72"/>
          <w:highlight w:val="none"/>
        </w:rPr>
      </w:pPr>
    </w:p>
    <w:p w14:paraId="48DEBCA1">
      <w:pPr>
        <w:keepNext w:val="0"/>
        <w:keepLines w:val="0"/>
        <w:pageBreakBefore w:val="0"/>
        <w:widowControl w:val="0"/>
        <w:shd w:val="clear"/>
        <w:kinsoku/>
        <w:wordWrap w:val="0"/>
        <w:overflowPunct/>
        <w:topLinePunct w:val="0"/>
        <w:autoSpaceDE/>
        <w:autoSpaceDN/>
        <w:bidi w:val="0"/>
        <w:adjustRightInd/>
        <w:snapToGrid/>
        <w:spacing w:before="313" w:beforeLines="100" w:after="937" w:afterLines="300"/>
        <w:jc w:val="center"/>
        <w:textAlignment w:val="auto"/>
        <w:rPr>
          <w:rFonts w:hint="eastAsia" w:ascii="宋体" w:hAnsi="宋体" w:eastAsia="宋体" w:cs="Times New Roman"/>
          <w:b/>
          <w:bCs/>
          <w:color w:val="auto"/>
          <w:sz w:val="72"/>
          <w:szCs w:val="72"/>
          <w:highlight w:val="none"/>
          <w:lang w:val="en-US" w:eastAsia="zh-CN"/>
        </w:rPr>
      </w:pPr>
      <w:r>
        <w:rPr>
          <w:rFonts w:hint="eastAsia" w:ascii="宋体" w:hAnsi="宋体" w:eastAsia="宋体" w:cs="Times New Roman"/>
          <w:b/>
          <w:bCs/>
          <w:color w:val="auto"/>
          <w:sz w:val="72"/>
          <w:szCs w:val="72"/>
          <w:highlight w:val="none"/>
        </w:rPr>
        <w:t>招标文件</w:t>
      </w:r>
    </w:p>
    <w:p w14:paraId="3C6D5956">
      <w:pPr>
        <w:pageBreakBefore w:val="0"/>
        <w:shd w:val="clear"/>
        <w:kinsoku/>
        <w:wordWrap w:val="0"/>
        <w:overflowPunct/>
        <w:topLinePunct w:val="0"/>
        <w:bidi w:val="0"/>
        <w:snapToGrid w:val="0"/>
        <w:spacing w:beforeLines="50" w:line="360" w:lineRule="auto"/>
        <w:rPr>
          <w:rFonts w:hint="default" w:ascii="宋体" w:hAnsi="宋体" w:eastAsia="宋体" w:cs="Times New Roman"/>
          <w:color w:val="auto"/>
          <w:sz w:val="30"/>
          <w:szCs w:val="72"/>
          <w:highlight w:val="none"/>
          <w:lang w:val="en-US" w:eastAsia="zh-CN"/>
        </w:rPr>
      </w:pPr>
    </w:p>
    <w:p w14:paraId="5241107A">
      <w:pPr>
        <w:pageBreakBefore w:val="0"/>
        <w:shd w:val="clear"/>
        <w:kinsoku/>
        <w:wordWrap w:val="0"/>
        <w:overflowPunct/>
        <w:topLinePunct w:val="0"/>
        <w:bidi w:val="0"/>
        <w:snapToGrid w:val="0"/>
        <w:spacing w:beforeLines="50" w:line="360" w:lineRule="auto"/>
        <w:rPr>
          <w:rFonts w:ascii="宋体" w:hAnsi="宋体" w:eastAsia="宋体" w:cs="Times New Roman"/>
          <w:color w:val="auto"/>
          <w:sz w:val="30"/>
          <w:szCs w:val="72"/>
          <w:highlight w:val="none"/>
        </w:rPr>
      </w:pPr>
    </w:p>
    <w:p w14:paraId="033D1548">
      <w:pPr>
        <w:pageBreakBefore w:val="0"/>
        <w:widowControl w:val="0"/>
        <w:shd w:val="clear"/>
        <w:kinsoku/>
        <w:wordWrap w:val="0"/>
        <w:overflowPunct/>
        <w:topLinePunct w:val="0"/>
        <w:bidi w:val="0"/>
        <w:jc w:val="both"/>
        <w:rPr>
          <w:rFonts w:ascii="Times New Roman" w:hAnsi="Times New Roman" w:eastAsia="宋体" w:cs="Times New Roman"/>
          <w:color w:val="auto"/>
          <w:kern w:val="2"/>
          <w:sz w:val="21"/>
          <w:szCs w:val="24"/>
          <w:highlight w:val="none"/>
          <w:lang w:val="en-US" w:eastAsia="zh-CN" w:bidi="ar-SA"/>
        </w:rPr>
      </w:pPr>
    </w:p>
    <w:p w14:paraId="25FA759A">
      <w:pPr>
        <w:pageBreakBefore w:val="0"/>
        <w:widowControl w:val="0"/>
        <w:pBdr>
          <w:top w:val="none" w:color="auto" w:sz="0" w:space="0"/>
          <w:left w:val="none" w:color="auto" w:sz="0" w:space="0"/>
          <w:bottom w:val="none" w:color="auto" w:sz="0" w:space="1"/>
          <w:right w:val="none" w:color="auto" w:sz="0" w:space="0"/>
          <w:between w:val="none" w:color="auto" w:sz="0" w:space="0"/>
        </w:pBdr>
        <w:shd w:val="clear"/>
        <w:tabs>
          <w:tab w:val="center" w:pos="4153"/>
          <w:tab w:val="right" w:pos="8306"/>
        </w:tabs>
        <w:kinsoku/>
        <w:wordWrap w:val="0"/>
        <w:overflowPunct/>
        <w:topLinePunct w:val="0"/>
        <w:bidi w:val="0"/>
        <w:snapToGrid w:val="0"/>
        <w:jc w:val="center"/>
        <w:rPr>
          <w:rFonts w:ascii="宋体" w:hAnsi="宋体" w:eastAsia="仿宋_GB2312" w:cs="Times New Roman"/>
          <w:color w:val="auto"/>
          <w:kern w:val="2"/>
          <w:sz w:val="30"/>
          <w:szCs w:val="72"/>
          <w:highlight w:val="none"/>
          <w:lang w:val="en-US" w:eastAsia="zh-CN" w:bidi="ar-SA"/>
        </w:rPr>
      </w:pPr>
    </w:p>
    <w:p w14:paraId="18D16E57">
      <w:pPr>
        <w:pageBreakBefore w:val="0"/>
        <w:widowControl w:val="0"/>
        <w:shd w:val="clear"/>
        <w:kinsoku/>
        <w:wordWrap w:val="0"/>
        <w:overflowPunct/>
        <w:topLinePunct w:val="0"/>
        <w:autoSpaceDE w:val="0"/>
        <w:autoSpaceDN w:val="0"/>
        <w:bidi w:val="0"/>
        <w:adjustRightInd w:val="0"/>
        <w:spacing w:line="500" w:lineRule="exact"/>
        <w:ind w:left="391" w:right="246"/>
        <w:jc w:val="both"/>
        <w:rPr>
          <w:rFonts w:ascii="仿宋_GB2312" w:hAnsi="Times New Roman" w:eastAsia="仿宋_GB2312" w:cs="Times New Roman"/>
          <w:color w:val="auto"/>
          <w:kern w:val="0"/>
          <w:sz w:val="24"/>
          <w:szCs w:val="24"/>
          <w:highlight w:val="none"/>
          <w:lang w:val="en-US" w:eastAsia="zh-CN" w:bidi="ar-SA"/>
        </w:rPr>
      </w:pPr>
    </w:p>
    <w:p w14:paraId="2D16B3EC">
      <w:pPr>
        <w:pageBreakBefore w:val="0"/>
        <w:shd w:val="clear"/>
        <w:kinsoku/>
        <w:wordWrap w:val="0"/>
        <w:overflowPunct/>
        <w:topLinePunct w:val="0"/>
        <w:bidi w:val="0"/>
        <w:snapToGrid w:val="0"/>
        <w:spacing w:beforeLines="50" w:line="360" w:lineRule="auto"/>
        <w:rPr>
          <w:rFonts w:ascii="宋体" w:hAnsi="宋体" w:eastAsia="宋体" w:cs="Times New Roman"/>
          <w:color w:val="auto"/>
          <w:sz w:val="30"/>
          <w:szCs w:val="72"/>
          <w:highlight w:val="none"/>
        </w:rPr>
      </w:pPr>
    </w:p>
    <w:p w14:paraId="2D622F14">
      <w:pPr>
        <w:pageBreakBefore w:val="0"/>
        <w:shd w:val="clear"/>
        <w:kinsoku/>
        <w:wordWrap w:val="0"/>
        <w:overflowPunct/>
        <w:topLinePunct w:val="0"/>
        <w:bidi w:val="0"/>
        <w:snapToGrid w:val="0"/>
        <w:spacing w:beforeLines="50" w:line="360" w:lineRule="auto"/>
        <w:rPr>
          <w:rFonts w:ascii="宋体" w:hAnsi="宋体" w:eastAsia="宋体" w:cs="Times New Roman"/>
          <w:color w:val="auto"/>
          <w:sz w:val="30"/>
          <w:szCs w:val="72"/>
          <w:highlight w:val="none"/>
        </w:rPr>
      </w:pPr>
    </w:p>
    <w:p w14:paraId="31125D80">
      <w:pPr>
        <w:pageBreakBefore w:val="0"/>
        <w:widowControl w:val="0"/>
        <w:pBdr>
          <w:top w:val="none" w:color="auto" w:sz="0" w:space="0"/>
          <w:left w:val="none" w:color="auto" w:sz="0" w:space="0"/>
          <w:bottom w:val="none" w:color="auto" w:sz="0" w:space="1"/>
          <w:right w:val="none" w:color="auto" w:sz="0" w:space="0"/>
          <w:between w:val="none" w:color="auto" w:sz="0" w:space="0"/>
        </w:pBdr>
        <w:shd w:val="clear"/>
        <w:tabs>
          <w:tab w:val="center" w:pos="4153"/>
          <w:tab w:val="right" w:pos="8306"/>
        </w:tabs>
        <w:kinsoku/>
        <w:wordWrap w:val="0"/>
        <w:overflowPunct/>
        <w:topLinePunct w:val="0"/>
        <w:bidi w:val="0"/>
        <w:snapToGrid w:val="0"/>
        <w:jc w:val="center"/>
        <w:rPr>
          <w:rFonts w:ascii="宋体" w:hAnsi="宋体" w:eastAsia="仿宋_GB2312" w:cs="Times New Roman"/>
          <w:color w:val="auto"/>
          <w:kern w:val="2"/>
          <w:sz w:val="30"/>
          <w:szCs w:val="72"/>
          <w:highlight w:val="none"/>
          <w:lang w:val="en-US" w:eastAsia="zh-CN" w:bidi="ar-SA"/>
        </w:rPr>
      </w:pPr>
    </w:p>
    <w:p w14:paraId="05CF3C44">
      <w:pPr>
        <w:pageBreakBefore w:val="0"/>
        <w:widowControl w:val="0"/>
        <w:shd w:val="clear"/>
        <w:kinsoku/>
        <w:wordWrap w:val="0"/>
        <w:overflowPunct/>
        <w:topLinePunct w:val="0"/>
        <w:autoSpaceDE w:val="0"/>
        <w:autoSpaceDN w:val="0"/>
        <w:bidi w:val="0"/>
        <w:adjustRightInd w:val="0"/>
        <w:spacing w:line="500" w:lineRule="exact"/>
        <w:ind w:left="391" w:right="246"/>
        <w:jc w:val="both"/>
        <w:rPr>
          <w:rFonts w:ascii="仿宋_GB2312" w:hAnsi="Times New Roman" w:eastAsia="仿宋_GB2312" w:cs="Times New Roman"/>
          <w:color w:val="auto"/>
          <w:kern w:val="0"/>
          <w:sz w:val="24"/>
          <w:szCs w:val="24"/>
          <w:highlight w:val="none"/>
          <w:lang w:val="en-US" w:eastAsia="zh-CN" w:bidi="ar-SA"/>
        </w:rPr>
      </w:pPr>
    </w:p>
    <w:p w14:paraId="60EDB1EE">
      <w:pPr>
        <w:keepNext w:val="0"/>
        <w:keepLines w:val="0"/>
        <w:pageBreakBefore w:val="0"/>
        <w:widowControl w:val="0"/>
        <w:shd w:val="clear"/>
        <w:kinsoku/>
        <w:wordWrap w:val="0"/>
        <w:overflowPunct/>
        <w:topLinePunct w:val="0"/>
        <w:autoSpaceDE/>
        <w:autoSpaceDN/>
        <w:bidi w:val="0"/>
        <w:adjustRightInd w:val="0"/>
        <w:snapToGrid w:val="0"/>
        <w:spacing w:beforeLines="0" w:afterLines="0" w:line="360" w:lineRule="auto"/>
        <w:ind w:left="0" w:leftChars="0" w:firstLine="1063" w:firstLineChars="331"/>
        <w:jc w:val="both"/>
        <w:textAlignment w:val="auto"/>
        <w:rPr>
          <w:rFonts w:hint="eastAsia" w:ascii="宋体" w:hAnsi="Courier New" w:eastAsia="宋体" w:cs="Times New Roman"/>
          <w:b/>
          <w:color w:val="auto"/>
          <w:kern w:val="2"/>
          <w:sz w:val="32"/>
          <w:szCs w:val="32"/>
          <w:highlight w:val="none"/>
          <w:lang w:val="en-US" w:eastAsia="zh-CN" w:bidi="ar-SA"/>
        </w:rPr>
      </w:pPr>
      <w:r>
        <w:rPr>
          <w:rFonts w:ascii="宋体" w:hAnsi="Courier New" w:eastAsia="宋体" w:cs="Times New Roman"/>
          <w:b/>
          <w:color w:val="auto"/>
          <w:kern w:val="2"/>
          <w:sz w:val="32"/>
          <w:szCs w:val="32"/>
          <w:highlight w:val="none"/>
          <w:lang w:val="en-US" w:eastAsia="zh-CN" w:bidi="ar-SA"/>
        </w:rPr>
        <w:t>项目编号：</w:t>
      </w:r>
      <w:r>
        <w:rPr>
          <w:rFonts w:hint="eastAsia" w:ascii="宋体" w:hAnsi="Courier New" w:cs="Times New Roman"/>
          <w:b/>
          <w:color w:val="auto"/>
          <w:kern w:val="2"/>
          <w:sz w:val="32"/>
          <w:szCs w:val="32"/>
          <w:highlight w:val="none"/>
          <w:lang w:val="en-US" w:eastAsia="zh-CN" w:bidi="ar-SA"/>
        </w:rPr>
        <w:t>2025（***）</w:t>
      </w:r>
    </w:p>
    <w:p w14:paraId="2FE1FBE1">
      <w:pPr>
        <w:keepNext w:val="0"/>
        <w:keepLines w:val="0"/>
        <w:pageBreakBefore w:val="0"/>
        <w:widowControl w:val="0"/>
        <w:shd w:val="clear"/>
        <w:kinsoku/>
        <w:wordWrap w:val="0"/>
        <w:overflowPunct/>
        <w:topLinePunct w:val="0"/>
        <w:autoSpaceDE/>
        <w:autoSpaceDN/>
        <w:bidi w:val="0"/>
        <w:adjustRightInd w:val="0"/>
        <w:snapToGrid w:val="0"/>
        <w:spacing w:beforeLines="0" w:afterLines="0" w:line="360" w:lineRule="auto"/>
        <w:ind w:left="0" w:leftChars="0" w:firstLine="1063" w:firstLineChars="331"/>
        <w:jc w:val="both"/>
        <w:textAlignment w:val="auto"/>
        <w:rPr>
          <w:rFonts w:hint="eastAsia" w:ascii="宋体" w:hAnsi="Courier New" w:eastAsia="宋体" w:cs="Times New Roman"/>
          <w:b/>
          <w:color w:val="auto"/>
          <w:kern w:val="2"/>
          <w:sz w:val="32"/>
          <w:szCs w:val="32"/>
          <w:highlight w:val="none"/>
          <w:lang w:val="en-US" w:eastAsia="zh-CN" w:bidi="ar-SA"/>
        </w:rPr>
      </w:pPr>
      <w:r>
        <w:rPr>
          <w:rFonts w:hint="eastAsia" w:ascii="宋体" w:hAnsi="Courier New" w:eastAsia="宋体" w:cs="Times New Roman"/>
          <w:b/>
          <w:color w:val="auto"/>
          <w:kern w:val="2"/>
          <w:sz w:val="32"/>
          <w:szCs w:val="32"/>
          <w:highlight w:val="none"/>
          <w:lang w:val="en-US" w:eastAsia="zh-CN" w:bidi="ar-SA"/>
        </w:rPr>
        <w:t xml:space="preserve">招 标 </w:t>
      </w:r>
      <w:r>
        <w:rPr>
          <w:rFonts w:ascii="宋体" w:hAnsi="Courier New" w:eastAsia="宋体" w:cs="Times New Roman"/>
          <w:b/>
          <w:color w:val="auto"/>
          <w:kern w:val="2"/>
          <w:sz w:val="32"/>
          <w:szCs w:val="32"/>
          <w:highlight w:val="none"/>
          <w:lang w:val="en-US" w:eastAsia="zh-CN" w:bidi="ar-SA"/>
        </w:rPr>
        <w:t>人：</w:t>
      </w:r>
      <w:r>
        <w:rPr>
          <w:rFonts w:hint="eastAsia" w:ascii="宋体" w:hAnsi="Courier New" w:cs="Times New Roman"/>
          <w:b/>
          <w:color w:val="auto"/>
          <w:kern w:val="2"/>
          <w:sz w:val="32"/>
          <w:szCs w:val="32"/>
          <w:highlight w:val="none"/>
          <w:lang w:val="en-US" w:eastAsia="zh-CN" w:bidi="ar-SA"/>
        </w:rPr>
        <w:t>浙江西塘旅游文化发展有限公司</w:t>
      </w:r>
    </w:p>
    <w:p w14:paraId="5D784D57">
      <w:pPr>
        <w:keepNext w:val="0"/>
        <w:keepLines w:val="0"/>
        <w:pageBreakBefore w:val="0"/>
        <w:widowControl w:val="0"/>
        <w:shd w:val="clear"/>
        <w:kinsoku/>
        <w:wordWrap w:val="0"/>
        <w:overflowPunct/>
        <w:topLinePunct w:val="0"/>
        <w:autoSpaceDE/>
        <w:autoSpaceDN/>
        <w:bidi w:val="0"/>
        <w:adjustRightInd w:val="0"/>
        <w:snapToGrid w:val="0"/>
        <w:spacing w:beforeLines="0" w:afterLines="0" w:line="360" w:lineRule="auto"/>
        <w:ind w:left="0" w:leftChars="0" w:firstLine="1063" w:firstLineChars="331"/>
        <w:jc w:val="both"/>
        <w:textAlignment w:val="auto"/>
        <w:rPr>
          <w:rFonts w:hint="eastAsia" w:ascii="宋体" w:hAnsi="Courier New" w:eastAsia="宋体" w:cs="Times New Roman"/>
          <w:b/>
          <w:color w:val="auto"/>
          <w:kern w:val="2"/>
          <w:sz w:val="32"/>
          <w:szCs w:val="32"/>
          <w:highlight w:val="none"/>
          <w:lang w:val="en-US" w:eastAsia="zh-CN" w:bidi="ar-SA"/>
        </w:rPr>
      </w:pPr>
      <w:r>
        <w:rPr>
          <w:rFonts w:hint="eastAsia" w:ascii="宋体" w:hAnsi="Courier New" w:eastAsia="宋体" w:cs="Times New Roman"/>
          <w:b/>
          <w:color w:val="auto"/>
          <w:kern w:val="2"/>
          <w:sz w:val="32"/>
          <w:szCs w:val="32"/>
          <w:highlight w:val="none"/>
          <w:lang w:val="en-US" w:eastAsia="zh-CN" w:bidi="ar-SA"/>
        </w:rPr>
        <w:t>招标代理机构</w:t>
      </w:r>
      <w:r>
        <w:rPr>
          <w:rFonts w:ascii="宋体" w:hAnsi="Courier New" w:eastAsia="宋体" w:cs="Times New Roman"/>
          <w:b/>
          <w:color w:val="auto"/>
          <w:kern w:val="2"/>
          <w:sz w:val="32"/>
          <w:szCs w:val="32"/>
          <w:highlight w:val="none"/>
          <w:lang w:val="en-US" w:eastAsia="zh-CN" w:bidi="ar-SA"/>
        </w:rPr>
        <w:t>：</w:t>
      </w:r>
      <w:r>
        <w:rPr>
          <w:rFonts w:hint="eastAsia" w:ascii="宋体" w:hAnsi="Courier New" w:eastAsia="宋体" w:cs="Times New Roman"/>
          <w:b/>
          <w:color w:val="auto"/>
          <w:kern w:val="2"/>
          <w:sz w:val="32"/>
          <w:szCs w:val="32"/>
          <w:highlight w:val="none"/>
          <w:lang w:val="en-US" w:eastAsia="zh-CN" w:bidi="ar-SA"/>
        </w:rPr>
        <w:t>嘉兴市华信工程咨询有限公司</w:t>
      </w:r>
    </w:p>
    <w:p w14:paraId="3C3C4A0E">
      <w:pPr>
        <w:keepNext w:val="0"/>
        <w:keepLines w:val="0"/>
        <w:pageBreakBefore w:val="0"/>
        <w:widowControl w:val="0"/>
        <w:shd w:val="clear"/>
        <w:kinsoku/>
        <w:wordWrap w:val="0"/>
        <w:overflowPunct/>
        <w:topLinePunct w:val="0"/>
        <w:autoSpaceDE/>
        <w:autoSpaceDN/>
        <w:bidi w:val="0"/>
        <w:adjustRightInd w:val="0"/>
        <w:snapToGrid w:val="0"/>
        <w:spacing w:beforeLines="0" w:afterLines="0" w:line="360" w:lineRule="auto"/>
        <w:ind w:left="0" w:leftChars="0" w:firstLine="241" w:firstLineChars="75"/>
        <w:jc w:val="center"/>
        <w:textAlignment w:val="auto"/>
        <w:rPr>
          <w:rFonts w:ascii="宋体" w:hAnsi="Courier New" w:eastAsia="宋体" w:cs="Times New Roman"/>
          <w:b/>
          <w:color w:val="auto"/>
          <w:kern w:val="2"/>
          <w:sz w:val="32"/>
          <w:szCs w:val="32"/>
          <w:highlight w:val="none"/>
          <w:lang w:val="en-US" w:eastAsia="zh-CN" w:bidi="ar-SA"/>
        </w:rPr>
      </w:pPr>
      <w:r>
        <w:rPr>
          <w:rFonts w:hint="eastAsia" w:ascii="宋体" w:hAnsi="Courier New" w:eastAsia="宋体" w:cs="Times New Roman"/>
          <w:b/>
          <w:color w:val="auto"/>
          <w:kern w:val="2"/>
          <w:sz w:val="32"/>
          <w:szCs w:val="32"/>
          <w:highlight w:val="none"/>
          <w:lang w:val="en-US" w:eastAsia="zh-CN" w:bidi="ar-SA"/>
        </w:rPr>
        <w:t>202</w:t>
      </w:r>
      <w:r>
        <w:rPr>
          <w:rFonts w:hint="eastAsia" w:ascii="宋体" w:hAnsi="Courier New" w:cs="Times New Roman"/>
          <w:b/>
          <w:color w:val="auto"/>
          <w:kern w:val="2"/>
          <w:sz w:val="32"/>
          <w:szCs w:val="32"/>
          <w:highlight w:val="none"/>
          <w:lang w:val="en-US" w:eastAsia="zh-CN" w:bidi="ar-SA"/>
        </w:rPr>
        <w:t>5</w:t>
      </w:r>
      <w:r>
        <w:rPr>
          <w:rFonts w:hint="eastAsia" w:ascii="宋体" w:hAnsi="Courier New" w:eastAsia="宋体" w:cs="Times New Roman"/>
          <w:b/>
          <w:color w:val="auto"/>
          <w:kern w:val="2"/>
          <w:sz w:val="32"/>
          <w:szCs w:val="32"/>
          <w:highlight w:val="none"/>
          <w:lang w:val="en-US" w:eastAsia="zh-CN" w:bidi="ar-SA"/>
        </w:rPr>
        <w:t>年</w:t>
      </w:r>
      <w:r>
        <w:rPr>
          <w:rFonts w:hint="eastAsia" w:ascii="宋体" w:hAnsi="Courier New" w:cs="Times New Roman"/>
          <w:b/>
          <w:color w:val="auto"/>
          <w:kern w:val="2"/>
          <w:sz w:val="32"/>
          <w:szCs w:val="32"/>
          <w:highlight w:val="none"/>
          <w:lang w:val="en-US" w:eastAsia="zh-CN" w:bidi="ar-SA"/>
        </w:rPr>
        <w:t>2</w:t>
      </w:r>
      <w:r>
        <w:rPr>
          <w:rFonts w:hint="eastAsia" w:ascii="宋体" w:hAnsi="Courier New" w:eastAsia="宋体" w:cs="Times New Roman"/>
          <w:b/>
          <w:color w:val="auto"/>
          <w:kern w:val="2"/>
          <w:sz w:val="32"/>
          <w:szCs w:val="32"/>
          <w:highlight w:val="none"/>
          <w:lang w:val="en-US" w:eastAsia="zh-CN" w:bidi="ar-SA"/>
        </w:rPr>
        <w:t>月</w:t>
      </w:r>
    </w:p>
    <w:p w14:paraId="657C3074">
      <w:pPr>
        <w:pStyle w:val="288"/>
        <w:pageBreakBefore w:val="0"/>
        <w:shd w:val="clear"/>
        <w:tabs>
          <w:tab w:val="left" w:pos="761"/>
          <w:tab w:val="center" w:pos="4252"/>
        </w:tabs>
        <w:kinsoku/>
        <w:wordWrap w:val="0"/>
        <w:overflowPunct/>
        <w:topLinePunct w:val="0"/>
        <w:autoSpaceDE/>
        <w:autoSpaceDN/>
        <w:bidi w:val="0"/>
        <w:adjustRightInd w:val="0"/>
        <w:snapToGrid w:val="0"/>
        <w:spacing w:before="0" w:after="0" w:line="700" w:lineRule="exact"/>
        <w:ind w:firstLine="3614" w:firstLineChars="1200"/>
        <w:jc w:val="both"/>
        <w:textAlignment w:val="auto"/>
        <w:outlineLvl w:val="9"/>
        <w:rPr>
          <w:rFonts w:hint="eastAsia" w:ascii="宋体" w:hAnsi="宋体" w:eastAsia="宋体"/>
          <w:color w:val="auto"/>
          <w:kern w:val="2"/>
          <w:sz w:val="30"/>
          <w:szCs w:val="48"/>
          <w:highlight w:val="none"/>
          <w:lang w:eastAsia="zh-CN"/>
        </w:rPr>
        <w:sectPr>
          <w:footerReference r:id="rId4" w:type="first"/>
          <w:footerReference r:id="rId3" w:type="even"/>
          <w:pgSz w:w="11905" w:h="16838"/>
          <w:pgMar w:top="1304" w:right="1361" w:bottom="1304" w:left="1361" w:header="907" w:footer="964" w:gutter="0"/>
          <w:pgBorders>
            <w:top w:val="none" w:sz="0" w:space="0"/>
            <w:left w:val="none" w:sz="0" w:space="0"/>
            <w:bottom w:val="none" w:sz="0" w:space="0"/>
            <w:right w:val="none" w:sz="0" w:space="0"/>
          </w:pgBorders>
          <w:pgNumType w:start="1"/>
          <w:cols w:space="0" w:num="1"/>
          <w:rtlGutter w:val="0"/>
          <w:docGrid w:linePitch="312" w:charSpace="0"/>
        </w:sectPr>
      </w:pPr>
    </w:p>
    <w:p w14:paraId="1FFB2F0F">
      <w:pPr>
        <w:pStyle w:val="288"/>
        <w:keepNext/>
        <w:keepLines/>
        <w:pageBreakBefore w:val="0"/>
        <w:widowControl/>
        <w:shd w:val="clear"/>
        <w:tabs>
          <w:tab w:val="left" w:pos="761"/>
          <w:tab w:val="center" w:pos="4252"/>
        </w:tabs>
        <w:kinsoku/>
        <w:wordWrap w:val="0"/>
        <w:overflowPunct/>
        <w:topLinePunct w:val="0"/>
        <w:autoSpaceDE/>
        <w:autoSpaceDN/>
        <w:bidi w:val="0"/>
        <w:adjustRightInd/>
        <w:snapToGrid/>
        <w:spacing w:before="0" w:line="1600" w:lineRule="exact"/>
        <w:jc w:val="center"/>
        <w:textAlignment w:val="auto"/>
        <w:rPr>
          <w:color w:val="auto"/>
          <w:sz w:val="52"/>
          <w:szCs w:val="52"/>
          <w:highlight w:val="none"/>
          <w:lang w:val="zh-CN"/>
        </w:rPr>
      </w:pPr>
      <w:r>
        <w:rPr>
          <w:color w:val="auto"/>
          <w:sz w:val="52"/>
          <w:szCs w:val="52"/>
          <w:highlight w:val="none"/>
          <w:lang w:val="zh-CN"/>
        </w:rPr>
        <w:t>目</w:t>
      </w:r>
      <w:r>
        <w:rPr>
          <w:rFonts w:hint="eastAsia"/>
          <w:color w:val="auto"/>
          <w:sz w:val="52"/>
          <w:szCs w:val="52"/>
          <w:highlight w:val="none"/>
          <w:lang w:val="en-US" w:eastAsia="zh-CN"/>
        </w:rPr>
        <w:t xml:space="preserve">   </w:t>
      </w:r>
      <w:r>
        <w:rPr>
          <w:color w:val="auto"/>
          <w:sz w:val="52"/>
          <w:szCs w:val="52"/>
          <w:highlight w:val="none"/>
          <w:lang w:val="zh-CN"/>
        </w:rPr>
        <w:t>录</w:t>
      </w:r>
    </w:p>
    <w:p w14:paraId="6AFD4070">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宋体" w:hAnsi="宋体" w:eastAsia="宋体" w:cs="宋体"/>
          <w:color w:val="auto"/>
          <w:sz w:val="32"/>
          <w:szCs w:val="32"/>
          <w:highlight w:val="none"/>
          <w:lang w:val="zh-CN"/>
        </w:rPr>
      </w:pPr>
    </w:p>
    <w:p w14:paraId="4C60BBD0">
      <w:pPr>
        <w:pStyle w:val="32"/>
        <w:keepNext w:val="0"/>
        <w:keepLines w:val="0"/>
        <w:pageBreakBefore w:val="0"/>
        <w:widowControl w:val="0"/>
        <w:shd w:val="clear"/>
        <w:tabs>
          <w:tab w:val="right" w:leader="dot" w:pos="8640"/>
        </w:tabs>
        <w:kinsoku/>
        <w:overflowPunct/>
        <w:topLinePunct w:val="0"/>
        <w:autoSpaceDE/>
        <w:autoSpaceDN/>
        <w:bidi w:val="0"/>
        <w:adjustRightInd/>
        <w:snapToGrid/>
        <w:spacing w:line="800" w:lineRule="exact"/>
        <w:ind w:left="240" w:leftChars="100" w:firstLine="0" w:firstLineChars="0"/>
        <w:textAlignment w:val="auto"/>
        <w:rPr>
          <w:rFonts w:hint="eastAsia" w:ascii="宋体" w:hAnsi="宋体" w:eastAsia="宋体" w:cs="宋体"/>
          <w:b/>
          <w:bCs/>
          <w:color w:val="auto"/>
          <w:position w:val="11"/>
          <w:sz w:val="28"/>
          <w:szCs w:val="28"/>
          <w:highlight w:val="none"/>
        </w:rPr>
      </w:pP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TOC \o "1-1" \h \u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HYPERLINK \l _Toc16788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 xml:space="preserve">第一章  </w:t>
      </w:r>
      <w:r>
        <w:rPr>
          <w:rFonts w:hint="eastAsia" w:ascii="宋体" w:hAnsi="宋体" w:cs="宋体"/>
          <w:b/>
          <w:bCs/>
          <w:color w:val="auto"/>
          <w:position w:val="11"/>
          <w:sz w:val="28"/>
          <w:szCs w:val="28"/>
          <w:highlight w:val="none"/>
          <w:lang w:eastAsia="zh-CN"/>
        </w:rPr>
        <w:t>公开招标采购公告</w:t>
      </w:r>
      <w:r>
        <w:rPr>
          <w:rFonts w:hint="eastAsia" w:ascii="宋体" w:hAnsi="宋体" w:eastAsia="宋体" w:cs="宋体"/>
          <w:b/>
          <w:bCs/>
          <w:color w:val="auto"/>
          <w:position w:val="11"/>
          <w:sz w:val="28"/>
          <w:szCs w:val="28"/>
          <w:highlight w:val="none"/>
        </w:rPr>
        <w:tab/>
      </w: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PAGEREF _Toc16788 \h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1</w:t>
      </w:r>
      <w:r>
        <w:rPr>
          <w:rFonts w:hint="eastAsia" w:ascii="宋体" w:hAnsi="宋体" w:eastAsia="宋体" w:cs="宋体"/>
          <w:b/>
          <w:bCs/>
          <w:color w:val="auto"/>
          <w:position w:val="11"/>
          <w:sz w:val="28"/>
          <w:szCs w:val="28"/>
          <w:highlight w:val="none"/>
        </w:rPr>
        <w:fldChar w:fldCharType="end"/>
      </w:r>
      <w:r>
        <w:rPr>
          <w:rFonts w:hint="eastAsia" w:ascii="宋体" w:hAnsi="宋体" w:eastAsia="宋体" w:cs="宋体"/>
          <w:b/>
          <w:bCs/>
          <w:color w:val="auto"/>
          <w:position w:val="11"/>
          <w:sz w:val="28"/>
          <w:szCs w:val="28"/>
          <w:highlight w:val="none"/>
        </w:rPr>
        <w:fldChar w:fldCharType="end"/>
      </w:r>
    </w:p>
    <w:p w14:paraId="75905F0C">
      <w:pPr>
        <w:pStyle w:val="32"/>
        <w:keepNext w:val="0"/>
        <w:keepLines w:val="0"/>
        <w:pageBreakBefore w:val="0"/>
        <w:widowControl w:val="0"/>
        <w:shd w:val="clear"/>
        <w:tabs>
          <w:tab w:val="right" w:leader="dot" w:pos="8640"/>
        </w:tabs>
        <w:kinsoku/>
        <w:overflowPunct/>
        <w:topLinePunct w:val="0"/>
        <w:autoSpaceDE/>
        <w:autoSpaceDN/>
        <w:bidi w:val="0"/>
        <w:adjustRightInd/>
        <w:snapToGrid/>
        <w:spacing w:line="800" w:lineRule="exact"/>
        <w:ind w:left="240" w:leftChars="100" w:firstLine="0" w:firstLineChars="0"/>
        <w:textAlignment w:val="auto"/>
        <w:rPr>
          <w:rFonts w:hint="eastAsia" w:ascii="宋体" w:hAnsi="宋体" w:eastAsia="宋体" w:cs="宋体"/>
          <w:b/>
          <w:bCs/>
          <w:color w:val="auto"/>
          <w:position w:val="11"/>
          <w:sz w:val="28"/>
          <w:szCs w:val="28"/>
          <w:highlight w:val="none"/>
        </w:rPr>
      </w:pP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HYPERLINK \l _Toc29823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第二章  投标人须知</w:t>
      </w:r>
      <w:r>
        <w:rPr>
          <w:rFonts w:hint="eastAsia" w:ascii="宋体" w:hAnsi="宋体" w:eastAsia="宋体" w:cs="宋体"/>
          <w:b/>
          <w:bCs/>
          <w:color w:val="auto"/>
          <w:position w:val="11"/>
          <w:sz w:val="28"/>
          <w:szCs w:val="28"/>
          <w:highlight w:val="none"/>
        </w:rPr>
        <w:tab/>
      </w: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PAGEREF _Toc29823 \h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3</w:t>
      </w:r>
      <w:r>
        <w:rPr>
          <w:rFonts w:hint="eastAsia" w:ascii="宋体" w:hAnsi="宋体" w:eastAsia="宋体" w:cs="宋体"/>
          <w:b/>
          <w:bCs/>
          <w:color w:val="auto"/>
          <w:position w:val="11"/>
          <w:sz w:val="28"/>
          <w:szCs w:val="28"/>
          <w:highlight w:val="none"/>
        </w:rPr>
        <w:fldChar w:fldCharType="end"/>
      </w:r>
      <w:r>
        <w:rPr>
          <w:rFonts w:hint="eastAsia" w:ascii="宋体" w:hAnsi="宋体" w:eastAsia="宋体" w:cs="宋体"/>
          <w:b/>
          <w:bCs/>
          <w:color w:val="auto"/>
          <w:position w:val="11"/>
          <w:sz w:val="28"/>
          <w:szCs w:val="28"/>
          <w:highlight w:val="none"/>
        </w:rPr>
        <w:fldChar w:fldCharType="end"/>
      </w:r>
    </w:p>
    <w:p w14:paraId="6CF7FE5B">
      <w:pPr>
        <w:pStyle w:val="32"/>
        <w:keepNext w:val="0"/>
        <w:keepLines w:val="0"/>
        <w:pageBreakBefore w:val="0"/>
        <w:widowControl w:val="0"/>
        <w:shd w:val="clear"/>
        <w:tabs>
          <w:tab w:val="right" w:leader="dot" w:pos="8640"/>
        </w:tabs>
        <w:kinsoku/>
        <w:overflowPunct/>
        <w:topLinePunct w:val="0"/>
        <w:autoSpaceDE/>
        <w:autoSpaceDN/>
        <w:bidi w:val="0"/>
        <w:adjustRightInd/>
        <w:snapToGrid/>
        <w:spacing w:line="800" w:lineRule="exact"/>
        <w:ind w:left="240" w:leftChars="100" w:firstLine="0" w:firstLineChars="0"/>
        <w:textAlignment w:val="auto"/>
        <w:rPr>
          <w:rFonts w:hint="eastAsia" w:ascii="宋体" w:hAnsi="宋体" w:eastAsia="宋体" w:cs="宋体"/>
          <w:b/>
          <w:bCs/>
          <w:color w:val="auto"/>
          <w:position w:val="11"/>
          <w:sz w:val="28"/>
          <w:szCs w:val="28"/>
          <w:highlight w:val="none"/>
        </w:rPr>
      </w:pP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HYPERLINK \l _Toc27466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第三章  招标需求</w:t>
      </w:r>
      <w:r>
        <w:rPr>
          <w:rFonts w:hint="eastAsia" w:ascii="宋体" w:hAnsi="宋体" w:eastAsia="宋体" w:cs="宋体"/>
          <w:b/>
          <w:bCs/>
          <w:color w:val="auto"/>
          <w:position w:val="11"/>
          <w:sz w:val="28"/>
          <w:szCs w:val="28"/>
          <w:highlight w:val="none"/>
        </w:rPr>
        <w:tab/>
      </w: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PAGEREF _Toc27466 \h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15</w:t>
      </w:r>
      <w:r>
        <w:rPr>
          <w:rFonts w:hint="eastAsia" w:ascii="宋体" w:hAnsi="宋体" w:eastAsia="宋体" w:cs="宋体"/>
          <w:b/>
          <w:bCs/>
          <w:color w:val="auto"/>
          <w:position w:val="11"/>
          <w:sz w:val="28"/>
          <w:szCs w:val="28"/>
          <w:highlight w:val="none"/>
        </w:rPr>
        <w:fldChar w:fldCharType="end"/>
      </w:r>
      <w:r>
        <w:rPr>
          <w:rFonts w:hint="eastAsia" w:ascii="宋体" w:hAnsi="宋体" w:eastAsia="宋体" w:cs="宋体"/>
          <w:b/>
          <w:bCs/>
          <w:color w:val="auto"/>
          <w:position w:val="11"/>
          <w:sz w:val="28"/>
          <w:szCs w:val="28"/>
          <w:highlight w:val="none"/>
        </w:rPr>
        <w:fldChar w:fldCharType="end"/>
      </w:r>
    </w:p>
    <w:p w14:paraId="03E6BC48">
      <w:pPr>
        <w:pStyle w:val="32"/>
        <w:keepNext w:val="0"/>
        <w:keepLines w:val="0"/>
        <w:pageBreakBefore w:val="0"/>
        <w:widowControl w:val="0"/>
        <w:shd w:val="clear"/>
        <w:tabs>
          <w:tab w:val="right" w:leader="dot" w:pos="8640"/>
        </w:tabs>
        <w:kinsoku/>
        <w:overflowPunct/>
        <w:topLinePunct w:val="0"/>
        <w:autoSpaceDE/>
        <w:autoSpaceDN/>
        <w:bidi w:val="0"/>
        <w:adjustRightInd/>
        <w:snapToGrid/>
        <w:spacing w:line="800" w:lineRule="exact"/>
        <w:ind w:left="240" w:leftChars="100" w:firstLine="0" w:firstLineChars="0"/>
        <w:textAlignment w:val="auto"/>
        <w:rPr>
          <w:rFonts w:hint="eastAsia" w:ascii="宋体" w:hAnsi="宋体" w:eastAsia="宋体" w:cs="宋体"/>
          <w:b/>
          <w:bCs/>
          <w:color w:val="auto"/>
          <w:position w:val="11"/>
          <w:sz w:val="28"/>
          <w:szCs w:val="28"/>
          <w:highlight w:val="none"/>
        </w:rPr>
      </w:pP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HYPERLINK \l _Toc11448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 xml:space="preserve">第四章 </w:t>
      </w:r>
      <w:r>
        <w:rPr>
          <w:rFonts w:hint="eastAsia" w:ascii="宋体" w:hAnsi="宋体" w:eastAsia="宋体" w:cs="宋体"/>
          <w:b/>
          <w:bCs/>
          <w:color w:val="auto"/>
          <w:position w:val="11"/>
          <w:sz w:val="28"/>
          <w:szCs w:val="28"/>
          <w:highlight w:val="none"/>
          <w:lang w:val="en-US" w:eastAsia="zh-CN"/>
        </w:rPr>
        <w:t xml:space="preserve"> </w:t>
      </w:r>
      <w:r>
        <w:rPr>
          <w:rFonts w:hint="eastAsia" w:ascii="宋体" w:hAnsi="宋体" w:eastAsia="宋体" w:cs="宋体"/>
          <w:b/>
          <w:bCs/>
          <w:color w:val="auto"/>
          <w:position w:val="11"/>
          <w:sz w:val="28"/>
          <w:szCs w:val="28"/>
          <w:highlight w:val="none"/>
        </w:rPr>
        <w:t>评标办法及评分标准</w:t>
      </w:r>
      <w:r>
        <w:rPr>
          <w:rFonts w:hint="eastAsia" w:ascii="宋体" w:hAnsi="宋体" w:eastAsia="宋体" w:cs="宋体"/>
          <w:b/>
          <w:bCs/>
          <w:color w:val="auto"/>
          <w:position w:val="11"/>
          <w:sz w:val="28"/>
          <w:szCs w:val="28"/>
          <w:highlight w:val="none"/>
        </w:rPr>
        <w:tab/>
      </w: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PAGEREF _Toc11448 \h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36</w:t>
      </w:r>
      <w:r>
        <w:rPr>
          <w:rFonts w:hint="eastAsia" w:ascii="宋体" w:hAnsi="宋体" w:eastAsia="宋体" w:cs="宋体"/>
          <w:b/>
          <w:bCs/>
          <w:color w:val="auto"/>
          <w:position w:val="11"/>
          <w:sz w:val="28"/>
          <w:szCs w:val="28"/>
          <w:highlight w:val="none"/>
        </w:rPr>
        <w:fldChar w:fldCharType="end"/>
      </w:r>
      <w:r>
        <w:rPr>
          <w:rFonts w:hint="eastAsia" w:ascii="宋体" w:hAnsi="宋体" w:eastAsia="宋体" w:cs="宋体"/>
          <w:b/>
          <w:bCs/>
          <w:color w:val="auto"/>
          <w:position w:val="11"/>
          <w:sz w:val="28"/>
          <w:szCs w:val="28"/>
          <w:highlight w:val="none"/>
        </w:rPr>
        <w:fldChar w:fldCharType="end"/>
      </w:r>
    </w:p>
    <w:p w14:paraId="3EE5C226">
      <w:pPr>
        <w:pStyle w:val="32"/>
        <w:keepNext w:val="0"/>
        <w:keepLines w:val="0"/>
        <w:pageBreakBefore w:val="0"/>
        <w:widowControl w:val="0"/>
        <w:shd w:val="clear"/>
        <w:tabs>
          <w:tab w:val="right" w:leader="dot" w:pos="8640"/>
        </w:tabs>
        <w:kinsoku/>
        <w:overflowPunct/>
        <w:topLinePunct w:val="0"/>
        <w:autoSpaceDE/>
        <w:autoSpaceDN/>
        <w:bidi w:val="0"/>
        <w:adjustRightInd/>
        <w:snapToGrid/>
        <w:spacing w:line="800" w:lineRule="exact"/>
        <w:ind w:left="240" w:leftChars="100" w:firstLine="0" w:firstLineChars="0"/>
        <w:textAlignment w:val="auto"/>
        <w:rPr>
          <w:rFonts w:hint="eastAsia" w:ascii="宋体" w:hAnsi="宋体" w:eastAsia="宋体" w:cs="宋体"/>
          <w:b/>
          <w:bCs/>
          <w:color w:val="auto"/>
          <w:position w:val="11"/>
          <w:sz w:val="28"/>
          <w:szCs w:val="28"/>
          <w:highlight w:val="none"/>
        </w:rPr>
      </w:pP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HYPERLINK \l _Toc14763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lang w:val="en-US" w:eastAsia="zh-CN"/>
        </w:rPr>
        <w:t>第五章　</w:t>
      </w:r>
      <w:r>
        <w:rPr>
          <w:rFonts w:hint="eastAsia" w:ascii="宋体" w:hAnsi="宋体" w:eastAsia="宋体" w:cs="宋体"/>
          <w:b/>
          <w:bCs/>
          <w:color w:val="auto"/>
          <w:position w:val="11"/>
          <w:sz w:val="28"/>
          <w:szCs w:val="28"/>
          <w:highlight w:val="none"/>
        </w:rPr>
        <w:t>采购合同（指引）</w:t>
      </w:r>
      <w:r>
        <w:rPr>
          <w:rFonts w:hint="eastAsia" w:ascii="宋体" w:hAnsi="宋体" w:eastAsia="宋体" w:cs="宋体"/>
          <w:b/>
          <w:bCs/>
          <w:color w:val="auto"/>
          <w:position w:val="11"/>
          <w:sz w:val="28"/>
          <w:szCs w:val="28"/>
          <w:highlight w:val="none"/>
        </w:rPr>
        <w:tab/>
      </w: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PAGEREF _Toc14763 \h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41</w:t>
      </w:r>
      <w:r>
        <w:rPr>
          <w:rFonts w:hint="eastAsia" w:ascii="宋体" w:hAnsi="宋体" w:eastAsia="宋体" w:cs="宋体"/>
          <w:b/>
          <w:bCs/>
          <w:color w:val="auto"/>
          <w:position w:val="11"/>
          <w:sz w:val="28"/>
          <w:szCs w:val="28"/>
          <w:highlight w:val="none"/>
        </w:rPr>
        <w:fldChar w:fldCharType="end"/>
      </w:r>
      <w:r>
        <w:rPr>
          <w:rFonts w:hint="eastAsia" w:ascii="宋体" w:hAnsi="宋体" w:eastAsia="宋体" w:cs="宋体"/>
          <w:b/>
          <w:bCs/>
          <w:color w:val="auto"/>
          <w:position w:val="11"/>
          <w:sz w:val="28"/>
          <w:szCs w:val="28"/>
          <w:highlight w:val="none"/>
        </w:rPr>
        <w:fldChar w:fldCharType="end"/>
      </w:r>
    </w:p>
    <w:p w14:paraId="3B84E877">
      <w:pPr>
        <w:pStyle w:val="32"/>
        <w:keepNext w:val="0"/>
        <w:keepLines w:val="0"/>
        <w:pageBreakBefore w:val="0"/>
        <w:widowControl w:val="0"/>
        <w:shd w:val="clear"/>
        <w:tabs>
          <w:tab w:val="right" w:leader="dot" w:pos="8640"/>
        </w:tabs>
        <w:kinsoku/>
        <w:overflowPunct/>
        <w:topLinePunct w:val="0"/>
        <w:autoSpaceDE/>
        <w:autoSpaceDN/>
        <w:bidi w:val="0"/>
        <w:adjustRightInd/>
        <w:snapToGrid/>
        <w:spacing w:line="800" w:lineRule="exact"/>
        <w:ind w:left="240" w:leftChars="100" w:firstLine="0" w:firstLineChars="0"/>
        <w:textAlignment w:val="auto"/>
        <w:rPr>
          <w:rFonts w:hint="eastAsia" w:ascii="宋体" w:hAnsi="宋体" w:eastAsia="宋体" w:cs="宋体"/>
          <w:b/>
          <w:bCs/>
          <w:color w:val="auto"/>
          <w:position w:val="11"/>
          <w:sz w:val="28"/>
          <w:szCs w:val="28"/>
          <w:highlight w:val="none"/>
        </w:rPr>
      </w:pP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HYPERLINK \l _Toc5900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第六章　投标文件格式</w:t>
      </w:r>
      <w:r>
        <w:rPr>
          <w:rFonts w:hint="eastAsia" w:ascii="宋体" w:hAnsi="宋体" w:eastAsia="宋体" w:cs="宋体"/>
          <w:b/>
          <w:bCs/>
          <w:color w:val="auto"/>
          <w:position w:val="11"/>
          <w:sz w:val="28"/>
          <w:szCs w:val="28"/>
          <w:highlight w:val="none"/>
        </w:rPr>
        <w:tab/>
      </w:r>
      <w:r>
        <w:rPr>
          <w:rFonts w:hint="eastAsia" w:ascii="宋体" w:hAnsi="宋体" w:eastAsia="宋体" w:cs="宋体"/>
          <w:b/>
          <w:bCs/>
          <w:color w:val="auto"/>
          <w:position w:val="11"/>
          <w:sz w:val="28"/>
          <w:szCs w:val="28"/>
          <w:highlight w:val="none"/>
        </w:rPr>
        <w:fldChar w:fldCharType="begin"/>
      </w:r>
      <w:r>
        <w:rPr>
          <w:rFonts w:hint="eastAsia" w:ascii="宋体" w:hAnsi="宋体" w:eastAsia="宋体" w:cs="宋体"/>
          <w:b/>
          <w:bCs/>
          <w:color w:val="auto"/>
          <w:position w:val="11"/>
          <w:sz w:val="28"/>
          <w:szCs w:val="28"/>
          <w:highlight w:val="none"/>
        </w:rPr>
        <w:instrText xml:space="preserve"> PAGEREF _Toc5900 \h </w:instrText>
      </w:r>
      <w:r>
        <w:rPr>
          <w:rFonts w:hint="eastAsia" w:ascii="宋体" w:hAnsi="宋体" w:eastAsia="宋体" w:cs="宋体"/>
          <w:b/>
          <w:bCs/>
          <w:color w:val="auto"/>
          <w:position w:val="11"/>
          <w:sz w:val="28"/>
          <w:szCs w:val="28"/>
          <w:highlight w:val="none"/>
        </w:rPr>
        <w:fldChar w:fldCharType="separate"/>
      </w:r>
      <w:r>
        <w:rPr>
          <w:rFonts w:hint="eastAsia" w:ascii="宋体" w:hAnsi="宋体" w:eastAsia="宋体" w:cs="宋体"/>
          <w:b/>
          <w:bCs/>
          <w:color w:val="auto"/>
          <w:position w:val="11"/>
          <w:sz w:val="28"/>
          <w:szCs w:val="28"/>
          <w:highlight w:val="none"/>
        </w:rPr>
        <w:t>45</w:t>
      </w:r>
      <w:r>
        <w:rPr>
          <w:rFonts w:hint="eastAsia" w:ascii="宋体" w:hAnsi="宋体" w:eastAsia="宋体" w:cs="宋体"/>
          <w:b/>
          <w:bCs/>
          <w:color w:val="auto"/>
          <w:position w:val="11"/>
          <w:sz w:val="28"/>
          <w:szCs w:val="28"/>
          <w:highlight w:val="none"/>
        </w:rPr>
        <w:fldChar w:fldCharType="end"/>
      </w:r>
      <w:r>
        <w:rPr>
          <w:rFonts w:hint="eastAsia" w:ascii="宋体" w:hAnsi="宋体" w:eastAsia="宋体" w:cs="宋体"/>
          <w:b/>
          <w:bCs/>
          <w:color w:val="auto"/>
          <w:position w:val="11"/>
          <w:sz w:val="28"/>
          <w:szCs w:val="28"/>
          <w:highlight w:val="none"/>
        </w:rPr>
        <w:fldChar w:fldCharType="end"/>
      </w:r>
    </w:p>
    <w:p w14:paraId="1143033D">
      <w:pPr>
        <w:keepNext w:val="0"/>
        <w:keepLines w:val="0"/>
        <w:pageBreakBefore w:val="0"/>
        <w:widowControl w:val="0"/>
        <w:shd w:val="clear"/>
        <w:tabs>
          <w:tab w:val="left" w:pos="993"/>
        </w:tabs>
        <w:kinsoku/>
        <w:wordWrap w:val="0"/>
        <w:overflowPunct/>
        <w:topLinePunct w:val="0"/>
        <w:autoSpaceDE/>
        <w:autoSpaceDN/>
        <w:bidi w:val="0"/>
        <w:adjustRightInd/>
        <w:snapToGrid/>
        <w:spacing w:line="800" w:lineRule="exact"/>
        <w:ind w:left="240" w:leftChars="100" w:firstLine="0" w:firstLineChars="0"/>
        <w:textAlignment w:val="auto"/>
        <w:rPr>
          <w:rFonts w:asciiTheme="minorEastAsia" w:hAnsiTheme="minorEastAsia" w:eastAsiaTheme="minorEastAsia"/>
          <w:color w:val="auto"/>
          <w:sz w:val="24"/>
          <w:highlight w:val="none"/>
        </w:rPr>
      </w:pPr>
      <w:r>
        <w:rPr>
          <w:rFonts w:hint="eastAsia" w:ascii="宋体" w:hAnsi="宋体" w:eastAsia="宋体" w:cs="宋体"/>
          <w:b/>
          <w:bCs/>
          <w:color w:val="auto"/>
          <w:position w:val="11"/>
          <w:sz w:val="28"/>
          <w:szCs w:val="28"/>
          <w:highlight w:val="none"/>
        </w:rPr>
        <w:fldChar w:fldCharType="end"/>
      </w:r>
    </w:p>
    <w:p w14:paraId="65F3B67F">
      <w:pPr>
        <w:pStyle w:val="2"/>
        <w:pageBreakBefore w:val="0"/>
        <w:shd w:val="clear"/>
        <w:kinsoku/>
        <w:wordWrap w:val="0"/>
        <w:overflowPunct/>
        <w:topLinePunct w:val="0"/>
        <w:bidi w:val="0"/>
        <w:spacing w:line="480" w:lineRule="auto"/>
        <w:rPr>
          <w:rFonts w:ascii="宋体" w:hAnsi="宋体"/>
          <w:b w:val="0"/>
          <w:color w:val="auto"/>
          <w:sz w:val="24"/>
          <w:szCs w:val="24"/>
          <w:highlight w:val="none"/>
        </w:rPr>
        <w:sectPr>
          <w:headerReference r:id="rId5" w:type="default"/>
          <w:footerReference r:id="rId6" w:type="default"/>
          <w:pgSz w:w="11905" w:h="16838"/>
          <w:pgMar w:top="1304" w:right="1474" w:bottom="1304" w:left="1474" w:header="907" w:footer="964" w:gutter="0"/>
          <w:pgBorders>
            <w:top w:val="none" w:sz="0" w:space="0"/>
            <w:left w:val="none" w:sz="0" w:space="0"/>
            <w:bottom w:val="none" w:sz="0" w:space="0"/>
            <w:right w:val="none" w:sz="0" w:space="0"/>
          </w:pgBorders>
          <w:pgNumType w:start="1"/>
          <w:cols w:space="0" w:num="1"/>
          <w:rtlGutter w:val="0"/>
          <w:docGrid w:linePitch="312" w:charSpace="0"/>
        </w:sectPr>
      </w:pPr>
    </w:p>
    <w:p w14:paraId="1D0C46B6">
      <w:pPr>
        <w:pStyle w:val="2"/>
        <w:pageBreakBefore w:val="0"/>
        <w:shd w:val="clear"/>
        <w:kinsoku/>
        <w:wordWrap w:val="0"/>
        <w:overflowPunct/>
        <w:topLinePunct w:val="0"/>
        <w:bidi w:val="0"/>
        <w:spacing w:before="0" w:after="0" w:line="360" w:lineRule="auto"/>
        <w:rPr>
          <w:rFonts w:hint="eastAsia" w:ascii="创艺简标宋" w:hAnsi="宋体" w:eastAsia="宋体"/>
          <w:color w:val="auto"/>
          <w:sz w:val="44"/>
          <w:highlight w:val="none"/>
          <w:lang w:eastAsia="zh-CN"/>
        </w:rPr>
      </w:pPr>
      <w:bookmarkStart w:id="0" w:name="_Toc513370302"/>
      <w:bookmarkStart w:id="1" w:name="_Toc31234"/>
      <w:bookmarkStart w:id="2" w:name="_Toc16788"/>
      <w:r>
        <w:rPr>
          <w:rFonts w:hint="eastAsia"/>
          <w:color w:val="auto"/>
          <w:highlight w:val="none"/>
        </w:rPr>
        <w:t xml:space="preserve">第一章  </w:t>
      </w:r>
      <w:bookmarkEnd w:id="0"/>
      <w:bookmarkEnd w:id="1"/>
      <w:bookmarkEnd w:id="2"/>
      <w:r>
        <w:rPr>
          <w:rFonts w:hint="eastAsia"/>
          <w:color w:val="auto"/>
          <w:highlight w:val="none"/>
          <w:lang w:eastAsia="zh-CN"/>
        </w:rPr>
        <w:t>公开招标采购公告</w:t>
      </w:r>
    </w:p>
    <w:p w14:paraId="43941C38">
      <w:pPr>
        <w:pStyle w:val="244"/>
        <w:keepNext w:val="0"/>
        <w:keepLines w:val="0"/>
        <w:pageBreakBefore w:val="0"/>
        <w:shd w:val="clear"/>
        <w:kinsoku/>
        <w:wordWrap w:val="0"/>
        <w:overflowPunct/>
        <w:topLinePunct w:val="0"/>
        <w:bidi w:val="0"/>
        <w:adjustRightInd w:val="0"/>
        <w:snapToGrid w:val="0"/>
        <w:spacing w:afterLines="0" w:line="400" w:lineRule="exact"/>
        <w:ind w:left="0" w:firstLine="480" w:firstLineChars="200"/>
        <w:rPr>
          <w:rFonts w:ascii="宋体" w:hAnsi="宋体"/>
          <w:color w:val="auto"/>
          <w:szCs w:val="24"/>
          <w:highlight w:val="none"/>
        </w:rPr>
      </w:pPr>
      <w:r>
        <w:rPr>
          <w:rFonts w:hint="eastAsia" w:ascii="宋体" w:hAnsi="宋体"/>
          <w:color w:val="auto"/>
          <w:szCs w:val="24"/>
          <w:highlight w:val="none"/>
        </w:rPr>
        <w:t>嘉兴市华信工程咨询有限公司受</w:t>
      </w:r>
      <w:r>
        <w:rPr>
          <w:rFonts w:hint="eastAsia" w:ascii="宋体" w:hAnsi="宋体"/>
          <w:b/>
          <w:color w:val="auto"/>
          <w:szCs w:val="24"/>
          <w:highlight w:val="none"/>
          <w:lang w:eastAsia="zh-CN"/>
        </w:rPr>
        <w:t>浙江西塘旅游文化发展有限公司</w:t>
      </w:r>
      <w:r>
        <w:rPr>
          <w:rFonts w:hint="eastAsia" w:ascii="宋体" w:hAnsi="宋体"/>
          <w:color w:val="auto"/>
          <w:szCs w:val="24"/>
          <w:highlight w:val="none"/>
        </w:rPr>
        <w:t>委托，就</w:t>
      </w:r>
      <w:r>
        <w:rPr>
          <w:rFonts w:hint="eastAsia" w:ascii="宋体" w:hAnsi="宋体"/>
          <w:b/>
          <w:color w:val="auto"/>
          <w:szCs w:val="24"/>
          <w:highlight w:val="none"/>
          <w:lang w:eastAsia="zh-CN"/>
        </w:rPr>
        <w:t>西塘古镇智慧景区综合（票务）服务平台建设项目</w:t>
      </w:r>
      <w:r>
        <w:rPr>
          <w:rFonts w:ascii="宋体" w:hAnsi="宋体"/>
          <w:color w:val="auto"/>
          <w:szCs w:val="24"/>
          <w:highlight w:val="none"/>
        </w:rPr>
        <w:t>进行公开招标采购，</w:t>
      </w:r>
      <w:r>
        <w:rPr>
          <w:rFonts w:hint="eastAsia" w:ascii="宋体" w:hAnsi="宋体"/>
          <w:color w:val="auto"/>
          <w:szCs w:val="24"/>
          <w:highlight w:val="none"/>
        </w:rPr>
        <w:t>欢迎国内合格的投标人前来投标，现将有关事项公告如下：</w:t>
      </w:r>
    </w:p>
    <w:p w14:paraId="7ABBDA80">
      <w:pPr>
        <w:keepNext w:val="0"/>
        <w:keepLines w:val="0"/>
        <w:pageBreakBefore w:val="0"/>
        <w:numPr>
          <w:ilvl w:val="0"/>
          <w:numId w:val="2"/>
        </w:numPr>
        <w:shd w:val="clear"/>
        <w:kinsoku/>
        <w:wordWrap w:val="0"/>
        <w:overflowPunct/>
        <w:topLinePunct w:val="0"/>
        <w:bidi w:val="0"/>
        <w:adjustRightInd w:val="0"/>
        <w:snapToGrid w:val="0"/>
        <w:spacing w:line="400" w:lineRule="exact"/>
        <w:ind w:left="0" w:firstLine="482" w:firstLineChars="200"/>
        <w:rPr>
          <w:rFonts w:ascii="宋体" w:hAnsi="宋体" w:cs="Arial"/>
          <w:b/>
          <w:bCs/>
          <w:color w:val="auto"/>
          <w:sz w:val="24"/>
          <w:highlight w:val="none"/>
        </w:rPr>
      </w:pPr>
      <w:r>
        <w:rPr>
          <w:rFonts w:hint="eastAsia" w:ascii="宋体" w:hAnsi="宋体" w:cs="Arial"/>
          <w:b/>
          <w:bCs/>
          <w:color w:val="auto"/>
          <w:sz w:val="24"/>
          <w:highlight w:val="none"/>
        </w:rPr>
        <w:t>项目编号：</w:t>
      </w:r>
      <w:r>
        <w:rPr>
          <w:rFonts w:hint="eastAsia" w:ascii="宋体" w:hAnsi="宋体" w:cs="Arial"/>
          <w:b/>
          <w:bCs/>
          <w:color w:val="auto"/>
          <w:sz w:val="24"/>
          <w:highlight w:val="none"/>
          <w:lang w:eastAsia="zh-CN"/>
        </w:rPr>
        <w:t>2025（***）</w:t>
      </w:r>
    </w:p>
    <w:p w14:paraId="4D492E5D">
      <w:pPr>
        <w:keepNext w:val="0"/>
        <w:keepLines w:val="0"/>
        <w:pageBreakBefore w:val="0"/>
        <w:numPr>
          <w:ilvl w:val="0"/>
          <w:numId w:val="2"/>
        </w:numPr>
        <w:shd w:val="clear"/>
        <w:kinsoku/>
        <w:wordWrap w:val="0"/>
        <w:overflowPunct/>
        <w:topLinePunct w:val="0"/>
        <w:bidi w:val="0"/>
        <w:adjustRightInd w:val="0"/>
        <w:snapToGrid w:val="0"/>
        <w:spacing w:line="400" w:lineRule="exact"/>
        <w:ind w:left="0" w:firstLine="482" w:firstLineChars="200"/>
        <w:rPr>
          <w:rFonts w:ascii="宋体" w:hAnsi="宋体" w:cs="Arial"/>
          <w:b/>
          <w:bCs/>
          <w:color w:val="auto"/>
          <w:sz w:val="24"/>
          <w:highlight w:val="none"/>
        </w:rPr>
      </w:pPr>
      <w:r>
        <w:rPr>
          <w:rFonts w:hint="eastAsia" w:ascii="宋体" w:hAnsi="宋体" w:cs="Arial"/>
          <w:b/>
          <w:bCs/>
          <w:color w:val="auto"/>
          <w:sz w:val="24"/>
          <w:highlight w:val="none"/>
        </w:rPr>
        <w:t>采购方式：</w:t>
      </w:r>
      <w:r>
        <w:rPr>
          <w:rFonts w:hint="eastAsia" w:ascii="宋体" w:hAnsi="宋体" w:cs="Arial"/>
          <w:b/>
          <w:bCs/>
          <w:color w:val="auto"/>
          <w:sz w:val="24"/>
          <w:highlight w:val="none"/>
        </w:rPr>
        <w:t>公开招标</w:t>
      </w:r>
    </w:p>
    <w:p w14:paraId="5BDBEEDF">
      <w:pPr>
        <w:keepNext w:val="0"/>
        <w:keepLines w:val="0"/>
        <w:pageBreakBefore w:val="0"/>
        <w:numPr>
          <w:ilvl w:val="0"/>
          <w:numId w:val="2"/>
        </w:numPr>
        <w:shd w:val="clear"/>
        <w:kinsoku/>
        <w:wordWrap w:val="0"/>
        <w:overflowPunct/>
        <w:topLinePunct w:val="0"/>
        <w:bidi w:val="0"/>
        <w:adjustRightInd w:val="0"/>
        <w:snapToGrid w:val="0"/>
        <w:spacing w:line="400" w:lineRule="exact"/>
        <w:ind w:left="0" w:firstLine="482" w:firstLineChars="200"/>
        <w:jc w:val="left"/>
        <w:rPr>
          <w:rFonts w:ascii="宋体" w:hAnsi="宋体"/>
          <w:color w:val="auto"/>
          <w:sz w:val="24"/>
          <w:highlight w:val="none"/>
        </w:rPr>
      </w:pPr>
      <w:r>
        <w:rPr>
          <w:rFonts w:hint="eastAsia" w:ascii="宋体" w:hAnsi="宋体" w:cs="Arial"/>
          <w:b/>
          <w:bCs/>
          <w:color w:val="auto"/>
          <w:sz w:val="24"/>
          <w:highlight w:val="none"/>
        </w:rPr>
        <w:t>项目名称：</w:t>
      </w:r>
      <w:r>
        <w:rPr>
          <w:rFonts w:hint="eastAsia" w:ascii="宋体" w:hAnsi="宋体" w:cs="Arial"/>
          <w:b/>
          <w:bCs/>
          <w:color w:val="auto"/>
          <w:sz w:val="24"/>
          <w:highlight w:val="none"/>
          <w:lang w:eastAsia="zh-CN"/>
        </w:rPr>
        <w:t>西塘古镇智慧景区综合（票务）服务平台建设项目</w:t>
      </w:r>
    </w:p>
    <w:p w14:paraId="7B005430">
      <w:pPr>
        <w:keepNext w:val="0"/>
        <w:keepLines w:val="0"/>
        <w:pageBreakBefore w:val="0"/>
        <w:numPr>
          <w:ilvl w:val="0"/>
          <w:numId w:val="2"/>
        </w:numPr>
        <w:shd w:val="clear"/>
        <w:kinsoku/>
        <w:wordWrap w:val="0"/>
        <w:overflowPunct/>
        <w:topLinePunct w:val="0"/>
        <w:bidi w:val="0"/>
        <w:adjustRightInd w:val="0"/>
        <w:snapToGrid w:val="0"/>
        <w:spacing w:line="400" w:lineRule="exact"/>
        <w:ind w:left="0" w:firstLine="482" w:firstLineChars="200"/>
        <w:jc w:val="left"/>
        <w:rPr>
          <w:rFonts w:ascii="宋体" w:hAnsi="宋体"/>
          <w:color w:val="auto"/>
          <w:sz w:val="24"/>
          <w:highlight w:val="none"/>
        </w:rPr>
      </w:pPr>
      <w:r>
        <w:rPr>
          <w:rFonts w:hint="eastAsia" w:ascii="宋体" w:hAnsi="宋体" w:cs="Arial"/>
          <w:b/>
          <w:bCs/>
          <w:color w:val="auto"/>
          <w:sz w:val="24"/>
          <w:highlight w:val="none"/>
        </w:rPr>
        <w:t>招标采购内容：</w:t>
      </w:r>
    </w:p>
    <w:p w14:paraId="5CBD146B">
      <w:pPr>
        <w:keepNext w:val="0"/>
        <w:keepLines w:val="0"/>
        <w:pageBreakBefore w:val="0"/>
        <w:widowControl w:val="0"/>
        <w:numPr>
          <w:ilvl w:val="0"/>
          <w:numId w:val="3"/>
        </w:numPr>
        <w:shd w:val="clear"/>
        <w:kinsoku/>
        <w:wordWrap w:val="0"/>
        <w:overflowPunct/>
        <w:topLinePunct w:val="0"/>
        <w:autoSpaceDE/>
        <w:autoSpaceDN/>
        <w:bidi w:val="0"/>
        <w:adjustRightInd w:val="0"/>
        <w:snapToGrid w:val="0"/>
        <w:spacing w:line="400" w:lineRule="exact"/>
        <w:ind w:left="0" w:leftChars="0" w:firstLine="480" w:firstLineChars="200"/>
        <w:jc w:val="left"/>
        <w:textAlignment w:val="auto"/>
        <w:rPr>
          <w:rFonts w:hint="eastAsia" w:ascii="宋体" w:hAnsi="宋体" w:cs="宋体"/>
          <w:color w:val="auto"/>
          <w:sz w:val="24"/>
          <w:highlight w:val="none"/>
          <w:lang w:eastAsia="zh-CN"/>
        </w:rPr>
      </w:pPr>
      <w:r>
        <w:rPr>
          <w:rFonts w:hint="eastAsia" w:ascii="宋体" w:hAnsi="宋体" w:eastAsia="宋体" w:cs="宋体"/>
          <w:color w:val="auto"/>
          <w:sz w:val="24"/>
          <w:szCs w:val="24"/>
          <w:highlight w:val="none"/>
        </w:rPr>
        <w:t>采购内容：</w:t>
      </w:r>
      <w:r>
        <w:rPr>
          <w:rFonts w:hint="eastAsia" w:ascii="宋体" w:hAnsi="宋体" w:cs="宋体"/>
          <w:color w:val="auto"/>
          <w:sz w:val="24"/>
          <w:szCs w:val="24"/>
          <w:highlight w:val="none"/>
          <w:lang w:val="en-US" w:eastAsia="zh-CN"/>
        </w:rPr>
        <w:t>西塘古镇景区现有票务系统已无法满足正常运行要求，在原票务系统基础上进行门禁闸机等设备更换、智慧景区（票务）管理平台升级，实现运行达标要求。</w:t>
      </w:r>
    </w:p>
    <w:p w14:paraId="268A3B13">
      <w:pPr>
        <w:keepNext w:val="0"/>
        <w:keepLines w:val="0"/>
        <w:pageBreakBefore w:val="0"/>
        <w:widowControl w:val="0"/>
        <w:numPr>
          <w:ilvl w:val="0"/>
          <w:numId w:val="3"/>
        </w:numPr>
        <w:shd w:val="clear"/>
        <w:kinsoku/>
        <w:wordWrap w:val="0"/>
        <w:overflowPunct/>
        <w:topLinePunct w:val="0"/>
        <w:autoSpaceDE/>
        <w:autoSpaceDN/>
        <w:bidi w:val="0"/>
        <w:adjustRightInd w:val="0"/>
        <w:snapToGrid w:val="0"/>
        <w:spacing w:line="400" w:lineRule="exact"/>
        <w:ind w:left="0" w:lef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Arial"/>
          <w:b w:val="0"/>
          <w:bCs w:val="0"/>
          <w:i w:val="0"/>
          <w:iCs w:val="0"/>
          <w:color w:val="auto"/>
          <w:sz w:val="24"/>
          <w:highlight w:val="none"/>
          <w:lang w:eastAsia="zh-CN"/>
        </w:rPr>
        <w:t>工期</w:t>
      </w:r>
      <w:r>
        <w:rPr>
          <w:rFonts w:hint="eastAsia" w:ascii="宋体" w:hAnsi="宋体" w:cs="Arial"/>
          <w:b w:val="0"/>
          <w:bCs w:val="0"/>
          <w:i w:val="0"/>
          <w:iCs w:val="0"/>
          <w:color w:val="auto"/>
          <w:sz w:val="24"/>
          <w:highlight w:val="none"/>
        </w:rPr>
        <w:t>：</w:t>
      </w:r>
      <w:r>
        <w:rPr>
          <w:rFonts w:hint="eastAsia" w:ascii="宋体" w:hAnsi="宋体" w:cs="宋体"/>
          <w:color w:val="auto"/>
          <w:sz w:val="24"/>
          <w:szCs w:val="24"/>
          <w:highlight w:val="none"/>
          <w:lang w:val="en-US" w:eastAsia="zh-CN"/>
        </w:rPr>
        <w:t>4个月（建设期3个月，试运行期1个月）。</w:t>
      </w:r>
    </w:p>
    <w:p w14:paraId="54BC2B5D">
      <w:pPr>
        <w:keepNext w:val="0"/>
        <w:keepLines w:val="0"/>
        <w:pageBreakBefore w:val="0"/>
        <w:widowControl w:val="0"/>
        <w:numPr>
          <w:ilvl w:val="0"/>
          <w:numId w:val="3"/>
        </w:numPr>
        <w:shd w:val="clear"/>
        <w:kinsoku/>
        <w:wordWrap w:val="0"/>
        <w:overflowPunct/>
        <w:topLinePunct w:val="0"/>
        <w:autoSpaceDE/>
        <w:autoSpaceDN/>
        <w:bidi w:val="0"/>
        <w:adjustRightInd w:val="0"/>
        <w:snapToGrid w:val="0"/>
        <w:spacing w:line="400" w:lineRule="exact"/>
        <w:ind w:left="0" w:leftChars="0" w:firstLine="480" w:firstLineChars="200"/>
        <w:jc w:val="left"/>
        <w:textAlignment w:val="auto"/>
        <w:rPr>
          <w:rFonts w:ascii="宋体" w:hAnsi="宋体" w:cs="Arial"/>
          <w:b w:val="0"/>
          <w:bCs w:val="0"/>
          <w:i w:val="0"/>
          <w:iCs w:val="0"/>
          <w:color w:val="auto"/>
          <w:sz w:val="24"/>
          <w:highlight w:val="none"/>
        </w:rPr>
      </w:pPr>
      <w:r>
        <w:rPr>
          <w:rFonts w:hint="eastAsia" w:ascii="宋体" w:hAnsi="宋体" w:cs="Arial"/>
          <w:b w:val="0"/>
          <w:bCs w:val="0"/>
          <w:i w:val="0"/>
          <w:iCs w:val="0"/>
          <w:color w:val="auto"/>
          <w:sz w:val="24"/>
          <w:highlight w:val="none"/>
        </w:rPr>
        <w:t>预算金额</w:t>
      </w:r>
      <w:r>
        <w:rPr>
          <w:rFonts w:hint="eastAsia" w:ascii="宋体" w:hAnsi="宋体" w:cs="Arial"/>
          <w:b w:val="0"/>
          <w:bCs w:val="0"/>
          <w:i w:val="0"/>
          <w:iCs w:val="0"/>
          <w:color w:val="auto"/>
          <w:sz w:val="24"/>
          <w:highlight w:val="none"/>
          <w:lang w:eastAsia="zh-CN"/>
        </w:rPr>
        <w:t>（最高投标限价）</w:t>
      </w:r>
      <w:r>
        <w:rPr>
          <w:rFonts w:hint="eastAsia" w:ascii="宋体" w:hAnsi="宋体" w:cs="Arial"/>
          <w:b w:val="0"/>
          <w:bCs w:val="0"/>
          <w:i w:val="0"/>
          <w:iCs w:val="0"/>
          <w:color w:val="auto"/>
          <w:sz w:val="24"/>
          <w:highlight w:val="none"/>
        </w:rPr>
        <w:t>：</w:t>
      </w:r>
      <w:r>
        <w:rPr>
          <w:rFonts w:hint="eastAsia" w:ascii="宋体" w:hAnsi="宋体" w:cs="Arial"/>
          <w:b w:val="0"/>
          <w:bCs w:val="0"/>
          <w:i w:val="0"/>
          <w:iCs w:val="0"/>
          <w:color w:val="auto"/>
          <w:sz w:val="24"/>
          <w:highlight w:val="none"/>
          <w:lang w:val="en-US" w:eastAsia="zh-CN"/>
        </w:rPr>
        <w:t>***万元。</w:t>
      </w:r>
    </w:p>
    <w:p w14:paraId="62DFF57F">
      <w:pPr>
        <w:keepNext w:val="0"/>
        <w:keepLines w:val="0"/>
        <w:pageBreakBefore w:val="0"/>
        <w:numPr>
          <w:ilvl w:val="0"/>
          <w:numId w:val="2"/>
        </w:numPr>
        <w:shd w:val="clear"/>
        <w:kinsoku/>
        <w:wordWrap w:val="0"/>
        <w:overflowPunct/>
        <w:topLinePunct w:val="0"/>
        <w:bidi w:val="0"/>
        <w:adjustRightInd w:val="0"/>
        <w:snapToGrid w:val="0"/>
        <w:spacing w:line="400" w:lineRule="exact"/>
        <w:ind w:left="0" w:firstLine="482" w:firstLineChars="200"/>
        <w:jc w:val="left"/>
        <w:rPr>
          <w:rFonts w:ascii="宋体" w:hAnsi="宋体" w:cs="Arial"/>
          <w:b/>
          <w:bCs/>
          <w:color w:val="auto"/>
          <w:sz w:val="24"/>
          <w:highlight w:val="none"/>
        </w:rPr>
      </w:pPr>
      <w:r>
        <w:rPr>
          <w:rFonts w:hint="eastAsia" w:ascii="宋体" w:hAnsi="宋体" w:cs="Arial"/>
          <w:b/>
          <w:bCs/>
          <w:color w:val="auto"/>
          <w:sz w:val="24"/>
          <w:highlight w:val="none"/>
        </w:rPr>
        <w:t>合格投标人的资格要求</w:t>
      </w:r>
    </w:p>
    <w:p w14:paraId="04BD7032">
      <w:pPr>
        <w:pStyle w:val="98"/>
        <w:keepNext w:val="0"/>
        <w:keepLines w:val="0"/>
        <w:pageBreakBefore w:val="0"/>
        <w:numPr>
          <w:ilvl w:val="3"/>
          <w:numId w:val="4"/>
        </w:numPr>
        <w:shd w:val="clear"/>
        <w:tabs>
          <w:tab w:val="left" w:pos="851"/>
        </w:tabs>
        <w:kinsoku/>
        <w:wordWrap w:val="0"/>
        <w:overflowPunct/>
        <w:topLinePunct w:val="0"/>
        <w:bidi w:val="0"/>
        <w:adjustRightInd w:val="0"/>
        <w:snapToGrid w:val="0"/>
        <w:spacing w:line="400" w:lineRule="exact"/>
        <w:ind w:left="0" w:firstLine="480" w:firstLineChars="200"/>
        <w:rPr>
          <w:rFonts w:hint="eastAsia" w:ascii="宋体" w:hAnsi="宋体" w:eastAsia="宋体" w:cs="Arial"/>
          <w:color w:val="auto"/>
          <w:highlight w:val="none"/>
          <w:lang w:val="en-US" w:eastAsia="zh-CN"/>
        </w:rPr>
      </w:pPr>
      <w:bookmarkStart w:id="3" w:name="资格条件1"/>
      <w:r>
        <w:rPr>
          <w:rFonts w:hint="eastAsia" w:ascii="宋体" w:hAnsi="宋体" w:eastAsia="宋体" w:cs="Arial"/>
          <w:color w:val="auto"/>
          <w:highlight w:val="none"/>
          <w:lang w:val="en-US" w:eastAsia="zh-CN"/>
        </w:rPr>
        <w:t>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w:t>
      </w:r>
    </w:p>
    <w:p w14:paraId="5B9E5C08">
      <w:pPr>
        <w:pStyle w:val="98"/>
        <w:keepNext w:val="0"/>
        <w:keepLines w:val="0"/>
        <w:pageBreakBefore w:val="0"/>
        <w:numPr>
          <w:ilvl w:val="3"/>
          <w:numId w:val="4"/>
        </w:numPr>
        <w:shd w:val="clear"/>
        <w:tabs>
          <w:tab w:val="left" w:pos="851"/>
        </w:tabs>
        <w:kinsoku/>
        <w:wordWrap w:val="0"/>
        <w:overflowPunct/>
        <w:topLinePunct w:val="0"/>
        <w:bidi w:val="0"/>
        <w:adjustRightInd w:val="0"/>
        <w:snapToGrid w:val="0"/>
        <w:spacing w:line="400" w:lineRule="exact"/>
        <w:ind w:left="0" w:firstLine="480" w:firstLineChars="200"/>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信用要求：①未被“信用中国”网站（www.creditchina.gov.cn）列入严重失信主体名单；②未被国家企业信用信息公示系统（http://www.gsxt.gov.cn/）列入严重违法失信名单（黑名单）信息；③未被“中国执行信息公开网”网站（http://zxgk.court.gov.cn/）列入失信被执行人；④投标人或法定代表人自2022年1月1日以来在中国裁判文书网（https：//wenshu.court.gov.cn/）上没有行贿犯罪记录情况（以行贿罪判决为准）。</w:t>
      </w:r>
    </w:p>
    <w:p w14:paraId="3F9744A6">
      <w:pPr>
        <w:pStyle w:val="98"/>
        <w:keepNext w:val="0"/>
        <w:keepLines w:val="0"/>
        <w:pageBreakBefore w:val="0"/>
        <w:numPr>
          <w:ilvl w:val="3"/>
          <w:numId w:val="4"/>
        </w:numPr>
        <w:shd w:val="clear"/>
        <w:tabs>
          <w:tab w:val="left" w:pos="851"/>
        </w:tabs>
        <w:kinsoku/>
        <w:wordWrap w:val="0"/>
        <w:overflowPunct/>
        <w:topLinePunct w:val="0"/>
        <w:bidi w:val="0"/>
        <w:adjustRightInd w:val="0"/>
        <w:snapToGrid w:val="0"/>
        <w:spacing w:line="400" w:lineRule="exact"/>
        <w:ind w:left="0" w:firstLine="480" w:firstLineChars="200"/>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本项目的特定资格要求：无。</w:t>
      </w:r>
    </w:p>
    <w:p w14:paraId="0D38C27D">
      <w:pPr>
        <w:pStyle w:val="98"/>
        <w:keepNext w:val="0"/>
        <w:keepLines w:val="0"/>
        <w:pageBreakBefore w:val="0"/>
        <w:numPr>
          <w:ilvl w:val="3"/>
          <w:numId w:val="4"/>
        </w:numPr>
        <w:shd w:val="clear"/>
        <w:tabs>
          <w:tab w:val="left" w:pos="851"/>
        </w:tabs>
        <w:kinsoku/>
        <w:wordWrap w:val="0"/>
        <w:overflowPunct/>
        <w:topLinePunct w:val="0"/>
        <w:bidi w:val="0"/>
        <w:adjustRightInd w:val="0"/>
        <w:snapToGrid w:val="0"/>
        <w:spacing w:line="400" w:lineRule="exact"/>
        <w:ind w:left="0" w:firstLine="480" w:firstLineChars="200"/>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不允许联合体投标。</w:t>
      </w:r>
    </w:p>
    <w:bookmarkEnd w:id="3"/>
    <w:p w14:paraId="6C4820DA">
      <w:pPr>
        <w:keepNext w:val="0"/>
        <w:keepLines w:val="0"/>
        <w:pageBreakBefore w:val="0"/>
        <w:widowControl w:val="0"/>
        <w:numPr>
          <w:ilvl w:val="0"/>
          <w:numId w:val="2"/>
        </w:numPr>
        <w:shd w:val="clear"/>
        <w:kinsoku/>
        <w:wordWrap w:val="0"/>
        <w:overflowPunct/>
        <w:topLinePunct w:val="0"/>
        <w:autoSpaceDE/>
        <w:autoSpaceDN/>
        <w:bidi w:val="0"/>
        <w:adjustRightInd w:val="0"/>
        <w:snapToGrid w:val="0"/>
        <w:spacing w:line="400" w:lineRule="exact"/>
        <w:ind w:left="0" w:firstLine="482" w:firstLineChars="200"/>
        <w:jc w:val="left"/>
        <w:textAlignment w:val="auto"/>
        <w:rPr>
          <w:rFonts w:ascii="宋体" w:hAnsi="宋体" w:cs="Arial"/>
          <w:b/>
          <w:bCs/>
          <w:color w:val="auto"/>
          <w:sz w:val="24"/>
          <w:highlight w:val="none"/>
        </w:rPr>
      </w:pPr>
      <w:r>
        <w:rPr>
          <w:rFonts w:hint="eastAsia" w:ascii="宋体" w:hAnsi="宋体" w:cs="Arial"/>
          <w:b/>
          <w:bCs/>
          <w:color w:val="auto"/>
          <w:sz w:val="24"/>
          <w:highlight w:val="none"/>
        </w:rPr>
        <w:t>招标文件的获取：</w:t>
      </w:r>
    </w:p>
    <w:p w14:paraId="037D30CB">
      <w:pPr>
        <w:pStyle w:val="84"/>
        <w:keepNext w:val="0"/>
        <w:keepLines w:val="0"/>
        <w:pageBreakBefore w:val="0"/>
        <w:numPr>
          <w:ilvl w:val="0"/>
          <w:numId w:val="5"/>
        </w:numPr>
        <w:shd w:val="clear" w:color="auto"/>
        <w:kinsoku/>
        <w:wordWrap w:val="0"/>
        <w:overflowPunct/>
        <w:topLinePunct w:val="0"/>
        <w:bidi w:val="0"/>
        <w:adjustRightInd w:val="0"/>
        <w:snapToGrid w:val="0"/>
        <w:spacing w:line="400" w:lineRule="exact"/>
        <w:ind w:left="0" w:firstLine="480" w:firstLineChars="200"/>
        <w:rPr>
          <w:rFonts w:ascii="宋体" w:hAnsi="宋体" w:cs="Arial"/>
          <w:bCs/>
          <w:color w:val="auto"/>
          <w:highlight w:val="none"/>
        </w:rPr>
      </w:pPr>
      <w:r>
        <w:rPr>
          <w:rFonts w:hint="eastAsia" w:ascii="宋体" w:hAnsi="宋体" w:cs="Arial"/>
          <w:bCs/>
          <w:color w:val="auto"/>
          <w:highlight w:val="none"/>
        </w:rPr>
        <w:t>获取时间：</w:t>
      </w:r>
      <w:r>
        <w:rPr>
          <w:rFonts w:hint="eastAsia" w:ascii="宋体" w:hAnsi="宋体" w:cs="Arial"/>
          <w:color w:val="auto"/>
          <w:highlight w:val="none"/>
          <w:lang w:eastAsia="zh-CN"/>
        </w:rPr>
        <w:t>202</w:t>
      </w:r>
      <w:r>
        <w:rPr>
          <w:rFonts w:hint="eastAsia" w:ascii="宋体" w:hAnsi="宋体" w:cs="Arial"/>
          <w:color w:val="auto"/>
          <w:highlight w:val="none"/>
          <w:lang w:val="en-US" w:eastAsia="zh-CN"/>
        </w:rPr>
        <w:t>5</w:t>
      </w:r>
      <w:r>
        <w:rPr>
          <w:rFonts w:hint="eastAsia" w:ascii="宋体" w:hAnsi="宋体" w:cs="Arial"/>
          <w:color w:val="auto"/>
          <w:highlight w:val="none"/>
          <w:lang w:eastAsia="zh-CN"/>
        </w:rPr>
        <w:t>年</w:t>
      </w:r>
      <w:r>
        <w:rPr>
          <w:rFonts w:hint="eastAsia" w:ascii="宋体" w:hAnsi="宋体" w:cs="Arial"/>
          <w:color w:val="auto"/>
          <w:highlight w:val="none"/>
          <w:lang w:val="en-US" w:eastAsia="zh-CN"/>
        </w:rPr>
        <w:t>**</w:t>
      </w:r>
      <w:r>
        <w:rPr>
          <w:rFonts w:hint="eastAsia" w:ascii="宋体" w:hAnsi="宋体" w:cs="Arial"/>
          <w:color w:val="auto"/>
          <w:highlight w:val="none"/>
          <w:lang w:eastAsia="zh-CN"/>
        </w:rPr>
        <w:t>月</w:t>
      </w:r>
      <w:r>
        <w:rPr>
          <w:rFonts w:hint="eastAsia" w:ascii="宋体" w:hAnsi="宋体" w:cs="Arial"/>
          <w:color w:val="auto"/>
          <w:highlight w:val="none"/>
          <w:lang w:val="en-US" w:eastAsia="zh-CN"/>
        </w:rPr>
        <w:t>**</w:t>
      </w:r>
      <w:r>
        <w:rPr>
          <w:rFonts w:hint="eastAsia" w:ascii="宋体" w:hAnsi="宋体" w:cs="Arial"/>
          <w:color w:val="auto"/>
          <w:highlight w:val="none"/>
          <w:lang w:eastAsia="zh-CN"/>
        </w:rPr>
        <w:t>日至202</w:t>
      </w:r>
      <w:r>
        <w:rPr>
          <w:rFonts w:hint="eastAsia" w:ascii="宋体" w:hAnsi="宋体" w:cs="Arial"/>
          <w:color w:val="auto"/>
          <w:highlight w:val="none"/>
          <w:lang w:val="en-US" w:eastAsia="zh-CN"/>
        </w:rPr>
        <w:t>5</w:t>
      </w:r>
      <w:r>
        <w:rPr>
          <w:rFonts w:hint="eastAsia" w:ascii="宋体" w:hAnsi="宋体" w:cs="Arial"/>
          <w:color w:val="auto"/>
          <w:highlight w:val="none"/>
          <w:lang w:eastAsia="zh-CN"/>
        </w:rPr>
        <w:t>年</w:t>
      </w:r>
      <w:r>
        <w:rPr>
          <w:rFonts w:hint="eastAsia" w:ascii="宋体" w:hAnsi="宋体" w:cs="Arial"/>
          <w:color w:val="auto"/>
          <w:highlight w:val="none"/>
          <w:lang w:val="en-US" w:eastAsia="zh-CN"/>
        </w:rPr>
        <w:t>**</w:t>
      </w:r>
      <w:r>
        <w:rPr>
          <w:rFonts w:hint="eastAsia" w:ascii="宋体" w:hAnsi="宋体" w:cs="Arial"/>
          <w:color w:val="auto"/>
          <w:highlight w:val="none"/>
          <w:lang w:eastAsia="zh-CN"/>
        </w:rPr>
        <w:t>月</w:t>
      </w:r>
      <w:r>
        <w:rPr>
          <w:rFonts w:hint="eastAsia" w:ascii="宋体" w:hAnsi="宋体" w:cs="Arial"/>
          <w:color w:val="auto"/>
          <w:highlight w:val="none"/>
          <w:lang w:val="en-US" w:eastAsia="zh-CN"/>
        </w:rPr>
        <w:t>**</w:t>
      </w:r>
      <w:r>
        <w:rPr>
          <w:rFonts w:hint="eastAsia" w:ascii="宋体" w:hAnsi="宋体" w:cs="Arial"/>
          <w:color w:val="auto"/>
          <w:highlight w:val="none"/>
          <w:lang w:eastAsia="zh-CN"/>
        </w:rPr>
        <w:t>日</w:t>
      </w:r>
      <w:r>
        <w:rPr>
          <w:rFonts w:hint="eastAsia" w:ascii="宋体" w:hAnsi="宋体" w:cs="Arial"/>
          <w:color w:val="auto"/>
          <w:highlight w:val="none"/>
          <w:lang w:eastAsia="zh-CN"/>
        </w:rPr>
        <w:t>（</w:t>
      </w:r>
      <w:r>
        <w:rPr>
          <w:rFonts w:hint="eastAsia" w:ascii="宋体" w:hAnsi="宋体" w:cs="Arial"/>
          <w:color w:val="auto"/>
          <w:highlight w:val="none"/>
        </w:rPr>
        <w:t>双休日及法定节假日除</w:t>
      </w:r>
      <w:r>
        <w:rPr>
          <w:rFonts w:hint="eastAsia" w:ascii="宋体" w:hAnsi="宋体" w:cs="Arial"/>
          <w:bCs/>
          <w:color w:val="auto"/>
          <w:highlight w:val="none"/>
        </w:rPr>
        <w:t>外</w:t>
      </w:r>
      <w:r>
        <w:rPr>
          <w:rFonts w:hint="eastAsia" w:ascii="宋体" w:hAnsi="宋体" w:cs="Arial"/>
          <w:bCs/>
          <w:color w:val="auto"/>
          <w:highlight w:val="none"/>
          <w:lang w:eastAsia="zh-CN"/>
        </w:rPr>
        <w:t>）</w:t>
      </w:r>
      <w:r>
        <w:rPr>
          <w:rFonts w:hint="eastAsia" w:ascii="宋体" w:hAnsi="宋体" w:cs="Arial"/>
          <w:bCs/>
          <w:color w:val="auto"/>
          <w:highlight w:val="none"/>
        </w:rPr>
        <w:t>，工作时间：上午：8</w:t>
      </w:r>
      <w:r>
        <w:rPr>
          <w:rFonts w:hint="eastAsia" w:ascii="宋体" w:hAnsi="宋体" w:cs="Arial"/>
          <w:bCs/>
          <w:color w:val="auto"/>
          <w:highlight w:val="none"/>
          <w:lang w:eastAsia="zh-CN"/>
        </w:rPr>
        <w:t>：</w:t>
      </w:r>
      <w:r>
        <w:rPr>
          <w:rFonts w:hint="eastAsia" w:ascii="宋体" w:hAnsi="宋体" w:cs="Arial"/>
          <w:bCs/>
          <w:color w:val="auto"/>
          <w:highlight w:val="none"/>
        </w:rPr>
        <w:t>30-11</w:t>
      </w:r>
      <w:r>
        <w:rPr>
          <w:rFonts w:hint="eastAsia" w:ascii="宋体" w:hAnsi="宋体" w:cs="Arial"/>
          <w:bCs/>
          <w:color w:val="auto"/>
          <w:highlight w:val="none"/>
          <w:lang w:eastAsia="zh-CN"/>
        </w:rPr>
        <w:t>：</w:t>
      </w:r>
      <w:r>
        <w:rPr>
          <w:rFonts w:hint="eastAsia" w:ascii="宋体" w:hAnsi="宋体" w:cs="Arial"/>
          <w:bCs/>
          <w:color w:val="auto"/>
          <w:highlight w:val="none"/>
        </w:rPr>
        <w:t>30；下午：2</w:t>
      </w:r>
      <w:r>
        <w:rPr>
          <w:rFonts w:hint="eastAsia" w:ascii="宋体" w:hAnsi="宋体" w:cs="Arial"/>
          <w:bCs/>
          <w:color w:val="auto"/>
          <w:highlight w:val="none"/>
          <w:lang w:eastAsia="zh-CN"/>
        </w:rPr>
        <w:t>：</w:t>
      </w:r>
      <w:r>
        <w:rPr>
          <w:rFonts w:hint="eastAsia" w:ascii="宋体" w:hAnsi="宋体" w:cs="Arial"/>
          <w:bCs/>
          <w:color w:val="auto"/>
          <w:highlight w:val="none"/>
        </w:rPr>
        <w:t>00-5</w:t>
      </w:r>
      <w:r>
        <w:rPr>
          <w:rFonts w:hint="eastAsia" w:ascii="宋体" w:hAnsi="宋体" w:cs="Arial"/>
          <w:bCs/>
          <w:color w:val="auto"/>
          <w:highlight w:val="none"/>
          <w:lang w:eastAsia="zh-CN"/>
        </w:rPr>
        <w:t>：</w:t>
      </w:r>
      <w:r>
        <w:rPr>
          <w:rFonts w:hint="eastAsia" w:ascii="宋体" w:hAnsi="宋体" w:cs="Arial"/>
          <w:bCs/>
          <w:color w:val="auto"/>
          <w:highlight w:val="none"/>
        </w:rPr>
        <w:t>00</w:t>
      </w:r>
    </w:p>
    <w:p w14:paraId="16BD7E8C">
      <w:pPr>
        <w:pStyle w:val="84"/>
        <w:keepNext w:val="0"/>
        <w:keepLines w:val="0"/>
        <w:pageBreakBefore w:val="0"/>
        <w:numPr>
          <w:ilvl w:val="0"/>
          <w:numId w:val="5"/>
        </w:numPr>
        <w:shd w:val="clear" w:color="auto"/>
        <w:kinsoku/>
        <w:wordWrap w:val="0"/>
        <w:overflowPunct/>
        <w:topLinePunct w:val="0"/>
        <w:bidi w:val="0"/>
        <w:adjustRightInd w:val="0"/>
        <w:snapToGrid w:val="0"/>
        <w:spacing w:line="400" w:lineRule="exact"/>
        <w:ind w:left="0" w:firstLine="480" w:firstLineChars="200"/>
        <w:rPr>
          <w:rFonts w:ascii="宋体" w:hAnsi="宋体" w:cs="Arial"/>
          <w:bCs/>
          <w:color w:val="auto"/>
          <w:highlight w:val="none"/>
        </w:rPr>
      </w:pPr>
      <w:r>
        <w:rPr>
          <w:rFonts w:hint="eastAsia" w:ascii="宋体" w:hAnsi="宋体" w:cs="Arial"/>
          <w:bCs/>
          <w:color w:val="auto"/>
          <w:highlight w:val="none"/>
        </w:rPr>
        <w:t>获取地点</w:t>
      </w:r>
      <w:r>
        <w:rPr>
          <w:rFonts w:hint="eastAsia" w:ascii="宋体" w:hAnsi="宋体" w:cs="Arial"/>
          <w:bCs/>
          <w:color w:val="auto"/>
          <w:highlight w:val="none"/>
        </w:rPr>
        <w:t>：嘉善县罗星街道人民大道1018号时代广场14楼</w:t>
      </w:r>
      <w:r>
        <w:rPr>
          <w:rFonts w:hint="eastAsia" w:ascii="宋体" w:hAnsi="宋体" w:cs="Arial"/>
          <w:bCs/>
          <w:color w:val="auto"/>
          <w:highlight w:val="none"/>
          <w:lang w:eastAsia="zh-CN"/>
        </w:rPr>
        <w:t>财务室</w:t>
      </w:r>
    </w:p>
    <w:p w14:paraId="6394B014">
      <w:pPr>
        <w:pStyle w:val="84"/>
        <w:keepNext w:val="0"/>
        <w:keepLines w:val="0"/>
        <w:pageBreakBefore w:val="0"/>
        <w:numPr>
          <w:ilvl w:val="0"/>
          <w:numId w:val="5"/>
        </w:numPr>
        <w:shd w:val="clear" w:color="auto"/>
        <w:kinsoku/>
        <w:wordWrap w:val="0"/>
        <w:overflowPunct/>
        <w:topLinePunct w:val="0"/>
        <w:bidi w:val="0"/>
        <w:adjustRightInd w:val="0"/>
        <w:snapToGrid w:val="0"/>
        <w:spacing w:line="400" w:lineRule="exact"/>
        <w:ind w:left="0" w:firstLine="480" w:firstLineChars="200"/>
        <w:rPr>
          <w:rFonts w:ascii="宋体" w:hAnsi="宋体" w:cs="Arial"/>
          <w:bCs/>
          <w:color w:val="auto"/>
          <w:highlight w:val="none"/>
        </w:rPr>
      </w:pPr>
      <w:r>
        <w:rPr>
          <w:rFonts w:hint="eastAsia" w:ascii="宋体" w:hAnsi="宋体" w:cs="Arial"/>
          <w:bCs/>
          <w:color w:val="auto"/>
          <w:highlight w:val="none"/>
        </w:rPr>
        <w:t>招标文件费</w:t>
      </w:r>
      <w:r>
        <w:rPr>
          <w:rFonts w:hint="eastAsia" w:ascii="宋体" w:hAnsi="宋体" w:cs="Arial"/>
          <w:bCs/>
          <w:color w:val="auto"/>
          <w:highlight w:val="none"/>
          <w:lang w:eastAsia="zh-CN"/>
        </w:rPr>
        <w:t>（</w:t>
      </w:r>
      <w:r>
        <w:rPr>
          <w:rFonts w:hint="eastAsia" w:ascii="宋体" w:hAnsi="宋体" w:cs="Arial"/>
          <w:bCs/>
          <w:color w:val="auto"/>
          <w:highlight w:val="none"/>
        </w:rPr>
        <w:t>元</w:t>
      </w:r>
      <w:r>
        <w:rPr>
          <w:rFonts w:hint="eastAsia" w:ascii="宋体" w:hAnsi="宋体" w:cs="Arial"/>
          <w:bCs/>
          <w:color w:val="auto"/>
          <w:highlight w:val="none"/>
          <w:lang w:eastAsia="zh-CN"/>
        </w:rPr>
        <w:t>）</w:t>
      </w:r>
      <w:r>
        <w:rPr>
          <w:rFonts w:hint="eastAsia" w:ascii="宋体" w:hAnsi="宋体" w:cs="Arial"/>
          <w:bCs/>
          <w:color w:val="auto"/>
          <w:highlight w:val="none"/>
        </w:rPr>
        <w:t>：人民币伍佰元整（售后不退），</w:t>
      </w:r>
      <w:r>
        <w:rPr>
          <w:rFonts w:hint="eastAsia" w:ascii="宋体" w:hAnsi="宋体" w:cs="Arial"/>
          <w:bCs/>
          <w:color w:val="auto"/>
          <w:highlight w:val="none"/>
          <w:lang w:eastAsia="zh-CN"/>
        </w:rPr>
        <w:t>可</w:t>
      </w:r>
      <w:r>
        <w:rPr>
          <w:rFonts w:hint="eastAsia" w:ascii="宋体" w:hAnsi="宋体" w:cs="Arial"/>
          <w:bCs/>
          <w:color w:val="auto"/>
          <w:highlight w:val="none"/>
        </w:rPr>
        <w:t>转入以下账号并备注投标单位名称及项目名称：</w:t>
      </w:r>
    </w:p>
    <w:p w14:paraId="725EF9EA">
      <w:pPr>
        <w:pStyle w:val="84"/>
        <w:keepNext w:val="0"/>
        <w:keepLines w:val="0"/>
        <w:pageBreakBefore w:val="0"/>
        <w:shd w:val="clear" w:color="auto"/>
        <w:kinsoku/>
        <w:wordWrap w:val="0"/>
        <w:overflowPunct/>
        <w:topLinePunct w:val="0"/>
        <w:bidi w:val="0"/>
        <w:adjustRightInd w:val="0"/>
        <w:snapToGrid w:val="0"/>
        <w:spacing w:line="400" w:lineRule="exact"/>
        <w:ind w:left="0" w:firstLine="480" w:firstLineChars="200"/>
        <w:rPr>
          <w:rFonts w:ascii="宋体" w:hAnsi="宋体" w:cs="Arial"/>
          <w:bCs/>
          <w:color w:val="auto"/>
          <w:highlight w:val="none"/>
        </w:rPr>
      </w:pPr>
      <w:r>
        <w:rPr>
          <w:rFonts w:hint="eastAsia" w:ascii="宋体" w:hAnsi="宋体" w:cs="Arial"/>
          <w:bCs/>
          <w:color w:val="auto"/>
          <w:highlight w:val="none"/>
        </w:rPr>
        <w:t>账户名称</w:t>
      </w:r>
      <w:r>
        <w:rPr>
          <w:rFonts w:hint="eastAsia" w:ascii="宋体" w:hAnsi="宋体" w:cs="Arial"/>
          <w:bCs/>
          <w:color w:val="auto"/>
          <w:highlight w:val="none"/>
          <w:lang w:eastAsia="zh-CN"/>
        </w:rPr>
        <w:t>：</w:t>
      </w:r>
      <w:r>
        <w:rPr>
          <w:rFonts w:hint="eastAsia" w:ascii="宋体" w:hAnsi="宋体" w:cs="Arial"/>
          <w:bCs/>
          <w:color w:val="auto"/>
          <w:highlight w:val="none"/>
        </w:rPr>
        <w:t>嘉兴市华信工程咨询有限公司嘉善分公司</w:t>
      </w:r>
    </w:p>
    <w:p w14:paraId="638AF694">
      <w:pPr>
        <w:pStyle w:val="84"/>
        <w:keepNext w:val="0"/>
        <w:keepLines w:val="0"/>
        <w:pageBreakBefore w:val="0"/>
        <w:shd w:val="clear" w:color="auto"/>
        <w:kinsoku/>
        <w:wordWrap w:val="0"/>
        <w:overflowPunct/>
        <w:topLinePunct w:val="0"/>
        <w:bidi w:val="0"/>
        <w:adjustRightInd w:val="0"/>
        <w:snapToGrid w:val="0"/>
        <w:spacing w:line="400" w:lineRule="exact"/>
        <w:ind w:left="0" w:firstLine="480" w:firstLineChars="200"/>
        <w:rPr>
          <w:rFonts w:ascii="宋体" w:hAnsi="宋体" w:cs="Arial"/>
          <w:bCs/>
          <w:color w:val="auto"/>
          <w:highlight w:val="none"/>
        </w:rPr>
      </w:pPr>
      <w:r>
        <w:rPr>
          <w:rFonts w:hint="eastAsia" w:ascii="宋体" w:hAnsi="宋体" w:cs="Arial"/>
          <w:bCs/>
          <w:color w:val="auto"/>
          <w:highlight w:val="none"/>
        </w:rPr>
        <w:t>银行账号</w:t>
      </w:r>
      <w:r>
        <w:rPr>
          <w:rFonts w:hint="eastAsia" w:ascii="宋体" w:hAnsi="宋体" w:cs="Arial"/>
          <w:bCs/>
          <w:color w:val="auto"/>
          <w:highlight w:val="none"/>
          <w:lang w:eastAsia="zh-CN"/>
        </w:rPr>
        <w:t>：</w:t>
      </w:r>
      <w:r>
        <w:rPr>
          <w:rFonts w:ascii="宋体" w:hAnsi="宋体" w:cs="Arial"/>
          <w:bCs/>
          <w:color w:val="auto"/>
          <w:highlight w:val="none"/>
        </w:rPr>
        <w:t>1204070009200171855</w:t>
      </w:r>
    </w:p>
    <w:p w14:paraId="79F3F027">
      <w:pPr>
        <w:pStyle w:val="84"/>
        <w:keepNext w:val="0"/>
        <w:keepLines w:val="0"/>
        <w:pageBreakBefore w:val="0"/>
        <w:shd w:val="clear" w:color="auto"/>
        <w:kinsoku/>
        <w:wordWrap w:val="0"/>
        <w:overflowPunct/>
        <w:topLinePunct w:val="0"/>
        <w:bidi w:val="0"/>
        <w:adjustRightInd w:val="0"/>
        <w:snapToGrid w:val="0"/>
        <w:spacing w:line="400" w:lineRule="exact"/>
        <w:ind w:left="0" w:firstLine="480" w:firstLineChars="200"/>
        <w:rPr>
          <w:rFonts w:ascii="宋体" w:hAnsi="宋体" w:cs="Arial"/>
          <w:bCs/>
          <w:color w:val="auto"/>
          <w:highlight w:val="none"/>
        </w:rPr>
      </w:pPr>
      <w:r>
        <w:rPr>
          <w:rFonts w:hint="eastAsia" w:ascii="宋体" w:hAnsi="宋体" w:cs="Arial"/>
          <w:bCs/>
          <w:color w:val="auto"/>
          <w:highlight w:val="none"/>
        </w:rPr>
        <w:t>开户银行</w:t>
      </w:r>
      <w:r>
        <w:rPr>
          <w:rFonts w:hint="eastAsia" w:ascii="宋体" w:hAnsi="宋体" w:cs="Arial"/>
          <w:bCs/>
          <w:color w:val="auto"/>
          <w:highlight w:val="none"/>
          <w:lang w:eastAsia="zh-CN"/>
        </w:rPr>
        <w:t>：</w:t>
      </w:r>
      <w:r>
        <w:rPr>
          <w:rFonts w:hint="eastAsia" w:ascii="宋体" w:hAnsi="宋体" w:cs="Arial"/>
          <w:bCs/>
          <w:color w:val="auto"/>
          <w:highlight w:val="none"/>
        </w:rPr>
        <w:t>中国工商银行</w:t>
      </w:r>
    </w:p>
    <w:p w14:paraId="11A47DD0">
      <w:pPr>
        <w:pStyle w:val="84"/>
        <w:keepNext w:val="0"/>
        <w:keepLines w:val="0"/>
        <w:pageBreakBefore w:val="0"/>
        <w:shd w:val="clear" w:color="auto"/>
        <w:kinsoku/>
        <w:wordWrap w:val="0"/>
        <w:overflowPunct/>
        <w:topLinePunct w:val="0"/>
        <w:bidi w:val="0"/>
        <w:adjustRightInd w:val="0"/>
        <w:snapToGrid w:val="0"/>
        <w:spacing w:line="400" w:lineRule="exact"/>
        <w:ind w:left="0" w:firstLine="480" w:firstLineChars="200"/>
        <w:rPr>
          <w:rFonts w:ascii="宋体" w:hAnsi="宋体" w:cs="Arial"/>
          <w:bCs/>
          <w:color w:val="auto"/>
          <w:highlight w:val="none"/>
        </w:rPr>
      </w:pPr>
      <w:r>
        <w:rPr>
          <w:rFonts w:hint="eastAsia" w:ascii="宋体" w:hAnsi="宋体" w:cs="Arial"/>
          <w:bCs/>
          <w:color w:val="auto"/>
          <w:highlight w:val="none"/>
        </w:rPr>
        <w:t>开户网点</w:t>
      </w:r>
      <w:r>
        <w:rPr>
          <w:rFonts w:hint="eastAsia" w:ascii="宋体" w:hAnsi="宋体" w:cs="Arial"/>
          <w:bCs/>
          <w:color w:val="auto"/>
          <w:highlight w:val="none"/>
          <w:lang w:eastAsia="zh-CN"/>
        </w:rPr>
        <w:t>：</w:t>
      </w:r>
      <w:r>
        <w:rPr>
          <w:rFonts w:hint="eastAsia" w:ascii="宋体" w:hAnsi="宋体" w:cs="Arial"/>
          <w:bCs/>
          <w:color w:val="auto"/>
          <w:highlight w:val="none"/>
        </w:rPr>
        <w:t>工行浙江长三角一体化示范区支行</w:t>
      </w:r>
    </w:p>
    <w:p w14:paraId="20BAE17A">
      <w:pPr>
        <w:pStyle w:val="84"/>
        <w:keepNext w:val="0"/>
        <w:keepLines w:val="0"/>
        <w:pageBreakBefore w:val="0"/>
        <w:numPr>
          <w:ilvl w:val="0"/>
          <w:numId w:val="5"/>
        </w:numPr>
        <w:shd w:val="clear" w:color="auto"/>
        <w:kinsoku/>
        <w:wordWrap w:val="0"/>
        <w:overflowPunct/>
        <w:topLinePunct w:val="0"/>
        <w:bidi w:val="0"/>
        <w:adjustRightInd w:val="0"/>
        <w:snapToGrid w:val="0"/>
        <w:spacing w:line="400" w:lineRule="exact"/>
        <w:ind w:left="0" w:firstLine="480" w:firstLineChars="200"/>
        <w:rPr>
          <w:rFonts w:ascii="宋体" w:hAnsi="宋体" w:cs="Arial"/>
          <w:color w:val="auto"/>
          <w:highlight w:val="none"/>
        </w:rPr>
      </w:pPr>
      <w:r>
        <w:rPr>
          <w:rFonts w:hint="eastAsia" w:ascii="宋体" w:hAnsi="宋体" w:cs="Arial"/>
          <w:bCs/>
          <w:color w:val="auto"/>
          <w:highlight w:val="none"/>
        </w:rPr>
        <w:t>获</w:t>
      </w:r>
      <w:r>
        <w:rPr>
          <w:rFonts w:hint="eastAsia" w:ascii="宋体" w:hAnsi="宋体" w:cs="Arial"/>
          <w:color w:val="auto"/>
          <w:highlight w:val="none"/>
        </w:rPr>
        <w:t>取文件时应提交的资料</w:t>
      </w:r>
      <w:r>
        <w:rPr>
          <w:rFonts w:hint="eastAsia" w:ascii="宋体" w:hAnsi="宋体" w:cs="Arial"/>
          <w:color w:val="auto"/>
          <w:highlight w:val="none"/>
          <w:lang w:eastAsia="zh-CN"/>
        </w:rPr>
        <w:t>：</w:t>
      </w:r>
      <w:r>
        <w:rPr>
          <w:rFonts w:hint="eastAsia" w:ascii="宋体" w:hAnsi="宋体" w:eastAsia="宋体" w:cs="Arial"/>
          <w:b/>
          <w:bCs/>
          <w:color w:val="auto"/>
          <w:sz w:val="24"/>
          <w:highlight w:val="none"/>
          <w:u w:val="single"/>
          <w:lang w:eastAsia="zh-CN"/>
        </w:rPr>
        <w:t>单位介绍信原件一份（格式在附件中下载）。</w:t>
      </w:r>
    </w:p>
    <w:p w14:paraId="7D0666F1">
      <w:pPr>
        <w:pageBreakBefore w:val="0"/>
        <w:numPr>
          <w:ilvl w:val="0"/>
          <w:numId w:val="0"/>
        </w:numPr>
        <w:shd w:val="clear"/>
        <w:kinsoku/>
        <w:wordWrap w:val="0"/>
        <w:overflowPunct/>
        <w:topLinePunct w:val="0"/>
        <w:bidi w:val="0"/>
        <w:adjustRightInd w:val="0"/>
        <w:snapToGrid w:val="0"/>
        <w:spacing w:beforeLines="0" w:afterLines="0" w:line="440" w:lineRule="exact"/>
        <w:ind w:firstLine="482" w:firstLineChars="200"/>
        <w:jc w:val="left"/>
        <w:rPr>
          <w:rFonts w:hint="default" w:ascii="宋体" w:hAnsi="宋体" w:eastAsia="宋体" w:cs="Arial"/>
          <w:b/>
          <w:bCs/>
          <w:color w:val="auto"/>
          <w:sz w:val="24"/>
          <w:szCs w:val="24"/>
          <w:highlight w:val="none"/>
        </w:rPr>
      </w:pPr>
      <w:r>
        <w:rPr>
          <w:rFonts w:hint="default" w:ascii="宋体" w:hAnsi="宋体" w:eastAsia="宋体" w:cs="Arial"/>
          <w:b/>
          <w:bCs/>
          <w:color w:val="auto"/>
          <w:sz w:val="24"/>
          <w:szCs w:val="24"/>
          <w:highlight w:val="none"/>
        </w:rPr>
        <w:t>注：如因手机号码等填写错误，导</w:t>
      </w:r>
      <w:r>
        <w:rPr>
          <w:rFonts w:hint="default" w:ascii="宋体" w:hAnsi="宋体" w:eastAsia="宋体" w:cs="Arial"/>
          <w:b/>
          <w:bCs/>
          <w:color w:val="auto"/>
          <w:sz w:val="24"/>
          <w:szCs w:val="24"/>
          <w:highlight w:val="none"/>
        </w:rPr>
        <w:t>致后续可能产生的所有不利于投标人的因素均由投标人承担相应风险。</w:t>
      </w:r>
    </w:p>
    <w:p w14:paraId="34237084">
      <w:pPr>
        <w:keepNext w:val="0"/>
        <w:keepLines w:val="0"/>
        <w:pageBreakBefore w:val="0"/>
        <w:numPr>
          <w:ilvl w:val="0"/>
          <w:numId w:val="2"/>
        </w:numPr>
        <w:shd w:val="clear"/>
        <w:kinsoku/>
        <w:wordWrap w:val="0"/>
        <w:overflowPunct/>
        <w:topLinePunct w:val="0"/>
        <w:bidi w:val="0"/>
        <w:adjustRightInd w:val="0"/>
        <w:snapToGrid w:val="0"/>
        <w:spacing w:line="400" w:lineRule="exact"/>
        <w:ind w:left="0" w:firstLine="482" w:firstLineChars="200"/>
        <w:jc w:val="left"/>
        <w:rPr>
          <w:rFonts w:ascii="宋体" w:hAnsi="宋体" w:cs="Arial"/>
          <w:b/>
          <w:bCs/>
          <w:color w:val="auto"/>
          <w:sz w:val="24"/>
          <w:highlight w:val="none"/>
        </w:rPr>
      </w:pPr>
      <w:r>
        <w:rPr>
          <w:rFonts w:hint="eastAsia" w:ascii="宋体" w:hAnsi="宋体" w:cs="Arial"/>
          <w:b/>
          <w:bCs/>
          <w:color w:val="auto"/>
          <w:sz w:val="24"/>
          <w:highlight w:val="none"/>
        </w:rPr>
        <w:t>投标截止时间和地点：</w:t>
      </w:r>
    </w:p>
    <w:p w14:paraId="2EE88732">
      <w:pPr>
        <w:keepNext w:val="0"/>
        <w:keepLines w:val="0"/>
        <w:pageBreakBefore w:val="0"/>
        <w:shd w:val="clear"/>
        <w:kinsoku/>
        <w:wordWrap w:val="0"/>
        <w:overflowPunct/>
        <w:topLinePunct w:val="0"/>
        <w:bidi w:val="0"/>
        <w:adjustRightInd w:val="0"/>
        <w:snapToGrid w:val="0"/>
        <w:spacing w:line="400" w:lineRule="exact"/>
        <w:ind w:left="0" w:firstLine="480" w:firstLineChars="200"/>
        <w:jc w:val="left"/>
        <w:rPr>
          <w:rFonts w:ascii="宋体" w:hAnsi="宋体" w:cs="Arial"/>
          <w:color w:val="auto"/>
          <w:sz w:val="24"/>
          <w:highlight w:val="none"/>
        </w:rPr>
      </w:pPr>
      <w:r>
        <w:rPr>
          <w:rFonts w:hint="eastAsia" w:ascii="宋体" w:hAnsi="宋体"/>
          <w:color w:val="auto"/>
          <w:sz w:val="24"/>
          <w:highlight w:val="none"/>
        </w:rPr>
        <w:t>投标截止时间：</w:t>
      </w:r>
      <w:bookmarkStart w:id="4" w:name="OLE_LINK1"/>
      <w:r>
        <w:rPr>
          <w:rFonts w:hint="eastAsia" w:ascii="宋体" w:hAnsi="宋体" w:cs="Arial"/>
          <w:color w:val="auto"/>
          <w:sz w:val="24"/>
          <w:highlight w:val="none"/>
          <w:lang w:eastAsia="zh-CN"/>
        </w:rPr>
        <w:t>2025年**月**日14时00分</w:t>
      </w:r>
      <w:bookmarkEnd w:id="4"/>
    </w:p>
    <w:p w14:paraId="37616EBC">
      <w:pPr>
        <w:keepNext w:val="0"/>
        <w:keepLines w:val="0"/>
        <w:pageBreakBefore w:val="0"/>
        <w:widowControl/>
        <w:shd w:val="clear"/>
        <w:kinsoku/>
        <w:wordWrap w:val="0"/>
        <w:overflowPunct/>
        <w:topLinePunct w:val="0"/>
        <w:autoSpaceDE w:val="0"/>
        <w:autoSpaceDN w:val="0"/>
        <w:bidi w:val="0"/>
        <w:adjustRightInd w:val="0"/>
        <w:snapToGrid w:val="0"/>
        <w:spacing w:line="400" w:lineRule="exact"/>
        <w:ind w:left="0" w:firstLine="480" w:firstLineChars="200"/>
        <w:textAlignment w:val="bottom"/>
        <w:rPr>
          <w:rFonts w:ascii="宋体" w:hAnsi="宋体"/>
          <w:color w:val="auto"/>
          <w:sz w:val="24"/>
          <w:highlight w:val="none"/>
        </w:rPr>
      </w:pPr>
      <w:r>
        <w:rPr>
          <w:rFonts w:hint="eastAsia" w:ascii="宋体" w:hAnsi="宋体"/>
          <w:color w:val="auto"/>
          <w:sz w:val="24"/>
          <w:highlight w:val="none"/>
        </w:rPr>
        <w:t>投标文件送达地点：在投标截止时间前1小时内将投标文件按招标文件要求密封送达至</w:t>
      </w:r>
      <w:r>
        <w:rPr>
          <w:rFonts w:hint="eastAsia" w:ascii="宋体" w:hAnsi="宋体"/>
          <w:b/>
          <w:bCs/>
          <w:color w:val="auto"/>
          <w:sz w:val="24"/>
          <w:highlight w:val="none"/>
          <w:u w:val="single"/>
          <w:lang w:eastAsia="zh-CN"/>
        </w:rPr>
        <w:t>西塘镇宏福路76号（原西塘如歌文化酒店一楼）开标室</w:t>
      </w:r>
      <w:r>
        <w:rPr>
          <w:rFonts w:hint="eastAsia" w:ascii="宋体" w:hAnsi="宋体"/>
          <w:b w:val="0"/>
          <w:bCs w:val="0"/>
          <w:color w:val="auto"/>
          <w:sz w:val="24"/>
          <w:highlight w:val="none"/>
          <w:u w:val="none"/>
          <w:lang w:eastAsia="zh-CN"/>
        </w:rPr>
        <w:t>‬‬‬‬‬‬‬‬‬‬‬‬‬‬并提交给招标代理机构完成投标签到，逾期送达或未按招标文件要求密封的投标文件将予以拒收</w:t>
      </w:r>
      <w:r>
        <w:rPr>
          <w:rFonts w:hint="eastAsia" w:ascii="宋体" w:hAnsi="宋体"/>
          <w:color w:val="auto"/>
          <w:sz w:val="24"/>
          <w:highlight w:val="none"/>
          <w:u w:val="none"/>
        </w:rPr>
        <w:t>。</w:t>
      </w:r>
    </w:p>
    <w:p w14:paraId="5EBAF022">
      <w:pPr>
        <w:keepNext w:val="0"/>
        <w:keepLines w:val="0"/>
        <w:pageBreakBefore w:val="0"/>
        <w:numPr>
          <w:ilvl w:val="0"/>
          <w:numId w:val="2"/>
        </w:numPr>
        <w:shd w:val="clear"/>
        <w:kinsoku/>
        <w:wordWrap w:val="0"/>
        <w:overflowPunct/>
        <w:topLinePunct w:val="0"/>
        <w:bidi w:val="0"/>
        <w:adjustRightInd w:val="0"/>
        <w:snapToGrid w:val="0"/>
        <w:spacing w:line="400" w:lineRule="exact"/>
        <w:ind w:left="0" w:firstLine="482" w:firstLineChars="200"/>
        <w:jc w:val="left"/>
        <w:rPr>
          <w:rFonts w:hint="eastAsia" w:ascii="宋体" w:hAnsi="宋体" w:cs="Arial"/>
          <w:b/>
          <w:bCs/>
          <w:color w:val="auto"/>
          <w:sz w:val="24"/>
          <w:highlight w:val="none"/>
        </w:rPr>
      </w:pPr>
      <w:r>
        <w:rPr>
          <w:rFonts w:hint="eastAsia" w:ascii="宋体" w:hAnsi="宋体" w:cs="Arial"/>
          <w:b/>
          <w:bCs/>
          <w:color w:val="auto"/>
          <w:sz w:val="24"/>
          <w:highlight w:val="none"/>
        </w:rPr>
        <w:t>开标时间及地点：</w:t>
      </w:r>
    </w:p>
    <w:p w14:paraId="1D74D87D">
      <w:pPr>
        <w:keepNext w:val="0"/>
        <w:keepLines w:val="0"/>
        <w:pageBreakBefore w:val="0"/>
        <w:shd w:val="clear"/>
        <w:kinsoku/>
        <w:wordWrap w:val="0"/>
        <w:overflowPunct/>
        <w:topLinePunct w:val="0"/>
        <w:bidi w:val="0"/>
        <w:adjustRightInd w:val="0"/>
        <w:snapToGrid w:val="0"/>
        <w:spacing w:line="400" w:lineRule="exact"/>
        <w:ind w:left="0" w:firstLine="480" w:firstLineChars="200"/>
        <w:rPr>
          <w:rFonts w:ascii="宋体" w:hAnsi="宋体" w:cs="Arial"/>
          <w:color w:val="auto"/>
          <w:sz w:val="24"/>
          <w:highlight w:val="none"/>
        </w:rPr>
      </w:pPr>
      <w:r>
        <w:rPr>
          <w:rFonts w:hint="eastAsia" w:ascii="宋体" w:hAnsi="宋体" w:cs="Arial"/>
          <w:color w:val="auto"/>
          <w:sz w:val="24"/>
          <w:highlight w:val="none"/>
        </w:rPr>
        <w:t>开标时间：</w:t>
      </w:r>
      <w:r>
        <w:rPr>
          <w:rFonts w:hint="eastAsia" w:ascii="宋体" w:hAnsi="宋体" w:cs="Arial"/>
          <w:color w:val="auto"/>
          <w:sz w:val="24"/>
          <w:highlight w:val="none"/>
          <w:lang w:eastAsia="zh-CN"/>
        </w:rPr>
        <w:t>2025年**月**日14时00分</w:t>
      </w:r>
    </w:p>
    <w:p w14:paraId="23C5F1A7">
      <w:pPr>
        <w:keepNext w:val="0"/>
        <w:keepLines w:val="0"/>
        <w:pageBreakBefore w:val="0"/>
        <w:shd w:val="clear"/>
        <w:kinsoku/>
        <w:wordWrap w:val="0"/>
        <w:overflowPunct/>
        <w:topLinePunct w:val="0"/>
        <w:bidi w:val="0"/>
        <w:adjustRightInd w:val="0"/>
        <w:snapToGrid w:val="0"/>
        <w:spacing w:line="400" w:lineRule="exact"/>
        <w:ind w:left="0" w:firstLine="480" w:firstLineChars="200"/>
        <w:rPr>
          <w:rFonts w:hint="eastAsia" w:ascii="宋体" w:hAnsi="宋体" w:cs="Arial"/>
          <w:color w:val="auto"/>
          <w:sz w:val="24"/>
          <w:highlight w:val="none"/>
          <w:lang w:eastAsia="zh-CN"/>
        </w:rPr>
      </w:pPr>
      <w:r>
        <w:rPr>
          <w:rFonts w:hint="eastAsia" w:ascii="宋体" w:hAnsi="宋体" w:cs="Arial"/>
          <w:color w:val="auto"/>
          <w:sz w:val="24"/>
          <w:highlight w:val="none"/>
        </w:rPr>
        <w:t>开标地点：</w:t>
      </w:r>
      <w:r>
        <w:rPr>
          <w:rFonts w:hint="eastAsia" w:ascii="宋体" w:hAnsi="宋体" w:cs="Arial"/>
          <w:color w:val="auto"/>
          <w:sz w:val="24"/>
          <w:highlight w:val="none"/>
          <w:lang w:eastAsia="zh-CN"/>
        </w:rPr>
        <w:t>西塘镇宏福路76号（原西塘如歌文化酒店一楼）开标室。‬‬‬‬‬‬‬‬‬‬‬‬‬‬‬‬‬‬‬‬‬‬‬‬‬‬‬‬‬‬‬‬‬‬‬‬‬‬‬‬‬‬‬‬‬‬‬‬‬‬‬‬‬‬‬‬‬‬‬‬‬‬‬‬‬‬‬‬‬‬‬‬‬‬‬‬‬‬‬‬‬‬‬‬‬‬‬‬‬‬‬‬‬‬‬‬‬‬‬‬‬‬‬‬‬‬‬‬‬‬‬‬‬‬‬‬‬‬‬‬‬‬‬‬‬‬‬‬‬‬</w:t>
      </w:r>
    </w:p>
    <w:p w14:paraId="3649F171">
      <w:pPr>
        <w:keepNext w:val="0"/>
        <w:keepLines w:val="0"/>
        <w:pageBreakBefore w:val="0"/>
        <w:numPr>
          <w:ilvl w:val="0"/>
          <w:numId w:val="2"/>
        </w:numPr>
        <w:shd w:val="clear"/>
        <w:kinsoku/>
        <w:wordWrap w:val="0"/>
        <w:overflowPunct/>
        <w:topLinePunct w:val="0"/>
        <w:bidi w:val="0"/>
        <w:adjustRightInd w:val="0"/>
        <w:snapToGrid w:val="0"/>
        <w:spacing w:line="400" w:lineRule="exact"/>
        <w:ind w:left="0" w:firstLine="482" w:firstLineChars="200"/>
        <w:jc w:val="left"/>
        <w:rPr>
          <w:rFonts w:ascii="宋体" w:hAnsi="宋体" w:cs="Arial"/>
          <w:b/>
          <w:bCs/>
          <w:color w:val="auto"/>
          <w:sz w:val="24"/>
          <w:highlight w:val="none"/>
        </w:rPr>
      </w:pPr>
      <w:r>
        <w:rPr>
          <w:rFonts w:ascii="宋体" w:hAnsi="宋体" w:cs="Arial"/>
          <w:b/>
          <w:bCs/>
          <w:color w:val="auto"/>
          <w:sz w:val="24"/>
          <w:highlight w:val="none"/>
        </w:rPr>
        <w:t>公告期限 </w:t>
      </w:r>
    </w:p>
    <w:p w14:paraId="65E6E3C4">
      <w:pPr>
        <w:keepNext w:val="0"/>
        <w:keepLines w:val="0"/>
        <w:pageBreakBefore w:val="0"/>
        <w:shd w:val="clear"/>
        <w:kinsoku/>
        <w:wordWrap w:val="0"/>
        <w:overflowPunct/>
        <w:topLinePunct w:val="0"/>
        <w:bidi w:val="0"/>
        <w:adjustRightInd w:val="0"/>
        <w:snapToGrid w:val="0"/>
        <w:spacing w:line="400" w:lineRule="exact"/>
        <w:ind w:left="0" w:firstLine="480" w:firstLineChars="200"/>
        <w:rPr>
          <w:rFonts w:hint="eastAsia" w:ascii="宋体" w:hAnsi="宋体" w:cs="Arial"/>
          <w:color w:val="auto"/>
          <w:sz w:val="24"/>
          <w:highlight w:val="none"/>
        </w:rPr>
      </w:pPr>
      <w:r>
        <w:rPr>
          <w:rFonts w:hint="eastAsia" w:ascii="宋体" w:hAnsi="宋体" w:cs="Arial"/>
          <w:color w:val="auto"/>
          <w:sz w:val="24"/>
          <w:highlight w:val="none"/>
        </w:rPr>
        <w:t>自本公告发布之日起5个工作日。</w:t>
      </w:r>
    </w:p>
    <w:p w14:paraId="420E03E4">
      <w:pPr>
        <w:keepNext w:val="0"/>
        <w:keepLines w:val="0"/>
        <w:pageBreakBefore w:val="0"/>
        <w:numPr>
          <w:ilvl w:val="0"/>
          <w:numId w:val="2"/>
        </w:numPr>
        <w:shd w:val="clear"/>
        <w:kinsoku/>
        <w:wordWrap w:val="0"/>
        <w:overflowPunct/>
        <w:topLinePunct w:val="0"/>
        <w:bidi w:val="0"/>
        <w:adjustRightInd w:val="0"/>
        <w:snapToGrid w:val="0"/>
        <w:spacing w:line="400" w:lineRule="exact"/>
        <w:ind w:left="0" w:firstLine="482" w:firstLineChars="200"/>
        <w:jc w:val="left"/>
        <w:rPr>
          <w:rFonts w:ascii="宋体" w:hAnsi="宋体" w:cs="Arial"/>
          <w:b/>
          <w:bCs/>
          <w:color w:val="auto"/>
          <w:sz w:val="24"/>
          <w:highlight w:val="none"/>
        </w:rPr>
      </w:pPr>
      <w:r>
        <w:rPr>
          <w:rFonts w:hint="eastAsia" w:ascii="宋体" w:hAnsi="宋体" w:cs="Arial"/>
          <w:b/>
          <w:bCs/>
          <w:color w:val="auto"/>
          <w:sz w:val="24"/>
          <w:highlight w:val="none"/>
        </w:rPr>
        <w:t>业务咨询：</w:t>
      </w:r>
    </w:p>
    <w:p w14:paraId="06CF0B6A">
      <w:pPr>
        <w:keepNext w:val="0"/>
        <w:keepLines w:val="0"/>
        <w:pageBreakBefore w:val="0"/>
        <w:widowControl/>
        <w:shd w:val="clear" w:color="auto"/>
        <w:kinsoku/>
        <w:wordWrap w:val="0"/>
        <w:overflowPunct/>
        <w:topLinePunct w:val="0"/>
        <w:bidi w:val="0"/>
        <w:adjustRightInd w:val="0"/>
        <w:snapToGrid w:val="0"/>
        <w:spacing w:line="400" w:lineRule="exact"/>
        <w:ind w:left="0" w:firstLine="480" w:firstLineChars="200"/>
        <w:jc w:val="left"/>
        <w:rPr>
          <w:rFonts w:ascii="宋体" w:hAnsi="宋体"/>
          <w:color w:val="auto"/>
          <w:sz w:val="24"/>
          <w:highlight w:val="none"/>
        </w:rPr>
      </w:pPr>
      <w:r>
        <w:rPr>
          <w:rFonts w:hint="eastAsia" w:ascii="宋体" w:hAnsi="宋体"/>
          <w:color w:val="auto"/>
          <w:sz w:val="24"/>
          <w:highlight w:val="none"/>
          <w:lang w:val="en-US" w:eastAsia="zh-CN"/>
        </w:rPr>
        <w:t>1、</w:t>
      </w:r>
      <w:r>
        <w:rPr>
          <w:rFonts w:hint="eastAsia" w:ascii="宋体" w:hAnsi="宋体"/>
          <w:color w:val="auto"/>
          <w:sz w:val="24"/>
          <w:highlight w:val="none"/>
          <w:lang w:eastAsia="zh-CN"/>
        </w:rPr>
        <w:t>招标人</w:t>
      </w:r>
      <w:r>
        <w:rPr>
          <w:rFonts w:hint="eastAsia" w:ascii="宋体" w:hAnsi="宋体"/>
          <w:color w:val="auto"/>
          <w:sz w:val="24"/>
          <w:highlight w:val="none"/>
        </w:rPr>
        <w:t>名称：</w:t>
      </w:r>
      <w:r>
        <w:rPr>
          <w:rFonts w:hint="eastAsia" w:ascii="宋体" w:hAnsi="宋体"/>
          <w:color w:val="auto"/>
          <w:sz w:val="24"/>
          <w:highlight w:val="none"/>
          <w:lang w:eastAsia="zh-CN"/>
        </w:rPr>
        <w:t>浙江西塘旅游文化发展有限公司</w:t>
      </w:r>
    </w:p>
    <w:p w14:paraId="2A7BA679">
      <w:pPr>
        <w:keepNext w:val="0"/>
        <w:keepLines w:val="0"/>
        <w:pageBreakBefore w:val="0"/>
        <w:widowControl/>
        <w:shd w:val="clear" w:color="auto"/>
        <w:kinsoku/>
        <w:wordWrap w:val="0"/>
        <w:overflowPunct/>
        <w:topLinePunct w:val="0"/>
        <w:bidi w:val="0"/>
        <w:adjustRightInd w:val="0"/>
        <w:snapToGrid w:val="0"/>
        <w:spacing w:line="400" w:lineRule="exact"/>
        <w:ind w:left="0" w:firstLine="480" w:firstLineChars="200"/>
        <w:jc w:val="left"/>
        <w:rPr>
          <w:rFonts w:hint="default" w:ascii="宋体" w:hAnsi="宋体" w:eastAsia="宋体"/>
          <w:color w:val="auto"/>
          <w:sz w:val="24"/>
          <w:highlight w:val="none"/>
          <w:lang w:val="en-US" w:eastAsia="zh-CN"/>
        </w:rPr>
      </w:pPr>
      <w:r>
        <w:rPr>
          <w:rFonts w:hint="eastAsia" w:ascii="宋体" w:hAnsi="宋体"/>
          <w:color w:val="auto"/>
          <w:sz w:val="24"/>
          <w:highlight w:val="none"/>
        </w:rPr>
        <w:t>联系人：</w:t>
      </w:r>
      <w:r>
        <w:rPr>
          <w:rFonts w:hint="eastAsia" w:ascii="宋体" w:hAnsi="宋体"/>
          <w:color w:val="auto"/>
          <w:sz w:val="24"/>
          <w:highlight w:val="none"/>
          <w:lang w:val="en-US" w:eastAsia="zh-CN"/>
        </w:rPr>
        <w:t>黄先生</w:t>
      </w:r>
    </w:p>
    <w:p w14:paraId="42231CC7">
      <w:pPr>
        <w:keepNext w:val="0"/>
        <w:keepLines w:val="0"/>
        <w:pageBreakBefore w:val="0"/>
        <w:widowControl/>
        <w:shd w:val="clear" w:color="auto"/>
        <w:kinsoku/>
        <w:wordWrap w:val="0"/>
        <w:overflowPunct/>
        <w:topLinePunct w:val="0"/>
        <w:bidi w:val="0"/>
        <w:adjustRightInd w:val="0"/>
        <w:snapToGrid w:val="0"/>
        <w:spacing w:line="400" w:lineRule="exact"/>
        <w:ind w:left="0" w:firstLine="480" w:firstLineChars="200"/>
        <w:jc w:val="left"/>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rPr>
        <w:t>联系电话：</w:t>
      </w:r>
      <w:r>
        <w:rPr>
          <w:rFonts w:hint="eastAsia" w:ascii="宋体" w:hAnsi="宋体" w:cs="Times New Roman"/>
          <w:color w:val="auto"/>
          <w:sz w:val="24"/>
          <w:highlight w:val="none"/>
          <w:lang w:val="en-US" w:eastAsia="zh-CN"/>
        </w:rPr>
        <w:t>0573-84567890</w:t>
      </w:r>
    </w:p>
    <w:p w14:paraId="51A04FEF">
      <w:pPr>
        <w:keepNext w:val="0"/>
        <w:keepLines w:val="0"/>
        <w:pageBreakBefore w:val="0"/>
        <w:widowControl/>
        <w:shd w:val="clear" w:color="auto"/>
        <w:kinsoku/>
        <w:wordWrap w:val="0"/>
        <w:overflowPunct/>
        <w:topLinePunct w:val="0"/>
        <w:bidi w:val="0"/>
        <w:adjustRightInd w:val="0"/>
        <w:snapToGrid w:val="0"/>
        <w:spacing w:line="400" w:lineRule="exact"/>
        <w:ind w:left="0" w:firstLine="480" w:firstLineChars="200"/>
        <w:jc w:val="left"/>
        <w:rPr>
          <w:rFonts w:hint="eastAsia" w:ascii="宋体" w:hAnsi="宋体" w:eastAsia="宋体" w:cs="Times New Roman"/>
          <w:color w:val="auto"/>
          <w:sz w:val="24"/>
          <w:highlight w:val="none"/>
          <w:lang w:eastAsia="zh-CN"/>
        </w:rPr>
      </w:pPr>
      <w:r>
        <w:rPr>
          <w:rFonts w:hint="eastAsia" w:ascii="宋体" w:hAnsi="宋体" w:cs="Times New Roman"/>
          <w:color w:val="auto"/>
          <w:sz w:val="24"/>
          <w:highlight w:val="none"/>
        </w:rPr>
        <w:t>地点：</w:t>
      </w:r>
      <w:r>
        <w:rPr>
          <w:rFonts w:hint="eastAsia" w:ascii="宋体" w:hAnsi="宋体" w:cs="Times New Roman"/>
          <w:color w:val="auto"/>
          <w:sz w:val="24"/>
          <w:highlight w:val="none"/>
          <w:lang w:eastAsia="zh-CN"/>
        </w:rPr>
        <w:t>嘉善县西塘镇南苑路</w:t>
      </w:r>
      <w:r>
        <w:rPr>
          <w:rFonts w:hint="eastAsia" w:ascii="宋体" w:hAnsi="宋体" w:cs="Times New Roman"/>
          <w:color w:val="auto"/>
          <w:sz w:val="24"/>
          <w:highlight w:val="none"/>
          <w:lang w:val="en-US" w:eastAsia="zh-CN"/>
        </w:rPr>
        <w:t>2</w:t>
      </w:r>
      <w:r>
        <w:rPr>
          <w:rFonts w:hint="eastAsia" w:ascii="宋体" w:hAnsi="宋体" w:cs="Times New Roman"/>
          <w:color w:val="auto"/>
          <w:sz w:val="24"/>
          <w:highlight w:val="none"/>
          <w:lang w:eastAsia="zh-CN"/>
        </w:rPr>
        <w:t>58号</w:t>
      </w:r>
    </w:p>
    <w:p w14:paraId="102F1E60">
      <w:pPr>
        <w:keepNext w:val="0"/>
        <w:keepLines w:val="0"/>
        <w:pageBreakBefore w:val="0"/>
        <w:widowControl/>
        <w:shd w:val="clear" w:color="auto"/>
        <w:kinsoku/>
        <w:wordWrap w:val="0"/>
        <w:overflowPunct/>
        <w:topLinePunct w:val="0"/>
        <w:bidi w:val="0"/>
        <w:adjustRightInd w:val="0"/>
        <w:snapToGrid w:val="0"/>
        <w:spacing w:line="400" w:lineRule="exact"/>
        <w:ind w:left="0" w:firstLine="480" w:firstLineChars="200"/>
        <w:jc w:val="left"/>
        <w:rPr>
          <w:rFonts w:ascii="宋体" w:hAnsi="宋体"/>
          <w:color w:val="auto"/>
          <w:sz w:val="24"/>
          <w:highlight w:val="none"/>
        </w:rPr>
      </w:pPr>
      <w:r>
        <w:rPr>
          <w:rFonts w:hint="eastAsia" w:ascii="宋体" w:hAnsi="宋体"/>
          <w:color w:val="auto"/>
          <w:sz w:val="24"/>
          <w:highlight w:val="none"/>
        </w:rPr>
        <w:t>2、采购代理机构名称：嘉兴市华信工程咨询有限公司</w:t>
      </w:r>
    </w:p>
    <w:p w14:paraId="7CDF8FCA">
      <w:pPr>
        <w:keepNext w:val="0"/>
        <w:keepLines w:val="0"/>
        <w:pageBreakBefore w:val="0"/>
        <w:widowControl/>
        <w:shd w:val="clear" w:color="auto"/>
        <w:tabs>
          <w:tab w:val="left" w:pos="2780"/>
        </w:tabs>
        <w:kinsoku/>
        <w:wordWrap w:val="0"/>
        <w:overflowPunct/>
        <w:topLinePunct w:val="0"/>
        <w:bidi w:val="0"/>
        <w:adjustRightInd w:val="0"/>
        <w:snapToGrid w:val="0"/>
        <w:spacing w:line="400" w:lineRule="exact"/>
        <w:ind w:left="0" w:firstLine="480" w:firstLineChars="200"/>
        <w:jc w:val="left"/>
        <w:rPr>
          <w:rFonts w:ascii="宋体" w:hAnsi="宋体"/>
          <w:color w:val="auto"/>
          <w:sz w:val="24"/>
          <w:highlight w:val="none"/>
        </w:rPr>
      </w:pPr>
      <w:r>
        <w:rPr>
          <w:rFonts w:hint="eastAsia" w:ascii="宋体" w:hAnsi="宋体"/>
          <w:color w:val="auto"/>
          <w:sz w:val="24"/>
          <w:highlight w:val="none"/>
        </w:rPr>
        <w:t>联系人：</w:t>
      </w:r>
      <w:r>
        <w:rPr>
          <w:rFonts w:hint="eastAsia" w:ascii="宋体" w:hAnsi="宋体"/>
          <w:color w:val="auto"/>
          <w:sz w:val="24"/>
          <w:highlight w:val="none"/>
          <w:lang w:val="en-US" w:eastAsia="zh-CN"/>
        </w:rPr>
        <w:t>俞</w:t>
      </w:r>
      <w:r>
        <w:rPr>
          <w:rFonts w:hint="eastAsia" w:ascii="宋体" w:hAnsi="宋体"/>
          <w:color w:val="auto"/>
          <w:sz w:val="24"/>
          <w:highlight w:val="none"/>
          <w:lang w:eastAsia="zh-CN"/>
        </w:rPr>
        <w:t>女士</w:t>
      </w:r>
    </w:p>
    <w:p w14:paraId="192E9A57">
      <w:pPr>
        <w:keepNext w:val="0"/>
        <w:keepLines w:val="0"/>
        <w:pageBreakBefore w:val="0"/>
        <w:widowControl/>
        <w:shd w:val="clear" w:color="auto"/>
        <w:kinsoku/>
        <w:wordWrap w:val="0"/>
        <w:overflowPunct/>
        <w:topLinePunct w:val="0"/>
        <w:bidi w:val="0"/>
        <w:adjustRightInd w:val="0"/>
        <w:snapToGrid w:val="0"/>
        <w:spacing w:line="400" w:lineRule="exact"/>
        <w:ind w:left="0" w:firstLine="480" w:firstLineChars="200"/>
        <w:jc w:val="left"/>
        <w:rPr>
          <w:rFonts w:ascii="宋体" w:hAnsi="宋体"/>
          <w:color w:val="auto"/>
          <w:sz w:val="24"/>
          <w:highlight w:val="none"/>
        </w:rPr>
      </w:pPr>
      <w:r>
        <w:rPr>
          <w:rFonts w:hint="eastAsia" w:ascii="宋体" w:hAnsi="宋体"/>
          <w:color w:val="auto"/>
          <w:sz w:val="24"/>
          <w:highlight w:val="none"/>
        </w:rPr>
        <w:t>联系电话：0573-84026676</w:t>
      </w:r>
    </w:p>
    <w:p w14:paraId="0EA28BAF">
      <w:pPr>
        <w:keepNext w:val="0"/>
        <w:keepLines w:val="0"/>
        <w:pageBreakBefore w:val="0"/>
        <w:widowControl/>
        <w:shd w:val="clear" w:color="auto"/>
        <w:kinsoku/>
        <w:wordWrap w:val="0"/>
        <w:overflowPunct/>
        <w:topLinePunct w:val="0"/>
        <w:bidi w:val="0"/>
        <w:adjustRightInd w:val="0"/>
        <w:snapToGrid w:val="0"/>
        <w:spacing w:line="400" w:lineRule="exact"/>
        <w:ind w:left="0" w:firstLine="480" w:firstLineChars="200"/>
        <w:jc w:val="left"/>
        <w:rPr>
          <w:rFonts w:ascii="宋体" w:hAnsi="宋体"/>
          <w:color w:val="auto"/>
          <w:sz w:val="24"/>
          <w:highlight w:val="none"/>
        </w:rPr>
      </w:pPr>
      <w:r>
        <w:rPr>
          <w:rFonts w:hint="eastAsia" w:ascii="宋体" w:hAnsi="宋体"/>
          <w:color w:val="auto"/>
          <w:sz w:val="24"/>
          <w:highlight w:val="none"/>
        </w:rPr>
        <w:t>传真：0573-84026676</w:t>
      </w:r>
    </w:p>
    <w:p w14:paraId="1B8FF539">
      <w:pPr>
        <w:keepNext w:val="0"/>
        <w:keepLines w:val="0"/>
        <w:pageBreakBefore w:val="0"/>
        <w:widowControl/>
        <w:shd w:val="clear" w:color="auto"/>
        <w:kinsoku/>
        <w:wordWrap w:val="0"/>
        <w:overflowPunct/>
        <w:topLinePunct w:val="0"/>
        <w:bidi w:val="0"/>
        <w:adjustRightInd w:val="0"/>
        <w:snapToGrid w:val="0"/>
        <w:spacing w:line="400" w:lineRule="exact"/>
        <w:ind w:left="0" w:firstLine="480" w:firstLineChars="200"/>
        <w:jc w:val="left"/>
        <w:rPr>
          <w:rFonts w:ascii="宋体" w:hAnsi="宋体"/>
          <w:color w:val="auto"/>
          <w:sz w:val="24"/>
          <w:highlight w:val="none"/>
        </w:rPr>
      </w:pPr>
      <w:r>
        <w:rPr>
          <w:rFonts w:hint="eastAsia" w:ascii="宋体" w:hAnsi="宋体"/>
          <w:color w:val="auto"/>
          <w:sz w:val="24"/>
          <w:highlight w:val="none"/>
        </w:rPr>
        <w:t>地址：嘉善县罗星街道人民大道1018号时代广场14楼</w:t>
      </w:r>
    </w:p>
    <w:p w14:paraId="52930568">
      <w:pPr>
        <w:pStyle w:val="2"/>
        <w:pageBreakBefore w:val="0"/>
        <w:shd w:val="clear"/>
        <w:kinsoku/>
        <w:wordWrap w:val="0"/>
        <w:overflowPunct/>
        <w:topLinePunct w:val="0"/>
        <w:bidi w:val="0"/>
        <w:spacing w:before="0" w:after="0" w:line="380" w:lineRule="exact"/>
        <w:rPr>
          <w:color w:val="auto"/>
          <w:highlight w:val="none"/>
        </w:rPr>
      </w:pPr>
      <w:r>
        <w:rPr>
          <w:color w:val="auto"/>
          <w:highlight w:val="none"/>
        </w:rPr>
        <w:br w:type="page"/>
      </w:r>
      <w:bookmarkStart w:id="5" w:name="_Toc513370304"/>
      <w:bookmarkStart w:id="6" w:name="_Toc14577"/>
      <w:bookmarkStart w:id="7" w:name="_Toc29823"/>
      <w:bookmarkStart w:id="8" w:name="_Toc513370303"/>
      <w:r>
        <w:rPr>
          <w:rFonts w:hint="eastAsia"/>
          <w:color w:val="auto"/>
          <w:highlight w:val="none"/>
        </w:rPr>
        <w:t>第二章  投标人须知</w:t>
      </w:r>
      <w:bookmarkEnd w:id="5"/>
      <w:bookmarkEnd w:id="6"/>
      <w:bookmarkEnd w:id="7"/>
    </w:p>
    <w:p w14:paraId="248B1FCF">
      <w:pPr>
        <w:pageBreakBefore w:val="0"/>
        <w:shd w:val="clear"/>
        <w:kinsoku/>
        <w:wordWrap w:val="0"/>
        <w:overflowPunct/>
        <w:topLinePunct w:val="0"/>
        <w:bidi w:val="0"/>
        <w:snapToGrid w:val="0"/>
        <w:spacing w:beforeLines="50" w:afterLines="50"/>
        <w:ind w:left="238"/>
        <w:jc w:val="center"/>
        <w:outlineLvl w:val="1"/>
        <w:rPr>
          <w:rFonts w:ascii="宋体" w:hAnsi="宋体"/>
          <w:b/>
          <w:color w:val="auto"/>
          <w:sz w:val="24"/>
          <w:highlight w:val="none"/>
        </w:rPr>
      </w:pPr>
      <w:bookmarkStart w:id="9" w:name="_Toc8644"/>
      <w:bookmarkStart w:id="10" w:name="_Toc125"/>
      <w:bookmarkStart w:id="11" w:name="_Toc29330"/>
      <w:bookmarkStart w:id="12" w:name="_Toc13286"/>
      <w:bookmarkStart w:id="13" w:name="_Toc8680"/>
      <w:bookmarkStart w:id="14" w:name="_Toc6859"/>
      <w:bookmarkStart w:id="15" w:name="_Toc13610"/>
      <w:bookmarkStart w:id="16" w:name="_Toc13106"/>
      <w:bookmarkStart w:id="17" w:name="_Toc17054"/>
      <w:bookmarkStart w:id="18" w:name="_Toc11553"/>
      <w:bookmarkStart w:id="19" w:name="_Toc18095"/>
      <w:bookmarkStart w:id="20" w:name="_Toc11460"/>
      <w:bookmarkStart w:id="21" w:name="_Toc521661576"/>
      <w:bookmarkStart w:id="22" w:name="_Toc18977"/>
      <w:bookmarkStart w:id="23" w:name="_Toc20384"/>
      <w:bookmarkStart w:id="24" w:name="_Toc13072"/>
      <w:bookmarkStart w:id="25" w:name="_Toc15978"/>
      <w:r>
        <w:rPr>
          <w:rFonts w:hint="eastAsia" w:ascii="宋体" w:hAnsi="宋体"/>
          <w:b/>
          <w:color w:val="auto"/>
          <w:sz w:val="24"/>
          <w:highlight w:val="none"/>
        </w:rPr>
        <w:t>前附表</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1"/>
        <w:gridCol w:w="8290"/>
      </w:tblGrid>
      <w:tr w14:paraId="2396F0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17" w:hRule="atLeast"/>
          <w:tblHeader/>
          <w:jc w:val="center"/>
        </w:trPr>
        <w:tc>
          <w:tcPr>
            <w:tcW w:w="861" w:type="dxa"/>
            <w:tcBorders>
              <w:top w:val="single" w:color="auto" w:sz="4" w:space="0"/>
              <w:left w:val="single" w:color="auto" w:sz="4" w:space="0"/>
              <w:bottom w:val="single" w:color="auto" w:sz="4" w:space="0"/>
              <w:right w:val="single" w:color="auto" w:sz="4" w:space="0"/>
            </w:tcBorders>
            <w:vAlign w:val="center"/>
          </w:tcPr>
          <w:p w14:paraId="3A53D26A">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center"/>
              <w:rPr>
                <w:rFonts w:hint="default" w:ascii="宋体" w:hAnsi="宋体"/>
                <w:color w:val="auto"/>
                <w:sz w:val="24"/>
                <w:highlight w:val="none"/>
              </w:rPr>
            </w:pPr>
            <w:r>
              <w:rPr>
                <w:rFonts w:hint="eastAsia" w:ascii="宋体" w:hAnsi="宋体"/>
                <w:color w:val="auto"/>
                <w:sz w:val="24"/>
                <w:highlight w:val="none"/>
              </w:rPr>
              <w:t>序号</w:t>
            </w:r>
          </w:p>
        </w:tc>
        <w:tc>
          <w:tcPr>
            <w:tcW w:w="8290" w:type="dxa"/>
            <w:tcBorders>
              <w:top w:val="single" w:color="auto" w:sz="4" w:space="0"/>
              <w:left w:val="single" w:color="auto" w:sz="4" w:space="0"/>
              <w:bottom w:val="single" w:color="auto" w:sz="4" w:space="0"/>
              <w:right w:val="single" w:color="auto" w:sz="4" w:space="0"/>
            </w:tcBorders>
            <w:vAlign w:val="center"/>
          </w:tcPr>
          <w:p w14:paraId="0A76940A">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firstLine="3000" w:firstLineChars="1250"/>
              <w:rPr>
                <w:rFonts w:hint="default" w:ascii="宋体" w:hAnsi="宋体"/>
                <w:color w:val="auto"/>
                <w:sz w:val="24"/>
                <w:highlight w:val="none"/>
              </w:rPr>
            </w:pPr>
            <w:r>
              <w:rPr>
                <w:rFonts w:hint="eastAsia" w:ascii="宋体" w:hAnsi="宋体"/>
                <w:color w:val="auto"/>
                <w:sz w:val="24"/>
                <w:highlight w:val="none"/>
              </w:rPr>
              <w:t>内容、要求</w:t>
            </w:r>
          </w:p>
        </w:tc>
      </w:tr>
      <w:tr w14:paraId="4972DD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28093B88">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212D1727">
            <w:pPr>
              <w:keepNext w:val="0"/>
              <w:keepLines w:val="0"/>
              <w:pageBreakBefore w:val="0"/>
              <w:suppressLineNumbers w:val="0"/>
              <w:shd w:val="clear"/>
              <w:kinsoku/>
              <w:wordWrap w:val="0"/>
              <w:overflowPunct/>
              <w:topLinePunct w:val="0"/>
              <w:bidi w:val="0"/>
              <w:spacing w:before="0" w:beforeAutospacing="0" w:after="0" w:afterAutospacing="0"/>
              <w:ind w:left="0" w:right="0"/>
              <w:rPr>
                <w:rFonts w:hint="eastAsia" w:ascii="宋体" w:hAnsi="宋体" w:eastAsia="宋体"/>
                <w:b/>
                <w:color w:val="auto"/>
                <w:sz w:val="24"/>
                <w:highlight w:val="none"/>
                <w:lang w:eastAsia="zh-CN"/>
              </w:rPr>
            </w:pPr>
            <w:r>
              <w:rPr>
                <w:rFonts w:hint="eastAsia" w:ascii="宋体" w:hAnsi="宋体"/>
                <w:color w:val="auto"/>
                <w:sz w:val="24"/>
                <w:highlight w:val="none"/>
              </w:rPr>
              <w:t>项目名称：</w:t>
            </w:r>
            <w:r>
              <w:rPr>
                <w:rFonts w:hint="eastAsia" w:ascii="宋体" w:hAnsi="宋体"/>
                <w:color w:val="auto"/>
                <w:sz w:val="24"/>
                <w:highlight w:val="none"/>
                <w:lang w:eastAsia="zh-CN"/>
              </w:rPr>
              <w:t>西塘古镇智慧景区综合（票务）服务平台建设项目</w:t>
            </w:r>
          </w:p>
        </w:tc>
      </w:tr>
      <w:tr w14:paraId="17467E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7700EFC9">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683A817D">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rPr>
                <w:rFonts w:hint="default" w:ascii="宋体" w:hAnsi="宋体" w:cs="Arial"/>
                <w:bCs/>
                <w:color w:val="auto"/>
                <w:sz w:val="24"/>
                <w:highlight w:val="none"/>
              </w:rPr>
            </w:pPr>
            <w:r>
              <w:rPr>
                <w:rFonts w:hint="eastAsia" w:ascii="宋体" w:hAnsi="宋体"/>
                <w:color w:val="auto"/>
                <w:sz w:val="24"/>
                <w:highlight w:val="none"/>
              </w:rPr>
              <w:t>采购内容：</w:t>
            </w:r>
            <w:r>
              <w:rPr>
                <w:rFonts w:hint="eastAsia" w:ascii="宋体" w:hAnsi="宋体" w:cs="Arial"/>
                <w:bCs/>
                <w:color w:val="auto"/>
                <w:sz w:val="24"/>
                <w:highlight w:val="none"/>
              </w:rPr>
              <w:t>详见第三章招标需求</w:t>
            </w:r>
          </w:p>
        </w:tc>
      </w:tr>
      <w:tr w14:paraId="736A1F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17"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26780064">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6573C138">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投标报价及费用：</w:t>
            </w:r>
          </w:p>
          <w:p w14:paraId="68D99478">
            <w:pPr>
              <w:keepNext w:val="0"/>
              <w:keepLines w:val="0"/>
              <w:pageBreakBefore w:val="0"/>
              <w:numPr>
                <w:ilvl w:val="0"/>
                <w:numId w:val="7"/>
              </w:numPr>
              <w:suppressLineNumbers w:val="0"/>
              <w:shd w:val="clear"/>
              <w:kinsoku/>
              <w:wordWrap w:val="0"/>
              <w:overflowPunct/>
              <w:topLinePunct w:val="0"/>
              <w:bidi w:val="0"/>
              <w:snapToGrid w:val="0"/>
              <w:spacing w:before="0" w:beforeAutospacing="0" w:after="0" w:afterAutospacing="0"/>
              <w:ind w:left="0" w:right="0" w:firstLine="0"/>
              <w:jc w:val="left"/>
              <w:rPr>
                <w:rFonts w:hint="default" w:ascii="宋体" w:hAnsi="宋体"/>
                <w:color w:val="auto"/>
                <w:sz w:val="24"/>
                <w:highlight w:val="none"/>
              </w:rPr>
            </w:pPr>
            <w:r>
              <w:rPr>
                <w:rFonts w:hint="eastAsia" w:ascii="宋体" w:hAnsi="宋体"/>
                <w:color w:val="auto"/>
                <w:sz w:val="24"/>
                <w:highlight w:val="none"/>
              </w:rPr>
              <w:t>本项目投标应以人民币报价；</w:t>
            </w:r>
          </w:p>
          <w:p w14:paraId="12C6444E">
            <w:pPr>
              <w:keepNext w:val="0"/>
              <w:keepLines w:val="0"/>
              <w:pageBreakBefore w:val="0"/>
              <w:numPr>
                <w:ilvl w:val="0"/>
                <w:numId w:val="7"/>
              </w:numPr>
              <w:suppressLineNumbers w:val="0"/>
              <w:shd w:val="clear"/>
              <w:kinsoku/>
              <w:wordWrap w:val="0"/>
              <w:overflowPunct/>
              <w:topLinePunct w:val="0"/>
              <w:bidi w:val="0"/>
              <w:snapToGrid w:val="0"/>
              <w:spacing w:before="0" w:beforeAutospacing="0" w:after="0" w:afterAutospacing="0"/>
              <w:ind w:left="0" w:right="0" w:firstLine="0"/>
              <w:jc w:val="left"/>
              <w:rPr>
                <w:rFonts w:hint="default" w:ascii="宋体" w:hAnsi="宋体"/>
                <w:color w:val="auto"/>
                <w:sz w:val="24"/>
                <w:highlight w:val="none"/>
              </w:rPr>
            </w:pPr>
            <w:r>
              <w:rPr>
                <w:rFonts w:hint="eastAsia" w:ascii="宋体" w:hAnsi="宋体"/>
                <w:color w:val="auto"/>
                <w:sz w:val="24"/>
                <w:highlight w:val="none"/>
              </w:rPr>
              <w:t>不论投标结果如何，投标人均应自行承担所有与投标有关的全部费用；</w:t>
            </w:r>
          </w:p>
          <w:p w14:paraId="5525D39D">
            <w:pPr>
              <w:keepNext w:val="0"/>
              <w:keepLines w:val="0"/>
              <w:pageBreakBefore w:val="0"/>
              <w:numPr>
                <w:ilvl w:val="0"/>
                <w:numId w:val="7"/>
              </w:numPr>
              <w:suppressLineNumbers w:val="0"/>
              <w:shd w:val="clear"/>
              <w:kinsoku/>
              <w:wordWrap w:val="0"/>
              <w:overflowPunct/>
              <w:topLinePunct w:val="0"/>
              <w:bidi w:val="0"/>
              <w:snapToGrid w:val="0"/>
              <w:spacing w:before="0" w:beforeAutospacing="0" w:after="0" w:afterAutospacing="0"/>
              <w:ind w:left="0" w:right="0" w:firstLine="0"/>
              <w:jc w:val="left"/>
              <w:rPr>
                <w:rFonts w:hint="default"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投标报价采用</w:t>
            </w:r>
            <w:r>
              <w:rPr>
                <w:rFonts w:hint="eastAsia" w:ascii="宋体" w:hAnsi="宋体" w:eastAsia="宋体" w:cs="Times New Roman"/>
                <w:color w:val="auto"/>
                <w:sz w:val="24"/>
                <w:highlight w:val="none"/>
                <w:u w:val="single"/>
                <w:lang w:eastAsia="zh-CN"/>
              </w:rPr>
              <w:t xml:space="preserve"> </w:t>
            </w:r>
            <w:r>
              <w:rPr>
                <w:rFonts w:hint="eastAsia" w:ascii="宋体" w:hAnsi="宋体" w:eastAsia="宋体" w:cs="Times New Roman"/>
                <w:color w:val="auto"/>
                <w:sz w:val="24"/>
                <w:highlight w:val="none"/>
                <w:u w:val="single"/>
                <w:lang w:val="en-US" w:eastAsia="zh-CN"/>
              </w:rPr>
              <w:t>单价</w:t>
            </w:r>
            <w:r>
              <w:rPr>
                <w:rFonts w:hint="eastAsia" w:ascii="宋体" w:hAnsi="宋体" w:eastAsia="宋体" w:cs="Times New Roman"/>
                <w:color w:val="auto"/>
                <w:sz w:val="24"/>
                <w:highlight w:val="none"/>
                <w:u w:val="single"/>
                <w:lang w:eastAsia="zh-CN"/>
              </w:rPr>
              <w:t xml:space="preserve">固定 </w:t>
            </w:r>
            <w:r>
              <w:rPr>
                <w:rFonts w:hint="eastAsia" w:ascii="宋体" w:hAnsi="宋体" w:eastAsia="宋体" w:cs="Times New Roman"/>
                <w:color w:val="auto"/>
                <w:sz w:val="24"/>
                <w:highlight w:val="none"/>
                <w:lang w:eastAsia="zh-CN"/>
              </w:rPr>
              <w:t>方式进行编制。</w:t>
            </w:r>
            <w:r>
              <w:rPr>
                <w:rFonts w:hint="eastAsia" w:ascii="宋体" w:hAnsi="宋体" w:eastAsia="宋体" w:cs="Times New Roman"/>
                <w:color w:val="auto"/>
                <w:sz w:val="24"/>
                <w:highlight w:val="none"/>
              </w:rPr>
              <w:t>即投标人所填写的</w:t>
            </w:r>
            <w:r>
              <w:rPr>
                <w:rFonts w:hint="eastAsia" w:ascii="宋体" w:hAnsi="宋体" w:eastAsia="宋体" w:cs="Times New Roman"/>
                <w:color w:val="auto"/>
                <w:sz w:val="24"/>
                <w:highlight w:val="none"/>
                <w:u w:val="single"/>
              </w:rPr>
              <w:t>单价</w:t>
            </w:r>
            <w:r>
              <w:rPr>
                <w:rFonts w:hint="eastAsia" w:ascii="宋体" w:hAnsi="宋体" w:eastAsia="宋体" w:cs="Times New Roman"/>
                <w:color w:val="auto"/>
                <w:sz w:val="24"/>
                <w:highlight w:val="none"/>
              </w:rPr>
              <w:t>应</w:t>
            </w:r>
            <w:r>
              <w:rPr>
                <w:rFonts w:hint="eastAsia" w:ascii="宋体" w:hAnsi="宋体" w:eastAsia="宋体" w:cs="Times New Roman"/>
                <w:color w:val="auto"/>
                <w:sz w:val="24"/>
                <w:highlight w:val="none"/>
                <w:lang w:val="en-US" w:eastAsia="zh-CN"/>
              </w:rPr>
              <w:t>包括</w:t>
            </w:r>
            <w:r>
              <w:rPr>
                <w:rFonts w:hint="eastAsia" w:ascii="宋体" w:hAnsi="宋体" w:eastAsia="宋体" w:cs="Times New Roman"/>
                <w:color w:val="auto"/>
                <w:sz w:val="24"/>
                <w:highlight w:val="none"/>
                <w:lang w:eastAsia="zh-CN"/>
              </w:rPr>
              <w:t>投标报价应包括完成本项目所需的软件开发费（含升级费）、硬件、标准附件、备品备件、专用工具、配套设施、安装调试、系统集成、技术指导、培训、专利费（著作权）、相关验收费用、三年期售后服务费、管理费、利润、风险费、保险、税金、招标代理费等全部费用并承担一切风险责任。</w:t>
            </w:r>
            <w:r>
              <w:rPr>
                <w:rFonts w:hint="eastAsia" w:ascii="宋体" w:hAnsi="宋体" w:eastAsia="宋体" w:cs="Times New Roman"/>
                <w:color w:val="auto"/>
                <w:sz w:val="24"/>
                <w:highlight w:val="none"/>
                <w:lang w:val="en-US" w:eastAsia="zh-CN"/>
              </w:rPr>
              <w:t>投标人计算各项费用时，应按照招标人要求，根据项目特点并结合市场行情及投标人自身状况，考虑各项可能发生的风险费；</w:t>
            </w:r>
          </w:p>
          <w:p w14:paraId="79C1812C">
            <w:pPr>
              <w:keepNext w:val="0"/>
              <w:keepLines w:val="0"/>
              <w:pageBreakBefore w:val="0"/>
              <w:numPr>
                <w:ilvl w:val="0"/>
                <w:numId w:val="7"/>
              </w:numPr>
              <w:suppressLineNumbers w:val="0"/>
              <w:shd w:val="clear"/>
              <w:kinsoku/>
              <w:wordWrap w:val="0"/>
              <w:overflowPunct/>
              <w:topLinePunct w:val="0"/>
              <w:bidi w:val="0"/>
              <w:snapToGrid w:val="0"/>
              <w:spacing w:before="0" w:beforeAutospacing="0" w:after="0" w:afterAutospacing="0"/>
              <w:ind w:left="0" w:right="0" w:firstLine="0"/>
              <w:jc w:val="left"/>
              <w:rPr>
                <w:rFonts w:hint="default" w:ascii="宋体" w:hAnsi="宋体"/>
                <w:color w:val="auto"/>
                <w:sz w:val="24"/>
                <w:highlight w:val="none"/>
              </w:rPr>
            </w:pPr>
            <w:r>
              <w:rPr>
                <w:rFonts w:hint="eastAsia" w:ascii="宋体" w:hAnsi="宋体"/>
                <w:color w:val="auto"/>
                <w:sz w:val="24"/>
                <w:highlight w:val="none"/>
                <w:lang w:eastAsia="zh-CN"/>
              </w:rPr>
              <w:t>本项目为</w:t>
            </w:r>
            <w:r>
              <w:rPr>
                <w:rFonts w:hint="eastAsia" w:ascii="宋体" w:hAnsi="宋体"/>
                <w:color w:val="auto"/>
                <w:sz w:val="24"/>
                <w:highlight w:val="none"/>
                <w:lang w:val="en-US" w:eastAsia="zh-CN"/>
              </w:rPr>
              <w:t>货物</w:t>
            </w:r>
            <w:r>
              <w:rPr>
                <w:rFonts w:hint="eastAsia" w:ascii="宋体" w:hAnsi="宋体"/>
                <w:color w:val="auto"/>
                <w:sz w:val="24"/>
                <w:highlight w:val="none"/>
                <w:lang w:eastAsia="zh-CN"/>
              </w:rPr>
              <w:t>招标</w:t>
            </w:r>
            <w:r>
              <w:rPr>
                <w:rFonts w:hint="eastAsia" w:ascii="宋体" w:hAnsi="宋体"/>
                <w:color w:val="auto"/>
                <w:sz w:val="24"/>
                <w:highlight w:val="none"/>
                <w:lang w:eastAsia="zh-CN"/>
              </w:rPr>
              <w:t>，招标代理服务费以中标价为计费基准，按下表所列费率采取差额累进方式</w:t>
            </w:r>
            <w:r>
              <w:rPr>
                <w:rFonts w:hint="eastAsia" w:ascii="宋体" w:hAnsi="宋体"/>
                <w:color w:val="auto"/>
                <w:sz w:val="24"/>
                <w:highlight w:val="none"/>
                <w:lang w:val="en-US" w:eastAsia="zh-CN"/>
              </w:rPr>
              <w:t>*70%</w:t>
            </w:r>
            <w:r>
              <w:rPr>
                <w:rFonts w:hint="eastAsia" w:ascii="宋体" w:hAnsi="宋体"/>
                <w:color w:val="auto"/>
                <w:sz w:val="24"/>
                <w:highlight w:val="none"/>
                <w:lang w:eastAsia="zh-CN"/>
              </w:rPr>
              <w:t>计取，该费用由</w:t>
            </w:r>
            <w:r>
              <w:rPr>
                <w:rFonts w:hint="eastAsia" w:ascii="宋体" w:hAnsi="宋体"/>
                <w:color w:val="auto"/>
                <w:sz w:val="24"/>
                <w:highlight w:val="none"/>
                <w:lang w:eastAsia="zh-CN"/>
              </w:rPr>
              <w:t>中标人</w:t>
            </w:r>
            <w:r>
              <w:rPr>
                <w:rFonts w:hint="eastAsia" w:ascii="宋体" w:hAnsi="宋体"/>
                <w:color w:val="auto"/>
                <w:sz w:val="24"/>
                <w:highlight w:val="none"/>
                <w:lang w:eastAsia="zh-CN"/>
              </w:rPr>
              <w:t>在领取中标通知书时支付给招标代理机构，不在投标报价中单列，由各投标人自行考虑在投标报价中，结算时不得以此理由向招标人提出索赔。</w:t>
            </w:r>
          </w:p>
          <w:p w14:paraId="3A0A0456">
            <w:pPr>
              <w:keepNext w:val="0"/>
              <w:keepLines w:val="0"/>
              <w:pageBreakBefore w:val="0"/>
              <w:suppressLineNumbers w:val="0"/>
              <w:shd w:val="clear"/>
              <w:kinsoku/>
              <w:wordWrap w:val="0"/>
              <w:overflowPunct/>
              <w:topLinePunct w:val="0"/>
              <w:bidi w:val="0"/>
              <w:adjustRightInd w:val="0"/>
              <w:snapToGrid w:val="0"/>
              <w:spacing w:before="0" w:beforeAutospacing="0" w:after="0" w:afterAutospacing="0"/>
              <w:ind w:left="0" w:right="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招标代理服务费具体收费标准如下：</w:t>
            </w:r>
          </w:p>
          <w:tbl>
            <w:tblPr>
              <w:tblStyle w:val="48"/>
              <w:tblW w:w="6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7"/>
              <w:gridCol w:w="3163"/>
            </w:tblGrid>
            <w:tr w14:paraId="094A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3187" w:type="dxa"/>
                  <w:noWrap w:val="0"/>
                  <w:vAlign w:val="center"/>
                </w:tcPr>
                <w:p w14:paraId="3E958129">
                  <w:pPr>
                    <w:keepNext w:val="0"/>
                    <w:keepLines w:val="0"/>
                    <w:pageBreakBefore w:val="0"/>
                    <w:suppressLineNumbers w:val="0"/>
                    <w:shd w:val="clear"/>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napToGrid w:val="0"/>
                      <w:color w:val="auto"/>
                      <w:spacing w:val="11"/>
                      <w:kern w:val="0"/>
                      <w:position w:val="-1"/>
                      <w:sz w:val="24"/>
                      <w:highlight w:val="none"/>
                    </w:rPr>
                  </w:pPr>
                  <w:r>
                    <w:rPr>
                      <w:rFonts w:hint="eastAsia" w:ascii="宋体" w:hAnsi="宋体" w:eastAsia="宋体" w:cs="宋体"/>
                      <w:snapToGrid w:val="0"/>
                      <w:color w:val="auto"/>
                      <w:spacing w:val="11"/>
                      <w:kern w:val="0"/>
                      <w:position w:val="-1"/>
                      <w:sz w:val="24"/>
                      <w:highlight w:val="none"/>
                    </w:rPr>
                    <w:t>成交金额</w:t>
                  </w:r>
                </w:p>
                <w:p w14:paraId="2151C876">
                  <w:pPr>
                    <w:keepNext w:val="0"/>
                    <w:keepLines w:val="0"/>
                    <w:pageBreakBefore w:val="0"/>
                    <w:widowControl w:val="0"/>
                    <w:suppressLineNumbers w:val="0"/>
                    <w:shd w:val="clear"/>
                    <w:kinsoku/>
                    <w:wordWrap w:val="0"/>
                    <w:overflowPunct/>
                    <w:topLinePunct w:val="0"/>
                    <w:autoSpaceDE/>
                    <w:autoSpaceDN/>
                    <w:bidi w:val="0"/>
                    <w:spacing w:before="0" w:beforeAutospacing="0" w:after="0" w:afterAutospacing="0" w:line="340" w:lineRule="exact"/>
                    <w:ind w:left="0" w:leftChars="0" w:right="0" w:firstLine="0" w:firstLineChars="0"/>
                    <w:jc w:val="center"/>
                    <w:textAlignment w:val="auto"/>
                    <w:rPr>
                      <w:rFonts w:hint="eastAsia" w:ascii="宋体" w:hAnsi="宋体" w:eastAsia="宋体" w:cs="宋体"/>
                      <w:color w:val="auto"/>
                      <w:spacing w:val="11"/>
                      <w:kern w:val="2"/>
                      <w:position w:val="-1"/>
                      <w:sz w:val="21"/>
                      <w:szCs w:val="24"/>
                      <w:highlight w:val="none"/>
                      <w:lang w:val="en-US" w:eastAsia="zh-CN" w:bidi="ar-SA"/>
                    </w:rPr>
                  </w:pPr>
                  <w:r>
                    <w:rPr>
                      <w:rFonts w:hint="eastAsia" w:ascii="宋体" w:hAnsi="宋体" w:eastAsia="宋体" w:cs="宋体"/>
                      <w:snapToGrid w:val="0"/>
                      <w:color w:val="auto"/>
                      <w:spacing w:val="11"/>
                      <w:kern w:val="0"/>
                      <w:position w:val="-1"/>
                      <w:sz w:val="24"/>
                      <w:szCs w:val="24"/>
                      <w:highlight w:val="none"/>
                      <w:lang w:val="en-US" w:eastAsia="zh-CN" w:bidi="ar-SA"/>
                    </w:rPr>
                    <w:t>（万元）</w:t>
                  </w:r>
                </w:p>
              </w:tc>
              <w:tc>
                <w:tcPr>
                  <w:tcW w:w="3163" w:type="dxa"/>
                  <w:noWrap w:val="0"/>
                  <w:vAlign w:val="center"/>
                </w:tcPr>
                <w:p w14:paraId="398ACB24">
                  <w:pPr>
                    <w:keepNext w:val="0"/>
                    <w:keepLines w:val="0"/>
                    <w:pageBreakBefore w:val="0"/>
                    <w:suppressLineNumbers w:val="0"/>
                    <w:shd w:val="clear"/>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napToGrid w:val="0"/>
                      <w:color w:val="auto"/>
                      <w:spacing w:val="11"/>
                      <w:kern w:val="0"/>
                      <w:position w:val="-1"/>
                      <w:sz w:val="24"/>
                      <w:highlight w:val="none"/>
                    </w:rPr>
                  </w:pPr>
                  <w:r>
                    <w:rPr>
                      <w:rFonts w:hint="eastAsia" w:ascii="宋体" w:hAnsi="宋体" w:eastAsia="宋体" w:cs="宋体"/>
                      <w:snapToGrid w:val="0"/>
                      <w:color w:val="auto"/>
                      <w:spacing w:val="11"/>
                      <w:kern w:val="0"/>
                      <w:position w:val="-1"/>
                      <w:sz w:val="24"/>
                      <w:highlight w:val="none"/>
                    </w:rPr>
                    <w:t>费率</w:t>
                  </w:r>
                </w:p>
              </w:tc>
            </w:tr>
            <w:tr w14:paraId="08C0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7" w:type="dxa"/>
                  <w:noWrap w:val="0"/>
                  <w:vAlign w:val="center"/>
                </w:tcPr>
                <w:p w14:paraId="5CA941B9">
                  <w:pPr>
                    <w:keepNext w:val="0"/>
                    <w:keepLines w:val="0"/>
                    <w:pageBreakBefore w:val="0"/>
                    <w:suppressLineNumbers w:val="0"/>
                    <w:shd w:val="clear"/>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napToGrid w:val="0"/>
                      <w:color w:val="auto"/>
                      <w:spacing w:val="11"/>
                      <w:kern w:val="0"/>
                      <w:position w:val="-1"/>
                      <w:sz w:val="24"/>
                      <w:highlight w:val="none"/>
                    </w:rPr>
                  </w:pPr>
                  <w:r>
                    <w:rPr>
                      <w:rFonts w:hint="eastAsia" w:ascii="宋体" w:hAnsi="宋体" w:eastAsia="宋体" w:cs="宋体"/>
                      <w:snapToGrid w:val="0"/>
                      <w:color w:val="auto"/>
                      <w:spacing w:val="11"/>
                      <w:kern w:val="0"/>
                      <w:position w:val="-1"/>
                      <w:sz w:val="24"/>
                      <w:highlight w:val="none"/>
                    </w:rPr>
                    <w:t>≤100</w:t>
                  </w:r>
                </w:p>
              </w:tc>
              <w:tc>
                <w:tcPr>
                  <w:tcW w:w="3163" w:type="dxa"/>
                  <w:noWrap w:val="0"/>
                  <w:vAlign w:val="center"/>
                </w:tcPr>
                <w:p w14:paraId="346521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snapToGrid w:val="0"/>
                      <w:color w:val="auto"/>
                      <w:spacing w:val="11"/>
                      <w:kern w:val="0"/>
                      <w:position w:val="-1"/>
                      <w:sz w:val="24"/>
                      <w:highlight w:val="none"/>
                    </w:rPr>
                  </w:pPr>
                  <w:r>
                    <w:rPr>
                      <w:rFonts w:hint="eastAsia" w:ascii="宋体" w:hAnsi="宋体" w:eastAsia="宋体" w:cs="宋体"/>
                      <w:i w:val="0"/>
                      <w:iCs w:val="0"/>
                      <w:color w:val="auto"/>
                      <w:kern w:val="0"/>
                      <w:sz w:val="24"/>
                      <w:szCs w:val="24"/>
                      <w:highlight w:val="none"/>
                      <w:u w:val="none"/>
                      <w:lang w:val="en-US" w:eastAsia="zh-CN" w:bidi="ar"/>
                    </w:rPr>
                    <w:t>1.50%</w:t>
                  </w:r>
                </w:p>
              </w:tc>
            </w:tr>
            <w:tr w14:paraId="3A47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7" w:type="dxa"/>
                  <w:noWrap w:val="0"/>
                  <w:vAlign w:val="center"/>
                </w:tcPr>
                <w:p w14:paraId="79029350">
                  <w:pPr>
                    <w:keepNext w:val="0"/>
                    <w:keepLines w:val="0"/>
                    <w:pageBreakBefore w:val="0"/>
                    <w:suppressLineNumbers w:val="0"/>
                    <w:shd w:val="clear"/>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napToGrid w:val="0"/>
                      <w:color w:val="auto"/>
                      <w:spacing w:val="11"/>
                      <w:kern w:val="0"/>
                      <w:position w:val="-1"/>
                      <w:sz w:val="24"/>
                      <w:highlight w:val="none"/>
                    </w:rPr>
                  </w:pPr>
                  <w:r>
                    <w:rPr>
                      <w:rFonts w:hint="eastAsia" w:ascii="宋体" w:hAnsi="宋体" w:eastAsia="宋体" w:cs="宋体"/>
                      <w:snapToGrid w:val="0"/>
                      <w:color w:val="auto"/>
                      <w:spacing w:val="11"/>
                      <w:kern w:val="0"/>
                      <w:position w:val="-1"/>
                      <w:sz w:val="24"/>
                      <w:highlight w:val="none"/>
                    </w:rPr>
                    <w:t>100-500</w:t>
                  </w:r>
                </w:p>
              </w:tc>
              <w:tc>
                <w:tcPr>
                  <w:tcW w:w="3163" w:type="dxa"/>
                  <w:noWrap w:val="0"/>
                  <w:vAlign w:val="center"/>
                </w:tcPr>
                <w:p w14:paraId="2269E50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snapToGrid w:val="0"/>
                      <w:color w:val="auto"/>
                      <w:spacing w:val="11"/>
                      <w:kern w:val="0"/>
                      <w:position w:val="-1"/>
                      <w:sz w:val="24"/>
                      <w:highlight w:val="none"/>
                    </w:rPr>
                  </w:pPr>
                  <w:r>
                    <w:rPr>
                      <w:rFonts w:hint="eastAsia" w:ascii="宋体" w:hAnsi="宋体" w:eastAsia="宋体" w:cs="宋体"/>
                      <w:i w:val="0"/>
                      <w:iCs w:val="0"/>
                      <w:color w:val="auto"/>
                      <w:kern w:val="0"/>
                      <w:sz w:val="24"/>
                      <w:szCs w:val="24"/>
                      <w:highlight w:val="none"/>
                      <w:u w:val="none"/>
                      <w:lang w:val="en-US" w:eastAsia="zh-CN" w:bidi="ar"/>
                    </w:rPr>
                    <w:t>1.10%</w:t>
                  </w:r>
                </w:p>
              </w:tc>
            </w:tr>
            <w:tr w14:paraId="46B4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7" w:type="dxa"/>
                  <w:noWrap w:val="0"/>
                  <w:vAlign w:val="center"/>
                </w:tcPr>
                <w:p w14:paraId="2C72C76A">
                  <w:pPr>
                    <w:keepNext w:val="0"/>
                    <w:keepLines w:val="0"/>
                    <w:pageBreakBefore w:val="0"/>
                    <w:suppressLineNumbers w:val="0"/>
                    <w:shd w:val="clear"/>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napToGrid w:val="0"/>
                      <w:color w:val="auto"/>
                      <w:spacing w:val="11"/>
                      <w:kern w:val="0"/>
                      <w:position w:val="-1"/>
                      <w:sz w:val="24"/>
                      <w:highlight w:val="none"/>
                    </w:rPr>
                  </w:pPr>
                  <w:r>
                    <w:rPr>
                      <w:rFonts w:hint="eastAsia" w:ascii="宋体" w:hAnsi="宋体" w:eastAsia="宋体" w:cs="宋体"/>
                      <w:snapToGrid w:val="0"/>
                      <w:color w:val="auto"/>
                      <w:spacing w:val="11"/>
                      <w:kern w:val="0"/>
                      <w:position w:val="-1"/>
                      <w:sz w:val="24"/>
                      <w:highlight w:val="none"/>
                    </w:rPr>
                    <w:t>500-1000</w:t>
                  </w:r>
                </w:p>
              </w:tc>
              <w:tc>
                <w:tcPr>
                  <w:tcW w:w="3163" w:type="dxa"/>
                  <w:noWrap w:val="0"/>
                  <w:vAlign w:val="center"/>
                </w:tcPr>
                <w:p w14:paraId="0B0CCA1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snapToGrid w:val="0"/>
                      <w:color w:val="auto"/>
                      <w:spacing w:val="11"/>
                      <w:kern w:val="0"/>
                      <w:position w:val="-1"/>
                      <w:sz w:val="24"/>
                      <w:highlight w:val="none"/>
                    </w:rPr>
                  </w:pPr>
                  <w:r>
                    <w:rPr>
                      <w:rFonts w:hint="eastAsia" w:ascii="宋体" w:hAnsi="宋体" w:eastAsia="宋体" w:cs="宋体"/>
                      <w:i w:val="0"/>
                      <w:iCs w:val="0"/>
                      <w:color w:val="auto"/>
                      <w:kern w:val="0"/>
                      <w:sz w:val="24"/>
                      <w:szCs w:val="24"/>
                      <w:highlight w:val="none"/>
                      <w:u w:val="none"/>
                      <w:lang w:val="en-US" w:eastAsia="zh-CN" w:bidi="ar"/>
                    </w:rPr>
                    <w:t>0.80%</w:t>
                  </w:r>
                </w:p>
              </w:tc>
            </w:tr>
            <w:tr w14:paraId="4955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7" w:type="dxa"/>
                  <w:noWrap w:val="0"/>
                  <w:vAlign w:val="center"/>
                </w:tcPr>
                <w:p w14:paraId="5A6F93BD">
                  <w:pPr>
                    <w:keepNext w:val="0"/>
                    <w:keepLines w:val="0"/>
                    <w:pageBreakBefore w:val="0"/>
                    <w:widowControl/>
                    <w:suppressLineNumbers w:val="0"/>
                    <w:shd w:val="clear"/>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i w:val="0"/>
                      <w:iCs w:val="0"/>
                      <w:color w:val="auto"/>
                      <w:spacing w:val="11"/>
                      <w:kern w:val="2"/>
                      <w:position w:val="-1"/>
                      <w:sz w:val="24"/>
                      <w:szCs w:val="24"/>
                      <w:highlight w:val="none"/>
                      <w:u w:val="none"/>
                      <w:lang w:val="en-US" w:eastAsia="zh-CN" w:bidi="ar-SA"/>
                    </w:rPr>
                  </w:pPr>
                  <w:r>
                    <w:rPr>
                      <w:rFonts w:hint="eastAsia" w:ascii="宋体" w:hAnsi="宋体" w:eastAsia="宋体" w:cs="宋体"/>
                      <w:i w:val="0"/>
                      <w:iCs w:val="0"/>
                      <w:color w:val="auto"/>
                      <w:spacing w:val="11"/>
                      <w:kern w:val="0"/>
                      <w:position w:val="-1"/>
                      <w:sz w:val="24"/>
                      <w:szCs w:val="24"/>
                      <w:highlight w:val="none"/>
                      <w:u w:val="none"/>
                      <w:lang w:val="en-US" w:eastAsia="zh-CN" w:bidi="ar"/>
                    </w:rPr>
                    <w:t>1000-5000</w:t>
                  </w:r>
                </w:p>
              </w:tc>
              <w:tc>
                <w:tcPr>
                  <w:tcW w:w="3163" w:type="dxa"/>
                  <w:noWrap w:val="0"/>
                  <w:vAlign w:val="center"/>
                </w:tcPr>
                <w:p w14:paraId="21CC29C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snapToGrid w:val="0"/>
                      <w:color w:val="auto"/>
                      <w:spacing w:val="11"/>
                      <w:kern w:val="0"/>
                      <w:position w:val="-1"/>
                      <w:sz w:val="24"/>
                      <w:highlight w:val="none"/>
                    </w:rPr>
                  </w:pPr>
                  <w:r>
                    <w:rPr>
                      <w:rFonts w:hint="eastAsia" w:ascii="宋体" w:hAnsi="宋体" w:eastAsia="宋体" w:cs="宋体"/>
                      <w:i w:val="0"/>
                      <w:iCs w:val="0"/>
                      <w:color w:val="auto"/>
                      <w:kern w:val="0"/>
                      <w:sz w:val="24"/>
                      <w:szCs w:val="24"/>
                      <w:highlight w:val="none"/>
                      <w:u w:val="none"/>
                      <w:lang w:val="en-US" w:eastAsia="zh-CN" w:bidi="ar"/>
                    </w:rPr>
                    <w:t>0.50%</w:t>
                  </w:r>
                </w:p>
              </w:tc>
            </w:tr>
          </w:tbl>
          <w:p w14:paraId="245D9407">
            <w:pPr>
              <w:keepNext w:val="0"/>
              <w:keepLines w:val="0"/>
              <w:pageBreakBefore w:val="0"/>
              <w:suppressLineNumbers w:val="0"/>
              <w:shd w:val="clear"/>
              <w:kinsoku/>
              <w:wordWrap w:val="0"/>
              <w:overflowPunct/>
              <w:topLinePunct w:val="0"/>
              <w:bidi w:val="0"/>
              <w:adjustRightInd w:val="0"/>
              <w:snapToGrid w:val="0"/>
              <w:spacing w:before="0" w:beforeAutospacing="0" w:after="0" w:afterAutospacing="0"/>
              <w:ind w:left="0" w:right="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招标代理服务费收款账户信息如下：</w:t>
            </w:r>
          </w:p>
          <w:p w14:paraId="29F3B15B">
            <w:pPr>
              <w:keepNext w:val="0"/>
              <w:keepLines w:val="0"/>
              <w:pageBreakBefore w:val="0"/>
              <w:suppressLineNumbers w:val="0"/>
              <w:shd w:val="clear"/>
              <w:kinsoku/>
              <w:wordWrap w:val="0"/>
              <w:overflowPunct/>
              <w:topLinePunct w:val="0"/>
              <w:bidi w:val="0"/>
              <w:adjustRightInd w:val="0"/>
              <w:snapToGrid w:val="0"/>
              <w:spacing w:before="0" w:beforeAutospacing="0" w:after="0" w:afterAutospacing="0"/>
              <w:ind w:left="0" w:right="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交付方式</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银行转账或现金</w:t>
            </w:r>
          </w:p>
          <w:p w14:paraId="06A3580D">
            <w:pPr>
              <w:keepNext w:val="0"/>
              <w:keepLines w:val="0"/>
              <w:pageBreakBefore w:val="0"/>
              <w:suppressLineNumbers w:val="0"/>
              <w:shd w:val="clear"/>
              <w:kinsoku/>
              <w:wordWrap w:val="0"/>
              <w:overflowPunct/>
              <w:topLinePunct w:val="0"/>
              <w:bidi w:val="0"/>
              <w:adjustRightInd w:val="0"/>
              <w:snapToGrid w:val="0"/>
              <w:spacing w:before="0" w:beforeAutospacing="0" w:after="0" w:afterAutospacing="0"/>
              <w:ind w:left="0" w:right="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账户名称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嘉兴市华信工程咨询有限公司嘉善分公司</w:t>
            </w:r>
          </w:p>
          <w:p w14:paraId="5A4C6EC6">
            <w:pPr>
              <w:keepNext w:val="0"/>
              <w:keepLines w:val="0"/>
              <w:pageBreakBefore w:val="0"/>
              <w:suppressLineNumbers w:val="0"/>
              <w:shd w:val="clear"/>
              <w:kinsoku/>
              <w:wordWrap w:val="0"/>
              <w:overflowPunct/>
              <w:topLinePunct w:val="0"/>
              <w:bidi w:val="0"/>
              <w:adjustRightInd w:val="0"/>
              <w:snapToGrid w:val="0"/>
              <w:spacing w:before="0" w:beforeAutospacing="0" w:after="0" w:afterAutospacing="0"/>
              <w:ind w:left="0" w:right="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银行账号</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1204070009200171855</w:t>
            </w:r>
          </w:p>
          <w:p w14:paraId="63F0D1CA">
            <w:pPr>
              <w:keepNext w:val="0"/>
              <w:keepLines w:val="0"/>
              <w:pageBreakBefore w:val="0"/>
              <w:suppressLineNumbers w:val="0"/>
              <w:shd w:val="clear"/>
              <w:kinsoku/>
              <w:wordWrap w:val="0"/>
              <w:overflowPunct/>
              <w:topLinePunct w:val="0"/>
              <w:bidi w:val="0"/>
              <w:adjustRightInd w:val="0"/>
              <w:snapToGrid w:val="0"/>
              <w:spacing w:before="0" w:beforeAutospacing="0" w:after="0" w:afterAutospacing="0"/>
              <w:ind w:left="0" w:right="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中国工商银行</w:t>
            </w:r>
          </w:p>
          <w:p w14:paraId="5DED45C4">
            <w:pPr>
              <w:keepNext w:val="0"/>
              <w:keepLines w:val="0"/>
              <w:pageBreakBefore w:val="0"/>
              <w:numPr>
                <w:ilvl w:val="0"/>
                <w:numId w:val="0"/>
              </w:numPr>
              <w:suppressLineNumbers w:val="0"/>
              <w:shd w:val="clear"/>
              <w:kinsoku/>
              <w:wordWrap w:val="0"/>
              <w:overflowPunct/>
              <w:topLinePunct w:val="0"/>
              <w:bidi w:val="0"/>
              <w:snapToGrid w:val="0"/>
              <w:spacing w:before="0" w:beforeAutospacing="0" w:after="0" w:afterAutospacing="0"/>
              <w:ind w:left="0" w:leftChars="0" w:right="0" w:rightChars="0"/>
              <w:jc w:val="left"/>
              <w:rPr>
                <w:rFonts w:hint="default" w:ascii="宋体" w:hAnsi="宋体"/>
                <w:color w:val="auto"/>
                <w:sz w:val="24"/>
                <w:highlight w:val="none"/>
              </w:rPr>
            </w:pPr>
            <w:r>
              <w:rPr>
                <w:rFonts w:hint="eastAsia" w:ascii="宋体" w:hAnsi="宋体" w:eastAsia="宋体" w:cs="宋体"/>
                <w:color w:val="auto"/>
                <w:sz w:val="24"/>
                <w:highlight w:val="none"/>
              </w:rPr>
              <w:t>开户网点</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工行浙江长三角一体化示范区支行</w:t>
            </w:r>
          </w:p>
        </w:tc>
      </w:tr>
      <w:tr w14:paraId="005A7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2"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13DDB810">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79BDE2C7">
            <w:pPr>
              <w:keepNext w:val="0"/>
              <w:keepLines w:val="0"/>
              <w:pageBreakBefore w:val="0"/>
              <w:suppressLineNumbers w:val="0"/>
              <w:shd w:val="clear"/>
              <w:kinsoku/>
              <w:wordWrap w:val="0"/>
              <w:overflowPunct/>
              <w:topLinePunct w:val="0"/>
              <w:bidi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投标保证金：</w:t>
            </w:r>
            <w:r>
              <w:rPr>
                <w:rFonts w:hint="eastAsia" w:ascii="宋体" w:hAnsi="宋体" w:cs="宋体"/>
                <w:b/>
                <w:color w:val="auto"/>
                <w:kern w:val="0"/>
                <w:sz w:val="24"/>
                <w:highlight w:val="none"/>
              </w:rPr>
              <w:t>无（不需要缴纳）。</w:t>
            </w:r>
          </w:p>
        </w:tc>
      </w:tr>
      <w:tr w14:paraId="44874B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2"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5C118B8B">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077286C6">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eastAsia" w:ascii="宋体" w:hAnsi="宋体" w:eastAsia="宋体"/>
                <w:color w:val="auto"/>
                <w:sz w:val="24"/>
                <w:highlight w:val="none"/>
                <w:lang w:eastAsia="zh-CN"/>
              </w:rPr>
            </w:pPr>
            <w:r>
              <w:rPr>
                <w:rFonts w:hint="eastAsia" w:ascii="宋体" w:hAnsi="宋体"/>
                <w:color w:val="auto"/>
                <w:sz w:val="24"/>
                <w:highlight w:val="none"/>
                <w:lang w:eastAsia="zh-CN"/>
              </w:rPr>
              <w:t>现场踏勘：投标人</w:t>
            </w:r>
            <w:r>
              <w:rPr>
                <w:rFonts w:hint="eastAsia" w:ascii="宋体" w:hAnsi="宋体"/>
                <w:color w:val="auto"/>
                <w:sz w:val="24"/>
                <w:highlight w:val="none"/>
                <w:lang w:val="en-US" w:eastAsia="zh-CN"/>
              </w:rPr>
              <w:t>可</w:t>
            </w:r>
            <w:r>
              <w:rPr>
                <w:rFonts w:hint="eastAsia" w:ascii="宋体" w:hAnsi="宋体"/>
                <w:color w:val="auto"/>
                <w:sz w:val="24"/>
                <w:highlight w:val="none"/>
                <w:lang w:eastAsia="zh-CN"/>
              </w:rPr>
              <w:t>自行踏勘。</w:t>
            </w:r>
          </w:p>
        </w:tc>
      </w:tr>
      <w:tr w14:paraId="0CF772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7B8DEEF8">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37A4A34E">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投标文件组成：</w:t>
            </w:r>
            <w:r>
              <w:rPr>
                <w:rFonts w:hint="eastAsia" w:ascii="宋体" w:hAnsi="宋体"/>
                <w:color w:val="auto"/>
                <w:sz w:val="24"/>
                <w:highlight w:val="none"/>
              </w:rPr>
              <w:t>资信商务及技术文件、报价文件正本各</w:t>
            </w:r>
            <w:r>
              <w:rPr>
                <w:rFonts w:hint="eastAsia" w:ascii="宋体" w:hAnsi="宋体"/>
                <w:color w:val="auto"/>
                <w:sz w:val="24"/>
                <w:highlight w:val="none"/>
                <w:lang w:val="en-US" w:eastAsia="zh-CN"/>
              </w:rPr>
              <w:t>1</w:t>
            </w:r>
            <w:r>
              <w:rPr>
                <w:rFonts w:hint="eastAsia" w:ascii="宋体" w:hAnsi="宋体"/>
                <w:color w:val="auto"/>
                <w:sz w:val="24"/>
                <w:highlight w:val="none"/>
              </w:rPr>
              <w:t>份</w:t>
            </w:r>
            <w:r>
              <w:rPr>
                <w:rFonts w:hint="eastAsia" w:ascii="宋体" w:hAnsi="宋体"/>
                <w:color w:val="auto"/>
                <w:sz w:val="24"/>
                <w:highlight w:val="none"/>
                <w:lang w:eastAsia="zh-CN"/>
              </w:rPr>
              <w:t>，</w:t>
            </w:r>
            <w:r>
              <w:rPr>
                <w:rFonts w:hint="eastAsia" w:ascii="宋体" w:hAnsi="宋体"/>
                <w:color w:val="auto"/>
                <w:sz w:val="24"/>
                <w:highlight w:val="none"/>
              </w:rPr>
              <w:t>副本各</w:t>
            </w:r>
            <w:r>
              <w:rPr>
                <w:rFonts w:hint="eastAsia" w:ascii="宋体" w:hAnsi="宋体"/>
                <w:color w:val="auto"/>
                <w:sz w:val="24"/>
                <w:highlight w:val="none"/>
                <w:lang w:val="en-US" w:eastAsia="zh-CN"/>
              </w:rPr>
              <w:t>2</w:t>
            </w:r>
            <w:r>
              <w:rPr>
                <w:rFonts w:hint="eastAsia" w:ascii="宋体" w:hAnsi="宋体"/>
                <w:color w:val="auto"/>
                <w:sz w:val="24"/>
                <w:highlight w:val="none"/>
              </w:rPr>
              <w:t>份</w:t>
            </w:r>
            <w:r>
              <w:rPr>
                <w:rFonts w:hint="eastAsia" w:ascii="宋体" w:hAnsi="宋体"/>
                <w:color w:val="auto"/>
                <w:sz w:val="24"/>
                <w:highlight w:val="none"/>
              </w:rPr>
              <w:t>；中标通知书发出前，</w:t>
            </w:r>
            <w:r>
              <w:rPr>
                <w:rFonts w:hint="eastAsia" w:ascii="宋体" w:hAnsi="宋体"/>
                <w:color w:val="auto"/>
                <w:sz w:val="24"/>
                <w:highlight w:val="none"/>
                <w:lang w:eastAsia="zh-CN"/>
              </w:rPr>
              <w:t>中标</w:t>
            </w:r>
            <w:r>
              <w:rPr>
                <w:rFonts w:hint="eastAsia" w:ascii="宋体" w:hAnsi="宋体"/>
                <w:color w:val="auto"/>
                <w:sz w:val="24"/>
                <w:highlight w:val="none"/>
                <w:lang w:val="en-US" w:eastAsia="zh-CN"/>
              </w:rPr>
              <w:t>人</w:t>
            </w:r>
            <w:r>
              <w:rPr>
                <w:rFonts w:hint="eastAsia" w:ascii="宋体" w:hAnsi="宋体"/>
                <w:color w:val="auto"/>
                <w:sz w:val="24"/>
                <w:highlight w:val="none"/>
                <w:lang w:eastAsia="zh-CN"/>
              </w:rPr>
              <w:t>须向招标代理机构再提供纸质投标文件</w:t>
            </w:r>
            <w:r>
              <w:rPr>
                <w:rFonts w:hint="eastAsia" w:ascii="宋体" w:hAnsi="宋体"/>
                <w:color w:val="auto"/>
                <w:sz w:val="24"/>
                <w:highlight w:val="none"/>
              </w:rPr>
              <w:t>副本</w:t>
            </w:r>
            <w:r>
              <w:rPr>
                <w:rFonts w:hint="eastAsia" w:ascii="宋体" w:hAnsi="宋体"/>
                <w:color w:val="auto"/>
                <w:sz w:val="24"/>
                <w:highlight w:val="none"/>
              </w:rPr>
              <w:t>一式二份。</w:t>
            </w:r>
          </w:p>
        </w:tc>
      </w:tr>
      <w:tr w14:paraId="1C24B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10"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294CDF09">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36BB1189">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投标人递交投标文件时，如出现下列情况之一的，投标文件将被拒收：</w:t>
            </w:r>
          </w:p>
          <w:p w14:paraId="7CE643AD">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1、未按规定密封或标记的投标文件；</w:t>
            </w:r>
          </w:p>
          <w:p w14:paraId="6E4432D4">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2、由于包装不妥，在送交途中严重破损或失散的投标文件；</w:t>
            </w:r>
          </w:p>
          <w:p w14:paraId="7F378027">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3、仅以非</w:t>
            </w:r>
            <w:r>
              <w:rPr>
                <w:rFonts w:hint="eastAsia" w:ascii="宋体" w:hAnsi="宋体"/>
                <w:color w:val="auto"/>
                <w:sz w:val="24"/>
                <w:highlight w:val="none"/>
                <w:lang w:eastAsia="zh-CN"/>
              </w:rPr>
              <w:t>纸质</w:t>
            </w:r>
            <w:r>
              <w:rPr>
                <w:rFonts w:hint="eastAsia" w:ascii="宋体" w:hAnsi="宋体"/>
                <w:color w:val="auto"/>
                <w:sz w:val="24"/>
                <w:highlight w:val="none"/>
              </w:rPr>
              <w:t>文本形式的投标文件；</w:t>
            </w:r>
          </w:p>
          <w:p w14:paraId="6452B3AF">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4、未成功办理</w:t>
            </w:r>
            <w:r>
              <w:rPr>
                <w:rFonts w:hint="eastAsia" w:ascii="宋体" w:hAnsi="宋体"/>
                <w:color w:val="auto"/>
                <w:sz w:val="24"/>
                <w:highlight w:val="none"/>
              </w:rPr>
              <w:t>招标文件获取</w:t>
            </w:r>
            <w:r>
              <w:rPr>
                <w:rFonts w:hint="eastAsia" w:ascii="宋体" w:hAnsi="宋体"/>
                <w:color w:val="auto"/>
                <w:sz w:val="24"/>
                <w:highlight w:val="none"/>
                <w:lang w:val="en-US" w:eastAsia="zh-CN"/>
              </w:rPr>
              <w:t>手续</w:t>
            </w:r>
            <w:r>
              <w:rPr>
                <w:rFonts w:hint="eastAsia" w:ascii="宋体" w:hAnsi="宋体"/>
                <w:color w:val="auto"/>
                <w:sz w:val="24"/>
                <w:highlight w:val="none"/>
              </w:rPr>
              <w:t>的；</w:t>
            </w:r>
          </w:p>
          <w:p w14:paraId="58353D2C">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5、超过投标截止时间送达的投标文件。</w:t>
            </w:r>
          </w:p>
          <w:p w14:paraId="780F063B">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投标人在投标截止时间前，可以书面通知（加盖公章）</w:t>
            </w:r>
            <w:r>
              <w:rPr>
                <w:rFonts w:hint="eastAsia" w:ascii="宋体" w:hAnsi="宋体"/>
                <w:color w:val="auto"/>
                <w:sz w:val="24"/>
                <w:highlight w:val="none"/>
                <w:lang w:eastAsia="zh-CN"/>
              </w:rPr>
              <w:t>招标人</w:t>
            </w:r>
            <w:r>
              <w:rPr>
                <w:rFonts w:hint="eastAsia" w:ascii="宋体" w:hAnsi="宋体"/>
                <w:color w:val="auto"/>
                <w:sz w:val="24"/>
                <w:highlight w:val="none"/>
              </w:rPr>
              <w:t>或招标代理机构，对所递交的投标文件进行补充、修改或者撤回。补充、修改的内容应当按照招标文件要求签署、盖章、密封后，作为投标文件的组成部分。</w:t>
            </w:r>
          </w:p>
        </w:tc>
      </w:tr>
      <w:tr w14:paraId="3F80E1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5"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2F7A17D2">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469B7C03">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开标时间及地点：</w:t>
            </w:r>
            <w:r>
              <w:rPr>
                <w:rFonts w:hint="eastAsia" w:ascii="宋体" w:hAnsi="宋体"/>
                <w:color w:val="auto"/>
                <w:sz w:val="24"/>
                <w:highlight w:val="none"/>
                <w:lang w:eastAsia="zh-CN"/>
              </w:rPr>
              <w:t>2025年**月**日14时00分</w:t>
            </w:r>
            <w:r>
              <w:rPr>
                <w:rFonts w:hint="eastAsia" w:ascii="宋体" w:hAnsi="宋体"/>
                <w:color w:val="auto"/>
                <w:sz w:val="24"/>
                <w:highlight w:val="none"/>
              </w:rPr>
              <w:t>在</w:t>
            </w:r>
            <w:r>
              <w:rPr>
                <w:rFonts w:hint="eastAsia" w:ascii="宋体" w:hAnsi="宋体"/>
                <w:color w:val="auto"/>
                <w:sz w:val="24"/>
                <w:highlight w:val="none"/>
                <w:lang w:eastAsia="zh-CN"/>
              </w:rPr>
              <w:t>西塘镇宏福路76号（原西塘如歌文化酒店一楼）开标室</w:t>
            </w:r>
            <w:r>
              <w:rPr>
                <w:rFonts w:hint="eastAsia" w:ascii="MS Mincho" w:hAnsi="MS Mincho" w:eastAsia="MS Mincho" w:cs="MS Mincho"/>
                <w:color w:val="auto"/>
                <w:sz w:val="24"/>
                <w:highlight w:val="none"/>
              </w:rPr>
              <w:t>‬‬‬‬‬‬‬‬‬‬‬‬‬‬‬‬‬‬‬‬‬‬‬‬‬‬‬‬‬‬‬‬‬‬‬‬‬‬‬‬‬‬‬‬‬‬‬‬‬‬‬‬‬‬‬‬‬‬‬‬‬‬‬‬‬‬‬‬‬‬‬‬‬‬‬‬‬‬‬‬‬‬‬‬‬‬‬‬‬‬‬‬‬‬‬‬‬‬‬‬‬‬‬‬‬‬‬‬‬‬‬‬‬‬‬‬‬‬‬‬‬‬‬‬‬‬‬‬‬‬</w:t>
            </w:r>
            <w:r>
              <w:rPr>
                <w:rFonts w:hint="eastAsia" w:ascii="宋体" w:hAnsi="宋体"/>
                <w:color w:val="auto"/>
                <w:sz w:val="24"/>
                <w:highlight w:val="none"/>
              </w:rPr>
              <w:t>开标。</w:t>
            </w:r>
          </w:p>
        </w:tc>
      </w:tr>
      <w:tr w14:paraId="3A3450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5510108A">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03FB0C0C">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现场演示：无</w:t>
            </w:r>
          </w:p>
        </w:tc>
      </w:tr>
      <w:tr w14:paraId="212945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618829B1">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2892C775">
            <w:pPr>
              <w:keepNext w:val="0"/>
              <w:keepLines w:val="0"/>
              <w:pageBreakBefore w:val="0"/>
              <w:suppressLineNumbers w:val="0"/>
              <w:shd w:val="clear"/>
              <w:kinsoku/>
              <w:wordWrap w:val="0"/>
              <w:overflowPunct/>
              <w:topLinePunct w:val="0"/>
              <w:autoSpaceDE w:val="0"/>
              <w:autoSpaceDN w:val="0"/>
              <w:bidi w:val="0"/>
              <w:snapToGrid w:val="0"/>
              <w:spacing w:before="0" w:beforeAutospacing="0" w:after="0" w:afterAutospacing="0"/>
              <w:ind w:left="0" w:right="0"/>
              <w:textAlignment w:val="bottom"/>
              <w:rPr>
                <w:rFonts w:hint="default" w:ascii="宋体" w:hAnsi="宋体"/>
                <w:color w:val="auto"/>
                <w:sz w:val="24"/>
                <w:highlight w:val="none"/>
              </w:rPr>
            </w:pPr>
            <w:r>
              <w:rPr>
                <w:rFonts w:hint="eastAsia" w:ascii="宋体" w:hAnsi="宋体"/>
                <w:color w:val="auto"/>
                <w:sz w:val="24"/>
                <w:highlight w:val="none"/>
              </w:rPr>
              <w:t>评标办法及评分标准：详见第四章</w:t>
            </w:r>
          </w:p>
        </w:tc>
      </w:tr>
      <w:tr w14:paraId="35A0F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37C53AF8">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2FA07D75">
            <w:pPr>
              <w:keepNext w:val="0"/>
              <w:keepLines w:val="0"/>
              <w:pageBreakBefore w:val="0"/>
              <w:widowControl w:val="0"/>
              <w:suppressLineNumbers w:val="0"/>
              <w:shd w:val="clear"/>
              <w:kinsoku/>
              <w:wordWrap w:val="0"/>
              <w:overflowPunct/>
              <w:topLinePunct w:val="0"/>
              <w:autoSpaceDE/>
              <w:autoSpaceDN/>
              <w:bidi w:val="0"/>
              <w:adjustRightInd/>
              <w:snapToGrid w:val="0"/>
              <w:spacing w:before="0" w:beforeAutospacing="0" w:after="0" w:afterAutospacing="0"/>
              <w:ind w:left="0" w:right="0"/>
              <w:jc w:val="left"/>
              <w:textAlignment w:val="auto"/>
              <w:rPr>
                <w:rFonts w:hint="default" w:ascii="宋体" w:hAnsi="宋体"/>
                <w:color w:val="auto"/>
                <w:sz w:val="24"/>
                <w:highlight w:val="none"/>
              </w:rPr>
            </w:pPr>
            <w:r>
              <w:rPr>
                <w:rFonts w:hint="eastAsia" w:ascii="宋体" w:hAnsi="宋体"/>
                <w:color w:val="auto"/>
                <w:sz w:val="24"/>
                <w:highlight w:val="none"/>
                <w:lang w:eastAsia="zh-CN"/>
              </w:rPr>
              <w:t>中标候选人公示</w:t>
            </w:r>
            <w:r>
              <w:rPr>
                <w:rFonts w:hint="eastAsia" w:ascii="宋体" w:hAnsi="宋体"/>
                <w:color w:val="auto"/>
                <w:sz w:val="24"/>
                <w:highlight w:val="none"/>
              </w:rPr>
              <w:t>：评标结束后，评标结果在嘉兴市公共资源交易网（嘉善）（</w:t>
            </w:r>
            <w:r>
              <w:rPr>
                <w:rFonts w:hint="eastAsia" w:ascii="宋体" w:hAnsi="宋体"/>
                <w:color w:val="auto"/>
                <w:sz w:val="24"/>
                <w:highlight w:val="none"/>
                <w:lang w:eastAsia="zh-CN"/>
              </w:rPr>
              <w:t>http://jxszwsjb.jiaxing.gov.cn/col/col1229743605/index.html）</w:t>
            </w:r>
            <w:r>
              <w:rPr>
                <w:rFonts w:hint="eastAsia" w:ascii="宋体" w:hAnsi="宋体"/>
                <w:color w:val="auto"/>
                <w:sz w:val="24"/>
                <w:highlight w:val="none"/>
              </w:rPr>
              <w:t xml:space="preserve"> 公示不少于3日。</w:t>
            </w:r>
          </w:p>
        </w:tc>
      </w:tr>
      <w:tr w14:paraId="19A5DA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79"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46C33356">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3C913EF7">
            <w:pPr>
              <w:keepNext w:val="0"/>
              <w:keepLines w:val="0"/>
              <w:pageBreakBefore w:val="0"/>
              <w:widowControl w:val="0"/>
              <w:suppressLineNumbers w:val="0"/>
              <w:shd w:val="clear"/>
              <w:kinsoku/>
              <w:wordWrap w:val="0"/>
              <w:overflowPunct/>
              <w:topLinePunct w:val="0"/>
              <w:autoSpaceDE/>
              <w:autoSpaceDN/>
              <w:bidi w:val="0"/>
              <w:adjustRightInd/>
              <w:snapToGrid w:val="0"/>
              <w:spacing w:before="0" w:beforeAutospacing="0" w:after="0" w:afterAutospacing="0"/>
              <w:ind w:left="0" w:right="0"/>
              <w:jc w:val="left"/>
              <w:textAlignment w:val="auto"/>
              <w:rPr>
                <w:rFonts w:hint="default" w:ascii="宋体" w:hAnsi="宋体"/>
                <w:color w:val="auto"/>
                <w:sz w:val="24"/>
                <w:highlight w:val="none"/>
              </w:rPr>
            </w:pPr>
            <w:r>
              <w:rPr>
                <w:rFonts w:hint="eastAsia" w:ascii="宋体" w:hAnsi="宋体"/>
                <w:color w:val="auto"/>
                <w:sz w:val="24"/>
                <w:highlight w:val="none"/>
                <w:lang w:eastAsia="zh-CN"/>
              </w:rPr>
              <w:t>中标结果公告</w:t>
            </w:r>
            <w:r>
              <w:rPr>
                <w:rFonts w:hint="eastAsia" w:ascii="宋体" w:hAnsi="宋体"/>
                <w:color w:val="auto"/>
                <w:sz w:val="24"/>
                <w:highlight w:val="none"/>
              </w:rPr>
              <w:t>：</w:t>
            </w:r>
            <w:r>
              <w:rPr>
                <w:rFonts w:hint="eastAsia" w:ascii="宋体" w:hAnsi="宋体"/>
                <w:color w:val="auto"/>
                <w:sz w:val="24"/>
                <w:highlight w:val="none"/>
                <w:lang w:eastAsia="zh-CN"/>
              </w:rPr>
              <w:t>招标人</w:t>
            </w:r>
            <w:r>
              <w:rPr>
                <w:rFonts w:hint="eastAsia" w:ascii="宋体" w:hAnsi="宋体"/>
                <w:color w:val="auto"/>
                <w:sz w:val="24"/>
                <w:highlight w:val="none"/>
              </w:rPr>
              <w:t>依法确定中标人后</w:t>
            </w:r>
            <w:r>
              <w:rPr>
                <w:rFonts w:hint="default" w:ascii="宋体" w:hAnsi="宋体"/>
                <w:color w:val="auto"/>
                <w:sz w:val="24"/>
                <w:highlight w:val="none"/>
              </w:rPr>
              <w:t>，采购代理机构以书面形式发出《中标通知书》</w:t>
            </w:r>
            <w:r>
              <w:rPr>
                <w:rFonts w:hint="eastAsia" w:ascii="宋体" w:hAnsi="宋体"/>
                <w:color w:val="auto"/>
                <w:sz w:val="24"/>
                <w:highlight w:val="none"/>
                <w:lang w:eastAsia="zh-CN"/>
              </w:rPr>
              <w:t>，</w:t>
            </w:r>
            <w:r>
              <w:rPr>
                <w:rFonts w:hint="default" w:ascii="宋体" w:hAnsi="宋体"/>
                <w:color w:val="auto"/>
                <w:sz w:val="24"/>
                <w:highlight w:val="none"/>
              </w:rPr>
              <w:t>并同时在</w:t>
            </w:r>
            <w:r>
              <w:rPr>
                <w:rFonts w:hint="eastAsia" w:ascii="宋体" w:hAnsi="宋体"/>
                <w:color w:val="auto"/>
                <w:sz w:val="24"/>
                <w:highlight w:val="none"/>
              </w:rPr>
              <w:t>嘉兴市公共资源交易网（嘉善）（</w:t>
            </w:r>
            <w:r>
              <w:rPr>
                <w:rFonts w:hint="eastAsia" w:ascii="宋体" w:hAnsi="宋体"/>
                <w:color w:val="auto"/>
                <w:sz w:val="24"/>
                <w:highlight w:val="none"/>
                <w:lang w:eastAsia="zh-CN"/>
              </w:rPr>
              <w:t>http://jxszwsjb.jiaxing.gov.cn/col/col1229743605/index.html）</w:t>
            </w:r>
            <w:r>
              <w:rPr>
                <w:rFonts w:hint="default" w:ascii="宋体" w:hAnsi="宋体"/>
                <w:color w:val="auto"/>
                <w:sz w:val="24"/>
                <w:highlight w:val="none"/>
              </w:rPr>
              <w:t>上发布中标公告</w:t>
            </w:r>
            <w:r>
              <w:rPr>
                <w:rFonts w:hint="eastAsia" w:ascii="宋体" w:hAnsi="宋体"/>
                <w:color w:val="auto"/>
                <w:sz w:val="24"/>
                <w:highlight w:val="none"/>
              </w:rPr>
              <w:t>。</w:t>
            </w:r>
          </w:p>
        </w:tc>
      </w:tr>
      <w:tr w14:paraId="6BF38E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8"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4F5A7BBA">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53D25E16">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履约保证金</w:t>
            </w:r>
            <w:r>
              <w:rPr>
                <w:rFonts w:hint="eastAsia" w:ascii="宋体" w:hAnsi="宋体"/>
                <w:color w:val="auto"/>
                <w:sz w:val="24"/>
                <w:highlight w:val="none"/>
                <w:lang w:eastAsia="zh-CN"/>
              </w:rPr>
              <w:t>：</w:t>
            </w:r>
            <w:r>
              <w:rPr>
                <w:rFonts w:hint="eastAsia" w:ascii="宋体" w:hAnsi="宋体"/>
                <w:color w:val="auto"/>
                <w:sz w:val="24"/>
                <w:highlight w:val="none"/>
              </w:rPr>
              <w:t>中标人须在</w:t>
            </w:r>
            <w:r>
              <w:rPr>
                <w:rFonts w:hint="eastAsia" w:ascii="宋体" w:hAnsi="宋体"/>
                <w:color w:val="auto"/>
                <w:sz w:val="24"/>
                <w:highlight w:val="none"/>
                <w:lang w:eastAsia="zh-CN"/>
              </w:rPr>
              <w:t>合同签订前</w:t>
            </w:r>
            <w:r>
              <w:rPr>
                <w:rFonts w:hint="eastAsia" w:ascii="宋体" w:hAnsi="宋体"/>
                <w:color w:val="auto"/>
                <w:sz w:val="24"/>
                <w:highlight w:val="none"/>
              </w:rPr>
              <w:t>向</w:t>
            </w:r>
            <w:r>
              <w:rPr>
                <w:rFonts w:hint="eastAsia" w:ascii="宋体" w:hAnsi="宋体"/>
                <w:color w:val="auto"/>
                <w:sz w:val="24"/>
                <w:highlight w:val="none"/>
                <w:lang w:eastAsia="zh-CN"/>
              </w:rPr>
              <w:t>招标人</w:t>
            </w:r>
            <w:r>
              <w:rPr>
                <w:rFonts w:hint="eastAsia" w:ascii="宋体" w:hAnsi="宋体"/>
                <w:color w:val="auto"/>
                <w:sz w:val="24"/>
                <w:highlight w:val="none"/>
              </w:rPr>
              <w:t>缴纳合同金额的1%作为履约保证金，待</w:t>
            </w:r>
            <w:r>
              <w:rPr>
                <w:rFonts w:hint="eastAsia" w:ascii="宋体" w:hAnsi="宋体"/>
                <w:color w:val="auto"/>
                <w:sz w:val="24"/>
                <w:highlight w:val="none"/>
                <w:lang w:eastAsia="zh-CN"/>
              </w:rPr>
              <w:t>合同履行完毕且验收合格后一个月内无息退还</w:t>
            </w:r>
            <w:r>
              <w:rPr>
                <w:rFonts w:hint="eastAsia" w:ascii="宋体" w:hAnsi="宋体"/>
                <w:color w:val="auto"/>
                <w:sz w:val="24"/>
                <w:highlight w:val="none"/>
              </w:rPr>
              <w:t>。</w:t>
            </w:r>
            <w:r>
              <w:rPr>
                <w:rFonts w:hint="eastAsia" w:ascii="宋体" w:hAnsi="宋体"/>
                <w:color w:val="auto"/>
                <w:sz w:val="24"/>
                <w:highlight w:val="none"/>
                <w:lang w:eastAsia="zh-CN"/>
              </w:rPr>
              <w:t>履约保证金的形式按国家相关规定执行</w:t>
            </w:r>
            <w:r>
              <w:rPr>
                <w:rFonts w:hint="eastAsia" w:ascii="宋体" w:hAnsi="宋体"/>
                <w:color w:val="auto"/>
                <w:sz w:val="24"/>
                <w:highlight w:val="none"/>
              </w:rPr>
              <w:t>。</w:t>
            </w:r>
          </w:p>
        </w:tc>
      </w:tr>
      <w:tr w14:paraId="22B598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9"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6F0CB122">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119A727D">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签订合同时间：中标通知书发出后30日内。</w:t>
            </w:r>
          </w:p>
        </w:tc>
      </w:tr>
      <w:tr w14:paraId="5F0045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1"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5516C312">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692F8191">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预算金额</w:t>
            </w:r>
            <w:r>
              <w:rPr>
                <w:rFonts w:hint="eastAsia" w:ascii="宋体" w:hAnsi="宋体"/>
                <w:color w:val="auto"/>
                <w:sz w:val="24"/>
                <w:highlight w:val="none"/>
                <w:lang w:eastAsia="zh-CN"/>
              </w:rPr>
              <w:t>（最高投标限价）：</w:t>
            </w:r>
            <w:r>
              <w:rPr>
                <w:rFonts w:hint="eastAsia" w:ascii="宋体" w:hAnsi="宋体"/>
                <w:color w:val="auto"/>
                <w:sz w:val="24"/>
                <w:highlight w:val="none"/>
                <w:lang w:val="en-US" w:eastAsia="zh-CN"/>
              </w:rPr>
              <w:t>***万元</w:t>
            </w:r>
            <w:r>
              <w:rPr>
                <w:rFonts w:hint="eastAsia" w:ascii="宋体" w:hAnsi="宋体"/>
                <w:color w:val="auto"/>
                <w:sz w:val="24"/>
                <w:highlight w:val="none"/>
              </w:rPr>
              <w:t>。</w:t>
            </w:r>
          </w:p>
        </w:tc>
      </w:tr>
      <w:tr w14:paraId="250BF5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2DF13413">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64D9017D">
            <w:pPr>
              <w:keepNext w:val="0"/>
              <w:keepLines w:val="0"/>
              <w:pageBreakBefore w:val="0"/>
              <w:suppressLineNumbers w:val="0"/>
              <w:shd w:val="clear"/>
              <w:kinsoku/>
              <w:wordWrap w:val="0"/>
              <w:overflowPunct/>
              <w:topLinePunct w:val="0"/>
              <w:bidi w:val="0"/>
              <w:snapToGrid w:val="0"/>
              <w:spacing w:before="0" w:beforeAutospacing="0" w:after="0" w:afterAutospacing="0"/>
              <w:ind w:left="0" w:right="0"/>
              <w:jc w:val="left"/>
              <w:rPr>
                <w:rFonts w:hint="default" w:ascii="宋体" w:hAnsi="宋体"/>
                <w:color w:val="auto"/>
                <w:sz w:val="24"/>
                <w:highlight w:val="none"/>
              </w:rPr>
            </w:pPr>
            <w:r>
              <w:rPr>
                <w:rFonts w:hint="eastAsia" w:ascii="宋体" w:hAnsi="宋体"/>
                <w:color w:val="auto"/>
                <w:sz w:val="24"/>
                <w:highlight w:val="none"/>
              </w:rPr>
              <w:t>付款方式：详见第三章招标需求。</w:t>
            </w:r>
          </w:p>
        </w:tc>
      </w:tr>
      <w:tr w14:paraId="7B5B97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1"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7C9181FC">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0FF42343">
            <w:pPr>
              <w:keepNext w:val="0"/>
              <w:keepLines w:val="0"/>
              <w:pageBreakBefore w:val="0"/>
              <w:suppressLineNumbers w:val="0"/>
              <w:shd w:val="clear"/>
              <w:kinsoku/>
              <w:wordWrap w:val="0"/>
              <w:overflowPunct/>
              <w:topLinePunct w:val="0"/>
              <w:autoSpaceDE w:val="0"/>
              <w:autoSpaceDN w:val="0"/>
              <w:bidi w:val="0"/>
              <w:snapToGrid w:val="0"/>
              <w:spacing w:before="0" w:beforeAutospacing="0" w:after="0" w:afterAutospacing="0"/>
              <w:ind w:left="0" w:right="0"/>
              <w:textAlignment w:val="bottom"/>
              <w:rPr>
                <w:rFonts w:hint="default" w:ascii="宋体" w:hAnsi="宋体"/>
                <w:color w:val="auto"/>
                <w:sz w:val="24"/>
                <w:highlight w:val="none"/>
              </w:rPr>
            </w:pPr>
            <w:r>
              <w:rPr>
                <w:rFonts w:hint="eastAsia" w:ascii="宋体" w:hAnsi="宋体"/>
                <w:color w:val="auto"/>
                <w:sz w:val="24"/>
                <w:highlight w:val="none"/>
              </w:rPr>
              <w:t>投标文件有效期：</w:t>
            </w:r>
            <w:r>
              <w:rPr>
                <w:rFonts w:hint="eastAsia" w:ascii="宋体" w:hAnsi="宋体" w:cs="Arial"/>
                <w:color w:val="auto"/>
                <w:sz w:val="24"/>
                <w:highlight w:val="none"/>
                <w:u w:val="single"/>
              </w:rPr>
              <w:t>90</w:t>
            </w:r>
            <w:r>
              <w:rPr>
                <w:rFonts w:hint="eastAsia" w:ascii="宋体" w:hAnsi="宋体" w:cs="Arial"/>
                <w:color w:val="auto"/>
                <w:sz w:val="24"/>
                <w:highlight w:val="none"/>
              </w:rPr>
              <w:t>天</w:t>
            </w:r>
            <w:r>
              <w:rPr>
                <w:rFonts w:hint="eastAsia" w:ascii="宋体" w:hAnsi="宋体" w:cs="Arial"/>
                <w:color w:val="auto"/>
                <w:sz w:val="24"/>
                <w:highlight w:val="none"/>
                <w:lang w:eastAsia="zh-CN"/>
              </w:rPr>
              <w:t>。</w:t>
            </w:r>
            <w:r>
              <w:rPr>
                <w:rFonts w:hint="eastAsia" w:ascii="宋体" w:hAnsi="宋体" w:cs="Arial"/>
                <w:color w:val="auto"/>
                <w:sz w:val="24"/>
                <w:highlight w:val="none"/>
              </w:rPr>
              <w:t xml:space="preserve"> </w:t>
            </w:r>
          </w:p>
        </w:tc>
      </w:tr>
      <w:tr w14:paraId="375B66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8"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7E9DCA4E">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24FB8D40">
            <w:pPr>
              <w:keepNext w:val="0"/>
              <w:keepLines w:val="0"/>
              <w:pageBreakBefore w:val="0"/>
              <w:suppressLineNumbers w:val="0"/>
              <w:shd w:val="clear"/>
              <w:kinsoku/>
              <w:wordWrap w:val="0"/>
              <w:overflowPunct/>
              <w:topLinePunct w:val="0"/>
              <w:autoSpaceDE w:val="0"/>
              <w:autoSpaceDN w:val="0"/>
              <w:bidi w:val="0"/>
              <w:spacing w:before="0" w:beforeAutospacing="0" w:after="0" w:afterAutospacing="0"/>
              <w:ind w:left="0" w:right="0"/>
              <w:textAlignment w:val="bottom"/>
              <w:rPr>
                <w:rFonts w:hint="eastAsia" w:ascii="宋体" w:hAnsi="宋体" w:eastAsia="宋体"/>
                <w:color w:val="auto"/>
                <w:sz w:val="24"/>
                <w:highlight w:val="none"/>
                <w:lang w:eastAsia="zh-CN"/>
              </w:rPr>
            </w:pPr>
            <w:r>
              <w:rPr>
                <w:rFonts w:hint="eastAsia" w:ascii="宋体" w:hAnsi="宋体"/>
                <w:color w:val="auto"/>
                <w:sz w:val="24"/>
                <w:highlight w:val="none"/>
              </w:rPr>
              <w:t>招标文件的获取：</w:t>
            </w:r>
            <w:r>
              <w:rPr>
                <w:rFonts w:hint="eastAsia" w:ascii="宋体" w:hAnsi="宋体" w:cs="Arial"/>
                <w:bCs/>
                <w:color w:val="auto"/>
                <w:sz w:val="24"/>
                <w:highlight w:val="none"/>
              </w:rPr>
              <w:t>详见第一章</w:t>
            </w:r>
            <w:r>
              <w:rPr>
                <w:rFonts w:hint="eastAsia" w:ascii="宋体" w:hAnsi="宋体" w:cs="Arial"/>
                <w:bCs/>
                <w:color w:val="auto"/>
                <w:sz w:val="24"/>
                <w:highlight w:val="none"/>
                <w:lang w:eastAsia="zh-CN"/>
              </w:rPr>
              <w:t>公开招标采购公告。</w:t>
            </w:r>
          </w:p>
        </w:tc>
      </w:tr>
      <w:tr w14:paraId="23B5D7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1" w:hRule="atLeast"/>
          <w:jc w:val="center"/>
        </w:trPr>
        <w:tc>
          <w:tcPr>
            <w:tcW w:w="861" w:type="dxa"/>
            <w:tcBorders>
              <w:top w:val="single" w:color="auto" w:sz="4" w:space="0"/>
              <w:left w:val="single" w:color="auto" w:sz="4" w:space="0"/>
              <w:bottom w:val="single" w:color="auto" w:sz="4" w:space="0"/>
              <w:right w:val="single" w:color="auto" w:sz="4" w:space="0"/>
            </w:tcBorders>
            <w:vAlign w:val="center"/>
          </w:tcPr>
          <w:p w14:paraId="07AE8600">
            <w:pPr>
              <w:keepNext w:val="0"/>
              <w:keepLines w:val="0"/>
              <w:pageBreakBefore w:val="0"/>
              <w:widowControl w:val="0"/>
              <w:numPr>
                <w:ilvl w:val="0"/>
                <w:numId w:val="6"/>
              </w:numPr>
              <w:suppressLineNumbers w:val="0"/>
              <w:shd w:val="clear"/>
              <w:kinsoku/>
              <w:wordWrap w:val="0"/>
              <w:overflowPunct/>
              <w:topLinePunct w:val="0"/>
              <w:autoSpaceDE/>
              <w:autoSpaceDN/>
              <w:bidi w:val="0"/>
              <w:adjustRightInd/>
              <w:snapToGrid w:val="0"/>
              <w:spacing w:before="0" w:beforeAutospacing="0" w:after="0" w:afterAutospacing="0"/>
              <w:ind w:left="11" w:leftChars="0" w:right="0" w:firstLine="0" w:firstLineChars="0"/>
              <w:jc w:val="center"/>
              <w:textAlignment w:val="auto"/>
              <w:rPr>
                <w:rFonts w:hint="default" w:ascii="宋体" w:hAnsi="宋体"/>
                <w:color w:val="auto"/>
                <w:sz w:val="24"/>
                <w:highlight w:val="none"/>
              </w:rPr>
            </w:pPr>
          </w:p>
        </w:tc>
        <w:tc>
          <w:tcPr>
            <w:tcW w:w="8290" w:type="dxa"/>
            <w:tcBorders>
              <w:top w:val="single" w:color="auto" w:sz="4" w:space="0"/>
              <w:left w:val="single" w:color="auto" w:sz="4" w:space="0"/>
              <w:bottom w:val="single" w:color="auto" w:sz="4" w:space="0"/>
              <w:right w:val="single" w:color="auto" w:sz="4" w:space="0"/>
            </w:tcBorders>
            <w:vAlign w:val="center"/>
          </w:tcPr>
          <w:p w14:paraId="3B9B31FA">
            <w:pPr>
              <w:keepNext w:val="0"/>
              <w:keepLines w:val="0"/>
              <w:pageBreakBefore w:val="0"/>
              <w:suppressLineNumbers w:val="0"/>
              <w:shd w:val="clear"/>
              <w:kinsoku/>
              <w:wordWrap w:val="0"/>
              <w:overflowPunct/>
              <w:topLinePunct w:val="0"/>
              <w:autoSpaceDE w:val="0"/>
              <w:autoSpaceDN w:val="0"/>
              <w:bidi w:val="0"/>
              <w:snapToGrid w:val="0"/>
              <w:spacing w:before="0" w:beforeAutospacing="0" w:after="0" w:afterAutospacing="0"/>
              <w:ind w:left="0" w:right="0"/>
              <w:textAlignment w:val="bottom"/>
              <w:rPr>
                <w:rFonts w:hint="default" w:ascii="宋体" w:hAnsi="宋体"/>
                <w:color w:val="auto"/>
                <w:sz w:val="24"/>
                <w:highlight w:val="none"/>
              </w:rPr>
            </w:pPr>
            <w:r>
              <w:rPr>
                <w:rFonts w:hint="eastAsia" w:ascii="宋体" w:hAnsi="宋体"/>
                <w:color w:val="auto"/>
                <w:sz w:val="24"/>
                <w:highlight w:val="none"/>
              </w:rPr>
              <w:t>解释：本招标文件的解释权属于</w:t>
            </w:r>
            <w:r>
              <w:rPr>
                <w:rFonts w:hint="eastAsia" w:ascii="宋体" w:hAnsi="宋体"/>
                <w:color w:val="auto"/>
                <w:sz w:val="24"/>
                <w:highlight w:val="none"/>
                <w:lang w:eastAsia="zh-CN"/>
              </w:rPr>
              <w:t>招标人</w:t>
            </w:r>
            <w:r>
              <w:rPr>
                <w:rFonts w:hint="eastAsia" w:ascii="宋体" w:hAnsi="宋体"/>
                <w:color w:val="auto"/>
                <w:sz w:val="24"/>
                <w:highlight w:val="none"/>
              </w:rPr>
              <w:t>和嘉兴市华信工程咨询有限公司。</w:t>
            </w:r>
          </w:p>
        </w:tc>
      </w:tr>
    </w:tbl>
    <w:p w14:paraId="2EB13C9B">
      <w:pPr>
        <w:pStyle w:val="25"/>
        <w:pageBreakBefore w:val="0"/>
        <w:shd w:val="clear"/>
        <w:kinsoku/>
        <w:wordWrap w:val="0"/>
        <w:overflowPunct/>
        <w:topLinePunct w:val="0"/>
        <w:bidi w:val="0"/>
        <w:snapToGrid w:val="0"/>
        <w:spacing w:beforeLines="0" w:afterLines="0" w:line="360" w:lineRule="auto"/>
        <w:jc w:val="center"/>
        <w:rPr>
          <w:rFonts w:hAnsi="宋体"/>
          <w:b/>
          <w:color w:val="auto"/>
          <w:sz w:val="32"/>
          <w:szCs w:val="32"/>
          <w:highlight w:val="none"/>
        </w:rPr>
      </w:pPr>
    </w:p>
    <w:p w14:paraId="4883711D">
      <w:pPr>
        <w:pStyle w:val="25"/>
        <w:pageBreakBefore w:val="0"/>
        <w:shd w:val="clear"/>
        <w:kinsoku/>
        <w:wordWrap w:val="0"/>
        <w:overflowPunct/>
        <w:topLinePunct w:val="0"/>
        <w:bidi w:val="0"/>
        <w:adjustRightInd w:val="0"/>
        <w:snapToGrid w:val="0"/>
        <w:spacing w:beforeLines="0" w:afterLines="0" w:line="360" w:lineRule="auto"/>
        <w:jc w:val="center"/>
        <w:outlineLvl w:val="1"/>
        <w:rPr>
          <w:rFonts w:hAnsi="宋体"/>
          <w:b/>
          <w:color w:val="auto"/>
          <w:sz w:val="28"/>
          <w:szCs w:val="28"/>
          <w:highlight w:val="none"/>
        </w:rPr>
      </w:pPr>
      <w:r>
        <w:rPr>
          <w:rFonts w:hAnsi="宋体"/>
          <w:b/>
          <w:color w:val="auto"/>
          <w:sz w:val="32"/>
          <w:szCs w:val="32"/>
          <w:highlight w:val="none"/>
        </w:rPr>
        <w:br w:type="page"/>
      </w:r>
      <w:bookmarkStart w:id="26" w:name="_Toc10054"/>
      <w:bookmarkStart w:id="27" w:name="_Toc857"/>
      <w:bookmarkStart w:id="28" w:name="_Toc18468"/>
      <w:bookmarkStart w:id="29" w:name="_Toc16887"/>
      <w:bookmarkStart w:id="30" w:name="_Toc13036"/>
      <w:bookmarkStart w:id="31" w:name="_Toc7110"/>
      <w:bookmarkStart w:id="32" w:name="_Toc18674"/>
      <w:bookmarkStart w:id="33" w:name="_Toc24265"/>
      <w:bookmarkStart w:id="34" w:name="_Toc30127"/>
      <w:bookmarkStart w:id="35" w:name="_Toc643"/>
      <w:bookmarkStart w:id="36" w:name="_Toc9525"/>
      <w:bookmarkStart w:id="37" w:name="_Toc25541"/>
      <w:bookmarkStart w:id="38" w:name="_Toc10273"/>
      <w:bookmarkStart w:id="39" w:name="_Toc521661577"/>
      <w:bookmarkStart w:id="40" w:name="_Toc12450"/>
      <w:bookmarkStart w:id="41" w:name="_Toc3192"/>
      <w:bookmarkStart w:id="42" w:name="_Toc18238"/>
      <w:r>
        <w:rPr>
          <w:rFonts w:hint="eastAsia" w:hAnsi="宋体"/>
          <w:b/>
          <w:color w:val="auto"/>
          <w:sz w:val="28"/>
          <w:szCs w:val="28"/>
          <w:highlight w:val="none"/>
        </w:rPr>
        <w:t>一、总  则</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75BF7DFC">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24" w:firstLineChars="176"/>
        <w:jc w:val="left"/>
        <w:textAlignment w:val="auto"/>
        <w:outlineLvl w:val="9"/>
        <w:rPr>
          <w:rFonts w:ascii="宋体" w:hAnsi="宋体"/>
          <w:b/>
          <w:color w:val="auto"/>
          <w:sz w:val="24"/>
          <w:highlight w:val="none"/>
        </w:rPr>
      </w:pPr>
      <w:bookmarkStart w:id="43" w:name="_Toc17707"/>
      <w:bookmarkStart w:id="44" w:name="_Toc529477697"/>
      <w:bookmarkStart w:id="45" w:name="_Toc12175"/>
      <w:bookmarkStart w:id="46" w:name="_Toc6947"/>
      <w:bookmarkStart w:id="47" w:name="_Toc521661578"/>
      <w:bookmarkStart w:id="48" w:name="_Toc31655"/>
      <w:bookmarkStart w:id="49" w:name="_Toc18451"/>
      <w:bookmarkStart w:id="50" w:name="_Toc7486"/>
      <w:bookmarkStart w:id="51" w:name="_Toc24108"/>
      <w:bookmarkStart w:id="52" w:name="_Toc23040"/>
      <w:bookmarkStart w:id="53" w:name="_Toc32276"/>
      <w:bookmarkStart w:id="54" w:name="_Toc31405"/>
      <w:bookmarkStart w:id="55" w:name="_Toc1065"/>
      <w:bookmarkStart w:id="56" w:name="_Toc16620"/>
      <w:bookmarkStart w:id="57" w:name="_Toc12671"/>
      <w:r>
        <w:rPr>
          <w:rFonts w:hint="eastAsia" w:ascii="宋体" w:hAnsi="宋体"/>
          <w:b/>
          <w:color w:val="auto"/>
          <w:sz w:val="24"/>
          <w:highlight w:val="none"/>
        </w:rPr>
        <w:t>（一）</w:t>
      </w:r>
      <w:r>
        <w:rPr>
          <w:rFonts w:ascii="宋体" w:hAnsi="宋体"/>
          <w:b/>
          <w:color w:val="auto"/>
          <w:sz w:val="24"/>
          <w:highlight w:val="none"/>
        </w:rPr>
        <w:t>适用范围</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4AA90CDB">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hint="eastAsia" w:ascii="宋体" w:hAnsi="宋体"/>
          <w:color w:val="auto"/>
          <w:sz w:val="24"/>
          <w:highlight w:val="none"/>
        </w:rPr>
        <w:t>本招标文件适用于该项目的招标、投标、评标、定标、验收、合同履约、付款等行为（法律、法规另有规定的，从其规定）。</w:t>
      </w:r>
    </w:p>
    <w:p w14:paraId="14EBE2C1">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354" w:firstLineChars="147"/>
        <w:jc w:val="left"/>
        <w:textAlignment w:val="auto"/>
        <w:outlineLvl w:val="9"/>
        <w:rPr>
          <w:rFonts w:ascii="宋体" w:hAnsi="宋体"/>
          <w:b/>
          <w:color w:val="auto"/>
          <w:sz w:val="24"/>
          <w:highlight w:val="none"/>
        </w:rPr>
      </w:pPr>
      <w:bookmarkStart w:id="58" w:name="_Toc7630"/>
      <w:bookmarkStart w:id="59" w:name="_Toc521661579"/>
      <w:bookmarkStart w:id="60" w:name="_Toc1963"/>
      <w:bookmarkStart w:id="61" w:name="_Toc26576"/>
      <w:bookmarkStart w:id="62" w:name="_Toc25842"/>
      <w:bookmarkStart w:id="63" w:name="_Toc529477698"/>
      <w:bookmarkStart w:id="64" w:name="_Toc13932"/>
      <w:bookmarkStart w:id="65" w:name="_Toc25756"/>
      <w:bookmarkStart w:id="66" w:name="_Toc29621"/>
      <w:bookmarkStart w:id="67" w:name="_Toc23282"/>
      <w:bookmarkStart w:id="68" w:name="_Toc20963"/>
      <w:bookmarkStart w:id="69" w:name="_Toc32068"/>
      <w:bookmarkStart w:id="70" w:name="_Toc24142"/>
      <w:bookmarkStart w:id="71" w:name="_Toc7933"/>
      <w:bookmarkStart w:id="72" w:name="_Toc25258"/>
      <w:r>
        <w:rPr>
          <w:rFonts w:hint="eastAsia" w:ascii="宋体" w:hAnsi="宋体"/>
          <w:b/>
          <w:color w:val="auto"/>
          <w:sz w:val="24"/>
          <w:highlight w:val="none"/>
        </w:rPr>
        <w:t>（二）定义</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15D35BCE">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hint="eastAsia" w:ascii="宋体" w:hAnsi="宋体"/>
          <w:color w:val="auto"/>
          <w:sz w:val="24"/>
          <w:highlight w:val="none"/>
        </w:rPr>
        <w:t>“</w:t>
      </w:r>
      <w:r>
        <w:rPr>
          <w:rFonts w:ascii="宋体" w:hAnsi="宋体"/>
          <w:color w:val="auto"/>
          <w:sz w:val="24"/>
          <w:highlight w:val="none"/>
        </w:rPr>
        <w:t>招标</w:t>
      </w:r>
      <w:r>
        <w:rPr>
          <w:rFonts w:hint="eastAsia" w:ascii="宋体" w:hAnsi="宋体"/>
          <w:color w:val="auto"/>
          <w:sz w:val="24"/>
          <w:highlight w:val="none"/>
          <w:lang w:eastAsia="zh-CN"/>
        </w:rPr>
        <w:t>招标人</w:t>
      </w:r>
      <w:r>
        <w:rPr>
          <w:rFonts w:hint="eastAsia" w:ascii="宋体" w:hAnsi="宋体"/>
          <w:color w:val="auto"/>
          <w:sz w:val="24"/>
          <w:highlight w:val="none"/>
        </w:rPr>
        <w:t>”</w:t>
      </w:r>
      <w:r>
        <w:rPr>
          <w:rFonts w:ascii="宋体" w:hAnsi="宋体"/>
          <w:color w:val="auto"/>
          <w:sz w:val="24"/>
          <w:highlight w:val="none"/>
        </w:rPr>
        <w:t>系指组织本次招标的</w:t>
      </w:r>
      <w:r>
        <w:rPr>
          <w:rFonts w:hint="eastAsia" w:ascii="宋体" w:hAnsi="宋体"/>
          <w:color w:val="auto"/>
          <w:sz w:val="24"/>
          <w:highlight w:val="none"/>
          <w:lang w:eastAsia="zh-CN"/>
        </w:rPr>
        <w:t>招标人</w:t>
      </w:r>
      <w:r>
        <w:rPr>
          <w:rFonts w:hint="eastAsia" w:ascii="宋体" w:hAnsi="宋体"/>
          <w:color w:val="auto"/>
          <w:sz w:val="24"/>
          <w:highlight w:val="none"/>
        </w:rPr>
        <w:t>（“招标人”）</w:t>
      </w:r>
      <w:r>
        <w:rPr>
          <w:rFonts w:ascii="宋体" w:hAnsi="宋体"/>
          <w:color w:val="auto"/>
          <w:sz w:val="24"/>
          <w:highlight w:val="none"/>
        </w:rPr>
        <w:t>和</w:t>
      </w:r>
      <w:r>
        <w:rPr>
          <w:rFonts w:hint="eastAsia" w:ascii="宋体" w:hAnsi="宋体"/>
          <w:color w:val="auto"/>
          <w:sz w:val="24"/>
          <w:highlight w:val="none"/>
        </w:rPr>
        <w:t>代理机构</w:t>
      </w:r>
      <w:r>
        <w:rPr>
          <w:rFonts w:ascii="宋体" w:hAnsi="宋体"/>
          <w:color w:val="auto"/>
          <w:sz w:val="24"/>
          <w:highlight w:val="none"/>
        </w:rPr>
        <w:t>。</w:t>
      </w:r>
    </w:p>
    <w:p w14:paraId="24DBA89E">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highlight w:val="none"/>
        </w:rPr>
        <w:t>投标人”系指向</w:t>
      </w:r>
      <w:r>
        <w:rPr>
          <w:rFonts w:hint="eastAsia" w:ascii="宋体" w:hAnsi="宋体"/>
          <w:color w:val="auto"/>
          <w:sz w:val="24"/>
          <w:highlight w:val="none"/>
          <w:lang w:eastAsia="zh-CN"/>
        </w:rPr>
        <w:t>招标人</w:t>
      </w:r>
      <w:r>
        <w:rPr>
          <w:rFonts w:ascii="宋体" w:hAnsi="宋体"/>
          <w:color w:val="auto"/>
          <w:sz w:val="24"/>
          <w:highlight w:val="none"/>
        </w:rPr>
        <w:t>提交投标文件的单位或个人。</w:t>
      </w:r>
    </w:p>
    <w:p w14:paraId="32E9473B">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w:t>
      </w:r>
      <w:r>
        <w:rPr>
          <w:rFonts w:ascii="宋体" w:hAnsi="宋体"/>
          <w:color w:val="auto"/>
          <w:sz w:val="24"/>
          <w:highlight w:val="none"/>
        </w:rPr>
        <w:t>“产品”系指</w:t>
      </w:r>
      <w:r>
        <w:rPr>
          <w:rFonts w:hint="eastAsia" w:ascii="宋体" w:hAnsi="宋体"/>
          <w:color w:val="auto"/>
          <w:sz w:val="24"/>
          <w:highlight w:val="none"/>
          <w:lang w:eastAsia="zh-CN"/>
        </w:rPr>
        <w:t>投标人</w:t>
      </w:r>
      <w:r>
        <w:rPr>
          <w:rFonts w:ascii="宋体" w:hAnsi="宋体"/>
          <w:color w:val="auto"/>
          <w:sz w:val="24"/>
          <w:highlight w:val="none"/>
        </w:rPr>
        <w:t>按招标文件规定，须向</w:t>
      </w:r>
      <w:r>
        <w:rPr>
          <w:rFonts w:hint="eastAsia" w:ascii="宋体" w:hAnsi="宋体"/>
          <w:color w:val="auto"/>
          <w:sz w:val="24"/>
          <w:highlight w:val="none"/>
          <w:lang w:eastAsia="zh-CN"/>
        </w:rPr>
        <w:t>招标人</w:t>
      </w:r>
      <w:r>
        <w:rPr>
          <w:rFonts w:ascii="宋体" w:hAnsi="宋体"/>
          <w:color w:val="auto"/>
          <w:sz w:val="24"/>
          <w:highlight w:val="none"/>
        </w:rPr>
        <w:t>提供的一切设备、保险、税金、备品备件、工具、手册及</w:t>
      </w:r>
      <w:r>
        <w:rPr>
          <w:rFonts w:hint="eastAsia" w:ascii="宋体" w:hAnsi="宋体"/>
          <w:color w:val="auto"/>
          <w:sz w:val="24"/>
          <w:highlight w:val="none"/>
          <w:lang w:eastAsia="zh-CN"/>
        </w:rPr>
        <w:t>其他</w:t>
      </w:r>
      <w:r>
        <w:rPr>
          <w:rFonts w:ascii="宋体" w:hAnsi="宋体"/>
          <w:color w:val="auto"/>
          <w:sz w:val="24"/>
          <w:highlight w:val="none"/>
        </w:rPr>
        <w:t>有关技术资料和材料。</w:t>
      </w:r>
    </w:p>
    <w:p w14:paraId="279D7FA4">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w:t>
      </w:r>
      <w:r>
        <w:rPr>
          <w:rFonts w:ascii="宋体" w:hAnsi="宋体"/>
          <w:color w:val="auto"/>
          <w:sz w:val="24"/>
          <w:highlight w:val="none"/>
        </w:rPr>
        <w:t>“服务”系指招标文件规定投标人须承担的安装、调试、技术协助、校准、培训、技术指导以及其他类似的义务。</w:t>
      </w:r>
    </w:p>
    <w:p w14:paraId="59F670FC">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5</w:t>
      </w:r>
      <w:r>
        <w:rPr>
          <w:rFonts w:hint="eastAsia" w:ascii="宋体" w:hAnsi="宋体"/>
          <w:color w:val="auto"/>
          <w:sz w:val="24"/>
          <w:highlight w:val="none"/>
        </w:rPr>
        <w:t>.</w:t>
      </w:r>
      <w:r>
        <w:rPr>
          <w:rFonts w:ascii="宋体" w:hAnsi="宋体"/>
          <w:color w:val="auto"/>
          <w:sz w:val="24"/>
          <w:highlight w:val="none"/>
        </w:rPr>
        <w:t>“项目”系指投标人按招标文件规定向</w:t>
      </w:r>
      <w:r>
        <w:rPr>
          <w:rFonts w:hint="eastAsia" w:ascii="宋体" w:hAnsi="宋体"/>
          <w:color w:val="auto"/>
          <w:sz w:val="24"/>
          <w:highlight w:val="none"/>
          <w:lang w:eastAsia="zh-CN"/>
        </w:rPr>
        <w:t>招标人</w:t>
      </w:r>
      <w:r>
        <w:rPr>
          <w:rFonts w:ascii="宋体" w:hAnsi="宋体"/>
          <w:color w:val="auto"/>
          <w:sz w:val="24"/>
          <w:highlight w:val="none"/>
        </w:rPr>
        <w:t>提供的产品和服务。</w:t>
      </w:r>
    </w:p>
    <w:p w14:paraId="1E80B0C4">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6</w:t>
      </w:r>
      <w:r>
        <w:rPr>
          <w:rFonts w:hint="eastAsia" w:ascii="宋体" w:hAnsi="宋体"/>
          <w:color w:val="auto"/>
          <w:sz w:val="24"/>
          <w:highlight w:val="none"/>
        </w:rPr>
        <w:t>.</w:t>
      </w:r>
      <w:r>
        <w:rPr>
          <w:rFonts w:ascii="宋体" w:hAnsi="宋体"/>
          <w:color w:val="auto"/>
          <w:sz w:val="24"/>
          <w:highlight w:val="none"/>
        </w:rPr>
        <w:t>“书面形式”包括信函、传真、电报等。</w:t>
      </w:r>
    </w:p>
    <w:p w14:paraId="65AE5078">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w:t>
      </w:r>
      <w:r>
        <w:rPr>
          <w:rFonts w:ascii="宋体" w:hAnsi="宋体"/>
          <w:color w:val="auto"/>
          <w:sz w:val="24"/>
          <w:highlight w:val="none"/>
        </w:rPr>
        <w:t xml:space="preserve"> </w:t>
      </w:r>
      <w:r>
        <w:rPr>
          <w:rFonts w:ascii="宋体" w:hAnsi="宋体"/>
          <w:color w:val="auto"/>
          <w:sz w:val="24"/>
          <w:highlight w:val="none"/>
        </w:rPr>
        <w:t>“▲”</w:t>
      </w:r>
      <w:r>
        <w:rPr>
          <w:rFonts w:hint="eastAsia" w:ascii="宋体" w:hAnsi="宋体"/>
          <w:color w:val="auto"/>
          <w:sz w:val="24"/>
          <w:highlight w:val="none"/>
        </w:rPr>
        <w:t>系指实质性要求条款，不满足实质性要求条款的投标文件无效，“★”系指重要技术参数。“●”系指核心产品。</w:t>
      </w:r>
    </w:p>
    <w:p w14:paraId="5EDF3571">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73" w:name="_Toc10170"/>
      <w:bookmarkStart w:id="74" w:name="_Toc22083"/>
      <w:bookmarkStart w:id="75" w:name="_Toc9134"/>
      <w:bookmarkStart w:id="76" w:name="_Toc529477699"/>
      <w:bookmarkStart w:id="77" w:name="_Toc18799"/>
      <w:bookmarkStart w:id="78" w:name="_Toc4604"/>
      <w:bookmarkStart w:id="79" w:name="_Toc27345"/>
      <w:bookmarkStart w:id="80" w:name="_Toc11491"/>
      <w:bookmarkStart w:id="81" w:name="_Toc18792"/>
      <w:bookmarkStart w:id="82" w:name="_Toc13652"/>
      <w:bookmarkStart w:id="83" w:name="_Toc521661580"/>
      <w:bookmarkStart w:id="84" w:name="_Toc2360"/>
      <w:bookmarkStart w:id="85" w:name="_Toc157"/>
      <w:bookmarkStart w:id="86" w:name="_Toc32492"/>
      <w:bookmarkStart w:id="87" w:name="_Toc19180"/>
      <w:r>
        <w:rPr>
          <w:rFonts w:hint="eastAsia" w:ascii="宋体" w:hAnsi="宋体"/>
          <w:b/>
          <w:color w:val="auto"/>
          <w:sz w:val="24"/>
          <w:highlight w:val="none"/>
        </w:rPr>
        <w:t>（三）招标方式</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86C1F0A">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本次招标采用</w:t>
      </w:r>
      <w:r>
        <w:rPr>
          <w:rFonts w:ascii="宋体" w:hAnsi="宋体"/>
          <w:color w:val="auto"/>
          <w:sz w:val="24"/>
          <w:highlight w:val="none"/>
        </w:rPr>
        <w:t>公开招标</w:t>
      </w:r>
      <w:r>
        <w:rPr>
          <w:rFonts w:ascii="宋体" w:hAnsi="宋体"/>
          <w:color w:val="auto"/>
          <w:sz w:val="24"/>
          <w:highlight w:val="none"/>
        </w:rPr>
        <w:t>方式进行。</w:t>
      </w:r>
    </w:p>
    <w:p w14:paraId="7A3028C3">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88" w:name="_Toc24555"/>
      <w:bookmarkStart w:id="89" w:name="_Toc31058"/>
      <w:bookmarkStart w:id="90" w:name="_Toc24946"/>
      <w:bookmarkStart w:id="91" w:name="_Toc24969"/>
      <w:bookmarkStart w:id="92" w:name="_Toc13841"/>
      <w:bookmarkStart w:id="93" w:name="_Toc31895"/>
      <w:bookmarkStart w:id="94" w:name="_Toc21812"/>
      <w:bookmarkStart w:id="95" w:name="_Toc529477700"/>
      <w:bookmarkStart w:id="96" w:name="_Toc25355"/>
      <w:bookmarkStart w:id="97" w:name="_Toc8289"/>
      <w:bookmarkStart w:id="98" w:name="_Toc7059"/>
      <w:bookmarkStart w:id="99" w:name="_Toc30925"/>
      <w:bookmarkStart w:id="100" w:name="_Toc23963"/>
      <w:bookmarkStart w:id="101" w:name="_Toc521661581"/>
      <w:bookmarkStart w:id="102" w:name="_Toc32032"/>
      <w:r>
        <w:rPr>
          <w:rFonts w:hint="eastAsia" w:ascii="宋体" w:hAnsi="宋体"/>
          <w:b/>
          <w:color w:val="auto"/>
          <w:sz w:val="24"/>
          <w:highlight w:val="none"/>
        </w:rPr>
        <w:t>（四）投标委托</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1579D77D">
      <w:pPr>
        <w:pStyle w:val="42"/>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480" w:lineRule="exact"/>
        <w:ind w:left="0" w:right="0" w:firstLine="464" w:firstLineChars="200"/>
        <w:jc w:val="left"/>
        <w:textAlignment w:val="auto"/>
        <w:outlineLvl w:val="9"/>
        <w:rPr>
          <w:rFonts w:hint="eastAsia" w:ascii="宋体" w:hAnsi="宋体" w:eastAsia="宋体" w:cs="宋体"/>
          <w:color w:val="auto"/>
          <w:spacing w:val="-4"/>
          <w:kern w:val="2"/>
          <w:sz w:val="24"/>
          <w:szCs w:val="24"/>
          <w:highlight w:val="none"/>
        </w:rPr>
      </w:pPr>
      <w:bookmarkStart w:id="103" w:name="_Toc14874"/>
      <w:bookmarkStart w:id="104" w:name="_Toc30370"/>
      <w:bookmarkStart w:id="105" w:name="_Toc521661582"/>
      <w:bookmarkStart w:id="106" w:name="_Toc2499"/>
      <w:bookmarkStart w:id="107" w:name="_Toc529477701"/>
      <w:r>
        <w:rPr>
          <w:rFonts w:hint="eastAsia" w:ascii="宋体" w:hAnsi="宋体" w:eastAsia="宋体" w:cs="宋体"/>
          <w:color w:val="auto"/>
          <w:spacing w:val="-4"/>
          <w:kern w:val="2"/>
          <w:sz w:val="24"/>
          <w:szCs w:val="24"/>
          <w:highlight w:val="none"/>
          <w:lang w:val="en-US" w:eastAsia="zh-CN" w:bidi="ar"/>
        </w:rPr>
        <w:t>本项目不要求投标人参加开标会议。</w:t>
      </w:r>
    </w:p>
    <w:p w14:paraId="009A4A5E">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108" w:name="_Toc16131"/>
      <w:bookmarkStart w:id="109" w:name="_Toc25643"/>
      <w:bookmarkStart w:id="110" w:name="_Toc7687"/>
      <w:bookmarkStart w:id="111" w:name="_Toc2545"/>
      <w:bookmarkStart w:id="112" w:name="_Toc1997"/>
      <w:bookmarkStart w:id="113" w:name="_Toc13210"/>
      <w:bookmarkStart w:id="114" w:name="_Toc5569"/>
      <w:bookmarkStart w:id="115" w:name="_Toc11539"/>
      <w:bookmarkStart w:id="116" w:name="_Toc32460"/>
      <w:bookmarkStart w:id="117" w:name="_Toc22487"/>
      <w:r>
        <w:rPr>
          <w:rFonts w:hint="eastAsia" w:ascii="宋体" w:hAnsi="宋体"/>
          <w:b/>
          <w:color w:val="auto"/>
          <w:sz w:val="24"/>
          <w:highlight w:val="none"/>
        </w:rPr>
        <w:t>（五）投标费用</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3F108C27">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olor w:val="auto"/>
          <w:sz w:val="24"/>
          <w:highlight w:val="none"/>
        </w:rPr>
      </w:pPr>
      <w:r>
        <w:rPr>
          <w:rFonts w:hint="eastAsia" w:ascii="宋体" w:hAnsi="宋体"/>
          <w:color w:val="auto"/>
          <w:sz w:val="24"/>
          <w:highlight w:val="none"/>
        </w:rPr>
        <w:t>不论投标结果如何，投标人均应自行承担所有与投标有关的全部费用（招标文件有相反规定除外）。</w:t>
      </w:r>
    </w:p>
    <w:p w14:paraId="01048461">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118" w:name="_Toc22153"/>
      <w:bookmarkStart w:id="119" w:name="_Toc27241"/>
      <w:bookmarkStart w:id="120" w:name="_Toc20141"/>
      <w:bookmarkStart w:id="121" w:name="_Toc24976"/>
      <w:bookmarkStart w:id="122" w:name="_Toc21093"/>
      <w:bookmarkStart w:id="123" w:name="_Toc9597"/>
      <w:bookmarkStart w:id="124" w:name="_Toc14616"/>
      <w:bookmarkStart w:id="125" w:name="_Toc3402"/>
      <w:bookmarkStart w:id="126" w:name="_Toc27369"/>
      <w:bookmarkStart w:id="127" w:name="_Toc529477702"/>
      <w:bookmarkStart w:id="128" w:name="_Toc893"/>
      <w:bookmarkStart w:id="129" w:name="_Toc14557"/>
      <w:bookmarkStart w:id="130" w:name="_Toc23932"/>
      <w:bookmarkStart w:id="131" w:name="_Toc521661583"/>
      <w:bookmarkStart w:id="132" w:name="_Toc19040"/>
      <w:r>
        <w:rPr>
          <w:rFonts w:hint="eastAsia" w:ascii="宋体" w:hAnsi="宋体"/>
          <w:b/>
          <w:color w:val="auto"/>
          <w:sz w:val="24"/>
          <w:highlight w:val="none"/>
        </w:rPr>
        <w:t>（六）联合体投标</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54EC52F7">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720" w:firstLineChars="300"/>
        <w:jc w:val="left"/>
        <w:textAlignment w:val="auto"/>
        <w:outlineLvl w:val="9"/>
        <w:rPr>
          <w:rFonts w:ascii="宋体" w:hAnsi="宋体" w:cs="Arial"/>
          <w:color w:val="auto"/>
          <w:sz w:val="24"/>
          <w:highlight w:val="none"/>
        </w:rPr>
      </w:pPr>
      <w:bookmarkStart w:id="133" w:name="_Toc529477703"/>
      <w:bookmarkStart w:id="134" w:name="_Toc25198"/>
      <w:bookmarkStart w:id="135" w:name="_Toc20577"/>
      <w:bookmarkStart w:id="136" w:name="_Toc521661584"/>
      <w:r>
        <w:rPr>
          <w:rFonts w:hint="eastAsia" w:ascii="宋体" w:hAnsi="宋体" w:cs="Arial"/>
          <w:color w:val="auto"/>
          <w:sz w:val="24"/>
          <w:highlight w:val="none"/>
        </w:rPr>
        <w:t>本项目不接受联合体投标。</w:t>
      </w:r>
    </w:p>
    <w:bookmarkEnd w:id="133"/>
    <w:bookmarkEnd w:id="134"/>
    <w:bookmarkEnd w:id="135"/>
    <w:bookmarkEnd w:id="136"/>
    <w:p w14:paraId="5F2718CD">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137" w:name="_Toc13894"/>
      <w:bookmarkStart w:id="138" w:name="_Toc2694"/>
      <w:bookmarkStart w:id="139" w:name="_Toc21109"/>
      <w:bookmarkStart w:id="140" w:name="_Toc25831"/>
      <w:bookmarkStart w:id="141" w:name="_Toc19727"/>
      <w:bookmarkStart w:id="142" w:name="_Toc25907"/>
      <w:bookmarkStart w:id="143" w:name="_Toc13974"/>
      <w:bookmarkStart w:id="144" w:name="_Toc31088"/>
      <w:bookmarkStart w:id="145" w:name="_Toc23472"/>
      <w:bookmarkStart w:id="146" w:name="_Toc31706"/>
      <w:bookmarkStart w:id="147" w:name="_Toc27577"/>
      <w:bookmarkStart w:id="148" w:name="_Toc2898"/>
      <w:bookmarkStart w:id="149" w:name="_Toc10637"/>
      <w:bookmarkStart w:id="150" w:name="_Toc521661585"/>
      <w:bookmarkStart w:id="151" w:name="_Toc27564"/>
      <w:bookmarkStart w:id="152" w:name="_Toc529477704"/>
      <w:r>
        <w:rPr>
          <w:rFonts w:hint="eastAsia" w:ascii="宋体" w:hAnsi="宋体"/>
          <w:b/>
          <w:color w:val="auto"/>
          <w:sz w:val="24"/>
          <w:highlight w:val="none"/>
        </w:rPr>
        <w:t>（七）转包与分包</w:t>
      </w:r>
      <w:bookmarkEnd w:id="137"/>
      <w:bookmarkEnd w:id="138"/>
      <w:bookmarkEnd w:id="139"/>
      <w:bookmarkEnd w:id="140"/>
      <w:bookmarkEnd w:id="141"/>
      <w:bookmarkEnd w:id="142"/>
      <w:bookmarkEnd w:id="143"/>
      <w:bookmarkEnd w:id="144"/>
      <w:bookmarkEnd w:id="145"/>
      <w:bookmarkEnd w:id="146"/>
      <w:bookmarkEnd w:id="147"/>
    </w:p>
    <w:p w14:paraId="6236574E">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textAlignment w:val="auto"/>
        <w:outlineLvl w:val="9"/>
        <w:rPr>
          <w:rFonts w:ascii="宋体" w:hAns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rPr>
        <w:t>.</w:t>
      </w:r>
      <w:r>
        <w:rPr>
          <w:rFonts w:ascii="宋体" w:hAnsi="宋体" w:cs="宋体"/>
          <w:color w:val="auto"/>
          <w:kern w:val="0"/>
          <w:sz w:val="24"/>
          <w:highlight w:val="none"/>
        </w:rPr>
        <w:t>本项目不允许转包。</w:t>
      </w:r>
    </w:p>
    <w:p w14:paraId="107AADD5">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80" w:firstLineChars="20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2.本项目不允许分包。</w:t>
      </w:r>
    </w:p>
    <w:p w14:paraId="6E5CCF6D">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153" w:name="_Toc9990"/>
      <w:bookmarkStart w:id="154" w:name="_Toc28636"/>
      <w:bookmarkStart w:id="155" w:name="_Toc8230"/>
      <w:bookmarkStart w:id="156" w:name="_Toc7904"/>
      <w:bookmarkStart w:id="157" w:name="_Toc17905"/>
      <w:bookmarkStart w:id="158" w:name="_Toc29025"/>
      <w:bookmarkStart w:id="159" w:name="_Toc3571"/>
      <w:bookmarkStart w:id="160" w:name="_Toc12927"/>
      <w:bookmarkStart w:id="161" w:name="_Toc32506"/>
      <w:bookmarkStart w:id="162" w:name="_Toc19149"/>
      <w:r>
        <w:rPr>
          <w:rFonts w:hint="eastAsia" w:ascii="宋体" w:hAnsi="宋体"/>
          <w:b/>
          <w:color w:val="auto"/>
          <w:sz w:val="24"/>
          <w:highlight w:val="none"/>
        </w:rPr>
        <w:t>（八）特别说明</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66B25926">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left="2" w:leftChars="1" w:firstLine="480" w:firstLineChars="200"/>
        <w:textAlignment w:val="auto"/>
        <w:outlineLvl w:val="9"/>
        <w:rPr>
          <w:rFonts w:hAnsi="宋体"/>
          <w:color w:val="auto"/>
          <w:highlight w:val="none"/>
        </w:rPr>
      </w:pPr>
      <w:r>
        <w:rPr>
          <w:rFonts w:hint="eastAsia" w:hAnsi="宋体"/>
          <w:color w:val="auto"/>
          <w:highlight w:val="none"/>
        </w:rPr>
        <w:t>1.</w:t>
      </w:r>
      <w:r>
        <w:rPr>
          <w:rFonts w:hAnsi="宋体"/>
          <w:color w:val="auto"/>
          <w:highlight w:val="none"/>
        </w:rPr>
        <w:t>投标人投标所使用的资格、信誉、荣誉、业绩与企业认证必须为本法人所拥有。投标人投标所使用的采购项目实施人员必须为本法人员工（或必须为本法人或控股公司正式员工）。</w:t>
      </w:r>
    </w:p>
    <w:p w14:paraId="49DD58AA">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left="2" w:leftChars="1" w:firstLine="480" w:firstLineChars="200"/>
        <w:textAlignment w:val="auto"/>
        <w:outlineLvl w:val="9"/>
        <w:rPr>
          <w:rFonts w:hAnsi="宋体"/>
          <w:color w:val="auto"/>
          <w:highlight w:val="none"/>
        </w:rPr>
      </w:pPr>
      <w:r>
        <w:rPr>
          <w:rFonts w:hint="eastAsia" w:hAnsi="宋体"/>
          <w:color w:val="auto"/>
          <w:highlight w:val="none"/>
        </w:rPr>
        <w:t>2.</w:t>
      </w:r>
      <w:r>
        <w:rPr>
          <w:rFonts w:hAnsi="宋体"/>
          <w:color w:val="auto"/>
          <w:highlight w:val="none"/>
        </w:rPr>
        <w:t>投标人应仔细阅读招标文件的所有内容，按照招标文件的要求提交投标文件，并对所提供的全部资料的真实性承担法律责任。</w:t>
      </w:r>
    </w:p>
    <w:p w14:paraId="3EE3946E">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left="2" w:leftChars="1" w:firstLine="480" w:firstLineChars="200"/>
        <w:textAlignment w:val="auto"/>
        <w:outlineLvl w:val="9"/>
        <w:rPr>
          <w:rFonts w:hint="eastAsia" w:hAnsi="宋体" w:cs="宋体"/>
          <w:color w:val="auto"/>
          <w:highlight w:val="none"/>
          <w:lang w:eastAsia="zh-CN"/>
        </w:rPr>
      </w:pPr>
      <w:r>
        <w:rPr>
          <w:rFonts w:hint="eastAsia" w:ascii="宋体" w:hAnsi="宋体" w:eastAsia="宋体" w:cs="宋体"/>
          <w:color w:val="auto"/>
          <w:highlight w:val="none"/>
        </w:rPr>
        <w:t>3.投标人在投标活动中提供任何虚假材料,其投标无效，并报监管部门查处；中标后发现投标人提供了虚假资料的，</w:t>
      </w:r>
      <w:r>
        <w:rPr>
          <w:rFonts w:hint="eastAsia" w:hAnsi="宋体" w:cs="宋体"/>
          <w:color w:val="auto"/>
          <w:highlight w:val="none"/>
          <w:lang w:eastAsia="zh-CN"/>
        </w:rPr>
        <w:t>招标人</w:t>
      </w:r>
      <w:r>
        <w:rPr>
          <w:rFonts w:hint="eastAsia" w:ascii="宋体" w:hAnsi="宋体" w:eastAsia="宋体" w:cs="宋体"/>
          <w:color w:val="auto"/>
          <w:highlight w:val="none"/>
        </w:rPr>
        <w:t>有权取消其中标资格；若在合同实施期间发现投标人提供了虚假资料，</w:t>
      </w:r>
      <w:r>
        <w:rPr>
          <w:rFonts w:hint="eastAsia" w:hAnsi="宋体" w:cs="宋体"/>
          <w:color w:val="auto"/>
          <w:highlight w:val="none"/>
          <w:lang w:eastAsia="zh-CN"/>
        </w:rPr>
        <w:t>招标人</w:t>
      </w:r>
      <w:r>
        <w:rPr>
          <w:rFonts w:hint="eastAsia" w:ascii="宋体" w:hAnsi="宋体" w:eastAsia="宋体" w:cs="宋体"/>
          <w:color w:val="auto"/>
          <w:highlight w:val="none"/>
        </w:rPr>
        <w:t>将扣除合同价2%作为违约金，且有权单方面解除合同，如因此给</w:t>
      </w:r>
      <w:r>
        <w:rPr>
          <w:rFonts w:hint="eastAsia" w:hAnsi="宋体" w:cs="宋体"/>
          <w:color w:val="auto"/>
          <w:highlight w:val="none"/>
          <w:lang w:eastAsia="zh-CN"/>
        </w:rPr>
        <w:t>招标人</w:t>
      </w:r>
      <w:r>
        <w:rPr>
          <w:rFonts w:hint="eastAsia" w:ascii="宋体" w:hAnsi="宋体" w:eastAsia="宋体" w:cs="宋体"/>
          <w:color w:val="auto"/>
          <w:highlight w:val="none"/>
        </w:rPr>
        <w:t>造成其他损失的，须赔偿相关损失</w:t>
      </w:r>
      <w:r>
        <w:rPr>
          <w:rFonts w:hint="eastAsia" w:hAnsi="宋体" w:cs="宋体"/>
          <w:color w:val="auto"/>
          <w:highlight w:val="none"/>
          <w:lang w:eastAsia="zh-CN"/>
        </w:rPr>
        <w:t>。</w:t>
      </w:r>
    </w:p>
    <w:p w14:paraId="0D6900B5">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left="2" w:leftChars="1" w:firstLine="480" w:firstLineChars="200"/>
        <w:textAlignment w:val="auto"/>
        <w:outlineLvl w:val="9"/>
        <w:rPr>
          <w:rFonts w:hint="eastAsia" w:ascii="宋体" w:hAnsi="宋体" w:eastAsia="宋体" w:cs="宋体"/>
          <w:color w:val="auto"/>
          <w:highlight w:val="none"/>
          <w:lang w:val="en-US" w:eastAsia="zh-CN"/>
        </w:rPr>
      </w:pPr>
      <w:r>
        <w:rPr>
          <w:rFonts w:hint="eastAsia" w:hAnsi="宋体" w:cs="宋体"/>
          <w:color w:val="auto"/>
          <w:highlight w:val="none"/>
          <w:lang w:val="en-US" w:eastAsia="zh-CN"/>
        </w:rPr>
        <w:t>4.提供相同品牌产品且通过资格审查、符合性审查的不同投标人参加同一合同项下投标的，按一家投标人计算，评审后得分最高的同品牌投标人获得中标人推荐资格;评审得分相同的，采取随机抽取方式确定中标人推荐资格，其他同品牌投标人不作为中标候选人</w:t>
      </w:r>
      <w:r>
        <w:rPr>
          <w:rFonts w:hint="eastAsia" w:hAnsi="宋体" w:cs="宋体"/>
          <w:b/>
          <w:bCs/>
          <w:color w:val="auto"/>
          <w:highlight w:val="none"/>
          <w:lang w:val="en-US" w:eastAsia="zh-CN"/>
        </w:rPr>
        <w:t>(仅货物采购项目适用)</w:t>
      </w:r>
      <w:r>
        <w:rPr>
          <w:rFonts w:hint="eastAsia" w:ascii="宋体" w:hAnsi="宋体" w:eastAsia="宋体" w:cs="宋体"/>
          <w:color w:val="auto"/>
          <w:highlight w:val="none"/>
          <w:lang w:val="en-US" w:eastAsia="zh-CN"/>
        </w:rPr>
        <w:t>。</w:t>
      </w:r>
    </w:p>
    <w:p w14:paraId="6BA1C25C">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left="2" w:leftChars="1" w:firstLine="480" w:firstLineChars="200"/>
        <w:textAlignment w:val="auto"/>
        <w:outlineLvl w:val="9"/>
        <w:rPr>
          <w:rFonts w:hAnsi="宋体"/>
          <w:color w:val="auto"/>
          <w:highlight w:val="none"/>
        </w:rPr>
      </w:pPr>
      <w:r>
        <w:rPr>
          <w:rFonts w:hint="eastAsia" w:hAnsi="宋体" w:cs="宋体"/>
          <w:color w:val="auto"/>
          <w:highlight w:val="none"/>
          <w:lang w:val="en-US" w:eastAsia="zh-CN"/>
        </w:rPr>
        <w:t>5.非单一产品采购项目，多家投标人提供的核心产品品牌相同的，按前款规定处理</w:t>
      </w:r>
      <w:r>
        <w:rPr>
          <w:rFonts w:hint="eastAsia" w:hAnsi="宋体" w:cs="宋体"/>
          <w:b/>
          <w:bCs/>
          <w:color w:val="auto"/>
          <w:highlight w:val="none"/>
          <w:lang w:val="en-US" w:eastAsia="zh-CN"/>
        </w:rPr>
        <w:t>(仅货物采购项目适用)</w:t>
      </w:r>
      <w:r>
        <w:rPr>
          <w:rFonts w:hint="eastAsia" w:hAnsi="宋体" w:cs="宋体"/>
          <w:color w:val="auto"/>
          <w:highlight w:val="none"/>
          <w:lang w:val="en-US" w:eastAsia="zh-CN"/>
        </w:rPr>
        <w:t>。</w:t>
      </w:r>
    </w:p>
    <w:p w14:paraId="0632F4B0">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firstLine="472" w:firstLineChars="196"/>
        <w:textAlignment w:val="auto"/>
        <w:outlineLvl w:val="9"/>
        <w:rPr>
          <w:rFonts w:hAnsi="宋体"/>
          <w:b/>
          <w:bCs/>
          <w:color w:val="auto"/>
          <w:highlight w:val="none"/>
        </w:rPr>
      </w:pPr>
      <w:bookmarkStart w:id="163" w:name="_Toc3196"/>
      <w:bookmarkStart w:id="164" w:name="_Toc3947"/>
      <w:bookmarkStart w:id="165" w:name="_Toc30433"/>
      <w:bookmarkStart w:id="166" w:name="_Toc20340"/>
      <w:bookmarkStart w:id="167" w:name="_Toc7945"/>
      <w:bookmarkStart w:id="168" w:name="_Toc529477705"/>
      <w:bookmarkStart w:id="169" w:name="_Toc521661586"/>
      <w:bookmarkStart w:id="170" w:name="_Toc19109"/>
      <w:bookmarkStart w:id="171" w:name="_Toc19647"/>
      <w:bookmarkStart w:id="172" w:name="_Toc27693"/>
      <w:bookmarkStart w:id="173" w:name="_Toc8933"/>
      <w:bookmarkStart w:id="174" w:name="_Toc2621"/>
      <w:bookmarkStart w:id="175" w:name="_Toc16945"/>
      <w:bookmarkStart w:id="176" w:name="_Toc24399"/>
      <w:bookmarkStart w:id="177" w:name="_Toc3882"/>
      <w:r>
        <w:rPr>
          <w:rFonts w:hAnsi="宋体"/>
          <w:b/>
          <w:bCs/>
          <w:color w:val="auto"/>
          <w:highlight w:val="none"/>
        </w:rPr>
        <w:t>（</w:t>
      </w:r>
      <w:r>
        <w:rPr>
          <w:rFonts w:hint="eastAsia" w:hAnsi="宋体"/>
          <w:b/>
          <w:bCs/>
          <w:color w:val="auto"/>
          <w:highlight w:val="none"/>
        </w:rPr>
        <w:t>九</w:t>
      </w:r>
      <w:r>
        <w:rPr>
          <w:rFonts w:hAnsi="宋体"/>
          <w:b/>
          <w:bCs/>
          <w:color w:val="auto"/>
          <w:highlight w:val="none"/>
        </w:rPr>
        <w:t>）质疑和投诉</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2D05EA14">
      <w:pPr>
        <w:pStyle w:val="25"/>
        <w:keepNext w:val="0"/>
        <w:keepLines w:val="0"/>
        <w:pageBreakBefore w:val="0"/>
        <w:widowControl w:val="0"/>
        <w:shd w:val="clear"/>
        <w:kinsoku/>
        <w:wordWrap w:val="0"/>
        <w:overflowPunct/>
        <w:topLinePunct w:val="0"/>
        <w:autoSpaceDE/>
        <w:autoSpaceDN/>
        <w:bidi w:val="0"/>
        <w:snapToGrid w:val="0"/>
        <w:spacing w:beforeLines="0" w:afterLines="0" w:line="480" w:lineRule="exact"/>
        <w:ind w:firstLine="480" w:firstLineChars="200"/>
        <w:textAlignment w:val="auto"/>
        <w:outlineLvl w:val="9"/>
        <w:rPr>
          <w:rFonts w:hAnsi="宋体"/>
          <w:bCs/>
          <w:color w:val="auto"/>
          <w:highlight w:val="none"/>
        </w:rPr>
      </w:pPr>
      <w:r>
        <w:rPr>
          <w:rFonts w:hAnsi="宋体"/>
          <w:bCs/>
          <w:color w:val="auto"/>
          <w:highlight w:val="none"/>
        </w:rPr>
        <w:t>1</w:t>
      </w:r>
      <w:r>
        <w:rPr>
          <w:rFonts w:hint="eastAsia" w:hAnsi="宋体"/>
          <w:bCs/>
          <w:color w:val="auto"/>
          <w:highlight w:val="none"/>
        </w:rPr>
        <w:t>.</w:t>
      </w:r>
      <w:r>
        <w:rPr>
          <w:rFonts w:hAnsi="宋体"/>
          <w:bCs/>
          <w:color w:val="auto"/>
          <w:highlight w:val="none"/>
        </w:rPr>
        <w:t xml:space="preserve"> </w:t>
      </w:r>
      <w:r>
        <w:rPr>
          <w:rFonts w:hint="eastAsia" w:hAnsi="宋体"/>
          <w:bCs/>
          <w:color w:val="auto"/>
          <w:highlight w:val="none"/>
        </w:rPr>
        <w:t>潜在投标人或者其他利害关系人在获取招标文件后，若对招标文件有异议的，请于投标截止时间10日前，以书面形式向招标代理机构（嘉兴市华信工程咨询有限公司）提出，招标代理机构将自收到异议之日起3日内答复。招标代理机构地址：嘉善县罗星街道人民大道1018号时代广场14楼1420室，传真电话：0573-84026676</w:t>
      </w:r>
      <w:r>
        <w:rPr>
          <w:rFonts w:hAnsi="宋体"/>
          <w:bCs/>
          <w:color w:val="auto"/>
          <w:highlight w:val="none"/>
        </w:rPr>
        <w:t>。</w:t>
      </w:r>
    </w:p>
    <w:p w14:paraId="795BBA49">
      <w:pPr>
        <w:pStyle w:val="25"/>
        <w:keepNext w:val="0"/>
        <w:keepLines w:val="0"/>
        <w:pageBreakBefore w:val="0"/>
        <w:widowControl w:val="0"/>
        <w:shd w:val="clear"/>
        <w:kinsoku/>
        <w:wordWrap w:val="0"/>
        <w:overflowPunct/>
        <w:topLinePunct w:val="0"/>
        <w:autoSpaceDE/>
        <w:autoSpaceDN/>
        <w:bidi w:val="0"/>
        <w:snapToGrid w:val="0"/>
        <w:spacing w:beforeLines="0" w:afterLines="0" w:line="480" w:lineRule="exact"/>
        <w:ind w:firstLine="480" w:firstLineChars="200"/>
        <w:textAlignment w:val="auto"/>
        <w:outlineLvl w:val="9"/>
        <w:rPr>
          <w:rFonts w:hAnsi="宋体"/>
          <w:bCs/>
          <w:color w:val="auto"/>
          <w:highlight w:val="none"/>
        </w:rPr>
      </w:pPr>
      <w:r>
        <w:rPr>
          <w:rFonts w:hAnsi="宋体"/>
          <w:bCs/>
          <w:color w:val="auto"/>
          <w:highlight w:val="none"/>
        </w:rPr>
        <w:t>2</w:t>
      </w:r>
      <w:r>
        <w:rPr>
          <w:rFonts w:hint="eastAsia" w:hAnsi="宋体"/>
          <w:bCs/>
          <w:color w:val="auto"/>
          <w:highlight w:val="none"/>
        </w:rPr>
        <w:t>.投标人或者其他利害关系人对评标结果有异议的，应当在中标候选人公示期间提出。招标人应当自收到异议之日起3日内作出答复；作出答复前，应当暂停招标投标活动。</w:t>
      </w:r>
    </w:p>
    <w:p w14:paraId="6003D598">
      <w:pPr>
        <w:pStyle w:val="25"/>
        <w:pageBreakBefore w:val="0"/>
        <w:shd w:val="clear"/>
        <w:kinsoku/>
        <w:wordWrap w:val="0"/>
        <w:overflowPunct/>
        <w:topLinePunct w:val="0"/>
        <w:bidi w:val="0"/>
        <w:adjustRightInd w:val="0"/>
        <w:snapToGrid w:val="0"/>
        <w:spacing w:beforeLines="0" w:afterLines="0" w:line="360" w:lineRule="auto"/>
        <w:ind w:firstLine="480" w:firstLineChars="200"/>
        <w:rPr>
          <w:rFonts w:hAnsi="宋体"/>
          <w:bCs/>
          <w:color w:val="auto"/>
          <w:highlight w:val="none"/>
        </w:rPr>
      </w:pPr>
    </w:p>
    <w:p w14:paraId="6F80B520">
      <w:pPr>
        <w:pStyle w:val="25"/>
        <w:pageBreakBefore w:val="0"/>
        <w:shd w:val="clear"/>
        <w:kinsoku/>
        <w:wordWrap w:val="0"/>
        <w:overflowPunct/>
        <w:topLinePunct w:val="0"/>
        <w:bidi w:val="0"/>
        <w:adjustRightInd w:val="0"/>
        <w:snapToGrid w:val="0"/>
        <w:spacing w:beforeLines="0" w:afterLines="0" w:line="360" w:lineRule="auto"/>
        <w:jc w:val="center"/>
        <w:outlineLvl w:val="1"/>
        <w:rPr>
          <w:rFonts w:hAnsi="宋体"/>
          <w:b/>
          <w:color w:val="auto"/>
          <w:sz w:val="28"/>
          <w:szCs w:val="28"/>
          <w:highlight w:val="none"/>
        </w:rPr>
      </w:pPr>
      <w:bookmarkStart w:id="178" w:name="_Toc16130"/>
      <w:bookmarkStart w:id="179" w:name="_Toc8263"/>
      <w:bookmarkStart w:id="180" w:name="_Toc406402943"/>
      <w:bookmarkStart w:id="181" w:name="_Toc29561"/>
      <w:bookmarkStart w:id="182" w:name="_Toc17439"/>
      <w:bookmarkStart w:id="183" w:name="_Toc1108"/>
      <w:bookmarkStart w:id="184" w:name="_Toc4238"/>
      <w:bookmarkStart w:id="185" w:name="_Toc7984"/>
      <w:bookmarkStart w:id="186" w:name="_Toc406402987"/>
      <w:bookmarkStart w:id="187" w:name="_Toc22546"/>
      <w:bookmarkStart w:id="188" w:name="_Toc29002"/>
      <w:bookmarkStart w:id="189" w:name="_Toc26197"/>
      <w:bookmarkStart w:id="190" w:name="_Toc521661587"/>
      <w:bookmarkStart w:id="191" w:name="_Toc24730"/>
      <w:bookmarkStart w:id="192" w:name="_Toc1390"/>
      <w:bookmarkStart w:id="193" w:name="_Toc229"/>
      <w:bookmarkStart w:id="194" w:name="_Toc22200"/>
      <w:bookmarkStart w:id="195" w:name="_Toc6724"/>
      <w:bookmarkStart w:id="196" w:name="_Toc10973"/>
      <w:r>
        <w:rPr>
          <w:rFonts w:hAnsi="宋体"/>
          <w:b/>
          <w:color w:val="auto"/>
          <w:sz w:val="28"/>
          <w:szCs w:val="28"/>
          <w:highlight w:val="none"/>
        </w:rPr>
        <w:t>二</w:t>
      </w:r>
      <w:r>
        <w:rPr>
          <w:rFonts w:hint="eastAsia" w:hAnsi="宋体"/>
          <w:b/>
          <w:color w:val="auto"/>
          <w:sz w:val="28"/>
          <w:szCs w:val="28"/>
          <w:highlight w:val="none"/>
        </w:rPr>
        <w:t>、</w:t>
      </w:r>
      <w:r>
        <w:rPr>
          <w:rFonts w:hAnsi="宋体"/>
          <w:b/>
          <w:color w:val="auto"/>
          <w:sz w:val="28"/>
          <w:szCs w:val="28"/>
          <w:highlight w:val="none"/>
        </w:rPr>
        <w:t>招标文件</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7FF14F95">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197" w:name="_Toc16629"/>
      <w:bookmarkStart w:id="198" w:name="_Toc521661588"/>
      <w:bookmarkStart w:id="199" w:name="_Toc14480"/>
      <w:bookmarkStart w:id="200" w:name="_Toc19337"/>
      <w:bookmarkStart w:id="201" w:name="_Toc31471"/>
      <w:bookmarkStart w:id="202" w:name="_Toc27076"/>
      <w:bookmarkStart w:id="203" w:name="_Toc23266"/>
      <w:bookmarkStart w:id="204" w:name="_Toc481"/>
      <w:bookmarkStart w:id="205" w:name="_Toc26125"/>
      <w:bookmarkStart w:id="206" w:name="_Toc23271"/>
      <w:bookmarkStart w:id="207" w:name="_Toc16843"/>
      <w:bookmarkStart w:id="208" w:name="_Toc529477707"/>
      <w:bookmarkStart w:id="209" w:name="_Toc30100"/>
      <w:bookmarkStart w:id="210" w:name="_Toc6170"/>
      <w:bookmarkStart w:id="211" w:name="_Toc4640"/>
      <w:r>
        <w:rPr>
          <w:rFonts w:hint="eastAsia" w:ascii="宋体" w:hAnsi="宋体"/>
          <w:b/>
          <w:color w:val="auto"/>
          <w:sz w:val="24"/>
          <w:highlight w:val="none"/>
        </w:rPr>
        <w:t>（一）招标文件的构成</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008C0EE1">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r>
        <w:rPr>
          <w:rFonts w:hint="eastAsia" w:ascii="宋体" w:hAnsi="宋体"/>
          <w:b/>
          <w:color w:val="auto"/>
          <w:sz w:val="24"/>
          <w:highlight w:val="none"/>
        </w:rPr>
        <w:t>本招标文件由以下部分组成</w:t>
      </w:r>
    </w:p>
    <w:p w14:paraId="5D108BC0">
      <w:pPr>
        <w:pStyle w:val="98"/>
        <w:keepNext w:val="0"/>
        <w:keepLines w:val="0"/>
        <w:pageBreakBefore w:val="0"/>
        <w:widowControl w:val="0"/>
        <w:numPr>
          <w:ilvl w:val="3"/>
          <w:numId w:val="8"/>
        </w:numPr>
        <w:shd w:val="clear"/>
        <w:kinsoku/>
        <w:wordWrap w:val="0"/>
        <w:overflowPunct/>
        <w:topLinePunct w:val="0"/>
        <w:autoSpaceDE/>
        <w:autoSpaceDN/>
        <w:bidi w:val="0"/>
        <w:adjustRightInd w:val="0"/>
        <w:snapToGrid w:val="0"/>
        <w:spacing w:line="500" w:lineRule="exact"/>
        <w:ind w:left="993" w:hanging="284" w:firstLineChars="0"/>
        <w:jc w:val="left"/>
        <w:textAlignment w:val="auto"/>
        <w:outlineLvl w:val="9"/>
        <w:rPr>
          <w:rFonts w:ascii="宋体" w:hAnsi="宋体"/>
          <w:color w:val="auto"/>
          <w:highlight w:val="none"/>
        </w:rPr>
      </w:pPr>
      <w:r>
        <w:rPr>
          <w:rFonts w:hint="eastAsia" w:ascii="宋体" w:hAnsi="宋体"/>
          <w:color w:val="auto"/>
          <w:highlight w:val="none"/>
          <w:lang w:eastAsia="zh-CN"/>
        </w:rPr>
        <w:t>公开招标采购公告</w:t>
      </w:r>
    </w:p>
    <w:p w14:paraId="08649D97">
      <w:pPr>
        <w:pStyle w:val="98"/>
        <w:keepNext w:val="0"/>
        <w:keepLines w:val="0"/>
        <w:pageBreakBefore w:val="0"/>
        <w:widowControl w:val="0"/>
        <w:numPr>
          <w:ilvl w:val="3"/>
          <w:numId w:val="8"/>
        </w:numPr>
        <w:shd w:val="clear"/>
        <w:kinsoku/>
        <w:wordWrap w:val="0"/>
        <w:overflowPunct/>
        <w:topLinePunct w:val="0"/>
        <w:autoSpaceDE/>
        <w:autoSpaceDN/>
        <w:bidi w:val="0"/>
        <w:adjustRightInd w:val="0"/>
        <w:snapToGrid w:val="0"/>
        <w:spacing w:line="500" w:lineRule="exact"/>
        <w:ind w:left="993" w:hanging="284" w:firstLineChars="0"/>
        <w:jc w:val="left"/>
        <w:textAlignment w:val="auto"/>
        <w:outlineLvl w:val="9"/>
        <w:rPr>
          <w:rFonts w:ascii="宋体" w:hAnsi="宋体"/>
          <w:color w:val="auto"/>
          <w:highlight w:val="none"/>
        </w:rPr>
      </w:pPr>
      <w:r>
        <w:rPr>
          <w:rFonts w:ascii="宋体" w:hAnsi="宋体"/>
          <w:color w:val="auto"/>
          <w:highlight w:val="none"/>
        </w:rPr>
        <w:t>投标人须知</w:t>
      </w:r>
    </w:p>
    <w:p w14:paraId="29AE0EF6">
      <w:pPr>
        <w:pStyle w:val="98"/>
        <w:keepNext w:val="0"/>
        <w:keepLines w:val="0"/>
        <w:pageBreakBefore w:val="0"/>
        <w:widowControl w:val="0"/>
        <w:numPr>
          <w:ilvl w:val="3"/>
          <w:numId w:val="8"/>
        </w:numPr>
        <w:shd w:val="clear"/>
        <w:kinsoku/>
        <w:wordWrap w:val="0"/>
        <w:overflowPunct/>
        <w:topLinePunct w:val="0"/>
        <w:autoSpaceDE/>
        <w:autoSpaceDN/>
        <w:bidi w:val="0"/>
        <w:adjustRightInd w:val="0"/>
        <w:snapToGrid w:val="0"/>
        <w:spacing w:line="500" w:lineRule="exact"/>
        <w:ind w:left="993" w:hanging="284" w:firstLineChars="0"/>
        <w:jc w:val="left"/>
        <w:textAlignment w:val="auto"/>
        <w:outlineLvl w:val="9"/>
        <w:rPr>
          <w:rFonts w:ascii="宋体" w:hAnsi="宋体"/>
          <w:color w:val="auto"/>
          <w:highlight w:val="none"/>
        </w:rPr>
      </w:pPr>
      <w:r>
        <w:rPr>
          <w:rFonts w:ascii="宋体" w:hAnsi="宋体"/>
          <w:color w:val="auto"/>
          <w:highlight w:val="none"/>
        </w:rPr>
        <w:t>招标需求</w:t>
      </w:r>
    </w:p>
    <w:p w14:paraId="5BDA917C">
      <w:pPr>
        <w:pStyle w:val="98"/>
        <w:keepNext w:val="0"/>
        <w:keepLines w:val="0"/>
        <w:pageBreakBefore w:val="0"/>
        <w:widowControl w:val="0"/>
        <w:numPr>
          <w:ilvl w:val="3"/>
          <w:numId w:val="8"/>
        </w:numPr>
        <w:shd w:val="clear"/>
        <w:kinsoku/>
        <w:wordWrap w:val="0"/>
        <w:overflowPunct/>
        <w:topLinePunct w:val="0"/>
        <w:autoSpaceDE/>
        <w:autoSpaceDN/>
        <w:bidi w:val="0"/>
        <w:adjustRightInd w:val="0"/>
        <w:snapToGrid w:val="0"/>
        <w:spacing w:line="500" w:lineRule="exact"/>
        <w:ind w:left="993" w:hanging="284" w:firstLineChars="0"/>
        <w:jc w:val="left"/>
        <w:textAlignment w:val="auto"/>
        <w:outlineLvl w:val="9"/>
        <w:rPr>
          <w:rFonts w:ascii="宋体" w:hAnsi="宋体"/>
          <w:color w:val="auto"/>
          <w:highlight w:val="none"/>
        </w:rPr>
      </w:pPr>
      <w:r>
        <w:rPr>
          <w:rFonts w:ascii="宋体" w:hAnsi="宋体"/>
          <w:color w:val="auto"/>
          <w:highlight w:val="none"/>
        </w:rPr>
        <w:t>评标办法及</w:t>
      </w:r>
      <w:r>
        <w:rPr>
          <w:rFonts w:hint="eastAsia" w:ascii="宋体" w:hAnsi="宋体"/>
          <w:color w:val="auto"/>
          <w:highlight w:val="none"/>
        </w:rPr>
        <w:t>评分</w:t>
      </w:r>
      <w:r>
        <w:rPr>
          <w:rFonts w:ascii="宋体" w:hAnsi="宋体"/>
          <w:color w:val="auto"/>
          <w:highlight w:val="none"/>
        </w:rPr>
        <w:t>标准</w:t>
      </w:r>
    </w:p>
    <w:p w14:paraId="5D40EA6B">
      <w:pPr>
        <w:pStyle w:val="98"/>
        <w:keepNext w:val="0"/>
        <w:keepLines w:val="0"/>
        <w:pageBreakBefore w:val="0"/>
        <w:widowControl w:val="0"/>
        <w:numPr>
          <w:ilvl w:val="3"/>
          <w:numId w:val="8"/>
        </w:numPr>
        <w:shd w:val="clear"/>
        <w:kinsoku/>
        <w:wordWrap w:val="0"/>
        <w:overflowPunct/>
        <w:topLinePunct w:val="0"/>
        <w:autoSpaceDE/>
        <w:autoSpaceDN/>
        <w:bidi w:val="0"/>
        <w:adjustRightInd w:val="0"/>
        <w:snapToGrid w:val="0"/>
        <w:spacing w:line="500" w:lineRule="exact"/>
        <w:ind w:left="993" w:hanging="284" w:firstLineChars="0"/>
        <w:jc w:val="left"/>
        <w:textAlignment w:val="auto"/>
        <w:outlineLvl w:val="9"/>
        <w:rPr>
          <w:rFonts w:ascii="宋体" w:hAnsi="宋体"/>
          <w:color w:val="auto"/>
          <w:highlight w:val="none"/>
        </w:rPr>
      </w:pPr>
      <w:r>
        <w:rPr>
          <w:rFonts w:hint="eastAsia" w:ascii="宋体" w:hAnsi="宋体"/>
          <w:color w:val="auto"/>
          <w:highlight w:val="none"/>
        </w:rPr>
        <w:t>采购合同</w:t>
      </w:r>
      <w:r>
        <w:rPr>
          <w:rFonts w:hint="eastAsia" w:ascii="宋体" w:hAnsi="宋体"/>
          <w:color w:val="auto"/>
          <w:highlight w:val="none"/>
          <w:lang w:eastAsia="zh-CN"/>
        </w:rPr>
        <w:t>（指引）</w:t>
      </w:r>
    </w:p>
    <w:p w14:paraId="2FD248B6">
      <w:pPr>
        <w:pStyle w:val="98"/>
        <w:keepNext w:val="0"/>
        <w:keepLines w:val="0"/>
        <w:pageBreakBefore w:val="0"/>
        <w:widowControl w:val="0"/>
        <w:numPr>
          <w:ilvl w:val="3"/>
          <w:numId w:val="8"/>
        </w:numPr>
        <w:shd w:val="clear"/>
        <w:kinsoku/>
        <w:wordWrap w:val="0"/>
        <w:overflowPunct/>
        <w:topLinePunct w:val="0"/>
        <w:autoSpaceDE/>
        <w:autoSpaceDN/>
        <w:bidi w:val="0"/>
        <w:adjustRightInd w:val="0"/>
        <w:snapToGrid w:val="0"/>
        <w:spacing w:line="500" w:lineRule="exact"/>
        <w:ind w:left="993" w:hanging="284" w:firstLineChars="0"/>
        <w:jc w:val="left"/>
        <w:textAlignment w:val="auto"/>
        <w:outlineLvl w:val="9"/>
        <w:rPr>
          <w:rFonts w:ascii="宋体" w:hAnsi="宋体"/>
          <w:color w:val="auto"/>
          <w:highlight w:val="none"/>
        </w:rPr>
      </w:pPr>
      <w:r>
        <w:rPr>
          <w:rFonts w:ascii="宋体" w:hAnsi="宋体"/>
          <w:color w:val="auto"/>
          <w:highlight w:val="none"/>
        </w:rPr>
        <w:t>投标文件格式</w:t>
      </w:r>
    </w:p>
    <w:p w14:paraId="27A8E50E">
      <w:pPr>
        <w:pStyle w:val="98"/>
        <w:keepNext w:val="0"/>
        <w:keepLines w:val="0"/>
        <w:pageBreakBefore w:val="0"/>
        <w:widowControl w:val="0"/>
        <w:numPr>
          <w:ilvl w:val="3"/>
          <w:numId w:val="8"/>
        </w:numPr>
        <w:shd w:val="clear"/>
        <w:kinsoku/>
        <w:wordWrap w:val="0"/>
        <w:overflowPunct/>
        <w:topLinePunct w:val="0"/>
        <w:autoSpaceDE/>
        <w:autoSpaceDN/>
        <w:bidi w:val="0"/>
        <w:adjustRightInd w:val="0"/>
        <w:snapToGrid w:val="0"/>
        <w:spacing w:line="500" w:lineRule="exact"/>
        <w:ind w:left="993" w:hanging="284" w:firstLineChars="0"/>
        <w:jc w:val="left"/>
        <w:textAlignment w:val="auto"/>
        <w:outlineLvl w:val="9"/>
        <w:rPr>
          <w:rFonts w:ascii="宋体" w:hAnsi="宋体"/>
          <w:color w:val="auto"/>
          <w:highlight w:val="none"/>
        </w:rPr>
      </w:pPr>
      <w:r>
        <w:rPr>
          <w:rFonts w:hint="eastAsia" w:ascii="宋体" w:hAnsi="宋体"/>
          <w:color w:val="auto"/>
          <w:highlight w:val="none"/>
        </w:rPr>
        <w:t>附件（如有）</w:t>
      </w:r>
    </w:p>
    <w:p w14:paraId="7DE8C6A4">
      <w:pPr>
        <w:pStyle w:val="98"/>
        <w:keepNext w:val="0"/>
        <w:keepLines w:val="0"/>
        <w:pageBreakBefore w:val="0"/>
        <w:widowControl w:val="0"/>
        <w:numPr>
          <w:ilvl w:val="3"/>
          <w:numId w:val="8"/>
        </w:numPr>
        <w:shd w:val="clear"/>
        <w:kinsoku/>
        <w:wordWrap w:val="0"/>
        <w:overflowPunct/>
        <w:topLinePunct w:val="0"/>
        <w:autoSpaceDE/>
        <w:autoSpaceDN/>
        <w:bidi w:val="0"/>
        <w:adjustRightInd w:val="0"/>
        <w:snapToGrid w:val="0"/>
        <w:spacing w:line="500" w:lineRule="exact"/>
        <w:ind w:left="993" w:hanging="284" w:firstLineChars="0"/>
        <w:jc w:val="left"/>
        <w:textAlignment w:val="auto"/>
        <w:outlineLvl w:val="9"/>
        <w:rPr>
          <w:rFonts w:ascii="宋体" w:hAnsi="宋体"/>
          <w:color w:val="auto"/>
          <w:highlight w:val="none"/>
        </w:rPr>
      </w:pPr>
      <w:r>
        <w:rPr>
          <w:rFonts w:hint="eastAsia" w:ascii="宋体" w:hAnsi="宋体"/>
          <w:color w:val="auto"/>
          <w:highlight w:val="none"/>
        </w:rPr>
        <w:t>本项目</w:t>
      </w:r>
      <w:r>
        <w:rPr>
          <w:rFonts w:ascii="宋体" w:hAnsi="宋体"/>
          <w:color w:val="auto"/>
          <w:highlight w:val="none"/>
        </w:rPr>
        <w:t>招标文件</w:t>
      </w:r>
      <w:r>
        <w:rPr>
          <w:rFonts w:hint="eastAsia" w:ascii="宋体" w:hAnsi="宋体"/>
          <w:color w:val="auto"/>
          <w:highlight w:val="none"/>
        </w:rPr>
        <w:t>的</w:t>
      </w:r>
      <w:r>
        <w:rPr>
          <w:rFonts w:ascii="宋体" w:hAnsi="宋体"/>
          <w:color w:val="auto"/>
          <w:highlight w:val="none"/>
        </w:rPr>
        <w:t>澄清、答复、修改、补充的内容</w:t>
      </w:r>
      <w:r>
        <w:rPr>
          <w:rFonts w:hint="eastAsia" w:ascii="宋体" w:hAnsi="宋体"/>
          <w:color w:val="auto"/>
          <w:highlight w:val="none"/>
        </w:rPr>
        <w:t>（如有）</w:t>
      </w:r>
    </w:p>
    <w:p w14:paraId="454CD130">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212" w:name="_Toc4039"/>
      <w:bookmarkStart w:id="213" w:name="_Toc27136"/>
      <w:bookmarkStart w:id="214" w:name="_Toc28462"/>
      <w:bookmarkStart w:id="215" w:name="_Toc6083"/>
      <w:bookmarkStart w:id="216" w:name="_Toc529477708"/>
      <w:bookmarkStart w:id="217" w:name="_Toc17733"/>
      <w:bookmarkStart w:id="218" w:name="_Toc1188"/>
      <w:bookmarkStart w:id="219" w:name="_Toc10664"/>
      <w:bookmarkStart w:id="220" w:name="_Toc521661589"/>
      <w:bookmarkStart w:id="221" w:name="_Toc12860"/>
      <w:bookmarkStart w:id="222" w:name="_Toc4624"/>
      <w:bookmarkStart w:id="223" w:name="_Toc15588"/>
      <w:bookmarkStart w:id="224" w:name="_Toc5198"/>
      <w:bookmarkStart w:id="225" w:name="_Toc13038"/>
      <w:bookmarkStart w:id="226" w:name="_Toc11832"/>
      <w:r>
        <w:rPr>
          <w:rFonts w:hint="eastAsia" w:ascii="宋体" w:hAnsi="宋体"/>
          <w:b/>
          <w:color w:val="auto"/>
          <w:sz w:val="24"/>
          <w:highlight w:val="none"/>
        </w:rPr>
        <w:t>（二）投标人的风险</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23FB103E">
      <w:pPr>
        <w:pStyle w:val="37"/>
        <w:keepNext w:val="0"/>
        <w:keepLines w:val="0"/>
        <w:pageBreakBefore w:val="0"/>
        <w:widowControl w:val="0"/>
        <w:shd w:val="clear"/>
        <w:kinsoku/>
        <w:wordWrap w:val="0"/>
        <w:overflowPunct/>
        <w:topLinePunct w:val="0"/>
        <w:autoSpaceDE/>
        <w:autoSpaceDN/>
        <w:bidi w:val="0"/>
        <w:adjustRightInd w:val="0"/>
        <w:snapToGrid w:val="0"/>
        <w:spacing w:line="500" w:lineRule="exact"/>
        <w:textAlignment w:val="auto"/>
        <w:outlineLvl w:val="9"/>
        <w:rPr>
          <w:rFonts w:ascii="宋体" w:eastAsia="宋体"/>
          <w:color w:val="auto"/>
          <w:highlight w:val="none"/>
        </w:rPr>
      </w:pPr>
      <w:r>
        <w:rPr>
          <w:rFonts w:hint="eastAsia" w:ascii="宋体" w:eastAsia="宋体"/>
          <w:color w:val="auto"/>
          <w:highlight w:val="none"/>
        </w:rPr>
        <w:t>投标人没有按照招标文件要求提供全部资料，或者投标人没有对招标文件在各方面作出实质性响应是投标人的风险，并可能导致其投标为无效标。</w:t>
      </w:r>
    </w:p>
    <w:p w14:paraId="25714518">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2" w:firstLineChars="200"/>
        <w:jc w:val="left"/>
        <w:textAlignment w:val="auto"/>
        <w:outlineLvl w:val="9"/>
        <w:rPr>
          <w:rFonts w:ascii="宋体" w:hAnsi="宋体"/>
          <w:b/>
          <w:color w:val="auto"/>
          <w:sz w:val="24"/>
          <w:highlight w:val="none"/>
        </w:rPr>
      </w:pPr>
      <w:bookmarkStart w:id="227" w:name="_Toc521661590"/>
      <w:bookmarkStart w:id="228" w:name="_Toc19075"/>
      <w:bookmarkStart w:id="229" w:name="_Toc19814"/>
      <w:bookmarkStart w:id="230" w:name="_Toc699"/>
      <w:bookmarkStart w:id="231" w:name="_Toc13271"/>
      <w:bookmarkStart w:id="232" w:name="_Toc12762"/>
      <w:bookmarkStart w:id="233" w:name="_Toc529477709"/>
      <w:bookmarkStart w:id="234" w:name="_Toc16616"/>
      <w:bookmarkStart w:id="235" w:name="_Toc548"/>
      <w:bookmarkStart w:id="236" w:name="_Toc28011"/>
      <w:bookmarkStart w:id="237" w:name="_Toc18325"/>
      <w:bookmarkStart w:id="238" w:name="_Toc15272"/>
      <w:bookmarkStart w:id="239" w:name="_Toc28205"/>
      <w:bookmarkStart w:id="240" w:name="_Toc18320"/>
      <w:bookmarkStart w:id="241" w:name="_Toc639"/>
      <w:r>
        <w:rPr>
          <w:rFonts w:hint="eastAsia" w:ascii="宋体" w:hAnsi="宋体"/>
          <w:b/>
          <w:color w:val="auto"/>
          <w:sz w:val="24"/>
          <w:highlight w:val="none"/>
        </w:rPr>
        <w:t>（三）招标文件的澄清与修改</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3657C0F0">
      <w:pPr>
        <w:pStyle w:val="84"/>
        <w:keepNext w:val="0"/>
        <w:keepLines w:val="0"/>
        <w:pageBreakBefore w:val="0"/>
        <w:widowControl w:val="0"/>
        <w:numPr>
          <w:ilvl w:val="6"/>
          <w:numId w:val="9"/>
        </w:numPr>
        <w:shd w:val="clear"/>
        <w:kinsoku/>
        <w:wordWrap w:val="0"/>
        <w:overflowPunct/>
        <w:topLinePunct w:val="0"/>
        <w:autoSpaceDE/>
        <w:autoSpaceDN/>
        <w:bidi w:val="0"/>
        <w:adjustRightInd w:val="0"/>
        <w:snapToGrid w:val="0"/>
        <w:spacing w:line="500" w:lineRule="exact"/>
        <w:ind w:left="0" w:firstLine="480"/>
        <w:jc w:val="left"/>
        <w:textAlignment w:val="auto"/>
        <w:outlineLvl w:val="9"/>
        <w:rPr>
          <w:rFonts w:asciiTheme="minorEastAsia" w:hAnsiTheme="minorEastAsia" w:eastAsiaTheme="minorEastAsia"/>
          <w:bCs/>
          <w:color w:val="auto"/>
          <w:highlight w:val="none"/>
        </w:rPr>
      </w:pPr>
      <w:r>
        <w:rPr>
          <w:rFonts w:asciiTheme="minorEastAsia" w:hAnsiTheme="minorEastAsia" w:eastAsiaTheme="minorEastAsia"/>
          <w:bCs/>
          <w:color w:val="auto"/>
          <w:highlight w:val="none"/>
        </w:rPr>
        <w:t>招标人可以对已发出的招标文件进行必要的澄清或者修改。澄清或者修改的内容可能影响投标文件编制的，招标人应当在投标截止时间至少</w:t>
      </w:r>
      <w:r>
        <w:rPr>
          <w:rFonts w:hint="eastAsia" w:asciiTheme="minorEastAsia" w:hAnsiTheme="minorEastAsia" w:eastAsiaTheme="minorEastAsia"/>
          <w:bCs/>
          <w:color w:val="auto"/>
          <w:highlight w:val="none"/>
        </w:rPr>
        <w:t>15</w:t>
      </w:r>
      <w:r>
        <w:rPr>
          <w:rFonts w:asciiTheme="minorEastAsia" w:hAnsiTheme="minorEastAsia" w:eastAsiaTheme="minorEastAsia"/>
          <w:bCs/>
          <w:color w:val="auto"/>
          <w:highlight w:val="none"/>
        </w:rPr>
        <w:t>日前，以</w:t>
      </w:r>
      <w:r>
        <w:rPr>
          <w:rFonts w:hint="eastAsia" w:asciiTheme="minorEastAsia" w:hAnsiTheme="minorEastAsia" w:eastAsiaTheme="minorEastAsia"/>
          <w:bCs/>
          <w:color w:val="auto"/>
          <w:highlight w:val="none"/>
        </w:rPr>
        <w:t>补充通知的方式澄清或者修改招标文件。补充通知或答疑，将在嘉兴市公共资源交易网（嘉善）（</w:t>
      </w:r>
      <w:r>
        <w:rPr>
          <w:rFonts w:hint="eastAsia" w:asciiTheme="minorEastAsia" w:hAnsiTheme="minorEastAsia" w:eastAsiaTheme="minorEastAsia"/>
          <w:bCs/>
          <w:color w:val="auto"/>
          <w:highlight w:val="none"/>
          <w:lang w:eastAsia="zh-CN"/>
        </w:rPr>
        <w:t>http://jxszwsjb.jiaxing.gov.cn/col/col1229743605/index.html）</w:t>
      </w:r>
      <w:r>
        <w:rPr>
          <w:rFonts w:hint="eastAsia" w:asciiTheme="minorEastAsia" w:hAnsiTheme="minorEastAsia" w:eastAsiaTheme="minorEastAsia"/>
          <w:bCs/>
          <w:color w:val="auto"/>
          <w:highlight w:val="none"/>
        </w:rPr>
        <w:t>内发布，补充通知或答疑作为招标文件的组成部分，对投标人起约束作用。</w:t>
      </w:r>
    </w:p>
    <w:p w14:paraId="5963E91F">
      <w:pPr>
        <w:pStyle w:val="84"/>
        <w:keepNext w:val="0"/>
        <w:keepLines w:val="0"/>
        <w:pageBreakBefore w:val="0"/>
        <w:widowControl w:val="0"/>
        <w:numPr>
          <w:ilvl w:val="6"/>
          <w:numId w:val="9"/>
        </w:numPr>
        <w:shd w:val="clear"/>
        <w:kinsoku/>
        <w:wordWrap w:val="0"/>
        <w:overflowPunct/>
        <w:topLinePunct w:val="0"/>
        <w:autoSpaceDE/>
        <w:autoSpaceDN/>
        <w:bidi w:val="0"/>
        <w:adjustRightInd w:val="0"/>
        <w:snapToGrid w:val="0"/>
        <w:spacing w:line="500" w:lineRule="exact"/>
        <w:ind w:left="0" w:firstLine="480"/>
        <w:jc w:val="left"/>
        <w:textAlignment w:val="auto"/>
        <w:outlineLvl w:val="9"/>
        <w:rPr>
          <w:rFonts w:asciiTheme="minorEastAsia" w:hAnsiTheme="minorEastAsia" w:eastAsiaTheme="minorEastAsia"/>
          <w:bCs/>
          <w:color w:val="auto"/>
          <w:highlight w:val="none"/>
        </w:rPr>
      </w:pPr>
      <w:r>
        <w:rPr>
          <w:rFonts w:hint="eastAsia" w:asciiTheme="minorEastAsia" w:hAnsiTheme="minorEastAsia" w:eastAsiaTheme="minorEastAsia"/>
          <w:bCs/>
          <w:color w:val="auto"/>
          <w:highlight w:val="none"/>
        </w:rPr>
        <w:t>补充通知或答疑一经在嘉兴市公共资源交易网（嘉善）（</w:t>
      </w:r>
      <w:r>
        <w:rPr>
          <w:rFonts w:hint="eastAsia" w:asciiTheme="minorEastAsia" w:hAnsiTheme="minorEastAsia" w:eastAsiaTheme="minorEastAsia"/>
          <w:bCs/>
          <w:color w:val="auto"/>
          <w:highlight w:val="none"/>
          <w:lang w:eastAsia="zh-CN"/>
        </w:rPr>
        <w:t>http://jxszwsjb.jiaxing.gov.cn/col/col1229743605/index.html）</w:t>
      </w:r>
      <w:r>
        <w:rPr>
          <w:rFonts w:hint="eastAsia" w:asciiTheme="minorEastAsia" w:hAnsiTheme="minorEastAsia" w:eastAsiaTheme="minorEastAsia"/>
          <w:bCs/>
          <w:color w:val="auto"/>
          <w:highlight w:val="none"/>
        </w:rPr>
        <w:t>发布，即表示所有投标人都已收到该澄清或补充文件。</w:t>
      </w:r>
    </w:p>
    <w:p w14:paraId="37331E54">
      <w:pPr>
        <w:pStyle w:val="84"/>
        <w:keepNext w:val="0"/>
        <w:keepLines w:val="0"/>
        <w:pageBreakBefore w:val="0"/>
        <w:widowControl w:val="0"/>
        <w:numPr>
          <w:ilvl w:val="6"/>
          <w:numId w:val="9"/>
        </w:numPr>
        <w:shd w:val="clear"/>
        <w:kinsoku/>
        <w:wordWrap w:val="0"/>
        <w:overflowPunct/>
        <w:topLinePunct w:val="0"/>
        <w:autoSpaceDE/>
        <w:autoSpaceDN/>
        <w:bidi w:val="0"/>
        <w:adjustRightInd w:val="0"/>
        <w:snapToGrid w:val="0"/>
        <w:spacing w:line="500" w:lineRule="exact"/>
        <w:ind w:left="0" w:firstLine="480"/>
        <w:jc w:val="left"/>
        <w:textAlignment w:val="auto"/>
        <w:outlineLvl w:val="9"/>
        <w:rPr>
          <w:rFonts w:asciiTheme="minorEastAsia" w:hAnsiTheme="minorEastAsia" w:eastAsiaTheme="minorEastAsia"/>
          <w:bCs/>
          <w:color w:val="auto"/>
          <w:highlight w:val="none"/>
        </w:rPr>
      </w:pPr>
      <w:r>
        <w:rPr>
          <w:rFonts w:hint="eastAsia" w:asciiTheme="minorEastAsia" w:hAnsiTheme="minorEastAsia" w:eastAsiaTheme="minorEastAsia"/>
          <w:bCs/>
          <w:color w:val="auto"/>
          <w:highlight w:val="none"/>
        </w:rPr>
        <w:t>当招标文件、招标文件的澄清、修改、补充等在同一内容的表述上不一致时，以最后在嘉兴市公共资源交易网（嘉善）（</w:t>
      </w:r>
      <w:r>
        <w:rPr>
          <w:rFonts w:hint="eastAsia" w:asciiTheme="minorEastAsia" w:hAnsiTheme="minorEastAsia" w:eastAsiaTheme="minorEastAsia"/>
          <w:bCs/>
          <w:color w:val="auto"/>
          <w:highlight w:val="none"/>
          <w:lang w:eastAsia="zh-CN"/>
        </w:rPr>
        <w:t>http://jxszwsjb.jiaxing.gov.cn/col/col1229743605/index.html）</w:t>
      </w:r>
      <w:r>
        <w:rPr>
          <w:rFonts w:hint="eastAsia" w:asciiTheme="minorEastAsia" w:hAnsiTheme="minorEastAsia" w:eastAsiaTheme="minorEastAsia"/>
          <w:bCs/>
          <w:color w:val="auto"/>
          <w:highlight w:val="none"/>
        </w:rPr>
        <w:t>发布的文件为准。</w:t>
      </w:r>
    </w:p>
    <w:p w14:paraId="332D4016">
      <w:pPr>
        <w:pStyle w:val="84"/>
        <w:keepNext w:val="0"/>
        <w:keepLines w:val="0"/>
        <w:pageBreakBefore w:val="0"/>
        <w:widowControl w:val="0"/>
        <w:numPr>
          <w:ilvl w:val="6"/>
          <w:numId w:val="9"/>
        </w:numPr>
        <w:shd w:val="clear"/>
        <w:kinsoku/>
        <w:wordWrap w:val="0"/>
        <w:overflowPunct/>
        <w:topLinePunct w:val="0"/>
        <w:autoSpaceDE/>
        <w:autoSpaceDN/>
        <w:bidi w:val="0"/>
        <w:adjustRightInd w:val="0"/>
        <w:snapToGrid w:val="0"/>
        <w:spacing w:line="500" w:lineRule="exact"/>
        <w:ind w:left="0" w:firstLine="420" w:firstLineChars="0"/>
        <w:jc w:val="left"/>
        <w:textAlignment w:val="auto"/>
        <w:outlineLvl w:val="9"/>
        <w:rPr>
          <w:rFonts w:hAnsi="宋体"/>
          <w:bCs/>
          <w:color w:val="auto"/>
          <w:highlight w:val="none"/>
        </w:rPr>
      </w:pPr>
      <w:r>
        <w:rPr>
          <w:rFonts w:hint="eastAsia" w:hAnsi="宋体"/>
          <w:bCs/>
          <w:color w:val="auto"/>
          <w:highlight w:val="none"/>
        </w:rPr>
        <w:t>招标单位或本项目代理公司的任何工作人员对投标人所作的口头解释、介绍、答复，只能供投标人参考，对招标单位和投标人无任何约束力。</w:t>
      </w:r>
    </w:p>
    <w:p w14:paraId="5C2F9112">
      <w:pPr>
        <w:pStyle w:val="84"/>
        <w:pageBreakBefore w:val="0"/>
        <w:shd w:val="clear"/>
        <w:kinsoku/>
        <w:wordWrap w:val="0"/>
        <w:overflowPunct/>
        <w:topLinePunct w:val="0"/>
        <w:bidi w:val="0"/>
        <w:adjustRightInd w:val="0"/>
        <w:snapToGrid w:val="0"/>
        <w:ind w:left="480" w:firstLine="0" w:firstLineChars="0"/>
        <w:jc w:val="left"/>
        <w:rPr>
          <w:rFonts w:hAnsi="宋体"/>
          <w:bCs/>
          <w:color w:val="auto"/>
          <w:highlight w:val="none"/>
        </w:rPr>
      </w:pPr>
    </w:p>
    <w:p w14:paraId="68361F94">
      <w:pPr>
        <w:pStyle w:val="25"/>
        <w:pageBreakBefore w:val="0"/>
        <w:shd w:val="clear"/>
        <w:kinsoku/>
        <w:wordWrap w:val="0"/>
        <w:overflowPunct/>
        <w:topLinePunct w:val="0"/>
        <w:bidi w:val="0"/>
        <w:adjustRightInd w:val="0"/>
        <w:snapToGrid w:val="0"/>
        <w:spacing w:beforeLines="0" w:afterLines="0" w:line="360" w:lineRule="auto"/>
        <w:ind w:firstLine="551" w:firstLineChars="196"/>
        <w:jc w:val="center"/>
        <w:outlineLvl w:val="1"/>
        <w:rPr>
          <w:rFonts w:hAnsi="宋体"/>
          <w:b/>
          <w:color w:val="auto"/>
          <w:sz w:val="28"/>
          <w:szCs w:val="28"/>
          <w:highlight w:val="none"/>
        </w:rPr>
      </w:pPr>
      <w:bookmarkStart w:id="242" w:name="_Toc21257"/>
      <w:bookmarkStart w:id="243" w:name="_Toc10566"/>
      <w:bookmarkStart w:id="244" w:name="_Toc7347"/>
      <w:bookmarkStart w:id="245" w:name="_Toc31788"/>
      <w:bookmarkStart w:id="246" w:name="_Toc3920"/>
      <w:bookmarkStart w:id="247" w:name="_Toc27872"/>
      <w:bookmarkStart w:id="248" w:name="_Toc14693"/>
      <w:bookmarkStart w:id="249" w:name="_Toc23163"/>
      <w:bookmarkStart w:id="250" w:name="_Toc28934"/>
      <w:bookmarkStart w:id="251" w:name="_Toc521661591"/>
      <w:bookmarkStart w:id="252" w:name="_Toc13136"/>
      <w:bookmarkStart w:id="253" w:name="_Toc22845"/>
      <w:bookmarkStart w:id="254" w:name="_Toc11002"/>
      <w:bookmarkStart w:id="255" w:name="_Toc3310"/>
      <w:bookmarkStart w:id="256" w:name="_Toc5801"/>
      <w:bookmarkStart w:id="257" w:name="_Toc16205"/>
      <w:bookmarkStart w:id="258" w:name="_Toc4111"/>
      <w:r>
        <w:rPr>
          <w:rFonts w:hAnsi="宋体"/>
          <w:b/>
          <w:color w:val="auto"/>
          <w:sz w:val="28"/>
          <w:szCs w:val="28"/>
          <w:highlight w:val="none"/>
        </w:rPr>
        <w:t>三、投标文件的编制</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24BBA86D">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500" w:lineRule="exact"/>
        <w:ind w:firstLine="472" w:firstLineChars="196"/>
        <w:textAlignment w:val="auto"/>
        <w:outlineLvl w:val="9"/>
        <w:rPr>
          <w:rFonts w:hAnsi="宋体"/>
          <w:b/>
          <w:color w:val="auto"/>
          <w:highlight w:val="none"/>
        </w:rPr>
      </w:pPr>
      <w:r>
        <w:rPr>
          <w:rFonts w:hint="eastAsia" w:hAnsi="宋体"/>
          <w:b/>
          <w:color w:val="auto"/>
          <w:highlight w:val="none"/>
        </w:rPr>
        <w:t>本项目所涉投标文件格式请详见第六章，未给出的格式请自拟。资信商务及技术文件中不得出现报价，否则投标文件将被视为无效。</w:t>
      </w:r>
    </w:p>
    <w:p w14:paraId="0BE279A3">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259" w:name="_Toc30555"/>
      <w:bookmarkStart w:id="260" w:name="_Toc8327"/>
      <w:bookmarkStart w:id="261" w:name="_Toc521661592"/>
      <w:bookmarkStart w:id="262" w:name="_Toc9840"/>
      <w:bookmarkStart w:id="263" w:name="_Toc406402944"/>
      <w:bookmarkStart w:id="264" w:name="_Toc25774"/>
      <w:bookmarkStart w:id="265" w:name="_Toc7748"/>
      <w:bookmarkStart w:id="266" w:name="_Toc22874"/>
      <w:bookmarkStart w:id="267" w:name="_Toc529477711"/>
      <w:bookmarkStart w:id="268" w:name="_Toc22985"/>
      <w:bookmarkStart w:id="269" w:name="_Toc19009"/>
      <w:bookmarkStart w:id="270" w:name="_Toc17927"/>
      <w:bookmarkStart w:id="271" w:name="_Toc406402988"/>
      <w:bookmarkStart w:id="272" w:name="_Toc15832"/>
      <w:bookmarkStart w:id="273" w:name="_Toc15213"/>
      <w:bookmarkStart w:id="274" w:name="_Toc9288"/>
      <w:bookmarkStart w:id="275" w:name="_Toc6296"/>
      <w:r>
        <w:rPr>
          <w:rFonts w:hint="eastAsia" w:ascii="宋体" w:hAnsi="宋体"/>
          <w:b/>
          <w:color w:val="auto"/>
          <w:sz w:val="24"/>
          <w:highlight w:val="none"/>
        </w:rPr>
        <w:t>（一）投标文件的组成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1E01178F">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0" w:firstLineChars="200"/>
        <w:jc w:val="left"/>
        <w:textAlignment w:val="auto"/>
        <w:outlineLvl w:val="9"/>
        <w:rPr>
          <w:rFonts w:ascii="宋体" w:hAnsi="宋体"/>
          <w:color w:val="auto"/>
          <w:sz w:val="24"/>
          <w:highlight w:val="none"/>
        </w:rPr>
      </w:pPr>
      <w:r>
        <w:rPr>
          <w:rFonts w:hint="eastAsia" w:ascii="宋体" w:hAnsi="宋体"/>
          <w:color w:val="auto"/>
          <w:sz w:val="24"/>
          <w:highlight w:val="none"/>
        </w:rPr>
        <w:t>投标文件由资信商务及技术文件、报价文件两部分组成。</w:t>
      </w:r>
    </w:p>
    <w:p w14:paraId="309FEDE1">
      <w:pPr>
        <w:keepNext w:val="0"/>
        <w:keepLines w:val="0"/>
        <w:pageBreakBefore w:val="0"/>
        <w:widowControl w:val="0"/>
        <w:numPr>
          <w:ilvl w:val="0"/>
          <w:numId w:val="10"/>
        </w:numPr>
        <w:shd w:val="clear"/>
        <w:kinsoku/>
        <w:wordWrap w:val="0"/>
        <w:overflowPunct/>
        <w:topLinePunct w:val="0"/>
        <w:autoSpaceDE/>
        <w:autoSpaceDN/>
        <w:bidi w:val="0"/>
        <w:adjustRightInd w:val="0"/>
        <w:snapToGrid w:val="0"/>
        <w:spacing w:line="500" w:lineRule="exact"/>
        <w:ind w:left="0" w:firstLine="284"/>
        <w:jc w:val="left"/>
        <w:textAlignment w:val="auto"/>
        <w:outlineLvl w:val="9"/>
        <w:rPr>
          <w:rFonts w:ascii="宋体" w:hAnsi="宋体"/>
          <w:b/>
          <w:color w:val="auto"/>
          <w:sz w:val="24"/>
          <w:highlight w:val="none"/>
        </w:rPr>
      </w:pPr>
      <w:r>
        <w:rPr>
          <w:rFonts w:hint="eastAsia" w:ascii="宋体" w:hAnsi="宋体"/>
          <w:b/>
          <w:color w:val="auto"/>
          <w:sz w:val="24"/>
          <w:highlight w:val="none"/>
        </w:rPr>
        <w:t>资信商务及技术文件</w:t>
      </w:r>
    </w:p>
    <w:p w14:paraId="157AE1F2">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资信商务及技术自评表</w:t>
      </w:r>
    </w:p>
    <w:p w14:paraId="41C4714E">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lang w:eastAsia="zh-CN"/>
        </w:rPr>
        <w:t>资格审查资料</w:t>
      </w:r>
    </w:p>
    <w:p w14:paraId="6333A251">
      <w:pPr>
        <w:keepNext w:val="0"/>
        <w:keepLines w:val="0"/>
        <w:pageBreakBefore w:val="0"/>
        <w:widowControl w:val="0"/>
        <w:numPr>
          <w:ilvl w:val="0"/>
          <w:numId w:val="12"/>
        </w:numPr>
        <w:shd w:val="clear"/>
        <w:tabs>
          <w:tab w:val="left" w:pos="720"/>
          <w:tab w:val="left" w:pos="1134"/>
          <w:tab w:val="left" w:pos="1418"/>
        </w:tabs>
        <w:kinsoku/>
        <w:wordWrap w:val="0"/>
        <w:overflowPunct/>
        <w:topLinePunct w:val="0"/>
        <w:autoSpaceDE/>
        <w:autoSpaceDN/>
        <w:bidi w:val="0"/>
        <w:adjustRightInd w:val="0"/>
        <w:snapToGrid w:val="0"/>
        <w:spacing w:line="500" w:lineRule="exact"/>
        <w:ind w:left="0" w:leftChars="0"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符合参加</w:t>
      </w:r>
      <w:r>
        <w:rPr>
          <w:rFonts w:hint="eastAsia" w:ascii="宋体" w:hAnsi="宋体"/>
          <w:color w:val="auto"/>
          <w:sz w:val="24"/>
          <w:highlight w:val="none"/>
        </w:rPr>
        <w:t>采购</w:t>
      </w:r>
      <w:r>
        <w:rPr>
          <w:rFonts w:ascii="宋体" w:hAnsi="宋体"/>
          <w:color w:val="auto"/>
          <w:sz w:val="24"/>
          <w:highlight w:val="none"/>
        </w:rPr>
        <w:t>活动应当具备的一般条件的承诺函</w:t>
      </w:r>
      <w:r>
        <w:rPr>
          <w:rFonts w:hint="eastAsia" w:ascii="宋体" w:hAnsi="宋体"/>
          <w:color w:val="auto"/>
          <w:sz w:val="24"/>
          <w:highlight w:val="none"/>
          <w:lang w:eastAsia="zh-CN"/>
        </w:rPr>
        <w:t>；</w:t>
      </w:r>
    </w:p>
    <w:p w14:paraId="0FF470F2">
      <w:pPr>
        <w:keepNext w:val="0"/>
        <w:keepLines w:val="0"/>
        <w:pageBreakBefore w:val="0"/>
        <w:widowControl w:val="0"/>
        <w:numPr>
          <w:ilvl w:val="0"/>
          <w:numId w:val="12"/>
        </w:numPr>
        <w:shd w:val="clear"/>
        <w:tabs>
          <w:tab w:val="left" w:pos="720"/>
          <w:tab w:val="left" w:pos="1134"/>
          <w:tab w:val="left" w:pos="1418"/>
        </w:tabs>
        <w:kinsoku/>
        <w:wordWrap w:val="0"/>
        <w:overflowPunct/>
        <w:topLinePunct w:val="0"/>
        <w:autoSpaceDE/>
        <w:autoSpaceDN/>
        <w:bidi w:val="0"/>
        <w:adjustRightInd w:val="0"/>
        <w:snapToGrid w:val="0"/>
        <w:spacing w:line="500" w:lineRule="exact"/>
        <w:ind w:left="0" w:leftChars="0" w:firstLine="480" w:firstLineChars="200"/>
        <w:jc w:val="left"/>
        <w:textAlignment w:val="auto"/>
        <w:outlineLvl w:val="9"/>
        <w:rPr>
          <w:rFonts w:ascii="宋体" w:hAnsi="宋体"/>
          <w:color w:val="auto"/>
          <w:sz w:val="24"/>
          <w:highlight w:val="none"/>
        </w:rPr>
      </w:pPr>
      <w:r>
        <w:rPr>
          <w:rFonts w:hint="eastAsia" w:ascii="宋体" w:hAnsi="宋体"/>
          <w:color w:val="auto"/>
          <w:sz w:val="24"/>
          <w:highlight w:val="none"/>
        </w:rPr>
        <w:t>有效的企业营业执照（或事业法人登记证或其他登记证明材料）；</w:t>
      </w:r>
      <w:r>
        <w:rPr>
          <w:rFonts w:hint="eastAsia" w:ascii="宋体" w:hAnsi="宋体"/>
          <w:color w:val="auto"/>
          <w:sz w:val="24"/>
          <w:highlight w:val="none"/>
          <w:lang w:eastAsia="zh-CN"/>
        </w:rPr>
        <w:t>投标人</w:t>
      </w:r>
      <w:r>
        <w:rPr>
          <w:rFonts w:hint="eastAsia" w:ascii="宋体" w:hAnsi="宋体"/>
          <w:color w:val="auto"/>
          <w:sz w:val="24"/>
          <w:highlight w:val="none"/>
        </w:rPr>
        <w:t>如果有名称变更的，应提供由行政主管部门出具的变更证明文件</w:t>
      </w:r>
      <w:r>
        <w:rPr>
          <w:rFonts w:hint="eastAsia" w:ascii="宋体" w:hAnsi="宋体"/>
          <w:color w:val="auto"/>
          <w:sz w:val="24"/>
          <w:highlight w:val="none"/>
          <w:lang w:eastAsia="zh-CN"/>
        </w:rPr>
        <w:t>。</w:t>
      </w:r>
    </w:p>
    <w:p w14:paraId="2117D81A">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投标函</w:t>
      </w:r>
    </w:p>
    <w:p w14:paraId="7C725568">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法定代表人身份证明书（或</w:t>
      </w:r>
      <w:r>
        <w:rPr>
          <w:rFonts w:ascii="宋体" w:hAnsi="宋体"/>
          <w:color w:val="auto"/>
          <w:sz w:val="24"/>
          <w:highlight w:val="none"/>
        </w:rPr>
        <w:t>法定代表人授权委托书</w:t>
      </w:r>
      <w:r>
        <w:rPr>
          <w:rFonts w:hint="eastAsia" w:ascii="宋体" w:hAnsi="宋体"/>
          <w:color w:val="auto"/>
          <w:sz w:val="24"/>
          <w:highlight w:val="none"/>
          <w:lang w:eastAsia="zh-CN"/>
        </w:rPr>
        <w:t>）</w:t>
      </w:r>
    </w:p>
    <w:p w14:paraId="41D19A6F">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投标人基本情况介绍（格式自拟）</w:t>
      </w:r>
    </w:p>
    <w:p w14:paraId="17A9D67D">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eastAsia="宋体"/>
          <w:color w:val="auto"/>
          <w:sz w:val="24"/>
          <w:highlight w:val="none"/>
        </w:rPr>
      </w:pPr>
      <w:r>
        <w:rPr>
          <w:rFonts w:hint="eastAsia" w:ascii="宋体" w:hAnsi="宋体"/>
          <w:color w:val="auto"/>
          <w:sz w:val="24"/>
          <w:highlight w:val="none"/>
          <w:lang w:eastAsia="zh-CN"/>
        </w:rPr>
        <w:t>同类项目业绩</w:t>
      </w:r>
      <w:r>
        <w:rPr>
          <w:rFonts w:hint="eastAsia" w:ascii="宋体" w:hAnsi="宋体" w:eastAsia="宋体"/>
          <w:color w:val="auto"/>
          <w:sz w:val="24"/>
          <w:highlight w:val="none"/>
        </w:rPr>
        <w:t>一览表</w:t>
      </w:r>
    </w:p>
    <w:p w14:paraId="2EE5E5B8">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eastAsia="宋体"/>
          <w:color w:val="auto"/>
          <w:sz w:val="24"/>
          <w:highlight w:val="none"/>
        </w:rPr>
      </w:pPr>
      <w:r>
        <w:rPr>
          <w:rFonts w:hint="eastAsia" w:ascii="宋体" w:hAnsi="宋体"/>
          <w:color w:val="auto"/>
          <w:sz w:val="24"/>
          <w:highlight w:val="none"/>
          <w:lang w:val="en-US" w:eastAsia="zh-CN"/>
        </w:rPr>
        <w:t>投标人实力（</w:t>
      </w:r>
      <w:r>
        <w:rPr>
          <w:rFonts w:hint="eastAsia" w:ascii="宋体" w:hAnsi="宋体" w:cs="Times New Roman"/>
          <w:b w:val="0"/>
          <w:bCs w:val="0"/>
          <w:color w:val="auto"/>
          <w:sz w:val="24"/>
          <w:highlight w:val="none"/>
          <w:lang w:eastAsia="zh-CN"/>
        </w:rPr>
        <w:t>格式自拟，包括但不仅限于评标办法中涉及的内容</w:t>
      </w:r>
      <w:r>
        <w:rPr>
          <w:rFonts w:hint="eastAsia" w:ascii="宋体" w:hAnsi="宋体"/>
          <w:color w:val="auto"/>
          <w:sz w:val="24"/>
          <w:highlight w:val="none"/>
          <w:lang w:val="en-US" w:eastAsia="zh-CN"/>
        </w:rPr>
        <w:t>）</w:t>
      </w:r>
    </w:p>
    <w:p w14:paraId="0BA83DF2">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拟投入本项目人员一览表</w:t>
      </w:r>
    </w:p>
    <w:p w14:paraId="255C588B">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cs="Times New Roman"/>
          <w:b w:val="0"/>
          <w:bCs w:val="0"/>
          <w:color w:val="auto"/>
          <w:sz w:val="24"/>
          <w:highlight w:val="none"/>
          <w:lang w:eastAsia="zh-CN"/>
        </w:rPr>
      </w:pPr>
      <w:r>
        <w:rPr>
          <w:rFonts w:hint="eastAsia" w:ascii="宋体" w:hAnsi="宋体" w:cs="Times New Roman"/>
          <w:b w:val="0"/>
          <w:bCs w:val="0"/>
          <w:color w:val="auto"/>
          <w:sz w:val="24"/>
          <w:highlight w:val="none"/>
          <w:lang w:eastAsia="zh-CN"/>
        </w:rPr>
        <w:t>商务技术偏离表</w:t>
      </w:r>
    </w:p>
    <w:p w14:paraId="331BEC62">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cs="Times New Roman"/>
          <w:b w:val="0"/>
          <w:bCs w:val="0"/>
          <w:color w:val="auto"/>
          <w:sz w:val="24"/>
          <w:highlight w:val="none"/>
          <w:lang w:eastAsia="zh-CN"/>
        </w:rPr>
      </w:pPr>
      <w:r>
        <w:rPr>
          <w:rFonts w:hint="eastAsia" w:ascii="宋体" w:hAnsi="宋体" w:cs="Times New Roman"/>
          <w:b w:val="0"/>
          <w:bCs w:val="0"/>
          <w:color w:val="auto"/>
          <w:sz w:val="24"/>
          <w:highlight w:val="none"/>
          <w:lang w:eastAsia="zh-CN"/>
        </w:rPr>
        <w:t>项目升级、建设实施方案（格式自拟，包括但不仅限于评标办法中涉及的内容）</w:t>
      </w:r>
    </w:p>
    <w:p w14:paraId="437AE67D">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cs="Times New Roman"/>
          <w:b w:val="0"/>
          <w:bCs w:val="0"/>
          <w:color w:val="auto"/>
          <w:sz w:val="24"/>
          <w:highlight w:val="none"/>
          <w:lang w:eastAsia="zh-CN"/>
        </w:rPr>
      </w:pPr>
      <w:r>
        <w:rPr>
          <w:rFonts w:hint="eastAsia" w:ascii="宋体" w:hAnsi="宋体" w:cs="Times New Roman"/>
          <w:b w:val="0"/>
          <w:bCs w:val="0"/>
          <w:color w:val="auto"/>
          <w:sz w:val="24"/>
          <w:highlight w:val="none"/>
          <w:lang w:eastAsia="zh-CN"/>
        </w:rPr>
        <w:t>进度计划及保证措施（格式自拟，包括但不仅限于评标办法中涉及的内容）</w:t>
      </w:r>
    </w:p>
    <w:p w14:paraId="52AA6E41">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cs="Times New Roman"/>
          <w:b w:val="0"/>
          <w:bCs w:val="0"/>
          <w:color w:val="auto"/>
          <w:sz w:val="24"/>
          <w:highlight w:val="none"/>
          <w:lang w:eastAsia="zh-CN"/>
        </w:rPr>
      </w:pPr>
      <w:r>
        <w:rPr>
          <w:rFonts w:hint="eastAsia" w:ascii="宋体" w:hAnsi="宋体" w:cs="Times New Roman"/>
          <w:b w:val="0"/>
          <w:bCs w:val="0"/>
          <w:color w:val="auto"/>
          <w:sz w:val="24"/>
          <w:highlight w:val="none"/>
          <w:lang w:eastAsia="zh-CN"/>
        </w:rPr>
        <w:t>测试、试运行和验收方案（格式自拟，包括但不仅限于评标办法中涉及的内容）</w:t>
      </w:r>
    </w:p>
    <w:p w14:paraId="4E0EE34B">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cs="Times New Roman"/>
          <w:b w:val="0"/>
          <w:bCs w:val="0"/>
          <w:color w:val="auto"/>
          <w:sz w:val="24"/>
          <w:highlight w:val="none"/>
          <w:lang w:eastAsia="zh-CN"/>
        </w:rPr>
      </w:pPr>
      <w:r>
        <w:rPr>
          <w:rFonts w:hint="eastAsia" w:ascii="宋体" w:hAnsi="宋体" w:cs="Times New Roman"/>
          <w:b w:val="0"/>
          <w:bCs w:val="0"/>
          <w:color w:val="auto"/>
          <w:sz w:val="24"/>
          <w:highlight w:val="none"/>
          <w:lang w:eastAsia="zh-CN"/>
        </w:rPr>
        <w:t>培训方案（格式自拟，包括但不仅限于评标办法中涉及的内容）</w:t>
      </w:r>
    </w:p>
    <w:p w14:paraId="39DC4A58">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cs="Times New Roman"/>
          <w:b w:val="0"/>
          <w:bCs w:val="0"/>
          <w:color w:val="auto"/>
          <w:sz w:val="24"/>
          <w:highlight w:val="none"/>
          <w:lang w:eastAsia="zh-CN"/>
        </w:rPr>
      </w:pPr>
      <w:r>
        <w:rPr>
          <w:rFonts w:hint="eastAsia" w:ascii="宋体" w:hAnsi="宋体" w:cs="Times New Roman"/>
          <w:b w:val="0"/>
          <w:bCs w:val="0"/>
          <w:color w:val="auto"/>
          <w:sz w:val="24"/>
          <w:highlight w:val="none"/>
          <w:lang w:eastAsia="zh-CN"/>
        </w:rPr>
        <w:t>售后服务方案（格式自拟，包括但不仅限于评标办法中涉及的内容）</w:t>
      </w:r>
    </w:p>
    <w:p w14:paraId="7435D2B3">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cs="Times New Roman"/>
          <w:b w:val="0"/>
          <w:bCs w:val="0"/>
          <w:color w:val="auto"/>
          <w:sz w:val="24"/>
          <w:highlight w:val="none"/>
          <w:lang w:eastAsia="zh-CN"/>
        </w:rPr>
      </w:pPr>
      <w:r>
        <w:rPr>
          <w:rFonts w:hint="eastAsia" w:ascii="宋体" w:hAnsi="宋体" w:cs="Times New Roman"/>
          <w:b w:val="0"/>
          <w:bCs w:val="0"/>
          <w:color w:val="auto"/>
          <w:sz w:val="24"/>
          <w:highlight w:val="none"/>
          <w:lang w:eastAsia="zh-CN"/>
        </w:rPr>
        <w:t>突发事件的应急措施及纠纷处置措施方案（格式自拟，包括但不仅限于评标办法中涉及的内容）</w:t>
      </w:r>
    </w:p>
    <w:p w14:paraId="2B16C2A6">
      <w:pPr>
        <w:keepNext w:val="0"/>
        <w:keepLines w:val="0"/>
        <w:pageBreakBefore w:val="0"/>
        <w:widowControl w:val="0"/>
        <w:numPr>
          <w:ilvl w:val="0"/>
          <w:numId w:val="11"/>
        </w:numPr>
        <w:shd w:val="clear"/>
        <w:tabs>
          <w:tab w:val="left" w:pos="851"/>
          <w:tab w:val="left" w:pos="993"/>
        </w:tabs>
        <w:kinsoku/>
        <w:wordWrap w:val="0"/>
        <w:overflowPunct/>
        <w:topLinePunct w:val="0"/>
        <w:autoSpaceDE/>
        <w:autoSpaceDN/>
        <w:bidi w:val="0"/>
        <w:adjustRightInd w:val="0"/>
        <w:snapToGrid w:val="0"/>
        <w:spacing w:line="500" w:lineRule="exact"/>
        <w:ind w:left="0" w:firstLine="480" w:firstLineChars="200"/>
        <w:textAlignment w:val="auto"/>
        <w:outlineLvl w:val="9"/>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投标人需要说明的其他内容（格式自拟，未尽事宜可按评分细则部分制作）</w:t>
      </w:r>
    </w:p>
    <w:p w14:paraId="273157D7">
      <w:pPr>
        <w:keepNext w:val="0"/>
        <w:keepLines w:val="0"/>
        <w:pageBreakBefore w:val="0"/>
        <w:widowControl w:val="0"/>
        <w:numPr>
          <w:ilvl w:val="0"/>
          <w:numId w:val="10"/>
        </w:numPr>
        <w:shd w:val="clear"/>
        <w:kinsoku/>
        <w:wordWrap w:val="0"/>
        <w:overflowPunct/>
        <w:topLinePunct w:val="0"/>
        <w:autoSpaceDE/>
        <w:autoSpaceDN/>
        <w:bidi w:val="0"/>
        <w:adjustRightInd w:val="0"/>
        <w:snapToGrid w:val="0"/>
        <w:spacing w:line="500" w:lineRule="exact"/>
        <w:ind w:left="0" w:firstLine="284"/>
        <w:jc w:val="left"/>
        <w:textAlignment w:val="auto"/>
        <w:outlineLvl w:val="9"/>
        <w:rPr>
          <w:rFonts w:ascii="宋体" w:hAnsi="宋体"/>
          <w:color w:val="auto"/>
          <w:sz w:val="24"/>
          <w:highlight w:val="none"/>
        </w:rPr>
      </w:pPr>
      <w:r>
        <w:rPr>
          <w:rFonts w:hint="eastAsia" w:ascii="宋体" w:hAnsi="宋体"/>
          <w:color w:val="auto"/>
          <w:sz w:val="24"/>
          <w:highlight w:val="none"/>
        </w:rPr>
        <w:t>报价文件</w:t>
      </w:r>
    </w:p>
    <w:p w14:paraId="78CECE51">
      <w:pPr>
        <w:keepNext w:val="0"/>
        <w:keepLines w:val="0"/>
        <w:pageBreakBefore w:val="0"/>
        <w:widowControl w:val="0"/>
        <w:numPr>
          <w:ilvl w:val="0"/>
          <w:numId w:val="13"/>
        </w:numPr>
        <w:shd w:val="clear"/>
        <w:tabs>
          <w:tab w:val="left" w:pos="851"/>
          <w:tab w:val="left" w:pos="993"/>
          <w:tab w:val="left" w:pos="1134"/>
        </w:tabs>
        <w:kinsoku/>
        <w:wordWrap w:val="0"/>
        <w:overflowPunct/>
        <w:topLinePunct w:val="0"/>
        <w:autoSpaceDE/>
        <w:autoSpaceDN/>
        <w:bidi w:val="0"/>
        <w:adjustRightInd w:val="0"/>
        <w:snapToGrid w:val="0"/>
        <w:spacing w:line="500" w:lineRule="exact"/>
        <w:ind w:left="0" w:leftChars="0" w:firstLine="480" w:firstLineChars="0"/>
        <w:textAlignment w:val="auto"/>
        <w:outlineLvl w:val="9"/>
        <w:rPr>
          <w:rFonts w:ascii="宋体" w:hAnsi="宋体"/>
          <w:color w:val="auto"/>
          <w:sz w:val="24"/>
          <w:highlight w:val="none"/>
        </w:rPr>
      </w:pPr>
      <w:r>
        <w:rPr>
          <w:rFonts w:hint="eastAsia" w:ascii="宋体" w:hAnsi="宋体"/>
          <w:color w:val="auto"/>
          <w:sz w:val="24"/>
          <w:highlight w:val="none"/>
        </w:rPr>
        <w:t>开标一览表</w:t>
      </w:r>
    </w:p>
    <w:p w14:paraId="471A840A">
      <w:pPr>
        <w:keepNext w:val="0"/>
        <w:keepLines w:val="0"/>
        <w:pageBreakBefore w:val="0"/>
        <w:widowControl w:val="0"/>
        <w:numPr>
          <w:ilvl w:val="0"/>
          <w:numId w:val="13"/>
        </w:numPr>
        <w:shd w:val="clear"/>
        <w:tabs>
          <w:tab w:val="left" w:pos="851"/>
          <w:tab w:val="left" w:pos="993"/>
          <w:tab w:val="left" w:pos="1134"/>
        </w:tabs>
        <w:kinsoku/>
        <w:wordWrap w:val="0"/>
        <w:overflowPunct/>
        <w:topLinePunct w:val="0"/>
        <w:autoSpaceDE/>
        <w:autoSpaceDN/>
        <w:bidi w:val="0"/>
        <w:adjustRightInd w:val="0"/>
        <w:snapToGrid w:val="0"/>
        <w:spacing w:line="500" w:lineRule="exact"/>
        <w:ind w:left="0" w:leftChars="0" w:firstLine="480" w:firstLineChars="0"/>
        <w:textAlignment w:val="auto"/>
        <w:outlineLvl w:val="9"/>
        <w:rPr>
          <w:rFonts w:hint="eastAsia" w:ascii="宋体" w:hAnsi="宋体"/>
          <w:color w:val="auto"/>
          <w:sz w:val="24"/>
          <w:highlight w:val="none"/>
        </w:rPr>
      </w:pPr>
      <w:r>
        <w:rPr>
          <w:rFonts w:hint="eastAsia" w:ascii="宋体" w:hAnsi="宋体"/>
          <w:color w:val="auto"/>
          <w:sz w:val="24"/>
          <w:highlight w:val="none"/>
        </w:rPr>
        <w:t>投标报价明细表</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格式自拟</w:t>
      </w:r>
      <w:r>
        <w:rPr>
          <w:rFonts w:hint="eastAsia" w:ascii="宋体" w:hAnsi="宋体"/>
          <w:color w:val="auto"/>
          <w:sz w:val="24"/>
          <w:highlight w:val="none"/>
          <w:lang w:eastAsia="zh-CN"/>
        </w:rPr>
        <w:t>）</w:t>
      </w:r>
    </w:p>
    <w:p w14:paraId="183F1051">
      <w:pPr>
        <w:keepNext w:val="0"/>
        <w:keepLines w:val="0"/>
        <w:pageBreakBefore w:val="0"/>
        <w:widowControl w:val="0"/>
        <w:numPr>
          <w:ilvl w:val="0"/>
          <w:numId w:val="13"/>
        </w:numPr>
        <w:shd w:val="clear"/>
        <w:tabs>
          <w:tab w:val="left" w:pos="851"/>
          <w:tab w:val="left" w:pos="993"/>
          <w:tab w:val="left" w:pos="1134"/>
        </w:tabs>
        <w:kinsoku/>
        <w:wordWrap w:val="0"/>
        <w:overflowPunct/>
        <w:topLinePunct w:val="0"/>
        <w:autoSpaceDE/>
        <w:autoSpaceDN/>
        <w:bidi w:val="0"/>
        <w:adjustRightInd w:val="0"/>
        <w:snapToGrid w:val="0"/>
        <w:spacing w:line="500" w:lineRule="exact"/>
        <w:ind w:left="0" w:leftChars="0" w:firstLine="480" w:firstLineChars="0"/>
        <w:textAlignment w:val="auto"/>
        <w:outlineLvl w:val="9"/>
        <w:rPr>
          <w:rFonts w:hint="eastAsia" w:ascii="宋体" w:hAnsi="宋体"/>
          <w:color w:val="auto"/>
          <w:sz w:val="24"/>
          <w:highlight w:val="none"/>
        </w:rPr>
      </w:pPr>
      <w:r>
        <w:rPr>
          <w:rFonts w:hint="eastAsia" w:ascii="宋体" w:hAnsi="宋体"/>
          <w:color w:val="auto"/>
          <w:sz w:val="24"/>
          <w:highlight w:val="none"/>
        </w:rPr>
        <w:t>投标人针对报价需要说明的其他</w:t>
      </w:r>
      <w:r>
        <w:rPr>
          <w:rFonts w:hint="eastAsia" w:ascii="宋体" w:hAnsi="宋体"/>
          <w:color w:val="auto"/>
          <w:sz w:val="24"/>
          <w:highlight w:val="none"/>
          <w:lang w:val="en-US" w:eastAsia="zh-CN"/>
        </w:rPr>
        <w:t>内容</w:t>
      </w:r>
      <w:r>
        <w:rPr>
          <w:rFonts w:hint="eastAsia" w:ascii="宋体" w:hAnsi="宋体"/>
          <w:color w:val="auto"/>
          <w:sz w:val="24"/>
          <w:highlight w:val="none"/>
          <w:lang w:eastAsia="zh-CN"/>
        </w:rPr>
        <w:t>（格式自拟，未尽事宜可按评分细则部分制作）</w:t>
      </w:r>
    </w:p>
    <w:p w14:paraId="2AB8B5C9">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276" w:name="_Toc406402946"/>
      <w:bookmarkStart w:id="277" w:name="_Toc12298"/>
      <w:bookmarkStart w:id="278" w:name="_Toc22817"/>
      <w:bookmarkStart w:id="279" w:name="_Toc402963084"/>
      <w:bookmarkStart w:id="280" w:name="_Toc9764"/>
      <w:bookmarkStart w:id="281" w:name="_Toc402963117"/>
      <w:bookmarkStart w:id="282" w:name="_Toc385854100"/>
      <w:bookmarkStart w:id="283" w:name="_Toc385854146"/>
      <w:bookmarkStart w:id="284" w:name="_Toc16110"/>
      <w:bookmarkStart w:id="285" w:name="_Toc21488"/>
      <w:bookmarkStart w:id="286" w:name="_Toc11397"/>
      <w:bookmarkStart w:id="287" w:name="_Toc406402990"/>
      <w:bookmarkStart w:id="288" w:name="_Toc529477712"/>
      <w:bookmarkStart w:id="289" w:name="_Toc521661593"/>
      <w:bookmarkStart w:id="290" w:name="_Toc10478"/>
      <w:bookmarkStart w:id="291" w:name="_Toc13949"/>
      <w:bookmarkStart w:id="292" w:name="_Toc16498"/>
      <w:bookmarkStart w:id="293" w:name="_Toc18779"/>
      <w:bookmarkStart w:id="294" w:name="_Toc21026"/>
      <w:bookmarkStart w:id="295" w:name="_Toc8853"/>
      <w:bookmarkStart w:id="296" w:name="_Toc23154"/>
      <w:r>
        <w:rPr>
          <w:rFonts w:hint="eastAsia" w:ascii="宋体" w:hAnsi="宋体"/>
          <w:b/>
          <w:color w:val="auto"/>
          <w:sz w:val="24"/>
          <w:highlight w:val="none"/>
        </w:rPr>
        <w:t>（二）投标文件的语言及计量</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7F54F873">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投标文件以及</w:t>
      </w:r>
      <w:r>
        <w:rPr>
          <w:rFonts w:hint="eastAsia" w:ascii="宋体" w:hAnsi="宋体"/>
          <w:color w:val="auto"/>
          <w:sz w:val="24"/>
          <w:highlight w:val="none"/>
          <w:lang w:eastAsia="zh-CN"/>
        </w:rPr>
        <w:t>投标人</w:t>
      </w:r>
      <w:r>
        <w:rPr>
          <w:rFonts w:ascii="宋体" w:hAnsi="宋体"/>
          <w:color w:val="auto"/>
          <w:sz w:val="24"/>
          <w:highlight w:val="none"/>
        </w:rPr>
        <w:t>与</w:t>
      </w:r>
      <w:r>
        <w:rPr>
          <w:rFonts w:hint="eastAsia" w:ascii="宋体" w:hAnsi="宋体"/>
          <w:color w:val="auto"/>
          <w:sz w:val="24"/>
          <w:highlight w:val="none"/>
          <w:lang w:eastAsia="zh-CN"/>
        </w:rPr>
        <w:t>招标人</w:t>
      </w:r>
      <w:r>
        <w:rPr>
          <w:rFonts w:ascii="宋体" w:hAnsi="宋体"/>
          <w:color w:val="auto"/>
          <w:sz w:val="24"/>
          <w:highlight w:val="none"/>
        </w:rPr>
        <w:t>就有关投标事宜的所有来往函电，均应以中文汉语书写。除签名、盖章、专用名称等特殊情形外，以中文汉语以外的文字表述的投标文件视同未提供。</w:t>
      </w:r>
    </w:p>
    <w:p w14:paraId="73217413">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highlight w:val="none"/>
        </w:rPr>
        <w:t>投标计量单位，招标文件已有明确规定的，使用招标文件规定的计量单位；招标文件没有规定的，应采用中华人民共和国法定计量单位（货币单位：人民币元），否则视同未响应。</w:t>
      </w:r>
    </w:p>
    <w:p w14:paraId="33066493">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297" w:name="_Toc521661594"/>
      <w:bookmarkStart w:id="298" w:name="_Toc385854101"/>
      <w:bookmarkStart w:id="299" w:name="_Toc5845"/>
      <w:bookmarkStart w:id="300" w:name="_Toc406402991"/>
      <w:bookmarkStart w:id="301" w:name="_Toc402963085"/>
      <w:bookmarkStart w:id="302" w:name="_Toc385854147"/>
      <w:bookmarkStart w:id="303" w:name="_Toc406402947"/>
      <w:bookmarkStart w:id="304" w:name="_Toc29094"/>
      <w:bookmarkStart w:id="305" w:name="_Toc402963118"/>
      <w:bookmarkStart w:id="306" w:name="_Toc2554"/>
      <w:bookmarkStart w:id="307" w:name="_Toc25156"/>
      <w:bookmarkStart w:id="308" w:name="_Toc16812"/>
      <w:bookmarkStart w:id="309" w:name="_Toc24148"/>
      <w:bookmarkStart w:id="310" w:name="_Toc31083"/>
      <w:bookmarkStart w:id="311" w:name="_Toc30317"/>
      <w:bookmarkStart w:id="312" w:name="_Toc21513"/>
      <w:bookmarkStart w:id="313" w:name="_Toc26185"/>
      <w:bookmarkStart w:id="314" w:name="_Toc19356"/>
      <w:bookmarkStart w:id="315" w:name="_Toc5946"/>
      <w:bookmarkStart w:id="316" w:name="_Toc11792"/>
      <w:bookmarkStart w:id="317" w:name="_Toc529477713"/>
      <w:r>
        <w:rPr>
          <w:rFonts w:hint="eastAsia" w:ascii="宋体" w:hAnsi="宋体"/>
          <w:b/>
          <w:color w:val="auto"/>
          <w:sz w:val="24"/>
          <w:highlight w:val="none"/>
        </w:rPr>
        <w:t>（三）投标报价</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73AFE0F1">
      <w:pPr>
        <w:pStyle w:val="25"/>
        <w:keepNext w:val="0"/>
        <w:keepLines w:val="0"/>
        <w:pageBreakBefore w:val="0"/>
        <w:widowControl w:val="0"/>
        <w:numPr>
          <w:ilvl w:val="3"/>
          <w:numId w:val="14"/>
        </w:numPr>
        <w:shd w:val="clear"/>
        <w:kinsoku/>
        <w:wordWrap w:val="0"/>
        <w:overflowPunct/>
        <w:topLinePunct w:val="0"/>
        <w:autoSpaceDE/>
        <w:autoSpaceDN/>
        <w:bidi w:val="0"/>
        <w:adjustRightInd w:val="0"/>
        <w:snapToGrid w:val="0"/>
        <w:spacing w:beforeLines="0" w:afterLines="0" w:line="500" w:lineRule="exact"/>
        <w:ind w:left="0" w:firstLine="480" w:firstLineChars="200"/>
        <w:jc w:val="left"/>
        <w:textAlignment w:val="auto"/>
        <w:outlineLvl w:val="9"/>
        <w:rPr>
          <w:rFonts w:hAnsi="宋体"/>
          <w:color w:val="auto"/>
          <w:highlight w:val="none"/>
        </w:rPr>
      </w:pPr>
      <w:r>
        <w:rPr>
          <w:rFonts w:hAnsi="宋体"/>
          <w:color w:val="auto"/>
          <w:highlight w:val="none"/>
        </w:rPr>
        <w:t>投标报价应按招标文件中相关附表格式填写。</w:t>
      </w:r>
    </w:p>
    <w:p w14:paraId="2E4665AD">
      <w:pPr>
        <w:pStyle w:val="25"/>
        <w:keepNext w:val="0"/>
        <w:keepLines w:val="0"/>
        <w:pageBreakBefore w:val="0"/>
        <w:widowControl w:val="0"/>
        <w:numPr>
          <w:ilvl w:val="3"/>
          <w:numId w:val="14"/>
        </w:numPr>
        <w:shd w:val="clear"/>
        <w:kinsoku/>
        <w:wordWrap w:val="0"/>
        <w:overflowPunct/>
        <w:topLinePunct w:val="0"/>
        <w:autoSpaceDE/>
        <w:autoSpaceDN/>
        <w:bidi w:val="0"/>
        <w:adjustRightInd w:val="0"/>
        <w:snapToGrid w:val="0"/>
        <w:spacing w:beforeLines="0" w:afterLines="0" w:line="500" w:lineRule="exact"/>
        <w:ind w:left="0" w:firstLine="480" w:firstLineChars="200"/>
        <w:jc w:val="left"/>
        <w:textAlignment w:val="auto"/>
        <w:outlineLvl w:val="9"/>
        <w:rPr>
          <w:rFonts w:hAnsi="宋体"/>
          <w:color w:val="auto"/>
          <w:highlight w:val="none"/>
        </w:rPr>
      </w:pPr>
      <w:r>
        <w:rPr>
          <w:rFonts w:hint="eastAsia" w:hAnsi="宋体"/>
          <w:color w:val="auto"/>
          <w:highlight w:val="none"/>
        </w:rPr>
        <w:t>投标报价及费用详见第二章投标人须知前附表。</w:t>
      </w:r>
    </w:p>
    <w:p w14:paraId="3175CFAC">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318" w:name="_Toc30109"/>
      <w:bookmarkStart w:id="319" w:name="_Toc521661595"/>
      <w:bookmarkStart w:id="320" w:name="_Toc3900"/>
      <w:bookmarkStart w:id="321" w:name="_Toc529477714"/>
      <w:bookmarkStart w:id="322" w:name="_Toc23673"/>
      <w:bookmarkStart w:id="323" w:name="_Toc23116"/>
      <w:bookmarkStart w:id="324" w:name="_Toc21137"/>
      <w:bookmarkStart w:id="325" w:name="_Toc27104"/>
      <w:bookmarkStart w:id="326" w:name="_Toc18650"/>
      <w:bookmarkStart w:id="327" w:name="_Toc31094"/>
      <w:bookmarkStart w:id="328" w:name="_Toc22581"/>
      <w:bookmarkStart w:id="329" w:name="_Toc29529"/>
      <w:bookmarkStart w:id="330" w:name="_Toc135"/>
      <w:bookmarkStart w:id="331" w:name="_Toc27395"/>
      <w:bookmarkStart w:id="332" w:name="_Toc24315"/>
      <w:r>
        <w:rPr>
          <w:rFonts w:hint="eastAsia" w:ascii="宋体" w:hAnsi="宋体"/>
          <w:b/>
          <w:color w:val="auto"/>
          <w:sz w:val="24"/>
          <w:highlight w:val="none"/>
        </w:rPr>
        <w:t>（四）投标文件的有效期</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7C1D841D">
      <w:pPr>
        <w:pStyle w:val="11"/>
        <w:keepNext w:val="0"/>
        <w:keepLines w:val="0"/>
        <w:pageBreakBefore w:val="0"/>
        <w:widowControl w:val="0"/>
        <w:shd w:val="clear"/>
        <w:tabs>
          <w:tab w:val="left" w:pos="4500"/>
          <w:tab w:val="clear" w:pos="454"/>
        </w:tabs>
        <w:kinsoku/>
        <w:wordWrap w:val="0"/>
        <w:overflowPunct/>
        <w:topLinePunct w:val="0"/>
        <w:autoSpaceDE/>
        <w:autoSpaceDN/>
        <w:bidi w:val="0"/>
        <w:adjustRightInd w:val="0"/>
        <w:snapToGrid w:val="0"/>
        <w:spacing w:afterLines="0" w:line="500" w:lineRule="exact"/>
        <w:ind w:left="0" w:firstLine="480" w:firstLineChars="200"/>
        <w:textAlignment w:val="auto"/>
        <w:outlineLvl w:val="9"/>
        <w:rPr>
          <w:rFonts w:ascii="宋体" w:hAnsi="宋体"/>
          <w:color w:val="auto"/>
          <w:szCs w:val="24"/>
          <w:highlight w:val="none"/>
        </w:rPr>
      </w:pPr>
      <w:r>
        <w:rPr>
          <w:rFonts w:ascii="宋体" w:hAnsi="宋体"/>
          <w:color w:val="auto"/>
          <w:szCs w:val="24"/>
          <w:highlight w:val="none"/>
        </w:rPr>
        <w:t>1</w:t>
      </w:r>
      <w:r>
        <w:rPr>
          <w:rFonts w:hint="eastAsia" w:ascii="宋体" w:hAnsi="宋体"/>
          <w:color w:val="auto"/>
          <w:szCs w:val="24"/>
          <w:highlight w:val="none"/>
        </w:rPr>
        <w:t>.</w:t>
      </w:r>
      <w:r>
        <w:rPr>
          <w:rFonts w:ascii="宋体" w:hAnsi="宋体"/>
          <w:color w:val="auto"/>
          <w:szCs w:val="24"/>
          <w:highlight w:val="none"/>
        </w:rPr>
        <w:t>自投标截止日起</w:t>
      </w:r>
      <w:r>
        <w:rPr>
          <w:rFonts w:hint="eastAsia" w:ascii="宋体" w:hAnsi="宋体"/>
          <w:color w:val="auto"/>
          <w:szCs w:val="24"/>
          <w:highlight w:val="none"/>
          <w:u w:val="single"/>
        </w:rPr>
        <w:t>90</w:t>
      </w:r>
      <w:r>
        <w:rPr>
          <w:rFonts w:ascii="宋体" w:hAnsi="宋体"/>
          <w:color w:val="auto"/>
          <w:szCs w:val="24"/>
          <w:highlight w:val="none"/>
        </w:rPr>
        <w:t>天投标</w:t>
      </w:r>
      <w:r>
        <w:rPr>
          <w:rFonts w:hint="eastAsia" w:ascii="宋体" w:hAnsi="宋体"/>
          <w:color w:val="auto"/>
          <w:szCs w:val="24"/>
          <w:highlight w:val="none"/>
        </w:rPr>
        <w:t>文件</w:t>
      </w:r>
      <w:r>
        <w:rPr>
          <w:rFonts w:ascii="宋体" w:hAnsi="宋体"/>
          <w:color w:val="auto"/>
          <w:szCs w:val="24"/>
          <w:highlight w:val="none"/>
        </w:rPr>
        <w:t>应保持有效。有效期</w:t>
      </w:r>
      <w:r>
        <w:rPr>
          <w:rFonts w:hint="eastAsia" w:ascii="宋体" w:hAnsi="宋体"/>
          <w:color w:val="auto"/>
          <w:szCs w:val="24"/>
          <w:highlight w:val="none"/>
        </w:rPr>
        <w:t>不足</w:t>
      </w:r>
      <w:r>
        <w:rPr>
          <w:rFonts w:ascii="宋体" w:hAnsi="宋体"/>
          <w:color w:val="auto"/>
          <w:szCs w:val="24"/>
          <w:highlight w:val="none"/>
        </w:rPr>
        <w:t>的投标</w:t>
      </w:r>
      <w:r>
        <w:rPr>
          <w:rFonts w:hint="eastAsia" w:ascii="宋体" w:hAnsi="宋体"/>
          <w:color w:val="auto"/>
          <w:szCs w:val="24"/>
          <w:highlight w:val="none"/>
        </w:rPr>
        <w:t>文件</w:t>
      </w:r>
      <w:r>
        <w:rPr>
          <w:rFonts w:ascii="宋体" w:hAnsi="宋体"/>
          <w:color w:val="auto"/>
          <w:szCs w:val="24"/>
          <w:highlight w:val="none"/>
        </w:rPr>
        <w:t>将被拒绝。</w:t>
      </w:r>
    </w:p>
    <w:p w14:paraId="72D85D5E">
      <w:pPr>
        <w:pStyle w:val="11"/>
        <w:keepNext w:val="0"/>
        <w:keepLines w:val="0"/>
        <w:pageBreakBefore w:val="0"/>
        <w:widowControl w:val="0"/>
        <w:shd w:val="clear"/>
        <w:tabs>
          <w:tab w:val="clear" w:pos="454"/>
        </w:tabs>
        <w:kinsoku/>
        <w:wordWrap w:val="0"/>
        <w:overflowPunct/>
        <w:topLinePunct w:val="0"/>
        <w:autoSpaceDE/>
        <w:autoSpaceDN/>
        <w:bidi w:val="0"/>
        <w:adjustRightInd w:val="0"/>
        <w:snapToGrid w:val="0"/>
        <w:spacing w:afterLines="0" w:line="500" w:lineRule="exact"/>
        <w:ind w:left="0" w:firstLine="480" w:firstLineChars="200"/>
        <w:textAlignment w:val="auto"/>
        <w:outlineLvl w:val="9"/>
        <w:rPr>
          <w:rFonts w:ascii="宋体" w:hAnsi="宋体"/>
          <w:color w:val="auto"/>
          <w:szCs w:val="24"/>
          <w:highlight w:val="none"/>
        </w:rPr>
      </w:pPr>
      <w:r>
        <w:rPr>
          <w:rFonts w:ascii="宋体" w:hAnsi="宋体"/>
          <w:color w:val="auto"/>
          <w:szCs w:val="24"/>
          <w:highlight w:val="none"/>
        </w:rPr>
        <w:t>2</w:t>
      </w:r>
      <w:r>
        <w:rPr>
          <w:rFonts w:hint="eastAsia" w:ascii="宋体" w:hAnsi="宋体"/>
          <w:color w:val="auto"/>
          <w:szCs w:val="24"/>
          <w:highlight w:val="none"/>
        </w:rPr>
        <w:t>.</w:t>
      </w:r>
      <w:r>
        <w:rPr>
          <w:rFonts w:ascii="宋体" w:hAnsi="宋体"/>
          <w:color w:val="auto"/>
          <w:szCs w:val="24"/>
          <w:highlight w:val="none"/>
        </w:rPr>
        <w:t>在特殊情况下，招标人可与投标人协商延长投标书的有效期，这种要求和答复均以书面形式进行</w:t>
      </w:r>
      <w:r>
        <w:rPr>
          <w:rFonts w:hint="eastAsia" w:ascii="宋体" w:hAnsi="宋体"/>
          <w:color w:val="auto"/>
          <w:szCs w:val="24"/>
          <w:highlight w:val="none"/>
        </w:rPr>
        <w:t>。投标人同意延长的，不得要求或被允许修改其投标文件的实质性内容，但应当相应延长其投标保证金的有效期（如有）；投标人拒绝延长的，其投标失效，但投标人有权收回其投标保证金（如有）</w:t>
      </w:r>
      <w:r>
        <w:rPr>
          <w:rFonts w:ascii="宋体" w:hAnsi="宋体"/>
          <w:color w:val="auto"/>
          <w:szCs w:val="24"/>
          <w:highlight w:val="none"/>
        </w:rPr>
        <w:t>。</w:t>
      </w:r>
    </w:p>
    <w:p w14:paraId="722C0282">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333" w:name="_Toc10571"/>
      <w:bookmarkStart w:id="334" w:name="_Toc24473"/>
      <w:bookmarkStart w:id="335" w:name="_Toc385854150"/>
      <w:bookmarkStart w:id="336" w:name="_Toc30864"/>
      <w:bookmarkStart w:id="337" w:name="_Toc6217"/>
      <w:bookmarkStart w:id="338" w:name="_Toc521661596"/>
      <w:bookmarkStart w:id="339" w:name="_Toc29600"/>
      <w:bookmarkStart w:id="340" w:name="_Toc406402950"/>
      <w:bookmarkStart w:id="341" w:name="_Toc9865"/>
      <w:bookmarkStart w:id="342" w:name="_Toc21712"/>
      <w:bookmarkStart w:id="343" w:name="_Toc29696"/>
      <w:bookmarkStart w:id="344" w:name="_Toc14350"/>
      <w:bookmarkStart w:id="345" w:name="_Toc402963121"/>
      <w:bookmarkStart w:id="346" w:name="_Toc26899"/>
      <w:bookmarkStart w:id="347" w:name="_Toc15981"/>
      <w:bookmarkStart w:id="348" w:name="_Toc385854104"/>
      <w:bookmarkStart w:id="349" w:name="_Toc406402994"/>
      <w:bookmarkStart w:id="350" w:name="_Toc26087"/>
      <w:bookmarkStart w:id="351" w:name="_Toc402963088"/>
      <w:bookmarkStart w:id="352" w:name="_Toc4708"/>
      <w:bookmarkStart w:id="353" w:name="_Toc529477715"/>
      <w:r>
        <w:rPr>
          <w:rFonts w:hint="eastAsia" w:ascii="宋体" w:hAnsi="宋体"/>
          <w:b/>
          <w:color w:val="auto"/>
          <w:sz w:val="24"/>
          <w:highlight w:val="none"/>
        </w:rPr>
        <w:t>（五）投标保证金</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09487DFC">
      <w:pPr>
        <w:pStyle w:val="28"/>
        <w:keepNext w:val="0"/>
        <w:keepLines w:val="0"/>
        <w:pageBreakBefore w:val="0"/>
        <w:widowControl w:val="0"/>
        <w:shd w:val="clear"/>
        <w:kinsoku/>
        <w:wordWrap w:val="0"/>
        <w:overflowPunct/>
        <w:topLinePunct w:val="0"/>
        <w:autoSpaceDE/>
        <w:autoSpaceDN/>
        <w:bidi w:val="0"/>
        <w:adjustRightInd w:val="0"/>
        <w:snapToGrid w:val="0"/>
        <w:spacing w:line="500" w:lineRule="exact"/>
        <w:ind w:left="568" w:firstLine="0" w:firstLineChars="0"/>
        <w:textAlignment w:val="auto"/>
        <w:outlineLvl w:val="9"/>
        <w:rPr>
          <w:color w:val="auto"/>
          <w:highlight w:val="none"/>
        </w:rPr>
      </w:pPr>
      <w:bookmarkStart w:id="354" w:name="_Toc402963122"/>
      <w:bookmarkStart w:id="355" w:name="_Toc385854105"/>
      <w:bookmarkStart w:id="356" w:name="_Toc406402995"/>
      <w:bookmarkStart w:id="357" w:name="_Toc521661597"/>
      <w:bookmarkStart w:id="358" w:name="_Toc402963089"/>
      <w:bookmarkStart w:id="359" w:name="_Toc406402951"/>
      <w:bookmarkStart w:id="360" w:name="_Toc385854151"/>
      <w:bookmarkStart w:id="361" w:name="_Toc529477716"/>
      <w:r>
        <w:rPr>
          <w:rFonts w:hint="eastAsia"/>
          <w:b w:val="0"/>
          <w:color w:val="auto"/>
          <w:highlight w:val="none"/>
        </w:rPr>
        <w:t>无（不需要缴纳）。</w:t>
      </w:r>
    </w:p>
    <w:p w14:paraId="1289E56D">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362" w:name="_Toc19328"/>
      <w:bookmarkStart w:id="363" w:name="_Toc23073"/>
      <w:bookmarkStart w:id="364" w:name="_Toc14377"/>
      <w:bookmarkStart w:id="365" w:name="_Toc475"/>
      <w:bookmarkStart w:id="366" w:name="_Toc23008"/>
      <w:bookmarkStart w:id="367" w:name="_Toc4114"/>
      <w:bookmarkStart w:id="368" w:name="_Toc19833"/>
      <w:bookmarkStart w:id="369" w:name="_Toc24740"/>
      <w:bookmarkStart w:id="370" w:name="_Toc11740"/>
      <w:bookmarkStart w:id="371" w:name="_Toc27163"/>
      <w:bookmarkStart w:id="372" w:name="_Toc25247"/>
      <w:bookmarkStart w:id="373" w:name="_Toc13234"/>
      <w:bookmarkStart w:id="374" w:name="_Toc27833"/>
      <w:r>
        <w:rPr>
          <w:rFonts w:hint="eastAsia" w:ascii="宋体" w:hAnsi="宋体"/>
          <w:b/>
          <w:color w:val="auto"/>
          <w:sz w:val="24"/>
          <w:highlight w:val="none"/>
        </w:rPr>
        <w:t>（六）投标文件的签署和份数</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399F6BE5">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投标人应</w:t>
      </w:r>
      <w:r>
        <w:rPr>
          <w:rFonts w:hint="eastAsia" w:ascii="宋体" w:hAnsi="宋体"/>
          <w:color w:val="auto"/>
          <w:sz w:val="24"/>
          <w:highlight w:val="none"/>
        </w:rPr>
        <w:t>按</w:t>
      </w:r>
      <w:r>
        <w:rPr>
          <w:rFonts w:ascii="宋体" w:hAnsi="宋体"/>
          <w:color w:val="auto"/>
          <w:sz w:val="24"/>
          <w:highlight w:val="none"/>
        </w:rPr>
        <w:t>本招标文件规定的格式和顺序编制、装订投标文件</w:t>
      </w:r>
      <w:r>
        <w:rPr>
          <w:rFonts w:hint="eastAsia" w:ascii="宋体" w:hAnsi="宋体"/>
          <w:color w:val="auto"/>
          <w:sz w:val="24"/>
          <w:highlight w:val="none"/>
        </w:rPr>
        <w:t>并标注页码</w:t>
      </w:r>
      <w:r>
        <w:rPr>
          <w:rFonts w:ascii="宋体" w:hAnsi="宋体"/>
          <w:color w:val="auto"/>
          <w:sz w:val="24"/>
          <w:highlight w:val="none"/>
        </w:rPr>
        <w:t>，投标文件内容不完整、编排混乱导致投标文件被误读、漏读或者查找不到相关内容的，</w:t>
      </w:r>
      <w:r>
        <w:rPr>
          <w:rFonts w:hint="eastAsia" w:ascii="宋体" w:hAnsi="宋体"/>
          <w:b/>
          <w:color w:val="auto"/>
          <w:sz w:val="24"/>
          <w:highlight w:val="none"/>
        </w:rPr>
        <w:t>相关不利风险由</w:t>
      </w:r>
      <w:r>
        <w:rPr>
          <w:rFonts w:ascii="宋体" w:hAnsi="宋体"/>
          <w:b/>
          <w:color w:val="auto"/>
          <w:sz w:val="24"/>
          <w:highlight w:val="none"/>
        </w:rPr>
        <w:t>投标人</w:t>
      </w:r>
      <w:r>
        <w:rPr>
          <w:rFonts w:hint="eastAsia" w:ascii="宋体" w:hAnsi="宋体"/>
          <w:b/>
          <w:color w:val="auto"/>
          <w:sz w:val="24"/>
          <w:highlight w:val="none"/>
        </w:rPr>
        <w:t>自行承担</w:t>
      </w:r>
      <w:r>
        <w:rPr>
          <w:rFonts w:ascii="宋体" w:hAnsi="宋体"/>
          <w:color w:val="auto"/>
          <w:sz w:val="24"/>
          <w:highlight w:val="none"/>
        </w:rPr>
        <w:t>。</w:t>
      </w:r>
    </w:p>
    <w:p w14:paraId="1D5E6026">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highlight w:val="none"/>
        </w:rPr>
        <w:t>投标人应按</w:t>
      </w:r>
      <w:r>
        <w:rPr>
          <w:rFonts w:hint="eastAsia" w:ascii="宋体" w:hAnsi="宋体"/>
          <w:color w:val="auto"/>
          <w:sz w:val="24"/>
          <w:highlight w:val="none"/>
        </w:rPr>
        <w:t>投标文件组成的顺序编制资信商务及技术文件</w:t>
      </w:r>
      <w:r>
        <w:rPr>
          <w:rFonts w:hint="eastAsia" w:ascii="宋体" w:hAnsi="宋体"/>
          <w:color w:val="auto"/>
          <w:sz w:val="24"/>
          <w:highlight w:val="none"/>
        </w:rPr>
        <w:t>（正本</w:t>
      </w:r>
      <w:r>
        <w:rPr>
          <w:rFonts w:hint="eastAsia" w:ascii="宋体" w:hAnsi="宋体"/>
          <w:color w:val="auto"/>
          <w:sz w:val="24"/>
          <w:highlight w:val="none"/>
          <w:u w:val="single"/>
        </w:rPr>
        <w:t>1</w:t>
      </w:r>
      <w:r>
        <w:rPr>
          <w:rFonts w:hint="eastAsia" w:ascii="宋体" w:hAnsi="宋体"/>
          <w:color w:val="auto"/>
          <w:sz w:val="24"/>
          <w:highlight w:val="none"/>
        </w:rPr>
        <w:t>份，副本</w:t>
      </w:r>
      <w:r>
        <w:rPr>
          <w:rFonts w:hint="eastAsia" w:ascii="宋体" w:hAnsi="宋体"/>
          <w:color w:val="auto"/>
          <w:sz w:val="24"/>
          <w:highlight w:val="none"/>
          <w:u w:val="single"/>
        </w:rPr>
        <w:t>2</w:t>
      </w:r>
      <w:r>
        <w:rPr>
          <w:rFonts w:hint="eastAsia" w:ascii="宋体" w:hAnsi="宋体"/>
          <w:color w:val="auto"/>
          <w:sz w:val="24"/>
          <w:highlight w:val="none"/>
        </w:rPr>
        <w:t>份）、报价文件（正本</w:t>
      </w:r>
      <w:r>
        <w:rPr>
          <w:rFonts w:hint="eastAsia" w:ascii="宋体" w:hAnsi="宋体"/>
          <w:color w:val="auto"/>
          <w:sz w:val="24"/>
          <w:highlight w:val="none"/>
          <w:u w:val="single"/>
        </w:rPr>
        <w:t>1</w:t>
      </w:r>
      <w:r>
        <w:rPr>
          <w:rFonts w:hint="eastAsia" w:ascii="宋体" w:hAnsi="宋体"/>
          <w:color w:val="auto"/>
          <w:sz w:val="24"/>
          <w:highlight w:val="none"/>
        </w:rPr>
        <w:t>份，副本</w:t>
      </w:r>
      <w:r>
        <w:rPr>
          <w:rFonts w:hint="eastAsia" w:ascii="宋体" w:hAnsi="宋体"/>
          <w:color w:val="auto"/>
          <w:sz w:val="24"/>
          <w:highlight w:val="none"/>
          <w:u w:val="single"/>
        </w:rPr>
        <w:t>2</w:t>
      </w:r>
      <w:r>
        <w:rPr>
          <w:rFonts w:hint="eastAsia" w:ascii="宋体" w:hAnsi="宋体"/>
          <w:color w:val="auto"/>
          <w:sz w:val="24"/>
          <w:highlight w:val="none"/>
        </w:rPr>
        <w:t>份），分别装订成册（不得活页装订）</w:t>
      </w:r>
      <w:r>
        <w:rPr>
          <w:rFonts w:hint="eastAsia" w:ascii="宋体" w:hAnsi="宋体"/>
          <w:color w:val="auto"/>
          <w:sz w:val="24"/>
          <w:highlight w:val="none"/>
        </w:rPr>
        <w:t>。中标通知书发出前，</w:t>
      </w:r>
      <w:r>
        <w:rPr>
          <w:rFonts w:hint="eastAsia" w:ascii="宋体" w:hAnsi="宋体"/>
          <w:color w:val="auto"/>
          <w:sz w:val="24"/>
          <w:highlight w:val="none"/>
          <w:lang w:eastAsia="zh-CN"/>
        </w:rPr>
        <w:t>中标</w:t>
      </w:r>
      <w:r>
        <w:rPr>
          <w:rFonts w:hint="eastAsia" w:ascii="宋体" w:hAnsi="宋体"/>
          <w:color w:val="auto"/>
          <w:sz w:val="24"/>
          <w:highlight w:val="none"/>
          <w:lang w:val="en-US" w:eastAsia="zh-CN"/>
        </w:rPr>
        <w:t>人</w:t>
      </w:r>
      <w:r>
        <w:rPr>
          <w:rFonts w:hint="eastAsia" w:ascii="宋体" w:hAnsi="宋体"/>
          <w:color w:val="auto"/>
          <w:sz w:val="24"/>
          <w:highlight w:val="none"/>
          <w:lang w:eastAsia="zh-CN"/>
        </w:rPr>
        <w:t>须向招标代理机构再提供纸质投标文件</w:t>
      </w:r>
      <w:r>
        <w:rPr>
          <w:rFonts w:hint="eastAsia" w:ascii="宋体" w:hAnsi="宋体"/>
          <w:color w:val="auto"/>
          <w:sz w:val="24"/>
          <w:highlight w:val="none"/>
        </w:rPr>
        <w:t>副本</w:t>
      </w:r>
      <w:r>
        <w:rPr>
          <w:rFonts w:hint="eastAsia" w:ascii="宋体" w:hAnsi="宋体"/>
          <w:color w:val="auto"/>
          <w:sz w:val="24"/>
          <w:highlight w:val="none"/>
        </w:rPr>
        <w:t>一式二份</w:t>
      </w:r>
      <w:r>
        <w:rPr>
          <w:rFonts w:hint="eastAsia" w:ascii="宋体" w:hAnsi="宋体"/>
          <w:color w:val="auto"/>
          <w:sz w:val="24"/>
          <w:highlight w:val="none"/>
        </w:rPr>
        <w:t>。投标文件的封面应注明“正本”、“副本”字样。</w:t>
      </w:r>
      <w:r>
        <w:rPr>
          <w:rFonts w:hint="eastAsia"/>
          <w:color w:val="auto"/>
          <w:sz w:val="24"/>
          <w:highlight w:val="none"/>
        </w:rPr>
        <w:t>活页装订（是指用卡条、抽杆夹等形式装订，使标书可以拆卸或者在翻动过程中易脱落的一种装订方式）的</w:t>
      </w:r>
      <w:r>
        <w:rPr>
          <w:rFonts w:hint="eastAsia" w:ascii="宋体" w:hAnsi="宋体"/>
          <w:color w:val="auto"/>
          <w:sz w:val="24"/>
          <w:highlight w:val="none"/>
        </w:rPr>
        <w:t>投标文件按无效标处理。</w:t>
      </w:r>
    </w:p>
    <w:p w14:paraId="2C624D89">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w:t>
      </w:r>
      <w:r>
        <w:rPr>
          <w:rFonts w:ascii="宋体" w:hAnsi="宋体"/>
          <w:color w:val="auto"/>
          <w:sz w:val="24"/>
          <w:highlight w:val="none"/>
        </w:rPr>
        <w:t>投标文件的正本需打印或用不褪色的墨水填写，投标文件正本除本</w:t>
      </w:r>
      <w:r>
        <w:rPr>
          <w:rFonts w:hint="eastAsia" w:ascii="宋体" w:hAnsi="宋体"/>
          <w:color w:val="auto"/>
          <w:sz w:val="24"/>
          <w:highlight w:val="none"/>
        </w:rPr>
        <w:t>《</w:t>
      </w:r>
      <w:r>
        <w:rPr>
          <w:rFonts w:ascii="宋体" w:hAnsi="宋体"/>
          <w:color w:val="auto"/>
          <w:sz w:val="24"/>
          <w:highlight w:val="none"/>
        </w:rPr>
        <w:t>投标人须知</w:t>
      </w:r>
      <w:r>
        <w:rPr>
          <w:rFonts w:hint="eastAsia" w:ascii="宋体" w:hAnsi="宋体"/>
          <w:color w:val="auto"/>
          <w:sz w:val="24"/>
          <w:highlight w:val="none"/>
        </w:rPr>
        <w:t>》</w:t>
      </w:r>
      <w:r>
        <w:rPr>
          <w:rFonts w:ascii="宋体" w:hAnsi="宋体"/>
          <w:color w:val="auto"/>
          <w:sz w:val="24"/>
          <w:highlight w:val="none"/>
        </w:rPr>
        <w:t>中规定的可提供复印件外均须提供原件。副本</w:t>
      </w:r>
      <w:r>
        <w:rPr>
          <w:rFonts w:hint="eastAsia" w:ascii="宋体" w:hAnsi="宋体"/>
          <w:color w:val="auto"/>
          <w:sz w:val="24"/>
          <w:highlight w:val="none"/>
        </w:rPr>
        <w:t>可</w:t>
      </w:r>
      <w:r>
        <w:rPr>
          <w:rFonts w:ascii="宋体" w:hAnsi="宋体"/>
          <w:color w:val="auto"/>
          <w:sz w:val="24"/>
          <w:highlight w:val="none"/>
        </w:rPr>
        <w:t>为正本的复印件。</w:t>
      </w:r>
    </w:p>
    <w:p w14:paraId="3B6BF9A1">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w:t>
      </w:r>
      <w:r>
        <w:rPr>
          <w:rFonts w:ascii="宋体" w:hAnsi="宋体"/>
          <w:color w:val="auto"/>
          <w:sz w:val="24"/>
          <w:highlight w:val="none"/>
        </w:rPr>
        <w:t>投标文件须由投标人在规定位置盖章并由法定代表人或法定代表</w:t>
      </w:r>
      <w:r>
        <w:rPr>
          <w:rFonts w:hint="eastAsia" w:ascii="宋体" w:hAnsi="宋体"/>
          <w:color w:val="auto"/>
          <w:sz w:val="24"/>
          <w:highlight w:val="none"/>
        </w:rPr>
        <w:t>人的</w:t>
      </w:r>
      <w:r>
        <w:rPr>
          <w:rFonts w:ascii="宋体" w:hAnsi="宋体"/>
          <w:color w:val="auto"/>
          <w:sz w:val="24"/>
          <w:highlight w:val="none"/>
        </w:rPr>
        <w:t>授权</w:t>
      </w:r>
      <w:r>
        <w:rPr>
          <w:rFonts w:hint="eastAsia" w:ascii="宋体" w:hAnsi="宋体"/>
          <w:color w:val="auto"/>
          <w:sz w:val="24"/>
          <w:highlight w:val="none"/>
        </w:rPr>
        <w:t>委托</w:t>
      </w:r>
      <w:r>
        <w:rPr>
          <w:rFonts w:ascii="宋体" w:hAnsi="宋体"/>
          <w:color w:val="auto"/>
          <w:sz w:val="24"/>
          <w:highlight w:val="none"/>
        </w:rPr>
        <w:t>人签署，投标人应写全称。</w:t>
      </w:r>
    </w:p>
    <w:p w14:paraId="29FB615B">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0" w:firstLineChars="200"/>
        <w:jc w:val="left"/>
        <w:textAlignment w:val="auto"/>
        <w:outlineLvl w:val="9"/>
        <w:rPr>
          <w:rFonts w:ascii="宋体" w:hAnsi="宋体"/>
          <w:color w:val="auto"/>
          <w:sz w:val="24"/>
          <w:highlight w:val="none"/>
        </w:rPr>
      </w:pPr>
      <w:r>
        <w:rPr>
          <w:rFonts w:ascii="宋体" w:hAnsi="宋体"/>
          <w:color w:val="auto"/>
          <w:sz w:val="24"/>
          <w:highlight w:val="none"/>
        </w:rPr>
        <w:t>5</w:t>
      </w:r>
      <w:r>
        <w:rPr>
          <w:rFonts w:hint="eastAsia" w:ascii="宋体" w:hAnsi="宋体"/>
          <w:color w:val="auto"/>
          <w:sz w:val="24"/>
          <w:highlight w:val="none"/>
        </w:rPr>
        <w:t>.</w:t>
      </w:r>
      <w:r>
        <w:rPr>
          <w:rFonts w:ascii="宋体" w:hAnsi="宋体"/>
          <w:color w:val="auto"/>
          <w:sz w:val="24"/>
          <w:highlight w:val="none"/>
        </w:rPr>
        <w:t>投标文件不得涂改，若有修改错漏处，须加盖单位公章或者法定代表人或法定代表</w:t>
      </w:r>
      <w:r>
        <w:rPr>
          <w:rFonts w:hint="eastAsia" w:ascii="宋体" w:hAnsi="宋体"/>
          <w:color w:val="auto"/>
          <w:sz w:val="24"/>
          <w:highlight w:val="none"/>
        </w:rPr>
        <w:t>人的</w:t>
      </w:r>
      <w:r>
        <w:rPr>
          <w:rFonts w:ascii="宋体" w:hAnsi="宋体"/>
          <w:color w:val="auto"/>
          <w:sz w:val="24"/>
          <w:highlight w:val="none"/>
        </w:rPr>
        <w:t>授权委托人签字或盖章。投标文件因字迹潦草或表达不清所引起的后果由投标人负责。</w:t>
      </w:r>
    </w:p>
    <w:p w14:paraId="0400CB9B">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375" w:name="_Toc529477717"/>
      <w:bookmarkStart w:id="376" w:name="_Toc19061"/>
      <w:bookmarkStart w:id="377" w:name="_Toc24009"/>
      <w:bookmarkStart w:id="378" w:name="_Toc20614"/>
      <w:bookmarkStart w:id="379" w:name="_Toc27460"/>
      <w:bookmarkStart w:id="380" w:name="_Toc11111"/>
      <w:bookmarkStart w:id="381" w:name="_Toc27488"/>
      <w:bookmarkStart w:id="382" w:name="_Toc28690"/>
      <w:bookmarkStart w:id="383" w:name="_Toc22129"/>
      <w:bookmarkStart w:id="384" w:name="_Toc521661598"/>
      <w:bookmarkStart w:id="385" w:name="_Toc9772"/>
      <w:bookmarkStart w:id="386" w:name="_Toc11325"/>
      <w:bookmarkStart w:id="387" w:name="_Toc12243"/>
      <w:bookmarkStart w:id="388" w:name="_Toc9983"/>
      <w:bookmarkStart w:id="389" w:name="_Toc14369"/>
      <w:r>
        <w:rPr>
          <w:rFonts w:hint="eastAsia" w:ascii="宋体" w:hAnsi="宋体"/>
          <w:b/>
          <w:color w:val="auto"/>
          <w:sz w:val="24"/>
          <w:highlight w:val="none"/>
        </w:rPr>
        <w:t>（七）投标文件的包装、递交、修改和撤回</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265B15DA">
      <w:pPr>
        <w:keepNext w:val="0"/>
        <w:keepLines w:val="0"/>
        <w:pageBreakBefore w:val="0"/>
        <w:widowControl w:val="0"/>
        <w:numPr>
          <w:ilvl w:val="0"/>
          <w:numId w:val="15"/>
        </w:numPr>
        <w:shd w:val="clear"/>
        <w:kinsoku/>
        <w:wordWrap w:val="0"/>
        <w:overflowPunct/>
        <w:topLinePunct w:val="0"/>
        <w:autoSpaceDE/>
        <w:autoSpaceDN/>
        <w:bidi w:val="0"/>
        <w:adjustRightInd w:val="0"/>
        <w:snapToGrid w:val="0"/>
        <w:spacing w:line="500" w:lineRule="exact"/>
        <w:ind w:left="0" w:leftChars="0" w:firstLine="480" w:firstLineChars="200"/>
        <w:jc w:val="left"/>
        <w:textAlignment w:val="auto"/>
        <w:outlineLvl w:val="9"/>
        <w:rPr>
          <w:rFonts w:hint="eastAsia" w:ascii="宋体" w:hAnsi="宋体"/>
          <w:b w:val="0"/>
          <w:bCs w:val="0"/>
          <w:color w:val="auto"/>
          <w:sz w:val="24"/>
          <w:highlight w:val="none"/>
        </w:rPr>
      </w:pPr>
      <w:r>
        <w:rPr>
          <w:rFonts w:hint="eastAsia" w:ascii="宋体" w:hAnsi="宋体"/>
          <w:b w:val="0"/>
          <w:bCs w:val="0"/>
          <w:color w:val="auto"/>
          <w:sz w:val="24"/>
          <w:highlight w:val="none"/>
        </w:rPr>
        <w:t>投标人应将资信商务及技术文件</w:t>
      </w:r>
      <w:r>
        <w:rPr>
          <w:rFonts w:hint="eastAsia" w:ascii="宋体" w:hAnsi="宋体"/>
          <w:b w:val="0"/>
          <w:bCs w:val="0"/>
          <w:color w:val="auto"/>
          <w:sz w:val="24"/>
          <w:highlight w:val="none"/>
        </w:rPr>
        <w:t>（一正两副）</w:t>
      </w:r>
      <w:r>
        <w:rPr>
          <w:rFonts w:hint="eastAsia" w:ascii="宋体" w:hAnsi="宋体"/>
          <w:b w:val="0"/>
          <w:bCs w:val="0"/>
          <w:color w:val="auto"/>
          <w:sz w:val="24"/>
          <w:highlight w:val="none"/>
        </w:rPr>
        <w:t>、报价文件</w:t>
      </w:r>
      <w:r>
        <w:rPr>
          <w:rFonts w:hint="eastAsia" w:ascii="宋体" w:hAnsi="宋体"/>
          <w:b w:val="0"/>
          <w:bCs w:val="0"/>
          <w:color w:val="auto"/>
          <w:sz w:val="24"/>
          <w:highlight w:val="none"/>
        </w:rPr>
        <w:t>（一正两副）</w:t>
      </w:r>
      <w:r>
        <w:rPr>
          <w:rFonts w:hint="eastAsia" w:ascii="宋体" w:hAnsi="宋体"/>
          <w:b w:val="0"/>
          <w:bCs w:val="0"/>
          <w:color w:val="auto"/>
          <w:sz w:val="24"/>
          <w:highlight w:val="none"/>
        </w:rPr>
        <w:t>分别密封封装（即二个包封），并在封口上加盖投标人公章。投标文件的包装封面上应注明投标人名称、投标人地址、投标文件名称</w:t>
      </w:r>
      <w:r>
        <w:rPr>
          <w:rFonts w:hint="eastAsia" w:ascii="宋体" w:hAnsi="宋体"/>
          <w:b w:val="0"/>
          <w:bCs w:val="0"/>
          <w:color w:val="auto"/>
          <w:sz w:val="24"/>
          <w:highlight w:val="none"/>
        </w:rPr>
        <w:t>（资信商务及技术文件或报价文件）</w:t>
      </w:r>
      <w:r>
        <w:rPr>
          <w:rFonts w:hint="eastAsia" w:ascii="宋体" w:hAnsi="宋体"/>
          <w:b w:val="0"/>
          <w:bCs w:val="0"/>
          <w:color w:val="auto"/>
          <w:sz w:val="24"/>
          <w:highlight w:val="none"/>
        </w:rPr>
        <w:t>、投标项目名称、项目编号、所投标段（如有），并加盖投标人公章。</w:t>
      </w:r>
    </w:p>
    <w:p w14:paraId="4D334D61">
      <w:pPr>
        <w:keepNext w:val="0"/>
        <w:keepLines w:val="0"/>
        <w:pageBreakBefore w:val="0"/>
        <w:widowControl w:val="0"/>
        <w:numPr>
          <w:ilvl w:val="0"/>
          <w:numId w:val="15"/>
        </w:numPr>
        <w:shd w:val="clear"/>
        <w:kinsoku/>
        <w:wordWrap w:val="0"/>
        <w:overflowPunct/>
        <w:topLinePunct w:val="0"/>
        <w:autoSpaceDE/>
        <w:autoSpaceDN/>
        <w:bidi w:val="0"/>
        <w:adjustRightInd w:val="0"/>
        <w:snapToGrid w:val="0"/>
        <w:spacing w:line="500" w:lineRule="exact"/>
        <w:ind w:left="0" w:leftChars="0" w:firstLine="480" w:firstLineChars="200"/>
        <w:jc w:val="left"/>
        <w:textAlignment w:val="auto"/>
        <w:outlineLvl w:val="9"/>
        <w:rPr>
          <w:rFonts w:ascii="宋体" w:hAnsi="宋体"/>
          <w:b w:val="0"/>
          <w:bCs w:val="0"/>
          <w:color w:val="auto"/>
          <w:sz w:val="24"/>
          <w:highlight w:val="none"/>
        </w:rPr>
      </w:pPr>
      <w:r>
        <w:rPr>
          <w:rFonts w:hint="eastAsia" w:ascii="宋体" w:hAnsi="宋体"/>
          <w:b w:val="0"/>
          <w:bCs w:val="0"/>
          <w:color w:val="auto"/>
          <w:sz w:val="24"/>
          <w:highlight w:val="none"/>
        </w:rPr>
        <w:t>未按规定密封或标记的投标文件应被认定为无效的投标，其投标文件将被拒绝开启。</w:t>
      </w:r>
    </w:p>
    <w:p w14:paraId="4BC1BA25">
      <w:pPr>
        <w:keepNext w:val="0"/>
        <w:keepLines w:val="0"/>
        <w:pageBreakBefore w:val="0"/>
        <w:widowControl w:val="0"/>
        <w:numPr>
          <w:ilvl w:val="0"/>
          <w:numId w:val="15"/>
        </w:numPr>
        <w:shd w:val="clear"/>
        <w:kinsoku/>
        <w:wordWrap w:val="0"/>
        <w:overflowPunct/>
        <w:topLinePunct w:val="0"/>
        <w:autoSpaceDE/>
        <w:autoSpaceDN/>
        <w:bidi w:val="0"/>
        <w:adjustRightInd w:val="0"/>
        <w:snapToGrid w:val="0"/>
        <w:spacing w:line="500" w:lineRule="exact"/>
        <w:ind w:left="0" w:leftChars="0" w:firstLine="480" w:firstLineChars="200"/>
        <w:jc w:val="left"/>
        <w:textAlignment w:val="auto"/>
        <w:outlineLvl w:val="9"/>
        <w:rPr>
          <w:rFonts w:ascii="宋体" w:hAnsi="宋体"/>
          <w:b/>
          <w:color w:val="auto"/>
          <w:sz w:val="24"/>
          <w:highlight w:val="none"/>
        </w:rPr>
      </w:pPr>
      <w:r>
        <w:rPr>
          <w:rFonts w:hint="eastAsia" w:ascii="宋体" w:hAnsi="宋体"/>
          <w:b w:val="0"/>
          <w:bCs w:val="0"/>
          <w:color w:val="auto"/>
          <w:sz w:val="24"/>
          <w:highlight w:val="none"/>
        </w:rPr>
        <w:t>投标人在投标截止时间之前，可以对已提交的投标文件进行修改或撤回，并书面通知招标</w:t>
      </w:r>
      <w:r>
        <w:rPr>
          <w:rFonts w:hint="eastAsia" w:ascii="宋体" w:hAnsi="宋体"/>
          <w:b w:val="0"/>
          <w:bCs w:val="0"/>
          <w:color w:val="auto"/>
          <w:sz w:val="24"/>
          <w:highlight w:val="none"/>
          <w:lang w:eastAsia="zh-CN"/>
        </w:rPr>
        <w:t>招标人</w:t>
      </w:r>
      <w:r>
        <w:rPr>
          <w:rFonts w:hint="eastAsia" w:ascii="宋体" w:hAnsi="宋体"/>
          <w:b w:val="0"/>
          <w:bCs w:val="0"/>
          <w:color w:val="auto"/>
          <w:sz w:val="24"/>
          <w:highlight w:val="none"/>
        </w:rPr>
        <w:t>；投标截止时间后，投标人不得撤回、修改投标文件。修改后重新递交的投标文件应当按本招标文件的要求签署、盖章和密封。</w:t>
      </w:r>
      <w:r>
        <w:rPr>
          <w:rFonts w:hint="eastAsia" w:ascii="宋体" w:hAnsi="宋体"/>
          <w:color w:val="auto"/>
          <w:sz w:val="24"/>
          <w:highlight w:val="none"/>
        </w:rPr>
        <w:cr/>
      </w:r>
      <w:bookmarkStart w:id="390" w:name="_Toc22577"/>
      <w:bookmarkStart w:id="391" w:name="_Toc529477718"/>
      <w:bookmarkStart w:id="392" w:name="_Toc521661599"/>
      <w:r>
        <w:rPr>
          <w:rFonts w:hint="eastAsia" w:ascii="宋体" w:hAnsi="宋体"/>
          <w:b/>
          <w:color w:val="auto"/>
          <w:sz w:val="24"/>
          <w:highlight w:val="none"/>
        </w:rPr>
        <w:t>（八）投标无效的情形</w:t>
      </w:r>
      <w:bookmarkEnd w:id="390"/>
      <w:bookmarkEnd w:id="391"/>
      <w:bookmarkEnd w:id="392"/>
    </w:p>
    <w:p w14:paraId="305F4C67">
      <w:pPr>
        <w:keepNext w:val="0"/>
        <w:keepLines w:val="0"/>
        <w:pageBreakBefore w:val="0"/>
        <w:widowControl w:val="0"/>
        <w:numPr>
          <w:ilvl w:val="3"/>
          <w:numId w:val="16"/>
        </w:numPr>
        <w:shd w:val="clear"/>
        <w:kinsoku/>
        <w:wordWrap w:val="0"/>
        <w:overflowPunct/>
        <w:topLinePunct w:val="0"/>
        <w:autoSpaceDE/>
        <w:autoSpaceDN/>
        <w:bidi w:val="0"/>
        <w:snapToGrid w:val="0"/>
        <w:spacing w:line="500" w:lineRule="exact"/>
        <w:ind w:left="0" w:firstLine="480" w:firstLineChars="200"/>
        <w:textAlignment w:val="auto"/>
        <w:outlineLvl w:val="9"/>
        <w:rPr>
          <w:rFonts w:ascii="宋体" w:hAnsi="宋体"/>
          <w:b w:val="0"/>
          <w:bCs/>
          <w:color w:val="auto"/>
          <w:sz w:val="24"/>
          <w:highlight w:val="none"/>
        </w:rPr>
      </w:pPr>
      <w:r>
        <w:rPr>
          <w:rFonts w:hint="eastAsia" w:ascii="宋体" w:hAnsi="宋体"/>
          <w:b w:val="0"/>
          <w:bCs/>
          <w:color w:val="auto"/>
          <w:sz w:val="24"/>
          <w:highlight w:val="none"/>
        </w:rPr>
        <w:t>投标文件被拒收的；</w:t>
      </w:r>
    </w:p>
    <w:p w14:paraId="54562FB6">
      <w:pPr>
        <w:keepNext w:val="0"/>
        <w:keepLines w:val="0"/>
        <w:pageBreakBefore w:val="0"/>
        <w:widowControl w:val="0"/>
        <w:numPr>
          <w:ilvl w:val="1"/>
          <w:numId w:val="17"/>
        </w:numPr>
        <w:shd w:val="clear"/>
        <w:kinsoku/>
        <w:wordWrap w:val="0"/>
        <w:overflowPunct/>
        <w:topLinePunct w:val="0"/>
        <w:autoSpaceDE/>
        <w:autoSpaceDN/>
        <w:bidi w:val="0"/>
        <w:adjustRightInd w:val="0"/>
        <w:snapToGrid w:val="0"/>
        <w:spacing w:line="500" w:lineRule="exact"/>
        <w:ind w:left="0" w:leftChars="0" w:firstLine="720" w:firstLineChars="300"/>
        <w:textAlignment w:val="auto"/>
        <w:outlineLvl w:val="9"/>
        <w:rPr>
          <w:rFonts w:hint="eastAsia" w:ascii="宋体" w:hAnsi="宋体" w:eastAsia="宋体" w:cs="Times New Roman"/>
          <w:bCs/>
          <w:color w:val="auto"/>
          <w:sz w:val="24"/>
          <w:szCs w:val="20"/>
          <w:highlight w:val="none"/>
        </w:rPr>
      </w:pPr>
      <w:r>
        <w:rPr>
          <w:rFonts w:hint="eastAsia" w:ascii="宋体" w:hAnsi="宋体" w:eastAsia="宋体" w:cs="Times New Roman"/>
          <w:bCs/>
          <w:color w:val="auto"/>
          <w:sz w:val="24"/>
          <w:szCs w:val="20"/>
          <w:highlight w:val="none"/>
        </w:rPr>
        <w:t>投标文件逾期送达的；</w:t>
      </w:r>
    </w:p>
    <w:p w14:paraId="667A5915">
      <w:pPr>
        <w:keepNext w:val="0"/>
        <w:keepLines w:val="0"/>
        <w:pageBreakBefore w:val="0"/>
        <w:widowControl w:val="0"/>
        <w:numPr>
          <w:ilvl w:val="1"/>
          <w:numId w:val="17"/>
        </w:numPr>
        <w:shd w:val="clear"/>
        <w:kinsoku/>
        <w:wordWrap w:val="0"/>
        <w:overflowPunct/>
        <w:topLinePunct w:val="0"/>
        <w:autoSpaceDE/>
        <w:autoSpaceDN/>
        <w:bidi w:val="0"/>
        <w:adjustRightInd w:val="0"/>
        <w:snapToGrid w:val="0"/>
        <w:spacing w:line="500" w:lineRule="exact"/>
        <w:ind w:left="0" w:leftChars="0" w:firstLine="720" w:firstLineChars="300"/>
        <w:textAlignment w:val="auto"/>
        <w:outlineLvl w:val="9"/>
        <w:rPr>
          <w:rFonts w:hint="eastAsia" w:ascii="宋体" w:hAnsi="宋体" w:eastAsia="宋体" w:cs="Times New Roman"/>
          <w:bCs/>
          <w:color w:val="auto"/>
          <w:sz w:val="24"/>
          <w:szCs w:val="20"/>
          <w:highlight w:val="none"/>
        </w:rPr>
      </w:pPr>
      <w:r>
        <w:rPr>
          <w:rFonts w:hint="eastAsia" w:ascii="宋体" w:hAnsi="宋体" w:eastAsia="宋体" w:cs="Times New Roman"/>
          <w:bCs/>
          <w:color w:val="auto"/>
          <w:sz w:val="24"/>
          <w:szCs w:val="20"/>
          <w:highlight w:val="none"/>
        </w:rPr>
        <w:t>投标文件未按</w:t>
      </w:r>
      <w:r>
        <w:rPr>
          <w:rFonts w:hint="eastAsia" w:ascii="宋体" w:hAnsi="宋体" w:eastAsia="宋体" w:cs="Times New Roman"/>
          <w:bCs/>
          <w:color w:val="auto"/>
          <w:sz w:val="24"/>
          <w:szCs w:val="20"/>
          <w:highlight w:val="none"/>
          <w:lang w:eastAsia="zh-CN"/>
        </w:rPr>
        <w:t>招标文件</w:t>
      </w:r>
      <w:r>
        <w:rPr>
          <w:rFonts w:hint="eastAsia" w:ascii="宋体" w:hAnsi="宋体" w:eastAsia="宋体" w:cs="Times New Roman"/>
          <w:bCs/>
          <w:color w:val="auto"/>
          <w:sz w:val="24"/>
          <w:szCs w:val="20"/>
          <w:highlight w:val="none"/>
        </w:rPr>
        <w:t>要求密封和标志的；</w:t>
      </w:r>
    </w:p>
    <w:p w14:paraId="74028580">
      <w:pPr>
        <w:keepNext w:val="0"/>
        <w:keepLines w:val="0"/>
        <w:pageBreakBefore w:val="0"/>
        <w:widowControl w:val="0"/>
        <w:numPr>
          <w:ilvl w:val="1"/>
          <w:numId w:val="17"/>
        </w:numPr>
        <w:shd w:val="clear"/>
        <w:kinsoku/>
        <w:wordWrap w:val="0"/>
        <w:overflowPunct/>
        <w:topLinePunct w:val="0"/>
        <w:autoSpaceDE/>
        <w:autoSpaceDN/>
        <w:bidi w:val="0"/>
        <w:adjustRightInd w:val="0"/>
        <w:snapToGrid w:val="0"/>
        <w:spacing w:line="500" w:lineRule="exact"/>
        <w:ind w:left="0" w:leftChars="0" w:firstLine="720" w:firstLineChars="300"/>
        <w:textAlignment w:val="auto"/>
        <w:outlineLvl w:val="9"/>
        <w:rPr>
          <w:rFonts w:hint="eastAsia" w:ascii="宋体" w:hAnsi="宋体" w:eastAsia="宋体" w:cs="Times New Roman"/>
          <w:bCs/>
          <w:color w:val="auto"/>
          <w:sz w:val="24"/>
          <w:szCs w:val="20"/>
          <w:highlight w:val="none"/>
        </w:rPr>
      </w:pPr>
      <w:r>
        <w:rPr>
          <w:rFonts w:hint="eastAsia" w:ascii="宋体" w:hAnsi="宋体" w:eastAsia="宋体" w:cs="Times New Roman"/>
          <w:bCs/>
          <w:color w:val="auto"/>
          <w:sz w:val="24"/>
          <w:szCs w:val="20"/>
          <w:highlight w:val="none"/>
        </w:rPr>
        <w:t>投标人递交两份或两份以上内容不同的投标文件，未书面声明哪一份有效的</w:t>
      </w:r>
      <w:r>
        <w:rPr>
          <w:rFonts w:hint="eastAsia" w:ascii="宋体" w:hAnsi="宋体" w:cs="Times New Roman"/>
          <w:bCs/>
          <w:color w:val="auto"/>
          <w:sz w:val="24"/>
          <w:szCs w:val="20"/>
          <w:highlight w:val="none"/>
          <w:lang w:eastAsia="zh-CN"/>
        </w:rPr>
        <w:t>。</w:t>
      </w:r>
    </w:p>
    <w:p w14:paraId="61F502EE">
      <w:pPr>
        <w:keepNext w:val="0"/>
        <w:keepLines w:val="0"/>
        <w:pageBreakBefore w:val="0"/>
        <w:widowControl w:val="0"/>
        <w:numPr>
          <w:ilvl w:val="3"/>
          <w:numId w:val="16"/>
        </w:numPr>
        <w:shd w:val="clear"/>
        <w:kinsoku/>
        <w:wordWrap w:val="0"/>
        <w:overflowPunct/>
        <w:topLinePunct w:val="0"/>
        <w:autoSpaceDE/>
        <w:autoSpaceDN/>
        <w:bidi w:val="0"/>
        <w:snapToGrid w:val="0"/>
        <w:spacing w:line="500" w:lineRule="exact"/>
        <w:ind w:left="0" w:firstLine="480" w:firstLineChars="200"/>
        <w:textAlignment w:val="auto"/>
        <w:outlineLvl w:val="9"/>
        <w:rPr>
          <w:rFonts w:ascii="宋体" w:hAnsi="宋体"/>
          <w:b w:val="0"/>
          <w:bCs/>
          <w:color w:val="auto"/>
          <w:sz w:val="24"/>
          <w:highlight w:val="none"/>
        </w:rPr>
      </w:pPr>
      <w:r>
        <w:rPr>
          <w:rFonts w:hint="eastAsia" w:ascii="宋体" w:hAnsi="宋体"/>
          <w:b w:val="0"/>
          <w:bCs/>
          <w:color w:val="auto"/>
          <w:sz w:val="24"/>
          <w:highlight w:val="none"/>
        </w:rPr>
        <w:t>未通过资格性审查；</w:t>
      </w:r>
    </w:p>
    <w:p w14:paraId="0227CE3B">
      <w:pPr>
        <w:keepNext w:val="0"/>
        <w:keepLines w:val="0"/>
        <w:pageBreakBefore w:val="0"/>
        <w:widowControl w:val="0"/>
        <w:numPr>
          <w:ilvl w:val="3"/>
          <w:numId w:val="16"/>
        </w:numPr>
        <w:shd w:val="clear"/>
        <w:kinsoku/>
        <w:wordWrap w:val="0"/>
        <w:overflowPunct/>
        <w:topLinePunct w:val="0"/>
        <w:autoSpaceDE/>
        <w:autoSpaceDN/>
        <w:bidi w:val="0"/>
        <w:snapToGrid w:val="0"/>
        <w:spacing w:line="500" w:lineRule="exact"/>
        <w:ind w:left="0" w:firstLine="480" w:firstLineChars="200"/>
        <w:textAlignment w:val="auto"/>
        <w:outlineLvl w:val="9"/>
        <w:rPr>
          <w:rFonts w:ascii="宋体" w:hAnsi="宋体"/>
          <w:b w:val="0"/>
          <w:bCs/>
          <w:color w:val="auto"/>
          <w:sz w:val="24"/>
          <w:highlight w:val="none"/>
        </w:rPr>
      </w:pPr>
      <w:r>
        <w:rPr>
          <w:rFonts w:hint="eastAsia" w:ascii="宋体" w:hAnsi="宋体"/>
          <w:b w:val="0"/>
          <w:bCs/>
          <w:color w:val="auto"/>
          <w:sz w:val="24"/>
          <w:highlight w:val="none"/>
        </w:rPr>
        <w:t>未通过资信商务及技术文件</w:t>
      </w:r>
      <w:r>
        <w:rPr>
          <w:rFonts w:ascii="宋体" w:hAnsi="宋体"/>
          <w:b w:val="0"/>
          <w:bCs/>
          <w:color w:val="auto"/>
          <w:sz w:val="24"/>
          <w:highlight w:val="none"/>
        </w:rPr>
        <w:t>符合性审查</w:t>
      </w:r>
      <w:r>
        <w:rPr>
          <w:rFonts w:hint="eastAsia" w:ascii="宋体" w:hAnsi="宋体"/>
          <w:b w:val="0"/>
          <w:bCs/>
          <w:color w:val="auto"/>
          <w:sz w:val="24"/>
          <w:highlight w:val="none"/>
        </w:rPr>
        <w:t>；</w:t>
      </w:r>
    </w:p>
    <w:p w14:paraId="1879494D">
      <w:pPr>
        <w:keepNext w:val="0"/>
        <w:keepLines w:val="0"/>
        <w:pageBreakBefore w:val="0"/>
        <w:widowControl w:val="0"/>
        <w:numPr>
          <w:ilvl w:val="3"/>
          <w:numId w:val="16"/>
        </w:numPr>
        <w:shd w:val="clear"/>
        <w:kinsoku/>
        <w:wordWrap w:val="0"/>
        <w:overflowPunct/>
        <w:topLinePunct w:val="0"/>
        <w:autoSpaceDE/>
        <w:autoSpaceDN/>
        <w:bidi w:val="0"/>
        <w:snapToGrid w:val="0"/>
        <w:spacing w:line="500" w:lineRule="exact"/>
        <w:ind w:left="0" w:firstLine="480" w:firstLineChars="200"/>
        <w:textAlignment w:val="auto"/>
        <w:outlineLvl w:val="9"/>
        <w:rPr>
          <w:rFonts w:ascii="宋体" w:hAnsi="宋体"/>
          <w:b w:val="0"/>
          <w:bCs/>
          <w:color w:val="auto"/>
          <w:sz w:val="24"/>
          <w:highlight w:val="none"/>
        </w:rPr>
      </w:pPr>
      <w:r>
        <w:rPr>
          <w:rFonts w:hint="eastAsia" w:ascii="宋体" w:hAnsi="宋体"/>
          <w:b w:val="0"/>
          <w:bCs/>
          <w:color w:val="auto"/>
          <w:sz w:val="24"/>
          <w:highlight w:val="none"/>
        </w:rPr>
        <w:t>未通过报价文件</w:t>
      </w:r>
      <w:r>
        <w:rPr>
          <w:rFonts w:ascii="宋体" w:hAnsi="宋体"/>
          <w:b w:val="0"/>
          <w:bCs/>
          <w:color w:val="auto"/>
          <w:sz w:val="24"/>
          <w:highlight w:val="none"/>
        </w:rPr>
        <w:t>符合性</w:t>
      </w:r>
      <w:r>
        <w:rPr>
          <w:rFonts w:hint="eastAsia" w:ascii="宋体" w:hAnsi="宋体"/>
          <w:b w:val="0"/>
          <w:bCs/>
          <w:color w:val="auto"/>
          <w:sz w:val="24"/>
          <w:highlight w:val="none"/>
        </w:rPr>
        <w:t>审</w:t>
      </w:r>
      <w:r>
        <w:rPr>
          <w:rFonts w:ascii="宋体" w:hAnsi="宋体"/>
          <w:b w:val="0"/>
          <w:bCs/>
          <w:color w:val="auto"/>
          <w:sz w:val="24"/>
          <w:highlight w:val="none"/>
        </w:rPr>
        <w:t>查</w:t>
      </w:r>
      <w:r>
        <w:rPr>
          <w:rFonts w:hint="eastAsia" w:ascii="宋体" w:hAnsi="宋体"/>
          <w:b w:val="0"/>
          <w:bCs/>
          <w:color w:val="auto"/>
          <w:sz w:val="24"/>
          <w:highlight w:val="none"/>
        </w:rPr>
        <w:t>；</w:t>
      </w:r>
    </w:p>
    <w:p w14:paraId="31C21E84">
      <w:pPr>
        <w:keepNext w:val="0"/>
        <w:keepLines w:val="0"/>
        <w:pageBreakBefore w:val="0"/>
        <w:widowControl w:val="0"/>
        <w:numPr>
          <w:ilvl w:val="3"/>
          <w:numId w:val="16"/>
        </w:numPr>
        <w:shd w:val="clear"/>
        <w:kinsoku/>
        <w:wordWrap w:val="0"/>
        <w:overflowPunct/>
        <w:topLinePunct w:val="0"/>
        <w:autoSpaceDE/>
        <w:autoSpaceDN/>
        <w:bidi w:val="0"/>
        <w:snapToGrid w:val="0"/>
        <w:spacing w:line="500" w:lineRule="exact"/>
        <w:ind w:left="0" w:firstLine="480" w:firstLineChars="200"/>
        <w:textAlignment w:val="auto"/>
        <w:outlineLvl w:val="9"/>
        <w:rPr>
          <w:rFonts w:ascii="宋体" w:hAnsi="宋体"/>
          <w:b w:val="0"/>
          <w:bCs/>
          <w:color w:val="auto"/>
          <w:sz w:val="24"/>
          <w:highlight w:val="none"/>
        </w:rPr>
      </w:pPr>
      <w:r>
        <w:rPr>
          <w:rFonts w:hint="eastAsia" w:ascii="宋体" w:hAnsi="宋体"/>
          <w:b w:val="0"/>
          <w:bCs/>
          <w:color w:val="auto"/>
          <w:sz w:val="24"/>
          <w:highlight w:val="none"/>
          <w:lang w:eastAsia="zh-CN"/>
        </w:rPr>
        <w:t>招标文件</w:t>
      </w:r>
      <w:r>
        <w:rPr>
          <w:rFonts w:hint="eastAsia" w:ascii="宋体" w:hAnsi="宋体"/>
          <w:b w:val="0"/>
          <w:bCs/>
          <w:color w:val="auto"/>
          <w:sz w:val="24"/>
          <w:highlight w:val="none"/>
        </w:rPr>
        <w:t>中规定的其他</w:t>
      </w:r>
      <w:r>
        <w:rPr>
          <w:rFonts w:ascii="宋体" w:hAnsi="宋体"/>
          <w:b w:val="0"/>
          <w:bCs/>
          <w:color w:val="auto"/>
          <w:sz w:val="24"/>
          <w:highlight w:val="none"/>
        </w:rPr>
        <w:t>无效</w:t>
      </w:r>
      <w:r>
        <w:rPr>
          <w:rFonts w:hint="eastAsia" w:ascii="宋体" w:hAnsi="宋体"/>
          <w:b w:val="0"/>
          <w:bCs/>
          <w:color w:val="auto"/>
          <w:sz w:val="24"/>
          <w:highlight w:val="none"/>
        </w:rPr>
        <w:t>情形</w:t>
      </w:r>
      <w:r>
        <w:rPr>
          <w:rFonts w:ascii="宋体" w:hAnsi="宋体"/>
          <w:b w:val="0"/>
          <w:bCs/>
          <w:color w:val="auto"/>
          <w:sz w:val="24"/>
          <w:highlight w:val="none"/>
        </w:rPr>
        <w:t>。</w:t>
      </w:r>
    </w:p>
    <w:p w14:paraId="4B8AE3E2">
      <w:pPr>
        <w:keepNext w:val="0"/>
        <w:keepLines w:val="0"/>
        <w:pageBreakBefore w:val="0"/>
        <w:widowControl w:val="0"/>
        <w:shd w:val="clear"/>
        <w:kinsoku/>
        <w:wordWrap w:val="0"/>
        <w:overflowPunct/>
        <w:topLinePunct w:val="0"/>
        <w:autoSpaceDE/>
        <w:autoSpaceDN/>
        <w:bidi w:val="0"/>
        <w:adjustRightInd w:val="0"/>
        <w:snapToGrid w:val="0"/>
        <w:spacing w:line="500" w:lineRule="exact"/>
        <w:ind w:firstLine="480" w:firstLineChars="200"/>
        <w:textAlignment w:val="auto"/>
        <w:outlineLvl w:val="9"/>
        <w:rPr>
          <w:rFonts w:ascii="宋体" w:hAnsi="宋体"/>
          <w:bCs/>
          <w:color w:val="auto"/>
          <w:sz w:val="24"/>
          <w:highlight w:val="none"/>
        </w:rPr>
      </w:pPr>
      <w:r>
        <w:rPr>
          <w:rFonts w:hint="eastAsia" w:ascii="宋体" w:hAnsi="宋体"/>
          <w:bCs/>
          <w:color w:val="auto"/>
          <w:sz w:val="24"/>
          <w:highlight w:val="none"/>
        </w:rPr>
        <w:t>实质上没有响应招标文件要求的投标将被视为无效投标。投标人不得通过修正或撤销不符合要求的偏离或保留从而使其投标成为实质上响应的投标，但经评标委员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p>
    <w:p w14:paraId="12E54103">
      <w:pPr>
        <w:pageBreakBefore w:val="0"/>
        <w:shd w:val="clear"/>
        <w:kinsoku/>
        <w:wordWrap w:val="0"/>
        <w:overflowPunct/>
        <w:topLinePunct w:val="0"/>
        <w:bidi w:val="0"/>
        <w:adjustRightInd w:val="0"/>
        <w:snapToGrid w:val="0"/>
        <w:spacing w:line="360" w:lineRule="auto"/>
        <w:ind w:firstLine="482" w:firstLineChars="200"/>
        <w:rPr>
          <w:rFonts w:hAnsi="宋体"/>
          <w:b/>
          <w:snapToGrid w:val="0"/>
          <w:color w:val="auto"/>
          <w:sz w:val="24"/>
          <w:highlight w:val="none"/>
        </w:rPr>
      </w:pPr>
    </w:p>
    <w:p w14:paraId="7EC5BA46">
      <w:pPr>
        <w:pStyle w:val="18"/>
        <w:pageBreakBefore w:val="0"/>
        <w:shd w:val="clear"/>
        <w:kinsoku/>
        <w:wordWrap w:val="0"/>
        <w:overflowPunct/>
        <w:topLinePunct w:val="0"/>
        <w:bidi w:val="0"/>
        <w:adjustRightInd w:val="0"/>
        <w:snapToGrid w:val="0"/>
        <w:spacing w:line="360" w:lineRule="auto"/>
        <w:ind w:firstLine="535" w:firstLineChars="196"/>
        <w:jc w:val="center"/>
        <w:outlineLvl w:val="1"/>
        <w:rPr>
          <w:rFonts w:hAnsi="宋体"/>
          <w:b/>
          <w:snapToGrid w:val="0"/>
          <w:color w:val="auto"/>
          <w:sz w:val="28"/>
          <w:szCs w:val="28"/>
          <w:highlight w:val="none"/>
        </w:rPr>
      </w:pPr>
      <w:bookmarkStart w:id="393" w:name="_Toc32606"/>
      <w:bookmarkStart w:id="394" w:name="_Toc9150"/>
      <w:bookmarkStart w:id="395" w:name="_Toc1080"/>
      <w:bookmarkStart w:id="396" w:name="_Toc27862"/>
      <w:bookmarkStart w:id="397" w:name="_Toc521661600"/>
      <w:bookmarkStart w:id="398" w:name="_Toc22151"/>
      <w:bookmarkStart w:id="399" w:name="_Toc30137"/>
      <w:bookmarkStart w:id="400" w:name="_Toc2900"/>
      <w:bookmarkStart w:id="401" w:name="_Toc21824"/>
      <w:bookmarkStart w:id="402" w:name="_Toc9589"/>
      <w:bookmarkStart w:id="403" w:name="_Toc29684"/>
      <w:bookmarkStart w:id="404" w:name="_Toc19217"/>
      <w:bookmarkStart w:id="405" w:name="_Toc12133"/>
      <w:bookmarkStart w:id="406" w:name="_Toc21432"/>
      <w:bookmarkStart w:id="407" w:name="_Toc10432"/>
      <w:bookmarkStart w:id="408" w:name="_Toc13857"/>
      <w:bookmarkStart w:id="409" w:name="_Toc8079"/>
      <w:r>
        <w:rPr>
          <w:rFonts w:hint="eastAsia" w:hAnsi="宋体"/>
          <w:b/>
          <w:color w:val="auto"/>
          <w:sz w:val="28"/>
          <w:szCs w:val="28"/>
          <w:highlight w:val="none"/>
        </w:rPr>
        <w:t>四、开标</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2C66B28B">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410" w:name="_Toc16388"/>
      <w:bookmarkStart w:id="411" w:name="_Toc3037"/>
      <w:bookmarkStart w:id="412" w:name="_Toc521661601"/>
      <w:bookmarkStart w:id="413" w:name="_Toc26844"/>
      <w:bookmarkStart w:id="414" w:name="_Toc7999"/>
      <w:bookmarkStart w:id="415" w:name="_Toc31369"/>
      <w:bookmarkStart w:id="416" w:name="_Toc7297"/>
      <w:bookmarkStart w:id="417" w:name="_Toc2557"/>
      <w:bookmarkStart w:id="418" w:name="_Toc2555"/>
      <w:bookmarkStart w:id="419" w:name="_Toc24758"/>
      <w:bookmarkStart w:id="420" w:name="_Toc11830"/>
      <w:bookmarkStart w:id="421" w:name="_Toc529477720"/>
      <w:bookmarkStart w:id="422" w:name="_Toc19051"/>
      <w:bookmarkStart w:id="423" w:name="_Toc11402"/>
      <w:bookmarkStart w:id="424" w:name="_Toc10667"/>
      <w:r>
        <w:rPr>
          <w:rFonts w:ascii="宋体" w:hAnsi="宋体"/>
          <w:b/>
          <w:color w:val="auto"/>
          <w:sz w:val="24"/>
          <w:highlight w:val="none"/>
        </w:rPr>
        <w:t>（一）开标准备</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0B99D5D4">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firstLine="480" w:firstLineChars="200"/>
        <w:textAlignment w:val="auto"/>
        <w:outlineLvl w:val="9"/>
        <w:rPr>
          <w:rFonts w:hAnsi="宋体"/>
          <w:bCs/>
          <w:color w:val="auto"/>
          <w:highlight w:val="none"/>
        </w:rPr>
      </w:pPr>
      <w:r>
        <w:rPr>
          <w:rFonts w:hAnsi="宋体"/>
          <w:bCs/>
          <w:color w:val="auto"/>
          <w:highlight w:val="none"/>
        </w:rPr>
        <w:t>招标代理机构将在规定的时间和地点进行开标。</w:t>
      </w:r>
    </w:p>
    <w:p w14:paraId="20D657D6">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425" w:name="_Toc521661603"/>
      <w:bookmarkStart w:id="426" w:name="_Toc29199"/>
      <w:bookmarkStart w:id="427" w:name="_Toc5214"/>
      <w:bookmarkStart w:id="428" w:name="_Toc26689"/>
      <w:bookmarkStart w:id="429" w:name="_Toc5751"/>
      <w:bookmarkStart w:id="430" w:name="_Toc529477722"/>
      <w:bookmarkStart w:id="431" w:name="_Toc20922"/>
      <w:bookmarkStart w:id="432" w:name="_Toc9798"/>
      <w:bookmarkStart w:id="433" w:name="_Toc29739"/>
      <w:bookmarkStart w:id="434" w:name="_Toc11710"/>
      <w:bookmarkStart w:id="435" w:name="_Toc15845"/>
      <w:bookmarkStart w:id="436" w:name="_Toc32188"/>
      <w:bookmarkStart w:id="437" w:name="_Toc27428"/>
      <w:bookmarkStart w:id="438" w:name="_Toc28765"/>
      <w:bookmarkStart w:id="439" w:name="_Toc28023"/>
      <w:r>
        <w:rPr>
          <w:rFonts w:ascii="宋体" w:hAnsi="宋体"/>
          <w:b/>
          <w:color w:val="auto"/>
          <w:sz w:val="24"/>
          <w:highlight w:val="none"/>
        </w:rPr>
        <w:t>（</w:t>
      </w:r>
      <w:r>
        <w:rPr>
          <w:rFonts w:hint="eastAsia" w:ascii="宋体" w:hAnsi="宋体"/>
          <w:b/>
          <w:color w:val="auto"/>
          <w:sz w:val="24"/>
          <w:highlight w:val="none"/>
        </w:rPr>
        <w:t>二</w:t>
      </w:r>
      <w:r>
        <w:rPr>
          <w:rFonts w:ascii="宋体" w:hAnsi="宋体"/>
          <w:b/>
          <w:color w:val="auto"/>
          <w:sz w:val="24"/>
          <w:highlight w:val="none"/>
        </w:rPr>
        <w:t>）开标程序</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481AF12C">
      <w:pPr>
        <w:pStyle w:val="25"/>
        <w:keepNext w:val="0"/>
        <w:keepLines w:val="0"/>
        <w:pageBreakBefore w:val="0"/>
        <w:widowControl w:val="0"/>
        <w:numPr>
          <w:ilvl w:val="0"/>
          <w:numId w:val="18"/>
        </w:numPr>
        <w:shd w:val="clear"/>
        <w:tabs>
          <w:tab w:val="left" w:pos="1134"/>
        </w:tabs>
        <w:kinsoku/>
        <w:wordWrap w:val="0"/>
        <w:overflowPunct/>
        <w:topLinePunct w:val="0"/>
        <w:autoSpaceDE/>
        <w:autoSpaceDN/>
        <w:bidi w:val="0"/>
        <w:spacing w:beforeLines="0" w:afterLines="0" w:line="480" w:lineRule="exact"/>
        <w:ind w:left="425" w:firstLine="284"/>
        <w:textAlignment w:val="auto"/>
        <w:outlineLvl w:val="9"/>
        <w:rPr>
          <w:rFonts w:hAnsi="宋体"/>
          <w:color w:val="auto"/>
          <w:highlight w:val="none"/>
        </w:rPr>
      </w:pPr>
      <w:r>
        <w:rPr>
          <w:rFonts w:hint="eastAsia" w:ascii="宋体" w:hAnsi="宋体" w:cs="宋体"/>
          <w:b/>
          <w:bCs/>
          <w:color w:val="auto"/>
          <w:sz w:val="24"/>
          <w:szCs w:val="24"/>
          <w:highlight w:val="none"/>
        </w:rPr>
        <w:t>本项目</w:t>
      </w:r>
      <w:r>
        <w:rPr>
          <w:rFonts w:hint="eastAsia" w:hAnsi="宋体"/>
          <w:color w:val="auto"/>
          <w:highlight w:val="none"/>
        </w:rPr>
        <w:t>不要求投标人参加开标会议</w:t>
      </w:r>
      <w:r>
        <w:rPr>
          <w:rFonts w:hint="eastAsia" w:hAnsi="宋体"/>
          <w:color w:val="auto"/>
          <w:highlight w:val="none"/>
        </w:rPr>
        <w:t>，</w:t>
      </w:r>
      <w:r>
        <w:rPr>
          <w:rFonts w:hint="eastAsia" w:ascii="宋体" w:hAnsi="宋体" w:cs="宋体"/>
          <w:b/>
          <w:bCs/>
          <w:color w:val="auto"/>
          <w:sz w:val="24"/>
          <w:szCs w:val="24"/>
          <w:highlight w:val="none"/>
        </w:rPr>
        <w:t>招标人及相关监督部门做好开标、开启投标文件现场、评标等全过程现场监督工作并全程监控</w:t>
      </w:r>
      <w:r>
        <w:rPr>
          <w:rFonts w:hint="eastAsia" w:ascii="宋体" w:hAnsi="宋体" w:cs="宋体"/>
          <w:b/>
          <w:bCs/>
          <w:color w:val="auto"/>
          <w:sz w:val="24"/>
          <w:szCs w:val="24"/>
          <w:highlight w:val="none"/>
          <w:lang w:eastAsia="zh-CN"/>
        </w:rPr>
        <w:t>。</w:t>
      </w:r>
    </w:p>
    <w:p w14:paraId="46182F9C">
      <w:pPr>
        <w:pStyle w:val="25"/>
        <w:keepNext w:val="0"/>
        <w:keepLines w:val="0"/>
        <w:pageBreakBefore w:val="0"/>
        <w:widowControl w:val="0"/>
        <w:numPr>
          <w:ilvl w:val="0"/>
          <w:numId w:val="18"/>
        </w:numPr>
        <w:shd w:val="clear"/>
        <w:tabs>
          <w:tab w:val="left" w:pos="1134"/>
        </w:tabs>
        <w:kinsoku/>
        <w:wordWrap w:val="0"/>
        <w:overflowPunct/>
        <w:topLinePunct w:val="0"/>
        <w:autoSpaceDE/>
        <w:autoSpaceDN/>
        <w:bidi w:val="0"/>
        <w:spacing w:beforeLines="0" w:afterLines="0" w:line="480" w:lineRule="exact"/>
        <w:ind w:left="425" w:firstLine="284"/>
        <w:textAlignment w:val="auto"/>
        <w:outlineLvl w:val="9"/>
        <w:rPr>
          <w:rFonts w:hAnsi="宋体"/>
          <w:color w:val="auto"/>
          <w:highlight w:val="none"/>
        </w:rPr>
      </w:pPr>
      <w:r>
        <w:rPr>
          <w:rFonts w:hint="eastAsia" w:hAnsi="宋体"/>
          <w:color w:val="auto"/>
          <w:highlight w:val="none"/>
        </w:rPr>
        <w:t>主持人宣布开标，介绍开标现场的人员情况，宣读递交</w:t>
      </w:r>
      <w:r>
        <w:rPr>
          <w:rFonts w:hint="eastAsia" w:hAnsi="宋体"/>
          <w:color w:val="auto"/>
          <w:highlight w:val="none"/>
          <w:lang w:eastAsia="zh-CN"/>
        </w:rPr>
        <w:t>投标文件</w:t>
      </w:r>
      <w:r>
        <w:rPr>
          <w:rFonts w:hint="eastAsia" w:hAnsi="宋体"/>
          <w:color w:val="auto"/>
          <w:highlight w:val="none"/>
        </w:rPr>
        <w:t>的</w:t>
      </w:r>
      <w:r>
        <w:rPr>
          <w:rFonts w:hint="eastAsia" w:hAnsi="宋体"/>
          <w:color w:val="auto"/>
          <w:highlight w:val="none"/>
          <w:lang w:eastAsia="zh-CN"/>
        </w:rPr>
        <w:t>投标人</w:t>
      </w:r>
      <w:r>
        <w:rPr>
          <w:rFonts w:hint="eastAsia" w:hAnsi="宋体"/>
          <w:color w:val="auto"/>
          <w:highlight w:val="none"/>
        </w:rPr>
        <w:t>名单、开标纪律、应当回避的情形等注意事项。</w:t>
      </w:r>
    </w:p>
    <w:p w14:paraId="51CEAF80">
      <w:pPr>
        <w:pStyle w:val="25"/>
        <w:keepNext w:val="0"/>
        <w:keepLines w:val="0"/>
        <w:pageBreakBefore w:val="0"/>
        <w:widowControl w:val="0"/>
        <w:numPr>
          <w:ilvl w:val="0"/>
          <w:numId w:val="18"/>
        </w:numPr>
        <w:shd w:val="clear"/>
        <w:tabs>
          <w:tab w:val="left" w:pos="1134"/>
        </w:tabs>
        <w:kinsoku/>
        <w:wordWrap w:val="0"/>
        <w:overflowPunct/>
        <w:topLinePunct w:val="0"/>
        <w:autoSpaceDE/>
        <w:autoSpaceDN/>
        <w:bidi w:val="0"/>
        <w:spacing w:beforeLines="0" w:afterLines="0" w:line="480" w:lineRule="exact"/>
        <w:ind w:left="425" w:firstLine="284"/>
        <w:textAlignment w:val="auto"/>
        <w:outlineLvl w:val="9"/>
        <w:rPr>
          <w:rFonts w:hAnsi="宋体"/>
          <w:color w:val="auto"/>
          <w:highlight w:val="none"/>
        </w:rPr>
      </w:pPr>
      <w:r>
        <w:rPr>
          <w:rFonts w:hint="eastAsia" w:hAnsi="宋体"/>
          <w:color w:val="auto"/>
          <w:highlight w:val="none"/>
        </w:rPr>
        <w:t>开标现场监督员（或招标人代表）检查投标文件密封的完整性并签字确认。</w:t>
      </w:r>
    </w:p>
    <w:p w14:paraId="4C53D28E">
      <w:pPr>
        <w:pStyle w:val="25"/>
        <w:keepNext w:val="0"/>
        <w:keepLines w:val="0"/>
        <w:pageBreakBefore w:val="0"/>
        <w:widowControl w:val="0"/>
        <w:numPr>
          <w:ilvl w:val="0"/>
          <w:numId w:val="18"/>
        </w:numPr>
        <w:shd w:val="clear"/>
        <w:tabs>
          <w:tab w:val="left" w:pos="1134"/>
        </w:tabs>
        <w:kinsoku/>
        <w:wordWrap w:val="0"/>
        <w:overflowPunct/>
        <w:topLinePunct w:val="0"/>
        <w:autoSpaceDE/>
        <w:autoSpaceDN/>
        <w:bidi w:val="0"/>
        <w:spacing w:beforeLines="0" w:afterLines="0" w:line="480" w:lineRule="exact"/>
        <w:ind w:left="425" w:firstLine="284"/>
        <w:textAlignment w:val="auto"/>
        <w:outlineLvl w:val="9"/>
        <w:rPr>
          <w:rFonts w:hAnsi="宋体"/>
          <w:color w:val="auto"/>
          <w:highlight w:val="none"/>
        </w:rPr>
      </w:pPr>
      <w:r>
        <w:rPr>
          <w:rFonts w:hint="eastAsia" w:hAnsi="宋体"/>
          <w:color w:val="auto"/>
          <w:highlight w:val="none"/>
        </w:rPr>
        <w:t>拆封资信商务及技术文件、清点文件（包括正本、副本）数量，将拆封后的资信商务和技术文件由现场工作人员护送至指定的评审地点。同时将密封的报价文件由监督员（或招标人代表）集中保管等候拆封</w:t>
      </w:r>
      <w:r>
        <w:rPr>
          <w:rFonts w:hint="eastAsia" w:hAnsi="宋体"/>
          <w:color w:val="auto"/>
          <w:highlight w:val="none"/>
          <w:lang w:eastAsia="zh-CN"/>
        </w:rPr>
        <w:t>。</w:t>
      </w:r>
    </w:p>
    <w:p w14:paraId="55BB3CB7">
      <w:pPr>
        <w:pStyle w:val="25"/>
        <w:keepNext w:val="0"/>
        <w:keepLines w:val="0"/>
        <w:pageBreakBefore w:val="0"/>
        <w:widowControl w:val="0"/>
        <w:numPr>
          <w:ilvl w:val="0"/>
          <w:numId w:val="18"/>
        </w:numPr>
        <w:shd w:val="clear"/>
        <w:tabs>
          <w:tab w:val="left" w:pos="1134"/>
        </w:tabs>
        <w:kinsoku/>
        <w:wordWrap w:val="0"/>
        <w:overflowPunct/>
        <w:topLinePunct w:val="0"/>
        <w:autoSpaceDE/>
        <w:autoSpaceDN/>
        <w:bidi w:val="0"/>
        <w:spacing w:beforeLines="0" w:afterLines="0" w:line="480" w:lineRule="exact"/>
        <w:ind w:left="425" w:firstLine="284"/>
        <w:textAlignment w:val="auto"/>
        <w:outlineLvl w:val="9"/>
        <w:rPr>
          <w:rFonts w:hAnsi="宋体"/>
          <w:color w:val="auto"/>
          <w:highlight w:val="none"/>
        </w:rPr>
      </w:pPr>
      <w:r>
        <w:rPr>
          <w:rFonts w:hint="eastAsia" w:hAnsi="宋体"/>
          <w:color w:val="auto"/>
          <w:highlight w:val="none"/>
        </w:rPr>
        <w:t>资信商务和技术评审结束后，主持人宣告资信商务和技术评审无效</w:t>
      </w:r>
      <w:r>
        <w:rPr>
          <w:rFonts w:hint="eastAsia" w:hAnsi="宋体"/>
          <w:color w:val="auto"/>
          <w:highlight w:val="none"/>
          <w:lang w:eastAsia="zh-CN"/>
        </w:rPr>
        <w:t>投标人</w:t>
      </w:r>
      <w:r>
        <w:rPr>
          <w:rFonts w:hint="eastAsia" w:hAnsi="宋体"/>
          <w:color w:val="auto"/>
          <w:highlight w:val="none"/>
        </w:rPr>
        <w:t>名称及理由；公布经资信商务和技术评审符合采购需求的</w:t>
      </w:r>
      <w:r>
        <w:rPr>
          <w:rFonts w:hint="eastAsia" w:hAnsi="宋体"/>
          <w:color w:val="auto"/>
          <w:highlight w:val="none"/>
          <w:lang w:eastAsia="zh-CN"/>
        </w:rPr>
        <w:t>投标人</w:t>
      </w:r>
      <w:r>
        <w:rPr>
          <w:rFonts w:hint="eastAsia" w:hAnsi="宋体"/>
          <w:color w:val="auto"/>
          <w:highlight w:val="none"/>
        </w:rPr>
        <w:t>名单，采用</w:t>
      </w:r>
      <w:r>
        <w:rPr>
          <w:rFonts w:hint="eastAsia" w:hAnsi="宋体"/>
          <w:color w:val="auto"/>
          <w:highlight w:val="none"/>
          <w:u w:val="single"/>
          <w:lang w:val="en-US" w:eastAsia="zh-CN"/>
        </w:rPr>
        <w:t xml:space="preserve"> </w:t>
      </w:r>
      <w:r>
        <w:rPr>
          <w:rFonts w:hint="eastAsia" w:hAnsi="宋体"/>
          <w:color w:val="auto"/>
          <w:highlight w:val="none"/>
          <w:u w:val="single"/>
        </w:rPr>
        <w:t>综合评分法</w:t>
      </w:r>
      <w:r>
        <w:rPr>
          <w:rFonts w:hint="eastAsia" w:hAnsi="宋体"/>
          <w:color w:val="auto"/>
          <w:highlight w:val="none"/>
          <w:u w:val="single"/>
          <w:lang w:val="en-US" w:eastAsia="zh-CN"/>
        </w:rPr>
        <w:t xml:space="preserve"> </w:t>
      </w:r>
      <w:r>
        <w:rPr>
          <w:rFonts w:hint="eastAsia" w:hAnsi="宋体"/>
          <w:color w:val="auto"/>
          <w:highlight w:val="none"/>
        </w:rPr>
        <w:t>的，应同时公布其商务和技术得分情况。</w:t>
      </w:r>
    </w:p>
    <w:p w14:paraId="42E2CB13">
      <w:pPr>
        <w:pStyle w:val="25"/>
        <w:keepNext w:val="0"/>
        <w:keepLines w:val="0"/>
        <w:pageBreakBefore w:val="0"/>
        <w:widowControl w:val="0"/>
        <w:numPr>
          <w:ilvl w:val="0"/>
          <w:numId w:val="18"/>
        </w:numPr>
        <w:shd w:val="clear"/>
        <w:tabs>
          <w:tab w:val="left" w:pos="1134"/>
        </w:tabs>
        <w:kinsoku/>
        <w:wordWrap w:val="0"/>
        <w:overflowPunct/>
        <w:topLinePunct w:val="0"/>
        <w:autoSpaceDE/>
        <w:autoSpaceDN/>
        <w:bidi w:val="0"/>
        <w:spacing w:beforeLines="0" w:afterLines="0" w:line="480" w:lineRule="exact"/>
        <w:ind w:left="425" w:firstLine="284"/>
        <w:textAlignment w:val="auto"/>
        <w:outlineLvl w:val="9"/>
        <w:rPr>
          <w:rFonts w:hAnsi="宋体"/>
          <w:color w:val="auto"/>
          <w:highlight w:val="none"/>
        </w:rPr>
      </w:pPr>
      <w:r>
        <w:rPr>
          <w:rFonts w:hint="eastAsia" w:hAnsi="宋体"/>
          <w:color w:val="auto"/>
          <w:highlight w:val="none"/>
        </w:rPr>
        <w:t>按评标办法</w:t>
      </w:r>
      <w:r>
        <w:rPr>
          <w:rFonts w:hint="eastAsia" w:hAnsi="宋体"/>
          <w:color w:val="auto"/>
          <w:highlight w:val="none"/>
        </w:rPr>
        <w:t>抽取相关系数（如有），拆封有效</w:t>
      </w:r>
      <w:r>
        <w:rPr>
          <w:rFonts w:hint="eastAsia" w:hAnsi="宋体"/>
          <w:color w:val="auto"/>
          <w:highlight w:val="none"/>
          <w:lang w:eastAsia="zh-CN"/>
        </w:rPr>
        <w:t>投标人</w:t>
      </w:r>
      <w:r>
        <w:rPr>
          <w:rFonts w:hint="eastAsia" w:hAnsi="宋体"/>
          <w:color w:val="auto"/>
          <w:highlight w:val="none"/>
        </w:rPr>
        <w:t>报价文件，宣读开标（报价）一览表有关内容，同时当场制作并打印开标记录表，由唱标人、记录人、招标人代表和现场监督员在开标记录表上签字确认。唱标结束后，现场工作人员将报价文件及开标记录表护送至指定评审地点，由评审小组对报价的合理性、准确性等进行审查核实。</w:t>
      </w:r>
    </w:p>
    <w:p w14:paraId="3805B363">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360" w:lineRule="auto"/>
        <w:ind w:left="567"/>
        <w:textAlignment w:val="auto"/>
        <w:outlineLvl w:val="9"/>
        <w:rPr>
          <w:rFonts w:hAnsi="宋体"/>
          <w:color w:val="auto"/>
          <w:highlight w:val="none"/>
        </w:rPr>
      </w:pPr>
    </w:p>
    <w:p w14:paraId="481AA2DE">
      <w:pPr>
        <w:pStyle w:val="25"/>
        <w:pageBreakBefore w:val="0"/>
        <w:shd w:val="clear"/>
        <w:kinsoku/>
        <w:wordWrap w:val="0"/>
        <w:overflowPunct/>
        <w:topLinePunct w:val="0"/>
        <w:bidi w:val="0"/>
        <w:adjustRightInd w:val="0"/>
        <w:snapToGrid w:val="0"/>
        <w:spacing w:beforeLines="0" w:afterLines="0" w:line="360" w:lineRule="auto"/>
        <w:ind w:left="922" w:leftChars="267" w:hanging="281" w:hangingChars="100"/>
        <w:jc w:val="center"/>
        <w:outlineLvl w:val="1"/>
        <w:rPr>
          <w:rFonts w:hAnsi="宋体"/>
          <w:b/>
          <w:color w:val="auto"/>
          <w:sz w:val="28"/>
          <w:szCs w:val="28"/>
          <w:highlight w:val="none"/>
        </w:rPr>
      </w:pPr>
      <w:bookmarkStart w:id="440" w:name="_Toc13814"/>
      <w:bookmarkStart w:id="441" w:name="_Toc20184"/>
      <w:bookmarkStart w:id="442" w:name="_Toc15441"/>
      <w:bookmarkStart w:id="443" w:name="_Toc22682"/>
      <w:bookmarkStart w:id="444" w:name="_Toc17935"/>
      <w:bookmarkStart w:id="445" w:name="_Toc9315"/>
      <w:bookmarkStart w:id="446" w:name="_Toc11026"/>
      <w:bookmarkStart w:id="447" w:name="_Toc521661604"/>
      <w:bookmarkStart w:id="448" w:name="_Toc16308"/>
      <w:bookmarkStart w:id="449" w:name="_Toc28866"/>
      <w:bookmarkStart w:id="450" w:name="_Toc10349"/>
      <w:bookmarkStart w:id="451" w:name="_Toc24745"/>
      <w:bookmarkStart w:id="452" w:name="_Toc26427"/>
      <w:bookmarkStart w:id="453" w:name="_Toc6219"/>
      <w:bookmarkStart w:id="454" w:name="_Toc4110"/>
      <w:bookmarkStart w:id="455" w:name="_Toc14262"/>
      <w:bookmarkStart w:id="456" w:name="_Toc20393"/>
      <w:r>
        <w:rPr>
          <w:rFonts w:hint="eastAsia" w:hAnsi="宋体"/>
          <w:b/>
          <w:color w:val="auto"/>
          <w:sz w:val="28"/>
          <w:szCs w:val="28"/>
          <w:highlight w:val="none"/>
        </w:rPr>
        <w:t>五、评标</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15416AC2">
      <w:pPr>
        <w:keepNext w:val="0"/>
        <w:keepLines w:val="0"/>
        <w:pageBreakBefore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457" w:name="_Toc1522"/>
      <w:bookmarkStart w:id="458" w:name="_Toc28675"/>
      <w:bookmarkStart w:id="459" w:name="_Toc14157"/>
      <w:bookmarkStart w:id="460" w:name="_Toc529477724"/>
      <w:bookmarkStart w:id="461" w:name="_Toc13946"/>
      <w:bookmarkStart w:id="462" w:name="_Toc12057"/>
      <w:bookmarkStart w:id="463" w:name="_Toc521661605"/>
      <w:bookmarkStart w:id="464" w:name="_Toc7533"/>
      <w:bookmarkStart w:id="465" w:name="_Toc2178"/>
      <w:bookmarkStart w:id="466" w:name="_Toc8200"/>
      <w:bookmarkStart w:id="467" w:name="_Toc13388"/>
      <w:bookmarkStart w:id="468" w:name="_Toc8151"/>
      <w:bookmarkStart w:id="469" w:name="_Toc1665"/>
      <w:bookmarkStart w:id="470" w:name="_Toc12143"/>
      <w:bookmarkStart w:id="471" w:name="_Toc29245"/>
      <w:r>
        <w:rPr>
          <w:rFonts w:ascii="宋体" w:hAnsi="宋体"/>
          <w:b/>
          <w:color w:val="auto"/>
          <w:sz w:val="24"/>
          <w:highlight w:val="none"/>
        </w:rPr>
        <w:t>（一）组建评标委员会</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14:paraId="16EAE9AE">
      <w:pPr>
        <w:pStyle w:val="25"/>
        <w:keepNext w:val="0"/>
        <w:keepLines w:val="0"/>
        <w:pageBreakBefore w:val="0"/>
        <w:shd w:val="clear"/>
        <w:kinsoku/>
        <w:wordWrap w:val="0"/>
        <w:overflowPunct/>
        <w:topLinePunct w:val="0"/>
        <w:autoSpaceDE/>
        <w:autoSpaceDN/>
        <w:bidi w:val="0"/>
        <w:adjustRightInd w:val="0"/>
        <w:snapToGrid w:val="0"/>
        <w:spacing w:beforeLines="0" w:afterLines="0" w:line="480" w:lineRule="exact"/>
        <w:ind w:left="240" w:leftChars="100" w:firstLine="240" w:firstLineChars="100"/>
        <w:textAlignment w:val="auto"/>
        <w:outlineLvl w:val="9"/>
        <w:rPr>
          <w:rFonts w:hAnsi="宋体"/>
          <w:color w:val="auto"/>
          <w:highlight w:val="none"/>
        </w:rPr>
      </w:pPr>
      <w:r>
        <w:rPr>
          <w:rFonts w:hint="eastAsia" w:hAnsi="宋体" w:cs="宋体"/>
          <w:color w:val="auto"/>
          <w:kern w:val="0"/>
          <w:highlight w:val="none"/>
        </w:rPr>
        <w:t>评标委员会由</w:t>
      </w:r>
      <w:r>
        <w:rPr>
          <w:rFonts w:hint="eastAsia" w:hAnsi="宋体" w:cs="宋体"/>
          <w:color w:val="auto"/>
          <w:kern w:val="0"/>
          <w:highlight w:val="none"/>
          <w:lang w:eastAsia="zh-CN"/>
        </w:rPr>
        <w:t>招标人</w:t>
      </w:r>
      <w:r>
        <w:rPr>
          <w:rFonts w:hint="eastAsia" w:hAnsi="宋体" w:cs="宋体"/>
          <w:color w:val="auto"/>
          <w:kern w:val="0"/>
          <w:highlight w:val="none"/>
        </w:rPr>
        <w:t>代表和评审专家组成，</w:t>
      </w:r>
      <w:r>
        <w:rPr>
          <w:rFonts w:hAnsi="宋体"/>
          <w:color w:val="auto"/>
          <w:highlight w:val="none"/>
        </w:rPr>
        <w:t>采购评审专家</w:t>
      </w:r>
      <w:r>
        <w:rPr>
          <w:rFonts w:hint="eastAsia" w:hAnsi="宋体"/>
          <w:color w:val="auto"/>
          <w:highlight w:val="none"/>
          <w:u w:val="single"/>
          <w:lang w:val="en-US" w:eastAsia="zh-CN"/>
        </w:rPr>
        <w:t xml:space="preserve"> 4 </w:t>
      </w:r>
      <w:r>
        <w:rPr>
          <w:rFonts w:hAnsi="宋体"/>
          <w:color w:val="auto"/>
          <w:highlight w:val="none"/>
        </w:rPr>
        <w:t>人和</w:t>
      </w:r>
      <w:r>
        <w:rPr>
          <w:rFonts w:hint="eastAsia" w:hAnsi="宋体"/>
          <w:color w:val="auto"/>
          <w:highlight w:val="none"/>
          <w:lang w:eastAsia="zh-CN"/>
        </w:rPr>
        <w:t>招标人</w:t>
      </w:r>
      <w:r>
        <w:rPr>
          <w:rFonts w:hAnsi="宋体"/>
          <w:color w:val="auto"/>
          <w:highlight w:val="none"/>
        </w:rPr>
        <w:t>代表</w:t>
      </w:r>
      <w:r>
        <w:rPr>
          <w:rFonts w:hint="eastAsia" w:hAnsi="宋体"/>
          <w:color w:val="auto"/>
          <w:highlight w:val="none"/>
          <w:u w:val="single"/>
          <w:lang w:val="en-US" w:eastAsia="zh-CN"/>
        </w:rPr>
        <w:t xml:space="preserve"> 1</w:t>
      </w:r>
      <w:r>
        <w:rPr>
          <w:rFonts w:hAnsi="宋体"/>
          <w:color w:val="auto"/>
          <w:highlight w:val="none"/>
        </w:rPr>
        <w:t>人</w:t>
      </w:r>
      <w:r>
        <w:rPr>
          <w:rFonts w:hint="eastAsia" w:hAnsi="宋体"/>
          <w:color w:val="auto"/>
          <w:highlight w:val="none"/>
          <w:lang w:eastAsia="zh-CN"/>
        </w:rPr>
        <w:t>，</w:t>
      </w:r>
      <w:r>
        <w:rPr>
          <w:rFonts w:hAnsi="宋体"/>
          <w:color w:val="auto"/>
          <w:highlight w:val="none"/>
        </w:rPr>
        <w:t>共</w:t>
      </w:r>
      <w:r>
        <w:rPr>
          <w:rFonts w:hint="eastAsia" w:hAnsi="宋体"/>
          <w:color w:val="auto"/>
          <w:highlight w:val="none"/>
          <w:u w:val="single"/>
          <w:lang w:val="en-US" w:eastAsia="zh-CN"/>
        </w:rPr>
        <w:t xml:space="preserve"> 5 </w:t>
      </w:r>
      <w:r>
        <w:rPr>
          <w:rFonts w:hAnsi="宋体"/>
          <w:color w:val="auto"/>
          <w:highlight w:val="none"/>
        </w:rPr>
        <w:t>人组成。</w:t>
      </w:r>
    </w:p>
    <w:p w14:paraId="2764AE3D">
      <w:pPr>
        <w:keepNext w:val="0"/>
        <w:keepLines w:val="0"/>
        <w:pageBreakBefore w:val="0"/>
        <w:widowControl/>
        <w:shd w:val="clear" w:color="auto"/>
        <w:kinsoku/>
        <w:wordWrap w:val="0"/>
        <w:overflowPunct/>
        <w:topLinePunct w:val="0"/>
        <w:autoSpaceDE/>
        <w:autoSpaceDN/>
        <w:bidi w:val="0"/>
        <w:adjustRightInd w:val="0"/>
        <w:snapToGrid w:val="0"/>
        <w:spacing w:line="480" w:lineRule="exact"/>
        <w:ind w:firstLine="480" w:firstLineChars="200"/>
        <w:jc w:val="left"/>
        <w:textAlignment w:val="auto"/>
        <w:outlineLvl w:val="9"/>
        <w:rPr>
          <w:rFonts w:ascii="宋体" w:hAnsi="宋体" w:cs="宋体"/>
          <w:color w:val="auto"/>
          <w:kern w:val="0"/>
          <w:sz w:val="24"/>
          <w:highlight w:val="none"/>
        </w:rPr>
      </w:pPr>
      <w:r>
        <w:rPr>
          <w:rFonts w:hint="eastAsia" w:ascii="宋体" w:hAnsi="宋体" w:cs="宋体"/>
          <w:color w:val="auto"/>
          <w:kern w:val="0"/>
          <w:sz w:val="24"/>
          <w:highlight w:val="none"/>
        </w:rPr>
        <w:t>评标委员会负责具体评标事务，并独立履行下列职责：</w:t>
      </w:r>
    </w:p>
    <w:p w14:paraId="16748CCE">
      <w:pPr>
        <w:keepNext w:val="0"/>
        <w:keepLines w:val="0"/>
        <w:pageBreakBefore w:val="0"/>
        <w:widowControl/>
        <w:numPr>
          <w:ilvl w:val="1"/>
          <w:numId w:val="19"/>
        </w:numPr>
        <w:shd w:val="clear" w:color="auto"/>
        <w:kinsoku/>
        <w:wordWrap w:val="0"/>
        <w:overflowPunct/>
        <w:topLinePunct w:val="0"/>
        <w:autoSpaceDE/>
        <w:autoSpaceDN/>
        <w:bidi w:val="0"/>
        <w:adjustRightInd w:val="0"/>
        <w:snapToGrid w:val="0"/>
        <w:spacing w:line="480" w:lineRule="exact"/>
        <w:ind w:left="851" w:hanging="284"/>
        <w:jc w:val="left"/>
        <w:textAlignment w:val="auto"/>
        <w:outlineLvl w:val="9"/>
        <w:rPr>
          <w:rFonts w:ascii="宋体" w:hAnsi="宋体" w:cs="宋体"/>
          <w:color w:val="auto"/>
          <w:kern w:val="0"/>
          <w:sz w:val="24"/>
          <w:highlight w:val="none"/>
        </w:rPr>
      </w:pPr>
      <w:r>
        <w:rPr>
          <w:rFonts w:hint="eastAsia" w:ascii="宋体" w:hAnsi="宋体" w:cs="宋体"/>
          <w:color w:val="auto"/>
          <w:kern w:val="0"/>
          <w:sz w:val="24"/>
          <w:highlight w:val="none"/>
        </w:rPr>
        <w:t>审查、评价投标文件是否符合招标文件的商务、技术等实质性要求；</w:t>
      </w:r>
    </w:p>
    <w:p w14:paraId="543C7C7A">
      <w:pPr>
        <w:keepNext w:val="0"/>
        <w:keepLines w:val="0"/>
        <w:pageBreakBefore w:val="0"/>
        <w:widowControl/>
        <w:numPr>
          <w:ilvl w:val="1"/>
          <w:numId w:val="19"/>
        </w:numPr>
        <w:shd w:val="clear" w:color="auto"/>
        <w:kinsoku/>
        <w:wordWrap w:val="0"/>
        <w:overflowPunct/>
        <w:topLinePunct w:val="0"/>
        <w:autoSpaceDE/>
        <w:autoSpaceDN/>
        <w:bidi w:val="0"/>
        <w:adjustRightInd w:val="0"/>
        <w:snapToGrid w:val="0"/>
        <w:spacing w:line="480" w:lineRule="exact"/>
        <w:ind w:left="851" w:hanging="284"/>
        <w:jc w:val="left"/>
        <w:textAlignment w:val="auto"/>
        <w:outlineLvl w:val="9"/>
        <w:rPr>
          <w:rFonts w:ascii="宋体" w:hAnsi="宋体" w:cs="宋体"/>
          <w:color w:val="auto"/>
          <w:kern w:val="0"/>
          <w:sz w:val="24"/>
          <w:highlight w:val="none"/>
        </w:rPr>
      </w:pPr>
      <w:r>
        <w:rPr>
          <w:rFonts w:hint="eastAsia" w:ascii="宋体" w:hAnsi="宋体" w:cs="宋体"/>
          <w:color w:val="auto"/>
          <w:kern w:val="0"/>
          <w:sz w:val="24"/>
          <w:highlight w:val="none"/>
        </w:rPr>
        <w:t>要求投标人对投标文件有关事项作出澄清或者说明；</w:t>
      </w:r>
    </w:p>
    <w:p w14:paraId="703FDA0A">
      <w:pPr>
        <w:keepNext w:val="0"/>
        <w:keepLines w:val="0"/>
        <w:pageBreakBefore w:val="0"/>
        <w:widowControl/>
        <w:numPr>
          <w:ilvl w:val="1"/>
          <w:numId w:val="19"/>
        </w:numPr>
        <w:shd w:val="clear" w:color="auto"/>
        <w:kinsoku/>
        <w:wordWrap w:val="0"/>
        <w:overflowPunct/>
        <w:topLinePunct w:val="0"/>
        <w:autoSpaceDE/>
        <w:autoSpaceDN/>
        <w:bidi w:val="0"/>
        <w:adjustRightInd w:val="0"/>
        <w:snapToGrid w:val="0"/>
        <w:spacing w:line="480" w:lineRule="exact"/>
        <w:ind w:left="851" w:hanging="284"/>
        <w:jc w:val="left"/>
        <w:textAlignment w:val="auto"/>
        <w:outlineLvl w:val="9"/>
        <w:rPr>
          <w:rFonts w:ascii="宋体" w:hAnsi="宋体" w:cs="宋体"/>
          <w:color w:val="auto"/>
          <w:kern w:val="0"/>
          <w:sz w:val="24"/>
          <w:highlight w:val="none"/>
        </w:rPr>
      </w:pPr>
      <w:r>
        <w:rPr>
          <w:rFonts w:hint="eastAsia" w:ascii="宋体" w:hAnsi="宋体" w:cs="宋体"/>
          <w:color w:val="auto"/>
          <w:kern w:val="0"/>
          <w:sz w:val="24"/>
          <w:highlight w:val="none"/>
        </w:rPr>
        <w:t>对投标文件进行比较和评价；</w:t>
      </w:r>
    </w:p>
    <w:p w14:paraId="3A48611E">
      <w:pPr>
        <w:keepNext w:val="0"/>
        <w:keepLines w:val="0"/>
        <w:pageBreakBefore w:val="0"/>
        <w:widowControl/>
        <w:numPr>
          <w:ilvl w:val="1"/>
          <w:numId w:val="19"/>
        </w:numPr>
        <w:shd w:val="clear" w:color="auto"/>
        <w:kinsoku/>
        <w:wordWrap w:val="0"/>
        <w:overflowPunct/>
        <w:topLinePunct w:val="0"/>
        <w:autoSpaceDE/>
        <w:autoSpaceDN/>
        <w:bidi w:val="0"/>
        <w:adjustRightInd w:val="0"/>
        <w:snapToGrid w:val="0"/>
        <w:spacing w:line="480" w:lineRule="exact"/>
        <w:ind w:left="851" w:hanging="284"/>
        <w:jc w:val="left"/>
        <w:textAlignment w:val="auto"/>
        <w:outlineLvl w:val="9"/>
        <w:rPr>
          <w:rFonts w:ascii="宋体" w:hAnsi="宋体" w:cs="宋体"/>
          <w:color w:val="auto"/>
          <w:kern w:val="0"/>
          <w:sz w:val="24"/>
          <w:highlight w:val="none"/>
        </w:rPr>
      </w:pPr>
      <w:r>
        <w:rPr>
          <w:rFonts w:hint="eastAsia" w:ascii="宋体" w:hAnsi="宋体" w:cs="宋体"/>
          <w:color w:val="auto"/>
          <w:kern w:val="0"/>
          <w:sz w:val="24"/>
          <w:highlight w:val="none"/>
        </w:rPr>
        <w:t>确定中标候选人名单，以及根据</w:t>
      </w:r>
      <w:r>
        <w:rPr>
          <w:rFonts w:hint="eastAsia" w:ascii="宋体" w:hAnsi="宋体" w:cs="宋体"/>
          <w:color w:val="auto"/>
          <w:kern w:val="0"/>
          <w:sz w:val="24"/>
          <w:highlight w:val="none"/>
          <w:lang w:eastAsia="zh-CN"/>
        </w:rPr>
        <w:t>招标人</w:t>
      </w:r>
      <w:r>
        <w:rPr>
          <w:rFonts w:hint="eastAsia" w:ascii="宋体" w:hAnsi="宋体" w:cs="宋体"/>
          <w:color w:val="auto"/>
          <w:kern w:val="0"/>
          <w:sz w:val="24"/>
          <w:highlight w:val="none"/>
        </w:rPr>
        <w:t>委托直接确定中标人；</w:t>
      </w:r>
    </w:p>
    <w:p w14:paraId="48E628F8">
      <w:pPr>
        <w:keepNext w:val="0"/>
        <w:keepLines w:val="0"/>
        <w:pageBreakBefore w:val="0"/>
        <w:widowControl/>
        <w:numPr>
          <w:ilvl w:val="1"/>
          <w:numId w:val="19"/>
        </w:numPr>
        <w:shd w:val="clear" w:color="auto"/>
        <w:kinsoku/>
        <w:wordWrap w:val="0"/>
        <w:overflowPunct/>
        <w:topLinePunct w:val="0"/>
        <w:autoSpaceDE/>
        <w:autoSpaceDN/>
        <w:bidi w:val="0"/>
        <w:adjustRightInd w:val="0"/>
        <w:snapToGrid w:val="0"/>
        <w:spacing w:line="480" w:lineRule="exact"/>
        <w:ind w:left="851" w:hanging="284"/>
        <w:jc w:val="left"/>
        <w:textAlignment w:val="auto"/>
        <w:outlineLvl w:val="9"/>
        <w:rPr>
          <w:rFonts w:ascii="宋体" w:hAnsi="宋体" w:cs="宋体"/>
          <w:color w:val="auto"/>
          <w:kern w:val="0"/>
          <w:sz w:val="24"/>
          <w:highlight w:val="none"/>
        </w:rPr>
      </w:pPr>
      <w:r>
        <w:rPr>
          <w:rFonts w:hint="eastAsia" w:ascii="宋体" w:hAnsi="宋体" w:cs="宋体"/>
          <w:color w:val="auto"/>
          <w:kern w:val="0"/>
          <w:sz w:val="24"/>
          <w:highlight w:val="none"/>
        </w:rPr>
        <w:t>向</w:t>
      </w:r>
      <w:r>
        <w:rPr>
          <w:rFonts w:hint="eastAsia" w:ascii="宋体" w:hAnsi="宋体" w:cs="宋体"/>
          <w:color w:val="auto"/>
          <w:kern w:val="0"/>
          <w:sz w:val="24"/>
          <w:highlight w:val="none"/>
          <w:lang w:eastAsia="zh-CN"/>
        </w:rPr>
        <w:t>招标人</w:t>
      </w:r>
      <w:r>
        <w:rPr>
          <w:rFonts w:hint="eastAsia" w:ascii="宋体" w:hAnsi="宋体" w:cs="宋体"/>
          <w:color w:val="auto"/>
          <w:kern w:val="0"/>
          <w:sz w:val="24"/>
          <w:highlight w:val="none"/>
        </w:rPr>
        <w:t>、招标代理机构或者有关部门报告评标中发现的违法行为。</w:t>
      </w:r>
    </w:p>
    <w:p w14:paraId="4A49B887">
      <w:pPr>
        <w:keepNext w:val="0"/>
        <w:keepLines w:val="0"/>
        <w:pageBreakBefore w:val="0"/>
        <w:widowControl/>
        <w:shd w:val="clear" w:color="auto"/>
        <w:kinsoku/>
        <w:wordWrap w:val="0"/>
        <w:overflowPunct/>
        <w:topLinePunct w:val="0"/>
        <w:autoSpaceDE/>
        <w:autoSpaceDN/>
        <w:bidi w:val="0"/>
        <w:adjustRightInd w:val="0"/>
        <w:snapToGrid w:val="0"/>
        <w:spacing w:line="480" w:lineRule="exact"/>
        <w:ind w:firstLine="482" w:firstLineChars="200"/>
        <w:jc w:val="left"/>
        <w:textAlignment w:val="auto"/>
        <w:outlineLvl w:val="9"/>
        <w:rPr>
          <w:rFonts w:ascii="宋体" w:hAnsi="宋体" w:cs="宋体"/>
          <w:b/>
          <w:color w:val="auto"/>
          <w:kern w:val="0"/>
          <w:sz w:val="24"/>
          <w:highlight w:val="none"/>
          <w:u w:val="single"/>
        </w:rPr>
      </w:pPr>
      <w:r>
        <w:rPr>
          <w:rFonts w:hint="eastAsia" w:ascii="宋体" w:hAnsi="宋体" w:cs="宋体"/>
          <w:b/>
          <w:color w:val="auto"/>
          <w:kern w:val="0"/>
          <w:sz w:val="24"/>
          <w:highlight w:val="none"/>
          <w:u w:val="single"/>
        </w:rPr>
        <w:t>除</w:t>
      </w:r>
      <w:r>
        <w:rPr>
          <w:rFonts w:hint="eastAsia" w:ascii="宋体" w:hAnsi="宋体" w:cs="宋体"/>
          <w:b/>
          <w:color w:val="auto"/>
          <w:kern w:val="0"/>
          <w:sz w:val="24"/>
          <w:highlight w:val="none"/>
          <w:u w:val="single"/>
          <w:lang w:eastAsia="zh-CN"/>
        </w:rPr>
        <w:t>招标人</w:t>
      </w:r>
      <w:r>
        <w:rPr>
          <w:rFonts w:hint="eastAsia" w:ascii="宋体" w:hAnsi="宋体" w:cs="宋体"/>
          <w:b/>
          <w:color w:val="auto"/>
          <w:kern w:val="0"/>
          <w:sz w:val="24"/>
          <w:highlight w:val="none"/>
          <w:u w:val="single"/>
        </w:rPr>
        <w:t>代表、评标现场组织人员外，</w:t>
      </w:r>
      <w:r>
        <w:rPr>
          <w:rFonts w:hint="eastAsia" w:ascii="宋体" w:hAnsi="宋体" w:cs="宋体"/>
          <w:b/>
          <w:color w:val="auto"/>
          <w:kern w:val="0"/>
          <w:sz w:val="24"/>
          <w:highlight w:val="none"/>
          <w:u w:val="single"/>
          <w:lang w:eastAsia="zh-CN"/>
        </w:rPr>
        <w:t>招标人</w:t>
      </w:r>
      <w:r>
        <w:rPr>
          <w:rFonts w:hint="eastAsia" w:ascii="宋体" w:hAnsi="宋体" w:cs="宋体"/>
          <w:b/>
          <w:color w:val="auto"/>
          <w:kern w:val="0"/>
          <w:sz w:val="24"/>
          <w:highlight w:val="none"/>
          <w:u w:val="single"/>
        </w:rPr>
        <w:t>的其他工作人员以及与评标工作无关的人员不得进入评标现场。</w:t>
      </w:r>
    </w:p>
    <w:p w14:paraId="4FAC68A8">
      <w:pPr>
        <w:keepNext w:val="0"/>
        <w:keepLines w:val="0"/>
        <w:pageBreakBefore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472" w:name="_Toc2935"/>
      <w:bookmarkStart w:id="473" w:name="_Toc22856"/>
      <w:bookmarkStart w:id="474" w:name="_Toc2309"/>
      <w:bookmarkStart w:id="475" w:name="_Toc31601"/>
      <w:bookmarkStart w:id="476" w:name="_Toc23188"/>
      <w:bookmarkStart w:id="477" w:name="_Toc529477725"/>
      <w:bookmarkStart w:id="478" w:name="_Toc3765"/>
      <w:bookmarkStart w:id="479" w:name="_Toc17482"/>
      <w:bookmarkStart w:id="480" w:name="_Toc25695"/>
      <w:bookmarkStart w:id="481" w:name="_Toc14058"/>
      <w:bookmarkStart w:id="482" w:name="_Toc30250"/>
      <w:bookmarkStart w:id="483" w:name="_Toc25614"/>
      <w:bookmarkStart w:id="484" w:name="_Toc521661606"/>
      <w:bookmarkStart w:id="485" w:name="_Toc1976"/>
      <w:bookmarkStart w:id="486" w:name="_Toc32418"/>
      <w:r>
        <w:rPr>
          <w:rFonts w:ascii="宋体" w:hAnsi="宋体"/>
          <w:b/>
          <w:color w:val="auto"/>
          <w:sz w:val="24"/>
          <w:highlight w:val="none"/>
        </w:rPr>
        <w:t>（二）评标的方式</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14:paraId="7E80EAFB">
      <w:pPr>
        <w:pStyle w:val="25"/>
        <w:keepNext w:val="0"/>
        <w:keepLines w:val="0"/>
        <w:pageBreakBefore w:val="0"/>
        <w:shd w:val="clear"/>
        <w:kinsoku/>
        <w:wordWrap w:val="0"/>
        <w:overflowPunct/>
        <w:topLinePunct w:val="0"/>
        <w:autoSpaceDE/>
        <w:autoSpaceDN/>
        <w:bidi w:val="0"/>
        <w:adjustRightInd w:val="0"/>
        <w:snapToGrid w:val="0"/>
        <w:spacing w:beforeLines="0" w:afterLines="0" w:line="480" w:lineRule="exact"/>
        <w:ind w:left="787" w:leftChars="228" w:hanging="240" w:hangingChars="100"/>
        <w:textAlignment w:val="auto"/>
        <w:outlineLvl w:val="9"/>
        <w:rPr>
          <w:rFonts w:hAnsi="宋体"/>
          <w:color w:val="auto"/>
          <w:highlight w:val="none"/>
        </w:rPr>
      </w:pPr>
      <w:r>
        <w:rPr>
          <w:rFonts w:hAnsi="宋体"/>
          <w:color w:val="auto"/>
          <w:highlight w:val="none"/>
        </w:rPr>
        <w:t>本项目采用不公开方式评标，评标的依据为招标文件和投标文件。</w:t>
      </w:r>
    </w:p>
    <w:p w14:paraId="3B5732A0">
      <w:pPr>
        <w:keepNext w:val="0"/>
        <w:keepLines w:val="0"/>
        <w:pageBreakBefore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487" w:name="_Toc6455"/>
      <w:bookmarkStart w:id="488" w:name="_Toc14618"/>
      <w:bookmarkStart w:id="489" w:name="_Toc521661602"/>
      <w:bookmarkStart w:id="490" w:name="_Toc24964"/>
      <w:bookmarkStart w:id="491" w:name="_Toc16502"/>
      <w:bookmarkStart w:id="492" w:name="_Toc20164"/>
      <w:bookmarkStart w:id="493" w:name="_Toc529477721"/>
      <w:bookmarkStart w:id="494" w:name="_Toc22631"/>
      <w:bookmarkStart w:id="495" w:name="_Toc28853"/>
      <w:bookmarkStart w:id="496" w:name="_Toc16010"/>
      <w:bookmarkStart w:id="497" w:name="_Toc27271"/>
      <w:bookmarkStart w:id="498" w:name="_Toc16360"/>
      <w:bookmarkStart w:id="499" w:name="_Toc5564"/>
      <w:bookmarkStart w:id="500" w:name="_Toc20516"/>
      <w:bookmarkStart w:id="501" w:name="_Toc2983"/>
      <w:r>
        <w:rPr>
          <w:rFonts w:ascii="宋体" w:hAnsi="宋体"/>
          <w:b/>
          <w:color w:val="auto"/>
          <w:sz w:val="24"/>
          <w:highlight w:val="none"/>
        </w:rPr>
        <w:t>（</w:t>
      </w:r>
      <w:r>
        <w:rPr>
          <w:rFonts w:hint="eastAsia" w:ascii="宋体" w:hAnsi="宋体"/>
          <w:b/>
          <w:color w:val="auto"/>
          <w:sz w:val="24"/>
          <w:highlight w:val="none"/>
        </w:rPr>
        <w:t>三</w:t>
      </w:r>
      <w:r>
        <w:rPr>
          <w:rFonts w:ascii="宋体" w:hAnsi="宋体"/>
          <w:b/>
          <w:color w:val="auto"/>
          <w:sz w:val="24"/>
          <w:highlight w:val="none"/>
        </w:rPr>
        <w:t>）</w:t>
      </w:r>
      <w:r>
        <w:rPr>
          <w:rFonts w:hint="eastAsia" w:ascii="宋体" w:hAnsi="宋体"/>
          <w:b/>
          <w:color w:val="auto"/>
          <w:sz w:val="24"/>
          <w:highlight w:val="none"/>
          <w:lang w:eastAsia="zh-CN"/>
        </w:rPr>
        <w:t>招标人</w:t>
      </w:r>
      <w:r>
        <w:rPr>
          <w:rFonts w:hint="eastAsia" w:ascii="宋体" w:hAnsi="宋体"/>
          <w:b/>
          <w:color w:val="auto"/>
          <w:sz w:val="24"/>
          <w:highlight w:val="none"/>
        </w:rPr>
        <w:t>或者招标代理机构职责</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1AFF8329">
      <w:pPr>
        <w:pStyle w:val="25"/>
        <w:keepNext w:val="0"/>
        <w:keepLines w:val="0"/>
        <w:pageBreakBefore w:val="0"/>
        <w:shd w:val="clear"/>
        <w:kinsoku/>
        <w:wordWrap w:val="0"/>
        <w:overflowPunct/>
        <w:topLinePunct w:val="0"/>
        <w:autoSpaceDE/>
        <w:autoSpaceDN/>
        <w:bidi w:val="0"/>
        <w:adjustRightInd w:val="0"/>
        <w:snapToGrid w:val="0"/>
        <w:spacing w:beforeLines="0" w:afterLines="0" w:line="480" w:lineRule="exact"/>
        <w:ind w:firstLine="480" w:firstLineChars="200"/>
        <w:textAlignment w:val="auto"/>
        <w:outlineLvl w:val="9"/>
        <w:rPr>
          <w:rFonts w:hAnsi="宋体"/>
          <w:bCs/>
          <w:color w:val="auto"/>
          <w:highlight w:val="none"/>
        </w:rPr>
      </w:pPr>
      <w:r>
        <w:rPr>
          <w:rFonts w:hint="eastAsia" w:hAnsi="宋体"/>
          <w:bCs/>
          <w:color w:val="auto"/>
          <w:highlight w:val="none"/>
          <w:lang w:eastAsia="zh-CN"/>
        </w:rPr>
        <w:t>招标人</w:t>
      </w:r>
      <w:r>
        <w:rPr>
          <w:rFonts w:hint="eastAsia" w:hAnsi="宋体"/>
          <w:bCs/>
          <w:color w:val="auto"/>
          <w:highlight w:val="none"/>
        </w:rPr>
        <w:t>或者招标代理机构负责组织评标工作，并履行下列职责：</w:t>
      </w:r>
    </w:p>
    <w:p w14:paraId="24DB6C7D">
      <w:pPr>
        <w:pStyle w:val="25"/>
        <w:keepNext w:val="0"/>
        <w:keepLines w:val="0"/>
        <w:pageBreakBefore w:val="0"/>
        <w:numPr>
          <w:ilvl w:val="1"/>
          <w:numId w:val="20"/>
        </w:numPr>
        <w:shd w:val="clear"/>
        <w:kinsoku/>
        <w:wordWrap w:val="0"/>
        <w:overflowPunct/>
        <w:topLinePunct w:val="0"/>
        <w:autoSpaceDE/>
        <w:autoSpaceDN/>
        <w:bidi w:val="0"/>
        <w:adjustRightInd w:val="0"/>
        <w:snapToGrid w:val="0"/>
        <w:spacing w:beforeLines="0" w:afterLines="0" w:line="480" w:lineRule="exact"/>
        <w:ind w:left="0" w:firstLine="420"/>
        <w:textAlignment w:val="auto"/>
        <w:outlineLvl w:val="9"/>
        <w:rPr>
          <w:rFonts w:hAnsi="宋体"/>
          <w:bCs/>
          <w:color w:val="auto"/>
          <w:highlight w:val="none"/>
        </w:rPr>
      </w:pPr>
      <w:r>
        <w:rPr>
          <w:rFonts w:hint="eastAsia" w:hAnsi="宋体"/>
          <w:bCs/>
          <w:color w:val="auto"/>
          <w:highlight w:val="none"/>
        </w:rPr>
        <w:t>核对评审专家身份；</w:t>
      </w:r>
    </w:p>
    <w:p w14:paraId="4642533B">
      <w:pPr>
        <w:pStyle w:val="25"/>
        <w:keepNext w:val="0"/>
        <w:keepLines w:val="0"/>
        <w:pageBreakBefore w:val="0"/>
        <w:numPr>
          <w:ilvl w:val="1"/>
          <w:numId w:val="20"/>
        </w:numPr>
        <w:shd w:val="clear"/>
        <w:kinsoku/>
        <w:wordWrap w:val="0"/>
        <w:overflowPunct/>
        <w:topLinePunct w:val="0"/>
        <w:autoSpaceDE/>
        <w:autoSpaceDN/>
        <w:bidi w:val="0"/>
        <w:adjustRightInd w:val="0"/>
        <w:snapToGrid w:val="0"/>
        <w:spacing w:beforeLines="0" w:afterLines="0" w:line="480" w:lineRule="exact"/>
        <w:ind w:left="0" w:firstLine="420"/>
        <w:textAlignment w:val="auto"/>
        <w:outlineLvl w:val="9"/>
        <w:rPr>
          <w:rFonts w:hAnsi="宋体"/>
          <w:bCs/>
          <w:color w:val="auto"/>
          <w:highlight w:val="none"/>
        </w:rPr>
      </w:pPr>
      <w:r>
        <w:rPr>
          <w:rFonts w:hint="eastAsia" w:hAnsi="宋体"/>
          <w:bCs/>
          <w:color w:val="auto"/>
          <w:highlight w:val="none"/>
        </w:rPr>
        <w:t>宣布评标纪律；</w:t>
      </w:r>
    </w:p>
    <w:p w14:paraId="69654F00">
      <w:pPr>
        <w:pStyle w:val="25"/>
        <w:keepNext w:val="0"/>
        <w:keepLines w:val="0"/>
        <w:pageBreakBefore w:val="0"/>
        <w:numPr>
          <w:ilvl w:val="1"/>
          <w:numId w:val="20"/>
        </w:numPr>
        <w:shd w:val="clear"/>
        <w:kinsoku/>
        <w:wordWrap w:val="0"/>
        <w:overflowPunct/>
        <w:topLinePunct w:val="0"/>
        <w:autoSpaceDE/>
        <w:autoSpaceDN/>
        <w:bidi w:val="0"/>
        <w:adjustRightInd w:val="0"/>
        <w:snapToGrid w:val="0"/>
        <w:spacing w:beforeLines="0" w:afterLines="0" w:line="480" w:lineRule="exact"/>
        <w:ind w:left="0" w:firstLine="420"/>
        <w:textAlignment w:val="auto"/>
        <w:outlineLvl w:val="9"/>
        <w:rPr>
          <w:rFonts w:hAnsi="宋体"/>
          <w:bCs/>
          <w:color w:val="auto"/>
          <w:highlight w:val="none"/>
        </w:rPr>
      </w:pPr>
      <w:r>
        <w:rPr>
          <w:rFonts w:hint="eastAsia" w:hAnsi="宋体"/>
          <w:bCs/>
          <w:color w:val="auto"/>
          <w:highlight w:val="none"/>
        </w:rPr>
        <w:t>公布投标人名单，告知评审专家应当回避的情形；</w:t>
      </w:r>
    </w:p>
    <w:p w14:paraId="7DDAA042">
      <w:pPr>
        <w:pStyle w:val="25"/>
        <w:keepNext w:val="0"/>
        <w:keepLines w:val="0"/>
        <w:pageBreakBefore w:val="0"/>
        <w:numPr>
          <w:ilvl w:val="1"/>
          <w:numId w:val="20"/>
        </w:numPr>
        <w:shd w:val="clear"/>
        <w:kinsoku/>
        <w:wordWrap w:val="0"/>
        <w:overflowPunct/>
        <w:topLinePunct w:val="0"/>
        <w:autoSpaceDE/>
        <w:autoSpaceDN/>
        <w:bidi w:val="0"/>
        <w:adjustRightInd w:val="0"/>
        <w:snapToGrid w:val="0"/>
        <w:spacing w:beforeLines="0" w:afterLines="0" w:line="480" w:lineRule="exact"/>
        <w:ind w:left="0" w:firstLine="420"/>
        <w:textAlignment w:val="auto"/>
        <w:outlineLvl w:val="9"/>
        <w:rPr>
          <w:rFonts w:hAnsi="宋体"/>
          <w:bCs/>
          <w:color w:val="auto"/>
          <w:highlight w:val="none"/>
        </w:rPr>
      </w:pPr>
      <w:r>
        <w:rPr>
          <w:rFonts w:hint="eastAsia" w:hAnsi="宋体"/>
          <w:bCs/>
          <w:color w:val="auto"/>
          <w:highlight w:val="none"/>
        </w:rPr>
        <w:t>组织评标委员会推选评标组长，</w:t>
      </w:r>
      <w:r>
        <w:rPr>
          <w:rFonts w:hint="eastAsia" w:hAnsi="宋体"/>
          <w:bCs/>
          <w:color w:val="auto"/>
          <w:highlight w:val="none"/>
          <w:lang w:eastAsia="zh-CN"/>
        </w:rPr>
        <w:t>招标人</w:t>
      </w:r>
      <w:r>
        <w:rPr>
          <w:rFonts w:hint="eastAsia" w:hAnsi="宋体"/>
          <w:bCs/>
          <w:color w:val="auto"/>
          <w:highlight w:val="none"/>
        </w:rPr>
        <w:t>代表不得担任组长；</w:t>
      </w:r>
    </w:p>
    <w:p w14:paraId="7BD2E799">
      <w:pPr>
        <w:pStyle w:val="25"/>
        <w:keepNext w:val="0"/>
        <w:keepLines w:val="0"/>
        <w:pageBreakBefore w:val="0"/>
        <w:numPr>
          <w:ilvl w:val="1"/>
          <w:numId w:val="20"/>
        </w:numPr>
        <w:shd w:val="clear"/>
        <w:kinsoku/>
        <w:wordWrap w:val="0"/>
        <w:overflowPunct/>
        <w:topLinePunct w:val="0"/>
        <w:autoSpaceDE/>
        <w:autoSpaceDN/>
        <w:bidi w:val="0"/>
        <w:adjustRightInd w:val="0"/>
        <w:snapToGrid w:val="0"/>
        <w:spacing w:beforeLines="0" w:afterLines="0" w:line="480" w:lineRule="exact"/>
        <w:ind w:left="0" w:firstLine="420"/>
        <w:textAlignment w:val="auto"/>
        <w:outlineLvl w:val="9"/>
        <w:rPr>
          <w:rFonts w:hAnsi="宋体"/>
          <w:bCs/>
          <w:color w:val="auto"/>
          <w:highlight w:val="none"/>
        </w:rPr>
      </w:pPr>
      <w:r>
        <w:rPr>
          <w:rFonts w:hint="eastAsia" w:hAnsi="宋体"/>
          <w:bCs/>
          <w:color w:val="auto"/>
          <w:highlight w:val="none"/>
        </w:rPr>
        <w:t>在评标期间采取必要的通讯管理措施，保证评标活动不受外界干扰；</w:t>
      </w:r>
    </w:p>
    <w:p w14:paraId="464A6A16">
      <w:pPr>
        <w:pStyle w:val="25"/>
        <w:keepNext w:val="0"/>
        <w:keepLines w:val="0"/>
        <w:pageBreakBefore w:val="0"/>
        <w:numPr>
          <w:ilvl w:val="1"/>
          <w:numId w:val="20"/>
        </w:numPr>
        <w:shd w:val="clear"/>
        <w:kinsoku/>
        <w:wordWrap w:val="0"/>
        <w:overflowPunct/>
        <w:topLinePunct w:val="0"/>
        <w:autoSpaceDE/>
        <w:autoSpaceDN/>
        <w:bidi w:val="0"/>
        <w:adjustRightInd w:val="0"/>
        <w:snapToGrid w:val="0"/>
        <w:spacing w:beforeLines="0" w:afterLines="0" w:line="480" w:lineRule="exact"/>
        <w:ind w:left="0" w:firstLine="420"/>
        <w:textAlignment w:val="auto"/>
        <w:outlineLvl w:val="9"/>
        <w:rPr>
          <w:rFonts w:hAnsi="宋体"/>
          <w:bCs/>
          <w:color w:val="auto"/>
          <w:highlight w:val="none"/>
        </w:rPr>
      </w:pPr>
      <w:r>
        <w:rPr>
          <w:rFonts w:hint="eastAsia" w:hAnsi="宋体"/>
          <w:bCs/>
          <w:color w:val="auto"/>
          <w:highlight w:val="none"/>
        </w:rPr>
        <w:t>根据评标委员会的要求介绍采购相关政策法规、招标文件；</w:t>
      </w:r>
    </w:p>
    <w:p w14:paraId="1FF8E007">
      <w:pPr>
        <w:pStyle w:val="25"/>
        <w:keepNext w:val="0"/>
        <w:keepLines w:val="0"/>
        <w:pageBreakBefore w:val="0"/>
        <w:numPr>
          <w:ilvl w:val="1"/>
          <w:numId w:val="20"/>
        </w:numPr>
        <w:shd w:val="clear"/>
        <w:kinsoku/>
        <w:wordWrap w:val="0"/>
        <w:overflowPunct/>
        <w:topLinePunct w:val="0"/>
        <w:autoSpaceDE/>
        <w:autoSpaceDN/>
        <w:bidi w:val="0"/>
        <w:adjustRightInd w:val="0"/>
        <w:snapToGrid w:val="0"/>
        <w:spacing w:beforeLines="0" w:afterLines="0" w:line="480" w:lineRule="exact"/>
        <w:ind w:left="0" w:firstLine="420"/>
        <w:textAlignment w:val="auto"/>
        <w:outlineLvl w:val="9"/>
        <w:rPr>
          <w:rFonts w:hAnsi="宋体"/>
          <w:bCs/>
          <w:color w:val="auto"/>
          <w:highlight w:val="none"/>
        </w:rPr>
      </w:pPr>
      <w:r>
        <w:rPr>
          <w:rFonts w:hint="eastAsia" w:hAnsi="宋体"/>
          <w:bCs/>
          <w:color w:val="auto"/>
          <w:highlight w:val="none"/>
        </w:rPr>
        <w:t>维护评标秩序，监督评标委员会依照招标文件规定的评标程序、方法和标准进行独立评审，及时制止和纠正</w:t>
      </w:r>
      <w:r>
        <w:rPr>
          <w:rFonts w:hint="eastAsia" w:hAnsi="宋体"/>
          <w:bCs/>
          <w:color w:val="auto"/>
          <w:highlight w:val="none"/>
          <w:lang w:eastAsia="zh-CN"/>
        </w:rPr>
        <w:t>招标人</w:t>
      </w:r>
      <w:r>
        <w:rPr>
          <w:rFonts w:hint="eastAsia" w:hAnsi="宋体"/>
          <w:bCs/>
          <w:color w:val="auto"/>
          <w:highlight w:val="none"/>
        </w:rPr>
        <w:t>代表、评审专家的倾向性言论或者违法违规行为；</w:t>
      </w:r>
    </w:p>
    <w:p w14:paraId="0E60FB7E">
      <w:pPr>
        <w:pStyle w:val="25"/>
        <w:keepNext w:val="0"/>
        <w:keepLines w:val="0"/>
        <w:pageBreakBefore w:val="0"/>
        <w:numPr>
          <w:ilvl w:val="1"/>
          <w:numId w:val="20"/>
        </w:numPr>
        <w:shd w:val="clear"/>
        <w:kinsoku/>
        <w:wordWrap w:val="0"/>
        <w:overflowPunct/>
        <w:topLinePunct w:val="0"/>
        <w:autoSpaceDE/>
        <w:autoSpaceDN/>
        <w:bidi w:val="0"/>
        <w:adjustRightInd w:val="0"/>
        <w:snapToGrid w:val="0"/>
        <w:spacing w:beforeLines="0" w:afterLines="0" w:line="480" w:lineRule="exact"/>
        <w:ind w:left="0" w:firstLine="420"/>
        <w:textAlignment w:val="auto"/>
        <w:outlineLvl w:val="9"/>
        <w:rPr>
          <w:rFonts w:hAnsi="宋体"/>
          <w:bCs/>
          <w:color w:val="auto"/>
          <w:highlight w:val="none"/>
        </w:rPr>
      </w:pPr>
      <w:r>
        <w:rPr>
          <w:rFonts w:hint="eastAsia" w:hAnsi="宋体"/>
          <w:bCs/>
          <w:color w:val="auto"/>
          <w:highlight w:val="none"/>
        </w:rPr>
        <w:t>评审工作完成后，按照规定向评审专家支付劳务报酬；</w:t>
      </w:r>
    </w:p>
    <w:p w14:paraId="67889EDF">
      <w:pPr>
        <w:pStyle w:val="25"/>
        <w:keepNext w:val="0"/>
        <w:keepLines w:val="0"/>
        <w:pageBreakBefore w:val="0"/>
        <w:numPr>
          <w:ilvl w:val="1"/>
          <w:numId w:val="20"/>
        </w:numPr>
        <w:shd w:val="clear"/>
        <w:kinsoku/>
        <w:wordWrap w:val="0"/>
        <w:overflowPunct/>
        <w:topLinePunct w:val="0"/>
        <w:autoSpaceDE/>
        <w:autoSpaceDN/>
        <w:bidi w:val="0"/>
        <w:adjustRightInd w:val="0"/>
        <w:snapToGrid w:val="0"/>
        <w:spacing w:beforeLines="0" w:afterLines="0" w:line="480" w:lineRule="exact"/>
        <w:ind w:left="0" w:firstLine="420"/>
        <w:textAlignment w:val="auto"/>
        <w:outlineLvl w:val="9"/>
        <w:rPr>
          <w:rFonts w:hAnsi="宋体"/>
          <w:bCs/>
          <w:color w:val="auto"/>
          <w:highlight w:val="none"/>
        </w:rPr>
      </w:pPr>
      <w:r>
        <w:rPr>
          <w:rFonts w:hint="eastAsia" w:hAnsi="宋体"/>
          <w:bCs/>
          <w:color w:val="auto"/>
          <w:highlight w:val="none"/>
        </w:rPr>
        <w:t>处理与评标有关的其他事项。</w:t>
      </w:r>
    </w:p>
    <w:p w14:paraId="3B09E1E4">
      <w:pPr>
        <w:keepNext w:val="0"/>
        <w:keepLines w:val="0"/>
        <w:pageBreakBefore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502" w:name="_Toc13342"/>
      <w:bookmarkStart w:id="503" w:name="_Toc17579"/>
      <w:bookmarkStart w:id="504" w:name="_Toc22055"/>
      <w:bookmarkStart w:id="505" w:name="_Toc26436"/>
      <w:bookmarkStart w:id="506" w:name="_Toc6459"/>
      <w:bookmarkStart w:id="507" w:name="_Toc14636"/>
      <w:bookmarkStart w:id="508" w:name="_Toc30628"/>
      <w:bookmarkStart w:id="509" w:name="_Toc529477726"/>
      <w:bookmarkStart w:id="510" w:name="_Toc521661607"/>
      <w:bookmarkStart w:id="511" w:name="_Toc22078"/>
      <w:bookmarkStart w:id="512" w:name="_Toc18448"/>
      <w:bookmarkStart w:id="513" w:name="_Toc17066"/>
      <w:bookmarkStart w:id="514" w:name="_Toc23426"/>
      <w:bookmarkStart w:id="515" w:name="_Toc26093"/>
      <w:bookmarkStart w:id="516" w:name="_Toc15140"/>
      <w:r>
        <w:rPr>
          <w:rFonts w:ascii="宋体" w:hAnsi="宋体"/>
          <w:b/>
          <w:color w:val="auto"/>
          <w:sz w:val="24"/>
          <w:highlight w:val="none"/>
        </w:rPr>
        <w:t>（</w:t>
      </w:r>
      <w:r>
        <w:rPr>
          <w:rFonts w:hint="eastAsia" w:ascii="宋体" w:hAnsi="宋体"/>
          <w:b/>
          <w:color w:val="auto"/>
          <w:sz w:val="24"/>
          <w:highlight w:val="none"/>
        </w:rPr>
        <w:t>四</w:t>
      </w:r>
      <w:r>
        <w:rPr>
          <w:rFonts w:ascii="宋体" w:hAnsi="宋体"/>
          <w:b/>
          <w:color w:val="auto"/>
          <w:sz w:val="24"/>
          <w:highlight w:val="none"/>
        </w:rPr>
        <w:t>）评标程序</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5AA0D435">
      <w:pPr>
        <w:pStyle w:val="25"/>
        <w:keepNext w:val="0"/>
        <w:keepLines w:val="0"/>
        <w:pageBreakBefore w:val="0"/>
        <w:shd w:val="clear"/>
        <w:kinsoku/>
        <w:wordWrap w:val="0"/>
        <w:overflowPunct/>
        <w:topLinePunct w:val="0"/>
        <w:autoSpaceDE/>
        <w:autoSpaceDN/>
        <w:bidi w:val="0"/>
        <w:adjustRightInd w:val="0"/>
        <w:snapToGrid w:val="0"/>
        <w:spacing w:beforeLines="0" w:afterLines="0" w:line="480" w:lineRule="exact"/>
        <w:ind w:firstLine="480" w:firstLineChars="200"/>
        <w:textAlignment w:val="auto"/>
        <w:outlineLvl w:val="9"/>
        <w:rPr>
          <w:rFonts w:hAnsi="宋体"/>
          <w:bCs/>
          <w:color w:val="auto"/>
          <w:highlight w:val="none"/>
        </w:rPr>
      </w:pPr>
      <w:r>
        <w:rPr>
          <w:rFonts w:hint="eastAsia" w:hAnsi="宋体"/>
          <w:color w:val="auto"/>
          <w:highlight w:val="none"/>
          <w:lang w:val="en-US" w:eastAsia="zh-CN"/>
        </w:rPr>
        <w:t>评标专家按</w:t>
      </w:r>
      <w:r>
        <w:rPr>
          <w:rFonts w:hint="eastAsia" w:hAnsi="宋体"/>
          <w:color w:val="auto"/>
          <w:highlight w:val="none"/>
        </w:rPr>
        <w:t>采购文件第四章评标办法及评分标准</w:t>
      </w:r>
      <w:r>
        <w:rPr>
          <w:rFonts w:hint="eastAsia" w:hAnsi="宋体"/>
          <w:color w:val="auto"/>
          <w:highlight w:val="none"/>
          <w:lang w:val="en-US" w:eastAsia="zh-CN"/>
        </w:rPr>
        <w:t>独立评审。</w:t>
      </w:r>
      <w:r>
        <w:rPr>
          <w:rFonts w:hint="eastAsia" w:hAnsi="宋体"/>
          <w:color w:val="auto"/>
          <w:highlight w:val="none"/>
          <w:lang w:eastAsia="zh-CN"/>
        </w:rPr>
        <w:t>招标人</w:t>
      </w:r>
      <w:r>
        <w:rPr>
          <w:rFonts w:hint="eastAsia" w:hAnsi="宋体"/>
          <w:color w:val="auto"/>
          <w:highlight w:val="none"/>
        </w:rPr>
        <w:t>可以在评标前说明项目背景和采购需求，说明内容不得含有歧视性、倾向性意见，不得超出招标文件所述范围。说明应当提交书面材料，并随</w:t>
      </w:r>
      <w:r>
        <w:rPr>
          <w:rFonts w:hint="eastAsia" w:hAnsi="宋体"/>
          <w:color w:val="auto"/>
          <w:highlight w:val="none"/>
          <w:lang w:eastAsia="zh-CN"/>
        </w:rPr>
        <w:t>招标文件</w:t>
      </w:r>
      <w:r>
        <w:rPr>
          <w:rFonts w:hint="eastAsia" w:hAnsi="宋体"/>
          <w:color w:val="auto"/>
          <w:highlight w:val="none"/>
        </w:rPr>
        <w:t>一并存档</w:t>
      </w:r>
      <w:r>
        <w:rPr>
          <w:rFonts w:hint="eastAsia" w:hAnsi="宋体"/>
          <w:bCs/>
          <w:color w:val="auto"/>
          <w:highlight w:val="none"/>
        </w:rPr>
        <w:t>。</w:t>
      </w:r>
    </w:p>
    <w:p w14:paraId="23714C4A">
      <w:pPr>
        <w:keepNext w:val="0"/>
        <w:keepLines w:val="0"/>
        <w:pageBreakBefore w:val="0"/>
        <w:shd w:val="clear"/>
        <w:kinsoku/>
        <w:wordWrap w:val="0"/>
        <w:overflowPunct/>
        <w:topLinePunct w:val="0"/>
        <w:autoSpaceDE/>
        <w:autoSpaceDN/>
        <w:bidi w:val="0"/>
        <w:adjustRightInd w:val="0"/>
        <w:snapToGrid w:val="0"/>
        <w:spacing w:line="480" w:lineRule="exact"/>
        <w:ind w:firstLine="482" w:firstLineChars="200"/>
        <w:textAlignment w:val="auto"/>
        <w:outlineLvl w:val="9"/>
        <w:rPr>
          <w:rFonts w:ascii="宋体" w:hAnsi="宋体"/>
          <w:b/>
          <w:color w:val="auto"/>
          <w:sz w:val="24"/>
          <w:highlight w:val="none"/>
        </w:rPr>
      </w:pPr>
      <w:r>
        <w:rPr>
          <w:rFonts w:hint="eastAsia" w:ascii="宋体" w:hAnsi="宋体"/>
          <w:b/>
          <w:color w:val="auto"/>
          <w:sz w:val="24"/>
          <w:highlight w:val="none"/>
        </w:rPr>
        <w:t>（五）澄清问题的形式</w:t>
      </w:r>
    </w:p>
    <w:p w14:paraId="6ABC350D">
      <w:pPr>
        <w:keepNext w:val="0"/>
        <w:keepLines w:val="0"/>
        <w:pageBreakBefore w:val="0"/>
        <w:shd w:val="clear"/>
        <w:kinsoku/>
        <w:wordWrap w:val="0"/>
        <w:overflowPunct/>
        <w:topLinePunct w:val="0"/>
        <w:autoSpaceDE/>
        <w:autoSpaceDN/>
        <w:bidi w:val="0"/>
        <w:adjustRightInd w:val="0"/>
        <w:snapToGrid w:val="0"/>
        <w:spacing w:line="480" w:lineRule="exact"/>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对投标文件中含义不明确、同类问题表述不一致或者有明显文字和计算错误的内容，评标委员会可要求投标人作出必要的澄清、说明或者纠正。投标人的澄清、说明或者补正应当采用书面形式，由其授权代表签字或盖章确认，并不得超出投标文件的范围或者改变投标文件的实质性内容。</w:t>
      </w:r>
    </w:p>
    <w:p w14:paraId="0A491C5E">
      <w:pPr>
        <w:keepNext w:val="0"/>
        <w:keepLines w:val="0"/>
        <w:pageBreakBefore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517" w:name="_Toc369"/>
      <w:bookmarkStart w:id="518" w:name="_Toc529477727"/>
      <w:bookmarkStart w:id="519" w:name="_Toc13541"/>
      <w:bookmarkStart w:id="520" w:name="_Toc832"/>
      <w:bookmarkStart w:id="521" w:name="_Toc10812"/>
      <w:bookmarkStart w:id="522" w:name="_Toc521661608"/>
      <w:bookmarkStart w:id="523" w:name="_Toc16375"/>
      <w:bookmarkStart w:id="524" w:name="_Toc29151"/>
      <w:bookmarkStart w:id="525" w:name="_Toc20087"/>
      <w:bookmarkStart w:id="526" w:name="_Toc2486"/>
      <w:bookmarkStart w:id="527" w:name="_Toc14584"/>
      <w:bookmarkStart w:id="528" w:name="_Toc27421"/>
      <w:bookmarkStart w:id="529" w:name="_Toc23037"/>
      <w:bookmarkStart w:id="530" w:name="_Toc13613"/>
      <w:bookmarkStart w:id="531" w:name="_Toc6801"/>
      <w:r>
        <w:rPr>
          <w:rFonts w:ascii="宋体" w:hAnsi="宋体"/>
          <w:b/>
          <w:color w:val="auto"/>
          <w:sz w:val="24"/>
          <w:highlight w:val="none"/>
        </w:rPr>
        <w:t>（</w:t>
      </w:r>
      <w:r>
        <w:rPr>
          <w:rFonts w:hint="eastAsia" w:ascii="宋体" w:hAnsi="宋体"/>
          <w:b/>
          <w:color w:val="auto"/>
          <w:sz w:val="24"/>
          <w:highlight w:val="none"/>
        </w:rPr>
        <w:t>六</w:t>
      </w:r>
      <w:r>
        <w:rPr>
          <w:rFonts w:ascii="宋体" w:hAnsi="宋体"/>
          <w:b/>
          <w:color w:val="auto"/>
          <w:sz w:val="24"/>
          <w:highlight w:val="none"/>
        </w:rPr>
        <w:t>）错误修正</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5E1F771C">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left="787" w:leftChars="228" w:hanging="240" w:hangingChars="100"/>
        <w:textAlignment w:val="auto"/>
        <w:outlineLvl w:val="9"/>
        <w:rPr>
          <w:rFonts w:hAnsi="宋体"/>
          <w:color w:val="auto"/>
          <w:highlight w:val="none"/>
        </w:rPr>
      </w:pPr>
      <w:r>
        <w:rPr>
          <w:rFonts w:hAnsi="宋体"/>
          <w:color w:val="auto"/>
          <w:highlight w:val="none"/>
        </w:rPr>
        <w:t>投标文件如果出现计算或表达上的错误，修正错误的原则如下：</w:t>
      </w:r>
    </w:p>
    <w:p w14:paraId="15DBD66E">
      <w:pPr>
        <w:keepNext w:val="0"/>
        <w:keepLines w:val="0"/>
        <w:pageBreakBefore w:val="0"/>
        <w:widowControl w:val="0"/>
        <w:numPr>
          <w:ilvl w:val="0"/>
          <w:numId w:val="21"/>
        </w:numPr>
        <w:shd w:val="clear"/>
        <w:kinsoku/>
        <w:wordWrap w:val="0"/>
        <w:overflowPunct/>
        <w:topLinePunct w:val="0"/>
        <w:autoSpaceDE/>
        <w:autoSpaceDN/>
        <w:bidi w:val="0"/>
        <w:adjustRightInd w:val="0"/>
        <w:snapToGrid w:val="0"/>
        <w:spacing w:line="480" w:lineRule="exact"/>
        <w:ind w:left="0" w:leftChars="0" w:firstLine="425" w:firstLineChars="0"/>
        <w:textAlignment w:val="auto"/>
        <w:outlineLvl w:val="9"/>
        <w:rPr>
          <w:rFonts w:hint="default" w:ascii="宋体" w:hAnsi="宋体"/>
          <w:color w:val="auto"/>
          <w:sz w:val="24"/>
          <w:highlight w:val="none"/>
        </w:rPr>
      </w:pPr>
      <w:r>
        <w:rPr>
          <w:rFonts w:hint="eastAsia" w:ascii="宋体" w:hAnsi="宋体"/>
          <w:color w:val="auto"/>
          <w:sz w:val="24"/>
          <w:highlight w:val="none"/>
          <w:lang w:val="en-US" w:eastAsia="zh-CN"/>
        </w:rPr>
        <w:t>投标文件中开标一览表（报价表）内容与投标文件中相应内容不一致的，以开标一览表（报价表）为准；</w:t>
      </w:r>
    </w:p>
    <w:p w14:paraId="264D8012">
      <w:pPr>
        <w:keepNext w:val="0"/>
        <w:keepLines w:val="0"/>
        <w:pageBreakBefore w:val="0"/>
        <w:widowControl w:val="0"/>
        <w:numPr>
          <w:ilvl w:val="0"/>
          <w:numId w:val="21"/>
        </w:numPr>
        <w:shd w:val="clear"/>
        <w:kinsoku/>
        <w:wordWrap w:val="0"/>
        <w:overflowPunct/>
        <w:topLinePunct w:val="0"/>
        <w:autoSpaceDE/>
        <w:autoSpaceDN/>
        <w:bidi w:val="0"/>
        <w:adjustRightInd w:val="0"/>
        <w:snapToGrid w:val="0"/>
        <w:spacing w:line="480" w:lineRule="exact"/>
        <w:ind w:left="0" w:leftChars="0" w:firstLine="425" w:firstLineChars="0"/>
        <w:textAlignment w:val="auto"/>
        <w:outlineLvl w:val="9"/>
        <w:rPr>
          <w:rFonts w:hint="default" w:ascii="宋体" w:hAnsi="宋体"/>
          <w:color w:val="auto"/>
          <w:sz w:val="24"/>
          <w:highlight w:val="none"/>
        </w:rPr>
      </w:pPr>
      <w:r>
        <w:rPr>
          <w:rFonts w:hint="eastAsia" w:ascii="宋体" w:hAnsi="宋体"/>
          <w:color w:val="auto"/>
          <w:sz w:val="24"/>
          <w:highlight w:val="none"/>
          <w:lang w:val="en-US" w:eastAsia="zh-CN"/>
        </w:rPr>
        <w:t>大写金额和小写金额不一致的，以大写金额为准；</w:t>
      </w:r>
    </w:p>
    <w:p w14:paraId="698699B4">
      <w:pPr>
        <w:keepNext w:val="0"/>
        <w:keepLines w:val="0"/>
        <w:pageBreakBefore w:val="0"/>
        <w:widowControl w:val="0"/>
        <w:numPr>
          <w:ilvl w:val="0"/>
          <w:numId w:val="21"/>
        </w:numPr>
        <w:shd w:val="clear"/>
        <w:kinsoku/>
        <w:wordWrap w:val="0"/>
        <w:overflowPunct/>
        <w:topLinePunct w:val="0"/>
        <w:autoSpaceDE/>
        <w:autoSpaceDN/>
        <w:bidi w:val="0"/>
        <w:adjustRightInd w:val="0"/>
        <w:snapToGrid w:val="0"/>
        <w:spacing w:line="480" w:lineRule="exact"/>
        <w:ind w:left="0" w:leftChars="0" w:firstLine="425" w:firstLineChars="0"/>
        <w:textAlignment w:val="auto"/>
        <w:outlineLvl w:val="9"/>
        <w:rPr>
          <w:rFonts w:hint="default" w:ascii="宋体" w:hAnsi="宋体"/>
          <w:color w:val="auto"/>
          <w:sz w:val="24"/>
          <w:highlight w:val="none"/>
        </w:rPr>
      </w:pPr>
      <w:r>
        <w:rPr>
          <w:rFonts w:hint="eastAsia" w:ascii="宋体" w:hAnsi="宋体"/>
          <w:color w:val="auto"/>
          <w:sz w:val="24"/>
          <w:highlight w:val="none"/>
          <w:lang w:val="en-US" w:eastAsia="zh-CN"/>
        </w:rPr>
        <w:t>单价金额小数点或者百分比有明显错位的，以开标一览表的总价为准，并修改单价；</w:t>
      </w:r>
    </w:p>
    <w:p w14:paraId="17CC7A9D">
      <w:pPr>
        <w:keepNext w:val="0"/>
        <w:keepLines w:val="0"/>
        <w:pageBreakBefore w:val="0"/>
        <w:widowControl w:val="0"/>
        <w:numPr>
          <w:ilvl w:val="0"/>
          <w:numId w:val="21"/>
        </w:numPr>
        <w:shd w:val="clear"/>
        <w:kinsoku/>
        <w:wordWrap w:val="0"/>
        <w:overflowPunct/>
        <w:topLinePunct w:val="0"/>
        <w:autoSpaceDE/>
        <w:autoSpaceDN/>
        <w:bidi w:val="0"/>
        <w:adjustRightInd w:val="0"/>
        <w:snapToGrid w:val="0"/>
        <w:spacing w:line="480" w:lineRule="exact"/>
        <w:ind w:left="0" w:leftChars="0" w:firstLine="425" w:firstLineChars="0"/>
        <w:textAlignment w:val="auto"/>
        <w:outlineLvl w:val="9"/>
        <w:rPr>
          <w:rFonts w:hint="default" w:ascii="宋体" w:hAnsi="宋体"/>
          <w:color w:val="auto"/>
          <w:sz w:val="24"/>
          <w:highlight w:val="none"/>
        </w:rPr>
      </w:pPr>
      <w:r>
        <w:rPr>
          <w:rFonts w:hint="eastAsia" w:ascii="宋体" w:hAnsi="宋体"/>
          <w:color w:val="auto"/>
          <w:sz w:val="24"/>
          <w:highlight w:val="none"/>
          <w:lang w:val="en-US" w:eastAsia="zh-CN"/>
        </w:rPr>
        <w:t>总价金额与按单价汇总金额不一致的，</w:t>
      </w:r>
      <w:r>
        <w:rPr>
          <w:rFonts w:hint="eastAsia" w:ascii="宋体" w:hAnsi="宋体"/>
          <w:color w:val="auto"/>
          <w:sz w:val="24"/>
          <w:highlight w:val="none"/>
          <w:lang w:val="en-US" w:eastAsia="zh-CN"/>
        </w:rPr>
        <w:t>以开标一览表的总价为准，并修改单价</w:t>
      </w:r>
      <w:r>
        <w:rPr>
          <w:rFonts w:hint="eastAsia" w:ascii="宋体" w:hAnsi="宋体"/>
          <w:color w:val="auto"/>
          <w:sz w:val="24"/>
          <w:highlight w:val="none"/>
          <w:lang w:val="en-US" w:eastAsia="zh-CN"/>
        </w:rPr>
        <w:t>；</w:t>
      </w:r>
    </w:p>
    <w:p w14:paraId="534884E6">
      <w:pPr>
        <w:keepNext w:val="0"/>
        <w:keepLines w:val="0"/>
        <w:pageBreakBefore w:val="0"/>
        <w:widowControl w:val="0"/>
        <w:numPr>
          <w:ilvl w:val="0"/>
          <w:numId w:val="21"/>
        </w:numPr>
        <w:shd w:val="clear"/>
        <w:kinsoku/>
        <w:wordWrap w:val="0"/>
        <w:overflowPunct/>
        <w:topLinePunct w:val="0"/>
        <w:autoSpaceDE/>
        <w:autoSpaceDN/>
        <w:bidi w:val="0"/>
        <w:adjustRightInd w:val="0"/>
        <w:snapToGrid w:val="0"/>
        <w:spacing w:line="480" w:lineRule="exact"/>
        <w:ind w:left="0" w:leftChars="0" w:firstLine="425" w:firstLineChars="0"/>
        <w:textAlignment w:val="auto"/>
        <w:outlineLvl w:val="9"/>
        <w:rPr>
          <w:rFonts w:hint="default" w:ascii="宋体" w:hAnsi="宋体"/>
          <w:color w:val="auto"/>
          <w:sz w:val="24"/>
          <w:highlight w:val="none"/>
        </w:rPr>
      </w:pPr>
      <w:r>
        <w:rPr>
          <w:rFonts w:hint="eastAsia" w:ascii="宋体" w:hAnsi="宋体"/>
          <w:color w:val="auto"/>
          <w:sz w:val="24"/>
          <w:highlight w:val="none"/>
          <w:lang w:val="en-US" w:eastAsia="zh-CN"/>
        </w:rPr>
        <w:t>对不同文字文本投标文件的解释发生异议的，以中文文本为准。</w:t>
      </w:r>
    </w:p>
    <w:p w14:paraId="34AB58E8">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firstLine="482" w:firstLineChars="200"/>
        <w:textAlignment w:val="auto"/>
        <w:outlineLvl w:val="9"/>
        <w:rPr>
          <w:rFonts w:hAnsi="宋体"/>
          <w:b/>
          <w:bCs/>
          <w:color w:val="auto"/>
          <w:highlight w:val="none"/>
        </w:rPr>
      </w:pPr>
      <w:r>
        <w:rPr>
          <w:rFonts w:hint="eastAsia" w:hAnsi="宋体"/>
          <w:b/>
          <w:bCs/>
          <w:color w:val="auto"/>
          <w:highlight w:val="none"/>
        </w:rPr>
        <w:t>同时出现两种以上不一致的，按照前款规定的顺序修正。</w:t>
      </w:r>
    </w:p>
    <w:p w14:paraId="295C09EC">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480" w:lineRule="exact"/>
        <w:ind w:firstLine="482" w:firstLineChars="200"/>
        <w:textAlignment w:val="auto"/>
        <w:outlineLvl w:val="9"/>
        <w:rPr>
          <w:rFonts w:hAnsi="宋体"/>
          <w:b/>
          <w:bCs/>
          <w:color w:val="auto"/>
          <w:highlight w:val="none"/>
        </w:rPr>
      </w:pPr>
      <w:r>
        <w:rPr>
          <w:rFonts w:hAnsi="宋体"/>
          <w:b/>
          <w:bCs/>
          <w:color w:val="auto"/>
          <w:highlight w:val="none"/>
        </w:rPr>
        <w:t>按上述修正错误的原则及方法调整或修正投标文件的投标报价，投标人同意</w:t>
      </w:r>
      <w:r>
        <w:rPr>
          <w:rFonts w:hint="eastAsia" w:hAnsi="宋体"/>
          <w:b/>
          <w:bCs/>
          <w:color w:val="auto"/>
          <w:highlight w:val="none"/>
        </w:rPr>
        <w:t>并签字确认</w:t>
      </w:r>
      <w:r>
        <w:rPr>
          <w:rFonts w:hAnsi="宋体"/>
          <w:b/>
          <w:bCs/>
          <w:color w:val="auto"/>
          <w:highlight w:val="none"/>
        </w:rPr>
        <w:t>后，调整后的投标报价对投标人具有约束作用。如果投标人不接受修正后的报价，则其投标将</w:t>
      </w:r>
      <w:r>
        <w:rPr>
          <w:rFonts w:hint="eastAsia" w:hAnsi="宋体"/>
          <w:b/>
          <w:bCs/>
          <w:color w:val="auto"/>
          <w:highlight w:val="none"/>
        </w:rPr>
        <w:t>作为无效投标处理</w:t>
      </w:r>
      <w:r>
        <w:rPr>
          <w:rFonts w:hAnsi="宋体"/>
          <w:b/>
          <w:bCs/>
          <w:color w:val="auto"/>
          <w:highlight w:val="none"/>
        </w:rPr>
        <w:t>。</w:t>
      </w:r>
    </w:p>
    <w:p w14:paraId="69EED3E1">
      <w:pPr>
        <w:keepNext w:val="0"/>
        <w:keepLines w:val="0"/>
        <w:pageBreakBefore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532" w:name="_Toc23351"/>
      <w:bookmarkStart w:id="533" w:name="_Toc17671"/>
      <w:bookmarkStart w:id="534" w:name="_Toc30843"/>
      <w:bookmarkStart w:id="535" w:name="_Toc17149"/>
      <w:bookmarkStart w:id="536" w:name="_Toc7167"/>
      <w:bookmarkStart w:id="537" w:name="_Toc529477728"/>
      <w:bookmarkStart w:id="538" w:name="_Toc23216"/>
      <w:bookmarkStart w:id="539" w:name="_Toc21560"/>
      <w:bookmarkStart w:id="540" w:name="_Toc1920"/>
      <w:bookmarkStart w:id="541" w:name="_Toc105"/>
      <w:bookmarkStart w:id="542" w:name="_Toc25165"/>
      <w:bookmarkStart w:id="543" w:name="_Toc521661609"/>
      <w:bookmarkStart w:id="544" w:name="_Toc28614"/>
      <w:bookmarkStart w:id="545" w:name="_Toc18316"/>
      <w:bookmarkStart w:id="546" w:name="_Toc22658"/>
      <w:r>
        <w:rPr>
          <w:rFonts w:ascii="宋体" w:hAnsi="宋体"/>
          <w:b/>
          <w:color w:val="auto"/>
          <w:sz w:val="24"/>
          <w:highlight w:val="none"/>
        </w:rPr>
        <w:t>（</w:t>
      </w:r>
      <w:r>
        <w:rPr>
          <w:rFonts w:hint="eastAsia" w:ascii="宋体" w:hAnsi="宋体"/>
          <w:b/>
          <w:color w:val="auto"/>
          <w:sz w:val="24"/>
          <w:highlight w:val="none"/>
        </w:rPr>
        <w:t>七</w:t>
      </w:r>
      <w:r>
        <w:rPr>
          <w:rFonts w:ascii="宋体" w:hAnsi="宋体"/>
          <w:b/>
          <w:color w:val="auto"/>
          <w:sz w:val="24"/>
          <w:highlight w:val="none"/>
        </w:rPr>
        <w:t>）评标原则和评标办法</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2F34A43B">
      <w:pPr>
        <w:pStyle w:val="25"/>
        <w:keepNext w:val="0"/>
        <w:keepLines w:val="0"/>
        <w:pageBreakBefore w:val="0"/>
        <w:shd w:val="clear"/>
        <w:kinsoku/>
        <w:wordWrap w:val="0"/>
        <w:overflowPunct/>
        <w:topLinePunct w:val="0"/>
        <w:autoSpaceDE/>
        <w:autoSpaceDN/>
        <w:bidi w:val="0"/>
        <w:adjustRightInd w:val="0"/>
        <w:snapToGrid w:val="0"/>
        <w:spacing w:beforeLines="0" w:afterLines="0" w:line="480" w:lineRule="exact"/>
        <w:ind w:firstLine="480" w:firstLineChars="200"/>
        <w:textAlignment w:val="auto"/>
        <w:outlineLvl w:val="9"/>
        <w:rPr>
          <w:rFonts w:hAnsi="宋体"/>
          <w:color w:val="auto"/>
          <w:highlight w:val="none"/>
        </w:rPr>
      </w:pPr>
      <w:r>
        <w:rPr>
          <w:rFonts w:hAnsi="宋体"/>
          <w:color w:val="auto"/>
          <w:highlight w:val="none"/>
        </w:rPr>
        <w:t>1</w:t>
      </w:r>
      <w:r>
        <w:rPr>
          <w:rFonts w:hint="eastAsia" w:hAnsi="宋体"/>
          <w:color w:val="auto"/>
          <w:highlight w:val="none"/>
        </w:rPr>
        <w:t>.</w:t>
      </w:r>
      <w:r>
        <w:rPr>
          <w:rFonts w:hAnsi="宋体"/>
          <w:color w:val="auto"/>
          <w:highlight w:val="none"/>
        </w:rPr>
        <w:t>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4A045A28">
      <w:pPr>
        <w:pStyle w:val="25"/>
        <w:keepNext w:val="0"/>
        <w:keepLines w:val="0"/>
        <w:pageBreakBefore w:val="0"/>
        <w:shd w:val="clear"/>
        <w:kinsoku/>
        <w:wordWrap w:val="0"/>
        <w:overflowPunct/>
        <w:topLinePunct w:val="0"/>
        <w:autoSpaceDE/>
        <w:autoSpaceDN/>
        <w:bidi w:val="0"/>
        <w:adjustRightInd w:val="0"/>
        <w:snapToGrid w:val="0"/>
        <w:spacing w:beforeLines="0" w:afterLines="0" w:line="480" w:lineRule="exact"/>
        <w:ind w:firstLine="480" w:firstLineChars="200"/>
        <w:textAlignment w:val="auto"/>
        <w:outlineLvl w:val="9"/>
        <w:rPr>
          <w:rFonts w:hAnsi="宋体"/>
          <w:color w:val="auto"/>
          <w:highlight w:val="none"/>
        </w:rPr>
      </w:pPr>
      <w:r>
        <w:rPr>
          <w:rFonts w:hAnsi="宋体"/>
          <w:color w:val="auto"/>
          <w:highlight w:val="none"/>
        </w:rPr>
        <w:t>2</w:t>
      </w:r>
      <w:r>
        <w:rPr>
          <w:rFonts w:hint="eastAsia" w:hAnsi="宋体"/>
          <w:color w:val="auto"/>
          <w:highlight w:val="none"/>
        </w:rPr>
        <w:t>.</w:t>
      </w:r>
      <w:r>
        <w:rPr>
          <w:rFonts w:hAnsi="宋体"/>
          <w:color w:val="auto"/>
          <w:highlight w:val="none"/>
        </w:rPr>
        <w:t>评标办法。本项目评标办法是</w:t>
      </w:r>
      <w:r>
        <w:rPr>
          <w:rFonts w:hint="eastAsia" w:hAnsi="宋体"/>
          <w:color w:val="auto"/>
          <w:highlight w:val="none"/>
          <w:u w:val="single"/>
          <w:lang w:val="en-US" w:eastAsia="zh-CN"/>
        </w:rPr>
        <w:t xml:space="preserve"> </w:t>
      </w:r>
      <w:r>
        <w:rPr>
          <w:rFonts w:hint="eastAsia" w:hAnsi="宋体"/>
          <w:color w:val="auto"/>
          <w:highlight w:val="none"/>
          <w:u w:val="single"/>
        </w:rPr>
        <w:t>综合评分法</w:t>
      </w:r>
      <w:r>
        <w:rPr>
          <w:rFonts w:hint="eastAsia" w:hAnsi="宋体"/>
          <w:color w:val="auto"/>
          <w:highlight w:val="none"/>
          <w:u w:val="single"/>
          <w:lang w:val="en-US" w:eastAsia="zh-CN"/>
        </w:rPr>
        <w:t xml:space="preserve"> </w:t>
      </w:r>
      <w:r>
        <w:rPr>
          <w:rFonts w:hAnsi="宋体"/>
          <w:color w:val="auto"/>
          <w:highlight w:val="none"/>
        </w:rPr>
        <w:t>，具体评标内容及评分标准等详见《第四章评标办法及评分标准》。</w:t>
      </w:r>
    </w:p>
    <w:p w14:paraId="60D7D9C4">
      <w:pPr>
        <w:pStyle w:val="25"/>
        <w:keepNext w:val="0"/>
        <w:keepLines w:val="0"/>
        <w:pageBreakBefore w:val="0"/>
        <w:shd w:val="clear"/>
        <w:kinsoku/>
        <w:wordWrap w:val="0"/>
        <w:overflowPunct/>
        <w:topLinePunct w:val="0"/>
        <w:autoSpaceDE/>
        <w:autoSpaceDN/>
        <w:bidi w:val="0"/>
        <w:adjustRightInd w:val="0"/>
        <w:snapToGrid w:val="0"/>
        <w:spacing w:beforeLines="0" w:afterLines="0" w:line="480" w:lineRule="exact"/>
        <w:ind w:firstLine="480" w:firstLineChars="200"/>
        <w:textAlignment w:val="auto"/>
        <w:outlineLvl w:val="9"/>
        <w:rPr>
          <w:rFonts w:hint="default" w:hAnsi="宋体"/>
          <w:color w:val="auto"/>
          <w:highlight w:val="none"/>
          <w:lang w:val="en-US" w:eastAsia="zh-CN"/>
        </w:rPr>
      </w:pPr>
      <w:r>
        <w:rPr>
          <w:rFonts w:hint="eastAsia" w:hAnsi="宋体"/>
          <w:color w:val="auto"/>
          <w:highlight w:val="none"/>
          <w:lang w:val="en-US" w:eastAsia="zh-CN"/>
        </w:rPr>
        <w:t>3.</w:t>
      </w:r>
      <w:r>
        <w:rPr>
          <w:rFonts w:hint="eastAsia" w:hAnsi="宋体"/>
          <w:color w:val="auto"/>
          <w:highlight w:val="none"/>
          <w:lang w:val="en-US" w:eastAsia="zh-CN"/>
        </w:rPr>
        <w:t>中标候选人公示</w:t>
      </w:r>
      <w:r>
        <w:rPr>
          <w:rFonts w:hint="eastAsia" w:hAnsi="宋体"/>
          <w:color w:val="auto"/>
          <w:highlight w:val="none"/>
          <w:lang w:val="en-US" w:eastAsia="zh-CN"/>
        </w:rPr>
        <w:t>。评标结果在嘉兴市公共资源交易网（嘉善）（http://jxszwsjb.jiaxing.gov.cn/col/col1229743605/index.html） 公示不少于3日。中标候选人放弃中标、或因不可抗力不能履行合同、或不按照招标文件要求提交履约保证金，或被查实存在影响中标结果的违法行为等情形不符合中标条件的，招标人应重新组织招标。</w:t>
      </w:r>
    </w:p>
    <w:p w14:paraId="09AFA6EF">
      <w:pPr>
        <w:pStyle w:val="25"/>
        <w:pageBreakBefore w:val="0"/>
        <w:shd w:val="clear"/>
        <w:kinsoku/>
        <w:wordWrap w:val="0"/>
        <w:overflowPunct/>
        <w:topLinePunct w:val="0"/>
        <w:bidi w:val="0"/>
        <w:adjustRightInd w:val="0"/>
        <w:snapToGrid w:val="0"/>
        <w:spacing w:beforeLines="0" w:afterLines="0" w:line="360" w:lineRule="auto"/>
        <w:ind w:firstLine="480" w:firstLineChars="200"/>
        <w:rPr>
          <w:rFonts w:hAnsi="宋体"/>
          <w:color w:val="auto"/>
          <w:highlight w:val="none"/>
        </w:rPr>
      </w:pPr>
    </w:p>
    <w:p w14:paraId="31DE74FD">
      <w:pPr>
        <w:pStyle w:val="25"/>
        <w:pageBreakBefore w:val="0"/>
        <w:shd w:val="clear"/>
        <w:kinsoku/>
        <w:wordWrap w:val="0"/>
        <w:overflowPunct/>
        <w:topLinePunct w:val="0"/>
        <w:bidi w:val="0"/>
        <w:adjustRightInd w:val="0"/>
        <w:snapToGrid w:val="0"/>
        <w:spacing w:beforeLines="0" w:afterLines="0" w:line="360" w:lineRule="auto"/>
        <w:ind w:firstLine="551" w:firstLineChars="196"/>
        <w:jc w:val="center"/>
        <w:outlineLvl w:val="1"/>
        <w:rPr>
          <w:rFonts w:hAnsi="宋体"/>
          <w:b/>
          <w:color w:val="auto"/>
          <w:sz w:val="28"/>
          <w:szCs w:val="28"/>
          <w:highlight w:val="none"/>
        </w:rPr>
      </w:pPr>
      <w:bookmarkStart w:id="547" w:name="_Toc12008"/>
      <w:bookmarkStart w:id="548" w:name="_Toc26729"/>
      <w:bookmarkStart w:id="549" w:name="_Toc23894"/>
      <w:bookmarkStart w:id="550" w:name="_Toc3210"/>
      <w:bookmarkStart w:id="551" w:name="_Toc21030"/>
      <w:bookmarkStart w:id="552" w:name="_Toc25760"/>
      <w:bookmarkStart w:id="553" w:name="_Toc19762"/>
      <w:bookmarkStart w:id="554" w:name="_Toc13606"/>
      <w:bookmarkStart w:id="555" w:name="_Toc32761"/>
      <w:bookmarkStart w:id="556" w:name="_Toc3487"/>
      <w:bookmarkStart w:id="557" w:name="_Toc25490"/>
      <w:bookmarkStart w:id="558" w:name="_Toc20181"/>
      <w:bookmarkStart w:id="559" w:name="_Toc13300"/>
      <w:bookmarkStart w:id="560" w:name="_Toc521661610"/>
      <w:bookmarkStart w:id="561" w:name="_Toc1750"/>
      <w:bookmarkStart w:id="562" w:name="_Toc10651"/>
      <w:bookmarkStart w:id="563" w:name="_Toc7754"/>
      <w:r>
        <w:rPr>
          <w:rFonts w:hint="eastAsia" w:hAnsi="宋体"/>
          <w:b/>
          <w:color w:val="auto"/>
          <w:sz w:val="28"/>
          <w:szCs w:val="28"/>
          <w:highlight w:val="none"/>
        </w:rPr>
        <w:t>六、定标</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3B3D662B">
      <w:pPr>
        <w:keepNext w:val="0"/>
        <w:keepLines w:val="0"/>
        <w:pageBreakBefore w:val="0"/>
        <w:widowControl w:val="0"/>
        <w:shd w:val="clear"/>
        <w:kinsoku/>
        <w:wordWrap w:val="0"/>
        <w:overflowPunct/>
        <w:topLinePunct w:val="0"/>
        <w:autoSpaceDE/>
        <w:autoSpaceDN/>
        <w:bidi w:val="0"/>
        <w:adjustRightInd w:val="0"/>
        <w:snapToGrid w:val="0"/>
        <w:spacing w:line="480" w:lineRule="exact"/>
        <w:ind w:firstLine="472" w:firstLineChars="196"/>
        <w:jc w:val="left"/>
        <w:textAlignment w:val="auto"/>
        <w:outlineLvl w:val="9"/>
        <w:rPr>
          <w:rFonts w:ascii="宋体" w:hAnsi="宋体"/>
          <w:b/>
          <w:color w:val="auto"/>
          <w:sz w:val="24"/>
          <w:highlight w:val="none"/>
        </w:rPr>
      </w:pPr>
      <w:bookmarkStart w:id="564" w:name="_Toc529477730"/>
      <w:bookmarkStart w:id="565" w:name="_Toc521661611"/>
      <w:bookmarkStart w:id="566" w:name="_Toc22"/>
      <w:bookmarkStart w:id="567" w:name="_Toc10754"/>
      <w:bookmarkStart w:id="568" w:name="_Toc25443"/>
      <w:r>
        <w:rPr>
          <w:rFonts w:hint="eastAsia" w:ascii="宋体" w:hAnsi="宋体"/>
          <w:b/>
          <w:color w:val="auto"/>
          <w:sz w:val="24"/>
          <w:highlight w:val="none"/>
        </w:rPr>
        <w:t>（一）确定中标人</w:t>
      </w:r>
      <w:bookmarkEnd w:id="564"/>
      <w:bookmarkEnd w:id="565"/>
      <w:r>
        <w:rPr>
          <w:rFonts w:hint="eastAsia" w:ascii="宋体" w:hAnsi="宋体"/>
          <w:b/>
          <w:color w:val="auto"/>
          <w:sz w:val="24"/>
          <w:highlight w:val="none"/>
        </w:rPr>
        <w:t>。本项目由</w:t>
      </w:r>
      <w:r>
        <w:rPr>
          <w:rFonts w:hint="eastAsia" w:ascii="宋体" w:hAnsi="宋体"/>
          <w:b/>
          <w:color w:val="auto"/>
          <w:sz w:val="24"/>
          <w:highlight w:val="none"/>
          <w:lang w:eastAsia="zh-CN"/>
        </w:rPr>
        <w:t>招标人</w:t>
      </w:r>
      <w:r>
        <w:rPr>
          <w:rFonts w:hint="eastAsia" w:ascii="宋体" w:hAnsi="宋体"/>
          <w:b/>
          <w:color w:val="auto"/>
          <w:sz w:val="24"/>
          <w:highlight w:val="none"/>
        </w:rPr>
        <w:t>确定中标人。</w:t>
      </w:r>
      <w:bookmarkEnd w:id="566"/>
      <w:bookmarkEnd w:id="567"/>
      <w:bookmarkEnd w:id="568"/>
    </w:p>
    <w:p w14:paraId="085FD091">
      <w:pPr>
        <w:keepNext w:val="0"/>
        <w:keepLines w:val="0"/>
        <w:pageBreakBefore w:val="0"/>
        <w:widowControl w:val="0"/>
        <w:numPr>
          <w:ilvl w:val="0"/>
          <w:numId w:val="22"/>
        </w:numPr>
        <w:shd w:val="clear"/>
        <w:kinsoku/>
        <w:wordWrap w:val="0"/>
        <w:overflowPunct/>
        <w:topLinePunct w:val="0"/>
        <w:autoSpaceDE/>
        <w:autoSpaceDN/>
        <w:bidi w:val="0"/>
        <w:adjustRightInd w:val="0"/>
        <w:snapToGrid w:val="0"/>
        <w:spacing w:line="480" w:lineRule="exact"/>
        <w:ind w:left="0" w:firstLine="420"/>
        <w:textAlignment w:val="auto"/>
        <w:outlineLvl w:val="9"/>
        <w:rPr>
          <w:rFonts w:ascii="宋体" w:hAnsi="宋体"/>
          <w:color w:val="auto"/>
          <w:sz w:val="24"/>
          <w:highlight w:val="none"/>
        </w:rPr>
      </w:pPr>
      <w:r>
        <w:rPr>
          <w:rFonts w:hint="eastAsia" w:ascii="宋体" w:hAnsi="宋体"/>
          <w:color w:val="auto"/>
          <w:sz w:val="24"/>
          <w:highlight w:val="none"/>
          <w:lang w:eastAsia="zh-CN"/>
        </w:rPr>
        <w:t>中标候选人公示</w:t>
      </w:r>
      <w:r>
        <w:rPr>
          <w:rFonts w:hint="eastAsia" w:ascii="宋体" w:hAnsi="宋体"/>
          <w:color w:val="auto"/>
          <w:sz w:val="24"/>
          <w:highlight w:val="none"/>
        </w:rPr>
        <w:t>结束后，招标人应确定排名第一的中标候选人为中标人</w:t>
      </w:r>
      <w:r>
        <w:rPr>
          <w:rFonts w:hint="eastAsia" w:ascii="宋体" w:hAnsi="宋体"/>
          <w:color w:val="auto"/>
          <w:sz w:val="24"/>
          <w:highlight w:val="none"/>
          <w:lang w:eastAsia="zh-CN"/>
        </w:rPr>
        <w:t>。</w:t>
      </w:r>
    </w:p>
    <w:p w14:paraId="213DD959">
      <w:pPr>
        <w:keepNext w:val="0"/>
        <w:keepLines w:val="0"/>
        <w:pageBreakBefore w:val="0"/>
        <w:widowControl w:val="0"/>
        <w:numPr>
          <w:ilvl w:val="0"/>
          <w:numId w:val="22"/>
        </w:numPr>
        <w:shd w:val="clear"/>
        <w:kinsoku/>
        <w:wordWrap w:val="0"/>
        <w:overflowPunct/>
        <w:topLinePunct w:val="0"/>
        <w:autoSpaceDE/>
        <w:autoSpaceDN/>
        <w:bidi w:val="0"/>
        <w:adjustRightInd w:val="0"/>
        <w:snapToGrid w:val="0"/>
        <w:spacing w:line="480" w:lineRule="exact"/>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公示结束且</w:t>
      </w:r>
      <w:r>
        <w:rPr>
          <w:rFonts w:hint="eastAsia" w:ascii="宋体" w:hAnsi="宋体"/>
          <w:color w:val="auto"/>
          <w:sz w:val="24"/>
          <w:highlight w:val="none"/>
          <w:lang w:eastAsia="zh-CN"/>
        </w:rPr>
        <w:t>招标人</w:t>
      </w:r>
      <w:r>
        <w:rPr>
          <w:rFonts w:hint="eastAsia" w:ascii="宋体" w:hAnsi="宋体"/>
          <w:color w:val="auto"/>
          <w:sz w:val="24"/>
          <w:highlight w:val="none"/>
        </w:rPr>
        <w:t>依法确定中标人后</w:t>
      </w:r>
      <w:r>
        <w:rPr>
          <w:rFonts w:ascii="宋体" w:hAnsi="宋体"/>
          <w:color w:val="auto"/>
          <w:sz w:val="24"/>
          <w:highlight w:val="none"/>
        </w:rPr>
        <w:t>，采购代理机构以书面形式发出《中标通知书》</w:t>
      </w:r>
      <w:r>
        <w:rPr>
          <w:rFonts w:hint="eastAsia" w:ascii="宋体" w:hAnsi="宋体"/>
          <w:color w:val="auto"/>
          <w:sz w:val="24"/>
          <w:highlight w:val="none"/>
          <w:lang w:eastAsia="zh-CN"/>
        </w:rPr>
        <w:t>，</w:t>
      </w:r>
      <w:r>
        <w:rPr>
          <w:rFonts w:ascii="宋体" w:hAnsi="宋体"/>
          <w:color w:val="auto"/>
          <w:sz w:val="24"/>
          <w:highlight w:val="none"/>
        </w:rPr>
        <w:t>并同时在</w:t>
      </w:r>
      <w:r>
        <w:rPr>
          <w:rFonts w:hint="eastAsia" w:ascii="宋体" w:hAnsi="宋体"/>
          <w:color w:val="auto"/>
          <w:sz w:val="24"/>
          <w:highlight w:val="none"/>
        </w:rPr>
        <w:t>嘉兴市公共资源交易网（嘉善）（</w:t>
      </w:r>
      <w:r>
        <w:rPr>
          <w:rFonts w:hint="eastAsia" w:ascii="宋体" w:hAnsi="宋体"/>
          <w:color w:val="auto"/>
          <w:sz w:val="24"/>
          <w:highlight w:val="none"/>
          <w:lang w:eastAsia="zh-CN"/>
        </w:rPr>
        <w:t>http://jxszwsjb.jiaxing.gov.cn/col/col1229743605/index.html）</w:t>
      </w:r>
      <w:r>
        <w:rPr>
          <w:rFonts w:ascii="宋体" w:hAnsi="宋体"/>
          <w:color w:val="auto"/>
          <w:sz w:val="24"/>
          <w:highlight w:val="none"/>
        </w:rPr>
        <w:t>上发布中标公告</w:t>
      </w:r>
      <w:r>
        <w:rPr>
          <w:rFonts w:hint="eastAsia" w:ascii="宋体" w:hAnsi="宋体"/>
          <w:color w:val="auto"/>
          <w:sz w:val="24"/>
          <w:highlight w:val="none"/>
        </w:rPr>
        <w:t>。</w:t>
      </w:r>
    </w:p>
    <w:p w14:paraId="5647FDB6">
      <w:pPr>
        <w:pageBreakBefore w:val="0"/>
        <w:shd w:val="clear"/>
        <w:kinsoku/>
        <w:wordWrap w:val="0"/>
        <w:overflowPunct/>
        <w:topLinePunct w:val="0"/>
        <w:bidi w:val="0"/>
        <w:adjustRightInd w:val="0"/>
        <w:snapToGrid w:val="0"/>
        <w:spacing w:line="360" w:lineRule="auto"/>
        <w:ind w:left="480"/>
        <w:rPr>
          <w:rFonts w:ascii="宋体" w:hAnsi="宋体"/>
          <w:color w:val="auto"/>
          <w:sz w:val="24"/>
          <w:highlight w:val="none"/>
        </w:rPr>
      </w:pPr>
    </w:p>
    <w:p w14:paraId="44F2ED78">
      <w:pPr>
        <w:pStyle w:val="25"/>
        <w:pageBreakBefore w:val="0"/>
        <w:shd w:val="clear"/>
        <w:kinsoku/>
        <w:wordWrap w:val="0"/>
        <w:overflowPunct/>
        <w:topLinePunct w:val="0"/>
        <w:bidi w:val="0"/>
        <w:adjustRightInd w:val="0"/>
        <w:snapToGrid w:val="0"/>
        <w:spacing w:beforeLines="0" w:afterLines="0" w:line="360" w:lineRule="auto"/>
        <w:ind w:firstLine="551" w:firstLineChars="196"/>
        <w:jc w:val="center"/>
        <w:outlineLvl w:val="1"/>
        <w:rPr>
          <w:rFonts w:hAnsi="宋体"/>
          <w:b/>
          <w:color w:val="auto"/>
          <w:sz w:val="28"/>
          <w:szCs w:val="28"/>
          <w:highlight w:val="none"/>
        </w:rPr>
      </w:pPr>
      <w:bookmarkStart w:id="569" w:name="_Toc6767"/>
      <w:bookmarkStart w:id="570" w:name="_Toc25797"/>
      <w:bookmarkStart w:id="571" w:name="_Toc20489"/>
      <w:bookmarkStart w:id="572" w:name="_Toc28146"/>
      <w:bookmarkStart w:id="573" w:name="_Toc1433"/>
      <w:bookmarkStart w:id="574" w:name="_Toc11388"/>
      <w:bookmarkStart w:id="575" w:name="_Toc521661612"/>
      <w:bookmarkStart w:id="576" w:name="_Toc6902"/>
      <w:bookmarkStart w:id="577" w:name="_Toc19023"/>
      <w:bookmarkStart w:id="578" w:name="_Toc23136"/>
      <w:bookmarkStart w:id="579" w:name="_Toc27718"/>
      <w:bookmarkStart w:id="580" w:name="_Toc4472"/>
      <w:bookmarkStart w:id="581" w:name="_Toc6107"/>
      <w:bookmarkStart w:id="582" w:name="_Toc5075"/>
      <w:bookmarkStart w:id="583" w:name="_Toc24066"/>
      <w:bookmarkStart w:id="584" w:name="_Toc6738"/>
      <w:bookmarkStart w:id="585" w:name="_Toc10504"/>
      <w:r>
        <w:rPr>
          <w:rFonts w:hint="eastAsia" w:hAnsi="宋体"/>
          <w:b/>
          <w:color w:val="auto"/>
          <w:sz w:val="28"/>
          <w:szCs w:val="28"/>
          <w:highlight w:val="none"/>
        </w:rPr>
        <w:t>七、合同授予</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5BFA2975">
      <w:pPr>
        <w:keepNext w:val="0"/>
        <w:keepLines w:val="0"/>
        <w:pageBreakBefore w:val="0"/>
        <w:widowControl w:val="0"/>
        <w:shd w:val="clear"/>
        <w:kinsoku/>
        <w:wordWrap w:val="0"/>
        <w:overflowPunct/>
        <w:topLinePunct w:val="0"/>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586" w:name="_Toc29889"/>
      <w:bookmarkStart w:id="587" w:name="_Toc25260"/>
      <w:bookmarkStart w:id="588" w:name="_Toc6308"/>
      <w:bookmarkStart w:id="589" w:name="_Toc529477732"/>
      <w:bookmarkStart w:id="590" w:name="_Toc32702"/>
      <w:bookmarkStart w:id="591" w:name="_Toc521661613"/>
      <w:bookmarkStart w:id="592" w:name="_Toc31845"/>
      <w:bookmarkStart w:id="593" w:name="_Toc13247"/>
      <w:bookmarkStart w:id="594" w:name="_Toc11754"/>
      <w:bookmarkStart w:id="595" w:name="_Toc27501"/>
      <w:bookmarkStart w:id="596" w:name="_Toc1959"/>
      <w:bookmarkStart w:id="597" w:name="_Toc11942"/>
      <w:bookmarkStart w:id="598" w:name="_Toc25299"/>
      <w:bookmarkStart w:id="599" w:name="_Toc22276"/>
      <w:bookmarkStart w:id="600" w:name="_Toc25179"/>
      <w:r>
        <w:rPr>
          <w:rFonts w:hint="eastAsia" w:ascii="宋体" w:hAnsi="宋体"/>
          <w:b/>
          <w:color w:val="auto"/>
          <w:sz w:val="24"/>
          <w:highlight w:val="none"/>
        </w:rPr>
        <w:t>（一）签订合同</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4D8DC0A1">
      <w:pPr>
        <w:keepNext w:val="0"/>
        <w:keepLines w:val="0"/>
        <w:pageBreakBefore w:val="0"/>
        <w:widowControl w:val="0"/>
        <w:shd w:val="clear"/>
        <w:kinsoku/>
        <w:wordWrap w:val="0"/>
        <w:overflowPunct/>
        <w:topLinePunct w:val="0"/>
        <w:autoSpaceDN/>
        <w:bidi w:val="0"/>
        <w:adjustRightInd w:val="0"/>
        <w:snapToGrid w:val="0"/>
        <w:spacing w:line="500" w:lineRule="exact"/>
        <w:ind w:firstLine="480" w:firstLineChars="200"/>
        <w:textAlignment w:val="auto"/>
        <w:outlineLvl w:val="9"/>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hint="eastAsia" w:ascii="宋体" w:hAnsi="宋体"/>
          <w:color w:val="auto"/>
          <w:sz w:val="24"/>
          <w:highlight w:val="none"/>
          <w:lang w:eastAsia="zh-CN"/>
        </w:rPr>
        <w:t>招标人</w:t>
      </w:r>
      <w:r>
        <w:rPr>
          <w:rFonts w:hint="eastAsia" w:ascii="宋体" w:hAnsi="宋体"/>
          <w:color w:val="auto"/>
          <w:sz w:val="24"/>
          <w:highlight w:val="none"/>
        </w:rPr>
        <w:t>与</w:t>
      </w:r>
      <w:r>
        <w:rPr>
          <w:rFonts w:ascii="宋体" w:hAnsi="宋体"/>
          <w:color w:val="auto"/>
          <w:sz w:val="24"/>
          <w:highlight w:val="none"/>
        </w:rPr>
        <w:t>中标人应</w:t>
      </w:r>
      <w:r>
        <w:rPr>
          <w:rFonts w:hint="eastAsia" w:ascii="宋体" w:hAnsi="宋体"/>
          <w:color w:val="auto"/>
          <w:sz w:val="24"/>
          <w:highlight w:val="none"/>
        </w:rPr>
        <w:t>当在《</w:t>
      </w:r>
      <w:r>
        <w:rPr>
          <w:rFonts w:ascii="宋体" w:hAnsi="宋体"/>
          <w:color w:val="auto"/>
          <w:sz w:val="24"/>
          <w:highlight w:val="none"/>
        </w:rPr>
        <w:t>中标通知书</w:t>
      </w:r>
      <w:r>
        <w:rPr>
          <w:rFonts w:hint="eastAsia" w:ascii="宋体" w:hAnsi="宋体"/>
          <w:color w:val="auto"/>
          <w:sz w:val="24"/>
          <w:highlight w:val="none"/>
        </w:rPr>
        <w:t>》发出之日起</w:t>
      </w:r>
      <w:r>
        <w:rPr>
          <w:rFonts w:hint="eastAsia" w:ascii="宋体" w:hAnsi="宋体"/>
          <w:color w:val="auto"/>
          <w:sz w:val="24"/>
          <w:highlight w:val="none"/>
        </w:rPr>
        <w:t>30日</w:t>
      </w:r>
      <w:r>
        <w:rPr>
          <w:rFonts w:hint="eastAsia" w:ascii="宋体" w:hAnsi="宋体"/>
          <w:color w:val="auto"/>
          <w:sz w:val="24"/>
          <w:highlight w:val="none"/>
        </w:rPr>
        <w:t>内签订采购合同。同时，招标代理机构对合同内容进行审查，如发现与采购结果和投标承诺内容不一致的，将予以纠正。</w:t>
      </w:r>
    </w:p>
    <w:p w14:paraId="0F3407BC">
      <w:pPr>
        <w:keepNext w:val="0"/>
        <w:keepLines w:val="0"/>
        <w:pageBreakBefore w:val="0"/>
        <w:widowControl w:val="0"/>
        <w:shd w:val="clear"/>
        <w:kinsoku/>
        <w:wordWrap w:val="0"/>
        <w:overflowPunct/>
        <w:topLinePunct w:val="0"/>
        <w:autoSpaceDN/>
        <w:bidi w:val="0"/>
        <w:adjustRightInd w:val="0"/>
        <w:snapToGrid w:val="0"/>
        <w:spacing w:line="500" w:lineRule="exact"/>
        <w:ind w:firstLine="480" w:firstLineChars="200"/>
        <w:textAlignment w:val="auto"/>
        <w:outlineLvl w:val="9"/>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highlight w:val="none"/>
        </w:rPr>
        <w:t>中标人拖延、拒签合同的</w:t>
      </w:r>
      <w:r>
        <w:rPr>
          <w:rFonts w:hint="eastAsia" w:ascii="宋体" w:hAnsi="宋体"/>
          <w:color w:val="auto"/>
          <w:sz w:val="24"/>
          <w:highlight w:val="none"/>
          <w:lang w:eastAsia="zh-CN"/>
        </w:rPr>
        <w:t>，</w:t>
      </w:r>
      <w:r>
        <w:rPr>
          <w:rFonts w:ascii="宋体" w:hAnsi="宋体"/>
          <w:color w:val="auto"/>
          <w:sz w:val="24"/>
          <w:highlight w:val="none"/>
        </w:rPr>
        <w:t>将被取消中标资格。</w:t>
      </w:r>
    </w:p>
    <w:p w14:paraId="55F811F4">
      <w:pPr>
        <w:keepNext w:val="0"/>
        <w:keepLines w:val="0"/>
        <w:pageBreakBefore w:val="0"/>
        <w:widowControl w:val="0"/>
        <w:shd w:val="clear"/>
        <w:kinsoku/>
        <w:wordWrap w:val="0"/>
        <w:overflowPunct/>
        <w:topLinePunct w:val="0"/>
        <w:autoSpaceDN/>
        <w:bidi w:val="0"/>
        <w:adjustRightInd w:val="0"/>
        <w:snapToGrid w:val="0"/>
        <w:spacing w:line="500" w:lineRule="exact"/>
        <w:ind w:firstLine="472" w:firstLineChars="196"/>
        <w:jc w:val="left"/>
        <w:textAlignment w:val="auto"/>
        <w:outlineLvl w:val="9"/>
        <w:rPr>
          <w:rFonts w:ascii="宋体" w:hAnsi="宋体"/>
          <w:b/>
          <w:color w:val="auto"/>
          <w:sz w:val="24"/>
          <w:highlight w:val="none"/>
        </w:rPr>
      </w:pPr>
      <w:bookmarkStart w:id="601" w:name="_Toc4815"/>
      <w:bookmarkStart w:id="602" w:name="_Toc32203"/>
      <w:bookmarkStart w:id="603" w:name="_Toc31898"/>
      <w:bookmarkStart w:id="604" w:name="_Toc6237"/>
      <w:bookmarkStart w:id="605" w:name="_Toc31922"/>
      <w:bookmarkStart w:id="606" w:name="_Toc521661614"/>
      <w:bookmarkStart w:id="607" w:name="_Toc12695"/>
      <w:bookmarkStart w:id="608" w:name="_Toc23489"/>
      <w:bookmarkStart w:id="609" w:name="_Toc2078"/>
      <w:bookmarkStart w:id="610" w:name="_Toc5278"/>
      <w:bookmarkStart w:id="611" w:name="_Toc25149"/>
      <w:bookmarkStart w:id="612" w:name="_Toc25772"/>
      <w:bookmarkStart w:id="613" w:name="_Toc529477733"/>
      <w:bookmarkStart w:id="614" w:name="_Toc25401"/>
      <w:bookmarkStart w:id="615" w:name="_Toc23169"/>
      <w:r>
        <w:rPr>
          <w:rFonts w:ascii="宋体" w:hAnsi="宋体"/>
          <w:b/>
          <w:color w:val="auto"/>
          <w:sz w:val="24"/>
          <w:highlight w:val="none"/>
        </w:rPr>
        <w:t>（二）履约保证金</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14:paraId="2A396727">
      <w:pPr>
        <w:keepNext w:val="0"/>
        <w:keepLines w:val="0"/>
        <w:pageBreakBefore w:val="0"/>
        <w:widowControl w:val="0"/>
        <w:numPr>
          <w:ilvl w:val="0"/>
          <w:numId w:val="23"/>
        </w:numPr>
        <w:suppressLineNumbers w:val="0"/>
        <w:shd w:val="clear"/>
        <w:kinsoku/>
        <w:wordWrap w:val="0"/>
        <w:overflowPunct/>
        <w:topLinePunct w:val="0"/>
        <w:autoSpaceDE w:val="0"/>
        <w:autoSpaceDN/>
        <w:bidi w:val="0"/>
        <w:adjustRightInd w:val="0"/>
        <w:snapToGrid w:val="0"/>
        <w:spacing w:beforeAutospacing="0" w:afterAutospacing="0" w:line="500" w:lineRule="exact"/>
        <w:ind w:left="0" w:leftChars="0" w:right="0" w:firstLine="425" w:firstLineChars="0"/>
        <w:jc w:val="left"/>
        <w:textAlignment w:val="auto"/>
        <w:outlineLvl w:val="9"/>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中标人须在</w:t>
      </w:r>
      <w:r>
        <w:rPr>
          <w:rFonts w:hint="eastAsia" w:ascii="宋体" w:hAnsi="宋体" w:cs="宋体"/>
          <w:color w:val="auto"/>
          <w:kern w:val="2"/>
          <w:sz w:val="24"/>
          <w:szCs w:val="24"/>
          <w:highlight w:val="none"/>
          <w:lang w:val="en-US" w:eastAsia="zh-CN" w:bidi="ar"/>
        </w:rPr>
        <w:t>合同签订前</w:t>
      </w:r>
      <w:r>
        <w:rPr>
          <w:rFonts w:hint="eastAsia" w:ascii="宋体" w:hAnsi="宋体" w:eastAsia="宋体" w:cs="宋体"/>
          <w:color w:val="auto"/>
          <w:kern w:val="2"/>
          <w:sz w:val="24"/>
          <w:szCs w:val="24"/>
          <w:highlight w:val="none"/>
          <w:lang w:val="en-US" w:eastAsia="zh-CN" w:bidi="ar"/>
        </w:rPr>
        <w:t>向</w:t>
      </w:r>
      <w:r>
        <w:rPr>
          <w:rFonts w:hint="eastAsia" w:ascii="宋体" w:hAnsi="宋体" w:cs="宋体"/>
          <w:color w:val="auto"/>
          <w:kern w:val="2"/>
          <w:sz w:val="24"/>
          <w:szCs w:val="24"/>
          <w:highlight w:val="none"/>
          <w:lang w:val="en-US" w:eastAsia="zh-CN" w:bidi="ar"/>
        </w:rPr>
        <w:t>招标人</w:t>
      </w:r>
      <w:r>
        <w:rPr>
          <w:rFonts w:hint="eastAsia" w:ascii="宋体" w:hAnsi="宋体" w:eastAsia="宋体" w:cs="宋体"/>
          <w:color w:val="auto"/>
          <w:kern w:val="2"/>
          <w:sz w:val="24"/>
          <w:szCs w:val="24"/>
          <w:highlight w:val="none"/>
          <w:lang w:val="en-US" w:eastAsia="zh-CN" w:bidi="ar"/>
        </w:rPr>
        <w:t>缴纳合同金额的1%作为履约保证金，待</w:t>
      </w:r>
      <w:r>
        <w:rPr>
          <w:rFonts w:hint="eastAsia" w:ascii="宋体" w:hAnsi="宋体" w:cs="宋体"/>
          <w:color w:val="auto"/>
          <w:kern w:val="2"/>
          <w:sz w:val="24"/>
          <w:szCs w:val="24"/>
          <w:highlight w:val="none"/>
          <w:lang w:val="en-US" w:eastAsia="zh-CN" w:bidi="ar"/>
        </w:rPr>
        <w:t>合同履行完毕且验收合格后一个月内无息退还</w:t>
      </w: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履约保证金的形式按国家相关规定执行</w:t>
      </w:r>
      <w:r>
        <w:rPr>
          <w:rFonts w:hint="eastAsia" w:ascii="宋体" w:hAnsi="宋体" w:eastAsia="宋体" w:cs="宋体"/>
          <w:color w:val="auto"/>
          <w:kern w:val="2"/>
          <w:sz w:val="24"/>
          <w:szCs w:val="24"/>
          <w:highlight w:val="none"/>
          <w:lang w:val="en-US" w:eastAsia="zh-CN" w:bidi="ar"/>
        </w:rPr>
        <w:t>。</w:t>
      </w:r>
    </w:p>
    <w:p w14:paraId="07B9E9A8">
      <w:pPr>
        <w:keepNext w:val="0"/>
        <w:keepLines w:val="0"/>
        <w:pageBreakBefore w:val="0"/>
        <w:widowControl w:val="0"/>
        <w:numPr>
          <w:ilvl w:val="0"/>
          <w:numId w:val="23"/>
        </w:numPr>
        <w:suppressLineNumbers w:val="0"/>
        <w:shd w:val="clear"/>
        <w:kinsoku/>
        <w:wordWrap w:val="0"/>
        <w:overflowPunct/>
        <w:topLinePunct w:val="0"/>
        <w:autoSpaceDE w:val="0"/>
        <w:autoSpaceDN/>
        <w:bidi w:val="0"/>
        <w:adjustRightInd w:val="0"/>
        <w:snapToGrid w:val="0"/>
        <w:spacing w:beforeAutospacing="0" w:afterAutospacing="0" w:line="500" w:lineRule="exact"/>
        <w:ind w:left="0" w:leftChars="0" w:right="0" w:firstLine="425" w:firstLineChars="0"/>
        <w:jc w:val="left"/>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签订合同后，如中标人不按双方合同约定履约，则没收其全部履约保证金，履约保证金不足以赔偿损失的，按实际损失赔偿。</w:t>
      </w:r>
    </w:p>
    <w:p w14:paraId="0072ACB2">
      <w:pPr>
        <w:pageBreakBefore w:val="0"/>
        <w:shd w:val="clear"/>
        <w:kinsoku/>
        <w:wordWrap w:val="0"/>
        <w:overflowPunct/>
        <w:topLinePunct w:val="0"/>
        <w:bidi w:val="0"/>
        <w:rPr>
          <w:rFonts w:hAnsi="宋体"/>
          <w:color w:val="auto"/>
          <w:highlight w:val="none"/>
        </w:rPr>
      </w:pPr>
    </w:p>
    <w:p w14:paraId="01848E19">
      <w:pPr>
        <w:pStyle w:val="25"/>
        <w:pageBreakBefore w:val="0"/>
        <w:shd w:val="clear"/>
        <w:kinsoku/>
        <w:wordWrap w:val="0"/>
        <w:overflowPunct/>
        <w:topLinePunct w:val="0"/>
        <w:bidi w:val="0"/>
        <w:adjustRightInd w:val="0"/>
        <w:snapToGrid w:val="0"/>
        <w:spacing w:beforeLines="0" w:afterLines="0" w:line="360" w:lineRule="auto"/>
        <w:ind w:firstLine="1200" w:firstLineChars="500"/>
        <w:rPr>
          <w:rFonts w:hAnsi="宋体"/>
          <w:color w:val="auto"/>
          <w:highlight w:val="none"/>
        </w:rPr>
      </w:pPr>
    </w:p>
    <w:bookmarkEnd w:id="8"/>
    <w:p w14:paraId="5469D885">
      <w:pPr>
        <w:pStyle w:val="2"/>
        <w:pageBreakBefore w:val="0"/>
        <w:shd w:val="clear"/>
        <w:kinsoku/>
        <w:wordWrap w:val="0"/>
        <w:overflowPunct/>
        <w:topLinePunct w:val="0"/>
        <w:bidi w:val="0"/>
        <w:spacing w:before="0" w:after="0" w:line="360" w:lineRule="auto"/>
        <w:rPr>
          <w:rFonts w:hint="eastAsia"/>
          <w:color w:val="auto"/>
          <w:highlight w:val="none"/>
        </w:rPr>
        <w:sectPr>
          <w:headerReference r:id="rId7" w:type="default"/>
          <w:footerReference r:id="rId8" w:type="default"/>
          <w:pgSz w:w="11905" w:h="16838"/>
          <w:pgMar w:top="1304" w:right="1474" w:bottom="1304" w:left="1474" w:header="964" w:footer="964" w:gutter="0"/>
          <w:pgBorders>
            <w:top w:val="none" w:sz="0" w:space="0"/>
            <w:left w:val="none" w:sz="0" w:space="0"/>
            <w:bottom w:val="none" w:sz="0" w:space="0"/>
            <w:right w:val="none" w:sz="0" w:space="0"/>
          </w:pgBorders>
          <w:pgNumType w:fmt="decimal" w:start="1"/>
          <w:cols w:space="0" w:num="1"/>
          <w:rtlGutter w:val="0"/>
          <w:docGrid w:linePitch="312" w:charSpace="0"/>
        </w:sectPr>
      </w:pPr>
      <w:bookmarkStart w:id="616" w:name="_Toc42803629"/>
      <w:bookmarkStart w:id="617" w:name="_Toc5699371"/>
      <w:bookmarkStart w:id="618" w:name="_Toc447019921"/>
      <w:bookmarkStart w:id="619" w:name="_Toc28266"/>
      <w:bookmarkStart w:id="620" w:name="_Toc72588055"/>
      <w:bookmarkStart w:id="621" w:name="_Toc513370305"/>
      <w:bookmarkStart w:id="622" w:name="_Toc509603412"/>
    </w:p>
    <w:p w14:paraId="25033E78">
      <w:pPr>
        <w:pStyle w:val="2"/>
        <w:keepNext/>
        <w:keepLines/>
        <w:pageBreakBefore w:val="0"/>
        <w:widowControl w:val="0"/>
        <w:shd w:val="clear"/>
        <w:kinsoku/>
        <w:wordWrap w:val="0"/>
        <w:overflowPunct/>
        <w:topLinePunct w:val="0"/>
        <w:autoSpaceDE/>
        <w:autoSpaceDN/>
        <w:bidi w:val="0"/>
        <w:adjustRightInd/>
        <w:snapToGrid/>
        <w:spacing w:before="0" w:after="0" w:line="700" w:lineRule="exact"/>
        <w:textAlignment w:val="auto"/>
        <w:rPr>
          <w:color w:val="auto"/>
          <w:highlight w:val="none"/>
        </w:rPr>
      </w:pPr>
      <w:bookmarkStart w:id="623" w:name="_Toc27466"/>
      <w:bookmarkStart w:id="624" w:name="_Toc11228"/>
      <w:r>
        <w:rPr>
          <w:rFonts w:hint="eastAsia"/>
          <w:color w:val="auto"/>
          <w:highlight w:val="none"/>
        </w:rPr>
        <w:t>第三章  招标需求</w:t>
      </w:r>
      <w:bookmarkEnd w:id="616"/>
      <w:bookmarkEnd w:id="623"/>
      <w:bookmarkEnd w:id="624"/>
    </w:p>
    <w:bookmarkEnd w:id="617"/>
    <w:bookmarkEnd w:id="618"/>
    <w:bookmarkEnd w:id="619"/>
    <w:bookmarkEnd w:id="620"/>
    <w:p w14:paraId="1BD75DC4">
      <w:pPr>
        <w:keepNext w:val="0"/>
        <w:keepLines w:val="0"/>
        <w:pageBreakBefore w:val="0"/>
        <w:widowControl w:val="0"/>
        <w:numPr>
          <w:ilvl w:val="0"/>
          <w:numId w:val="24"/>
        </w:numPr>
        <w:shd w:val="clear"/>
        <w:kinsoku/>
        <w:wordWrap w:val="0"/>
        <w:overflowPunct/>
        <w:topLinePunct w:val="0"/>
        <w:autoSpaceDE/>
        <w:autoSpaceDN/>
        <w:bidi w:val="0"/>
        <w:adjustRightInd/>
        <w:snapToGrid w:val="0"/>
        <w:spacing w:line="600" w:lineRule="exact"/>
        <w:ind w:left="0" w:leftChars="0" w:firstLine="281" w:firstLineChars="100"/>
        <w:jc w:val="both"/>
        <w:textAlignment w:val="auto"/>
        <w:outlineLvl w:val="1"/>
        <w:rPr>
          <w:rFonts w:hint="eastAsia" w:ascii="宋体" w:hAnsi="宋体" w:eastAsia="宋体" w:cs="宋体"/>
          <w:b/>
          <w:color w:val="auto"/>
          <w:kern w:val="2"/>
          <w:sz w:val="28"/>
          <w:szCs w:val="28"/>
          <w:highlight w:val="none"/>
          <w:lang w:val="en-US" w:eastAsia="zh-CN" w:bidi="ar-SA"/>
        </w:rPr>
      </w:pPr>
      <w:bookmarkStart w:id="625" w:name="_Toc15092"/>
      <w:bookmarkStart w:id="626" w:name="_Toc21635"/>
      <w:r>
        <w:rPr>
          <w:rFonts w:hint="eastAsia" w:ascii="宋体" w:hAnsi="宋体" w:eastAsia="宋体" w:cs="宋体"/>
          <w:b/>
          <w:color w:val="auto"/>
          <w:kern w:val="2"/>
          <w:sz w:val="28"/>
          <w:szCs w:val="28"/>
          <w:highlight w:val="none"/>
          <w:lang w:val="en-US" w:eastAsia="zh-CN" w:bidi="ar-SA"/>
        </w:rPr>
        <w:t>项目概况</w:t>
      </w:r>
      <w:bookmarkEnd w:id="625"/>
      <w:bookmarkEnd w:id="626"/>
    </w:p>
    <w:p w14:paraId="548B6595">
      <w:pPr>
        <w:keepNext w:val="0"/>
        <w:keepLines w:val="0"/>
        <w:pageBreakBefore w:val="0"/>
        <w:widowControl w:val="0"/>
        <w:numPr>
          <w:ilvl w:val="0"/>
          <w:numId w:val="25"/>
        </w:numPr>
        <w:shd w:val="clear"/>
        <w:kinsoku/>
        <w:wordWrap w:val="0"/>
        <w:overflowPunct/>
        <w:topLinePunct w:val="0"/>
        <w:autoSpaceDE/>
        <w:autoSpaceDN/>
        <w:bidi w:val="0"/>
        <w:adjustRightInd/>
        <w:snapToGrid w:val="0"/>
        <w:spacing w:line="480" w:lineRule="exact"/>
        <w:ind w:left="0" w:leftChars="0" w:firstLine="480" w:firstLineChars="200"/>
        <w:jc w:val="left"/>
        <w:textAlignment w:val="auto"/>
        <w:rPr>
          <w:rFonts w:hint="eastAsia" w:ascii="宋体" w:hAnsi="宋体" w:eastAsia="宋体" w:cs="宋体"/>
          <w:color w:val="auto"/>
          <w:spacing w:val="0"/>
          <w:sz w:val="24"/>
          <w:highlight w:val="none"/>
        </w:rPr>
      </w:pPr>
      <w:r>
        <w:rPr>
          <w:rFonts w:hint="eastAsia" w:ascii="宋体" w:hAnsi="宋体" w:eastAsia="宋体" w:cs="宋体"/>
          <w:color w:val="auto"/>
          <w:spacing w:val="0"/>
          <w:sz w:val="24"/>
          <w:highlight w:val="none"/>
          <w:lang w:val="en-US" w:eastAsia="zh-CN"/>
        </w:rPr>
        <w:t>项目名称：</w:t>
      </w:r>
      <w:r>
        <w:rPr>
          <w:rFonts w:hint="eastAsia" w:ascii="宋体" w:hAnsi="宋体" w:cs="宋体"/>
          <w:color w:val="auto"/>
          <w:spacing w:val="0"/>
          <w:sz w:val="24"/>
          <w:highlight w:val="none"/>
          <w:lang w:val="en-US" w:eastAsia="zh-CN"/>
        </w:rPr>
        <w:t>西塘古镇智慧景区综合（票务）服务平台建设项目</w:t>
      </w:r>
    </w:p>
    <w:p w14:paraId="2AC5C99A">
      <w:pPr>
        <w:keepNext w:val="0"/>
        <w:keepLines w:val="0"/>
        <w:pageBreakBefore w:val="0"/>
        <w:widowControl w:val="0"/>
        <w:numPr>
          <w:ilvl w:val="0"/>
          <w:numId w:val="25"/>
        </w:numPr>
        <w:shd w:val="clear"/>
        <w:kinsoku/>
        <w:wordWrap w:val="0"/>
        <w:overflowPunct/>
        <w:topLinePunct w:val="0"/>
        <w:autoSpaceDE/>
        <w:autoSpaceDN/>
        <w:bidi w:val="0"/>
        <w:adjustRightInd/>
        <w:snapToGrid w:val="0"/>
        <w:spacing w:line="480" w:lineRule="exact"/>
        <w:ind w:left="0" w:leftChars="0" w:firstLine="480" w:firstLineChars="200"/>
        <w:jc w:val="left"/>
        <w:textAlignment w:val="auto"/>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预算金额：</w:t>
      </w:r>
      <w:r>
        <w:rPr>
          <w:rFonts w:hint="eastAsia" w:ascii="宋体" w:hAnsi="宋体" w:cs="宋体"/>
          <w:color w:val="auto"/>
          <w:spacing w:val="0"/>
          <w:kern w:val="2"/>
          <w:sz w:val="24"/>
          <w:szCs w:val="24"/>
          <w:highlight w:val="none"/>
          <w:lang w:val="en-US" w:eastAsia="zh-CN" w:bidi="ar-SA"/>
        </w:rPr>
        <w:t>***万元</w:t>
      </w:r>
    </w:p>
    <w:p w14:paraId="3AC39200">
      <w:pPr>
        <w:keepNext w:val="0"/>
        <w:keepLines w:val="0"/>
        <w:pageBreakBefore w:val="0"/>
        <w:widowControl w:val="0"/>
        <w:numPr>
          <w:ilvl w:val="0"/>
          <w:numId w:val="25"/>
        </w:numPr>
        <w:shd w:val="clear"/>
        <w:kinsoku/>
        <w:wordWrap w:val="0"/>
        <w:overflowPunct/>
        <w:topLinePunct w:val="0"/>
        <w:autoSpaceDE/>
        <w:autoSpaceDN/>
        <w:bidi w:val="0"/>
        <w:adjustRightInd/>
        <w:snapToGrid w:val="0"/>
        <w:spacing w:line="480" w:lineRule="exact"/>
        <w:ind w:left="0" w:leftChars="0" w:firstLine="480" w:firstLineChars="200"/>
        <w:jc w:val="left"/>
        <w:textAlignment w:val="auto"/>
        <w:rPr>
          <w:rFonts w:hint="eastAsia" w:ascii="宋体" w:hAnsi="宋体" w:eastAsia="宋体" w:cs="宋体"/>
          <w:color w:val="auto"/>
          <w:spacing w:val="0"/>
          <w:sz w:val="24"/>
          <w:highlight w:val="none"/>
        </w:rPr>
      </w:pPr>
      <w:r>
        <w:rPr>
          <w:rFonts w:hint="eastAsia" w:ascii="宋体" w:hAnsi="宋体" w:eastAsia="宋体" w:cs="宋体"/>
          <w:color w:val="auto"/>
          <w:spacing w:val="0"/>
          <w:kern w:val="2"/>
          <w:sz w:val="24"/>
          <w:szCs w:val="24"/>
          <w:highlight w:val="none"/>
          <w:lang w:val="en-US" w:eastAsia="zh-CN" w:bidi="ar-SA"/>
        </w:rPr>
        <w:t>采购内容：</w:t>
      </w:r>
      <w:r>
        <w:rPr>
          <w:rFonts w:hint="eastAsia" w:ascii="宋体" w:hAnsi="宋体" w:cs="宋体"/>
          <w:color w:val="auto"/>
          <w:spacing w:val="0"/>
          <w:kern w:val="2"/>
          <w:sz w:val="24"/>
          <w:szCs w:val="24"/>
          <w:highlight w:val="none"/>
          <w:lang w:val="en-US" w:eastAsia="zh-CN" w:bidi="ar-SA"/>
        </w:rPr>
        <w:t>西塘古镇景区现有票务系统已无法满足正常运行要求，在原票务系统基础上进行门禁闸机等设备更换、智慧景区（票务）管理平台升级，实现运行达标要求。</w:t>
      </w:r>
    </w:p>
    <w:p w14:paraId="7ABB4221">
      <w:pPr>
        <w:keepNext w:val="0"/>
        <w:keepLines w:val="0"/>
        <w:pageBreakBefore w:val="0"/>
        <w:widowControl w:val="0"/>
        <w:numPr>
          <w:ilvl w:val="0"/>
          <w:numId w:val="24"/>
        </w:numPr>
        <w:shd w:val="clear"/>
        <w:kinsoku/>
        <w:wordWrap w:val="0"/>
        <w:overflowPunct/>
        <w:topLinePunct w:val="0"/>
        <w:autoSpaceDE/>
        <w:autoSpaceDN/>
        <w:bidi w:val="0"/>
        <w:adjustRightInd/>
        <w:snapToGrid w:val="0"/>
        <w:spacing w:line="600" w:lineRule="exact"/>
        <w:ind w:left="0" w:leftChars="0" w:firstLine="281" w:firstLineChars="100"/>
        <w:jc w:val="both"/>
        <w:textAlignment w:val="auto"/>
        <w:outlineLvl w:val="1"/>
        <w:rPr>
          <w:rFonts w:hint="eastAsia" w:ascii="宋体" w:hAnsi="宋体" w:eastAsia="宋体" w:cs="宋体"/>
          <w:b/>
          <w:color w:val="auto"/>
          <w:kern w:val="2"/>
          <w:sz w:val="28"/>
          <w:szCs w:val="28"/>
          <w:highlight w:val="none"/>
          <w:lang w:val="en-US" w:eastAsia="zh-CN" w:bidi="ar-SA"/>
        </w:rPr>
      </w:pPr>
      <w:bookmarkStart w:id="627" w:name="_Toc98939042"/>
      <w:r>
        <w:rPr>
          <w:rFonts w:hint="eastAsia" w:ascii="宋体" w:hAnsi="宋体" w:cs="宋体"/>
          <w:b/>
          <w:color w:val="auto"/>
          <w:kern w:val="2"/>
          <w:sz w:val="28"/>
          <w:szCs w:val="28"/>
          <w:highlight w:val="none"/>
          <w:lang w:val="en-US" w:eastAsia="zh-CN" w:bidi="ar-SA"/>
        </w:rPr>
        <w:t>采购清单</w:t>
      </w:r>
    </w:p>
    <w:p w14:paraId="54B4B1D8">
      <w:pPr>
        <w:keepNext w:val="0"/>
        <w:keepLines w:val="0"/>
        <w:pageBreakBefore w:val="0"/>
        <w:widowControl w:val="0"/>
        <w:numPr>
          <w:ilvl w:val="0"/>
          <w:numId w:val="26"/>
        </w:numPr>
        <w:shd w:val="clear"/>
        <w:kinsoku/>
        <w:wordWrap w:val="0"/>
        <w:overflowPunct/>
        <w:topLinePunct w:val="0"/>
        <w:autoSpaceDE/>
        <w:autoSpaceDN/>
        <w:bidi w:val="0"/>
        <w:adjustRightInd/>
        <w:snapToGrid/>
        <w:spacing w:after="145" w:afterLines="50" w:line="500" w:lineRule="exact"/>
        <w:ind w:firstLine="241" w:firstLineChars="100"/>
        <w:textAlignment w:val="auto"/>
        <w:outlineLvl w:val="2"/>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、软件清单</w:t>
      </w:r>
    </w:p>
    <w:tbl>
      <w:tblPr>
        <w:tblStyle w:val="48"/>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4"/>
        <w:gridCol w:w="3607"/>
        <w:gridCol w:w="2291"/>
        <w:gridCol w:w="2294"/>
      </w:tblGrid>
      <w:tr w14:paraId="3EB22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D76A4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967" w:type="pct"/>
            <w:tcBorders>
              <w:top w:val="single" w:color="000000" w:sz="8" w:space="0"/>
              <w:left w:val="nil"/>
              <w:bottom w:val="single" w:color="000000" w:sz="8" w:space="0"/>
              <w:right w:val="single" w:color="000000" w:sz="8" w:space="0"/>
            </w:tcBorders>
            <w:shd w:val="clear" w:color="auto" w:fill="auto"/>
            <w:vAlign w:val="center"/>
          </w:tcPr>
          <w:p w14:paraId="78EAFF8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软件项目名称</w:t>
            </w:r>
          </w:p>
        </w:tc>
        <w:tc>
          <w:tcPr>
            <w:tcW w:w="1249" w:type="pct"/>
            <w:tcBorders>
              <w:top w:val="single" w:color="000000" w:sz="8" w:space="0"/>
              <w:left w:val="nil"/>
              <w:bottom w:val="single" w:color="000000" w:sz="8" w:space="0"/>
              <w:right w:val="single" w:color="000000" w:sz="8" w:space="0"/>
            </w:tcBorders>
            <w:shd w:val="clear" w:color="auto" w:fill="auto"/>
            <w:vAlign w:val="center"/>
          </w:tcPr>
          <w:p w14:paraId="1EB6E08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1251" w:type="pct"/>
            <w:tcBorders>
              <w:top w:val="single" w:color="000000" w:sz="8" w:space="0"/>
              <w:left w:val="nil"/>
              <w:bottom w:val="single" w:color="000000" w:sz="8" w:space="0"/>
              <w:right w:val="single" w:color="000000" w:sz="8" w:space="0"/>
            </w:tcBorders>
            <w:shd w:val="clear" w:color="auto" w:fill="auto"/>
            <w:vAlign w:val="center"/>
          </w:tcPr>
          <w:p w14:paraId="2E0DBCA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r>
      <w:tr w14:paraId="1688C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531" w:type="pct"/>
            <w:tcBorders>
              <w:top w:val="nil"/>
              <w:left w:val="single" w:color="000000" w:sz="8" w:space="0"/>
              <w:bottom w:val="single" w:color="000000" w:sz="8" w:space="0"/>
              <w:right w:val="single" w:color="000000" w:sz="8" w:space="0"/>
            </w:tcBorders>
            <w:shd w:val="clear" w:color="auto" w:fill="auto"/>
            <w:vAlign w:val="center"/>
          </w:tcPr>
          <w:p w14:paraId="3363F84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967" w:type="pct"/>
            <w:tcBorders>
              <w:top w:val="nil"/>
              <w:left w:val="nil"/>
              <w:bottom w:val="single" w:color="000000" w:sz="8" w:space="0"/>
              <w:right w:val="single" w:color="000000" w:sz="8" w:space="0"/>
            </w:tcBorders>
            <w:shd w:val="clear" w:color="auto" w:fill="auto"/>
            <w:vAlign w:val="center"/>
          </w:tcPr>
          <w:p w14:paraId="0C4159F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电子票务系统</w:t>
            </w:r>
          </w:p>
        </w:tc>
        <w:tc>
          <w:tcPr>
            <w:tcW w:w="1249" w:type="pct"/>
            <w:tcBorders>
              <w:top w:val="nil"/>
              <w:left w:val="nil"/>
              <w:bottom w:val="single" w:color="000000" w:sz="8" w:space="0"/>
              <w:right w:val="single" w:color="000000" w:sz="8" w:space="0"/>
            </w:tcBorders>
            <w:shd w:val="clear" w:color="auto" w:fill="FFFFFF"/>
            <w:vAlign w:val="center"/>
          </w:tcPr>
          <w:p w14:paraId="4F96D1C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1251" w:type="pct"/>
            <w:tcBorders>
              <w:top w:val="nil"/>
              <w:left w:val="nil"/>
              <w:bottom w:val="single" w:color="000000" w:sz="8" w:space="0"/>
              <w:right w:val="single" w:color="000000" w:sz="8" w:space="0"/>
            </w:tcBorders>
            <w:shd w:val="clear" w:color="auto" w:fill="auto"/>
            <w:vAlign w:val="center"/>
          </w:tcPr>
          <w:p w14:paraId="5E0B4A9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14:paraId="2A807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 w:hRule="atLeast"/>
        </w:trPr>
        <w:tc>
          <w:tcPr>
            <w:tcW w:w="531" w:type="pct"/>
            <w:tcBorders>
              <w:top w:val="nil"/>
              <w:left w:val="single" w:color="000000" w:sz="8" w:space="0"/>
              <w:bottom w:val="single" w:color="auto" w:sz="4" w:space="0"/>
              <w:right w:val="single" w:color="000000" w:sz="8" w:space="0"/>
            </w:tcBorders>
            <w:shd w:val="clear" w:color="auto" w:fill="auto"/>
            <w:vAlign w:val="center"/>
          </w:tcPr>
          <w:p w14:paraId="4E09860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967" w:type="pct"/>
            <w:tcBorders>
              <w:top w:val="nil"/>
              <w:left w:val="nil"/>
              <w:bottom w:val="single" w:color="auto" w:sz="4" w:space="0"/>
              <w:right w:val="single" w:color="000000" w:sz="8" w:space="0"/>
            </w:tcBorders>
            <w:shd w:val="clear" w:color="auto" w:fill="FFFFFF"/>
            <w:vAlign w:val="center"/>
          </w:tcPr>
          <w:p w14:paraId="41A1C86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硬件管理平台</w:t>
            </w:r>
          </w:p>
        </w:tc>
        <w:tc>
          <w:tcPr>
            <w:tcW w:w="1249" w:type="pct"/>
            <w:tcBorders>
              <w:top w:val="nil"/>
              <w:left w:val="nil"/>
              <w:bottom w:val="single" w:color="auto" w:sz="4" w:space="0"/>
              <w:right w:val="single" w:color="000000" w:sz="8" w:space="0"/>
            </w:tcBorders>
            <w:shd w:val="clear" w:color="auto" w:fill="FFFFFF"/>
            <w:vAlign w:val="center"/>
          </w:tcPr>
          <w:p w14:paraId="10CF0B2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1251" w:type="pct"/>
            <w:tcBorders>
              <w:top w:val="nil"/>
              <w:left w:val="nil"/>
              <w:bottom w:val="single" w:color="auto" w:sz="4" w:space="0"/>
              <w:right w:val="single" w:color="000000" w:sz="8" w:space="0"/>
            </w:tcBorders>
            <w:shd w:val="clear" w:color="auto" w:fill="auto"/>
            <w:vAlign w:val="center"/>
          </w:tcPr>
          <w:p w14:paraId="185D4C4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14:paraId="01EC2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531" w:type="pct"/>
            <w:tcBorders>
              <w:top w:val="single" w:color="auto" w:sz="4" w:space="0"/>
              <w:left w:val="single" w:color="auto" w:sz="4" w:space="0"/>
              <w:bottom w:val="single" w:color="auto" w:sz="4" w:space="0"/>
              <w:right w:val="single" w:color="auto" w:sz="4" w:space="0"/>
            </w:tcBorders>
            <w:shd w:val="clear" w:color="auto" w:fill="auto"/>
            <w:vAlign w:val="center"/>
          </w:tcPr>
          <w:p w14:paraId="5E7416F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967" w:type="pct"/>
            <w:tcBorders>
              <w:top w:val="single" w:color="auto" w:sz="4" w:space="0"/>
              <w:left w:val="single" w:color="auto" w:sz="4" w:space="0"/>
              <w:bottom w:val="single" w:color="auto" w:sz="4" w:space="0"/>
              <w:right w:val="single" w:color="auto" w:sz="4" w:space="0"/>
            </w:tcBorders>
            <w:shd w:val="clear" w:color="auto" w:fill="auto"/>
            <w:vAlign w:val="center"/>
          </w:tcPr>
          <w:p w14:paraId="3A6D554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景区管理SAAS平台后台</w:t>
            </w:r>
          </w:p>
        </w:tc>
        <w:tc>
          <w:tcPr>
            <w:tcW w:w="1249" w:type="pct"/>
            <w:tcBorders>
              <w:top w:val="single" w:color="auto" w:sz="4" w:space="0"/>
              <w:left w:val="single" w:color="auto" w:sz="4" w:space="0"/>
              <w:bottom w:val="single" w:color="auto" w:sz="4" w:space="0"/>
              <w:right w:val="single" w:color="auto" w:sz="4" w:space="0"/>
            </w:tcBorders>
            <w:shd w:val="clear" w:color="auto" w:fill="FFFFFF"/>
            <w:vAlign w:val="center"/>
          </w:tcPr>
          <w:p w14:paraId="7D6A363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14:paraId="4B55F04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14:paraId="6B50B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531" w:type="pct"/>
            <w:tcBorders>
              <w:top w:val="nil"/>
              <w:left w:val="single" w:color="000000" w:sz="8" w:space="0"/>
              <w:bottom w:val="single" w:color="000000" w:sz="8" w:space="0"/>
              <w:right w:val="single" w:color="000000" w:sz="8" w:space="0"/>
            </w:tcBorders>
            <w:shd w:val="clear" w:color="auto" w:fill="auto"/>
            <w:vAlign w:val="center"/>
          </w:tcPr>
          <w:p w14:paraId="642576E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967" w:type="pct"/>
            <w:tcBorders>
              <w:top w:val="nil"/>
              <w:left w:val="nil"/>
              <w:bottom w:val="single" w:color="000000" w:sz="8" w:space="0"/>
              <w:right w:val="single" w:color="000000" w:sz="8" w:space="0"/>
            </w:tcBorders>
            <w:shd w:val="clear" w:color="auto" w:fill="auto"/>
            <w:vAlign w:val="center"/>
          </w:tcPr>
          <w:p w14:paraId="657C513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西塘全域游小程序</w:t>
            </w:r>
          </w:p>
        </w:tc>
        <w:tc>
          <w:tcPr>
            <w:tcW w:w="1249" w:type="pct"/>
            <w:tcBorders>
              <w:top w:val="nil"/>
              <w:left w:val="nil"/>
              <w:bottom w:val="single" w:color="000000" w:sz="8" w:space="0"/>
              <w:right w:val="single" w:color="000000" w:sz="8" w:space="0"/>
            </w:tcBorders>
            <w:shd w:val="clear" w:color="auto" w:fill="FFFFFF"/>
            <w:vAlign w:val="center"/>
          </w:tcPr>
          <w:p w14:paraId="1101C49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1251" w:type="pct"/>
            <w:tcBorders>
              <w:top w:val="nil"/>
              <w:left w:val="nil"/>
              <w:bottom w:val="single" w:color="000000" w:sz="8" w:space="0"/>
              <w:right w:val="single" w:color="000000" w:sz="8" w:space="0"/>
            </w:tcBorders>
            <w:shd w:val="clear" w:color="auto" w:fill="auto"/>
            <w:vAlign w:val="center"/>
          </w:tcPr>
          <w:p w14:paraId="3482165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14:paraId="3B67F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531" w:type="pct"/>
            <w:tcBorders>
              <w:top w:val="nil"/>
              <w:left w:val="single" w:color="000000" w:sz="8" w:space="0"/>
              <w:bottom w:val="single" w:color="000000" w:sz="8" w:space="0"/>
              <w:right w:val="single" w:color="000000" w:sz="8" w:space="0"/>
            </w:tcBorders>
            <w:shd w:val="clear" w:color="auto" w:fill="auto"/>
            <w:vAlign w:val="center"/>
          </w:tcPr>
          <w:p w14:paraId="04FF2D5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967" w:type="pct"/>
            <w:tcBorders>
              <w:top w:val="nil"/>
              <w:left w:val="nil"/>
              <w:bottom w:val="single" w:color="000000" w:sz="8" w:space="0"/>
              <w:right w:val="single" w:color="000000" w:sz="8" w:space="0"/>
            </w:tcBorders>
            <w:shd w:val="clear" w:color="auto" w:fill="auto"/>
            <w:vAlign w:val="center"/>
          </w:tcPr>
          <w:p w14:paraId="1CAD258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技术支持及维保服务</w:t>
            </w:r>
          </w:p>
        </w:tc>
        <w:tc>
          <w:tcPr>
            <w:tcW w:w="1249" w:type="pct"/>
            <w:tcBorders>
              <w:top w:val="nil"/>
              <w:left w:val="nil"/>
              <w:bottom w:val="single" w:color="000000" w:sz="8" w:space="0"/>
              <w:right w:val="single" w:color="000000" w:sz="8" w:space="0"/>
            </w:tcBorders>
            <w:shd w:val="clear" w:color="auto" w:fill="FFFFFF"/>
            <w:vAlign w:val="center"/>
          </w:tcPr>
          <w:p w14:paraId="27FEEE4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w:t>
            </w:r>
          </w:p>
        </w:tc>
        <w:tc>
          <w:tcPr>
            <w:tcW w:w="1251" w:type="pct"/>
            <w:tcBorders>
              <w:top w:val="nil"/>
              <w:left w:val="nil"/>
              <w:bottom w:val="single" w:color="000000" w:sz="8" w:space="0"/>
              <w:right w:val="single" w:color="000000" w:sz="8" w:space="0"/>
            </w:tcBorders>
            <w:shd w:val="clear" w:color="auto" w:fill="auto"/>
            <w:vAlign w:val="center"/>
          </w:tcPr>
          <w:p w14:paraId="561D1FD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bl>
    <w:p w14:paraId="6511A5FB">
      <w:pPr>
        <w:keepNext w:val="0"/>
        <w:keepLines w:val="0"/>
        <w:pageBreakBefore w:val="0"/>
        <w:widowControl w:val="0"/>
        <w:numPr>
          <w:ilvl w:val="0"/>
          <w:numId w:val="0"/>
        </w:numPr>
        <w:shd w:val="clear"/>
        <w:kinsoku/>
        <w:wordWrap w:val="0"/>
        <w:overflowPunct/>
        <w:topLinePunct w:val="0"/>
        <w:autoSpaceDE/>
        <w:autoSpaceDN/>
        <w:bidi w:val="0"/>
        <w:adjustRightInd/>
        <w:snapToGrid/>
        <w:spacing w:after="145" w:afterLines="50" w:line="500" w:lineRule="exact"/>
        <w:jc w:val="both"/>
        <w:textAlignment w:val="auto"/>
        <w:outlineLvl w:val="9"/>
        <w:rPr>
          <w:rFonts w:hint="default"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注：以上软件平台具体功能模块及功能描述等详见下表：</w:t>
      </w:r>
    </w:p>
    <w:tbl>
      <w:tblPr>
        <w:tblStyle w:val="48"/>
        <w:tblW w:w="532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5"/>
        <w:gridCol w:w="662"/>
        <w:gridCol w:w="823"/>
        <w:gridCol w:w="1115"/>
        <w:gridCol w:w="762"/>
        <w:gridCol w:w="24"/>
        <w:gridCol w:w="5751"/>
      </w:tblGrid>
      <w:tr w14:paraId="1600E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320" w:type="pct"/>
            <w:tcBorders>
              <w:top w:val="single" w:color="000000" w:sz="4" w:space="0"/>
              <w:left w:val="single" w:color="000000" w:sz="4" w:space="0"/>
              <w:bottom w:val="single" w:color="000000" w:sz="4" w:space="0"/>
              <w:right w:val="single" w:color="000000" w:sz="4" w:space="0"/>
            </w:tcBorders>
            <w:shd w:val="clear" w:color="auto" w:fill="C0C0C0"/>
            <w:vAlign w:val="center"/>
          </w:tcPr>
          <w:p w14:paraId="6851C78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C0C0C0"/>
            <w:vAlign w:val="center"/>
          </w:tcPr>
          <w:p w14:paraId="322BAB9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571" w:type="pct"/>
            <w:tcBorders>
              <w:top w:val="single" w:color="000000" w:sz="4" w:space="0"/>
              <w:left w:val="single" w:color="000000" w:sz="4" w:space="0"/>
              <w:bottom w:val="single" w:color="000000" w:sz="4" w:space="0"/>
              <w:right w:val="single" w:color="000000" w:sz="4" w:space="0"/>
            </w:tcBorders>
            <w:shd w:val="clear" w:color="auto" w:fill="C0C0C0"/>
            <w:vAlign w:val="center"/>
          </w:tcPr>
          <w:p w14:paraId="6816F4E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功能模块</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C0C0C0"/>
            <w:vAlign w:val="center"/>
          </w:tcPr>
          <w:p w14:paraId="38ABD69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功能描述或任务描述</w:t>
            </w:r>
          </w:p>
        </w:tc>
      </w:tr>
      <w:tr w14:paraId="5314A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320" w:type="pct"/>
            <w:tcBorders>
              <w:top w:val="single" w:color="000000" w:sz="4" w:space="0"/>
              <w:left w:val="single" w:color="000000" w:sz="4" w:space="0"/>
              <w:bottom w:val="single" w:color="000000" w:sz="4" w:space="0"/>
              <w:right w:val="single" w:color="000000" w:sz="4" w:space="0"/>
            </w:tcBorders>
            <w:shd w:val="clear" w:color="auto" w:fill="FADADE"/>
            <w:vAlign w:val="center"/>
          </w:tcPr>
          <w:p w14:paraId="7A0FE74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2C38C5F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电子票务系统</w:t>
            </w:r>
          </w:p>
        </w:tc>
        <w:tc>
          <w:tcPr>
            <w:tcW w:w="3919" w:type="pct"/>
            <w:gridSpan w:val="4"/>
            <w:tcBorders>
              <w:top w:val="single" w:color="000000" w:sz="4" w:space="0"/>
              <w:left w:val="single" w:color="000000" w:sz="4" w:space="0"/>
              <w:bottom w:val="single" w:color="000000" w:sz="4" w:space="0"/>
              <w:right w:val="single" w:color="000000" w:sz="4" w:space="0"/>
            </w:tcBorders>
            <w:shd w:val="clear" w:color="auto" w:fill="FADADE"/>
            <w:vAlign w:val="center"/>
          </w:tcPr>
          <w:p w14:paraId="265CB20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r>
      <w:tr w14:paraId="7763D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335C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5553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线上线下售票系统</w:t>
            </w:r>
            <w:r>
              <w:rPr>
                <w:rFonts w:hint="eastAsia" w:ascii="宋体" w:hAnsi="宋体" w:eastAsia="宋体" w:cs="宋体"/>
                <w:b/>
                <w:bCs/>
                <w:i w:val="0"/>
                <w:iCs w:val="0"/>
                <w:color w:val="auto"/>
                <w:kern w:val="0"/>
                <w:sz w:val="18"/>
                <w:szCs w:val="18"/>
                <w:highlight w:val="none"/>
                <w:u w:val="none"/>
                <w:lang w:val="en-US" w:eastAsia="zh-CN" w:bidi="ar"/>
              </w:rPr>
              <w:t>（包含游船）</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548A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线上线下售票系统</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B3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用户管理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30673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管理平台登录用户帐号及操作权限</w:t>
            </w:r>
          </w:p>
        </w:tc>
      </w:tr>
      <w:tr w14:paraId="2A4E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979F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50642">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0915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08B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会员管理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FFD31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查询并管理官网及微信公众号平台已注册用户信息</w:t>
            </w:r>
          </w:p>
        </w:tc>
      </w:tr>
      <w:tr w14:paraId="30F78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16A0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B725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9E72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773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通知模板</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FE0A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编辑修改购票成功短信通知内容</w:t>
            </w:r>
          </w:p>
        </w:tc>
      </w:tr>
      <w:tr w14:paraId="0FBDB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BEA3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4E14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6024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42C8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商品查询</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3C87C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查看门票或商品信息，可编辑修改商品价格及销售规则</w:t>
            </w:r>
          </w:p>
        </w:tc>
      </w:tr>
      <w:tr w14:paraId="046E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6C35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5D827">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D875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512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商品添加</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A4058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增加新商品及对应销售规则；</w:t>
            </w:r>
            <w:r>
              <w:rPr>
                <w:rFonts w:hint="eastAsia" w:ascii="宋体" w:hAnsi="宋体" w:eastAsia="宋体" w:cs="宋体"/>
                <w:i w:val="0"/>
                <w:iCs w:val="0"/>
                <w:color w:val="auto"/>
                <w:kern w:val="0"/>
                <w:sz w:val="18"/>
                <w:szCs w:val="18"/>
                <w:highlight w:val="none"/>
                <w:u w:val="none"/>
                <w:lang w:val="en-US" w:eastAsia="zh-CN" w:bidi="ar"/>
              </w:rPr>
              <w:br w:type="textWrapping"/>
            </w:r>
            <w:r>
              <w:rPr>
                <w:rStyle w:val="317"/>
                <w:rFonts w:hint="eastAsia" w:ascii="宋体" w:hAnsi="宋体" w:eastAsia="宋体" w:cs="宋体"/>
                <w:color w:val="auto"/>
                <w:sz w:val="18"/>
                <w:szCs w:val="18"/>
                <w:highlight w:val="none"/>
                <w:lang w:val="en-US" w:eastAsia="zh-CN" w:bidi="ar"/>
              </w:rPr>
              <w:t>1.门票产品配置，包括门票基本信息、检票规则、价格库存、销售规则（是否要求提前售票，售票截止时间，售票开始结束时间段，游玩开始结束时间段）、销售投放（包括窗口组、OTA、申报组）</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2.支持员工卡/免票类：一段时间内允许多次进出产品配置，可以配置、人脸识别检票，可以任意设置进出总次数限制，日进出次数限制。</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4.支持多景点打包套票，各景点各验证一次。年卡类产品也允许多个景点打包</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5.N选X套票支持跨景区打包</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6.支持产品可变价配置，实际窗口销售时，可以录入不同价格；</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7.支持产品售票需选审核配置，支持出票即检票配置，支持门票无需打印配置</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8.支持一票多人，一票多人脸（家庭票）</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9.支持实名制</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10.支持多种优惠，满X送Y，提前X天购买优惠Y</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11.支持设置联票各关联子项的检票次数</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12.支持设置联票的子票分账规则</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13.支持门票关联票池</w:t>
            </w:r>
            <w:r>
              <w:rPr>
                <w:rStyle w:val="317"/>
                <w:rFonts w:hint="eastAsia" w:ascii="宋体" w:hAnsi="宋体" w:eastAsia="宋体" w:cs="宋体"/>
                <w:color w:val="auto"/>
                <w:sz w:val="18"/>
                <w:szCs w:val="18"/>
                <w:highlight w:val="none"/>
                <w:lang w:val="en-US" w:eastAsia="zh-CN" w:bidi="ar"/>
              </w:rPr>
              <w:br w:type="textWrapping"/>
            </w:r>
            <w:r>
              <w:rPr>
                <w:rStyle w:val="317"/>
                <w:rFonts w:hint="eastAsia" w:ascii="宋体" w:hAnsi="宋体" w:eastAsia="宋体" w:cs="宋体"/>
                <w:color w:val="auto"/>
                <w:sz w:val="18"/>
                <w:szCs w:val="18"/>
                <w:highlight w:val="none"/>
                <w:lang w:val="en-US" w:eastAsia="zh-CN" w:bidi="ar"/>
              </w:rPr>
              <w:t>14.持按剩余检票次数退款</w:t>
            </w:r>
          </w:p>
        </w:tc>
      </w:tr>
      <w:tr w14:paraId="3270B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30FA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E638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8CD4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EEE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商品分组</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321B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对商品进行分组，方便管理。例如可划分门票、酒店、美食、农产品等</w:t>
            </w:r>
          </w:p>
        </w:tc>
      </w:tr>
      <w:tr w14:paraId="2631C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37BA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A719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76E6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EFA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授权设置</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4621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对旅行社或电商用户登录系统可预定商品的权限进行管理</w:t>
            </w:r>
          </w:p>
        </w:tc>
      </w:tr>
      <w:tr w14:paraId="1EB3B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FEB4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FC5B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DA78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132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订单核销</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7485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使用游客收到的验证码进行核销验证</w:t>
            </w:r>
          </w:p>
        </w:tc>
      </w:tr>
      <w:tr w14:paraId="33CAA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7A05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495F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A2CF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8BA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预定审批</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973F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对旅行社用户的预定订单进行审批：支持给旅行社客户、签单客户开设申报系统账号，提前预约门票</w:t>
            </w:r>
          </w:p>
        </w:tc>
      </w:tr>
      <w:tr w14:paraId="6D0E5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6713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B9CB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E696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4FA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订单查询</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8064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查询预定订单信息，可通过预定时间、取票时间、预定下单手机号码或其他信息进行精准查找；</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订单管理可以查看所有渠道（OTA、微信、引流以及窗口、自助机上）售出的订单信息；支持对线上订单进行延期游玩；支持对线上购票订单在线上无法发起退票情况下，进行人工退款处理支持；支持对需审核后才能购买的门票订单进行审核处理；支持对需要审核的退款申请进行审核处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2.自动统计营业销售、检票信息，提供销核一体营业报表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3.提供售票组、电商按日报表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4.提供团队营销相关报表，包括营业员统计、团队票型统计、团队购票统计、营业清单等，以供景区对营销考核支持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6.对于景点分包经营的景区（如有），提供外包经营查询统计功能，以便外包经营可以整体查看外包相关景点的单票套票总体售检情况</w:t>
            </w:r>
          </w:p>
        </w:tc>
      </w:tr>
      <w:tr w14:paraId="13B5C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5"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D114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3ED92">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CD82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FA9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订单管理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5D82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对已提交退票或修改预定信息订单进行审批；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售票管理：由售票组控制售票员可售的门票；支持团队、散客、签单客户进行购买，支持签单客户备用金支付，由财务进行风险控制以及回款追踪；支持根据产品要求，对于实名要求，可以通过身份证阅读器读入身份证件信息；支持可变价产品销售，售票时灵活输入价格；支持多票组合一起销售；支持联票和单票组合售卖；可根据景区自身要求，在销售门票同时填写团队营销员、备注、客源地等信息；支持分时入园售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2.售票收款：支付线下现金券抵扣；支持支付宝微信收款，将支付宝支付和微信支付码合并，点击移动支付扫描游客付款码，可直接收款；支持银商对接收款；支持江南银行统一收款；</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3.门票打印：支持配置按订单打印或按门票打印，支持按门票打印情况还进行一票一码打印；支持门票重打，重打可以选择部分打印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4.电商换票：游客在线上电商网站购买门票后，可进行现场取票，并打印纸质票。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5.申报订单：支持预报的申报订单，调整申报人数，收款，打印纸质票。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6.预印门票售票：预先印制一批门票，门票上面印制二维码符合云票务规则，销售后无需打票，直接过闸使用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7.指纹人像采集：针对年卡类产品，可以进行现场人像、指纹采集，检票处进行比对后方可入园</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8.订单查看：可直接查询网络订单以及现场订单状态和使用情况；支持修改购买人姓名、电话；支持上传用户头像并查看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9.售票报表：每隔10分钟，自动生成售票报表，也允许售票员触发即刻生成售票报表。售票员可以查看个人售票报表，组长可以查看整组的售票报表；</w:t>
            </w:r>
          </w:p>
        </w:tc>
      </w:tr>
      <w:tr w14:paraId="294E8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68C7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2BB8E">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E339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055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检票管理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2B4C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对已检票和待检票订单进行区分查询及管理；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1.各个门票种类在各个检票闸机的检票人数；</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2.各门票种类的检票明细。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3.购票后还未入园的门票查询。</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4.每个进口、出口闸机的检票汇总。</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5.年卡/免票人员在每台闸机的入园情况。</w:t>
            </w:r>
          </w:p>
        </w:tc>
      </w:tr>
      <w:tr w14:paraId="2ADDE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ABDA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09EFC">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781F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FBD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退票管理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9E60E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对已审核和未审核退票订单进行区分查询及管理</w:t>
            </w:r>
          </w:p>
        </w:tc>
      </w:tr>
      <w:tr w14:paraId="1880B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7980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EF639">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C2F3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0C5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门票销售</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4B5D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使用线上系统人工进行售票操作，售票成功后可推送预定成功及取票验证码短信</w:t>
            </w:r>
          </w:p>
        </w:tc>
      </w:tr>
      <w:tr w14:paraId="72476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944A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EBBDB">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A2BD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5B6D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营业报表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（包含定制报表部分）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B17A2">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可按年月日或持续时间进行售票、取票、退票数据进行查询，并关联查看订单详细信息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提供丰富的报表，包括窗口售票报表（窗口销售明细、票型汇总、票型统计、销售统计），景区总体销售情况（景区售票明细、售票统计），OTA售检票报表（销售明细、销售统计、检票明细、检票订单（对账用）、检票统计）、收费项检票统计、检票次数统计、联票的景点分账统计；</w:t>
            </w:r>
          </w:p>
        </w:tc>
      </w:tr>
      <w:tr w14:paraId="5D548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4E8B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84EBE">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6ADA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线上线下售票系统（定制化内容）</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5E12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闸机关联 园中园管理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255AB2">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园区闸机联动</w:t>
            </w:r>
          </w:p>
        </w:tc>
      </w:tr>
      <w:tr w14:paraId="05815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6AAD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47C0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BD0E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BF97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紧急预案门票管理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83B3DD">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紧急预案管理</w:t>
            </w:r>
          </w:p>
        </w:tc>
      </w:tr>
      <w:tr w14:paraId="4D7F2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23F1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266D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27C2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9D9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人脸管理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ABFF7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人脸管理平台（现有园中数据及新人脸数据纳管）</w:t>
            </w:r>
          </w:p>
        </w:tc>
      </w:tr>
      <w:tr w14:paraId="58ED4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DD48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2CBAC">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8571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58E9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UI功能界面定制</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F142B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UI界面设计定制</w:t>
            </w:r>
          </w:p>
        </w:tc>
      </w:tr>
      <w:tr w14:paraId="44BE1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5" w:hRule="atLeast"/>
        </w:trPr>
        <w:tc>
          <w:tcPr>
            <w:tcW w:w="3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06CF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CE5E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自助售取票系统</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7685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自助售取票系统</w:t>
            </w:r>
          </w:p>
        </w:tc>
        <w:tc>
          <w:tcPr>
            <w:tcW w:w="391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2C761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1.自助取票：实现网络售票现场自助取票（支持订单号取票、二维码取票、身份证实名制取票、旅行社自助出票等）；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2.自助购票：支持购物车支付与出票模式，支持微信、支付宝和银行电子支付，银行卡</w:t>
            </w:r>
            <w:r>
              <w:rPr>
                <w:rFonts w:hint="eastAsia" w:ascii="宋体" w:hAnsi="宋体" w:eastAsia="宋体" w:cs="宋体"/>
                <w:i w:val="0"/>
                <w:iCs w:val="0"/>
                <w:color w:val="auto"/>
                <w:kern w:val="0"/>
                <w:sz w:val="18"/>
                <w:szCs w:val="18"/>
                <w:highlight w:val="none"/>
                <w:u w:val="none"/>
                <w:lang w:val="en-US" w:eastAsia="zh-CN" w:bidi="ar"/>
              </w:rPr>
              <w:t>（包括外籍银行卡）</w:t>
            </w:r>
            <w:r>
              <w:rPr>
                <w:rFonts w:hint="eastAsia" w:ascii="宋体" w:hAnsi="宋体" w:eastAsia="宋体" w:cs="宋体"/>
                <w:i w:val="0"/>
                <w:iCs w:val="0"/>
                <w:color w:val="auto"/>
                <w:kern w:val="0"/>
                <w:sz w:val="18"/>
                <w:szCs w:val="18"/>
                <w:highlight w:val="none"/>
                <w:u w:val="none"/>
                <w:lang w:val="en-US" w:eastAsia="zh-CN" w:bidi="ar"/>
              </w:rPr>
              <w:t>读取模块，不含现金支付；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3.自助机管理：自助机参数配置、门票装载、门票重打，日志查询等；</w:t>
            </w:r>
          </w:p>
        </w:tc>
      </w:tr>
      <w:tr w14:paraId="365BE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8BF5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78CB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9369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自助售取票系统</w:t>
            </w:r>
            <w:r>
              <w:rPr>
                <w:rFonts w:hint="eastAsia" w:ascii="宋体" w:hAnsi="宋体" w:eastAsia="宋体" w:cs="宋体"/>
                <w:i w:val="0"/>
                <w:iCs w:val="0"/>
                <w:color w:val="auto"/>
                <w:kern w:val="0"/>
                <w:sz w:val="18"/>
                <w:szCs w:val="18"/>
                <w:highlight w:val="none"/>
                <w:u w:val="none"/>
                <w:lang w:val="en-US" w:eastAsia="zh-CN" w:bidi="ar"/>
              </w:rPr>
              <w:t>（定制化内容）</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0748C">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1.自助售取票系统主界面设计（广告位、视频轮播、广告图片）；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2.加装银行卡（外籍银行卡支付）；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3.英文界面设计；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4.机具包括闸机、手持机、自助售取票机，均由平台统一管理入网，提供机具在线监控信息；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5.支持闸机、手持机上配置可检景点，配置后，相应机具只能检相关景点门票，也允许配置机具上例外不可检的特别门票；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6.支持闸机配置是否对门票可检时段进行检测，开启，则不在时段内的不得通过该通道进入，不开启，则仅符合检票日期需求即可入内；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支持闸机配置直售入园门票，一台闸机可以配置一种票；对于非免费票，允许扫微信支付宝二维码进行支付入园；对于免费且身份限制的票，读身份信息后检查门票限制，符合的入园，身份限制包括年龄、居住地（证件发放地或身份起始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8.支持手持检票机配置直售门票，并可通过手持检票机扫码收款</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9.支持自助机上广告位投放内容编辑，对于广告投放进行排期，对自助可售的门票进行管理；</w:t>
            </w:r>
          </w:p>
        </w:tc>
      </w:tr>
      <w:tr w14:paraId="2991D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9761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3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1AF32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手持售票检票功能</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DF5C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手持安卓APP售票/取票/检票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0D4A5">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操作员登陆/手持检票点位设置；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手持售票：可方便选取门票，主动扫游客支付码（微信/支付宝）收款，出门票（小票），并可直接售检一键完成；</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手持取票：扫游客门票二维码出票；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手持检票：扫游客门票二维码检票，人工放行；</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查询：可查询售票/取票/检票记录，输入手持机编号，可查询指定售票/取票/检票数据；</w:t>
            </w:r>
          </w:p>
        </w:tc>
      </w:tr>
      <w:tr w14:paraId="0EDBB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0" w:hRule="atLeast"/>
        </w:trPr>
        <w:tc>
          <w:tcPr>
            <w:tcW w:w="3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1807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33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4680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报表及大数据</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4AA5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线下报表及大数据</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609B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支持线上线下售检票数据查询/分析，财务对账，通过指定接口能把数据传给上级单位，也能把财务数据传入专业财务系统（金碟/用友）；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报表基本已涵盖整个营收数据，包括集成于本平台的餐饮、二次消费、停车收费等数据，也支持报表定制功能；</w:t>
            </w:r>
          </w:p>
        </w:tc>
      </w:tr>
      <w:tr w14:paraId="34E5C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ED20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C364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7F11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线下报表及大数据</w:t>
            </w:r>
            <w:r>
              <w:rPr>
                <w:rFonts w:hint="eastAsia" w:ascii="宋体" w:hAnsi="宋体" w:eastAsia="宋体" w:cs="宋体"/>
                <w:i w:val="0"/>
                <w:iCs w:val="0"/>
                <w:color w:val="auto"/>
                <w:kern w:val="0"/>
                <w:sz w:val="18"/>
                <w:szCs w:val="18"/>
                <w:highlight w:val="none"/>
                <w:u w:val="none"/>
                <w:lang w:val="en-US" w:eastAsia="zh-CN" w:bidi="ar"/>
              </w:rPr>
              <w:t>（定制化内容）</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4323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报表格式内容，按各所需部门要求-按需定制</w:t>
            </w:r>
          </w:p>
        </w:tc>
      </w:tr>
      <w:tr w14:paraId="038D6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0" w:type="pct"/>
            <w:tcBorders>
              <w:top w:val="single" w:color="000000" w:sz="4" w:space="0"/>
              <w:left w:val="single" w:color="000000" w:sz="4" w:space="0"/>
              <w:bottom w:val="single" w:color="000000" w:sz="4" w:space="0"/>
              <w:right w:val="single" w:color="000000" w:sz="4" w:space="0"/>
            </w:tcBorders>
            <w:shd w:val="clear" w:color="auto" w:fill="FADADE"/>
            <w:vAlign w:val="center"/>
          </w:tcPr>
          <w:p w14:paraId="69B8D3A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二</w:t>
            </w:r>
          </w:p>
        </w:tc>
        <w:tc>
          <w:tcPr>
            <w:tcW w:w="1721" w:type="pct"/>
            <w:gridSpan w:val="4"/>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57A8BD5C">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硬件管理平台</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FADADE"/>
            <w:vAlign w:val="center"/>
          </w:tcPr>
          <w:p w14:paraId="26CF085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r>
      <w:tr w14:paraId="1AC3F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3" w:hRule="atLeast"/>
        </w:trPr>
        <w:tc>
          <w:tcPr>
            <w:tcW w:w="3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6A08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331" w:type="pct"/>
            <w:gridSpan w:val="3"/>
            <w:vMerge w:val="restart"/>
            <w:tcBorders>
              <w:top w:val="single" w:color="000000" w:sz="4" w:space="0"/>
              <w:left w:val="single" w:color="000000" w:sz="4" w:space="0"/>
              <w:right w:val="single" w:color="000000" w:sz="4" w:space="0"/>
            </w:tcBorders>
            <w:shd w:val="clear" w:color="auto" w:fill="auto"/>
            <w:vAlign w:val="center"/>
          </w:tcPr>
          <w:p w14:paraId="2C8CA10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设备管理系统</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F11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首页</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C3588">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项目呈现闸机终端情况及检票统计。包括：设备监控（在线闸机数量、离线闸机数量、模块正常闸机数量、模块异常闸机数量）、人数统计（入园出园人数、体温正常/异常人数、健康码红黄绿人数、不良记录人数）、闸机与其他平台连接延迟数统计（票务系统、证件系统、安全防疫系统）、当天游客入园出园统计图、检票人数统计排名top5设备信息</w:t>
            </w:r>
          </w:p>
        </w:tc>
      </w:tr>
      <w:tr w14:paraId="11752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3"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251B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left w:val="single" w:color="000000" w:sz="4" w:space="0"/>
              <w:right w:val="single" w:color="000000" w:sz="4" w:space="0"/>
            </w:tcBorders>
            <w:shd w:val="clear" w:color="auto" w:fill="auto"/>
            <w:vAlign w:val="center"/>
          </w:tcPr>
          <w:p w14:paraId="18A89AC6">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946C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硬件终端管理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FDDC8">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提供硬件终端管理功能。包括闸机基础信息、闸机和模块/平台连接状态显示、批量升级软件包、安装已接入的模块插件包、远程配置下发、更换logo/背景</w:t>
            </w:r>
          </w:p>
        </w:tc>
      </w:tr>
      <w:tr w14:paraId="41C62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52EA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left w:val="single" w:color="000000" w:sz="4" w:space="0"/>
              <w:right w:val="single" w:color="000000" w:sz="4" w:space="0"/>
            </w:tcBorders>
            <w:shd w:val="clear" w:color="auto" w:fill="auto"/>
            <w:vAlign w:val="center"/>
          </w:tcPr>
          <w:p w14:paraId="38B0F3B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0EC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手持机管理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2FCE8">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提供手持机管理功能。包括手持机基础信息、远程升级软件包</w:t>
            </w:r>
          </w:p>
        </w:tc>
      </w:tr>
      <w:tr w14:paraId="7F8B7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A81E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left w:val="single" w:color="000000" w:sz="4" w:space="0"/>
              <w:right w:val="single" w:color="000000" w:sz="4" w:space="0"/>
            </w:tcBorders>
            <w:shd w:val="clear" w:color="auto" w:fill="auto"/>
            <w:vAlign w:val="center"/>
          </w:tcPr>
          <w:p w14:paraId="4F57DC6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862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闸机控制</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D00B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提供下发闸机控制功能。包括切换工作模式、恢复默认工作模式、工控机关闭、工控机重启、软件重启</w:t>
            </w:r>
          </w:p>
        </w:tc>
      </w:tr>
      <w:tr w14:paraId="4811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10A9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left w:val="single" w:color="000000" w:sz="4" w:space="0"/>
              <w:right w:val="single" w:color="000000" w:sz="4" w:space="0"/>
            </w:tcBorders>
            <w:shd w:val="clear" w:color="auto" w:fill="auto"/>
            <w:vAlign w:val="center"/>
          </w:tcPr>
          <w:p w14:paraId="6D1D483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2FC8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取票机管理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6989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提供下发取票机控制功能。包括终端管理，软件更新等</w:t>
            </w:r>
          </w:p>
        </w:tc>
      </w:tr>
      <w:tr w14:paraId="261FE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081A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left w:val="single" w:color="000000" w:sz="4" w:space="0"/>
              <w:right w:val="single" w:color="000000" w:sz="4" w:space="0"/>
            </w:tcBorders>
            <w:shd w:val="clear" w:color="auto" w:fill="auto"/>
            <w:vAlign w:val="center"/>
          </w:tcPr>
          <w:p w14:paraId="39B0F13E">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B13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定时任务</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EE10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提供自定义时间切换闸机工作模式功能。可选择工作模式、关联闸机、查看同步状态。</w:t>
            </w:r>
          </w:p>
        </w:tc>
      </w:tr>
      <w:tr w14:paraId="3AB52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E264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left w:val="single" w:color="000000" w:sz="4" w:space="0"/>
              <w:right w:val="single" w:color="000000" w:sz="4" w:space="0"/>
            </w:tcBorders>
            <w:shd w:val="clear" w:color="auto" w:fill="auto"/>
            <w:vAlign w:val="center"/>
          </w:tcPr>
          <w:p w14:paraId="33BF7B0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DF4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检票日志</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B5A9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提供检票流程详细记录，包括具体动作日志、调接口信息。可查询和导出。</w:t>
            </w:r>
          </w:p>
        </w:tc>
      </w:tr>
      <w:tr w14:paraId="63CA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9C6A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left w:val="single" w:color="000000" w:sz="4" w:space="0"/>
              <w:right w:val="single" w:color="000000" w:sz="4" w:space="0"/>
            </w:tcBorders>
            <w:shd w:val="clear" w:color="auto" w:fill="auto"/>
            <w:vAlign w:val="center"/>
          </w:tcPr>
          <w:p w14:paraId="3978FC38">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22D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事件日志</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27011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提供对闸机心跳、扫码盒、读卡器、面板、护照、打印机、平台连接情况的监控</w:t>
            </w:r>
          </w:p>
        </w:tc>
      </w:tr>
      <w:tr w14:paraId="3FBAB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CFF3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left w:val="single" w:color="000000" w:sz="4" w:space="0"/>
              <w:right w:val="single" w:color="000000" w:sz="4" w:space="0"/>
            </w:tcBorders>
            <w:shd w:val="clear" w:color="auto" w:fill="auto"/>
            <w:vAlign w:val="center"/>
          </w:tcPr>
          <w:p w14:paraId="41E9773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p>
        </w:tc>
        <w:tc>
          <w:tcPr>
            <w:tcW w:w="402"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421B3E2A">
            <w:pPr>
              <w:keepNext w:val="0"/>
              <w:keepLines w:val="0"/>
              <w:widowControl/>
              <w:suppressLineNumbers w:val="0"/>
              <w:shd w:val="clear"/>
              <w:spacing w:before="0" w:beforeAutospacing="0" w:after="0" w:afterAutospacing="0"/>
              <w:ind w:left="0" w:leftChars="0" w:right="0" w:rightChars="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日志</w:t>
            </w:r>
          </w:p>
        </w:tc>
        <w:tc>
          <w:tcPr>
            <w:tcW w:w="2945" w:type="pct"/>
            <w:tcBorders>
              <w:top w:val="single" w:color="000000" w:sz="4" w:space="0"/>
              <w:left w:val="single" w:color="auto" w:sz="4" w:space="0"/>
              <w:bottom w:val="single" w:color="000000" w:sz="4" w:space="0"/>
              <w:right w:val="single" w:color="000000" w:sz="4" w:space="0"/>
            </w:tcBorders>
            <w:shd w:val="clear" w:color="auto" w:fill="auto"/>
            <w:vAlign w:val="center"/>
          </w:tcPr>
          <w:p w14:paraId="4A6A4C8B">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提供对控制事件监控。可查看平台下发控制的记录。</w:t>
            </w:r>
          </w:p>
        </w:tc>
      </w:tr>
      <w:tr w14:paraId="13A4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91E8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1331" w:type="pct"/>
            <w:gridSpan w:val="3"/>
            <w:vMerge w:val="continue"/>
            <w:tcBorders>
              <w:left w:val="single" w:color="000000" w:sz="4" w:space="0"/>
              <w:bottom w:val="single" w:color="000000" w:sz="4" w:space="0"/>
              <w:right w:val="single" w:color="000000" w:sz="4" w:space="0"/>
            </w:tcBorders>
            <w:shd w:val="clear" w:color="auto" w:fill="auto"/>
            <w:vAlign w:val="center"/>
          </w:tcPr>
          <w:p w14:paraId="63B8693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p>
        </w:tc>
        <w:tc>
          <w:tcPr>
            <w:tcW w:w="402"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66BEB182">
            <w:pPr>
              <w:keepNext w:val="0"/>
              <w:keepLines w:val="0"/>
              <w:widowControl/>
              <w:suppressLineNumbers w:val="0"/>
              <w:shd w:val="clear"/>
              <w:spacing w:before="0" w:beforeAutospacing="0" w:after="0" w:afterAutospacing="0"/>
              <w:ind w:left="0" w:leftChars="0" w:right="0" w:rightChars="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对外开放接口</w:t>
            </w:r>
          </w:p>
        </w:tc>
        <w:tc>
          <w:tcPr>
            <w:tcW w:w="2945" w:type="pct"/>
            <w:tcBorders>
              <w:top w:val="single" w:color="000000" w:sz="4" w:space="0"/>
              <w:left w:val="single" w:color="auto" w:sz="4" w:space="0"/>
              <w:bottom w:val="single" w:color="000000" w:sz="4" w:space="0"/>
              <w:right w:val="single" w:color="000000" w:sz="4" w:space="0"/>
            </w:tcBorders>
            <w:shd w:val="clear" w:color="auto" w:fill="auto"/>
            <w:vAlign w:val="center"/>
          </w:tcPr>
          <w:p w14:paraId="678F08DB">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根据项目需求，提供平台开放接口功能。</w:t>
            </w:r>
          </w:p>
        </w:tc>
      </w:tr>
      <w:tr w14:paraId="6D308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320" w:type="pct"/>
            <w:tcBorders>
              <w:top w:val="single" w:color="000000" w:sz="4" w:space="0"/>
              <w:left w:val="single" w:color="000000" w:sz="4" w:space="0"/>
              <w:bottom w:val="single" w:color="000000" w:sz="4" w:space="0"/>
              <w:right w:val="single" w:color="000000" w:sz="4" w:space="0"/>
            </w:tcBorders>
            <w:shd w:val="clear" w:color="auto" w:fill="FADADE"/>
            <w:vAlign w:val="center"/>
          </w:tcPr>
          <w:p w14:paraId="1E5FED8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三</w:t>
            </w:r>
          </w:p>
        </w:tc>
        <w:tc>
          <w:tcPr>
            <w:tcW w:w="1331" w:type="pct"/>
            <w:gridSpan w:val="3"/>
            <w:tcBorders>
              <w:top w:val="single" w:color="000000" w:sz="4" w:space="0"/>
              <w:left w:val="single" w:color="000000" w:sz="4" w:space="0"/>
              <w:bottom w:val="single" w:color="000000" w:sz="4" w:space="0"/>
              <w:right w:val="single" w:color="000000" w:sz="4" w:space="0"/>
            </w:tcBorders>
            <w:shd w:val="clear" w:color="auto" w:fill="FADADE"/>
            <w:vAlign w:val="center"/>
          </w:tcPr>
          <w:p w14:paraId="58F3CCC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景区管理SAAS平台后台</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FADADE"/>
            <w:vAlign w:val="center"/>
          </w:tcPr>
          <w:p w14:paraId="0436065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r>
      <w:tr w14:paraId="79E8E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343E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D5C3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系统管理</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170D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机构管理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F631C">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增加机构，机构分类（景区单位、酒店、民宿、餐饮、商铺个体户），系统授予其唯一编码和二维码、收款聚合码，机构开通许可等；对于系统里已有的机构能按分类或模糊方式查询；</w:t>
            </w:r>
          </w:p>
        </w:tc>
      </w:tr>
      <w:tr w14:paraId="2AA29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12B0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4D0D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4373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机构用户管理与授权</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ACE6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机构用户管理：增加、停用机构用户；系统角色管理与关联；用户授权管理、用户密码重置等；</w:t>
            </w:r>
          </w:p>
        </w:tc>
      </w:tr>
      <w:tr w14:paraId="35E22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9DE0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7694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08AB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代售管理</w:t>
            </w:r>
          </w:p>
        </w:tc>
        <w:tc>
          <w:tcPr>
            <w:tcW w:w="33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A89EC">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新增、停用、启用机构代理，商品授权给代理商销售，可以为代理商设置信用额度授权额度；代售层级限制：平台允许多少级代售，建议不超过三级；</w:t>
            </w:r>
          </w:p>
        </w:tc>
      </w:tr>
      <w:tr w14:paraId="40279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2FF1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88B71">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329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预存款管理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BD7D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看并设置预存单位的信用额度；查看授权额度使用历史；余额的操作记录，查看授权额度使用的记录明细；资金预存：代理机构存入预存款管理；余额扣除：授权条件下扣除代理机构余额；所有资金出入均有明细记录，并与代理进行对账统一；</w:t>
            </w:r>
          </w:p>
        </w:tc>
      </w:tr>
      <w:tr w14:paraId="66420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B29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7EC1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F68F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参数管理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9EC1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管理系统参数，如景区级别（3A，4A，5A），景区所属地域，机构主题（景区、酒店、餐饮、商铺个体户、景区风格，房型参数），证件类型，适宜人群、娱乐项目、特色产品类型等众多参数管理；</w:t>
            </w:r>
          </w:p>
        </w:tc>
      </w:tr>
      <w:tr w14:paraId="37734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416C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345AB">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6604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系统操作日志管理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1BE0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查询查看系统日志，代码和接口状态；</w:t>
            </w:r>
          </w:p>
        </w:tc>
      </w:tr>
      <w:tr w14:paraId="726C6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2F62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AC019">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C6E7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线上线下数据同步</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560F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线上平台与景区线下平台数据同步管理</w:t>
            </w:r>
          </w:p>
        </w:tc>
      </w:tr>
      <w:tr w14:paraId="6E8A4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DE7C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47A0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商品管理</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4AD0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查看商品</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6B132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通过多种方式查询系统商品，了解商品详细信息；</w:t>
            </w:r>
          </w:p>
        </w:tc>
      </w:tr>
      <w:tr w14:paraId="362A5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063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E2FD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4B10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商品设置</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092ED">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设置商品属性：商品按类型分，其信息量较大。如景区门票，其信息包含门票名称、门票状态、系统排序、单价（统一门市价、代理级别结算价，预约价，网上现结价），日常价（周一至周五价），特殊日期价（节假日特殊价，周六周日价），是否需要实名制购票、可售开始日期、可售结束日期，实名制时取票手机号，是否搭载保险，是否需要选座、是否支持在线开票、是否可退票、可退票天数，是否有库存限制…等；</w:t>
            </w:r>
          </w:p>
        </w:tc>
      </w:tr>
      <w:tr w14:paraId="44E94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8906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1912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7423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商品上下架管理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10E2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所设置的商品上架及下架处理；</w:t>
            </w:r>
          </w:p>
        </w:tc>
      </w:tr>
      <w:tr w14:paraId="20D1B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9650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D67D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内容管理</w:t>
            </w:r>
            <w:r>
              <w:rPr>
                <w:rFonts w:hint="eastAsia" w:ascii="宋体" w:hAnsi="宋体" w:eastAsia="宋体" w:cs="宋体"/>
                <w:b/>
                <w:bCs/>
                <w:i w:val="0"/>
                <w:iCs w:val="0"/>
                <w:color w:val="auto"/>
                <w:kern w:val="0"/>
                <w:sz w:val="18"/>
                <w:szCs w:val="18"/>
                <w:highlight w:val="none"/>
                <w:u w:val="none"/>
                <w:lang w:val="en-US" w:eastAsia="zh-CN" w:bidi="ar"/>
              </w:rPr>
              <w:t>（定制化内容）</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ABD0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官网内容管理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241B4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根据平台官网框架，配置如最新公告、新闻中心、门票预订、酒店预订、景区介绍（景区介绍、景区攻略、美图欣赏等）、游客服务（交通指南、游客须知、疫情政策、开放时间、线路推荐）及个人中心等；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上传各功能模块内容、须知及定价；</w:t>
            </w:r>
          </w:p>
        </w:tc>
      </w:tr>
      <w:tr w14:paraId="5C0C7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C20C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1AAF7">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4C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微信公众号/小程序内容管理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9533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根据平台公众号/小程序模板，部署相应功能模块；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上传各功能模块内容、须知及定价；</w:t>
            </w:r>
          </w:p>
        </w:tc>
      </w:tr>
      <w:tr w14:paraId="3BD8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2466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E45C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旅行社管理</w:t>
            </w:r>
            <w:r>
              <w:rPr>
                <w:rFonts w:hint="eastAsia" w:ascii="宋体" w:hAnsi="宋体" w:eastAsia="宋体" w:cs="宋体"/>
                <w:b/>
                <w:bCs/>
                <w:i w:val="0"/>
                <w:iCs w:val="0"/>
                <w:color w:val="auto"/>
                <w:kern w:val="0"/>
                <w:sz w:val="18"/>
                <w:szCs w:val="18"/>
                <w:highlight w:val="none"/>
                <w:u w:val="none"/>
                <w:lang w:val="en-US" w:eastAsia="zh-CN" w:bidi="ar"/>
              </w:rPr>
              <w:t>（定制化内容）</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E4BB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旅行社管理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9D2A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新增、停用、启用旅行社管理，商品授权，可以为旅行社设置信用额度授权额度；</w:t>
            </w:r>
          </w:p>
        </w:tc>
      </w:tr>
      <w:tr w14:paraId="0DF45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46EE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7A9FB">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ECA7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导游管理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CC86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导游信息管理、导游评价管理、导游评价统半，导游评价评级设置，导游评价统计分析、导游账号设置，导游对账；</w:t>
            </w:r>
          </w:p>
        </w:tc>
      </w:tr>
      <w:tr w14:paraId="2B5FA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295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DDB84">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1F12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旅行社订单查询统计</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CDCC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查询统计旅行社订单信息明细和统计；可跟踪订单预订、实际支付与退款详情；</w:t>
            </w:r>
          </w:p>
        </w:tc>
      </w:tr>
      <w:tr w14:paraId="10615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A093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8F1F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2477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旅行社对账管理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2A15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各旅行社与景区、平台进行对账管理；</w:t>
            </w:r>
          </w:p>
        </w:tc>
      </w:tr>
      <w:tr w14:paraId="61CE2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C367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D641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OTA管理</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BB58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OTA授权与配置管理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C868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根据平台、景区与OTA协议，进行授权配置与管理；OTA技术接口及网络参数配置；</w:t>
            </w:r>
          </w:p>
        </w:tc>
      </w:tr>
      <w:tr w14:paraId="28B4F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0531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4BC8E">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9ABD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OTA订单管理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9AA9C">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查询统计OTA订单信息明细和统计；可跟踪订单预订、实际支付与退款详情；</w:t>
            </w:r>
          </w:p>
        </w:tc>
      </w:tr>
      <w:tr w14:paraId="0F1B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063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A0E5A">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708A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OTA对账管理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F6470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各OTA与景区、平台进行对账管理；</w:t>
            </w:r>
          </w:p>
        </w:tc>
      </w:tr>
      <w:tr w14:paraId="5668F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D148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241C4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其它第三方平台管理</w:t>
            </w:r>
            <w:r>
              <w:rPr>
                <w:rFonts w:hint="eastAsia" w:ascii="宋体" w:hAnsi="宋体" w:eastAsia="宋体" w:cs="宋体"/>
                <w:b/>
                <w:bCs/>
                <w:i w:val="0"/>
                <w:iCs w:val="0"/>
                <w:color w:val="auto"/>
                <w:kern w:val="0"/>
                <w:sz w:val="18"/>
                <w:szCs w:val="18"/>
                <w:highlight w:val="none"/>
                <w:u w:val="none"/>
                <w:lang w:val="en-US" w:eastAsia="zh-CN" w:bidi="ar"/>
              </w:rPr>
              <w:t>（定制化内容）</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CBBD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微信平台管理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44F6D">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统一管理授权微信公众号平台版本号、体验版等，适用于平台内哪些私域公众号；</w:t>
            </w:r>
          </w:p>
        </w:tc>
      </w:tr>
      <w:tr w14:paraId="653C2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99B2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D751B">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E866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支付宝平台管理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97B1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统一管理授支付宝平台版本号、体验版等，适用于平台内哪些私域公众号；</w:t>
            </w:r>
          </w:p>
        </w:tc>
      </w:tr>
      <w:tr w14:paraId="365EB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1312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3DEC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65461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抖音商城管理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76AD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统一管理抖音平台版本号、体验版等，适用于平台内哪些私域公众号；</w:t>
            </w:r>
          </w:p>
        </w:tc>
      </w:tr>
      <w:tr w14:paraId="198BF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159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7E3E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4922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小程序平台管理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9B40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统一管理小程序版本号、体验版等，适用于平台内哪些私域公众号；</w:t>
            </w:r>
          </w:p>
        </w:tc>
      </w:tr>
      <w:tr w14:paraId="537D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05D8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F8C1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数据报表</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2071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营业汇总报表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9A10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按各种方式或组合查询平台营业汇总报表，支持多种分类方式，如：支付方式（微信、支付宝、现金、银联、到付、聚合支付、预存付...）；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报表模式多样（数据列表、各式图表），数据占比等；同一次查询，可直接查看明细数据；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支持数据导出（明细数据与汇总数据均可导出），报表导出，格式所见即所得；</w:t>
            </w:r>
          </w:p>
        </w:tc>
      </w:tr>
      <w:tr w14:paraId="60C39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3EF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2EB96">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5E6A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销售汇总报表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C25D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形式同上，主要查询销售数据；</w:t>
            </w:r>
          </w:p>
        </w:tc>
      </w:tr>
      <w:tr w14:paraId="5F8B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1C8C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C3C3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60F2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核销汇总报表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6273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形式同上，主要查询核销数据；</w:t>
            </w:r>
          </w:p>
        </w:tc>
      </w:tr>
      <w:tr w14:paraId="613B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6B24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E905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70F1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退票汇总报表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72E4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形式同上，主要查询退票数据；</w:t>
            </w:r>
          </w:p>
        </w:tc>
      </w:tr>
      <w:tr w14:paraId="205EA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EC5E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41436">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1000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财务汇总报表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（定制化内容）</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52A7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根据财务使用习惯、系统提取及汇报逻辑定制化内容</w:t>
            </w:r>
          </w:p>
        </w:tc>
      </w:tr>
      <w:tr w14:paraId="416D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4F25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BE5A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平台大数据</w:t>
            </w:r>
            <w:r>
              <w:rPr>
                <w:rFonts w:hint="eastAsia" w:ascii="宋体" w:hAnsi="宋体" w:eastAsia="宋体" w:cs="宋体"/>
                <w:b/>
                <w:bCs/>
                <w:i w:val="0"/>
                <w:iCs w:val="0"/>
                <w:color w:val="auto"/>
                <w:kern w:val="0"/>
                <w:sz w:val="18"/>
                <w:szCs w:val="18"/>
                <w:highlight w:val="none"/>
                <w:u w:val="none"/>
                <w:lang w:val="en-US" w:eastAsia="zh-CN" w:bidi="ar"/>
              </w:rPr>
              <w:t>（定制化内容）</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2F68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客户来源大数据</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A6A55">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游客来源地、出行方式、出行目的地信息获取来源等大数据；</w:t>
            </w:r>
          </w:p>
        </w:tc>
      </w:tr>
      <w:tr w14:paraId="11ABE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BC20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4F254">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3E9C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客户比例大数据</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DD93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游客年龄比例、男女比例大数据；</w:t>
            </w:r>
          </w:p>
        </w:tc>
      </w:tr>
      <w:tr w14:paraId="6B5D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1028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AB6DB">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ED40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支付习惯大数据</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E42A2">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微信、支付宝、现金、银联等支付习惯大数据；</w:t>
            </w:r>
          </w:p>
        </w:tc>
      </w:tr>
      <w:tr w14:paraId="123F3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3CE1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9E82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6B82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营销大数据</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1D47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门票、酒店、特色商品、其它等营销大数据；</w:t>
            </w:r>
          </w:p>
        </w:tc>
      </w:tr>
      <w:tr w14:paraId="158D3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DA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D474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EFC0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数据上报对接</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D5115">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平台数据可通过平台接口上传给上级单位，或者按上级单数的数据格式上传；</w:t>
            </w:r>
          </w:p>
        </w:tc>
      </w:tr>
      <w:tr w14:paraId="31CDF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46F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A0A7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商家后台管理</w:t>
            </w:r>
            <w:r>
              <w:rPr>
                <w:rFonts w:hint="eastAsia" w:ascii="宋体" w:hAnsi="宋体" w:eastAsia="宋体" w:cs="宋体"/>
                <w:b/>
                <w:bCs/>
                <w:i w:val="0"/>
                <w:iCs w:val="0"/>
                <w:color w:val="auto"/>
                <w:kern w:val="0"/>
                <w:sz w:val="18"/>
                <w:szCs w:val="18"/>
                <w:highlight w:val="none"/>
                <w:u w:val="none"/>
                <w:lang w:val="en-US" w:eastAsia="zh-CN" w:bidi="ar"/>
              </w:rPr>
              <w:t>（定制化内容）</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E6C75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资源商家后台管理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79055">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景区、酒店、商铺、农特产商等商家通过其账号密码登陆，进入平台后，根据平台分配的权限对其信息，账户、商品、订单等进行管理，需要商品发货的可以进行发货管理；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按权限进行订单查询，账单查询，对账等管理；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景区商家可申请私域门户（官网）、公众号/小程序等进行内容管理，并部署门票、酒店预订、商城等模块，具备相应管理权限，以打造私域流量；</w:t>
            </w:r>
          </w:p>
        </w:tc>
      </w:tr>
      <w:tr w14:paraId="4343C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5135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910B7">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9E0E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代理商家后台管理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3B55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代理商进入后台，可对有权代售的商品进行组合、包装、重新定义后进行销售；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代理商可创建自己下一级代理机构；</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根据销售订单进行对账等管理，对需要统一收发货的商品进行收货和发货管理；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商品出售：代理门店通过平台可出售商品，出售门票时，可将门票二维码直接发到游客手机，游客凭二维码进景区检票或取票后进景区；</w:t>
            </w:r>
          </w:p>
        </w:tc>
      </w:tr>
      <w:tr w14:paraId="01359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5AAF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2D02A">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024A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旅行社商家后台管理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92CA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旅行社进入后台，可对有权代售的商品进行组合、包装、重新定义后进行销售；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可进行门票预订，根据景区要求下预订单（是否有导游组团、大巴车车牌、人数、门票类型和数量预订等），并可打印预订单；</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根据需要向景区付完预付款后，查看预存单信息，并可进行对账查询与管理；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可对属下专职导游进行管理，查询分析导游带团、带客数据；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管理景区的三类客户信息，包括线下旅行社客户、签单客户、以及线上OTA。景区可以自行加入旅行社客户、签单客户，平台对接携程网、同程网、驴妈妈、美团网、去哪儿、自我游等多家OTA，开放统一接口，已对接多家线上分销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2.支持给旅行社客户、签单客户开设申报系统账号，提前预约门票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3.签单客户、OTA需要预先建立备用金账户，给备用金账户充值。OTA接口或在分销系统下单，通过备用金进行支付。签单客户在申报系统预报，或窗口下单，到窗口可通过备用金支付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4.支持针对不同的OTA设置不同的价格计划进行产品分销</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5.支持对线下旅行社进行返佣金，配置返佣周期以及不同产品不同人头折算返佣规则，进行返佣佣金计算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6.支持签单客户、OTA按检票周期进行结算统计以及结算</w:t>
            </w:r>
          </w:p>
        </w:tc>
      </w:tr>
      <w:tr w14:paraId="4FDA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F556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CBC91">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44C4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SAAS平台单独部署及搭建</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08F8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r>
      <w:tr w14:paraId="372C1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0" w:type="pct"/>
            <w:tcBorders>
              <w:top w:val="single" w:color="000000" w:sz="4" w:space="0"/>
              <w:left w:val="single" w:color="000000" w:sz="4" w:space="0"/>
              <w:bottom w:val="single" w:color="000000" w:sz="4" w:space="0"/>
              <w:right w:val="single" w:color="000000" w:sz="4" w:space="0"/>
            </w:tcBorders>
            <w:shd w:val="clear" w:color="auto" w:fill="FADADE"/>
            <w:vAlign w:val="center"/>
          </w:tcPr>
          <w:p w14:paraId="2FD5710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四</w:t>
            </w:r>
          </w:p>
        </w:tc>
        <w:tc>
          <w:tcPr>
            <w:tcW w:w="1721" w:type="pct"/>
            <w:gridSpan w:val="4"/>
            <w:tcBorders>
              <w:top w:val="single" w:color="000000" w:sz="4" w:space="0"/>
              <w:left w:val="single" w:color="000000" w:sz="4" w:space="0"/>
              <w:bottom w:val="single" w:color="000000" w:sz="4" w:space="0"/>
              <w:right w:val="single" w:color="000000" w:sz="4" w:space="0"/>
            </w:tcBorders>
            <w:shd w:val="clear" w:color="auto" w:fill="FADADE"/>
            <w:vAlign w:val="center"/>
          </w:tcPr>
          <w:p w14:paraId="26B4371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西塘全域游小程序</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FADADE"/>
            <w:vAlign w:val="center"/>
          </w:tcPr>
          <w:p w14:paraId="75914D4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r>
      <w:tr w14:paraId="415D3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34D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6268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首页</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E068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推广位大图</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954B7">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幻灯大图循环滚动展西塘最具特色的旅游资源，点击大图可直接进入其专题进行酒店预订、门票购买、美食套餐预订或商城；首页多处穿插通栏推广，链接到专题、活动详情页面，并提示景区旅游宣传信息。</w:t>
            </w:r>
          </w:p>
        </w:tc>
      </w:tr>
      <w:tr w14:paraId="3A13A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1D67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BBE6A">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FCCF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搜索</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3A60D">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支持精准搜索及模糊搜索；输入关键字即可快速查询到景区、酒店、民宿、酒吧、美食店、艺术馆、博物馆等；</w:t>
            </w:r>
          </w:p>
        </w:tc>
      </w:tr>
      <w:tr w14:paraId="765CB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277B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4391A">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2F05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新闻及公告</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A222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及时公布景区动态、精彩活动、新闻及公告，可浏览历史信息</w:t>
            </w:r>
          </w:p>
        </w:tc>
      </w:tr>
      <w:tr w14:paraId="3388B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20A1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2E849">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AD85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精彩视频</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9596C">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展示区域内景点，酒店、美食等特色介绍的精彩视频数据；</w:t>
            </w:r>
          </w:p>
        </w:tc>
      </w:tr>
      <w:tr w14:paraId="506F1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B435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CAC0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B4840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景美相册</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A6378">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全景无死角展现景区风貌，支持照片、短视频及外链；</w:t>
            </w:r>
          </w:p>
        </w:tc>
      </w:tr>
      <w:tr w14:paraId="4FC62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59C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812C9">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568F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便民服务</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E63C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找停车场：一键寻找停车场，地图上精确定位地理位置及距离，提供导航指引服务；(属3D导览链接功能，不上3D导览此功能无)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找卫生间：一键寻找厕所，地图上精确定位地理位置及距离，提供导航指引服务；(属3D导览链接功能，不上3D导览此功能无)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天气预报：当天及未来几天的天气预报；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空气质量：当天的空气质量及未来几天的天气质量、PM2.5、紫外线等预报；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医疗服务：景区医疗服务电话；最近的医院信息及距离指引；</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失物招领：失物描述与招领；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意见反馈：提出对景区或游玩过程中的意见，便于景区不断提升；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有问必答：针对景区服务及认知想问的问题；</w:t>
            </w:r>
          </w:p>
        </w:tc>
      </w:tr>
      <w:tr w14:paraId="1FF07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DB0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C478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A52B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游玩攻略</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DB465">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以图文的方式展示西塘游玩攻略，游客通过攻略，可以了解到西塘怎么游玩，每个景点游玩时长和出行方式。（展示西塘现有的精品旅游线路，如：一日游、二日游、三日游、西塘度假休闲游、文化采风体验游、温泉养生健康游体验游等）</w:t>
            </w:r>
          </w:p>
        </w:tc>
      </w:tr>
      <w:tr w14:paraId="50728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5CA3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0CA4F">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F175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旅行社及门市部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509E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展示西塘旅行社资源，点击进入可详细了解各旅行社基本情况、服务内容、电话预定；</w:t>
            </w:r>
          </w:p>
        </w:tc>
      </w:tr>
      <w:tr w14:paraId="2BD30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5C02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F20D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8F9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门票购买</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F244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首页可直接进行门票预约和购买，也可以实现船票加购；支持购物车功能；</w:t>
            </w:r>
          </w:p>
        </w:tc>
      </w:tr>
      <w:tr w14:paraId="77C1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1C45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2F33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西塘</w:t>
            </w:r>
            <w:r>
              <w:rPr>
                <w:rFonts w:hint="eastAsia" w:ascii="宋体" w:hAnsi="宋体" w:eastAsia="宋体" w:cs="宋体"/>
                <w:b/>
                <w:bCs/>
                <w:i w:val="0"/>
                <w:iCs w:val="0"/>
                <w:color w:val="auto"/>
                <w:kern w:val="0"/>
                <w:sz w:val="18"/>
                <w:szCs w:val="18"/>
                <w:highlight w:val="none"/>
                <w:u w:val="none"/>
                <w:lang w:val="en-US" w:eastAsia="zh-CN" w:bidi="ar"/>
              </w:rPr>
              <w:br w:type="textWrapping"/>
            </w:r>
            <w:r>
              <w:rPr>
                <w:rFonts w:hint="eastAsia" w:ascii="宋体" w:hAnsi="宋体" w:eastAsia="宋体" w:cs="宋体"/>
                <w:b/>
                <w:bCs/>
                <w:i w:val="0"/>
                <w:iCs w:val="0"/>
                <w:color w:val="auto"/>
                <w:kern w:val="0"/>
                <w:sz w:val="18"/>
                <w:szCs w:val="18"/>
                <w:highlight w:val="none"/>
                <w:u w:val="none"/>
                <w:lang w:val="en-US" w:eastAsia="zh-CN" w:bidi="ar"/>
              </w:rPr>
              <w:t>百科</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13C9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初识西塘</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A0667">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通过对当地涉旅资源（旅游宣传片、地理概况、气候、历史、文化、民俗、交通、特色景点、温泉分布、名宿分布等）概况进行综合阐述，概括性向公众介绍西塘旅游资源；</w:t>
            </w:r>
          </w:p>
        </w:tc>
      </w:tr>
      <w:tr w14:paraId="385E2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F863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69D51">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8EE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抵达西塘</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0ABE7">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提供自驾、骑行、徒步、旅行社及XX交通（范围内景点线路）等详细介绍；</w:t>
            </w:r>
          </w:p>
        </w:tc>
      </w:tr>
      <w:tr w14:paraId="4720C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0200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F0B3A">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E120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西塘动态</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EF158">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栏目包括旅游动态、旅游资讯、活动资讯（含文化和体育）、新热线路资讯、营销资讯等，以列表形式、时间倒序展示相关资讯信息；</w:t>
            </w:r>
          </w:p>
        </w:tc>
      </w:tr>
      <w:tr w14:paraId="34774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DDCC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096B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CF62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专题活动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428E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即当地相关涉旅企业、政府等在西塘举行的诸如汉服文化节、民俗文化节等影响范围广的活动（旅游活动）的展示；活动预约功能，游客可实现活动报名和预约提交。</w:t>
            </w:r>
          </w:p>
        </w:tc>
      </w:tr>
      <w:tr w14:paraId="167E8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7B15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CF5BD">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D2EC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旅游保障</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65B9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合展示相关旅游常识、注意事项、解读旅游法等辅助公众进行旅游相关知识了解和通过法律维护自身权益信息。</w:t>
            </w:r>
          </w:p>
        </w:tc>
      </w:tr>
      <w:tr w14:paraId="4F8C4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9FA0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C173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智慧</w:t>
            </w:r>
            <w:r>
              <w:rPr>
                <w:rFonts w:hint="eastAsia" w:ascii="宋体" w:hAnsi="宋体" w:eastAsia="宋体" w:cs="宋体"/>
                <w:b/>
                <w:bCs/>
                <w:i w:val="0"/>
                <w:iCs w:val="0"/>
                <w:color w:val="auto"/>
                <w:kern w:val="0"/>
                <w:sz w:val="18"/>
                <w:szCs w:val="18"/>
                <w:highlight w:val="none"/>
                <w:u w:val="none"/>
                <w:lang w:val="en-US" w:eastAsia="zh-CN" w:bidi="ar"/>
              </w:rPr>
              <w:br w:type="textWrapping"/>
            </w:r>
            <w:r>
              <w:rPr>
                <w:rFonts w:hint="eastAsia" w:ascii="宋体" w:hAnsi="宋体" w:eastAsia="宋体" w:cs="宋体"/>
                <w:b/>
                <w:bCs/>
                <w:i w:val="0"/>
                <w:iCs w:val="0"/>
                <w:color w:val="auto"/>
                <w:kern w:val="0"/>
                <w:sz w:val="18"/>
                <w:szCs w:val="18"/>
                <w:highlight w:val="none"/>
                <w:u w:val="none"/>
                <w:lang w:val="en-US" w:eastAsia="zh-CN" w:bidi="ar"/>
              </w:rPr>
              <w:t>旅游</w:t>
            </w:r>
            <w:r>
              <w:rPr>
                <w:rFonts w:hint="eastAsia" w:ascii="宋体" w:hAnsi="宋体" w:eastAsia="宋体" w:cs="宋体"/>
                <w:b/>
                <w:bCs/>
                <w:i w:val="0"/>
                <w:iCs w:val="0"/>
                <w:color w:val="auto"/>
                <w:kern w:val="0"/>
                <w:sz w:val="18"/>
                <w:szCs w:val="18"/>
                <w:highlight w:val="none"/>
                <w:u w:val="none"/>
                <w:lang w:val="en-US" w:eastAsia="zh-CN" w:bidi="ar"/>
              </w:rPr>
              <w:br w:type="textWrapping"/>
            </w:r>
            <w:r>
              <w:rPr>
                <w:rFonts w:hint="eastAsia" w:ascii="宋体" w:hAnsi="宋体" w:eastAsia="宋体" w:cs="宋体"/>
                <w:b/>
                <w:bCs/>
                <w:i w:val="0"/>
                <w:iCs w:val="0"/>
                <w:color w:val="auto"/>
                <w:kern w:val="0"/>
                <w:sz w:val="18"/>
                <w:szCs w:val="18"/>
                <w:highlight w:val="none"/>
                <w:u w:val="none"/>
                <w:lang w:val="en-US" w:eastAsia="zh-CN" w:bidi="ar"/>
              </w:rPr>
              <w:t>“一张图”</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DCAE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区域POI热点</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B10F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搭建西塘智慧旅游一张图GIS平台，基于地图快速找到旅游资源、文化活动、体育活动、数据同步（景区、旅游厕所、停车场、酒店、民宿、客栈及更多POI热点等），并可以基于地图进行关联到各旅游业态资源首页；</w:t>
            </w:r>
          </w:p>
        </w:tc>
      </w:tr>
      <w:tr w14:paraId="22FEF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253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EE81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370C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景点列表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8D58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基于地图快速切换景点列表信息（酒店、民宿、客栈、酒吧及商铺等）分类展示景点；</w:t>
            </w:r>
          </w:p>
        </w:tc>
      </w:tr>
      <w:tr w14:paraId="2C7D8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0041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96989">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73C8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自定义线路</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C131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基于地图规划西塘精品旅游线路，并更加游客喜好选择景区自定义规划旅游线路；同步首页游程规划线路数据；</w:t>
            </w:r>
          </w:p>
        </w:tc>
      </w:tr>
      <w:tr w14:paraId="0FB14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22D8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6A52C">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395D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基础设置</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A9997">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其他设置（高清、标清等）；</w:t>
            </w:r>
          </w:p>
        </w:tc>
      </w:tr>
      <w:tr w14:paraId="6F900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C4AD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DA86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我的</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685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身份授权</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9FEC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游客无需注册，授权即可获取微信身份信息；</w:t>
            </w:r>
          </w:p>
        </w:tc>
      </w:tr>
      <w:tr w14:paraId="26FB5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E7B5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88EF6">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470B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投诉反馈</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06C6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可通过文字、图片编辑发布反馈信息，也可以直接关联电话号码进行反馈；</w:t>
            </w:r>
          </w:p>
        </w:tc>
      </w:tr>
      <w:tr w14:paraId="51BD3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54DF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CDA8A">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A78C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我的收藏</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B111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游客在浏览过程中可以收藏自己感兴趣的景区、图书馆、体育场，一键快速找到并点击进入；</w:t>
            </w:r>
          </w:p>
        </w:tc>
      </w:tr>
      <w:tr w14:paraId="07723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F5FE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C07F4">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CB7D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签到打卡</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2B672">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提供签到打卡功能，每日签到送积分；累计积分可兑换礼品；</w:t>
            </w:r>
          </w:p>
        </w:tc>
      </w:tr>
      <w:tr w14:paraId="50231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749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CA2A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240E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浏览记录</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68FB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平台系统中浏览过的景区、酒店、乡村振兴点等，可快速找到；</w:t>
            </w:r>
          </w:p>
        </w:tc>
      </w:tr>
      <w:tr w14:paraId="2AA1F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87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4B22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3521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基本信息</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C5CEC">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管理、修改、维护个人基本信息；</w:t>
            </w:r>
          </w:p>
        </w:tc>
      </w:tr>
      <w:tr w14:paraId="3D4A7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5CC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2614D">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DEBE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收货地址</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9741D">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填写个人收货地址，便于商城购买收货；</w:t>
            </w:r>
          </w:p>
        </w:tc>
      </w:tr>
      <w:tr w14:paraId="3C89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678A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77372">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BFAE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常用人员</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6633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我的常用人员列表，便于我代亲戚朋友购买门票或其它；</w:t>
            </w:r>
          </w:p>
        </w:tc>
      </w:tr>
      <w:tr w14:paraId="1D6AD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D730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1B422">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6D73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我的订单</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4CD1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待支付、待使用、待评价、已退款等订单信息</w:t>
            </w:r>
          </w:p>
        </w:tc>
      </w:tr>
      <w:tr w14:paraId="2E7C1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9620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35A02">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D122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我的积分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6153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购买、打卡、参加小游戏及其它过程所产生的积分；</w:t>
            </w:r>
          </w:p>
        </w:tc>
      </w:tr>
      <w:tr w14:paraId="5E206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20F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E0E8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我的园区管理</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D2CA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订单核销</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15337">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以过后台管理人员授权，可将该订单核销权限授给相应的管理人员，该人员可通过其手机号进行订单核销；订单核销采用有权限的人员通过扫起游客订单二维码进行；</w:t>
            </w:r>
          </w:p>
        </w:tc>
      </w:tr>
      <w:tr w14:paraId="2EFCB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2C0D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A8BCC">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8C38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核销记录</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54C0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显示我所核销的订单记录；可查订单详情；</w:t>
            </w:r>
          </w:p>
        </w:tc>
      </w:tr>
      <w:tr w14:paraId="2271C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7F11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92DC8">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5246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线上报表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0879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查询景区平台线上营收报表，可按日、七天、月、年及自定义时间方式查询；</w:t>
            </w:r>
          </w:p>
        </w:tc>
      </w:tr>
      <w:tr w14:paraId="6FB5C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D66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6A6CD">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60D0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线下报表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9F5D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查询景区平台线下营收报表，可按日、七天、月、年及自定义时间方式查询；</w:t>
            </w:r>
          </w:p>
        </w:tc>
      </w:tr>
      <w:tr w14:paraId="0E921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4E1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2F278">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3025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汇总报表</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C29E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查询景区平台线上线下汇总营收报表，可按日、七天、月、年及自定义时间方式查询；</w:t>
            </w:r>
          </w:p>
        </w:tc>
      </w:tr>
      <w:tr w14:paraId="51004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01CD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38264">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07AF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订单管理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F676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可查询订单，并对该订单进行相应的核销、延期、取消订单等管理；</w:t>
            </w:r>
          </w:p>
        </w:tc>
      </w:tr>
      <w:tr w14:paraId="1FE76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026C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1ABE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3D50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我的审批</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306C2">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平台系统里需要经过我审批的流程，如旅行社预订单审批、商户入驻平台流程审批；</w:t>
            </w:r>
          </w:p>
        </w:tc>
      </w:tr>
      <w:tr w14:paraId="7211F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0FF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EFAB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我的商户管理</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D466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我的商户</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8DFB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西塘全域旅游平台上开通企业或个体户商户，商户状态查询、企业或个体户执照上传、开户行及企业信息录入等；</w:t>
            </w:r>
          </w:p>
        </w:tc>
      </w:tr>
      <w:tr w14:paraId="108A4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6178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D1439">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260E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商品上传</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DD60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定义商品，上传商品图片及介绍；</w:t>
            </w:r>
          </w:p>
        </w:tc>
      </w:tr>
      <w:tr w14:paraId="17602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4DE7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70D26">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B154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商品管理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9D55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选择我的商品，设定商品价格，商品上下架管理；</w:t>
            </w:r>
          </w:p>
        </w:tc>
      </w:tr>
      <w:tr w14:paraId="133D4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7DCA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F5B71">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8AE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我的订单管理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796C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新增订单管理，发货管理，历史订单查询，退换货管理；</w:t>
            </w:r>
          </w:p>
        </w:tc>
      </w:tr>
      <w:tr w14:paraId="78127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B2F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6E5E6">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8EA9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我的订单查询</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F6D65">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我的订单查询统计及数据分析；</w:t>
            </w:r>
          </w:p>
        </w:tc>
      </w:tr>
      <w:tr w14:paraId="0F605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55D1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67F5A">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1A5E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我的申诉及处理</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3AE8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客户对我商品的质疑及申诉，我的处理方式（退单，换货及沟通处理）上传；</w:t>
            </w:r>
          </w:p>
        </w:tc>
      </w:tr>
      <w:tr w14:paraId="1475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B9A3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w:t>
            </w: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ECBD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FFA5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我的对账单</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D273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我的资金到账，我与平台的对账单等；</w:t>
            </w:r>
          </w:p>
        </w:tc>
      </w:tr>
      <w:tr w14:paraId="361B8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504B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43</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01EF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系统定制及升级</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C244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系统替换及定制升级</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23CF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分析旧系统数据结构，查清并分析有用数据字典，将有用数据导出;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将旧有用数据加入新系统索引并导入新系统</w:t>
            </w:r>
          </w:p>
        </w:tc>
      </w:tr>
      <w:tr w14:paraId="556D5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3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D651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w:t>
            </w:r>
          </w:p>
        </w:tc>
        <w:tc>
          <w:tcPr>
            <w:tcW w:w="76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EC25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三级等保</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D8CC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三级等保</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1BA8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第三方三级等保申请及后续漏洞开发及修复（服务内容如下）：</w:t>
            </w:r>
          </w:p>
        </w:tc>
      </w:tr>
      <w:tr w14:paraId="02482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BA55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BB5F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017F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定级备案</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154C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按照《信息系统安全等级保护定级指南》以及《信息安全等级保护管理办法》等文件的要求，协助用户完成信息系统安全等级保护定级备案材料编制工作。</w:t>
            </w:r>
          </w:p>
        </w:tc>
      </w:tr>
      <w:tr w14:paraId="34290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5C06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6DC91">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3F6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差距测评</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B886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据被测系统安全等级保护定级情况，制定信息系统安全等级保护测评方案，对信息系统涉及的机房、网络/安全设备、主机设备、应用系统、安全管理体系等进行等级保护差距测评，并提交不符合项表和整改建议。</w:t>
            </w:r>
          </w:p>
        </w:tc>
      </w:tr>
      <w:tr w14:paraId="29EFC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5513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EABE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C815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漏洞扫描</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7D41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对被测信息系统服务器、应用系统进行漏洞扫描，列出被测信息系统中存在的主要问题以及可能造成的后果，并提出整改建议。</w:t>
            </w:r>
          </w:p>
        </w:tc>
      </w:tr>
      <w:tr w14:paraId="7BD23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642A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9D35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B249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渗透测试</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3CB7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根据扫描结果进行漏洞分析及说明，对二级互联网信息系统开展渗透测试，进行弱口令测试及其他手工测试并提交修复建议。</w:t>
            </w:r>
          </w:p>
        </w:tc>
      </w:tr>
      <w:tr w14:paraId="78054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00D1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c>
          <w:tcPr>
            <w:tcW w:w="76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1F8EE">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18"/>
                <w:szCs w:val="18"/>
                <w:highlight w:val="none"/>
                <w:u w:val="none"/>
              </w:rPr>
            </w:pP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36AE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验收测评</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8057C">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用户完成整改工作后，我中心依据《信息系统安全等级保护基本要求》及相关标准和要求，对信息系统进行验收性测评，并输出测评报告。</w:t>
            </w:r>
          </w:p>
        </w:tc>
      </w:tr>
      <w:tr w14:paraId="6257F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0" w:type="pct"/>
            <w:tcBorders>
              <w:top w:val="single" w:color="000000" w:sz="4" w:space="0"/>
              <w:left w:val="single" w:color="000000" w:sz="4" w:space="0"/>
              <w:bottom w:val="single" w:color="000000" w:sz="4" w:space="0"/>
              <w:right w:val="single" w:color="000000" w:sz="4" w:space="0"/>
            </w:tcBorders>
            <w:shd w:val="clear" w:color="auto" w:fill="FADADE"/>
            <w:vAlign w:val="center"/>
          </w:tcPr>
          <w:p w14:paraId="715C7AA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五</w:t>
            </w:r>
          </w:p>
        </w:tc>
        <w:tc>
          <w:tcPr>
            <w:tcW w:w="1721" w:type="pct"/>
            <w:gridSpan w:val="4"/>
            <w:tcBorders>
              <w:top w:val="single" w:color="000000" w:sz="4" w:space="0"/>
              <w:left w:val="single" w:color="000000" w:sz="4" w:space="0"/>
              <w:bottom w:val="single" w:color="000000" w:sz="4" w:space="0"/>
              <w:right w:val="single" w:color="000000" w:sz="4" w:space="0"/>
            </w:tcBorders>
            <w:shd w:val="clear" w:color="auto" w:fill="FADADE"/>
            <w:vAlign w:val="center"/>
          </w:tcPr>
          <w:p w14:paraId="1D7B1D5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技术支持及维保服务</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FADADE"/>
            <w:vAlign w:val="center"/>
          </w:tcPr>
          <w:p w14:paraId="0AE8DF5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18"/>
                <w:szCs w:val="18"/>
                <w:highlight w:val="none"/>
                <w:u w:val="none"/>
              </w:rPr>
            </w:pPr>
          </w:p>
        </w:tc>
      </w:tr>
      <w:tr w14:paraId="2C7B1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ACA6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172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5950E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bCs/>
                <w:i w:val="0"/>
                <w:iCs w:val="0"/>
                <w:color w:val="auto"/>
                <w:sz w:val="18"/>
                <w:szCs w:val="18"/>
                <w:highlight w:val="none"/>
                <w:u w:val="none"/>
              </w:rPr>
              <w:t>技术支持</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CC940">
            <w:pPr>
              <w:keepNext w:val="0"/>
              <w:keepLines w:val="0"/>
              <w:widowControl/>
              <w:suppressLineNumbers w:val="0"/>
              <w:shd w:val="clear"/>
              <w:spacing w:before="0" w:beforeAutospacing="0" w:after="0" w:afterAutospacing="0"/>
              <w:ind w:left="0" w:right="0"/>
              <w:jc w:val="left"/>
              <w:textAlignment w:val="center"/>
              <w:rPr>
                <w:rFonts w:hint="default" w:ascii="宋体" w:hAnsi="宋体" w:eastAsia="宋体" w:cs="宋体"/>
                <w:b w:val="0"/>
                <w:bCs w:val="0"/>
                <w:i w:val="0"/>
                <w:iCs w:val="0"/>
                <w:color w:val="auto"/>
                <w:sz w:val="18"/>
                <w:szCs w:val="18"/>
                <w:highlight w:val="none"/>
                <w:u w:val="none"/>
                <w:lang w:val="en-US" w:eastAsia="zh-CN"/>
              </w:rPr>
            </w:pPr>
            <w:r>
              <w:rPr>
                <w:rFonts w:hint="eastAsia" w:ascii="宋体" w:hAnsi="宋体" w:eastAsia="宋体" w:cs="宋体"/>
                <w:b w:val="0"/>
                <w:bCs w:val="0"/>
                <w:i w:val="0"/>
                <w:iCs w:val="0"/>
                <w:color w:val="auto"/>
                <w:sz w:val="18"/>
                <w:szCs w:val="18"/>
                <w:highlight w:val="none"/>
                <w:u w:val="none"/>
              </w:rPr>
              <w:t>包含需求调研+项目整体验收后技术指导及驻场服务</w:t>
            </w:r>
            <w:r>
              <w:rPr>
                <w:rFonts w:hint="eastAsia" w:ascii="宋体" w:hAnsi="宋体" w:cs="宋体"/>
                <w:b w:val="0"/>
                <w:bCs w:val="0"/>
                <w:i w:val="0"/>
                <w:iCs w:val="0"/>
                <w:color w:val="auto"/>
                <w:sz w:val="18"/>
                <w:szCs w:val="18"/>
                <w:highlight w:val="none"/>
                <w:u w:val="none"/>
                <w:lang w:val="en-US" w:eastAsia="zh-CN"/>
              </w:rPr>
              <w:t>共计4个月</w:t>
            </w:r>
          </w:p>
        </w:tc>
      </w:tr>
      <w:tr w14:paraId="7A838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575B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172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C2736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bCs/>
                <w:i w:val="0"/>
                <w:iCs w:val="0"/>
                <w:color w:val="auto"/>
                <w:sz w:val="18"/>
                <w:szCs w:val="18"/>
                <w:highlight w:val="none"/>
                <w:u w:val="none"/>
              </w:rPr>
              <w:t>项目维保</w:t>
            </w:r>
          </w:p>
        </w:tc>
        <w:tc>
          <w:tcPr>
            <w:tcW w:w="29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B0C1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三年</w:t>
            </w:r>
          </w:p>
        </w:tc>
      </w:tr>
    </w:tbl>
    <w:p w14:paraId="1B9A9895">
      <w:pPr>
        <w:keepNext w:val="0"/>
        <w:keepLines w:val="0"/>
        <w:pageBreakBefore w:val="0"/>
        <w:widowControl w:val="0"/>
        <w:numPr>
          <w:ilvl w:val="0"/>
          <w:numId w:val="27"/>
        </w:numPr>
        <w:shd w:val="clear"/>
        <w:kinsoku/>
        <w:wordWrap w:val="0"/>
        <w:overflowPunct/>
        <w:topLinePunct w:val="0"/>
        <w:autoSpaceDE/>
        <w:autoSpaceDN/>
        <w:bidi w:val="0"/>
        <w:adjustRightInd/>
        <w:snapToGrid/>
        <w:spacing w:after="145" w:afterLines="50" w:line="700" w:lineRule="exact"/>
        <w:ind w:firstLine="241" w:firstLineChars="100"/>
        <w:textAlignment w:val="auto"/>
        <w:outlineLvl w:val="2"/>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、硬件清单</w:t>
      </w:r>
    </w:p>
    <w:tbl>
      <w:tblPr>
        <w:tblStyle w:val="48"/>
        <w:tblW w:w="535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4"/>
        <w:gridCol w:w="826"/>
        <w:gridCol w:w="3800"/>
        <w:gridCol w:w="507"/>
        <w:gridCol w:w="843"/>
        <w:gridCol w:w="2300"/>
        <w:gridCol w:w="725"/>
      </w:tblGrid>
      <w:tr w14:paraId="4A586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blHeader/>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AC8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9D0A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设备名称</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D814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技术指标/性能/参数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0494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7C62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B1A4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参考样例</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A54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w:t>
            </w:r>
          </w:p>
        </w:tc>
      </w:tr>
      <w:tr w14:paraId="0DF24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91AADF"/>
            <w:vAlign w:val="center"/>
          </w:tcPr>
          <w:p w14:paraId="7CF403A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（一）</w:t>
            </w:r>
          </w:p>
        </w:tc>
        <w:tc>
          <w:tcPr>
            <w:tcW w:w="4580" w:type="pct"/>
            <w:gridSpan w:val="6"/>
            <w:tcBorders>
              <w:top w:val="single" w:color="000000" w:sz="4" w:space="0"/>
              <w:left w:val="single" w:color="000000" w:sz="4" w:space="0"/>
              <w:bottom w:val="single" w:color="000000" w:sz="4" w:space="0"/>
              <w:right w:val="single" w:color="000000" w:sz="4" w:space="0"/>
            </w:tcBorders>
            <w:shd w:val="clear" w:color="auto" w:fill="91AADF"/>
            <w:vAlign w:val="center"/>
          </w:tcPr>
          <w:p w14:paraId="56555E9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w:t>
            </w:r>
          </w:p>
        </w:tc>
      </w:tr>
      <w:tr w14:paraId="2189C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FCE4D3"/>
            <w:vAlign w:val="center"/>
          </w:tcPr>
          <w:p w14:paraId="5DA1B7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门禁闸机检售票硬件设施——设备采购及安装</w:t>
            </w:r>
          </w:p>
        </w:tc>
      </w:tr>
      <w:tr w14:paraId="35A24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3"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CB9A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DFF4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三锟闸</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CF75A">
            <w:pPr>
              <w:pStyle w:val="15"/>
              <w:keepNext w:val="0"/>
              <w:keepLines w:val="0"/>
              <w:pageBreakBefore w:val="0"/>
              <w:widowControl w:val="0"/>
              <w:numPr>
                <w:ilvl w:val="0"/>
                <w:numId w:val="28"/>
              </w:numPr>
              <w:shd w:val="clear"/>
              <w:kinsoku/>
              <w:wordWrap/>
              <w:overflowPunct/>
              <w:topLinePunct w:val="0"/>
              <w:autoSpaceDE/>
              <w:autoSpaceDN/>
              <w:bidi w:val="0"/>
              <w:adjustRightInd/>
              <w:snapToGrid/>
              <w:textAlignment w:val="auto"/>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尺寸：1600mm*240mm*1050mm，通道宽度550mm；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2、电动三辊闸，直流无刷电机，断电落锁，上电自动上杆；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3、支持纯室外环境使用，具有IP65认证，最大涉水深度200mm，支</w:t>
            </w:r>
            <w:r>
              <w:rPr>
                <w:rStyle w:val="306"/>
                <w:color w:val="auto"/>
                <w:highlight w:val="none"/>
                <w:lang w:val="en-US" w:eastAsia="zh-CN" w:bidi="ar"/>
              </w:rPr>
              <w:t>持低温自动加热</w:t>
            </w:r>
            <w:r>
              <w:rPr>
                <w:rFonts w:hint="eastAsia" w:ascii="宋体" w:hAnsi="宋体" w:eastAsia="宋体" w:cs="宋体"/>
                <w:i w:val="0"/>
                <w:iCs w:val="0"/>
                <w:color w:val="auto"/>
                <w:kern w:val="0"/>
                <w:sz w:val="20"/>
                <w:szCs w:val="20"/>
                <w:highlight w:val="none"/>
                <w:u w:val="none"/>
                <w:lang w:val="en-US" w:eastAsia="zh-CN" w:bidi="ar"/>
              </w:rPr>
              <w:t>，支持免检计数；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4、顶板采用2mm厚304不锈钢，机身采用1.5mm厚304不锈钢；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5、可集成屏显、二维码、二代证、rfid、人脸、吞卡器等鉴权设备；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6、支持I/O口对接，可支持工控机进行系统级对接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7、含配套软件</w:t>
            </w:r>
            <w:r>
              <w:rPr>
                <w:rFonts w:hint="eastAsia" w:ascii="宋体" w:hAnsi="宋体" w:eastAsia="宋体" w:cs="宋体"/>
                <w:i w:val="0"/>
                <w:iCs w:val="0"/>
                <w:color w:val="auto"/>
                <w:kern w:val="0"/>
                <w:sz w:val="20"/>
                <w:szCs w:val="20"/>
                <w:highlight w:val="none"/>
                <w:u w:val="none"/>
                <w:lang w:val="en-US" w:eastAsia="zh-CN" w:bidi="ar"/>
              </w:rPr>
              <w:t>、基础</w:t>
            </w:r>
          </w:p>
          <w:p w14:paraId="49FD718F">
            <w:pPr>
              <w:pStyle w:val="45"/>
              <w:keepNext w:val="0"/>
              <w:keepLines w:val="0"/>
              <w:pageBreakBefore w:val="0"/>
              <w:widowControl w:val="0"/>
              <w:suppressLineNumbers w:val="0"/>
              <w:shd w:val="clear"/>
              <w:tabs>
                <w:tab w:val="left" w:pos="840"/>
              </w:tabs>
              <w:kinsoku/>
              <w:wordWrap/>
              <w:overflowPunct/>
              <w:topLinePunct w:val="0"/>
              <w:autoSpaceDE/>
              <w:autoSpaceDN/>
              <w:bidi w:val="0"/>
              <w:adjustRightInd/>
              <w:snapToGrid/>
              <w:spacing w:before="0" w:beforeAutospacing="0" w:afterAutospacing="0"/>
              <w:ind w:left="0" w:leftChars="0" w:right="0" w:firstLine="0" w:firstLineChars="0"/>
              <w:textAlignment w:val="auto"/>
              <w:rPr>
                <w:rFonts w:hint="default"/>
                <w:color w:val="auto"/>
                <w:highlight w:val="none"/>
              </w:rPr>
            </w:pPr>
            <w:r>
              <w:rPr>
                <w:rFonts w:hint="eastAsia" w:ascii="宋体" w:hAnsi="宋体" w:cs="宋体"/>
                <w:color w:val="auto"/>
                <w:kern w:val="0"/>
                <w:highlight w:val="none"/>
                <w:lang w:val="en-US" w:eastAsia="zh-CN"/>
              </w:rPr>
              <w:t>8、</w:t>
            </w:r>
            <w:r>
              <w:rPr>
                <w:rFonts w:hint="eastAsia" w:ascii="宋体" w:hAnsi="宋体" w:cs="宋体"/>
                <w:color w:val="auto"/>
                <w:kern w:val="0"/>
                <w:highlight w:val="none"/>
              </w:rPr>
              <w:t>★</w:t>
            </w:r>
            <w:r>
              <w:rPr>
                <w:rFonts w:hint="eastAsia"/>
                <w:color w:val="auto"/>
                <w:highlight w:val="none"/>
              </w:rPr>
              <w:t>平均无故障运行次数：≥1500万次（</w:t>
            </w:r>
            <w:r>
              <w:rPr>
                <w:rFonts w:hint="eastAsia"/>
                <w:color w:val="auto"/>
                <w:highlight w:val="none"/>
                <w:lang w:val="en-US" w:eastAsia="zh-CN"/>
              </w:rPr>
              <w:t>投标文件中需提供第三方检测报告</w:t>
            </w:r>
            <w:r>
              <w:rPr>
                <w:rFonts w:hint="eastAsia"/>
                <w:color w:val="auto"/>
                <w:highlight w:val="none"/>
              </w:rPr>
              <w:t>）；</w:t>
            </w:r>
          </w:p>
          <w:p w14:paraId="1AFA5C35">
            <w:pPr>
              <w:pStyle w:val="45"/>
              <w:keepNext w:val="0"/>
              <w:keepLines w:val="0"/>
              <w:pageBreakBefore w:val="0"/>
              <w:widowControl w:val="0"/>
              <w:suppressLineNumbers w:val="0"/>
              <w:shd w:val="clear"/>
              <w:tabs>
                <w:tab w:val="left" w:pos="840"/>
              </w:tabs>
              <w:kinsoku/>
              <w:wordWrap/>
              <w:overflowPunct/>
              <w:topLinePunct w:val="0"/>
              <w:autoSpaceDE/>
              <w:autoSpaceDN/>
              <w:bidi w:val="0"/>
              <w:adjustRightInd/>
              <w:snapToGrid/>
              <w:spacing w:before="0" w:beforeAutospacing="0" w:afterAutospacing="0"/>
              <w:ind w:left="0" w:leftChars="0" w:right="0" w:firstLine="0" w:firstLineChars="0"/>
              <w:textAlignment w:val="auto"/>
              <w:rPr>
                <w:rFonts w:hint="default"/>
                <w:color w:val="auto"/>
                <w:highlight w:val="none"/>
              </w:rPr>
            </w:pPr>
            <w:r>
              <w:rPr>
                <w:rFonts w:hint="eastAsia" w:ascii="宋体" w:hAnsi="宋体" w:cs="宋体"/>
                <w:color w:val="auto"/>
                <w:kern w:val="0"/>
                <w:highlight w:val="none"/>
                <w:lang w:val="en-US" w:eastAsia="zh-CN"/>
              </w:rPr>
              <w:t>9、</w:t>
            </w:r>
            <w:r>
              <w:rPr>
                <w:rFonts w:hint="eastAsia" w:ascii="宋体" w:hAnsi="宋体" w:cs="宋体"/>
                <w:color w:val="auto"/>
                <w:kern w:val="0"/>
                <w:highlight w:val="none"/>
              </w:rPr>
              <w:t>★</w:t>
            </w:r>
            <w:r>
              <w:rPr>
                <w:rFonts w:hint="eastAsia"/>
                <w:color w:val="auto"/>
                <w:highlight w:val="none"/>
              </w:rPr>
              <w:t>整机防尘防水防护等级：不低于IP65（</w:t>
            </w:r>
            <w:r>
              <w:rPr>
                <w:rFonts w:hint="eastAsia"/>
                <w:color w:val="auto"/>
                <w:highlight w:val="none"/>
                <w:lang w:val="en-US" w:eastAsia="zh-CN"/>
              </w:rPr>
              <w:t>投标文件中需提供第三方检测报告</w:t>
            </w:r>
            <w:r>
              <w:rPr>
                <w:rFonts w:hint="eastAsia"/>
                <w:color w:val="auto"/>
                <w:highlight w:val="none"/>
              </w:rPr>
              <w:t>）；</w:t>
            </w:r>
          </w:p>
          <w:p w14:paraId="3665632D">
            <w:pPr>
              <w:pStyle w:val="45"/>
              <w:keepNext w:val="0"/>
              <w:keepLines w:val="0"/>
              <w:pageBreakBefore w:val="0"/>
              <w:widowControl w:val="0"/>
              <w:suppressLineNumbers w:val="0"/>
              <w:shd w:val="clear"/>
              <w:tabs>
                <w:tab w:val="left" w:pos="840"/>
              </w:tabs>
              <w:kinsoku/>
              <w:wordWrap/>
              <w:overflowPunct/>
              <w:topLinePunct w:val="0"/>
              <w:autoSpaceDE/>
              <w:autoSpaceDN/>
              <w:bidi w:val="0"/>
              <w:adjustRightInd/>
              <w:snapToGrid/>
              <w:spacing w:before="0" w:beforeAutospacing="0" w:afterAutospacing="0"/>
              <w:ind w:left="0" w:leftChars="0" w:right="0" w:firstLine="0" w:firstLineChars="0"/>
              <w:textAlignment w:val="auto"/>
              <w:rPr>
                <w:rFonts w:hint="default"/>
                <w:color w:val="auto"/>
                <w:highlight w:val="none"/>
              </w:rPr>
            </w:pPr>
            <w:r>
              <w:rPr>
                <w:rFonts w:hint="eastAsia" w:ascii="宋体" w:hAnsi="宋体" w:cs="宋体"/>
                <w:color w:val="auto"/>
                <w:kern w:val="0"/>
                <w:highlight w:val="none"/>
                <w:lang w:val="en-US" w:eastAsia="zh-CN"/>
              </w:rPr>
              <w:t>10、</w:t>
            </w:r>
            <w:r>
              <w:rPr>
                <w:rFonts w:hint="eastAsia" w:ascii="宋体" w:hAnsi="宋体" w:cs="宋体"/>
                <w:color w:val="auto"/>
                <w:kern w:val="0"/>
                <w:highlight w:val="none"/>
              </w:rPr>
              <w:t>★</w:t>
            </w:r>
            <w:r>
              <w:rPr>
                <w:rFonts w:hint="eastAsia"/>
                <w:color w:val="auto"/>
                <w:highlight w:val="none"/>
              </w:rPr>
              <w:t>闸机通过72小时疲劳度测试，且不低于50万次（</w:t>
            </w:r>
            <w:r>
              <w:rPr>
                <w:rFonts w:hint="eastAsia"/>
                <w:color w:val="auto"/>
                <w:highlight w:val="none"/>
                <w:lang w:val="en-US" w:eastAsia="zh-CN"/>
              </w:rPr>
              <w:t>投标文件中需提供第三方检测报告</w:t>
            </w:r>
            <w:r>
              <w:rPr>
                <w:rFonts w:hint="eastAsia"/>
                <w:color w:val="auto"/>
                <w:highlight w:val="none"/>
              </w:rPr>
              <w:t>）；</w:t>
            </w:r>
          </w:p>
          <w:p w14:paraId="7CB1BD96">
            <w:pPr>
              <w:pStyle w:val="45"/>
              <w:keepNext w:val="0"/>
              <w:keepLines w:val="0"/>
              <w:pageBreakBefore w:val="0"/>
              <w:widowControl w:val="0"/>
              <w:suppressLineNumbers w:val="0"/>
              <w:shd w:val="clear"/>
              <w:tabs>
                <w:tab w:val="left" w:pos="840"/>
              </w:tabs>
              <w:kinsoku/>
              <w:wordWrap/>
              <w:overflowPunct/>
              <w:topLinePunct w:val="0"/>
              <w:autoSpaceDE/>
              <w:autoSpaceDN/>
              <w:bidi w:val="0"/>
              <w:adjustRightInd/>
              <w:snapToGrid/>
              <w:spacing w:before="0" w:beforeAutospacing="0" w:afterAutospacing="0"/>
              <w:ind w:left="0" w:leftChars="0" w:right="0" w:firstLine="0" w:firstLineChars="0"/>
              <w:textAlignment w:val="auto"/>
              <w:rPr>
                <w:rFonts w:hint="default"/>
                <w:color w:val="auto"/>
                <w:highlight w:val="none"/>
              </w:rPr>
            </w:pPr>
            <w:r>
              <w:rPr>
                <w:rFonts w:hint="eastAsia" w:ascii="宋体" w:hAnsi="宋体" w:cs="宋体"/>
                <w:color w:val="auto"/>
                <w:kern w:val="0"/>
                <w:highlight w:val="none"/>
                <w:lang w:val="en-US" w:eastAsia="zh-CN"/>
              </w:rPr>
              <w:t>11、</w:t>
            </w:r>
            <w:r>
              <w:rPr>
                <w:rFonts w:hint="eastAsia" w:ascii="宋体" w:hAnsi="宋体" w:cs="宋体"/>
                <w:color w:val="auto"/>
                <w:kern w:val="0"/>
                <w:highlight w:val="none"/>
              </w:rPr>
              <w:t>★</w:t>
            </w:r>
            <w:r>
              <w:rPr>
                <w:rFonts w:hint="eastAsia"/>
                <w:color w:val="auto"/>
                <w:highlight w:val="none"/>
              </w:rPr>
              <w:t>闸机核心部件（机芯及电机）的MTTR≤15分钟（</w:t>
            </w:r>
            <w:r>
              <w:rPr>
                <w:rFonts w:hint="eastAsia"/>
                <w:color w:val="auto"/>
                <w:highlight w:val="none"/>
                <w:lang w:val="en-US" w:eastAsia="zh-CN"/>
              </w:rPr>
              <w:t>投标文件中需提供第三方检测报告</w:t>
            </w:r>
            <w:r>
              <w:rPr>
                <w:rFonts w:hint="eastAsia"/>
                <w:color w:val="auto"/>
                <w:highlight w:val="none"/>
              </w:rPr>
              <w:t>）；</w:t>
            </w:r>
          </w:p>
          <w:p w14:paraId="285A4388">
            <w:pPr>
              <w:pStyle w:val="45"/>
              <w:keepNext w:val="0"/>
              <w:keepLines w:val="0"/>
              <w:pageBreakBefore w:val="0"/>
              <w:widowControl w:val="0"/>
              <w:suppressLineNumbers w:val="0"/>
              <w:shd w:val="clear"/>
              <w:tabs>
                <w:tab w:val="left" w:pos="840"/>
              </w:tabs>
              <w:kinsoku/>
              <w:wordWrap/>
              <w:overflowPunct/>
              <w:topLinePunct w:val="0"/>
              <w:autoSpaceDE/>
              <w:autoSpaceDN/>
              <w:bidi w:val="0"/>
              <w:adjustRightInd/>
              <w:snapToGrid/>
              <w:spacing w:before="0" w:beforeAutospacing="0" w:afterAutospacing="0"/>
              <w:ind w:left="0" w:leftChars="0" w:right="0" w:firstLine="0" w:firstLineChars="0"/>
              <w:textAlignment w:val="auto"/>
              <w:rPr>
                <w:rFonts w:hint="eastAsia" w:ascii="宋体" w:hAnsi="宋体" w:eastAsia="宋体" w:cs="宋体"/>
                <w:i w:val="0"/>
                <w:iCs w:val="0"/>
                <w:color w:val="auto"/>
                <w:sz w:val="20"/>
                <w:szCs w:val="20"/>
                <w:highlight w:val="none"/>
                <w:u w:val="none"/>
              </w:rPr>
            </w:pPr>
            <w:r>
              <w:rPr>
                <w:rFonts w:hint="eastAsia" w:ascii="宋体" w:hAnsi="宋体" w:cs="宋体"/>
                <w:color w:val="auto"/>
                <w:kern w:val="0"/>
                <w:highlight w:val="none"/>
                <w:lang w:val="en-US" w:eastAsia="zh-CN"/>
              </w:rPr>
              <w:t>12、</w:t>
            </w:r>
            <w:r>
              <w:rPr>
                <w:rFonts w:hint="eastAsia" w:ascii="宋体" w:hAnsi="宋体" w:cs="宋体"/>
                <w:color w:val="auto"/>
                <w:kern w:val="0"/>
                <w:highlight w:val="none"/>
              </w:rPr>
              <w:t>★</w:t>
            </w:r>
            <w:r>
              <w:rPr>
                <w:rFonts w:hint="eastAsia"/>
                <w:color w:val="auto"/>
                <w:highlight w:val="none"/>
              </w:rPr>
              <w:t>闸机具备故障自动上传功能，在线状态下支持故障主动上报（</w:t>
            </w:r>
            <w:r>
              <w:rPr>
                <w:rFonts w:hint="eastAsia"/>
                <w:color w:val="auto"/>
                <w:highlight w:val="none"/>
                <w:lang w:val="en-US" w:eastAsia="zh-CN"/>
              </w:rPr>
              <w:t>投标文件中需提供第三方检测报告</w:t>
            </w:r>
            <w:r>
              <w:rPr>
                <w:rFonts w:hint="eastAsia"/>
                <w:color w:val="auto"/>
                <w:highlight w:val="none"/>
              </w:rPr>
              <w:t>）</w:t>
            </w:r>
            <w:r>
              <w:rPr>
                <w:rFonts w:hint="eastAsia"/>
                <w:color w:val="auto"/>
                <w:highlight w:val="none"/>
                <w:lang w:eastAsia="zh-CN"/>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6B34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04D8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26</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2DCC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1333500" cy="1743075"/>
                  <wp:effectExtent l="0" t="0" r="0" b="9525"/>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11"/>
                          <a:stretch>
                            <a:fillRect/>
                          </a:stretch>
                        </pic:blipFill>
                        <pic:spPr>
                          <a:xfrm>
                            <a:off x="0" y="0"/>
                            <a:ext cx="1333500" cy="1743075"/>
                          </a:xfrm>
                          <a:prstGeom prst="rect">
                            <a:avLst/>
                          </a:prstGeom>
                          <a:noFill/>
                          <a:ln w="9525">
                            <a:noFill/>
                          </a:ln>
                        </pic:spPr>
                      </pic:pic>
                    </a:graphicData>
                  </a:graphic>
                </wp:inline>
              </w:drawing>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612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E027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8AC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F46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电动双摆翼摆闸</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4E580">
            <w:pPr>
              <w:keepNext w:val="0"/>
              <w:keepLines w:val="0"/>
              <w:widowControl/>
              <w:numPr>
                <w:ilvl w:val="0"/>
                <w:numId w:val="29"/>
              </w:numPr>
              <w:suppressLineNumbers w:val="0"/>
              <w:shd w:val="clear"/>
              <w:spacing w:before="0" w:beforeAutospacing="0" w:after="0" w:afterAutospacing="0"/>
              <w:ind w:left="0" w:right="0"/>
              <w:jc w:val="left"/>
              <w:textAlignment w:val="center"/>
              <w:rPr>
                <w:rFonts w:hint="default"/>
                <w:color w:val="auto"/>
                <w:highlight w:val="none"/>
              </w:rPr>
            </w:pPr>
            <w:r>
              <w:rPr>
                <w:rFonts w:hint="eastAsia" w:ascii="宋体" w:hAnsi="宋体" w:eastAsia="宋体" w:cs="宋体"/>
                <w:i w:val="0"/>
                <w:iCs w:val="0"/>
                <w:color w:val="auto"/>
                <w:kern w:val="0"/>
                <w:sz w:val="20"/>
                <w:szCs w:val="20"/>
                <w:highlight w:val="none"/>
                <w:u w:val="none"/>
                <w:lang w:val="en-US" w:eastAsia="zh-CN" w:bidi="ar"/>
              </w:rPr>
              <w:t>尺寸：1600mm*240mm*1050mm，通道宽度550-900mm；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2、电动双摆翼摆闸，断电解锁，上电自检；</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3、支持纯室外环境使用，最大涉水深度20mm，支持低温自动加热，支持免检计数；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4、顶板采用2mm厚304不锈钢，机身采用1.5mm厚304不锈钢；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5、可集成屏显、二维码、二代证、rfid、人脸、吞卡器等鉴权设备；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6、支持I/O口对接，可支持工控机进行系统级对接；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7、内置16对红外传感器，直流无刷电机；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8、含配套软件</w:t>
            </w:r>
            <w:r>
              <w:rPr>
                <w:rFonts w:hint="eastAsia" w:ascii="宋体" w:hAnsi="宋体" w:eastAsia="宋体" w:cs="宋体"/>
                <w:i w:val="0"/>
                <w:iCs w:val="0"/>
                <w:color w:val="auto"/>
                <w:kern w:val="0"/>
                <w:sz w:val="20"/>
                <w:szCs w:val="20"/>
                <w:highlight w:val="none"/>
                <w:u w:val="none"/>
                <w:lang w:val="en-US" w:eastAsia="zh-CN" w:bidi="ar"/>
              </w:rPr>
              <w:t>、基础</w:t>
            </w:r>
          </w:p>
          <w:p w14:paraId="07079E7E">
            <w:pPr>
              <w:keepNext w:val="0"/>
              <w:keepLines w:val="0"/>
              <w:widowControl/>
              <w:numPr>
                <w:ilvl w:val="0"/>
                <w:numId w:val="0"/>
              </w:numPr>
              <w:suppressLineNumbers w:val="0"/>
              <w:shd w:val="clear"/>
              <w:spacing w:before="0" w:beforeAutospacing="0" w:after="0" w:afterAutospacing="0"/>
              <w:ind w:left="0" w:right="0" w:rightChars="0"/>
              <w:jc w:val="left"/>
              <w:textAlignment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9、</w:t>
            </w:r>
            <w:r>
              <w:rPr>
                <w:rFonts w:hint="eastAsia"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color w:val="auto"/>
                <w:kern w:val="2"/>
                <w:sz w:val="21"/>
                <w:szCs w:val="24"/>
                <w:highlight w:val="none"/>
                <w:lang w:val="en-US" w:eastAsia="zh-CN" w:bidi="ar-SA"/>
              </w:rPr>
              <w:t>平均无故障运行次数：≥3000万次（</w:t>
            </w:r>
            <w:r>
              <w:rPr>
                <w:rFonts w:hint="eastAsia" w:cs="Times New Roman"/>
                <w:color w:val="auto"/>
                <w:kern w:val="2"/>
                <w:sz w:val="21"/>
                <w:szCs w:val="24"/>
                <w:highlight w:val="none"/>
                <w:lang w:val="en-US" w:eastAsia="zh-CN" w:bidi="ar-SA"/>
              </w:rPr>
              <w:t>投标文件中需提供第三方检测报告</w:t>
            </w:r>
            <w:r>
              <w:rPr>
                <w:rFonts w:hint="eastAsia" w:ascii="Times New Roman" w:hAnsi="Times New Roman" w:eastAsia="宋体" w:cs="Times New Roman"/>
                <w:color w:val="auto"/>
                <w:kern w:val="2"/>
                <w:sz w:val="21"/>
                <w:szCs w:val="24"/>
                <w:highlight w:val="none"/>
                <w:lang w:val="en-US" w:eastAsia="zh-CN" w:bidi="ar-SA"/>
              </w:rPr>
              <w:t>）；</w:t>
            </w:r>
          </w:p>
          <w:p w14:paraId="32B6C775">
            <w:pPr>
              <w:pStyle w:val="45"/>
              <w:keepNext w:val="0"/>
              <w:keepLines w:val="0"/>
              <w:suppressLineNumbers w:val="0"/>
              <w:shd w:val="clear"/>
              <w:tabs>
                <w:tab w:val="left" w:pos="840"/>
              </w:tabs>
              <w:spacing w:before="0" w:beforeAutospacing="0" w:afterAutospacing="0"/>
              <w:ind w:left="0" w:leftChars="0" w:right="0" w:firstLine="0" w:firstLineChars="0"/>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kern w:val="0"/>
                <w:highlight w:val="none"/>
                <w:lang w:val="en-US" w:eastAsia="zh-CN"/>
              </w:rPr>
              <w:t>10、</w:t>
            </w:r>
            <w:r>
              <w:rPr>
                <w:rFonts w:hint="eastAsia" w:ascii="宋体" w:hAnsi="宋体" w:cs="宋体"/>
                <w:color w:val="auto"/>
                <w:kern w:val="0"/>
                <w:highlight w:val="none"/>
              </w:rPr>
              <w:t>★</w:t>
            </w:r>
            <w:r>
              <w:rPr>
                <w:rFonts w:hint="eastAsia"/>
                <w:color w:val="auto"/>
                <w:highlight w:val="none"/>
              </w:rPr>
              <w:t>整机防尘防水防护等级：不低于IP65（</w:t>
            </w:r>
            <w:r>
              <w:rPr>
                <w:rFonts w:hint="eastAsia" w:cs="Times New Roman"/>
                <w:color w:val="auto"/>
                <w:kern w:val="2"/>
                <w:sz w:val="21"/>
                <w:szCs w:val="24"/>
                <w:highlight w:val="none"/>
                <w:lang w:val="en-US" w:eastAsia="zh-CN" w:bidi="ar-SA"/>
              </w:rPr>
              <w:t>投标文件中需提供第三方检测报告</w:t>
            </w:r>
            <w:r>
              <w:rPr>
                <w:rFonts w:hint="eastAsia"/>
                <w:color w:val="auto"/>
                <w:highlight w:val="none"/>
              </w:rPr>
              <w:t>）</w:t>
            </w:r>
            <w:r>
              <w:rPr>
                <w:rFonts w:hint="eastAsia"/>
                <w:color w:val="auto"/>
                <w:highlight w:val="none"/>
                <w:lang w:eastAsia="zh-CN"/>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1A8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95A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8B3D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1247775" cy="1657350"/>
                  <wp:effectExtent l="0" t="0" r="9525" b="0"/>
                  <wp:docPr id="6"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2"/>
                          <a:stretch>
                            <a:fillRect/>
                          </a:stretch>
                        </pic:blipFill>
                        <pic:spPr>
                          <a:xfrm>
                            <a:off x="0" y="0"/>
                            <a:ext cx="1247775" cy="1657350"/>
                          </a:xfrm>
                          <a:prstGeom prst="rect">
                            <a:avLst/>
                          </a:prstGeom>
                          <a:noFill/>
                          <a:ln w="9525">
                            <a:noFill/>
                          </a:ln>
                        </pic:spPr>
                      </pic:pic>
                    </a:graphicData>
                  </a:graphic>
                </wp:inline>
              </w:drawing>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EE1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46D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B1E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3</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F3A6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手持检票机</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CCC3">
            <w:pPr>
              <w:keepNext w:val="0"/>
              <w:keepLines w:val="0"/>
              <w:widowControl/>
              <w:numPr>
                <w:ilvl w:val="0"/>
                <w:numId w:val="30"/>
              </w:numPr>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采用安卓7.0系统，四核1.3GHz高速处理器；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2、2GB RAM，16GB ROM；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3、2.4Ghz&amp;5G Wifi，支持IEEE8.2.11a/b/g/n/ac，支持蓝牙4.0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4、5寸高清屏，</w:t>
            </w:r>
            <w:r>
              <w:rPr>
                <w:rFonts w:hint="eastAsia" w:ascii="宋体" w:hAnsi="宋体" w:eastAsia="宋体" w:cs="宋体"/>
                <w:b/>
                <w:bCs/>
                <w:i w:val="0"/>
                <w:iCs w:val="0"/>
                <w:color w:val="auto"/>
                <w:kern w:val="0"/>
                <w:sz w:val="20"/>
                <w:szCs w:val="20"/>
                <w:highlight w:val="none"/>
                <w:u w:val="none"/>
                <w:lang w:val="en-US" w:eastAsia="zh-CN" w:bidi="ar"/>
              </w:rPr>
              <w:t>触摸屏</w:t>
            </w:r>
            <w:r>
              <w:rPr>
                <w:rFonts w:hint="eastAsia" w:ascii="宋体" w:hAnsi="宋体" w:eastAsia="宋体" w:cs="宋体"/>
                <w:i w:val="0"/>
                <w:iCs w:val="0"/>
                <w:color w:val="auto"/>
                <w:kern w:val="0"/>
                <w:sz w:val="20"/>
                <w:szCs w:val="20"/>
                <w:highlight w:val="none"/>
                <w:u w:val="none"/>
                <w:lang w:val="en-US" w:eastAsia="zh-CN" w:bidi="ar"/>
              </w:rPr>
              <w:t>，分辨率1280*720；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5、支持二代身份证，等识别模块；</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6、配一个充电底座和一块额外电池；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7、含配套软件；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8、用于日常临时性检票机活动/演绎等临时性检票</w:t>
            </w:r>
          </w:p>
          <w:p w14:paraId="66D69209">
            <w:pPr>
              <w:pStyle w:val="12"/>
              <w:keepNext w:val="0"/>
              <w:keepLines w:val="0"/>
              <w:numPr>
                <w:ilvl w:val="0"/>
                <w:numId w:val="0"/>
              </w:numPr>
              <w:suppressLineNumbers w:val="0"/>
              <w:shd w:val="clear"/>
              <w:spacing w:before="0" w:beforeAutospacing="0" w:after="0" w:afterAutospacing="0"/>
              <w:ind w:left="0" w:right="0"/>
              <w:rPr>
                <w:rFonts w:hint="eastAsia"/>
                <w:color w:val="auto"/>
                <w:highlight w:val="none"/>
              </w:rPr>
            </w:pPr>
            <w:r>
              <w:rPr>
                <w:rFonts w:hint="eastAsia" w:ascii="宋体" w:hAnsi="宋体" w:eastAsia="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整机通过IP65认证（</w:t>
            </w:r>
            <w:r>
              <w:rPr>
                <w:rFonts w:hint="eastAsia" w:ascii="宋体" w:hAnsi="宋体" w:cs="宋体"/>
                <w:i w:val="0"/>
                <w:iCs w:val="0"/>
                <w:color w:val="auto"/>
                <w:kern w:val="0"/>
                <w:sz w:val="20"/>
                <w:szCs w:val="20"/>
                <w:highlight w:val="none"/>
                <w:u w:val="none"/>
                <w:lang w:val="en-US" w:eastAsia="zh-CN" w:bidi="ar"/>
              </w:rPr>
              <w:t>投标文件中需提供第三方检测报告</w:t>
            </w:r>
            <w:r>
              <w:rPr>
                <w:rFonts w:hint="eastAsia" w:ascii="宋体" w:hAnsi="宋体" w:eastAsia="宋体" w:cs="宋体"/>
                <w:i w:val="0"/>
                <w:iCs w:val="0"/>
                <w:color w:val="auto"/>
                <w:kern w:val="0"/>
                <w:sz w:val="20"/>
                <w:szCs w:val="20"/>
                <w:highlight w:val="none"/>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1629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40C6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20</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F2D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1143000" cy="1590675"/>
                  <wp:effectExtent l="0" t="0" r="0" b="9525"/>
                  <wp:docPr id="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8"/>
                          <pic:cNvPicPr>
                            <a:picLocks noChangeAspect="1"/>
                          </pic:cNvPicPr>
                        </pic:nvPicPr>
                        <pic:blipFill>
                          <a:blip r:embed="rId13"/>
                          <a:stretch>
                            <a:fillRect/>
                          </a:stretch>
                        </pic:blipFill>
                        <pic:spPr>
                          <a:xfrm>
                            <a:off x="0" y="0"/>
                            <a:ext cx="1143000" cy="1590675"/>
                          </a:xfrm>
                          <a:prstGeom prst="rect">
                            <a:avLst/>
                          </a:prstGeom>
                          <a:noFill/>
                          <a:ln w="9525">
                            <a:noFill/>
                          </a:ln>
                        </pic:spPr>
                      </pic:pic>
                    </a:graphicData>
                  </a:graphic>
                </wp:inline>
              </w:drawing>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25AD">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EA13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9E5B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2B77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人脸识别（支付宝接入）</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9A61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1、Android 7.0系统，6核，1.8GHz, 内存4GB，储存16GB</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2、支持人脸识别</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3、支持红外测温</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4、8英寸，IPS  液晶屏，800*1280高清屏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5、RGB活体检测双目摄像头，200W+130W</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6、接口：1路音频输出，蓝牙4.0，1个RJ45 10M/100M自适应以太网口，WIFI</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7、支持支付宝实名制刷脸核验接口。</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026F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7F80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27</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467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A8A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BD8B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5"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2C2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5</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6C38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自助售检票机</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B207D">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1、43寸高清液晶屏，防爆电容触摸屏，支持流媒体、平面广告同步播放；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2、工业级主板H6116，G2030，主频3.0GHz，DDRIII 4G，120G固态硬盘平台；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3、支持支持银联、微信、支付宝等支付方式；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4、支持二维条码扫描取票、刷二代身份证取票，支持发卡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5、支持中文、英文等语言切换</w:t>
            </w:r>
          </w:p>
          <w:p w14:paraId="4C373146">
            <w:pPr>
              <w:pStyle w:val="12"/>
              <w:keepNext w:val="0"/>
              <w:keepLines w:val="0"/>
              <w:suppressLineNumbers w:val="0"/>
              <w:shd w:val="clear"/>
              <w:spacing w:before="0" w:beforeAutospacing="0" w:after="0" w:afterAutospacing="0"/>
              <w:ind w:left="0" w:leftChars="0" w:right="0" w:firstLine="0" w:firstLineChars="0"/>
              <w:rPr>
                <w:rFonts w:hint="eastAsia"/>
                <w:color w:val="auto"/>
                <w:highlight w:val="none"/>
              </w:rPr>
            </w:pPr>
            <w:r>
              <w:rPr>
                <w:rFonts w:hint="eastAsia" w:ascii="宋体" w:hAnsi="宋体" w:cs="宋体"/>
                <w:color w:val="auto"/>
                <w:kern w:val="0"/>
                <w:sz w:val="20"/>
                <w:szCs w:val="20"/>
                <w:highlight w:val="none"/>
                <w:lang w:val="en-US" w:eastAsia="zh-CN"/>
              </w:rPr>
              <w:t>6</w:t>
            </w:r>
            <w:r>
              <w:rPr>
                <w:rFonts w:hint="eastAsia" w:ascii="宋体" w:hAnsi="宋体" w:cs="宋体"/>
                <w:color w:val="auto"/>
                <w:kern w:val="0"/>
                <w:highlight w:val="none"/>
                <w:lang w:val="en-US" w:eastAsia="zh-CN"/>
              </w:rPr>
              <w:t>、</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提供产品3C证书（</w:t>
            </w:r>
            <w:r>
              <w:rPr>
                <w:rFonts w:hint="eastAsia" w:ascii="宋体" w:hAnsi="宋体" w:cs="宋体"/>
                <w:i w:val="0"/>
                <w:iCs w:val="0"/>
                <w:color w:val="auto"/>
                <w:kern w:val="0"/>
                <w:sz w:val="20"/>
                <w:szCs w:val="20"/>
                <w:highlight w:val="none"/>
                <w:u w:val="none"/>
                <w:lang w:val="en-US" w:eastAsia="zh-CN" w:bidi="ar"/>
              </w:rPr>
              <w:t>投标文件中需提供第三方检测报告</w:t>
            </w:r>
            <w:r>
              <w:rPr>
                <w:rFonts w:hint="eastAsia" w:ascii="宋体" w:hAnsi="宋体" w:eastAsia="宋体" w:cs="宋体"/>
                <w:i w:val="0"/>
                <w:iCs w:val="0"/>
                <w:color w:val="auto"/>
                <w:kern w:val="0"/>
                <w:sz w:val="20"/>
                <w:szCs w:val="20"/>
                <w:highlight w:val="none"/>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809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24D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12</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92D9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2085975" cy="1866900"/>
                  <wp:effectExtent l="0" t="0" r="9525" b="0"/>
                  <wp:docPr id="9"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9"/>
                          <pic:cNvPicPr>
                            <a:picLocks noChangeAspect="1"/>
                          </pic:cNvPicPr>
                        </pic:nvPicPr>
                        <pic:blipFill>
                          <a:blip r:embed="rId14"/>
                          <a:stretch>
                            <a:fillRect/>
                          </a:stretch>
                        </pic:blipFill>
                        <pic:spPr>
                          <a:xfrm>
                            <a:off x="0" y="0"/>
                            <a:ext cx="2085975" cy="1866900"/>
                          </a:xfrm>
                          <a:prstGeom prst="rect">
                            <a:avLst/>
                          </a:prstGeom>
                          <a:noFill/>
                          <a:ln w="9525">
                            <a:noFill/>
                          </a:ln>
                        </pic:spPr>
                      </pic:pic>
                    </a:graphicData>
                  </a:graphic>
                </wp:inline>
              </w:drawing>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86A1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F22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4FDB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6</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FB28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立柱式售检票机</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CCC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1、RK3568，四核2.0GHz；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2、2GB、8G;</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3、Android 11；</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4、7英寸，分辨率720*1280, 500cd/m2；</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5、WIFI，802.11b/g/n，2.4GHz/5GHz；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6、支持扫码、支持二代身份证识读</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FB2B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32B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36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EA16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1819275" cy="1933575"/>
                  <wp:effectExtent l="0" t="0" r="9525" b="9525"/>
                  <wp:docPr id="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15"/>
                          <a:stretch>
                            <a:fillRect/>
                          </a:stretch>
                        </pic:blipFill>
                        <pic:spPr>
                          <a:xfrm>
                            <a:off x="0" y="0"/>
                            <a:ext cx="1819275" cy="1933575"/>
                          </a:xfrm>
                          <a:prstGeom prst="rect">
                            <a:avLst/>
                          </a:prstGeom>
                          <a:noFill/>
                          <a:ln w="9525">
                            <a:noFill/>
                          </a:ln>
                        </pic:spPr>
                      </pic:pic>
                    </a:graphicData>
                  </a:graphic>
                </wp:inline>
              </w:drawing>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BCF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CF29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0" w:hRule="atLeast"/>
        </w:trPr>
        <w:tc>
          <w:tcPr>
            <w:tcW w:w="4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0E85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7</w:t>
            </w: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8C101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多功能读卡器</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A5A7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支持身份证、驾照、护照、港澳通行证、台胞证、行驶证等多种身份证件图像采集与信息识别。</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支持ICAO9303标准护照、签证等旅行证件的图像采集与信息识别。</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读卡支持ICAO9303标准电子护照读卡，读卡时间小于3秒。</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支持ISO 14443 Type A/B类型卡片读卡。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可识读所有符合ICAO标准的证件和中国签发的非ICAO标准证件解析机读码信息。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IP50 防护等级</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采集区域127*88 mm传感器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CMOS 500万像素（2592*1944）</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分辨率500 DPI</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支持社保卡信息读取功能。</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C748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1D6D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1055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2047875" cy="1752600"/>
                  <wp:effectExtent l="0" t="0" r="9525" b="0"/>
                  <wp:docPr id="7"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1"/>
                          <pic:cNvPicPr>
                            <a:picLocks noChangeAspect="1"/>
                          </pic:cNvPicPr>
                        </pic:nvPicPr>
                        <pic:blipFill>
                          <a:blip r:embed="rId16"/>
                          <a:stretch>
                            <a:fillRect/>
                          </a:stretch>
                        </pic:blipFill>
                        <pic:spPr>
                          <a:xfrm>
                            <a:off x="0" y="0"/>
                            <a:ext cx="2047875" cy="1752600"/>
                          </a:xfrm>
                          <a:prstGeom prst="rect">
                            <a:avLst/>
                          </a:prstGeom>
                          <a:noFill/>
                          <a:ln w="9525">
                            <a:noFill/>
                          </a:ln>
                        </pic:spPr>
                      </pic:pic>
                    </a:graphicData>
                  </a:graphic>
                </wp:inline>
              </w:drawing>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EA3C">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8D4E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EED6C">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DEFDD">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0999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社保软件开发费：（多功能读卡器 社保功能集成及系统开发）</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D686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DBA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F199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DE8E">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83AA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4FC9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9B1D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遮挡雨棚</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D184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例：渡禅桥检票口等未遮蔽防护的检票口（暂定5处）</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遮挡雨棚安装（断桥 铝 材质使用专业户外使用 安全及保险）</w:t>
            </w:r>
            <w:r>
              <w:rPr>
                <w:rFonts w:hint="eastAsia" w:ascii="宋体" w:hAnsi="宋体" w:eastAsia="宋体" w:cs="宋体"/>
                <w:b/>
                <w:bCs/>
                <w:i w:val="0"/>
                <w:iCs w:val="0"/>
                <w:color w:val="auto"/>
                <w:kern w:val="0"/>
                <w:sz w:val="20"/>
                <w:szCs w:val="20"/>
                <w:highlight w:val="none"/>
                <w:u w:val="none"/>
                <w:lang w:val="en-US" w:eastAsia="zh-CN" w:bidi="ar"/>
              </w:rPr>
              <w:t>包含运输/人工安装/保修/费用）</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096E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平米</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16B0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80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C306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drawing>
                <wp:inline distT="0" distB="0" distL="114300" distR="114300">
                  <wp:extent cx="1971675" cy="2143125"/>
                  <wp:effectExtent l="0" t="0" r="9525" b="9525"/>
                  <wp:docPr id="8"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62"/>
                          <pic:cNvPicPr>
                            <a:picLocks noChangeAspect="1"/>
                          </pic:cNvPicPr>
                        </pic:nvPicPr>
                        <pic:blipFill>
                          <a:blip r:embed="rId17"/>
                          <a:stretch>
                            <a:fillRect/>
                          </a:stretch>
                        </pic:blipFill>
                        <pic:spPr>
                          <a:xfrm>
                            <a:off x="0" y="0"/>
                            <a:ext cx="1971675" cy="2143125"/>
                          </a:xfrm>
                          <a:prstGeom prst="rect">
                            <a:avLst/>
                          </a:prstGeom>
                          <a:noFill/>
                          <a:ln w="9525">
                            <a:noFill/>
                          </a:ln>
                        </pic:spPr>
                      </pic:pic>
                    </a:graphicData>
                  </a:graphic>
                </wp:inline>
              </w:drawing>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C978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1DC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3B65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9</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859F2">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三锟闸防护栏</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EBF5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不排除个别通道整改 （檢票口扩建需拆除原护栏并安装新护栏） 需考虑新设备改装部分费用</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584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延米</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25FD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 xml:space="preserve">13.33 </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78D4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3E1D">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7515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2EB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915D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数据中心网络及票房设备</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623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（明细清单如下）</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B7A0E">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61B41">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4B8C0">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8B92D">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r>
      <w:tr w14:paraId="0C202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5BB0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10.1</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8CE24">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web服务器</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6CA5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配置等同于：</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CPU至强4210R*1/16G*8/600GSAS 15K*3/H730P 2G/远程IDRC9/750W*2+静态导轨，含操作系统，数据库</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E13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F1B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C6C3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1F30">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3F22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B5F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10.2</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DD74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数据库服务器</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DC50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配置等同于：</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CPU至强4210R*1/16G*8/600GSAS 15K*3/H730P 2G/远程IDRC9/750W*2+静态导轨，含操作系统，数据库</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4CE0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14FE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0D8521C2">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F08D">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F131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22E7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10.3</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87A92">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热备软件</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211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双机热备软件</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024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356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BAC0542">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BC63">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C49B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B9C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10.4</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0BF7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售票电脑</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（含显示器）</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94F6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处理器（CPU）: Intel Core i3 12100 或 i5 12400</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 xml:space="preserve"> 主板: H610M 或 B660M</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 xml:space="preserve"> 内存: 8GB DDR4 3200MHz</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 xml:space="preserve"> 硬盘:  256GB SSD</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 xml:space="preserve"> 显卡:  集成显卡</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 xml:space="preserve"> 机箱: 标准ATX机箱</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 xml:space="preserve"> 电源: 额定功率400W电源</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 xml:space="preserve"> 显示器: 24英寸显示器</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 xml:space="preserve"> 键鼠套装: 有线键鼠套装</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455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321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393847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218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D456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C705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10.5</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4DE3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售票配件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二维码阅读器</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5B2B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 接口：USB</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电压：直流+5V</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工作电流：150mA</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待机电流：60mA</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 识别角度：旋转360°，倾斜±65°，偏转±60°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 扫描角度：25度（水平），21.5°（垂直）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 环境光照：正常市内光源的直射</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AF8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4CD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6554145">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83DD">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3EC6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936A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10.6</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FEA2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门票打印机</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565E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 打印方式：热敏和热转印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分辨率（dpi）：203dpi/340dpi</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打印宽度（mm）：104mm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打印速度（mm/s）：104mm/s</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 碳带长度（mm）：450公尺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6) 打印速度(mm/s):50-150 </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C3A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FAC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0958F699">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2CD5">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E017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FB9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10.7</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E29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售票配件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IC卡读写器</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A09A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工作频率 13.56/15.2MHz</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调制方式 ASK和BPSK</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与卡片的通讯速率 106 Kbps</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波特率 57600bps</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校验 循环冗余校验（CRC）</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感应区面积 100×100mm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感应距离 &gt;50mm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通讯接口 RS232/RS485/IP</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工作温度 0℃~55℃</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使用相对湿度（40℃） 20%~90%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保存温度 -10℃~75℃</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保存相对湿度（40℃） 15%~90%</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9B4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892E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1CE18E2C">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01272">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660E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2"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B4E8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10.8</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3899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售票配件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身份证阅读器</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6F811">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 读卡时间 &lt;1s</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阅读距离 0-30mm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3) 使用环境 工作温度：0~50℃  工作湿度：&lt;90％贮运温度：-40~+60℃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 调制方式：TypeA：ASK和OOK</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 通讯接口：USB</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 外置电源指标：输出DC5V±10%，输出电流1A</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AC2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C69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435ABD8D">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EEE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2182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FCE4D3"/>
            <w:vAlign w:val="center"/>
          </w:tcPr>
          <w:p w14:paraId="09827C6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门禁闸机检售票硬件设施——其他</w:t>
            </w:r>
          </w:p>
        </w:tc>
      </w:tr>
      <w:tr w14:paraId="3EF6A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FB24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11</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52C05">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原设备拆旧及场地布线清理</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01705">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拆除工作量可参考闸机数量统计信息，具体由投标人自行踏勘，原设备拆除后归招标人处置</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BD9E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项</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EBE2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348E0">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B1B04">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r>
      <w:tr w14:paraId="6E6B9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60" w:type="pct"/>
            <w:gridSpan w:val="5"/>
            <w:tcBorders>
              <w:top w:val="single" w:color="000000" w:sz="4" w:space="0"/>
              <w:left w:val="single" w:color="000000" w:sz="4" w:space="0"/>
              <w:bottom w:val="single" w:color="000000" w:sz="4" w:space="0"/>
              <w:right w:val="single" w:color="000000" w:sz="4" w:space="0"/>
            </w:tcBorders>
            <w:shd w:val="clear" w:color="auto" w:fill="7CDED7"/>
            <w:vAlign w:val="center"/>
          </w:tcPr>
          <w:p w14:paraId="670CDC8D">
            <w:pPr>
              <w:keepNext w:val="0"/>
              <w:keepLines w:val="0"/>
              <w:widowControl/>
              <w:suppressLineNumbers w:val="0"/>
              <w:shd w:val="clear"/>
              <w:spacing w:before="0" w:beforeAutospacing="0" w:after="0" w:afterAutospacing="0"/>
              <w:ind w:left="0" w:right="0"/>
              <w:jc w:val="righ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门禁闸机检售票硬件设施小计</w:t>
            </w:r>
          </w:p>
        </w:tc>
        <w:tc>
          <w:tcPr>
            <w:tcW w:w="1170" w:type="pct"/>
            <w:tcBorders>
              <w:top w:val="single" w:color="000000" w:sz="4" w:space="0"/>
              <w:left w:val="single" w:color="000000" w:sz="4" w:space="0"/>
              <w:bottom w:val="single" w:color="000000" w:sz="4" w:space="0"/>
              <w:right w:val="single" w:color="000000" w:sz="4" w:space="0"/>
            </w:tcBorders>
            <w:shd w:val="clear" w:color="auto" w:fill="7CDED7"/>
            <w:vAlign w:val="center"/>
          </w:tcPr>
          <w:p w14:paraId="74DA0511">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7CDED7"/>
            <w:vAlign w:val="center"/>
          </w:tcPr>
          <w:p w14:paraId="6D4E5EF7">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r>
      <w:tr w14:paraId="0CD5A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91AADF"/>
            <w:vAlign w:val="center"/>
          </w:tcPr>
          <w:p w14:paraId="6B2FE27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(二)</w:t>
            </w:r>
          </w:p>
        </w:tc>
        <w:tc>
          <w:tcPr>
            <w:tcW w:w="4580" w:type="pct"/>
            <w:gridSpan w:val="6"/>
            <w:tcBorders>
              <w:top w:val="single" w:color="000000" w:sz="4" w:space="0"/>
              <w:left w:val="single" w:color="000000" w:sz="4" w:space="0"/>
              <w:bottom w:val="single" w:color="000000" w:sz="4" w:space="0"/>
              <w:right w:val="single" w:color="000000" w:sz="4" w:space="0"/>
            </w:tcBorders>
            <w:shd w:val="clear" w:color="auto" w:fill="91AADF"/>
            <w:vAlign w:val="center"/>
          </w:tcPr>
          <w:p w14:paraId="43204EC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w:t>
            </w:r>
          </w:p>
        </w:tc>
      </w:tr>
      <w:tr w14:paraId="54148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FCE4D3"/>
            <w:vAlign w:val="center"/>
          </w:tcPr>
          <w:p w14:paraId="003AFD7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配套网络设施——网络设备</w:t>
            </w:r>
          </w:p>
        </w:tc>
      </w:tr>
      <w:tr w14:paraId="21518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549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103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24电口千兆接入交换机</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B1DA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产品类型：千兆以太网交换机；端口描述：24个10/100/1000Base-T以太网端口，4个万兆SFP+光口；散热方式：风扇散热；交换方式：存储-转发；背板带宽：336Gbps/3.36Tbps；包转发率：108Mpps/126Mpps；MAC地址表：10K；端口结构：非模块化；端口数量：28个；工作湿度：5%-95%（无凝露）；工作温度(℃)：0-50℃；重量（含包材）：3.9kg；外形尺寸（宽×深×高）：442.0mm×224.8mm×43.6mm；最大功耗（100%流量，风扇全速）</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D99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B19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A137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60F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1892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4910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B416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24光口万兆汇聚交换机</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BE7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产品类型：万兆以太网交换机；端口描述：24个万兆SFP+光口，6个100GE QSFP28口；散热方式：风扇散热；交换方式：存储-转发；背板带宽：2.56Tbps/25.6Tbps；包转发率：1260Mpps；MAC地址表：遵循IEEE802.1d标准，支持MAC地址自动学习和老化，支持静态、动态、黑洞MAC表项，支持源MAC地址过滤；端口结构：非模块化；端口数量：30个；VLAN：支持4K个VLAN，支持Guest VLAN、Voice VLANs，支持GVRP协议，支持MUX VLAN功能，支持基于MAC/协议/IP子网/策路/端口的VLAN，支持VLAN Mapping功能；QOS：支持对端口入方向、出方向进行速蒸率限制，支持报文重定向，支持基于端口的流量监管，支持双速三色CAR功能，每端口支持8个队列，支持DRR、SP、DRR+SP队列调度算法，支持WRED，支持报文的802.1p和DSCP优先级重新标记，支持基于队列限速和端口整形的功能，支持L2(Layer2)~L4(Layer4)包过滤功能，提供基于源MAC地址、目的MAC地址、源IP地址、目的IP地址、TCP/UDP协议源/目的端口号、协议、VLAN的包过滤功彰；安全管理：支持防止DOS、ARP攻击功能、ICMP防攻击；支持IP、MAC、端口、VLAN的组合绑定；支持端口隔离、端口安全、Sticky MAC；支持MFF；支持1EEE802.1X认证，支持单端口最大用户数限制；支持AAA认证，支持Radius、HWTACACS等多种方式；支持NAC功能；支持SHV2.0；支持HTTPS；支持CPU保护功能；支持黑名单和白名单；支持对ND、DHCPv6、MLD等IPv6协议报文进行攻击溯源和惩罚；支持IPSec对管理报文加密；支持Macsec对报文进行加密保护；电源功率：可插拔双电源，1+1冗余备份，默认含1个600W AC电源，最大功耗259w；重量（含包材）：9.84kg；外形尺寸（宽×深×高）：442*420*43.6mm；工作温度0-1800m：-5℃到45℃，-5℃不支持启动；1800-5000m：海拔每升高220m，高温规格降低1℃；存储温度：-40℃-70℃；相对湿度：5%-95%(无凝露)；电源口防雷；AC电源：差模±6kV，共模±6kV；DC电源：差模±2kV，共模±4kV。</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D906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6C2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0FB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43A8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730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E6D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3C5B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千兆光模块</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5585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传输速率：100/1000Mbps；传输距离：10公里（10KM）；接口类型：双LC；工作波长：1310nm。</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CD06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CB7F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76</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A392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75692">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A3B6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C15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108A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万兆光模块</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BD98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传输速率：10 Gbit/s；传输距离：10公里（10KM）；接口类型：双LC；工作波长：1310nm。</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A77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C780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442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B7C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09C9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2A33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5323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光纤跳线</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7A9C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AP-GD-02-LC/LC-B2-2</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DC6C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4A3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E5A1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1C8E">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92C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FCE4D3"/>
            <w:vAlign w:val="center"/>
          </w:tcPr>
          <w:p w14:paraId="4770A7A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配套网络设施---管线材料</w:t>
            </w:r>
          </w:p>
        </w:tc>
      </w:tr>
      <w:tr w14:paraId="26E5A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567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C33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室外防水蝶形光缆</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BDE5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外护套材质：LSZH；光缆尺寸：3.0*3mm ；光缆重量：9.0kg/km ；加强件材质：钢丝 ；光纤类型：G.657A光纤 ；芯数：1-4 ；纤芯颜色：蓝色、橙色、棕色、绿色 ；衰减：@1310≦0.40dB/km；@1550nm≦0.30dB/km ；截止波长：≦16250nm ；抗拉强度：10MPa ；断裂伸长率：125% ；可分离性：从光缆分离口比较容易的将光缆分离200mm，其断裂力的最小值不低于3N，最大值不大于10N ；敷设最小弯曲半径：动态弯曲半径≥30倍光缆外径；静态弯曲半径≥15倍光缆外径 ；敷设拉力：建议敷设时短期拉力≤600N ；使用拉力：建议使用时长期拉力≤300N ；敷设压扁力：建议敷设时短期压扁力≤2200N ；使用压扁力：建议使用时长期压扁力≤1000N ；施工温度：0～40℃ ；使用温度：-40～70℃。</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522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F2B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8664</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878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E58E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1F2B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E47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C047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室外防水重铠光缆</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0219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外护套材料：聚乙烯（PE） ；光缆加强件：中心单根高强度磷化 ；钢丝直径：1.0mm ；铠装层：双面涂塑薄膜铝带（APL）纵包+聚乙烯（PE）内护套+双面镀铬涂塑钢带（PSP）纵包 ；松套管材质： PBT ；纤芯颜色：蓝、橙、绿、棕、灰、白、红、黑、黄、紫、粉红、青绿 ；芯数：6芯 ；光纤类型：OS2单模光纤；敷设方式：直埋适用，进局、槽道、电缆沟可用 ；敷设最小弯曲半径：动态弯曲半径≥20倍光缆外径 ；静态弯曲半径≥10倍光缆外径 ；敷设拉力：建议敷设时短期拉力≤1500N ；使用拉力：建议使用时长期拉力≤600N ；敷设压扁力：建议敷设时短期压扁力≤1000N ；使用压扁力：建议使用时长期压扁力≤300N ；施工温度：0～40℃ ；使用温度：-40～70℃。</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CB66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412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1728</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7E3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7FD1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EF6A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05D6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503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室外防水重铠光缆</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6BE1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外护套材料：聚乙烯（PE） ；光缆加强件：中心单根高强度磷化 ；钢丝直径：1.0mm ；铠装层：双面涂塑薄膜铝带（APL）纵包+聚乙烯（PE）内护套+双面镀铬涂塑钢带（PSP）纵包 ；松套管材质： PBT ；纤芯颜色：蓝、橙、绿、棕、灰、白、红、黑、黄、紫、粉红、青绿 ；芯数：12芯 ；光纤类型：OS2单模光纤；敷设方式：直埋适用，进局、槽道、电缆沟可用 ；敷设最小弯曲半径：动态弯曲半径≥20倍光缆外径 ；静态弯曲半径≥10倍光缆外径 ；敷设拉力：建议敷设时短期拉力≤1500N ；使用拉力：建议使用时长期拉力≤600N ；敷设压扁力：建议敷设时短期压扁力≤1000N ；使用压扁力：建议使用时长期压扁力≤300N ；施工温度：0～40℃ ；使用温度：-40～70℃。</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8A9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0788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8611.2</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3C8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C16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E948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6E5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0FB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室外防水重铠光缆</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98C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外护套材料：聚乙烯（PE） ；光缆加强件：中心单根高强度磷化 ；钢丝直径：1.0mm ；铠装层：双面涂塑薄膜铝带（APL）纵包+聚乙烯（PE）内护套+双面镀铬涂塑钢带（PSP）纵包 ；松套管材质： PBT ；纤芯颜色：蓝、橙、绿、棕、灰、白、红、黑、黄、紫、粉红、青绿 ；芯数：48芯 ；光纤类型：OS2单模光纤；敷设方式：直埋适用，进局、槽道、电缆沟可用 ；敷设最小弯曲半径：动态弯曲半径≥20倍光缆外径 ；静态弯曲半径≥10倍光缆外径 ；敷设拉力：建议敷设时短期拉力≤1500N ；使用拉力：建议使用时长期拉力≤600N ；敷设压扁力：建议敷设时短期压扁力≤1000N ；使用压扁力：建议使用时长期压扁力≤300N ；施工温度：0～40℃ ；使用温度：-40～70℃。</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42CF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880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961.2</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021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A0A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FB5E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AFE5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2E9B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室外防水重铠光缆</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283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外护套材料：聚乙烯（PE）； 光缆加强件：中心单根高强度磷化 ；钢丝直径：1.0mm ；铠装层：双面涂塑薄膜铝带（APL）纵包+聚乙烯（PE）内护套+双面镀铬涂塑钢带（PSP）纵包 ；松套管材质： PBT ；纤芯颜色：蓝、橙、绿、棕、灰、白、红、黑、黄、紫、粉红、青绿 ；芯数：144芯 ；光纤类型：OS2单模光纤；敷设方式：直埋适用，进局、槽道、电缆沟可用 ；敷设最小弯曲半径：动态弯曲半径≥20倍光缆外径 ；静态弯曲半径≥10倍光缆外径 ；敷设拉力：建议敷设时短期拉力≤1500N ；使用拉力：建议使用时长期拉力≤600N ；敷设压扁力：建议敷设时短期压扁力≤1000N ；使用压扁力：建议使用时长期压扁力≤300N ；施工温度：0～40℃ ；使用温度：-40～70℃。</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959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8C8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10297.2</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A2EF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2CA41">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FF39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CF7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DDC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光纤终端盒</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A9D6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主体材质:冷轧钢板喷塑(黑色)；开启设计:盒式卡扣开启方式；耦合器安装板:标配通用型安装板，可安装SC型单工耦合器和LC双工耦合器以及FC方形耦合器；熔纤盘:可多层叠加使用；配件:法兰安装件、热缩管。</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BD4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2C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44</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F327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E84F">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14C1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412D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479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光纤配线架</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E25A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产品尺寸:410*200*44；光纤配线架材质:优质冷轧钢板+黑色喷塑；钢板厚度:1.0mm；法兰架材质:优质塑料；安装高度:1U；进线光缆数量:1-2根；耦合器安装方式:直接卡接于法兰架上；配线架安装方式:使用包装内标配安装支架安装于19英寸机架内；使用温度:-20~70℃；湿度:≤85%(温度85℃士3℃)。</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4685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CEBB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ACC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AA4F4">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1FFE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7A3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B31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光纤配线架</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3B6F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ODF体尺寸：430*300*124mm；ODF体板材材质：加厚镀锌钝化处理冷轧钢板+白色喷塑 ；冷轧板厚度：1.0mm ；法兰架材质：优质塑料 ；可接入光缆数量：≤4 ；可熔光纤数量：≤48芯 ；安装高度：3U ；耦合器安装方式：直接卡接于法兰架上 ；进出线方式：ODF箱体后端左右两侧各有一个孔用于进线，前面上下边的左右各有一个孔用于出线 ；开启方式：抽屉式开启 ；安装方式：使用标配安装支架安装固定于19英寸机架式设备上 ；安装温度：-10～50℃ ；储存温度：-20～70℃ ；湿度：≤85%（温度85℃±3</w:t>
            </w:r>
            <w:r>
              <w:rPr>
                <w:rStyle w:val="307"/>
                <w:color w:val="auto"/>
                <w:highlight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E65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13D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89A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6395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262F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1F5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60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光纤配线架</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0F297">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规格：144芯；板材：1.0mm冷轧钢镀锌钝化处理,表面喷涂白色；耦合器安装方式：法兰架安装方式；进线方式：配线箱左右上下有一个防水垫圈直径14mm进线孔；开启方式：抽屉式开启。</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1C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3387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F4BF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55D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1746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74FB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38FE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光纤跳线</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3CF7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重量： 0.04kg ；端口类型： UPC ；芯数 ：双芯 ；光纤类型 ：单模(OS2) ；连接器插入损耗典型值 ：0.1dB/每接口 ；光缆外径 ：3mm ；连接器插针类型： 进口陶瓷 ；颜色 ：黄色 ；长度 ：2m ；接头类型： LC-SC。</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9C7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C95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EB4F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3346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86B5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362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A23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室外防水电源线</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0F0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FS-YJV3*2.5mm2</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170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398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6120</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02EF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C994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2DE1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188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2CA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穿线用PE管</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CBB6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外径32mm，壁厚2mm</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58E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7B0E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1630.8</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0BD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DEB1">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4973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B89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FCED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穿线用PE管</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A92C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外径75mm,壁厚4mm</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105B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9BD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474</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FD5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D486A">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3E35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1585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9AA2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铝合金线槽</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3CE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50*50mm，上开盖式铝合金线槽</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28D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A778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2042.7</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4720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FFF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A12E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F78F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FF7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铝合金线槽</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087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100*50mm，上开盖式铝合金线槽</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2A4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3800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3643.2</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2A8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0869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66AF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F6F9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F64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线槽用不锈钢固定件</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366F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304不锈钢托架套件，铝合金线槽卡接托架，用不锈钢栓体物理固定</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318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0A4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6823 </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3A15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CB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定制</w:t>
            </w:r>
          </w:p>
        </w:tc>
      </w:tr>
      <w:tr w14:paraId="16521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96F3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828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绿地盆式窨井制作安装</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456B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400*400*50mm,304不锈钢沉降式井盖套装，井盖可嵌入石板、鹅卵石或种植绿草皮。</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3F54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EC7A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81</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AE3B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A618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r>
      <w:tr w14:paraId="473FD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C06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066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水泥</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F98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C25#混凝土，用于各窨井或各落地柜的基础。</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E41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立方米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963B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39.7</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A7FA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173C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r>
      <w:tr w14:paraId="6BF2E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A2AA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748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室外防水落地综合柜</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E310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防腐木外装饰，室外防水防虫，1600*650*650mm</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D2A4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7061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2C8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529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定制</w:t>
            </w:r>
          </w:p>
        </w:tc>
      </w:tr>
      <w:tr w14:paraId="46640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D27B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570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PDU电源插座</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80A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7位3孔10A电源插座，带开关及10KVA防雷模块</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F45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1A81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2BD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0D76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r>
      <w:tr w14:paraId="4FA30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5D9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4DF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柜体接地极</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570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58C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966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1AA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931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定制</w:t>
            </w:r>
          </w:p>
        </w:tc>
      </w:tr>
      <w:tr w14:paraId="13394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0A0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9BB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室外防水设备箱</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75A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全304不锈钢箱体，外观喷黑漆，箱体有散热孔，防雨水、防虫。外观仿古定制，含配电模块，500*600*150mm</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E39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19F3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DAE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7D1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定制</w:t>
            </w:r>
          </w:p>
        </w:tc>
      </w:tr>
      <w:tr w14:paraId="68589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B59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21A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沿河底水泥盖板（管护套）</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87A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水泥钢筋预制板，U形加厚</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4E83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60E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303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916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定制</w:t>
            </w:r>
          </w:p>
        </w:tc>
      </w:tr>
      <w:tr w14:paraId="016D0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5F58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08E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硬质PVC管</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B20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外直径32mm，中型PVC管</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930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977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1557.6</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2C7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C34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r>
      <w:tr w14:paraId="4662B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203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2FB1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硬质PVC管</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0B8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外直径25mm，中型PVC管</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973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626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4990</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2E21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B621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r>
      <w:tr w14:paraId="57CB8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FCE4D3"/>
            <w:vAlign w:val="center"/>
          </w:tcPr>
          <w:p w14:paraId="36067DD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配套网络设施---安装施工</w:t>
            </w:r>
          </w:p>
        </w:tc>
      </w:tr>
      <w:tr w14:paraId="435BD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927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7F0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水面作业（沿堤安装）</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B60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河面行船施工，河堤石板钻孔</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3FAE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B8F6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5685.9</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D19B">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937E3">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2CAD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DE8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89B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光纤热熔接</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3F0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光纤热熔接人工及辅材</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D26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芯</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CAE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5760</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5B2B4">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32EA">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7442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B644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46D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河道开挖预埋</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F734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河道专用挖掘机施工，含管路开挖及回填修复</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707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7E3D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19CA">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02014">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2DFC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F57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95C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河堤内侧挖过墙孔</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4DC6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河堤内侧开挖长1000*1000*深1500mm深坑后，在水面下往河道内打光缆管道过墙孔，使光缆从河道水下直接隐蔽敷设到岸上机柜内。</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CE4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AE0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7FBB0">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67C12">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7A07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9B1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218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管道外观喷涂</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AEC5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根据管道背景喷涂适应涂料，做到隐蔽、美观、耐用</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458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CFA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52D7">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4484">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2D66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6C09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0910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绿草地挖埋管</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317F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深度40cm，含开挖及回填修复</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78E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3A8C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1252.8</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6A41">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0C8D5">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92F2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A3E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20FD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水泥或石板路面挖埋管</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16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深度40cm，含开挖及水泥回填修复</w:t>
            </w:r>
          </w:p>
        </w:tc>
        <w:tc>
          <w:tcPr>
            <w:tcW w:w="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63A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1EA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747.6</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DAE29">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770D">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bookmarkEnd w:id="627"/>
    </w:tbl>
    <w:p w14:paraId="7DFCFA11">
      <w:pPr>
        <w:keepNext w:val="0"/>
        <w:keepLines w:val="0"/>
        <w:pageBreakBefore w:val="0"/>
        <w:widowControl w:val="0"/>
        <w:numPr>
          <w:ilvl w:val="0"/>
          <w:numId w:val="24"/>
        </w:numPr>
        <w:shd w:val="clear"/>
        <w:kinsoku/>
        <w:wordWrap w:val="0"/>
        <w:overflowPunct/>
        <w:topLinePunct w:val="0"/>
        <w:autoSpaceDE/>
        <w:autoSpaceDN/>
        <w:bidi w:val="0"/>
        <w:adjustRightInd/>
        <w:snapToGrid w:val="0"/>
        <w:spacing w:line="600" w:lineRule="exact"/>
        <w:ind w:left="0" w:leftChars="0" w:firstLine="281" w:firstLineChars="100"/>
        <w:jc w:val="both"/>
        <w:textAlignment w:val="auto"/>
        <w:outlineLvl w:val="1"/>
        <w:rPr>
          <w:rFonts w:hint="eastAsia" w:ascii="宋体" w:hAnsi="宋体" w:eastAsia="宋体" w:cs="Times New Roman"/>
          <w:b/>
          <w:bCs/>
          <w:color w:val="auto"/>
          <w:sz w:val="24"/>
          <w:highlight w:val="none"/>
          <w:lang w:val="en-US" w:eastAsia="zh-CN"/>
        </w:rPr>
      </w:pPr>
      <w:bookmarkStart w:id="628" w:name="_Toc471721472"/>
      <w:bookmarkStart w:id="629" w:name="_Toc3113869"/>
      <w:bookmarkStart w:id="630" w:name="_Toc29376"/>
      <w:r>
        <w:rPr>
          <w:rFonts w:hint="eastAsia" w:ascii="宋体" w:hAnsi="宋体" w:eastAsia="宋体" w:cs="宋体"/>
          <w:b/>
          <w:color w:val="auto"/>
          <w:kern w:val="2"/>
          <w:sz w:val="28"/>
          <w:szCs w:val="28"/>
          <w:highlight w:val="none"/>
          <w:lang w:val="en-US" w:eastAsia="zh-CN" w:bidi="ar-SA"/>
        </w:rPr>
        <w:t>▲</w:t>
      </w:r>
      <w:r>
        <w:rPr>
          <w:rFonts w:hint="eastAsia" w:ascii="宋体" w:hAnsi="宋体" w:eastAsia="宋体" w:cs="宋体"/>
          <w:b/>
          <w:color w:val="auto"/>
          <w:kern w:val="2"/>
          <w:sz w:val="28"/>
          <w:szCs w:val="28"/>
          <w:highlight w:val="none"/>
          <w:lang w:val="en-US" w:eastAsia="zh-CN" w:bidi="ar-SA"/>
        </w:rPr>
        <w:t>商务要求</w:t>
      </w:r>
      <w:bookmarkEnd w:id="628"/>
      <w:bookmarkEnd w:id="629"/>
    </w:p>
    <w:tbl>
      <w:tblPr>
        <w:tblStyle w:val="48"/>
        <w:tblW w:w="5111"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561"/>
        <w:gridCol w:w="7816"/>
      </w:tblGrid>
      <w:tr w14:paraId="4535C3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blHeader/>
        </w:trPr>
        <w:tc>
          <w:tcPr>
            <w:tcW w:w="832" w:type="pct"/>
            <w:tcBorders>
              <w:top w:val="single" w:color="auto" w:sz="4" w:space="0"/>
              <w:left w:val="single" w:color="auto" w:sz="4" w:space="0"/>
              <w:bottom w:val="single" w:color="auto" w:sz="4" w:space="0"/>
              <w:right w:val="single" w:color="auto" w:sz="4" w:space="0"/>
            </w:tcBorders>
            <w:noWrap w:val="0"/>
            <w:vAlign w:val="center"/>
          </w:tcPr>
          <w:p w14:paraId="6AC3A833">
            <w:pPr>
              <w:keepNext w:val="0"/>
              <w:keepLines w:val="0"/>
              <w:suppressLineNumbers w:val="0"/>
              <w:shd w:val="clear"/>
              <w:adjustRightInd w:val="0"/>
              <w:snapToGrid w:val="0"/>
              <w:spacing w:before="0" w:beforeAutospacing="0" w:after="0" w:afterAutospacing="0"/>
              <w:ind w:left="0" w:right="0"/>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rPr>
              <w:t>项目</w:t>
            </w:r>
            <w:r>
              <w:rPr>
                <w:rFonts w:hint="eastAsia" w:ascii="宋体" w:hAnsi="宋体"/>
                <w:b/>
                <w:color w:val="auto"/>
                <w:sz w:val="24"/>
                <w:highlight w:val="none"/>
                <w:lang w:val="en-US" w:eastAsia="zh-CN"/>
              </w:rPr>
              <w:t>内容</w:t>
            </w:r>
          </w:p>
        </w:tc>
        <w:tc>
          <w:tcPr>
            <w:tcW w:w="4167" w:type="pct"/>
            <w:tcBorders>
              <w:top w:val="single" w:color="auto" w:sz="4" w:space="0"/>
              <w:left w:val="single" w:color="auto" w:sz="4" w:space="0"/>
              <w:bottom w:val="single" w:color="auto" w:sz="4" w:space="0"/>
              <w:right w:val="single" w:color="auto" w:sz="4" w:space="0"/>
            </w:tcBorders>
            <w:noWrap w:val="0"/>
            <w:vAlign w:val="center"/>
          </w:tcPr>
          <w:p w14:paraId="6C4251D9">
            <w:pPr>
              <w:keepNext w:val="0"/>
              <w:keepLines w:val="0"/>
              <w:suppressLineNumbers w:val="0"/>
              <w:shd w:val="clear"/>
              <w:tabs>
                <w:tab w:val="left" w:pos="525"/>
              </w:tabs>
              <w:snapToGrid w:val="0"/>
              <w:spacing w:before="0" w:beforeAutospacing="0" w:after="0" w:afterAutospacing="0"/>
              <w:ind w:left="0" w:right="0"/>
              <w:jc w:val="center"/>
              <w:rPr>
                <w:rFonts w:hint="default" w:ascii="MS Mincho" w:hAnsi="MS Mincho" w:cs="MS Mincho"/>
                <w:b/>
                <w:color w:val="auto"/>
                <w:sz w:val="24"/>
                <w:highlight w:val="none"/>
              </w:rPr>
            </w:pPr>
            <w:r>
              <w:rPr>
                <w:rFonts w:hint="eastAsia" w:ascii="MS Mincho" w:hAnsi="MS Mincho" w:cs="MS Mincho"/>
                <w:b/>
                <w:color w:val="auto"/>
                <w:sz w:val="24"/>
                <w:highlight w:val="none"/>
              </w:rPr>
              <w:t>要求</w:t>
            </w:r>
          </w:p>
        </w:tc>
      </w:tr>
      <w:tr w14:paraId="4AA1E2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832" w:type="pct"/>
            <w:tcBorders>
              <w:top w:val="single" w:color="auto" w:sz="4" w:space="0"/>
              <w:left w:val="single" w:color="auto" w:sz="4" w:space="0"/>
              <w:bottom w:val="single" w:color="auto" w:sz="4" w:space="0"/>
              <w:right w:val="single" w:color="auto" w:sz="4" w:space="0"/>
            </w:tcBorders>
            <w:noWrap w:val="0"/>
            <w:vAlign w:val="center"/>
          </w:tcPr>
          <w:p w14:paraId="10D5059E">
            <w:pPr>
              <w:keepNext w:val="0"/>
              <w:keepLines w:val="0"/>
              <w:suppressLineNumbers w:val="0"/>
              <w:shd w:val="clear"/>
              <w:adjustRightInd w:val="0"/>
              <w:snapToGrid w:val="0"/>
              <w:spacing w:before="0" w:beforeAutospacing="0" w:after="0" w:afterAutospacing="0"/>
              <w:ind w:left="0" w:right="0"/>
              <w:jc w:val="center"/>
              <w:rPr>
                <w:rFonts w:hint="default" w:ascii="宋体" w:hAnsi="宋体"/>
                <w:color w:val="auto"/>
                <w:szCs w:val="21"/>
                <w:highlight w:val="none"/>
              </w:rPr>
            </w:pPr>
            <w:r>
              <w:rPr>
                <w:rFonts w:hint="eastAsia" w:ascii="宋体" w:hAnsi="宋体" w:eastAsia="宋体" w:cs="Times New Roman"/>
                <w:b/>
                <w:bCs/>
                <w:color w:val="auto"/>
                <w:sz w:val="24"/>
                <w:highlight w:val="none"/>
                <w:lang w:val="en-US" w:eastAsia="zh-CN"/>
              </w:rPr>
              <w:t>投标文件有效期</w:t>
            </w:r>
          </w:p>
        </w:tc>
        <w:tc>
          <w:tcPr>
            <w:tcW w:w="4167" w:type="pct"/>
            <w:tcBorders>
              <w:top w:val="single" w:color="auto" w:sz="4" w:space="0"/>
              <w:left w:val="single" w:color="auto" w:sz="4" w:space="0"/>
              <w:bottom w:val="single" w:color="auto" w:sz="4" w:space="0"/>
              <w:right w:val="single" w:color="auto" w:sz="4" w:space="0"/>
            </w:tcBorders>
            <w:noWrap w:val="0"/>
            <w:vAlign w:val="center"/>
          </w:tcPr>
          <w:p w14:paraId="1A1B7852">
            <w:pPr>
              <w:pStyle w:val="84"/>
              <w:keepNext w:val="0"/>
              <w:keepLines w:val="0"/>
              <w:suppressLineNumbers w:val="0"/>
              <w:shd w:val="clear"/>
              <w:spacing w:before="0" w:beforeAutospacing="0" w:after="0" w:afterAutospacing="0" w:line="240" w:lineRule="auto"/>
              <w:ind w:left="0" w:right="0" w:firstLine="0" w:firstLineChars="0"/>
              <w:outlineLvl w:val="1"/>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90天</w:t>
            </w:r>
          </w:p>
        </w:tc>
      </w:tr>
      <w:tr w14:paraId="0FA350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5B995FE">
            <w:pPr>
              <w:keepNext w:val="0"/>
              <w:keepLines w:val="0"/>
              <w:suppressLineNumbers w:val="0"/>
              <w:shd w:val="clear"/>
              <w:adjustRightInd w:val="0"/>
              <w:snapToGrid w:val="0"/>
              <w:spacing w:before="0" w:beforeAutospacing="0" w:after="0" w:afterAutospacing="0"/>
              <w:ind w:left="0" w:right="0"/>
              <w:jc w:val="center"/>
              <w:rPr>
                <w:rFonts w:hint="eastAsia" w:ascii="宋体" w:hAnsi="宋体" w:eastAsia="宋体" w:cs="Times New Roman"/>
                <w:color w:val="auto"/>
                <w:kern w:val="2"/>
                <w:sz w:val="24"/>
                <w:szCs w:val="21"/>
                <w:highlight w:val="none"/>
                <w:lang w:val="en-US" w:eastAsia="zh-CN" w:bidi="ar-SA"/>
              </w:rPr>
            </w:pPr>
            <w:r>
              <w:rPr>
                <w:rFonts w:hint="eastAsia" w:ascii="宋体" w:hAnsi="宋体"/>
                <w:color w:val="auto"/>
                <w:szCs w:val="21"/>
                <w:highlight w:val="none"/>
              </w:rPr>
              <w:t>工期要求</w:t>
            </w:r>
          </w:p>
        </w:tc>
        <w:tc>
          <w:tcPr>
            <w:tcW w:w="416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819DDA2">
            <w:pPr>
              <w:pStyle w:val="84"/>
              <w:keepNext w:val="0"/>
              <w:keepLines w:val="0"/>
              <w:suppressLineNumbers w:val="0"/>
              <w:shd w:val="clear"/>
              <w:spacing w:before="0" w:beforeAutospacing="0" w:after="0" w:afterAutospacing="0" w:line="240" w:lineRule="auto"/>
              <w:ind w:left="0" w:right="0" w:firstLine="0" w:firstLineChars="0"/>
              <w:outlineLvl w:val="1"/>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4个月（建设期3个月，试运行期1个月）</w:t>
            </w:r>
          </w:p>
        </w:tc>
      </w:tr>
      <w:tr w14:paraId="77D0AA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832" w:type="pct"/>
            <w:tcBorders>
              <w:left w:val="single" w:color="auto" w:sz="4" w:space="0"/>
              <w:bottom w:val="single" w:color="auto" w:sz="4" w:space="0"/>
              <w:right w:val="single" w:color="auto" w:sz="4" w:space="0"/>
            </w:tcBorders>
            <w:noWrap w:val="0"/>
            <w:vAlign w:val="center"/>
          </w:tcPr>
          <w:p w14:paraId="79485B0C">
            <w:pPr>
              <w:keepNext w:val="0"/>
              <w:keepLines w:val="0"/>
              <w:suppressLineNumbers w:val="0"/>
              <w:shd w:val="clear"/>
              <w:adjustRightInd w:val="0"/>
              <w:snapToGrid w:val="0"/>
              <w:spacing w:before="0" w:beforeAutospacing="0" w:after="0" w:afterAutospacing="0"/>
              <w:ind w:left="0" w:right="0"/>
              <w:jc w:val="center"/>
              <w:rPr>
                <w:rFonts w:hint="eastAsia" w:ascii="宋体" w:hAnsi="宋体"/>
                <w:color w:val="auto"/>
                <w:szCs w:val="21"/>
                <w:highlight w:val="none"/>
              </w:rPr>
            </w:pPr>
            <w:bookmarkStart w:id="631" w:name="_Toc6949"/>
            <w:bookmarkStart w:id="632" w:name="_Toc21941"/>
            <w:r>
              <w:rPr>
                <w:rFonts w:hint="eastAsia" w:ascii="宋体" w:hAnsi="宋体"/>
                <w:color w:val="auto"/>
                <w:szCs w:val="21"/>
                <w:highlight w:val="none"/>
              </w:rPr>
              <w:t>质量要求</w:t>
            </w:r>
          </w:p>
        </w:tc>
        <w:tc>
          <w:tcPr>
            <w:tcW w:w="4167" w:type="pct"/>
            <w:tcBorders>
              <w:top w:val="single" w:color="auto" w:sz="4" w:space="0"/>
              <w:left w:val="single" w:color="auto" w:sz="4" w:space="0"/>
              <w:bottom w:val="single" w:color="auto" w:sz="4" w:space="0"/>
              <w:right w:val="single" w:color="auto" w:sz="4" w:space="0"/>
            </w:tcBorders>
            <w:noWrap w:val="0"/>
            <w:vAlign w:val="center"/>
          </w:tcPr>
          <w:p w14:paraId="7A787063">
            <w:pPr>
              <w:pStyle w:val="84"/>
              <w:keepNext w:val="0"/>
              <w:keepLines w:val="0"/>
              <w:pageBreakBefore w:val="0"/>
              <w:widowControl w:val="0"/>
              <w:numPr>
                <w:ilvl w:val="0"/>
                <w:numId w:val="31"/>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项目所要求的设备以及完成本项目的所有相关配件，由中标人运输至现场、安装、调试，并提供技术服务等全部工作。</w:t>
            </w:r>
          </w:p>
          <w:p w14:paraId="6B00BEED">
            <w:pPr>
              <w:pStyle w:val="84"/>
              <w:keepNext w:val="0"/>
              <w:keepLines w:val="0"/>
              <w:pageBreakBefore w:val="0"/>
              <w:widowControl w:val="0"/>
              <w:numPr>
                <w:ilvl w:val="0"/>
                <w:numId w:val="31"/>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项目涉及的所有设备和材料，以及安装施工、检验和试验，须按照</w:t>
            </w:r>
            <w:r>
              <w:rPr>
                <w:rFonts w:hint="eastAsia" w:ascii="宋体" w:hAnsi="宋体"/>
                <w:color w:val="auto"/>
                <w:sz w:val="21"/>
                <w:szCs w:val="21"/>
                <w:highlight w:val="none"/>
                <w:lang w:val="en-US" w:eastAsia="zh-CN"/>
              </w:rPr>
              <w:t>符合投标承诺、招标文件要求以及</w:t>
            </w:r>
            <w:r>
              <w:rPr>
                <w:rFonts w:hint="eastAsia" w:ascii="宋体" w:hAnsi="宋体" w:eastAsia="宋体" w:cs="Times New Roman"/>
                <w:color w:val="auto"/>
                <w:sz w:val="21"/>
                <w:szCs w:val="21"/>
                <w:highlight w:val="none"/>
                <w:lang w:val="en-US" w:eastAsia="zh-CN"/>
              </w:rPr>
              <w:t>国家和行业的相关标准规范实施。</w:t>
            </w:r>
          </w:p>
          <w:p w14:paraId="4668DCCA">
            <w:pPr>
              <w:pStyle w:val="84"/>
              <w:keepNext w:val="0"/>
              <w:keepLines w:val="0"/>
              <w:pageBreakBefore w:val="0"/>
              <w:widowControl w:val="0"/>
              <w:numPr>
                <w:ilvl w:val="0"/>
                <w:numId w:val="31"/>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投标人保证所供的商品必须是出厂原装合格产品,如发生所供的商品与合同不符，招标人有权拒收或退货，由此产生的一切责任和后果由投标人承担。</w:t>
            </w:r>
          </w:p>
          <w:p w14:paraId="1A7B1721">
            <w:pPr>
              <w:pStyle w:val="84"/>
              <w:keepNext w:val="0"/>
              <w:keepLines w:val="0"/>
              <w:pageBreakBefore w:val="0"/>
              <w:widowControl w:val="0"/>
              <w:numPr>
                <w:ilvl w:val="0"/>
                <w:numId w:val="31"/>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在所供设备商品交付时，中标人必须向招标人提供产品说明书、质量保证书、保修卡等必须具备的相关资料和必备附件。</w:t>
            </w:r>
          </w:p>
          <w:p w14:paraId="74B25CA1">
            <w:pPr>
              <w:pStyle w:val="84"/>
              <w:keepNext w:val="0"/>
              <w:keepLines w:val="0"/>
              <w:pageBreakBefore w:val="0"/>
              <w:widowControl w:val="0"/>
              <w:numPr>
                <w:ilvl w:val="0"/>
                <w:numId w:val="31"/>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中标人须保证所提供产品具有合法的版权或使用权，本项目采购的产品，如在本项目范围内使用过程中出现版权或使用权纠纷，应由中标人全权负责解决并赔偿因此给招标人造成的全部损失，招标人和采购机构不承担任何责任。</w:t>
            </w:r>
          </w:p>
        </w:tc>
      </w:tr>
      <w:tr w14:paraId="7F51A8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832" w:type="pct"/>
            <w:tcBorders>
              <w:top w:val="single" w:color="auto" w:sz="4" w:space="0"/>
              <w:left w:val="single" w:color="auto" w:sz="4" w:space="0"/>
              <w:bottom w:val="single" w:color="auto" w:sz="4" w:space="0"/>
              <w:right w:val="single" w:color="auto" w:sz="4" w:space="0"/>
            </w:tcBorders>
            <w:noWrap w:val="0"/>
            <w:vAlign w:val="center"/>
          </w:tcPr>
          <w:p w14:paraId="7661ADF0">
            <w:pPr>
              <w:keepNext w:val="0"/>
              <w:keepLines w:val="0"/>
              <w:suppressLineNumbers w:val="0"/>
              <w:shd w:val="clear"/>
              <w:adjustRightInd w:val="0"/>
              <w:snapToGrid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项目验收要求</w:t>
            </w:r>
            <w:bookmarkEnd w:id="631"/>
            <w:bookmarkEnd w:id="632"/>
          </w:p>
        </w:tc>
        <w:tc>
          <w:tcPr>
            <w:tcW w:w="4167" w:type="pct"/>
            <w:tcBorders>
              <w:top w:val="single" w:color="auto" w:sz="4" w:space="0"/>
              <w:left w:val="single" w:color="auto" w:sz="4" w:space="0"/>
              <w:bottom w:val="single" w:color="auto" w:sz="4" w:space="0"/>
              <w:right w:val="single" w:color="auto" w:sz="4" w:space="0"/>
            </w:tcBorders>
            <w:noWrap w:val="0"/>
            <w:vAlign w:val="center"/>
          </w:tcPr>
          <w:p w14:paraId="70199B8C">
            <w:pPr>
              <w:keepNext w:val="0"/>
              <w:keepLines w:val="0"/>
              <w:suppressLineNumbers w:val="0"/>
              <w:shd w:val="clear"/>
              <w:adjustRightInd w:val="0"/>
              <w:snapToGrid w:val="0"/>
              <w:spacing w:before="0" w:beforeAutospacing="0" w:after="0" w:afterAutospacing="0"/>
              <w:ind w:left="0" w:right="0"/>
              <w:jc w:val="left"/>
              <w:rPr>
                <w:rFonts w:hint="eastAsia" w:ascii="宋体" w:hAnsi="宋体"/>
                <w:color w:val="auto"/>
                <w:sz w:val="21"/>
                <w:szCs w:val="21"/>
                <w:highlight w:val="none"/>
                <w:lang w:val="en-US" w:eastAsia="zh-CN"/>
              </w:rPr>
            </w:pPr>
            <w:bookmarkStart w:id="633" w:name="_Toc3712"/>
            <w:bookmarkStart w:id="634" w:name="_Toc14786"/>
            <w:r>
              <w:rPr>
                <w:rFonts w:hint="eastAsia" w:ascii="宋体" w:hAnsi="宋体"/>
                <w:color w:val="auto"/>
                <w:sz w:val="21"/>
                <w:szCs w:val="21"/>
                <w:highlight w:val="none"/>
                <w:lang w:eastAsia="zh-CN"/>
              </w:rPr>
              <w:t>投标人</w:t>
            </w:r>
            <w:r>
              <w:rPr>
                <w:rFonts w:hint="eastAsia" w:ascii="宋体" w:hAnsi="宋体"/>
                <w:color w:val="auto"/>
                <w:sz w:val="21"/>
                <w:szCs w:val="21"/>
                <w:highlight w:val="none"/>
              </w:rPr>
              <w:t>应严格按照采购要求完成本项目建设及服务内容，完成</w:t>
            </w:r>
            <w:r>
              <w:rPr>
                <w:rFonts w:hint="eastAsia" w:ascii="宋体" w:hAnsi="宋体" w:cs="宋体"/>
                <w:color w:val="auto"/>
                <w:spacing w:val="0"/>
                <w:kern w:val="2"/>
                <w:sz w:val="21"/>
                <w:szCs w:val="21"/>
                <w:highlight w:val="none"/>
                <w:lang w:val="en-US" w:eastAsia="zh-CN" w:bidi="ar-SA"/>
              </w:rPr>
              <w:t>门禁闸机等设备更换、智慧景区（票务）管理平台升级</w:t>
            </w:r>
            <w:r>
              <w:rPr>
                <w:rFonts w:hint="eastAsia" w:ascii="宋体" w:hAnsi="宋体"/>
                <w:color w:val="auto"/>
                <w:sz w:val="21"/>
                <w:szCs w:val="21"/>
                <w:highlight w:val="none"/>
              </w:rPr>
              <w:t>建设等所有实施工作</w:t>
            </w:r>
            <w:r>
              <w:rPr>
                <w:rFonts w:hint="eastAsia" w:ascii="宋体" w:hAnsi="宋体"/>
                <w:color w:val="auto"/>
                <w:sz w:val="21"/>
                <w:szCs w:val="21"/>
                <w:highlight w:val="none"/>
                <w:lang w:val="en-US" w:eastAsia="zh-CN"/>
              </w:rPr>
              <w:t>后，向招标人提出初验申请；</w:t>
            </w:r>
          </w:p>
          <w:p w14:paraId="7A2480A7">
            <w:pPr>
              <w:keepNext w:val="0"/>
              <w:keepLines w:val="0"/>
              <w:suppressLineNumbers w:val="0"/>
              <w:shd w:val="clear"/>
              <w:adjustRightInd w:val="0"/>
              <w:snapToGrid w:val="0"/>
              <w:spacing w:before="0" w:beforeAutospacing="0" w:after="0" w:afterAutospacing="0"/>
              <w:ind w:left="0" w:right="0"/>
              <w:jc w:val="left"/>
              <w:rPr>
                <w:rFonts w:hint="eastAsia" w:ascii="宋体" w:hAnsi="宋体"/>
                <w:color w:val="auto"/>
                <w:szCs w:val="21"/>
                <w:highlight w:val="none"/>
              </w:rPr>
            </w:pPr>
            <w:r>
              <w:rPr>
                <w:rFonts w:hint="eastAsia" w:ascii="宋体" w:hAnsi="宋体"/>
                <w:color w:val="auto"/>
                <w:sz w:val="21"/>
                <w:szCs w:val="21"/>
                <w:highlight w:val="none"/>
                <w:lang w:val="en-US" w:eastAsia="zh-CN"/>
              </w:rPr>
              <w:t>经招标人初验合格</w:t>
            </w:r>
            <w:r>
              <w:rPr>
                <w:rFonts w:hint="eastAsia" w:ascii="宋体" w:hAnsi="宋体"/>
                <w:color w:val="auto"/>
                <w:sz w:val="21"/>
                <w:szCs w:val="21"/>
                <w:highlight w:val="none"/>
              </w:rPr>
              <w:t>并完成技术培训、试运行后，应当书面向</w:t>
            </w:r>
            <w:r>
              <w:rPr>
                <w:rFonts w:hint="eastAsia" w:ascii="宋体" w:hAnsi="宋体"/>
                <w:color w:val="auto"/>
                <w:sz w:val="21"/>
                <w:szCs w:val="21"/>
                <w:highlight w:val="none"/>
                <w:lang w:eastAsia="zh-CN"/>
              </w:rPr>
              <w:t>招标人</w:t>
            </w:r>
            <w:r>
              <w:rPr>
                <w:rFonts w:hint="eastAsia" w:ascii="宋体" w:hAnsi="宋体"/>
                <w:color w:val="auto"/>
                <w:sz w:val="21"/>
                <w:szCs w:val="21"/>
                <w:highlight w:val="none"/>
              </w:rPr>
              <w:t>提出</w:t>
            </w:r>
            <w:r>
              <w:rPr>
                <w:rFonts w:hint="eastAsia" w:ascii="宋体" w:hAnsi="宋体"/>
                <w:color w:val="auto"/>
                <w:sz w:val="21"/>
                <w:szCs w:val="21"/>
                <w:highlight w:val="none"/>
                <w:lang w:val="en-US" w:eastAsia="zh-CN"/>
              </w:rPr>
              <w:t>终验</w:t>
            </w:r>
            <w:r>
              <w:rPr>
                <w:rFonts w:hint="eastAsia" w:ascii="宋体" w:hAnsi="宋体"/>
                <w:color w:val="auto"/>
                <w:sz w:val="21"/>
                <w:szCs w:val="21"/>
                <w:highlight w:val="none"/>
              </w:rPr>
              <w:t>申请，经</w:t>
            </w:r>
            <w:r>
              <w:rPr>
                <w:rFonts w:hint="eastAsia" w:ascii="宋体" w:hAnsi="宋体"/>
                <w:color w:val="auto"/>
                <w:sz w:val="21"/>
                <w:szCs w:val="21"/>
                <w:highlight w:val="none"/>
                <w:lang w:eastAsia="zh-CN"/>
              </w:rPr>
              <w:t>招标人</w:t>
            </w:r>
            <w:r>
              <w:rPr>
                <w:rFonts w:hint="eastAsia" w:ascii="宋体" w:hAnsi="宋体"/>
                <w:color w:val="auto"/>
                <w:sz w:val="21"/>
                <w:szCs w:val="21"/>
                <w:highlight w:val="none"/>
              </w:rPr>
              <w:t>审核同意后组织验收，</w:t>
            </w:r>
            <w:r>
              <w:rPr>
                <w:rFonts w:hint="eastAsia" w:ascii="宋体" w:hAnsi="宋体"/>
                <w:color w:val="auto"/>
                <w:sz w:val="21"/>
                <w:szCs w:val="21"/>
                <w:highlight w:val="none"/>
                <w:lang w:eastAsia="zh-CN"/>
              </w:rPr>
              <w:t>投标人</w:t>
            </w:r>
            <w:r>
              <w:rPr>
                <w:rFonts w:hint="eastAsia" w:ascii="宋体" w:hAnsi="宋体"/>
                <w:color w:val="auto"/>
                <w:sz w:val="21"/>
                <w:szCs w:val="21"/>
                <w:highlight w:val="none"/>
              </w:rPr>
              <w:t>针对验收中提出的问题进行补充完善，验收通过后出具正式验收报告。</w:t>
            </w:r>
            <w:bookmarkEnd w:id="633"/>
            <w:bookmarkEnd w:id="634"/>
          </w:p>
        </w:tc>
      </w:tr>
      <w:tr w14:paraId="317F38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832" w:type="pct"/>
            <w:vMerge w:val="restart"/>
            <w:tcBorders>
              <w:top w:val="single" w:color="auto" w:sz="4" w:space="0"/>
              <w:left w:val="single" w:color="auto" w:sz="4" w:space="0"/>
              <w:right w:val="single" w:color="auto" w:sz="4" w:space="0"/>
            </w:tcBorders>
            <w:noWrap w:val="0"/>
            <w:vAlign w:val="center"/>
          </w:tcPr>
          <w:p w14:paraId="35514C9E">
            <w:pPr>
              <w:keepNext w:val="0"/>
              <w:keepLines w:val="0"/>
              <w:suppressLineNumbers w:val="0"/>
              <w:shd w:val="clear"/>
              <w:adjustRightInd w:val="0"/>
              <w:snapToGrid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售后服务要求</w:t>
            </w:r>
          </w:p>
        </w:tc>
        <w:tc>
          <w:tcPr>
            <w:tcW w:w="4167" w:type="pct"/>
            <w:tcBorders>
              <w:top w:val="single" w:color="auto" w:sz="4" w:space="0"/>
              <w:left w:val="single" w:color="auto" w:sz="4" w:space="0"/>
              <w:bottom w:val="single" w:color="auto" w:sz="4" w:space="0"/>
              <w:right w:val="single" w:color="auto" w:sz="4" w:space="0"/>
            </w:tcBorders>
            <w:noWrap w:val="0"/>
            <w:vAlign w:val="center"/>
          </w:tcPr>
          <w:p w14:paraId="3FEDA076">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1"/>
              <w:rPr>
                <w:rFonts w:hint="default"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售后服务期：</w:t>
            </w:r>
          </w:p>
          <w:p w14:paraId="38EF4E35">
            <w:pPr>
              <w:pStyle w:val="84"/>
              <w:keepNext w:val="0"/>
              <w:keepLines w:val="0"/>
              <w:pageBreakBefore w:val="0"/>
              <w:widowControl w:val="0"/>
              <w:numPr>
                <w:ilvl w:val="0"/>
                <w:numId w:val="32"/>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质保期：三年，自项目整体通过终验之日起计算。质保期内无偿负责修理或更换有缺陷的零部件或整机并相应延长此保修期，否则，招标人可采取必要的补救措施，但风险和费用将由中标人承担</w:t>
            </w:r>
            <w:r>
              <w:rPr>
                <w:rFonts w:hint="eastAsia" w:ascii="宋体" w:hAnsi="宋体" w:cs="Times New Roman"/>
                <w:color w:val="auto"/>
                <w:sz w:val="21"/>
                <w:szCs w:val="21"/>
                <w:highlight w:val="none"/>
                <w:lang w:val="en-US" w:eastAsia="zh-CN"/>
              </w:rPr>
              <w:t>。</w:t>
            </w:r>
          </w:p>
          <w:p w14:paraId="66A862E1">
            <w:pPr>
              <w:pStyle w:val="84"/>
              <w:keepNext w:val="0"/>
              <w:keepLines w:val="0"/>
              <w:pageBreakBefore w:val="0"/>
              <w:widowControl w:val="0"/>
              <w:numPr>
                <w:ilvl w:val="0"/>
                <w:numId w:val="32"/>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default"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运行维护期：三年，自项目整体通过终验之日起计算。维保期内提供无偿票务系统整体维护、巡检和升级以及运营协助服务。</w:t>
            </w:r>
          </w:p>
          <w:p w14:paraId="2610CB33">
            <w:pPr>
              <w:pStyle w:val="84"/>
              <w:keepNext w:val="0"/>
              <w:keepLines w:val="0"/>
              <w:pageBreakBefore w:val="0"/>
              <w:widowControl w:val="0"/>
              <w:numPr>
                <w:ilvl w:val="0"/>
                <w:numId w:val="32"/>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售后服务期结束前，须由中标人和招标方的代表进行一次全面检查，属于本项目中标人负责的软硬件缺陷必须由投标人负责维护完好。</w:t>
            </w:r>
          </w:p>
          <w:p w14:paraId="14E9A8E6">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1"/>
              <w:rPr>
                <w:rFonts w:hint="eastAsia" w:ascii="宋体" w:hAnsi="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注：①以上售后服务期涉及相关费用已包含在本项目预算内，投标人投标报价时应自行考虑进入投标报价中，结算时不另行计取。②以上售后服务期满后，如招标人继续委托中标人实施售后服务的，</w:t>
            </w:r>
            <w:r>
              <w:rPr>
                <w:rFonts w:hint="eastAsia" w:ascii="宋体" w:hAnsi="宋体" w:cs="Times New Roman"/>
                <w:color w:val="auto"/>
                <w:sz w:val="21"/>
                <w:szCs w:val="21"/>
                <w:highlight w:val="none"/>
                <w:lang w:val="en-US" w:eastAsia="zh-CN"/>
              </w:rPr>
              <w:t>期间</w:t>
            </w:r>
            <w:r>
              <w:rPr>
                <w:rFonts w:hint="eastAsia" w:ascii="宋体" w:hAnsi="宋体" w:eastAsia="宋体" w:cs="Times New Roman"/>
                <w:color w:val="auto"/>
                <w:sz w:val="21"/>
                <w:szCs w:val="21"/>
                <w:highlight w:val="none"/>
                <w:lang w:val="en-US" w:eastAsia="zh-CN"/>
              </w:rPr>
              <w:t>如发生零部件损坏的，按零部件成本价收取，维修免费</w:t>
            </w:r>
            <w:r>
              <w:rPr>
                <w:rFonts w:hint="eastAsia" w:ascii="宋体" w:hAnsi="宋体" w:cs="Times New Roman"/>
                <w:color w:val="auto"/>
                <w:sz w:val="21"/>
                <w:szCs w:val="21"/>
                <w:highlight w:val="none"/>
                <w:lang w:val="en-US" w:eastAsia="zh-CN"/>
              </w:rPr>
              <w:t>,</w:t>
            </w:r>
            <w:r>
              <w:rPr>
                <w:rFonts w:hint="eastAsia" w:ascii="宋体" w:hAnsi="宋体" w:eastAsia="宋体" w:cs="Times New Roman"/>
                <w:color w:val="auto"/>
                <w:sz w:val="21"/>
                <w:szCs w:val="21"/>
                <w:highlight w:val="none"/>
                <w:lang w:val="en-US" w:eastAsia="zh-CN"/>
              </w:rPr>
              <w:t>年度维护费用按照不超过16万元计取。如考虑市场价格上浮等风险因素上述维护费用价格无法实施的，经双方协商可</w:t>
            </w:r>
            <w:r>
              <w:rPr>
                <w:rFonts w:hint="eastAsia" w:ascii="宋体" w:hAnsi="宋体" w:cs="Times New Roman"/>
                <w:color w:val="auto"/>
                <w:sz w:val="21"/>
                <w:szCs w:val="21"/>
                <w:highlight w:val="none"/>
                <w:lang w:val="en-US" w:eastAsia="zh-CN"/>
              </w:rPr>
              <w:t>按以下标准</w:t>
            </w:r>
            <w:r>
              <w:rPr>
                <w:rFonts w:hint="eastAsia" w:ascii="宋体" w:hAnsi="宋体" w:eastAsia="宋体" w:cs="Times New Roman"/>
                <w:color w:val="auto"/>
                <w:sz w:val="21"/>
                <w:szCs w:val="21"/>
                <w:highlight w:val="none"/>
                <w:lang w:val="en-US" w:eastAsia="zh-CN"/>
              </w:rPr>
              <w:t>进行一定比例上浮</w:t>
            </w:r>
            <w:r>
              <w:rPr>
                <w:rFonts w:hint="eastAsia" w:ascii="宋体" w:hAnsi="宋体" w:cs="Times New Roman"/>
                <w:color w:val="auto"/>
                <w:sz w:val="21"/>
                <w:szCs w:val="21"/>
                <w:highlight w:val="none"/>
                <w:lang w:val="en-US" w:eastAsia="zh-CN"/>
              </w:rPr>
              <w:t>：</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0"/>
              <w:gridCol w:w="2530"/>
            </w:tblGrid>
            <w:tr w14:paraId="2644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0" w:type="dxa"/>
                </w:tcPr>
                <w:p w14:paraId="60C0EF61">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textAlignment w:val="auto"/>
                    <w:outlineLvl w:val="1"/>
                    <w:rPr>
                      <w:rFonts w:hint="default" w:ascii="宋体" w:hAnsi="宋体" w:cs="Times New Roman"/>
                      <w:color w:val="auto"/>
                      <w:sz w:val="21"/>
                      <w:szCs w:val="21"/>
                      <w:highlight w:val="none"/>
                      <w:vertAlign w:val="baseline"/>
                      <w:lang w:val="en-US" w:eastAsia="zh-CN"/>
                    </w:rPr>
                  </w:pPr>
                  <w:r>
                    <w:rPr>
                      <w:rFonts w:hint="eastAsia" w:ascii="宋体" w:hAnsi="宋体" w:cs="Times New Roman"/>
                      <w:color w:val="auto"/>
                      <w:sz w:val="21"/>
                      <w:szCs w:val="21"/>
                      <w:highlight w:val="none"/>
                      <w:vertAlign w:val="baseline"/>
                      <w:lang w:val="en-US" w:eastAsia="zh-CN"/>
                    </w:rPr>
                    <w:t>售后服务期</w:t>
                  </w:r>
                </w:p>
              </w:tc>
              <w:tc>
                <w:tcPr>
                  <w:tcW w:w="2530" w:type="dxa"/>
                </w:tcPr>
                <w:p w14:paraId="4B8041A4">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textAlignment w:val="auto"/>
                    <w:outlineLvl w:val="1"/>
                    <w:rPr>
                      <w:rFonts w:hint="default" w:ascii="宋体" w:hAnsi="宋体" w:cs="Times New Roman"/>
                      <w:color w:val="auto"/>
                      <w:sz w:val="21"/>
                      <w:szCs w:val="21"/>
                      <w:highlight w:val="none"/>
                      <w:vertAlign w:val="baseline"/>
                      <w:lang w:val="en-US" w:eastAsia="zh-CN"/>
                    </w:rPr>
                  </w:pPr>
                  <w:r>
                    <w:rPr>
                      <w:rFonts w:hint="eastAsia" w:ascii="宋体" w:hAnsi="宋体" w:cs="Times New Roman"/>
                      <w:color w:val="auto"/>
                      <w:sz w:val="21"/>
                      <w:szCs w:val="21"/>
                      <w:highlight w:val="none"/>
                      <w:vertAlign w:val="baseline"/>
                      <w:lang w:val="en-US" w:eastAsia="zh-CN"/>
                    </w:rPr>
                    <w:t>年度维护费用上限（万元）</w:t>
                  </w:r>
                </w:p>
              </w:tc>
            </w:tr>
            <w:tr w14:paraId="1277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0" w:type="dxa"/>
                </w:tcPr>
                <w:p w14:paraId="1B3908E3">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textAlignment w:val="auto"/>
                    <w:outlineLvl w:val="1"/>
                    <w:rPr>
                      <w:rFonts w:hint="default" w:ascii="宋体" w:hAnsi="宋体" w:cs="Times New Roman"/>
                      <w:color w:val="auto"/>
                      <w:sz w:val="21"/>
                      <w:szCs w:val="21"/>
                      <w:highlight w:val="none"/>
                      <w:vertAlign w:val="baseline"/>
                      <w:lang w:val="en-US" w:eastAsia="zh-CN"/>
                    </w:rPr>
                  </w:pPr>
                  <w:r>
                    <w:rPr>
                      <w:rFonts w:hint="eastAsia" w:ascii="宋体" w:hAnsi="宋体" w:cs="Times New Roman"/>
                      <w:color w:val="auto"/>
                      <w:sz w:val="21"/>
                      <w:szCs w:val="21"/>
                      <w:highlight w:val="none"/>
                      <w:vertAlign w:val="baseline"/>
                      <w:lang w:val="en-US" w:eastAsia="zh-CN"/>
                    </w:rPr>
                    <w:t>第4-6年</w:t>
                  </w:r>
                </w:p>
              </w:tc>
              <w:tc>
                <w:tcPr>
                  <w:tcW w:w="2530" w:type="dxa"/>
                </w:tcPr>
                <w:p w14:paraId="6DB1A2E5">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textAlignment w:val="auto"/>
                    <w:outlineLvl w:val="1"/>
                    <w:rPr>
                      <w:rFonts w:hint="default" w:ascii="宋体" w:hAnsi="宋体" w:cs="Times New Roman"/>
                      <w:color w:val="auto"/>
                      <w:sz w:val="21"/>
                      <w:szCs w:val="21"/>
                      <w:highlight w:val="none"/>
                      <w:vertAlign w:val="baseline"/>
                      <w:lang w:val="en-US" w:eastAsia="zh-CN"/>
                    </w:rPr>
                  </w:pPr>
                  <w:r>
                    <w:rPr>
                      <w:rFonts w:hint="eastAsia" w:ascii="宋体" w:hAnsi="宋体" w:cs="Times New Roman"/>
                      <w:color w:val="auto"/>
                      <w:sz w:val="21"/>
                      <w:szCs w:val="21"/>
                      <w:highlight w:val="none"/>
                      <w:vertAlign w:val="baseline"/>
                      <w:lang w:val="en-US" w:eastAsia="zh-CN"/>
                    </w:rPr>
                    <w:t>16*（1+10%）</w:t>
                  </w:r>
                </w:p>
              </w:tc>
            </w:tr>
            <w:tr w14:paraId="7B64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0" w:type="dxa"/>
                </w:tcPr>
                <w:p w14:paraId="698E46BF">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textAlignment w:val="auto"/>
                    <w:outlineLvl w:val="1"/>
                    <w:rPr>
                      <w:rFonts w:hint="default" w:ascii="宋体" w:hAnsi="宋体" w:cs="Times New Roman"/>
                      <w:color w:val="auto"/>
                      <w:sz w:val="21"/>
                      <w:szCs w:val="21"/>
                      <w:highlight w:val="none"/>
                      <w:vertAlign w:val="baseline"/>
                      <w:lang w:val="en-US" w:eastAsia="zh-CN"/>
                    </w:rPr>
                  </w:pPr>
                  <w:r>
                    <w:rPr>
                      <w:rFonts w:hint="eastAsia" w:ascii="宋体" w:hAnsi="宋体" w:cs="Times New Roman"/>
                      <w:color w:val="auto"/>
                      <w:sz w:val="21"/>
                      <w:szCs w:val="21"/>
                      <w:highlight w:val="none"/>
                      <w:vertAlign w:val="baseline"/>
                      <w:lang w:val="en-US" w:eastAsia="zh-CN"/>
                    </w:rPr>
                    <w:t>第7-10年</w:t>
                  </w:r>
                </w:p>
              </w:tc>
              <w:tc>
                <w:tcPr>
                  <w:tcW w:w="2530" w:type="dxa"/>
                </w:tcPr>
                <w:p w14:paraId="1A30D799">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textAlignment w:val="auto"/>
                    <w:outlineLvl w:val="1"/>
                    <w:rPr>
                      <w:rFonts w:hint="default" w:ascii="宋体" w:hAnsi="宋体" w:cs="Times New Roman"/>
                      <w:color w:val="auto"/>
                      <w:sz w:val="21"/>
                      <w:szCs w:val="21"/>
                      <w:highlight w:val="none"/>
                      <w:vertAlign w:val="baseline"/>
                      <w:lang w:val="en-US" w:eastAsia="zh-CN"/>
                    </w:rPr>
                  </w:pPr>
                  <w:r>
                    <w:rPr>
                      <w:rFonts w:hint="eastAsia" w:ascii="宋体" w:hAnsi="宋体" w:cs="Times New Roman"/>
                      <w:color w:val="auto"/>
                      <w:sz w:val="21"/>
                      <w:szCs w:val="21"/>
                      <w:highlight w:val="none"/>
                      <w:vertAlign w:val="baseline"/>
                      <w:lang w:val="en-US" w:eastAsia="zh-CN"/>
                    </w:rPr>
                    <w:t>16*（1+15%）</w:t>
                  </w:r>
                </w:p>
              </w:tc>
            </w:tr>
            <w:tr w14:paraId="1C97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0" w:type="dxa"/>
                </w:tcPr>
                <w:p w14:paraId="76CE0BC5">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textAlignment w:val="auto"/>
                    <w:outlineLvl w:val="1"/>
                    <w:rPr>
                      <w:rFonts w:hint="default" w:ascii="宋体" w:hAnsi="宋体" w:cs="Times New Roman"/>
                      <w:color w:val="auto"/>
                      <w:sz w:val="21"/>
                      <w:szCs w:val="21"/>
                      <w:highlight w:val="none"/>
                      <w:vertAlign w:val="baseline"/>
                      <w:lang w:val="en-US" w:eastAsia="zh-CN"/>
                    </w:rPr>
                  </w:pPr>
                  <w:r>
                    <w:rPr>
                      <w:rFonts w:hint="eastAsia" w:ascii="宋体" w:hAnsi="宋体" w:cs="Times New Roman"/>
                      <w:color w:val="auto"/>
                      <w:sz w:val="21"/>
                      <w:szCs w:val="21"/>
                      <w:highlight w:val="none"/>
                      <w:vertAlign w:val="baseline"/>
                      <w:lang w:val="en-US" w:eastAsia="zh-CN"/>
                    </w:rPr>
                    <w:t>第11年起</w:t>
                  </w:r>
                </w:p>
              </w:tc>
              <w:tc>
                <w:tcPr>
                  <w:tcW w:w="2530" w:type="dxa"/>
                </w:tcPr>
                <w:p w14:paraId="4EC414F9">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textAlignment w:val="auto"/>
                    <w:outlineLvl w:val="1"/>
                    <w:rPr>
                      <w:rFonts w:hint="default" w:ascii="宋体" w:hAnsi="宋体" w:cs="Times New Roman"/>
                      <w:color w:val="auto"/>
                      <w:sz w:val="21"/>
                      <w:szCs w:val="21"/>
                      <w:highlight w:val="none"/>
                      <w:vertAlign w:val="baseline"/>
                      <w:lang w:val="en-US" w:eastAsia="zh-CN"/>
                    </w:rPr>
                  </w:pPr>
                  <w:r>
                    <w:rPr>
                      <w:rFonts w:hint="eastAsia" w:ascii="宋体" w:hAnsi="宋体" w:cs="Times New Roman"/>
                      <w:color w:val="auto"/>
                      <w:sz w:val="21"/>
                      <w:szCs w:val="21"/>
                      <w:highlight w:val="none"/>
                      <w:vertAlign w:val="baseline"/>
                      <w:lang w:val="en-US" w:eastAsia="zh-CN"/>
                    </w:rPr>
                    <w:t>双方另行约定</w:t>
                  </w:r>
                </w:p>
              </w:tc>
            </w:tr>
          </w:tbl>
          <w:p w14:paraId="692C4B53">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1"/>
              <w:rPr>
                <w:rFonts w:hint="default" w:ascii="宋体" w:hAnsi="宋体" w:cs="Times New Roman"/>
                <w:color w:val="auto"/>
                <w:sz w:val="21"/>
                <w:szCs w:val="21"/>
                <w:highlight w:val="none"/>
                <w:lang w:val="en-US" w:eastAsia="zh-CN"/>
              </w:rPr>
            </w:pPr>
          </w:p>
        </w:tc>
      </w:tr>
      <w:tr w14:paraId="6019E8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832" w:type="pct"/>
            <w:vMerge w:val="continue"/>
            <w:tcBorders>
              <w:left w:val="single" w:color="auto" w:sz="4" w:space="0"/>
              <w:right w:val="single" w:color="auto" w:sz="4" w:space="0"/>
            </w:tcBorders>
            <w:noWrap w:val="0"/>
            <w:vAlign w:val="center"/>
          </w:tcPr>
          <w:p w14:paraId="2F637486">
            <w:pPr>
              <w:keepNext w:val="0"/>
              <w:keepLines w:val="0"/>
              <w:suppressLineNumbers w:val="0"/>
              <w:shd w:val="clear"/>
              <w:adjustRightInd w:val="0"/>
              <w:snapToGrid w:val="0"/>
              <w:spacing w:before="0" w:beforeAutospacing="0" w:after="0" w:afterAutospacing="0"/>
              <w:ind w:left="0" w:right="0"/>
              <w:jc w:val="center"/>
              <w:rPr>
                <w:rFonts w:hint="eastAsia" w:ascii="宋体" w:hAnsi="宋体"/>
                <w:color w:val="auto"/>
                <w:szCs w:val="21"/>
                <w:highlight w:val="none"/>
              </w:rPr>
            </w:pPr>
          </w:p>
        </w:tc>
        <w:tc>
          <w:tcPr>
            <w:tcW w:w="4167" w:type="pct"/>
            <w:tcBorders>
              <w:top w:val="single" w:color="auto" w:sz="4" w:space="0"/>
              <w:left w:val="single" w:color="auto" w:sz="4" w:space="0"/>
              <w:bottom w:val="single" w:color="auto" w:sz="4" w:space="0"/>
              <w:right w:val="single" w:color="auto" w:sz="4" w:space="0"/>
            </w:tcBorders>
            <w:noWrap w:val="0"/>
            <w:vAlign w:val="center"/>
          </w:tcPr>
          <w:p w14:paraId="193AD66F">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1"/>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售后服务响应：</w:t>
            </w:r>
          </w:p>
          <w:p w14:paraId="696190F9">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1"/>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 w:val="21"/>
                <w:szCs w:val="21"/>
                <w:highlight w:val="none"/>
                <w:lang w:val="en-US" w:eastAsia="zh-CN"/>
              </w:rPr>
              <w:t>①</w:t>
            </w:r>
            <w:r>
              <w:rPr>
                <w:rFonts w:hint="eastAsia" w:ascii="宋体" w:hAnsi="宋体" w:eastAsia="宋体" w:cs="Times New Roman"/>
                <w:color w:val="auto"/>
                <w:kern w:val="2"/>
                <w:sz w:val="21"/>
                <w:szCs w:val="21"/>
                <w:highlight w:val="none"/>
                <w:lang w:val="en-US" w:eastAsia="zh-CN" w:bidi="ar-SA"/>
              </w:rPr>
              <w:t>驻场服务：项目整体通过终验后，中标人须派驻至少2人提供现场驻场服务</w:t>
            </w:r>
            <w:r>
              <w:rPr>
                <w:rFonts w:hint="eastAsia" w:ascii="宋体" w:hAnsi="宋体" w:cs="Times New Roman"/>
                <w:color w:val="auto"/>
                <w:kern w:val="2"/>
                <w:sz w:val="21"/>
                <w:szCs w:val="21"/>
                <w:highlight w:val="none"/>
                <w:lang w:val="en-US" w:eastAsia="zh-CN" w:bidi="ar-SA"/>
              </w:rPr>
              <w:t>共计4</w:t>
            </w:r>
            <w:r>
              <w:rPr>
                <w:rFonts w:hint="eastAsia" w:ascii="宋体" w:hAnsi="宋体" w:eastAsia="宋体" w:cs="Times New Roman"/>
                <w:color w:val="auto"/>
                <w:kern w:val="2"/>
                <w:sz w:val="21"/>
                <w:szCs w:val="21"/>
                <w:highlight w:val="none"/>
                <w:lang w:val="en-US" w:eastAsia="zh-CN" w:bidi="ar-SA"/>
              </w:rPr>
              <w:t>个月，负责项目现场验收技术指导及驻场支持；</w:t>
            </w:r>
          </w:p>
          <w:p w14:paraId="160A32D3">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1"/>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②其他售后服务响应时间要求：</w:t>
            </w:r>
          </w:p>
          <w:p w14:paraId="7987EA6F">
            <w:pPr>
              <w:keepNext w:val="0"/>
              <w:keepLines w:val="0"/>
              <w:suppressLineNumbers w:val="0"/>
              <w:shd w:val="clear"/>
              <w:adjustRightInd w:val="0"/>
              <w:snapToGrid w:val="0"/>
              <w:spacing w:before="0" w:beforeAutospacing="0" w:after="0" w:afterAutospacing="0"/>
              <w:ind w:left="0" w:right="0"/>
              <w:jc w:val="left"/>
              <w:rPr>
                <w:rFonts w:hint="eastAsia" w:ascii="宋体" w:hAnsi="宋体" w:eastAsia="宋体"/>
                <w:color w:val="auto"/>
                <w:kern w:val="0"/>
                <w:szCs w:val="21"/>
                <w:highlight w:val="none"/>
                <w:lang w:eastAsia="zh-CN"/>
              </w:rPr>
            </w:pPr>
            <w:r>
              <w:rPr>
                <w:rFonts w:hint="eastAsia" w:ascii="宋体" w:hAnsi="宋体" w:eastAsia="宋体" w:cs="Times New Roman"/>
                <w:color w:val="auto"/>
                <w:kern w:val="2"/>
                <w:sz w:val="21"/>
                <w:szCs w:val="21"/>
                <w:highlight w:val="none"/>
                <w:lang w:val="en-US" w:eastAsia="zh-CN" w:bidi="ar-SA"/>
              </w:rPr>
              <w:t>整体维护服务响应要求：7*24小时热线，1.5小时内响应，一般性故障12小时内处理完毕，重大故障24小时内修复完毕，因不可抗拒和人为破坏造成的故障除外；不含设备能耗。</w:t>
            </w:r>
          </w:p>
        </w:tc>
      </w:tr>
      <w:tr w14:paraId="7F987C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832" w:type="pct"/>
            <w:vMerge w:val="continue"/>
            <w:tcBorders>
              <w:left w:val="single" w:color="auto" w:sz="4" w:space="0"/>
              <w:bottom w:val="single" w:color="auto" w:sz="4" w:space="0"/>
              <w:right w:val="single" w:color="auto" w:sz="4" w:space="0"/>
            </w:tcBorders>
            <w:noWrap w:val="0"/>
            <w:vAlign w:val="center"/>
          </w:tcPr>
          <w:p w14:paraId="6CD13397">
            <w:pPr>
              <w:keepNext w:val="0"/>
              <w:keepLines w:val="0"/>
              <w:suppressLineNumbers w:val="0"/>
              <w:shd w:val="clear"/>
              <w:adjustRightInd w:val="0"/>
              <w:snapToGrid w:val="0"/>
              <w:spacing w:before="0" w:beforeAutospacing="0" w:after="0" w:afterAutospacing="0"/>
              <w:ind w:left="0" w:right="0"/>
              <w:jc w:val="center"/>
              <w:rPr>
                <w:rFonts w:hint="eastAsia" w:ascii="宋体" w:hAnsi="宋体"/>
                <w:color w:val="auto"/>
                <w:szCs w:val="21"/>
                <w:highlight w:val="none"/>
              </w:rPr>
            </w:pPr>
          </w:p>
        </w:tc>
        <w:tc>
          <w:tcPr>
            <w:tcW w:w="4167" w:type="pct"/>
            <w:tcBorders>
              <w:top w:val="single" w:color="auto" w:sz="4" w:space="0"/>
              <w:left w:val="single" w:color="auto" w:sz="4" w:space="0"/>
              <w:bottom w:val="single" w:color="auto" w:sz="4" w:space="0"/>
              <w:right w:val="single" w:color="auto" w:sz="4" w:space="0"/>
            </w:tcBorders>
            <w:noWrap w:val="0"/>
            <w:vAlign w:val="center"/>
          </w:tcPr>
          <w:p w14:paraId="13F0277B">
            <w:pPr>
              <w:pStyle w:val="84"/>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textAlignment w:val="auto"/>
              <w:outlineLvl w:val="1"/>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技术培训要求：</w:t>
            </w:r>
          </w:p>
          <w:p w14:paraId="6925A970">
            <w:pPr>
              <w:pStyle w:val="84"/>
              <w:keepNext w:val="0"/>
              <w:keepLines w:val="0"/>
              <w:pageBreakBefore w:val="0"/>
              <w:widowControl w:val="0"/>
              <w:numPr>
                <w:ilvl w:val="0"/>
                <w:numId w:val="33"/>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投标人应对招标人人员进行全面的技术培训，使采购方人员达到能独立进行操作、管理、维护等工作，以便保证投标人所提供的系统能够正常、安全地运行。</w:t>
            </w:r>
          </w:p>
          <w:p w14:paraId="4AC1BB10">
            <w:pPr>
              <w:pStyle w:val="84"/>
              <w:keepNext w:val="0"/>
              <w:keepLines w:val="0"/>
              <w:pageBreakBefore w:val="0"/>
              <w:widowControl w:val="0"/>
              <w:numPr>
                <w:ilvl w:val="0"/>
                <w:numId w:val="33"/>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培训内容应包括：投标人所提供系统的功能和操作使用方法，维护管理和实际的操作过程。</w:t>
            </w:r>
          </w:p>
          <w:p w14:paraId="663F5735">
            <w:pPr>
              <w:pStyle w:val="84"/>
              <w:keepNext w:val="0"/>
              <w:keepLines w:val="0"/>
              <w:pageBreakBefore w:val="0"/>
              <w:widowControl w:val="0"/>
              <w:numPr>
                <w:ilvl w:val="0"/>
                <w:numId w:val="33"/>
              </w:numPr>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outlineLvl w:val="1"/>
              <w:rPr>
                <w:rFonts w:hint="eastAsia" w:ascii="宋体" w:hAnsi="宋体"/>
                <w:color w:val="auto"/>
                <w:szCs w:val="21"/>
                <w:highlight w:val="none"/>
              </w:rPr>
            </w:pPr>
            <w:r>
              <w:rPr>
                <w:rFonts w:hint="eastAsia" w:ascii="宋体" w:hAnsi="宋体" w:eastAsia="宋体" w:cs="Times New Roman"/>
                <w:color w:val="auto"/>
                <w:sz w:val="21"/>
                <w:szCs w:val="21"/>
                <w:highlight w:val="none"/>
                <w:lang w:val="en-US" w:eastAsia="zh-CN"/>
              </w:rPr>
              <w:t>投标人负责提供培训教材，并在投标文件中应提出详细的培训内容和培训计划。培训涉及的所有费用由中标人自行考虑进投标报价中。</w:t>
            </w:r>
          </w:p>
        </w:tc>
      </w:tr>
      <w:tr w14:paraId="17B639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9" w:hRule="atLeast"/>
        </w:trPr>
        <w:tc>
          <w:tcPr>
            <w:tcW w:w="832" w:type="pct"/>
            <w:tcBorders>
              <w:top w:val="single" w:color="auto" w:sz="4" w:space="0"/>
              <w:left w:val="single" w:color="auto" w:sz="4" w:space="0"/>
              <w:bottom w:val="single" w:color="auto" w:sz="4" w:space="0"/>
              <w:right w:val="single" w:color="auto" w:sz="4" w:space="0"/>
            </w:tcBorders>
            <w:noWrap w:val="0"/>
            <w:vAlign w:val="center"/>
          </w:tcPr>
          <w:p w14:paraId="5BAC03ED">
            <w:pPr>
              <w:keepNext w:val="0"/>
              <w:keepLines w:val="0"/>
              <w:suppressLineNumbers w:val="0"/>
              <w:shd w:val="clear"/>
              <w:adjustRightInd w:val="0"/>
              <w:snapToGrid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结算方式</w:t>
            </w:r>
          </w:p>
        </w:tc>
        <w:tc>
          <w:tcPr>
            <w:tcW w:w="4167" w:type="pct"/>
            <w:tcBorders>
              <w:top w:val="single" w:color="auto" w:sz="4" w:space="0"/>
              <w:left w:val="single" w:color="auto" w:sz="4" w:space="0"/>
              <w:bottom w:val="single" w:color="auto" w:sz="4" w:space="0"/>
              <w:right w:val="single" w:color="auto" w:sz="4" w:space="0"/>
            </w:tcBorders>
            <w:noWrap w:val="0"/>
            <w:vAlign w:val="center"/>
          </w:tcPr>
          <w:p w14:paraId="2D874D74">
            <w:pPr>
              <w:pStyle w:val="84"/>
              <w:keepNext w:val="0"/>
              <w:keepLines w:val="0"/>
              <w:numPr>
                <w:ilvl w:val="0"/>
                <w:numId w:val="34"/>
              </w:numPr>
              <w:suppressLineNumbers w:val="0"/>
              <w:shd w:val="clear"/>
              <w:adjustRightInd w:val="0"/>
              <w:snapToGrid w:val="0"/>
              <w:spacing w:before="0" w:beforeAutospacing="0" w:after="0" w:afterAutospacing="0" w:line="240" w:lineRule="auto"/>
              <w:ind w:left="0" w:right="0" w:firstLine="0" w:firstLineChars="0"/>
              <w:jc w:val="left"/>
              <w:rPr>
                <w:rFonts w:hint="default" w:ascii="宋体" w:hAnsi="宋体"/>
                <w:bCs/>
                <w:color w:val="auto"/>
                <w:kern w:val="0"/>
                <w:sz w:val="21"/>
                <w:szCs w:val="21"/>
                <w:highlight w:val="none"/>
                <w:lang w:val="en-US" w:eastAsia="zh-CN"/>
              </w:rPr>
            </w:pPr>
            <w:r>
              <w:rPr>
                <w:rFonts w:hint="eastAsia" w:ascii="宋体" w:hAnsi="宋体"/>
                <w:bCs/>
                <w:color w:val="auto"/>
                <w:kern w:val="0"/>
                <w:sz w:val="21"/>
                <w:szCs w:val="21"/>
                <w:highlight w:val="none"/>
                <w:lang w:val="en-US" w:eastAsia="zh-CN"/>
              </w:rPr>
              <w:t>单价：本项目采用单价固定（即中标单价在合同实施期间不因市场因素而变动，投标人发生差错遗漏的费用均不再调整）。</w:t>
            </w:r>
          </w:p>
          <w:p w14:paraId="466B2DFF">
            <w:pPr>
              <w:pStyle w:val="84"/>
              <w:keepNext w:val="0"/>
              <w:keepLines w:val="0"/>
              <w:numPr>
                <w:ilvl w:val="0"/>
                <w:numId w:val="34"/>
              </w:numPr>
              <w:suppressLineNumbers w:val="0"/>
              <w:shd w:val="clear"/>
              <w:adjustRightInd w:val="0"/>
              <w:snapToGrid w:val="0"/>
              <w:spacing w:before="0" w:beforeAutospacing="0" w:after="0" w:afterAutospacing="0" w:line="240" w:lineRule="auto"/>
              <w:ind w:left="0" w:right="0" w:firstLine="0" w:firstLineChars="0"/>
              <w:jc w:val="left"/>
              <w:rPr>
                <w:rFonts w:hint="default" w:ascii="宋体" w:hAnsi="宋体"/>
                <w:bCs/>
                <w:color w:val="auto"/>
                <w:kern w:val="0"/>
                <w:sz w:val="21"/>
                <w:szCs w:val="21"/>
                <w:highlight w:val="none"/>
                <w:lang w:val="en-US" w:eastAsia="zh-CN"/>
              </w:rPr>
            </w:pPr>
            <w:r>
              <w:rPr>
                <w:rFonts w:hint="eastAsia" w:ascii="宋体" w:hAnsi="宋体"/>
                <w:bCs/>
                <w:color w:val="auto"/>
                <w:kern w:val="0"/>
                <w:sz w:val="21"/>
                <w:szCs w:val="21"/>
                <w:highlight w:val="none"/>
                <w:lang w:val="en-US" w:eastAsia="zh-CN"/>
              </w:rPr>
              <w:t>数量：按实际采购数量结算。</w:t>
            </w:r>
          </w:p>
        </w:tc>
      </w:tr>
      <w:tr w14:paraId="621524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832" w:type="pct"/>
            <w:tcBorders>
              <w:top w:val="single" w:color="auto" w:sz="4" w:space="0"/>
              <w:left w:val="single" w:color="auto" w:sz="4" w:space="0"/>
              <w:bottom w:val="single" w:color="auto" w:sz="4" w:space="0"/>
              <w:right w:val="single" w:color="auto" w:sz="4" w:space="0"/>
            </w:tcBorders>
            <w:noWrap w:val="0"/>
            <w:vAlign w:val="center"/>
          </w:tcPr>
          <w:p w14:paraId="7ACCFABF">
            <w:pPr>
              <w:keepNext w:val="0"/>
              <w:keepLines w:val="0"/>
              <w:suppressLineNumbers w:val="0"/>
              <w:shd w:val="clear"/>
              <w:adjustRightInd w:val="0"/>
              <w:snapToGrid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支付方式</w:t>
            </w:r>
          </w:p>
        </w:tc>
        <w:tc>
          <w:tcPr>
            <w:tcW w:w="4167" w:type="pct"/>
            <w:tcBorders>
              <w:top w:val="single" w:color="auto" w:sz="4" w:space="0"/>
              <w:left w:val="single" w:color="auto" w:sz="4" w:space="0"/>
              <w:bottom w:val="single" w:color="auto" w:sz="4" w:space="0"/>
              <w:right w:val="single" w:color="auto" w:sz="4" w:space="0"/>
            </w:tcBorders>
            <w:noWrap w:val="0"/>
            <w:vAlign w:val="center"/>
          </w:tcPr>
          <w:p w14:paraId="1130AC8E">
            <w:pPr>
              <w:keepNext w:val="0"/>
              <w:keepLines w:val="0"/>
              <w:widowControl/>
              <w:numPr>
                <w:ilvl w:val="0"/>
                <w:numId w:val="35"/>
              </w:numPr>
              <w:suppressLineNumbers w:val="0"/>
              <w:shd w:val="clear"/>
              <w:spacing w:before="0" w:beforeAutospacing="0" w:after="0" w:afterAutospacing="0"/>
              <w:ind w:left="0" w:right="0"/>
              <w:rPr>
                <w:rFonts w:hint="eastAsia" w:ascii="宋体" w:hAnsi="宋体" w:cs="宋体"/>
                <w:b/>
                <w:color w:val="auto"/>
                <w:szCs w:val="21"/>
                <w:highlight w:val="none"/>
              </w:rPr>
            </w:pPr>
            <w:r>
              <w:rPr>
                <w:rFonts w:hint="eastAsia" w:ascii="宋体" w:hAnsi="宋体" w:cs="Arial"/>
                <w:bCs/>
                <w:color w:val="auto"/>
                <w:kern w:val="0"/>
                <w:szCs w:val="21"/>
                <w:highlight w:val="none"/>
              </w:rPr>
              <w:t>合同签订生效及具备履约实施条件</w:t>
            </w:r>
            <w:r>
              <w:rPr>
                <w:rFonts w:hint="eastAsia" w:ascii="宋体" w:hAnsi="宋体" w:eastAsia="宋体" w:cs="Arial"/>
                <w:bCs/>
                <w:color w:val="auto"/>
                <w:kern w:val="0"/>
                <w:szCs w:val="21"/>
                <w:highlight w:val="none"/>
              </w:rPr>
              <w:t>后</w:t>
            </w:r>
            <w:r>
              <w:rPr>
                <w:rFonts w:hint="eastAsia" w:ascii="宋体" w:hAnsi="宋体" w:eastAsia="宋体" w:cs="Arial"/>
                <w:bCs/>
                <w:color w:val="auto"/>
                <w:kern w:val="0"/>
                <w:szCs w:val="21"/>
                <w:highlight w:val="none"/>
                <w:lang w:val="en-US" w:eastAsia="zh-CN"/>
              </w:rPr>
              <w:t>30日</w:t>
            </w:r>
            <w:r>
              <w:rPr>
                <w:rFonts w:hint="eastAsia" w:ascii="宋体" w:hAnsi="宋体" w:eastAsia="宋体" w:cs="Arial"/>
                <w:bCs/>
                <w:color w:val="auto"/>
                <w:kern w:val="0"/>
                <w:szCs w:val="21"/>
                <w:highlight w:val="none"/>
              </w:rPr>
              <w:t>内</w:t>
            </w:r>
            <w:r>
              <w:rPr>
                <w:rFonts w:hint="eastAsia" w:ascii="宋体" w:hAnsi="宋体" w:cs="宋体"/>
                <w:b/>
                <w:color w:val="auto"/>
                <w:szCs w:val="21"/>
                <w:highlight w:val="none"/>
              </w:rPr>
              <w:t>支付合同款的30%</w:t>
            </w:r>
            <w:r>
              <w:rPr>
                <w:rFonts w:hint="eastAsia" w:ascii="宋体" w:hAnsi="宋体" w:cs="宋体"/>
                <w:b/>
                <w:color w:val="auto"/>
                <w:szCs w:val="21"/>
                <w:highlight w:val="none"/>
                <w:lang w:val="en-US" w:eastAsia="zh-CN"/>
              </w:rPr>
              <w:t>作为</w:t>
            </w:r>
            <w:r>
              <w:rPr>
                <w:rFonts w:hint="eastAsia" w:ascii="宋体" w:hAnsi="宋体" w:cs="宋体"/>
                <w:b/>
                <w:color w:val="auto"/>
                <w:szCs w:val="21"/>
                <w:highlight w:val="none"/>
              </w:rPr>
              <w:t>预付款；</w:t>
            </w:r>
          </w:p>
          <w:p w14:paraId="31557F2D">
            <w:pPr>
              <w:keepNext w:val="0"/>
              <w:keepLines w:val="0"/>
              <w:widowControl/>
              <w:numPr>
                <w:ilvl w:val="0"/>
                <w:numId w:val="35"/>
              </w:numPr>
              <w:suppressLineNumbers w:val="0"/>
              <w:shd w:val="clear"/>
              <w:spacing w:before="0" w:beforeAutospacing="0" w:after="0" w:afterAutospacing="0"/>
              <w:ind w:left="0" w:right="0"/>
              <w:rPr>
                <w:rFonts w:hint="eastAsia" w:ascii="宋体" w:hAnsi="宋体" w:eastAsia="宋体" w:cs="Arial"/>
                <w:bCs/>
                <w:color w:val="auto"/>
                <w:kern w:val="0"/>
                <w:szCs w:val="21"/>
                <w:highlight w:val="none"/>
              </w:rPr>
            </w:pPr>
            <w:r>
              <w:rPr>
                <w:rFonts w:hint="eastAsia" w:ascii="宋体" w:hAnsi="宋体" w:eastAsia="宋体" w:cs="Arial"/>
                <w:bCs/>
                <w:color w:val="auto"/>
                <w:kern w:val="0"/>
                <w:szCs w:val="21"/>
                <w:highlight w:val="none"/>
                <w:lang w:val="en-US" w:eastAsia="zh-CN"/>
              </w:rPr>
              <w:t>门禁闸机等设备更换、智慧景区（票务）管理平台升级</w:t>
            </w:r>
            <w:r>
              <w:rPr>
                <w:rFonts w:hint="eastAsia" w:ascii="宋体" w:hAnsi="宋体" w:eastAsia="宋体" w:cs="Arial"/>
                <w:bCs/>
                <w:color w:val="auto"/>
                <w:kern w:val="0"/>
                <w:szCs w:val="21"/>
                <w:highlight w:val="none"/>
                <w:lang w:val="en-US"/>
              </w:rPr>
              <w:t>完成</w:t>
            </w:r>
            <w:r>
              <w:rPr>
                <w:rFonts w:hint="eastAsia" w:ascii="宋体" w:hAnsi="宋体" w:eastAsia="宋体" w:cs="Arial"/>
                <w:bCs/>
                <w:color w:val="auto"/>
                <w:kern w:val="0"/>
                <w:szCs w:val="21"/>
                <w:highlight w:val="none"/>
                <w:lang w:val="en-US" w:eastAsia="zh-CN"/>
              </w:rPr>
              <w:t>并通过招标人初验</w:t>
            </w:r>
            <w:r>
              <w:rPr>
                <w:rFonts w:hint="eastAsia" w:ascii="宋体" w:hAnsi="宋体" w:eastAsia="宋体" w:cs="Arial"/>
                <w:bCs/>
                <w:color w:val="auto"/>
                <w:kern w:val="0"/>
                <w:szCs w:val="21"/>
                <w:highlight w:val="none"/>
              </w:rPr>
              <w:t>后</w:t>
            </w:r>
            <w:r>
              <w:rPr>
                <w:rFonts w:hint="eastAsia" w:ascii="宋体" w:hAnsi="宋体" w:eastAsia="宋体" w:cs="Arial"/>
                <w:bCs/>
                <w:color w:val="auto"/>
                <w:kern w:val="0"/>
                <w:szCs w:val="21"/>
                <w:highlight w:val="none"/>
                <w:lang w:val="en-US" w:eastAsia="zh-CN"/>
              </w:rPr>
              <w:t>30日</w:t>
            </w:r>
            <w:r>
              <w:rPr>
                <w:rFonts w:hint="eastAsia" w:ascii="宋体" w:hAnsi="宋体" w:eastAsia="宋体" w:cs="Arial"/>
                <w:bCs/>
                <w:color w:val="auto"/>
                <w:kern w:val="0"/>
                <w:szCs w:val="21"/>
                <w:highlight w:val="none"/>
              </w:rPr>
              <w:t>内支付合同款的</w:t>
            </w:r>
            <w:r>
              <w:rPr>
                <w:rFonts w:hint="eastAsia" w:ascii="宋体" w:hAnsi="宋体" w:eastAsia="宋体" w:cs="Arial"/>
                <w:b/>
                <w:bCs w:val="0"/>
                <w:color w:val="auto"/>
                <w:kern w:val="0"/>
                <w:szCs w:val="21"/>
                <w:highlight w:val="none"/>
              </w:rPr>
              <w:t>30%</w:t>
            </w:r>
            <w:r>
              <w:rPr>
                <w:rFonts w:hint="eastAsia" w:ascii="宋体" w:hAnsi="宋体" w:eastAsia="宋体" w:cs="Arial"/>
                <w:b/>
                <w:bCs w:val="0"/>
                <w:color w:val="auto"/>
                <w:kern w:val="0"/>
                <w:szCs w:val="21"/>
                <w:highlight w:val="none"/>
                <w:lang w:val="en-US" w:eastAsia="zh-CN"/>
              </w:rPr>
              <w:t>作为进度款</w:t>
            </w:r>
            <w:r>
              <w:rPr>
                <w:rFonts w:hint="eastAsia" w:ascii="宋体" w:hAnsi="宋体" w:eastAsia="宋体" w:cs="Arial"/>
                <w:bCs/>
                <w:color w:val="auto"/>
                <w:kern w:val="0"/>
                <w:szCs w:val="21"/>
                <w:highlight w:val="none"/>
              </w:rPr>
              <w:t>；</w:t>
            </w:r>
          </w:p>
          <w:p w14:paraId="1D44AE58">
            <w:pPr>
              <w:keepNext w:val="0"/>
              <w:keepLines w:val="0"/>
              <w:widowControl/>
              <w:numPr>
                <w:ilvl w:val="0"/>
                <w:numId w:val="35"/>
              </w:numPr>
              <w:suppressLineNumbers w:val="0"/>
              <w:shd w:val="clear"/>
              <w:spacing w:before="0" w:beforeAutospacing="0" w:after="0" w:afterAutospacing="0"/>
              <w:ind w:left="0" w:right="0"/>
              <w:rPr>
                <w:rFonts w:hint="eastAsia" w:ascii="宋体" w:hAnsi="宋体" w:eastAsia="宋体" w:cs="Arial"/>
                <w:bCs/>
                <w:color w:val="auto"/>
                <w:kern w:val="0"/>
                <w:szCs w:val="21"/>
                <w:highlight w:val="none"/>
                <w:lang w:val="en-US" w:eastAsia="zh-CN"/>
              </w:rPr>
            </w:pPr>
            <w:r>
              <w:rPr>
                <w:rFonts w:hint="eastAsia" w:ascii="宋体" w:hAnsi="宋体" w:eastAsia="宋体" w:cs="Arial"/>
                <w:bCs/>
                <w:color w:val="auto"/>
                <w:kern w:val="0"/>
                <w:szCs w:val="21"/>
                <w:highlight w:val="none"/>
                <w:lang w:val="en-US" w:eastAsia="zh-CN"/>
              </w:rPr>
              <w:t>项目终验合格后</w:t>
            </w:r>
            <w:r>
              <w:rPr>
                <w:rFonts w:hint="eastAsia" w:ascii="宋体" w:hAnsi="宋体" w:cs="Arial"/>
                <w:bCs/>
                <w:color w:val="auto"/>
                <w:kern w:val="0"/>
                <w:szCs w:val="21"/>
                <w:highlight w:val="none"/>
                <w:lang w:val="en-US" w:eastAsia="zh-CN"/>
              </w:rPr>
              <w:t>30日内</w:t>
            </w:r>
            <w:r>
              <w:rPr>
                <w:rFonts w:hint="eastAsia" w:ascii="宋体" w:hAnsi="宋体" w:eastAsia="宋体" w:cs="Arial"/>
                <w:bCs/>
                <w:color w:val="auto"/>
                <w:kern w:val="0"/>
                <w:szCs w:val="21"/>
                <w:highlight w:val="none"/>
                <w:lang w:val="en-US" w:eastAsia="zh-CN"/>
              </w:rPr>
              <w:t>支付至合同结算款的95%；</w:t>
            </w:r>
          </w:p>
          <w:p w14:paraId="5643B2D8">
            <w:pPr>
              <w:keepNext w:val="0"/>
              <w:keepLines w:val="0"/>
              <w:widowControl/>
              <w:numPr>
                <w:ilvl w:val="0"/>
                <w:numId w:val="35"/>
              </w:numPr>
              <w:suppressLineNumbers w:val="0"/>
              <w:shd w:val="clear"/>
              <w:spacing w:before="0" w:beforeAutospacing="0" w:after="0" w:afterAutospacing="0"/>
              <w:ind w:left="0" w:right="0"/>
              <w:rPr>
                <w:rFonts w:hint="eastAsia" w:ascii="宋体" w:hAnsi="宋体" w:eastAsia="宋体" w:cs="Arial"/>
                <w:bCs/>
                <w:color w:val="auto"/>
                <w:kern w:val="0"/>
                <w:szCs w:val="21"/>
                <w:highlight w:val="none"/>
                <w:lang w:val="en-US" w:eastAsia="zh-CN"/>
              </w:rPr>
            </w:pPr>
            <w:r>
              <w:rPr>
                <w:rFonts w:hint="eastAsia" w:ascii="宋体" w:hAnsi="宋体" w:eastAsia="宋体" w:cs="Arial"/>
                <w:bCs/>
                <w:color w:val="auto"/>
                <w:kern w:val="0"/>
                <w:szCs w:val="21"/>
                <w:highlight w:val="none"/>
                <w:lang w:val="en-US" w:eastAsia="zh-CN"/>
              </w:rPr>
              <w:t>运行维护期满后30日内，结清剩余合同结算款。</w:t>
            </w:r>
          </w:p>
          <w:p w14:paraId="6CD01224">
            <w:pPr>
              <w:keepNext w:val="0"/>
              <w:keepLines w:val="0"/>
              <w:suppressLineNumbers w:val="0"/>
              <w:shd w:val="clear"/>
              <w:spacing w:before="0" w:beforeAutospacing="0" w:after="0" w:afterAutospacing="0"/>
              <w:ind w:left="0" w:right="0"/>
              <w:rPr>
                <w:rFonts w:hint="eastAsia" w:ascii="宋体" w:hAnsi="宋体"/>
                <w:b/>
                <w:color w:val="auto"/>
                <w:szCs w:val="21"/>
                <w:highlight w:val="none"/>
                <w:lang w:val="en-US" w:eastAsia="zh-CN"/>
              </w:rPr>
            </w:pPr>
            <w:r>
              <w:rPr>
                <w:rFonts w:hint="eastAsia" w:ascii="宋体" w:hAnsi="宋体"/>
                <w:b/>
                <w:color w:val="auto"/>
                <w:szCs w:val="21"/>
                <w:highlight w:val="none"/>
              </w:rPr>
              <w:t>备注：</w:t>
            </w:r>
            <w:r>
              <w:rPr>
                <w:rFonts w:hint="eastAsia" w:ascii="宋体" w:hAnsi="宋体"/>
                <w:b/>
                <w:color w:val="auto"/>
                <w:szCs w:val="21"/>
                <w:highlight w:val="none"/>
                <w:lang w:val="en-US" w:eastAsia="zh-CN"/>
              </w:rPr>
              <w:t>①</w:t>
            </w:r>
            <w:r>
              <w:rPr>
                <w:rFonts w:hint="eastAsia" w:ascii="宋体" w:hAnsi="宋体"/>
                <w:b/>
                <w:color w:val="auto"/>
                <w:szCs w:val="21"/>
                <w:highlight w:val="none"/>
              </w:rPr>
              <w:t>未按</w:t>
            </w:r>
            <w:r>
              <w:rPr>
                <w:rFonts w:hint="eastAsia" w:ascii="宋体" w:hAnsi="宋体"/>
                <w:b/>
                <w:color w:val="auto"/>
                <w:szCs w:val="21"/>
                <w:highlight w:val="none"/>
                <w:lang w:eastAsia="zh-CN"/>
              </w:rPr>
              <w:t>招标人</w:t>
            </w:r>
            <w:r>
              <w:rPr>
                <w:rFonts w:hint="eastAsia" w:ascii="宋体" w:hAnsi="宋体"/>
                <w:b/>
                <w:color w:val="auto"/>
                <w:szCs w:val="21"/>
                <w:highlight w:val="none"/>
              </w:rPr>
              <w:t>时间安排相关工作的，</w:t>
            </w:r>
            <w:r>
              <w:rPr>
                <w:rFonts w:hint="eastAsia" w:ascii="宋体" w:hAnsi="宋体"/>
                <w:b/>
                <w:color w:val="auto"/>
                <w:szCs w:val="21"/>
                <w:highlight w:val="none"/>
                <w:lang w:eastAsia="zh-CN"/>
              </w:rPr>
              <w:t>招标人</w:t>
            </w:r>
            <w:r>
              <w:rPr>
                <w:rFonts w:hint="eastAsia" w:ascii="宋体" w:hAnsi="宋体"/>
                <w:b/>
                <w:color w:val="auto"/>
                <w:szCs w:val="21"/>
                <w:highlight w:val="none"/>
              </w:rPr>
              <w:t>有权在相应的付款时间段推迟付款，直至中标方完成此时间段的工作。</w:t>
            </w:r>
          </w:p>
          <w:p w14:paraId="60201928">
            <w:pPr>
              <w:keepNext w:val="0"/>
              <w:keepLines w:val="0"/>
              <w:suppressLineNumbers w:val="0"/>
              <w:shd w:val="clear"/>
              <w:spacing w:before="0" w:beforeAutospacing="0" w:after="0" w:afterAutospacing="0"/>
              <w:ind w:left="0" w:right="0"/>
              <w:rPr>
                <w:rFonts w:hint="default" w:ascii="宋体" w:hAnsi="宋体"/>
                <w:b/>
                <w:color w:val="auto"/>
                <w:szCs w:val="21"/>
                <w:highlight w:val="none"/>
                <w:lang w:val="en-US" w:eastAsia="zh-CN"/>
              </w:rPr>
            </w:pPr>
            <w:r>
              <w:rPr>
                <w:rFonts w:hint="eastAsia" w:ascii="宋体" w:hAnsi="宋体"/>
                <w:b/>
                <w:color w:val="auto"/>
                <w:szCs w:val="21"/>
                <w:highlight w:val="none"/>
                <w:lang w:val="en-US" w:eastAsia="zh-CN"/>
              </w:rPr>
              <w:t>②招标人支付服务费均以中标人提供正规合法的税务发票时间为准，因中标人延迟提供发票导致的延迟支付责任由中标人自行承担。</w:t>
            </w:r>
          </w:p>
        </w:tc>
      </w:tr>
    </w:tbl>
    <w:p w14:paraId="426BC58A">
      <w:pPr>
        <w:keepNext w:val="0"/>
        <w:keepLines w:val="0"/>
        <w:pageBreakBefore w:val="0"/>
        <w:widowControl w:val="0"/>
        <w:numPr>
          <w:ilvl w:val="0"/>
          <w:numId w:val="24"/>
        </w:numPr>
        <w:shd w:val="clear"/>
        <w:kinsoku/>
        <w:wordWrap w:val="0"/>
        <w:overflowPunct/>
        <w:topLinePunct w:val="0"/>
        <w:autoSpaceDE/>
        <w:autoSpaceDN/>
        <w:bidi w:val="0"/>
        <w:adjustRightInd/>
        <w:snapToGrid w:val="0"/>
        <w:spacing w:line="600" w:lineRule="exact"/>
        <w:ind w:left="0" w:leftChars="0" w:firstLine="241" w:firstLineChars="100"/>
        <w:jc w:val="both"/>
        <w:textAlignment w:val="auto"/>
        <w:outlineLvl w:val="1"/>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附件</w:t>
      </w:r>
    </w:p>
    <w:p w14:paraId="0E38FAFA">
      <w:pPr>
        <w:keepNext w:val="0"/>
        <w:keepLines w:val="0"/>
        <w:pageBreakBefore w:val="0"/>
        <w:widowControl w:val="0"/>
        <w:numPr>
          <w:ilvl w:val="0"/>
          <w:numId w:val="0"/>
        </w:numPr>
        <w:shd w:val="clear"/>
        <w:kinsoku/>
        <w:wordWrap w:val="0"/>
        <w:overflowPunct/>
        <w:topLinePunct w:val="0"/>
        <w:autoSpaceDE/>
        <w:autoSpaceDN/>
        <w:bidi w:val="0"/>
        <w:adjustRightInd/>
        <w:snapToGrid w:val="0"/>
        <w:spacing w:line="600" w:lineRule="exact"/>
        <w:jc w:val="center"/>
        <w:textAlignment w:val="auto"/>
        <w:outlineLvl w:val="9"/>
        <w:rPr>
          <w:rFonts w:hint="default"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闸机数量统计表</w:t>
      </w:r>
    </w:p>
    <w:tbl>
      <w:tblPr>
        <w:tblStyle w:val="48"/>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autofit"/>
        <w:tblCellMar>
          <w:top w:w="0" w:type="dxa"/>
          <w:left w:w="108" w:type="dxa"/>
          <w:bottom w:w="0" w:type="dxa"/>
          <w:right w:w="108" w:type="dxa"/>
        </w:tblCellMar>
      </w:tblPr>
      <w:tblGrid>
        <w:gridCol w:w="3999"/>
        <w:gridCol w:w="1170"/>
        <w:gridCol w:w="4000"/>
      </w:tblGrid>
      <w:tr w14:paraId="01BEC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3" w:hRule="atLeast"/>
          <w:tblHeader/>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C68AC6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区域位置名称</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9C77B5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数量</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BC8A6A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设备类别</w:t>
            </w:r>
          </w:p>
        </w:tc>
      </w:tr>
      <w:tr w14:paraId="1EC9E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6CFC36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主入口检票口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835D2A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F680B6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2747A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31C3F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松庭街检票口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2B3ED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14C39B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r>
      <w:tr w14:paraId="35674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92094C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塔湾街检票口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14B914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37180B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40602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0E3476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唐家弄检票口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6F7F98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1776E1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4615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70"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C5F444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王家弄检票口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859EAE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79241B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0D44B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70"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C0CD17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苏家弄检票口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BAC9AB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BEBCAC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4FDB0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CFE1E9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叶家弄检票口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F85B64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F3B80D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04507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CC152A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计家弄检票口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B665BB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582D8B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36583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646668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石板路检票口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426F1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F3F6B4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1754A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35FAB1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B16F66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5B9F9A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4AAA5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90" w:hRule="atLeast"/>
          <w:jc w:val="center"/>
        </w:trPr>
        <w:tc>
          <w:tcPr>
            <w:tcW w:w="2180"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B9D60B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塘东街检票口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5F3CF5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0E4F17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74AC8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C8D200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7B7DF7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8C3272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59333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CC7C91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银杏树检票口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F1B064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02FEA0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5143A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70"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79FAFD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五福桥检票口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0C5A8E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BF20E6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50D72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610"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9BADFE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吴家桥检票口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2503EC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8A80F0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636CE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E80A1D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三埭街检票口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E99838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3EA15A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7593B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85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25B0DE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里仁街检票口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8168A3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2052B7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6EBBB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8AA6AF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花巷西检票口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A3A648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F5D251A">
            <w:pPr>
              <w:keepNext w:val="0"/>
              <w:keepLines w:val="0"/>
              <w:widowControl/>
              <w:suppressLineNumbers w:val="0"/>
              <w:shd w:val="clear"/>
              <w:spacing w:before="0" w:beforeAutospacing="0" w:after="0" w:afterAutospacing="0"/>
              <w:ind w:left="0" w:right="0"/>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0</w:t>
            </w:r>
          </w:p>
        </w:tc>
      </w:tr>
      <w:tr w14:paraId="38279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A1EAC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花巷东检票口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3D2455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BE73FB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735EE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670" w:hRule="atLeast"/>
          <w:jc w:val="center"/>
        </w:trPr>
        <w:tc>
          <w:tcPr>
            <w:tcW w:w="2180"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CCE55A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EBCBE5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F42E1D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31C5D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E9BEED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卧龙桥检票口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78A491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B7FAAA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3E2BE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70"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0E1CB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渡禅桥检票口</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452A20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3A2BA4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三辊闸</w:t>
            </w:r>
          </w:p>
        </w:tc>
      </w:tr>
      <w:tr w14:paraId="550C4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055E5A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护国随粮王庙</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A2F5CF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268B67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79E05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1EB42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醉 园</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CE3842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5018AC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21045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70DFC5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王 宅</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C230EA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8BDAF2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2CA58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A039E5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西 园</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CD5590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49DC69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1410C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3A814B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钮扣博物馆</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6EC4EF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319FF5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57014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2CE7D5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张正根雕艺术馆</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E9E0B1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244A68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0FF12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FDAF5E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瓦当文化体验馆</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59FFCD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69FA40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72A05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85894D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明清木雕陈列馆</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4435D6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796240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6A992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D3D703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圣 堂</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61E94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029759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198AD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6612AB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倪 宅</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5CC7EE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42F53D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4E361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977C63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西塘酒文化体验馆</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FBA0A4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17F469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46125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50BD6C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九德堂博物馆</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997BCA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17BD0B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5E47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896E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西线入口游船码头</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D3F87F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CDD83A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53378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FD5513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卧龙桥游船码头</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70480C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E71600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29F3B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1904E4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送子来凤桥游船码头</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3E16A3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0EBF5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立柱式（需可移动）</w:t>
            </w:r>
          </w:p>
        </w:tc>
      </w:tr>
      <w:tr w14:paraId="50560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285" w:hRule="atLeast"/>
          <w:jc w:val="center"/>
        </w:trPr>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4DA5CF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游客中心</w:t>
            </w:r>
          </w:p>
        </w:tc>
        <w:tc>
          <w:tcPr>
            <w:tcW w:w="638"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B0C9AE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218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8CB3AD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自助售取票机</w:t>
            </w:r>
          </w:p>
        </w:tc>
      </w:tr>
    </w:tbl>
    <w:p w14:paraId="1B6AD0C2">
      <w:pPr>
        <w:keepNext w:val="0"/>
        <w:keepLines w:val="0"/>
        <w:pageBreakBefore w:val="0"/>
        <w:widowControl w:val="0"/>
        <w:numPr>
          <w:ilvl w:val="0"/>
          <w:numId w:val="0"/>
        </w:numPr>
        <w:shd w:val="clear"/>
        <w:kinsoku/>
        <w:wordWrap w:val="0"/>
        <w:overflowPunct/>
        <w:topLinePunct w:val="0"/>
        <w:autoSpaceDE/>
        <w:autoSpaceDN/>
        <w:bidi w:val="0"/>
        <w:adjustRightInd/>
        <w:snapToGrid w:val="0"/>
        <w:spacing w:line="600" w:lineRule="exact"/>
        <w:jc w:val="both"/>
        <w:textAlignment w:val="auto"/>
        <w:outlineLvl w:val="1"/>
        <w:rPr>
          <w:rFonts w:hint="eastAsia" w:ascii="宋体" w:hAnsi="宋体" w:eastAsia="宋体" w:cs="Times New Roman"/>
          <w:b/>
          <w:bCs/>
          <w:color w:val="auto"/>
          <w:sz w:val="24"/>
          <w:highlight w:val="none"/>
          <w:lang w:val="en-US" w:eastAsia="zh-CN"/>
        </w:rPr>
        <w:sectPr>
          <w:footerReference r:id="rId9" w:type="default"/>
          <w:pgSz w:w="11905" w:h="16838"/>
          <w:pgMar w:top="1304" w:right="1474" w:bottom="1304" w:left="1474" w:header="907" w:footer="964" w:gutter="0"/>
          <w:pgBorders>
            <w:top w:val="none" w:sz="0" w:space="0"/>
            <w:left w:val="none" w:sz="0" w:space="0"/>
            <w:bottom w:val="none" w:sz="0" w:space="0"/>
            <w:right w:val="none" w:sz="0" w:space="0"/>
          </w:pgBorders>
          <w:pgNumType w:fmt="decimal"/>
          <w:cols w:space="0" w:num="1"/>
          <w:rtlGutter w:val="0"/>
          <w:docGrid w:linePitch="289" w:charSpace="0"/>
        </w:sectPr>
      </w:pPr>
    </w:p>
    <w:p w14:paraId="70963012">
      <w:pPr>
        <w:pStyle w:val="2"/>
        <w:keepNext/>
        <w:keepLines/>
        <w:pageBreakBefore w:val="0"/>
        <w:widowControl w:val="0"/>
        <w:shd w:val="clear"/>
        <w:kinsoku/>
        <w:wordWrap w:val="0"/>
        <w:overflowPunct/>
        <w:topLinePunct w:val="0"/>
        <w:autoSpaceDE/>
        <w:autoSpaceDN/>
        <w:bidi w:val="0"/>
        <w:adjustRightInd/>
        <w:snapToGrid/>
        <w:spacing w:before="0" w:after="0" w:line="360" w:lineRule="auto"/>
        <w:textAlignment w:val="auto"/>
        <w:rPr>
          <w:b w:val="0"/>
          <w:bCs w:val="0"/>
          <w:color w:val="auto"/>
          <w:highlight w:val="none"/>
        </w:rPr>
      </w:pPr>
      <w:bookmarkStart w:id="635" w:name="_Toc11448"/>
      <w:r>
        <w:rPr>
          <w:rFonts w:hint="eastAsia"/>
          <w:color w:val="auto"/>
          <w:highlight w:val="none"/>
        </w:rPr>
        <w:t xml:space="preserve">第四章 </w:t>
      </w:r>
      <w:r>
        <w:rPr>
          <w:rFonts w:hint="eastAsia"/>
          <w:color w:val="auto"/>
          <w:highlight w:val="none"/>
          <w:lang w:val="en-US" w:eastAsia="zh-CN"/>
        </w:rPr>
        <w:t xml:space="preserve"> </w:t>
      </w:r>
      <w:r>
        <w:rPr>
          <w:rFonts w:hint="eastAsia"/>
          <w:color w:val="auto"/>
          <w:highlight w:val="none"/>
        </w:rPr>
        <w:t>评标办法及评分标准</w:t>
      </w:r>
      <w:bookmarkEnd w:id="621"/>
      <w:bookmarkEnd w:id="622"/>
      <w:bookmarkEnd w:id="630"/>
      <w:bookmarkEnd w:id="635"/>
    </w:p>
    <w:p w14:paraId="782D7F31">
      <w:pPr>
        <w:keepNext w:val="0"/>
        <w:keepLines w:val="0"/>
        <w:pageBreakBefore w:val="0"/>
        <w:widowControl w:val="0"/>
        <w:shd w:val="clear"/>
        <w:kinsoku/>
        <w:wordWrap w:val="0"/>
        <w:overflowPunct/>
        <w:topLinePunct w:val="0"/>
        <w:autoSpaceDE/>
        <w:autoSpaceDN/>
        <w:bidi w:val="0"/>
        <w:adjustRightInd w:val="0"/>
        <w:snapToGrid w:val="0"/>
        <w:spacing w:line="480" w:lineRule="exact"/>
        <w:ind w:left="0" w:firstLine="480" w:firstLineChars="200"/>
        <w:textAlignment w:val="auto"/>
        <w:rPr>
          <w:rFonts w:ascii="宋体" w:hAnsi="宋体"/>
          <w:color w:val="auto"/>
          <w:sz w:val="24"/>
          <w:highlight w:val="none"/>
        </w:rPr>
      </w:pPr>
      <w:r>
        <w:rPr>
          <w:rFonts w:hint="eastAsia" w:ascii="宋体" w:hAnsi="宋体"/>
          <w:color w:val="auto"/>
          <w:sz w:val="24"/>
          <w:highlight w:val="none"/>
        </w:rPr>
        <w:t>为公正、公平、科学地选择</w:t>
      </w:r>
      <w:r>
        <w:rPr>
          <w:rFonts w:hint="eastAsia" w:ascii="宋体" w:hAnsi="宋体"/>
          <w:color w:val="auto"/>
          <w:sz w:val="24"/>
          <w:highlight w:val="none"/>
          <w:lang w:eastAsia="zh-CN"/>
        </w:rPr>
        <w:t>中标人</w:t>
      </w:r>
      <w:r>
        <w:rPr>
          <w:rFonts w:hint="eastAsia" w:ascii="宋体" w:hAnsi="宋体"/>
          <w:color w:val="auto"/>
          <w:sz w:val="24"/>
          <w:highlight w:val="none"/>
        </w:rPr>
        <w:t>，参照有关法律法规的规定，并结合本项目的实际，制定本办法。</w:t>
      </w:r>
    </w:p>
    <w:p w14:paraId="0C10CB3D">
      <w:pPr>
        <w:keepNext w:val="0"/>
        <w:keepLines w:val="0"/>
        <w:pageBreakBefore w:val="0"/>
        <w:widowControl w:val="0"/>
        <w:shd w:val="clear"/>
        <w:kinsoku/>
        <w:wordWrap w:val="0"/>
        <w:overflowPunct/>
        <w:topLinePunct w:val="0"/>
        <w:autoSpaceDE/>
        <w:autoSpaceDN/>
        <w:bidi w:val="0"/>
        <w:adjustRightInd w:val="0"/>
        <w:snapToGrid w:val="0"/>
        <w:spacing w:line="480" w:lineRule="exact"/>
        <w:ind w:left="0" w:firstLine="480" w:firstLineChars="200"/>
        <w:textAlignment w:val="auto"/>
        <w:rPr>
          <w:rFonts w:ascii="宋体" w:hAnsi="宋体"/>
          <w:color w:val="auto"/>
          <w:sz w:val="24"/>
          <w:highlight w:val="none"/>
        </w:rPr>
      </w:pPr>
      <w:r>
        <w:rPr>
          <w:rFonts w:hint="eastAsia" w:ascii="宋体" w:hAnsi="宋体"/>
          <w:color w:val="auto"/>
          <w:sz w:val="24"/>
          <w:highlight w:val="none"/>
        </w:rPr>
        <w:t>本办法适用于</w:t>
      </w:r>
      <w:r>
        <w:rPr>
          <w:rFonts w:hint="eastAsia" w:ascii="宋体" w:hAnsi="宋体"/>
          <w:b/>
          <w:color w:val="auto"/>
          <w:sz w:val="24"/>
          <w:highlight w:val="none"/>
          <w:lang w:eastAsia="zh-CN"/>
        </w:rPr>
        <w:t>西塘古镇智慧景区综合（票务）服务平台建设项目</w:t>
      </w:r>
      <w:r>
        <w:rPr>
          <w:rFonts w:hint="eastAsia" w:ascii="宋体" w:hAnsi="宋体"/>
          <w:color w:val="auto"/>
          <w:sz w:val="24"/>
          <w:highlight w:val="none"/>
        </w:rPr>
        <w:t>的评标，</w:t>
      </w:r>
      <w:r>
        <w:rPr>
          <w:rFonts w:hint="eastAsia" w:ascii="宋体" w:hAnsi="宋体"/>
          <w:b/>
          <w:color w:val="auto"/>
          <w:sz w:val="24"/>
          <w:highlight w:val="none"/>
        </w:rPr>
        <w:t>评标过程中有效投标人不足三家时，是否继续评审由评标委员会决定。</w:t>
      </w:r>
    </w:p>
    <w:p w14:paraId="40A84587">
      <w:pPr>
        <w:pStyle w:val="84"/>
        <w:keepNext w:val="0"/>
        <w:keepLines w:val="0"/>
        <w:pageBreakBefore w:val="0"/>
        <w:widowControl w:val="0"/>
        <w:numPr>
          <w:ilvl w:val="0"/>
          <w:numId w:val="36"/>
        </w:numPr>
        <w:shd w:val="clear"/>
        <w:kinsoku/>
        <w:wordWrap w:val="0"/>
        <w:overflowPunct/>
        <w:topLinePunct w:val="0"/>
        <w:autoSpaceDE/>
        <w:autoSpaceDN/>
        <w:bidi w:val="0"/>
        <w:adjustRightInd w:val="0"/>
        <w:snapToGrid w:val="0"/>
        <w:spacing w:line="480" w:lineRule="exact"/>
        <w:ind w:left="0" w:firstLine="482" w:firstLineChars="200"/>
        <w:textAlignment w:val="auto"/>
        <w:rPr>
          <w:rFonts w:ascii="宋体" w:hAnsi="宋体"/>
          <w:b/>
          <w:color w:val="auto"/>
          <w:highlight w:val="none"/>
        </w:rPr>
      </w:pPr>
      <w:r>
        <w:rPr>
          <w:rFonts w:hint="eastAsia" w:ascii="宋体" w:hAnsi="宋体"/>
          <w:b/>
          <w:color w:val="auto"/>
          <w:highlight w:val="none"/>
        </w:rPr>
        <w:t>总则</w:t>
      </w:r>
    </w:p>
    <w:p w14:paraId="01BDE0D1">
      <w:pPr>
        <w:keepNext w:val="0"/>
        <w:keepLines w:val="0"/>
        <w:pageBreakBefore w:val="0"/>
        <w:widowControl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eastAsia" w:ascii="宋体" w:hAnsi="宋体" w:eastAsia="宋体" w:cs="Times New Roman"/>
          <w:color w:val="auto"/>
          <w:sz w:val="24"/>
          <w:highlight w:val="none"/>
          <w:lang w:eastAsia="zh-CN"/>
        </w:rPr>
      </w:pPr>
      <w:r>
        <w:rPr>
          <w:rFonts w:hint="default" w:ascii="宋体" w:hAnsi="宋体" w:eastAsia="宋体" w:cs="Times New Roman"/>
          <w:color w:val="auto"/>
          <w:sz w:val="24"/>
          <w:szCs w:val="24"/>
          <w:highlight w:val="none"/>
        </w:rPr>
        <w:t>本次评标采用综合评分法，评标结果按评审后得分由高到低顺序排列。得分相同的，按投标报价由低到高顺序排列。得分且投标报价相同的，按照技术得分由高到低排列。如仍无法分出前后的，由</w:t>
      </w:r>
      <w:r>
        <w:rPr>
          <w:rFonts w:hint="eastAsia" w:ascii="宋体" w:hAnsi="宋体" w:cs="Times New Roman"/>
          <w:color w:val="auto"/>
          <w:sz w:val="24"/>
          <w:szCs w:val="24"/>
          <w:highlight w:val="none"/>
          <w:lang w:eastAsia="zh-CN"/>
        </w:rPr>
        <w:t>招标人</w:t>
      </w:r>
      <w:r>
        <w:rPr>
          <w:rFonts w:hint="default" w:ascii="宋体" w:hAnsi="宋体" w:eastAsia="宋体" w:cs="Times New Roman"/>
          <w:color w:val="auto"/>
          <w:sz w:val="24"/>
          <w:szCs w:val="24"/>
          <w:highlight w:val="none"/>
        </w:rPr>
        <w:t>抽签确定排名，排名第一的为中标候选人。</w:t>
      </w:r>
      <w:r>
        <w:rPr>
          <w:rFonts w:hint="default" w:ascii="宋体" w:hAnsi="宋体" w:eastAsia="宋体" w:cs="宋体"/>
          <w:color w:val="auto"/>
          <w:sz w:val="24"/>
          <w:szCs w:val="24"/>
          <w:highlight w:val="none"/>
          <w:u w:val="none"/>
          <w:lang w:val="en-US" w:eastAsia="zh-CN"/>
        </w:rPr>
        <w:t>评分结果采用四舍五入法，并保留小数2位</w:t>
      </w:r>
      <w:r>
        <w:rPr>
          <w:rFonts w:hint="eastAsia" w:ascii="宋体" w:hAnsi="宋体" w:eastAsia="宋体" w:cs="宋体"/>
          <w:color w:val="auto"/>
          <w:sz w:val="24"/>
          <w:szCs w:val="24"/>
          <w:highlight w:val="none"/>
          <w:u w:val="none"/>
          <w:lang w:val="en-US" w:eastAsia="zh-CN"/>
        </w:rPr>
        <w:t>。</w:t>
      </w:r>
    </w:p>
    <w:p w14:paraId="1D2FB3E2">
      <w:pPr>
        <w:pStyle w:val="84"/>
        <w:keepNext w:val="0"/>
        <w:keepLines w:val="0"/>
        <w:pageBreakBefore w:val="0"/>
        <w:widowControl w:val="0"/>
        <w:numPr>
          <w:ilvl w:val="0"/>
          <w:numId w:val="36"/>
        </w:numPr>
        <w:shd w:val="clear"/>
        <w:kinsoku/>
        <w:wordWrap w:val="0"/>
        <w:overflowPunct/>
        <w:topLinePunct w:val="0"/>
        <w:autoSpaceDE/>
        <w:autoSpaceDN/>
        <w:bidi w:val="0"/>
        <w:adjustRightInd w:val="0"/>
        <w:snapToGrid w:val="0"/>
        <w:spacing w:line="480" w:lineRule="exact"/>
        <w:ind w:left="0" w:firstLine="482" w:firstLineChars="200"/>
        <w:textAlignment w:val="auto"/>
        <w:rPr>
          <w:rFonts w:hint="eastAsia" w:ascii="宋体" w:hAnsi="宋体" w:eastAsia="宋体" w:cs="宋体"/>
          <w:b/>
          <w:color w:val="auto"/>
          <w:highlight w:val="none"/>
        </w:rPr>
      </w:pPr>
      <w:r>
        <w:rPr>
          <w:rFonts w:hint="eastAsia" w:ascii="宋体" w:hAnsi="宋体"/>
          <w:b/>
          <w:color w:val="auto"/>
          <w:highlight w:val="none"/>
        </w:rPr>
        <w:t>评标内容及程序</w:t>
      </w:r>
    </w:p>
    <w:p w14:paraId="007B233B">
      <w:pPr>
        <w:keepNext w:val="0"/>
        <w:keepLines w:val="0"/>
        <w:pageBreakBefore w:val="0"/>
        <w:widowControl w:val="0"/>
        <w:numPr>
          <w:ilvl w:val="3"/>
          <w:numId w:val="37"/>
        </w:numPr>
        <w:shd w:val="clear"/>
        <w:tabs>
          <w:tab w:val="left" w:pos="1134"/>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资格</w:t>
      </w:r>
      <w:r>
        <w:rPr>
          <w:rFonts w:hint="eastAsia" w:ascii="宋体" w:hAnsi="宋体" w:eastAsia="宋体" w:cs="宋体"/>
          <w:bCs/>
          <w:color w:val="auto"/>
          <w:sz w:val="24"/>
          <w:highlight w:val="none"/>
          <w:lang w:eastAsia="zh-CN"/>
        </w:rPr>
        <w:t>符合性</w:t>
      </w:r>
      <w:r>
        <w:rPr>
          <w:rFonts w:hint="eastAsia" w:ascii="宋体" w:hAnsi="宋体" w:eastAsia="宋体" w:cs="宋体"/>
          <w:bCs/>
          <w:color w:val="auto"/>
          <w:sz w:val="24"/>
          <w:highlight w:val="none"/>
        </w:rPr>
        <w:t>审查，如发现</w:t>
      </w:r>
      <w:r>
        <w:rPr>
          <w:rFonts w:hint="eastAsia" w:ascii="宋体" w:hAnsi="宋体" w:eastAsia="宋体" w:cs="宋体"/>
          <w:b/>
          <w:bCs w:val="0"/>
          <w:color w:val="auto"/>
          <w:sz w:val="24"/>
          <w:highlight w:val="none"/>
        </w:rPr>
        <w:t>任意一项</w:t>
      </w:r>
      <w:r>
        <w:rPr>
          <w:rFonts w:hint="eastAsia" w:ascii="宋体" w:hAnsi="宋体" w:eastAsia="宋体" w:cs="宋体"/>
          <w:bCs/>
          <w:color w:val="auto"/>
          <w:sz w:val="24"/>
          <w:highlight w:val="none"/>
          <w:lang w:eastAsia="zh-CN"/>
        </w:rPr>
        <w:t>不符合的情况</w:t>
      </w:r>
      <w:r>
        <w:rPr>
          <w:rFonts w:hint="eastAsia" w:ascii="宋体" w:hAnsi="宋体" w:eastAsia="宋体" w:cs="宋体"/>
          <w:bCs/>
          <w:color w:val="auto"/>
          <w:sz w:val="24"/>
          <w:highlight w:val="none"/>
        </w:rPr>
        <w:t>，投标文件将被视为无效</w:t>
      </w:r>
      <w:r>
        <w:rPr>
          <w:rFonts w:hint="eastAsia" w:ascii="宋体" w:hAnsi="宋体" w:eastAsia="宋体" w:cs="宋体"/>
          <w:bCs/>
          <w:color w:val="auto"/>
          <w:sz w:val="24"/>
          <w:highlight w:val="none"/>
          <w:lang w:eastAsia="zh-CN"/>
        </w:rPr>
        <w:t>：</w:t>
      </w:r>
    </w:p>
    <w:p w14:paraId="1F658AB1">
      <w:pPr>
        <w:keepNext w:val="0"/>
        <w:keepLines w:val="0"/>
        <w:pageBreakBefore w:val="0"/>
        <w:widowControl w:val="0"/>
        <w:numPr>
          <w:ilvl w:val="0"/>
          <w:numId w:val="38"/>
        </w:numPr>
        <w:suppressLineNumbers w:val="0"/>
        <w:shd w:val="clear"/>
        <w:tabs>
          <w:tab w:val="left" w:pos="420"/>
          <w:tab w:val="left" w:pos="720"/>
          <w:tab w:val="left" w:pos="1134"/>
          <w:tab w:val="left" w:pos="1418"/>
          <w:tab w:val="left" w:pos="1610"/>
        </w:tabs>
        <w:kinsoku/>
        <w:wordWrap w:val="0"/>
        <w:overflowPunct/>
        <w:topLinePunct w:val="0"/>
        <w:autoSpaceDE/>
        <w:autoSpaceDN/>
        <w:bidi w:val="0"/>
        <w:adjustRightInd w:val="0"/>
        <w:snapToGrid w:val="0"/>
        <w:spacing w:before="0" w:beforeAutospacing="0" w:after="0" w:afterAutospacing="0" w:line="48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符合参加采购活动应当具备的一般条件的承诺函</w:t>
      </w:r>
      <w:r>
        <w:rPr>
          <w:rFonts w:hint="eastAsia" w:ascii="宋体" w:hAnsi="宋体" w:cs="宋体"/>
          <w:color w:val="auto"/>
          <w:sz w:val="24"/>
          <w:szCs w:val="24"/>
          <w:highlight w:val="none"/>
          <w:lang w:eastAsia="zh-CN"/>
        </w:rPr>
        <w:t>：</w:t>
      </w:r>
    </w:p>
    <w:p w14:paraId="6AC60BB0">
      <w:pPr>
        <w:keepNext w:val="0"/>
        <w:keepLines w:val="0"/>
        <w:pageBreakBefore w:val="0"/>
        <w:widowControl w:val="0"/>
        <w:numPr>
          <w:ilvl w:val="0"/>
          <w:numId w:val="38"/>
        </w:numPr>
        <w:suppressLineNumbers w:val="0"/>
        <w:shd w:val="clear"/>
        <w:tabs>
          <w:tab w:val="left" w:pos="420"/>
          <w:tab w:val="left" w:pos="720"/>
          <w:tab w:val="left" w:pos="1134"/>
          <w:tab w:val="left" w:pos="1418"/>
          <w:tab w:val="left" w:pos="1610"/>
        </w:tabs>
        <w:kinsoku/>
        <w:wordWrap w:val="0"/>
        <w:overflowPunct/>
        <w:topLinePunct w:val="0"/>
        <w:autoSpaceDE/>
        <w:autoSpaceDN/>
        <w:bidi w:val="0"/>
        <w:adjustRightInd w:val="0"/>
        <w:snapToGrid w:val="0"/>
        <w:spacing w:before="0" w:beforeAutospacing="0" w:after="0" w:afterAutospacing="0" w:line="480" w:lineRule="exact"/>
        <w:ind w:left="0" w:leftChars="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有效的企业营业执照（或事业法人登记证或其他登记证明材料）；</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如果有名称变更的，应提供由行政主管部门出具的变更证明文件。</w:t>
      </w:r>
    </w:p>
    <w:p w14:paraId="2023DA9E">
      <w:pPr>
        <w:keepNext w:val="0"/>
        <w:keepLines w:val="0"/>
        <w:pageBreakBefore w:val="0"/>
        <w:widowControl w:val="0"/>
        <w:numPr>
          <w:ilvl w:val="0"/>
          <w:numId w:val="38"/>
        </w:numPr>
        <w:suppressLineNumbers w:val="0"/>
        <w:shd w:val="clear"/>
        <w:tabs>
          <w:tab w:val="left" w:pos="420"/>
          <w:tab w:val="left" w:pos="720"/>
          <w:tab w:val="left" w:pos="1134"/>
          <w:tab w:val="left" w:pos="1418"/>
          <w:tab w:val="left" w:pos="1610"/>
        </w:tabs>
        <w:kinsoku/>
        <w:wordWrap w:val="0"/>
        <w:overflowPunct/>
        <w:topLinePunct w:val="0"/>
        <w:autoSpaceDE/>
        <w:autoSpaceDN/>
        <w:bidi w:val="0"/>
        <w:adjustRightInd w:val="0"/>
        <w:snapToGrid w:val="0"/>
        <w:spacing w:before="0" w:beforeAutospacing="0" w:after="0" w:afterAutospacing="0" w:line="480" w:lineRule="exact"/>
        <w:ind w:left="0" w:leftChars="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信用要求：</w:t>
      </w:r>
      <w:r>
        <w:rPr>
          <w:rFonts w:hint="eastAsia" w:ascii="宋体" w:hAnsi="宋体" w:cs="宋体"/>
          <w:color w:val="auto"/>
          <w:sz w:val="24"/>
          <w:szCs w:val="24"/>
          <w:highlight w:val="none"/>
          <w:lang w:val="en-US" w:eastAsia="zh-CN"/>
        </w:rPr>
        <w:t>①未被“信用中国”网站（www.creditchina.gov.cn）列入严重失信主体名单；②未被国家企业信用信息公示系统（http://www.gsxt.gov.cn/）列入严重违法失信名单（黑名单）信息；③未被“中国执行信息公开网”网站（http://zxgk.court.gov.cn/）列入失信被执行人；④投标人或法定代表人自2022年1月1日以来在中国裁判文书网（https：//wenshu.court.gov.cn/）上没有行贿犯罪记录情况（以行贿罪判决为准）</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u w:val="none"/>
          <w:lang w:val="en-US" w:eastAsia="zh-CN"/>
        </w:rPr>
        <w:t>以开标当天的网站查询结果为准，投标人无须提供证明材料</w:t>
      </w:r>
      <w:r>
        <w:rPr>
          <w:rFonts w:hint="eastAsia" w:ascii="宋体" w:hAnsi="宋体" w:eastAsia="宋体" w:cs="宋体"/>
          <w:color w:val="auto"/>
          <w:sz w:val="24"/>
          <w:szCs w:val="24"/>
          <w:highlight w:val="none"/>
          <w:lang w:val="en-US" w:eastAsia="zh-CN"/>
        </w:rPr>
        <w:t>）</w:t>
      </w:r>
    </w:p>
    <w:p w14:paraId="40F3E22F">
      <w:pPr>
        <w:keepNext w:val="0"/>
        <w:keepLines w:val="0"/>
        <w:pageBreakBefore w:val="0"/>
        <w:widowControl w:val="0"/>
        <w:numPr>
          <w:ilvl w:val="0"/>
          <w:numId w:val="38"/>
        </w:numPr>
        <w:suppressLineNumbers w:val="0"/>
        <w:shd w:val="clear"/>
        <w:tabs>
          <w:tab w:val="left" w:pos="420"/>
          <w:tab w:val="left" w:pos="720"/>
          <w:tab w:val="left" w:pos="1134"/>
          <w:tab w:val="left" w:pos="1418"/>
          <w:tab w:val="left" w:pos="1610"/>
        </w:tabs>
        <w:kinsoku/>
        <w:wordWrap w:val="0"/>
        <w:overflowPunct/>
        <w:topLinePunct w:val="0"/>
        <w:autoSpaceDE/>
        <w:autoSpaceDN/>
        <w:bidi w:val="0"/>
        <w:adjustRightInd w:val="0"/>
        <w:snapToGrid w:val="0"/>
        <w:spacing w:before="0" w:beforeAutospacing="0" w:after="0" w:afterAutospacing="0" w:line="480" w:lineRule="exact"/>
        <w:ind w:left="0" w:leftChars="0" w:righ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本项目的特定资格要求：无。</w:t>
      </w:r>
    </w:p>
    <w:p w14:paraId="12AC87C6">
      <w:pPr>
        <w:keepNext w:val="0"/>
        <w:keepLines w:val="0"/>
        <w:pageBreakBefore w:val="0"/>
        <w:widowControl w:val="0"/>
        <w:shd w:val="clear"/>
        <w:kinsoku/>
        <w:wordWrap w:val="0"/>
        <w:overflowPunct/>
        <w:topLinePunct w:val="0"/>
        <w:autoSpaceDE/>
        <w:autoSpaceDN/>
        <w:bidi w:val="0"/>
        <w:adjustRightInd w:val="0"/>
        <w:snapToGrid w:val="0"/>
        <w:spacing w:line="480" w:lineRule="exact"/>
        <w:ind w:left="0" w:firstLine="482" w:firstLineChars="200"/>
        <w:textAlignment w:val="auto"/>
        <w:rPr>
          <w:rFonts w:hint="eastAsia" w:ascii="宋体" w:hAnsi="宋体" w:eastAsia="宋体" w:cs="宋体"/>
          <w:color w:val="auto"/>
          <w:sz w:val="24"/>
          <w:highlight w:val="none"/>
        </w:rPr>
      </w:pPr>
      <w:r>
        <w:rPr>
          <w:rFonts w:hint="eastAsia" w:ascii="宋体" w:hAnsi="宋体" w:eastAsia="宋体" w:cs="宋体"/>
          <w:b/>
          <w:color w:val="auto"/>
          <w:szCs w:val="21"/>
          <w:highlight w:val="none"/>
        </w:rPr>
        <w:t>注</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上述资格文件均须加盖</w:t>
      </w:r>
      <w:r>
        <w:rPr>
          <w:rFonts w:hint="eastAsia" w:ascii="宋体" w:hAnsi="宋体" w:eastAsia="宋体" w:cs="宋体"/>
          <w:b/>
          <w:color w:val="auto"/>
          <w:szCs w:val="21"/>
          <w:highlight w:val="none"/>
          <w:lang w:eastAsia="zh-CN"/>
        </w:rPr>
        <w:t>投标人</w:t>
      </w:r>
      <w:r>
        <w:rPr>
          <w:rFonts w:hint="eastAsia" w:ascii="宋体" w:hAnsi="宋体" w:eastAsia="宋体" w:cs="宋体"/>
          <w:b/>
          <w:color w:val="auto"/>
          <w:szCs w:val="21"/>
          <w:highlight w:val="none"/>
        </w:rPr>
        <w:t>公章，并按</w:t>
      </w:r>
      <w:r>
        <w:rPr>
          <w:rFonts w:hint="eastAsia" w:ascii="宋体" w:hAnsi="宋体" w:eastAsia="宋体" w:cs="宋体"/>
          <w:b/>
          <w:color w:val="auto"/>
          <w:szCs w:val="21"/>
          <w:highlight w:val="none"/>
          <w:lang w:eastAsia="zh-CN"/>
        </w:rPr>
        <w:t>招标文件</w:t>
      </w:r>
      <w:r>
        <w:rPr>
          <w:rFonts w:hint="eastAsia" w:ascii="宋体" w:hAnsi="宋体" w:eastAsia="宋体" w:cs="宋体"/>
          <w:b/>
          <w:color w:val="auto"/>
          <w:szCs w:val="21"/>
          <w:highlight w:val="none"/>
        </w:rPr>
        <w:t>要求放入投标文件中，否则资格</w:t>
      </w:r>
      <w:r>
        <w:rPr>
          <w:rFonts w:hint="eastAsia" w:ascii="宋体" w:hAnsi="宋体" w:eastAsia="宋体" w:cs="宋体"/>
          <w:b/>
          <w:color w:val="auto"/>
          <w:szCs w:val="21"/>
          <w:highlight w:val="none"/>
          <w:lang w:eastAsia="zh-CN"/>
        </w:rPr>
        <w:t>符合</w:t>
      </w:r>
      <w:r>
        <w:rPr>
          <w:rFonts w:hint="eastAsia" w:ascii="宋体" w:hAnsi="宋体" w:eastAsia="宋体" w:cs="宋体"/>
          <w:b/>
          <w:color w:val="auto"/>
          <w:szCs w:val="21"/>
          <w:highlight w:val="none"/>
        </w:rPr>
        <w:t>性审查不合格</w:t>
      </w:r>
      <w:r>
        <w:rPr>
          <w:rFonts w:hint="eastAsia" w:ascii="宋体" w:hAnsi="宋体" w:eastAsia="宋体" w:cs="宋体"/>
          <w:color w:val="auto"/>
          <w:sz w:val="24"/>
          <w:highlight w:val="none"/>
        </w:rPr>
        <w:t>。</w:t>
      </w:r>
    </w:p>
    <w:p w14:paraId="0F27946F">
      <w:pPr>
        <w:keepNext w:val="0"/>
        <w:keepLines w:val="0"/>
        <w:pageBreakBefore w:val="0"/>
        <w:widowControl w:val="0"/>
        <w:numPr>
          <w:ilvl w:val="3"/>
          <w:numId w:val="37"/>
        </w:numPr>
        <w:shd w:val="clear"/>
        <w:tabs>
          <w:tab w:val="left" w:pos="1134"/>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b/>
          <w:bCs/>
          <w:color w:val="auto"/>
          <w:sz w:val="24"/>
          <w:highlight w:val="none"/>
        </w:rPr>
      </w:pPr>
      <w:r>
        <w:rPr>
          <w:rFonts w:hint="eastAsia" w:ascii="宋体" w:hAnsi="宋体" w:eastAsia="宋体" w:cs="宋体"/>
          <w:bCs/>
          <w:color w:val="auto"/>
          <w:sz w:val="24"/>
          <w:highlight w:val="none"/>
        </w:rPr>
        <w:t>资信商务及技术文件符合性审查，如发现下列情形之一的，投标文件将被视为无效：</w:t>
      </w:r>
    </w:p>
    <w:p w14:paraId="2FB7C699">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投标文件的盖章、签字等不符合</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rPr>
        <w:t>相关规定要求；</w:t>
      </w:r>
    </w:p>
    <w:p w14:paraId="59288609">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投标文件未按照</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rPr>
        <w:t>规定的格式填写或关键字迹模糊，无法辨认的；</w:t>
      </w:r>
    </w:p>
    <w:p w14:paraId="6FD1D47D">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bCs/>
          <w:color w:val="auto"/>
          <w:sz w:val="24"/>
          <w:highlight w:val="none"/>
        </w:rPr>
        <w:t>在资信商务及技术文件中出现报价的；</w:t>
      </w:r>
    </w:p>
    <w:p w14:paraId="65A94CA9">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snapToGrid w:val="0"/>
          <w:color w:val="auto"/>
          <w:sz w:val="24"/>
          <w:highlight w:val="none"/>
        </w:rPr>
      </w:pPr>
      <w:r>
        <w:rPr>
          <w:rFonts w:hint="eastAsia" w:ascii="宋体" w:hAnsi="宋体" w:cs="宋体"/>
          <w:snapToGrid w:val="0"/>
          <w:color w:val="auto"/>
          <w:sz w:val="24"/>
          <w:szCs w:val="24"/>
          <w:highlight w:val="none"/>
          <w:lang w:eastAsia="zh-CN"/>
        </w:rPr>
        <w:t>投标文件有效期</w:t>
      </w:r>
      <w:r>
        <w:rPr>
          <w:rFonts w:hint="eastAsia" w:ascii="宋体" w:hAnsi="宋体" w:eastAsia="宋体" w:cs="宋体"/>
          <w:snapToGrid w:val="0"/>
          <w:color w:val="auto"/>
          <w:sz w:val="24"/>
          <w:szCs w:val="24"/>
          <w:highlight w:val="none"/>
        </w:rPr>
        <w:t>、</w:t>
      </w:r>
      <w:r>
        <w:rPr>
          <w:rFonts w:hint="eastAsia" w:ascii="宋体" w:hAnsi="宋体" w:cs="宋体"/>
          <w:snapToGrid w:val="0"/>
          <w:color w:val="auto"/>
          <w:sz w:val="24"/>
          <w:szCs w:val="24"/>
          <w:highlight w:val="none"/>
          <w:lang w:val="en-US" w:eastAsia="zh-CN"/>
        </w:rPr>
        <w:t>工期</w:t>
      </w:r>
      <w:r>
        <w:rPr>
          <w:rFonts w:hint="eastAsia" w:ascii="宋体" w:hAnsi="宋体" w:eastAsia="宋体" w:cs="宋体"/>
          <w:snapToGrid w:val="0"/>
          <w:color w:val="auto"/>
          <w:sz w:val="24"/>
          <w:szCs w:val="24"/>
          <w:highlight w:val="none"/>
        </w:rPr>
        <w:t>等商务条款不能满足招标文件要求的；</w:t>
      </w:r>
    </w:p>
    <w:p w14:paraId="1CF30473">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snapToGrid w:val="0"/>
          <w:color w:val="auto"/>
          <w:sz w:val="24"/>
          <w:highlight w:val="none"/>
        </w:rPr>
      </w:pPr>
      <w:r>
        <w:rPr>
          <w:rFonts w:hint="eastAsia" w:ascii="宋体" w:hAnsi="宋体" w:eastAsia="宋体" w:cs="宋体"/>
          <w:snapToGrid w:val="0"/>
          <w:color w:val="auto"/>
          <w:sz w:val="24"/>
          <w:highlight w:val="none"/>
        </w:rPr>
        <w:t>未实质性响应招标文件要求或者投标文件有</w:t>
      </w:r>
      <w:r>
        <w:rPr>
          <w:rFonts w:hint="eastAsia" w:ascii="宋体" w:hAnsi="宋体" w:eastAsia="宋体" w:cs="宋体"/>
          <w:snapToGrid w:val="0"/>
          <w:color w:val="auto"/>
          <w:sz w:val="24"/>
          <w:highlight w:val="none"/>
          <w:lang w:eastAsia="zh-CN"/>
        </w:rPr>
        <w:t>招标人</w:t>
      </w:r>
      <w:r>
        <w:rPr>
          <w:rFonts w:hint="eastAsia" w:ascii="宋体" w:hAnsi="宋体" w:eastAsia="宋体" w:cs="宋体"/>
          <w:snapToGrid w:val="0"/>
          <w:color w:val="auto"/>
          <w:sz w:val="24"/>
          <w:highlight w:val="none"/>
        </w:rPr>
        <w:t>不能接受的附加条件的；</w:t>
      </w:r>
    </w:p>
    <w:p w14:paraId="091528AB">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snapToGrid w:val="0"/>
          <w:color w:val="auto"/>
          <w:sz w:val="24"/>
          <w:highlight w:val="none"/>
        </w:rPr>
      </w:pPr>
      <w:r>
        <w:rPr>
          <w:rFonts w:hint="eastAsia" w:ascii="宋体" w:hAnsi="宋体" w:eastAsia="宋体" w:cs="宋体"/>
          <w:snapToGrid w:val="0"/>
          <w:color w:val="auto"/>
          <w:sz w:val="24"/>
          <w:highlight w:val="none"/>
        </w:rPr>
        <w:t>投标文件标明的响应或偏离与事实不符或虚假投标的；</w:t>
      </w:r>
    </w:p>
    <w:p w14:paraId="7113E23A">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snapToGrid w:val="0"/>
          <w:color w:val="auto"/>
          <w:sz w:val="24"/>
          <w:highlight w:val="none"/>
        </w:rPr>
      </w:pPr>
      <w:r>
        <w:rPr>
          <w:rFonts w:hint="eastAsia" w:ascii="宋体" w:hAnsi="宋体" w:eastAsia="宋体" w:cs="宋体"/>
          <w:snapToGrid w:val="0"/>
          <w:color w:val="auto"/>
          <w:sz w:val="24"/>
          <w:highlight w:val="none"/>
        </w:rPr>
        <w:t>与招标文件中标“▲”的技术指标、主要功能项目发生实质性偏离的；</w:t>
      </w:r>
    </w:p>
    <w:p w14:paraId="484BEA05">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snapToGrid w:val="0"/>
          <w:color w:val="auto"/>
          <w:sz w:val="24"/>
          <w:highlight w:val="none"/>
        </w:rPr>
      </w:pPr>
      <w:r>
        <w:rPr>
          <w:rFonts w:hint="eastAsia" w:ascii="宋体" w:hAnsi="宋体" w:eastAsia="宋体" w:cs="宋体"/>
          <w:snapToGrid w:val="0"/>
          <w:color w:val="auto"/>
          <w:sz w:val="24"/>
          <w:highlight w:val="none"/>
        </w:rPr>
        <w:t>投标技术方案不明确，存在一个或一个以上备选（替代）投标方案的；</w:t>
      </w:r>
    </w:p>
    <w:p w14:paraId="3EC4A630">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发现投标文件有以他人名义投标、串通投标等嫌疑的（须评标委员会成员一致同意）；</w:t>
      </w:r>
    </w:p>
    <w:p w14:paraId="1A563BB9">
      <w:pPr>
        <w:keepNext w:val="0"/>
        <w:keepLines w:val="0"/>
        <w:pageBreakBefore w:val="0"/>
        <w:widowControl w:val="0"/>
        <w:numPr>
          <w:ilvl w:val="0"/>
          <w:numId w:val="39"/>
        </w:numPr>
        <w:shd w:val="clear"/>
        <w:tabs>
          <w:tab w:val="left" w:pos="993"/>
        </w:tabs>
        <w:kinsoku/>
        <w:wordWrap w:val="0"/>
        <w:overflowPunct/>
        <w:topLinePunct w:val="0"/>
        <w:autoSpaceDE/>
        <w:autoSpaceDN/>
        <w:bidi w:val="0"/>
        <w:adjustRightInd w:val="0"/>
        <w:snapToGrid w:val="0"/>
        <w:spacing w:line="480" w:lineRule="exact"/>
        <w:ind w:left="0" w:lef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不符合法律法规规定或未满足</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rPr>
        <w:t>实质性要求的其他事项。</w:t>
      </w:r>
    </w:p>
    <w:p w14:paraId="6E0AD048">
      <w:pPr>
        <w:keepNext w:val="0"/>
        <w:keepLines w:val="0"/>
        <w:pageBreakBefore w:val="0"/>
        <w:widowControl w:val="0"/>
        <w:numPr>
          <w:ilvl w:val="3"/>
          <w:numId w:val="37"/>
        </w:numPr>
        <w:shd w:val="clear"/>
        <w:tabs>
          <w:tab w:val="left" w:pos="1134"/>
        </w:tabs>
        <w:kinsoku/>
        <w:wordWrap w:val="0"/>
        <w:overflowPunct/>
        <w:topLinePunct w:val="0"/>
        <w:autoSpaceDE/>
        <w:autoSpaceDN/>
        <w:bidi w:val="0"/>
        <w:adjustRightInd w:val="0"/>
        <w:snapToGrid w:val="0"/>
        <w:spacing w:line="480" w:lineRule="exact"/>
        <w:ind w:left="420" w:leftChars="0" w:hanging="420" w:firstLineChars="0"/>
        <w:textAlignment w:val="auto"/>
        <w:rPr>
          <w:rFonts w:hint="eastAsia" w:ascii="宋体" w:hAnsi="宋体" w:eastAsia="宋体" w:cs="宋体"/>
          <w:b/>
          <w:bCs/>
          <w:color w:val="auto"/>
          <w:position w:val="2"/>
          <w:sz w:val="24"/>
          <w:highlight w:val="none"/>
        </w:rPr>
      </w:pPr>
      <w:r>
        <w:rPr>
          <w:rFonts w:hint="eastAsia" w:ascii="宋体" w:hAnsi="宋体" w:eastAsia="宋体" w:cs="宋体"/>
          <w:b/>
          <w:bCs/>
          <w:color w:val="auto"/>
          <w:position w:val="2"/>
          <w:sz w:val="24"/>
          <w:highlight w:val="none"/>
        </w:rPr>
        <w:t>资信商务及技术分（</w:t>
      </w:r>
      <w:r>
        <w:rPr>
          <w:rFonts w:hint="eastAsia" w:ascii="宋体" w:hAnsi="宋体" w:cs="宋体"/>
          <w:b/>
          <w:bCs/>
          <w:color w:val="auto"/>
          <w:position w:val="2"/>
          <w:sz w:val="24"/>
          <w:highlight w:val="none"/>
          <w:lang w:val="en-US" w:eastAsia="zh-CN"/>
        </w:rPr>
        <w:t>70分</w:t>
      </w:r>
      <w:r>
        <w:rPr>
          <w:rFonts w:hint="eastAsia" w:ascii="宋体" w:hAnsi="宋体" w:eastAsia="宋体" w:cs="宋体"/>
          <w:b/>
          <w:bCs/>
          <w:color w:val="auto"/>
          <w:position w:val="2"/>
          <w:sz w:val="24"/>
          <w:highlight w:val="none"/>
        </w:rPr>
        <w:t>）</w:t>
      </w:r>
    </w:p>
    <w:tbl>
      <w:tblPr>
        <w:tblStyle w:val="48"/>
        <w:tblW w:w="9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715"/>
        <w:gridCol w:w="6084"/>
        <w:gridCol w:w="675"/>
      </w:tblGrid>
      <w:tr w14:paraId="60B4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blHeader/>
          <w:jc w:val="center"/>
        </w:trPr>
        <w:tc>
          <w:tcPr>
            <w:tcW w:w="2583" w:type="dxa"/>
            <w:gridSpan w:val="2"/>
            <w:vMerge w:val="restart"/>
            <w:noWrap w:val="0"/>
            <w:vAlign w:val="center"/>
          </w:tcPr>
          <w:p w14:paraId="682F38DB">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Lines="0" w:beforeAutospacing="0" w:after="0" w:afterLines="0" w:afterAutospacing="0" w:line="360" w:lineRule="exact"/>
              <w:ind w:left="0" w:leftChars="0" w:right="0"/>
              <w:jc w:val="center"/>
              <w:textAlignment w:val="auto"/>
              <w:rPr>
                <w:rFonts w:hint="eastAsia" w:ascii="宋体" w:hAnsi="宋体" w:eastAsia="宋体" w:cs="宋体"/>
                <w:b/>
                <w:bCs/>
                <w:color w:val="auto"/>
                <w:kern w:val="2"/>
                <w:position w:val="2"/>
                <w:sz w:val="21"/>
                <w:szCs w:val="21"/>
                <w:highlight w:val="none"/>
                <w:lang w:val="en-US" w:eastAsia="zh-CN" w:bidi="ar-SA"/>
              </w:rPr>
            </w:pPr>
            <w:r>
              <w:rPr>
                <w:rFonts w:hint="eastAsia" w:ascii="宋体" w:hAnsi="宋体" w:eastAsia="宋体" w:cs="宋体"/>
                <w:b/>
                <w:bCs/>
                <w:color w:val="auto"/>
                <w:kern w:val="2"/>
                <w:position w:val="2"/>
                <w:sz w:val="21"/>
                <w:szCs w:val="21"/>
                <w:highlight w:val="none"/>
                <w:lang w:val="en-US" w:eastAsia="zh-CN" w:bidi="ar-SA"/>
              </w:rPr>
              <w:t>评分因素</w:t>
            </w:r>
          </w:p>
        </w:tc>
        <w:tc>
          <w:tcPr>
            <w:tcW w:w="6084" w:type="dxa"/>
            <w:vMerge w:val="restart"/>
            <w:noWrap w:val="0"/>
            <w:vAlign w:val="center"/>
          </w:tcPr>
          <w:p w14:paraId="59E17AB7">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Lines="0" w:beforeAutospacing="0" w:after="0" w:afterLines="0" w:afterAutospacing="0" w:line="360" w:lineRule="exact"/>
              <w:ind w:left="0" w:leftChars="0" w:right="0"/>
              <w:jc w:val="center"/>
              <w:textAlignment w:val="auto"/>
              <w:rPr>
                <w:rFonts w:hint="eastAsia" w:ascii="宋体" w:hAnsi="宋体" w:eastAsia="宋体" w:cs="宋体"/>
                <w:b/>
                <w:bCs/>
                <w:color w:val="auto"/>
                <w:kern w:val="2"/>
                <w:position w:val="2"/>
                <w:sz w:val="21"/>
                <w:szCs w:val="21"/>
                <w:highlight w:val="none"/>
                <w:lang w:val="en-US" w:eastAsia="zh-CN" w:bidi="ar-SA"/>
              </w:rPr>
            </w:pPr>
            <w:r>
              <w:rPr>
                <w:rFonts w:hint="eastAsia" w:ascii="宋体" w:hAnsi="宋体" w:eastAsia="宋体" w:cs="宋体"/>
                <w:b/>
                <w:bCs/>
                <w:color w:val="auto"/>
                <w:kern w:val="2"/>
                <w:position w:val="2"/>
                <w:sz w:val="21"/>
                <w:szCs w:val="21"/>
                <w:highlight w:val="none"/>
                <w:lang w:val="en-US" w:eastAsia="zh-CN" w:bidi="ar-SA"/>
              </w:rPr>
              <w:t>评分细则</w:t>
            </w:r>
          </w:p>
        </w:tc>
        <w:tc>
          <w:tcPr>
            <w:tcW w:w="675" w:type="dxa"/>
            <w:vMerge w:val="restart"/>
            <w:noWrap w:val="0"/>
            <w:vAlign w:val="center"/>
          </w:tcPr>
          <w:p w14:paraId="1CC749C1">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Lines="0" w:beforeAutospacing="0" w:after="0" w:afterLines="0" w:afterAutospacing="0" w:line="360" w:lineRule="exact"/>
              <w:ind w:left="0" w:leftChars="0" w:right="0"/>
              <w:jc w:val="center"/>
              <w:textAlignment w:val="auto"/>
              <w:rPr>
                <w:rFonts w:hint="eastAsia" w:ascii="宋体" w:hAnsi="宋体" w:eastAsia="宋体" w:cs="宋体"/>
                <w:b/>
                <w:bCs/>
                <w:color w:val="auto"/>
                <w:kern w:val="2"/>
                <w:position w:val="2"/>
                <w:sz w:val="21"/>
                <w:szCs w:val="21"/>
                <w:highlight w:val="none"/>
                <w:lang w:val="en-US" w:eastAsia="zh-CN" w:bidi="ar-SA"/>
              </w:rPr>
            </w:pPr>
            <w:r>
              <w:rPr>
                <w:rFonts w:hint="eastAsia" w:ascii="宋体" w:hAnsi="宋体" w:eastAsia="宋体" w:cs="宋体"/>
                <w:b/>
                <w:bCs/>
                <w:color w:val="auto"/>
                <w:kern w:val="2"/>
                <w:position w:val="2"/>
                <w:sz w:val="21"/>
                <w:szCs w:val="21"/>
                <w:highlight w:val="none"/>
                <w:lang w:val="en-US" w:eastAsia="zh-CN" w:bidi="ar-SA"/>
              </w:rPr>
              <w:t>分值</w:t>
            </w:r>
          </w:p>
        </w:tc>
      </w:tr>
      <w:tr w14:paraId="7BF0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2583" w:type="dxa"/>
            <w:gridSpan w:val="2"/>
            <w:vMerge w:val="continue"/>
            <w:noWrap w:val="0"/>
            <w:vAlign w:val="center"/>
          </w:tcPr>
          <w:p w14:paraId="790505D2">
            <w:pPr>
              <w:keepNext w:val="0"/>
              <w:keepLines w:val="0"/>
              <w:pageBreakBefore w:val="0"/>
              <w:widowControl w:val="0"/>
              <w:suppressLineNumbers w:val="0"/>
              <w:shd w:val="clear"/>
              <w:kinsoku/>
              <w:wordWrap w:val="0"/>
              <w:overflowPunct/>
              <w:topLinePunct w:val="0"/>
              <w:bidi w:val="0"/>
              <w:adjustRightInd w:val="0"/>
              <w:snapToGrid w:val="0"/>
              <w:spacing w:before="0" w:beforeLines="0" w:beforeAutospacing="0" w:after="0" w:afterLines="0" w:afterAutospacing="0" w:line="240" w:lineRule="auto"/>
              <w:ind w:left="0" w:leftChars="0" w:right="0"/>
              <w:jc w:val="center"/>
              <w:textAlignment w:val="auto"/>
              <w:rPr>
                <w:rFonts w:hint="eastAsia" w:ascii="宋体" w:hAnsi="宋体" w:eastAsia="宋体" w:cs="宋体"/>
                <w:color w:val="auto"/>
                <w:kern w:val="2"/>
                <w:sz w:val="21"/>
                <w:szCs w:val="21"/>
                <w:highlight w:val="none"/>
                <w:lang w:val="en-US" w:eastAsia="zh-CN" w:bidi="ar-SA"/>
              </w:rPr>
            </w:pPr>
          </w:p>
        </w:tc>
        <w:tc>
          <w:tcPr>
            <w:tcW w:w="6084" w:type="dxa"/>
            <w:vMerge w:val="continue"/>
            <w:noWrap w:val="0"/>
            <w:vAlign w:val="center"/>
          </w:tcPr>
          <w:p w14:paraId="5DB03256">
            <w:pPr>
              <w:keepNext w:val="0"/>
              <w:keepLines w:val="0"/>
              <w:pageBreakBefore w:val="0"/>
              <w:widowControl w:val="0"/>
              <w:suppressLineNumbers w:val="0"/>
              <w:shd w:val="clear"/>
              <w:kinsoku/>
              <w:wordWrap w:val="0"/>
              <w:overflowPunct/>
              <w:topLinePunct w:val="0"/>
              <w:bidi w:val="0"/>
              <w:adjustRightInd w:val="0"/>
              <w:snapToGrid w:val="0"/>
              <w:spacing w:before="0" w:beforeLines="0" w:beforeAutospacing="0" w:after="0" w:afterLines="0" w:afterAutospacing="0" w:line="240" w:lineRule="auto"/>
              <w:ind w:left="120" w:leftChars="50" w:right="0"/>
              <w:jc w:val="center"/>
              <w:rPr>
                <w:rFonts w:hint="eastAsia" w:ascii="宋体" w:hAnsi="宋体" w:eastAsia="宋体" w:cs="宋体"/>
                <w:color w:val="auto"/>
                <w:kern w:val="2"/>
                <w:sz w:val="21"/>
                <w:szCs w:val="21"/>
                <w:highlight w:val="none"/>
                <w:lang w:val="en-US" w:eastAsia="zh-CN" w:bidi="ar-SA"/>
              </w:rPr>
            </w:pPr>
          </w:p>
        </w:tc>
        <w:tc>
          <w:tcPr>
            <w:tcW w:w="675" w:type="dxa"/>
            <w:vMerge w:val="continue"/>
            <w:noWrap w:val="0"/>
            <w:vAlign w:val="center"/>
          </w:tcPr>
          <w:p w14:paraId="094720B5">
            <w:pPr>
              <w:keepNext w:val="0"/>
              <w:keepLines w:val="0"/>
              <w:pageBreakBefore w:val="0"/>
              <w:widowControl w:val="0"/>
              <w:suppressLineNumbers w:val="0"/>
              <w:shd w:val="clear"/>
              <w:kinsoku/>
              <w:wordWrap w:val="0"/>
              <w:overflowPunct/>
              <w:topLinePunct w:val="0"/>
              <w:bidi w:val="0"/>
              <w:adjustRightInd w:val="0"/>
              <w:snapToGrid w:val="0"/>
              <w:spacing w:before="0" w:beforeLines="0" w:beforeAutospacing="0" w:after="0" w:afterLines="0" w:afterAutospacing="0" w:line="240" w:lineRule="auto"/>
              <w:ind w:left="0" w:leftChars="0" w:right="0"/>
              <w:jc w:val="center"/>
              <w:rPr>
                <w:rFonts w:hint="eastAsia" w:ascii="宋体" w:hAnsi="宋体" w:eastAsia="宋体" w:cs="宋体"/>
                <w:color w:val="auto"/>
                <w:kern w:val="2"/>
                <w:sz w:val="21"/>
                <w:szCs w:val="21"/>
                <w:highlight w:val="none"/>
                <w:lang w:val="en-US" w:eastAsia="zh-CN" w:bidi="ar-SA"/>
              </w:rPr>
            </w:pPr>
          </w:p>
        </w:tc>
      </w:tr>
      <w:tr w14:paraId="6A3B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Merge w:val="restart"/>
            <w:noWrap w:val="0"/>
            <w:vAlign w:val="center"/>
          </w:tcPr>
          <w:p w14:paraId="022BAE70">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资信商务</w:t>
            </w:r>
          </w:p>
          <w:p w14:paraId="286DDF54">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11分</w:t>
            </w:r>
          </w:p>
        </w:tc>
        <w:tc>
          <w:tcPr>
            <w:tcW w:w="1715" w:type="dxa"/>
            <w:noWrap w:val="0"/>
            <w:vAlign w:val="center"/>
          </w:tcPr>
          <w:p w14:paraId="4D2E4892">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line="300" w:lineRule="exact"/>
              <w:ind w:left="0" w:leftChars="0" w:right="0"/>
              <w:jc w:val="center"/>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eastAsia="zh-CN"/>
              </w:rPr>
              <w:t>同类项目业绩</w:t>
            </w:r>
          </w:p>
        </w:tc>
        <w:tc>
          <w:tcPr>
            <w:tcW w:w="6084" w:type="dxa"/>
            <w:noWrap w:val="0"/>
            <w:vAlign w:val="center"/>
          </w:tcPr>
          <w:p w14:paraId="45080F21">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right="0" w:firstLine="315" w:firstLineChars="15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投标人自</w:t>
            </w:r>
            <w:r>
              <w:rPr>
                <w:rFonts w:hint="eastAsia" w:ascii="宋体" w:hAnsi="宋体" w:eastAsia="宋体" w:cs="宋体"/>
                <w:color w:val="auto"/>
                <w:sz w:val="21"/>
                <w:szCs w:val="21"/>
                <w:highlight w:val="none"/>
              </w:rPr>
              <w:t>202</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年1月1日</w:t>
            </w:r>
            <w:r>
              <w:rPr>
                <w:rFonts w:hint="eastAsia" w:ascii="宋体" w:hAnsi="宋体" w:eastAsia="宋体" w:cs="宋体"/>
                <w:color w:val="auto"/>
                <w:sz w:val="21"/>
                <w:szCs w:val="21"/>
                <w:highlight w:val="none"/>
              </w:rPr>
              <w:t>（以合同签订时间为准）以来</w:t>
            </w:r>
            <w:r>
              <w:rPr>
                <w:rFonts w:hint="eastAsia" w:ascii="宋体" w:hAnsi="宋体" w:eastAsia="宋体" w:cs="宋体"/>
                <w:color w:val="auto"/>
                <w:sz w:val="21"/>
                <w:szCs w:val="21"/>
                <w:highlight w:val="none"/>
                <w:lang w:eastAsia="zh-CN"/>
              </w:rPr>
              <w:t>，承接过</w:t>
            </w:r>
            <w:r>
              <w:rPr>
                <w:rFonts w:hint="eastAsia" w:ascii="宋体" w:hAnsi="宋体" w:cs="宋体"/>
                <w:color w:val="auto"/>
                <w:sz w:val="21"/>
                <w:szCs w:val="21"/>
                <w:highlight w:val="none"/>
                <w:lang w:val="en-US" w:eastAsia="zh-CN"/>
              </w:rPr>
              <w:t>***及以上</w:t>
            </w:r>
            <w:r>
              <w:rPr>
                <w:rFonts w:hint="eastAsia" w:ascii="宋体" w:hAnsi="宋体" w:cs="宋体"/>
                <w:color w:val="auto"/>
                <w:sz w:val="21"/>
                <w:szCs w:val="21"/>
                <w:highlight w:val="none"/>
                <w:lang w:val="en-US" w:eastAsia="zh-CN"/>
              </w:rPr>
              <w:t>售检票产品项目</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每个</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得</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rPr>
              <w:t>，最多得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rPr>
              <w:t>。</w:t>
            </w:r>
          </w:p>
          <w:p w14:paraId="2A4C152E">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right="0" w:firstLine="315" w:firstLineChars="150"/>
              <w:jc w:val="both"/>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（相关项目</w:t>
            </w:r>
            <w:r>
              <w:rPr>
                <w:rFonts w:hint="eastAsia" w:ascii="宋体" w:hAnsi="宋体" w:eastAsia="宋体" w:cs="宋体"/>
                <w:b/>
                <w:bCs/>
                <w:color w:val="auto"/>
                <w:kern w:val="0"/>
                <w:sz w:val="21"/>
                <w:szCs w:val="21"/>
                <w:highlight w:val="none"/>
              </w:rPr>
              <w:t>合同</w:t>
            </w:r>
            <w:r>
              <w:rPr>
                <w:rFonts w:hint="eastAsia" w:ascii="宋体" w:hAnsi="宋体" w:eastAsia="宋体" w:cs="宋体"/>
                <w:color w:val="auto"/>
                <w:kern w:val="0"/>
                <w:sz w:val="21"/>
                <w:szCs w:val="21"/>
                <w:highlight w:val="none"/>
              </w:rPr>
              <w:t>及</w:t>
            </w:r>
            <w:r>
              <w:rPr>
                <w:rFonts w:hint="eastAsia" w:ascii="宋体" w:hAnsi="宋体" w:eastAsia="宋体" w:cs="宋体"/>
                <w:b/>
                <w:bCs/>
                <w:color w:val="auto"/>
                <w:kern w:val="0"/>
                <w:sz w:val="21"/>
                <w:szCs w:val="21"/>
                <w:highlight w:val="none"/>
              </w:rPr>
              <w:t>履约证明（如发票、验收证明等）</w:t>
            </w:r>
            <w:r>
              <w:rPr>
                <w:rFonts w:hint="eastAsia" w:ascii="宋体" w:hAnsi="宋体" w:eastAsia="宋体" w:cs="宋体"/>
                <w:color w:val="auto"/>
                <w:kern w:val="0"/>
                <w:sz w:val="21"/>
                <w:szCs w:val="21"/>
                <w:highlight w:val="none"/>
              </w:rPr>
              <w:t>复印件需提供在资信商务及技术文件中，要求清晰可辨，否则不得分）</w:t>
            </w:r>
          </w:p>
        </w:tc>
        <w:tc>
          <w:tcPr>
            <w:tcW w:w="675" w:type="dxa"/>
            <w:noWrap w:val="0"/>
            <w:vAlign w:val="center"/>
          </w:tcPr>
          <w:p w14:paraId="41505646">
            <w:pPr>
              <w:keepNext w:val="0"/>
              <w:keepLines w:val="0"/>
              <w:pageBreakBefore w:val="0"/>
              <w:widowControl/>
              <w:suppressLineNumbers w:val="0"/>
              <w:shd w:val="clear"/>
              <w:kinsoku/>
              <w:wordWrap w:val="0"/>
              <w:overflowPunct/>
              <w:topLinePunct w:val="0"/>
              <w:bidi w:val="0"/>
              <w:spacing w:before="0" w:beforeAutospacing="0" w:after="0" w:afterAutospacing="0" w:line="300" w:lineRule="exact"/>
              <w:ind w:left="0" w:leftChars="0" w:right="0"/>
              <w:jc w:val="center"/>
              <w:textAlignment w:val="center"/>
              <w:outlineLvl w:val="9"/>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6</w:t>
            </w:r>
          </w:p>
        </w:tc>
      </w:tr>
      <w:tr w14:paraId="5762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Merge w:val="continue"/>
            <w:noWrap w:val="0"/>
            <w:vAlign w:val="center"/>
          </w:tcPr>
          <w:p w14:paraId="67B2367C">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cs="宋体"/>
                <w:color w:val="auto"/>
                <w:kern w:val="0"/>
                <w:sz w:val="21"/>
                <w:szCs w:val="21"/>
                <w:highlight w:val="none"/>
                <w:lang w:val="en-US" w:eastAsia="zh-CN"/>
              </w:rPr>
            </w:pPr>
          </w:p>
        </w:tc>
        <w:tc>
          <w:tcPr>
            <w:tcW w:w="1715" w:type="dxa"/>
            <w:shd w:val="clear" w:color="auto" w:fill="auto"/>
            <w:noWrap w:val="0"/>
            <w:vAlign w:val="center"/>
          </w:tcPr>
          <w:p w14:paraId="50B05BA3">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rPr>
              <w:t>投标人实力</w:t>
            </w:r>
          </w:p>
        </w:tc>
        <w:tc>
          <w:tcPr>
            <w:tcW w:w="6084" w:type="dxa"/>
            <w:shd w:val="clear" w:color="auto" w:fill="auto"/>
            <w:noWrap w:val="0"/>
            <w:vAlign w:val="center"/>
          </w:tcPr>
          <w:p w14:paraId="1E4A8700">
            <w:pPr>
              <w:keepNext w:val="0"/>
              <w:keepLines w:val="0"/>
              <w:pageBreakBefore w:val="0"/>
              <w:widowControl w:val="0"/>
              <w:suppressLineNumbers w:val="0"/>
              <w:shd w:val="clear"/>
              <w:tabs>
                <w:tab w:val="left" w:pos="696"/>
              </w:tabs>
              <w:kinsoku/>
              <w:wordWrap w:val="0"/>
              <w:overflowPunct/>
              <w:topLinePunct w:val="0"/>
              <w:autoSpaceDE/>
              <w:autoSpaceDN/>
              <w:bidi w:val="0"/>
              <w:adjustRightInd w:val="0"/>
              <w:snapToGrid w:val="0"/>
              <w:spacing w:before="0" w:beforeAutospacing="0" w:after="0" w:afterAutospacing="0" w:line="300" w:lineRule="exact"/>
              <w:ind w:left="0" w:right="0" w:firstLine="315" w:firstLineChars="150"/>
              <w:jc w:val="both"/>
              <w:textAlignment w:val="auto"/>
              <w:outlineLvl w:val="9"/>
              <w:rPr>
                <w:rFonts w:hint="eastAsia" w:ascii="宋体" w:hAnsi="宋体" w:eastAsia="宋体" w:cs="宋体"/>
                <w:b w:val="0"/>
                <w:bCs/>
                <w:color w:val="auto"/>
                <w:kern w:val="2"/>
                <w:sz w:val="21"/>
                <w:szCs w:val="21"/>
                <w:highlight w:val="none"/>
              </w:rPr>
            </w:pPr>
            <w:r>
              <w:rPr>
                <w:rFonts w:hint="eastAsia" w:ascii="宋体" w:hAnsi="宋体" w:eastAsia="宋体" w:cs="宋体"/>
                <w:b w:val="0"/>
                <w:bCs/>
                <w:color w:val="auto"/>
                <w:kern w:val="2"/>
                <w:sz w:val="21"/>
                <w:szCs w:val="21"/>
                <w:highlight w:val="none"/>
              </w:rPr>
              <w:t>投标人具有以下证书且在有效期的，每个证书得1分，本项最多得</w:t>
            </w:r>
            <w:r>
              <w:rPr>
                <w:rFonts w:hint="eastAsia" w:ascii="宋体" w:hAnsi="宋体" w:cs="宋体"/>
                <w:b w:val="0"/>
                <w:bCs/>
                <w:color w:val="auto"/>
                <w:kern w:val="2"/>
                <w:sz w:val="21"/>
                <w:szCs w:val="21"/>
                <w:highlight w:val="none"/>
                <w:lang w:val="en-US" w:eastAsia="zh-CN"/>
              </w:rPr>
              <w:t>5</w:t>
            </w:r>
            <w:r>
              <w:rPr>
                <w:rFonts w:hint="eastAsia" w:ascii="宋体" w:hAnsi="宋体" w:eastAsia="宋体" w:cs="宋体"/>
                <w:b w:val="0"/>
                <w:bCs/>
                <w:color w:val="auto"/>
                <w:kern w:val="2"/>
                <w:sz w:val="21"/>
                <w:szCs w:val="21"/>
                <w:highlight w:val="none"/>
              </w:rPr>
              <w:t>分。</w:t>
            </w:r>
          </w:p>
          <w:p w14:paraId="31441BE4">
            <w:pPr>
              <w:keepNext w:val="0"/>
              <w:keepLines w:val="0"/>
              <w:pageBreakBefore w:val="0"/>
              <w:widowControl w:val="0"/>
              <w:numPr>
                <w:ilvl w:val="0"/>
                <w:numId w:val="0"/>
              </w:numPr>
              <w:suppressLineNumbers w:val="0"/>
              <w:shd w:val="clear"/>
              <w:tabs>
                <w:tab w:val="left" w:pos="555"/>
              </w:tabs>
              <w:kinsoku/>
              <w:wordWrap w:val="0"/>
              <w:overflowPunct/>
              <w:topLinePunct w:val="0"/>
              <w:autoSpaceDE/>
              <w:autoSpaceDN/>
              <w:bidi w:val="0"/>
              <w:adjustRightInd w:val="0"/>
              <w:snapToGrid w:val="0"/>
              <w:spacing w:before="0" w:beforeAutospacing="0" w:after="0" w:afterAutospacing="0" w:line="300" w:lineRule="exact"/>
              <w:ind w:left="0" w:leftChars="0" w:right="0" w:firstLine="315" w:firstLineChars="150"/>
              <w:jc w:val="both"/>
              <w:textAlignment w:val="auto"/>
              <w:outlineLvl w:val="9"/>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cs="宋体"/>
                <w:b w:val="0"/>
                <w:bCs w:val="0"/>
                <w:color w:val="auto"/>
                <w:kern w:val="2"/>
                <w:sz w:val="21"/>
                <w:szCs w:val="21"/>
                <w:highlight w:val="none"/>
                <w:lang w:val="en-US" w:eastAsia="zh-CN"/>
              </w:rPr>
              <w:t>信息安全</w:t>
            </w:r>
            <w:r>
              <w:rPr>
                <w:rFonts w:hint="eastAsia" w:ascii="宋体" w:hAnsi="宋体" w:eastAsia="宋体" w:cs="宋体"/>
                <w:b w:val="0"/>
                <w:bCs w:val="0"/>
                <w:color w:val="auto"/>
                <w:kern w:val="2"/>
                <w:sz w:val="21"/>
                <w:szCs w:val="21"/>
                <w:highlight w:val="none"/>
              </w:rPr>
              <w:t>管理体系认证证书；</w:t>
            </w:r>
          </w:p>
          <w:p w14:paraId="0AC7181D">
            <w:pPr>
              <w:keepNext w:val="0"/>
              <w:keepLines w:val="0"/>
              <w:pageBreakBefore w:val="0"/>
              <w:widowControl w:val="0"/>
              <w:numPr>
                <w:ilvl w:val="0"/>
                <w:numId w:val="0"/>
              </w:numPr>
              <w:suppressLineNumbers w:val="0"/>
              <w:shd w:val="clear"/>
              <w:tabs>
                <w:tab w:val="left" w:pos="555"/>
              </w:tabs>
              <w:kinsoku/>
              <w:wordWrap w:val="0"/>
              <w:overflowPunct/>
              <w:topLinePunct w:val="0"/>
              <w:autoSpaceDE/>
              <w:autoSpaceDN/>
              <w:bidi w:val="0"/>
              <w:adjustRightInd w:val="0"/>
              <w:snapToGrid w:val="0"/>
              <w:spacing w:before="0" w:beforeAutospacing="0" w:after="0" w:afterAutospacing="0" w:line="300" w:lineRule="exact"/>
              <w:ind w:left="0" w:leftChars="0" w:right="0" w:firstLine="315" w:firstLineChars="150"/>
              <w:jc w:val="both"/>
              <w:textAlignment w:val="auto"/>
              <w:outlineLvl w:val="9"/>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（2）信息技术相关的</w:t>
            </w:r>
            <w:r>
              <w:rPr>
                <w:rFonts w:hint="eastAsia" w:ascii="宋体" w:hAnsi="宋体" w:cs="宋体"/>
                <w:b w:val="0"/>
                <w:bCs w:val="0"/>
                <w:color w:val="auto"/>
                <w:kern w:val="2"/>
                <w:sz w:val="21"/>
                <w:szCs w:val="21"/>
                <w:highlight w:val="none"/>
                <w:lang w:val="en-US" w:eastAsia="zh-CN"/>
              </w:rPr>
              <w:t>服务</w:t>
            </w:r>
            <w:r>
              <w:rPr>
                <w:rFonts w:hint="eastAsia" w:ascii="宋体" w:hAnsi="宋体" w:eastAsia="宋体" w:cs="宋体"/>
                <w:b w:val="0"/>
                <w:bCs w:val="0"/>
                <w:color w:val="auto"/>
                <w:kern w:val="2"/>
                <w:sz w:val="21"/>
                <w:szCs w:val="21"/>
                <w:highlight w:val="none"/>
              </w:rPr>
              <w:t>管理体系认证证书；</w:t>
            </w:r>
          </w:p>
          <w:p w14:paraId="7BA7D6C2">
            <w:pPr>
              <w:keepNext w:val="0"/>
              <w:keepLines w:val="0"/>
              <w:pageBreakBefore w:val="0"/>
              <w:widowControl w:val="0"/>
              <w:numPr>
                <w:ilvl w:val="0"/>
                <w:numId w:val="0"/>
              </w:numPr>
              <w:suppressLineNumbers w:val="0"/>
              <w:shd w:val="clear"/>
              <w:tabs>
                <w:tab w:val="left" w:pos="555"/>
              </w:tabs>
              <w:kinsoku/>
              <w:wordWrap w:val="0"/>
              <w:overflowPunct/>
              <w:topLinePunct w:val="0"/>
              <w:autoSpaceDE/>
              <w:autoSpaceDN/>
              <w:bidi w:val="0"/>
              <w:adjustRightInd w:val="0"/>
              <w:snapToGrid w:val="0"/>
              <w:spacing w:before="0" w:beforeAutospacing="0" w:after="0" w:afterAutospacing="0" w:line="300" w:lineRule="exact"/>
              <w:ind w:left="0" w:leftChars="0" w:right="0" w:firstLine="315" w:firstLineChars="150"/>
              <w:jc w:val="both"/>
              <w:textAlignment w:val="auto"/>
              <w:outlineLvl w:val="9"/>
              <w:rPr>
                <w:rFonts w:hint="eastAsia" w:ascii="宋体" w:hAnsi="宋体" w:cs="宋体"/>
                <w:b w:val="0"/>
                <w:b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lang w:val="en-US" w:eastAsia="zh-CN" w:bidi="ar-SA"/>
              </w:rPr>
              <w:t>（3）</w:t>
            </w:r>
            <w:r>
              <w:rPr>
                <w:rFonts w:hint="eastAsia" w:ascii="宋体" w:hAnsi="宋体" w:cs="宋体"/>
                <w:b w:val="0"/>
                <w:bCs w:val="0"/>
                <w:color w:val="auto"/>
                <w:kern w:val="2"/>
                <w:sz w:val="21"/>
                <w:szCs w:val="21"/>
                <w:highlight w:val="none"/>
                <w:lang w:val="en-US" w:eastAsia="zh-CN"/>
              </w:rPr>
              <w:t>CMMI L5</w:t>
            </w:r>
            <w:r>
              <w:rPr>
                <w:rFonts w:hint="eastAsia" w:ascii="宋体" w:hAnsi="宋体" w:eastAsia="宋体" w:cs="宋体"/>
                <w:b w:val="0"/>
                <w:bCs w:val="0"/>
                <w:color w:val="auto"/>
                <w:kern w:val="2"/>
                <w:sz w:val="21"/>
                <w:szCs w:val="21"/>
                <w:highlight w:val="none"/>
              </w:rPr>
              <w:t>证书</w:t>
            </w:r>
            <w:r>
              <w:rPr>
                <w:rFonts w:hint="eastAsia" w:ascii="宋体" w:hAnsi="宋体" w:cs="宋体"/>
                <w:b w:val="0"/>
                <w:bCs w:val="0"/>
                <w:color w:val="auto"/>
                <w:kern w:val="2"/>
                <w:sz w:val="21"/>
                <w:szCs w:val="21"/>
                <w:highlight w:val="none"/>
                <w:lang w:eastAsia="zh-CN"/>
              </w:rPr>
              <w:t>；</w:t>
            </w:r>
          </w:p>
          <w:p w14:paraId="3F0FDB5D">
            <w:pPr>
              <w:keepNext w:val="0"/>
              <w:keepLines w:val="0"/>
              <w:pageBreakBefore w:val="0"/>
              <w:widowControl w:val="0"/>
              <w:numPr>
                <w:ilvl w:val="0"/>
                <w:numId w:val="0"/>
              </w:numPr>
              <w:suppressLineNumbers w:val="0"/>
              <w:shd w:val="clear"/>
              <w:tabs>
                <w:tab w:val="left" w:pos="555"/>
              </w:tabs>
              <w:kinsoku/>
              <w:wordWrap w:val="0"/>
              <w:overflowPunct/>
              <w:topLinePunct w:val="0"/>
              <w:autoSpaceDE/>
              <w:autoSpaceDN/>
              <w:bidi w:val="0"/>
              <w:adjustRightInd w:val="0"/>
              <w:snapToGrid w:val="0"/>
              <w:spacing w:before="0" w:beforeAutospacing="0" w:after="0" w:afterAutospacing="0" w:line="300" w:lineRule="exact"/>
              <w:ind w:left="0" w:leftChars="0" w:right="0" w:firstLine="315" w:firstLineChars="150"/>
              <w:jc w:val="both"/>
              <w:textAlignment w:val="auto"/>
              <w:outlineLvl w:val="9"/>
              <w:rPr>
                <w:rFonts w:hint="eastAsia" w:ascii="宋体" w:hAnsi="宋体" w:cs="宋体"/>
                <w:b w:val="0"/>
                <w:bCs w:val="0"/>
                <w:color w:val="auto"/>
                <w:kern w:val="2"/>
                <w:sz w:val="21"/>
                <w:szCs w:val="21"/>
                <w:highlight w:val="none"/>
                <w:lang w:eastAsia="zh-CN"/>
              </w:rPr>
            </w:pPr>
            <w:r>
              <w:rPr>
                <w:rFonts w:hint="eastAsia" w:ascii="宋体" w:hAnsi="宋体" w:cs="宋体"/>
                <w:b w:val="0"/>
                <w:bCs w:val="0"/>
                <w:color w:val="auto"/>
                <w:kern w:val="2"/>
                <w:sz w:val="21"/>
                <w:szCs w:val="21"/>
                <w:highlight w:val="none"/>
                <w:lang w:eastAsia="zh-CN"/>
              </w:rPr>
              <w:t>（</w:t>
            </w:r>
            <w:r>
              <w:rPr>
                <w:rFonts w:hint="eastAsia" w:ascii="宋体" w:hAnsi="宋体" w:cs="宋体"/>
                <w:b w:val="0"/>
                <w:bCs w:val="0"/>
                <w:color w:val="auto"/>
                <w:kern w:val="2"/>
                <w:sz w:val="21"/>
                <w:szCs w:val="21"/>
                <w:highlight w:val="none"/>
                <w:lang w:val="en-US" w:eastAsia="zh-CN"/>
              </w:rPr>
              <w:t>4</w:t>
            </w:r>
            <w:r>
              <w:rPr>
                <w:rFonts w:hint="eastAsia" w:ascii="宋体" w:hAnsi="宋体" w:cs="宋体"/>
                <w:b w:val="0"/>
                <w:bCs w:val="0"/>
                <w:color w:val="auto"/>
                <w:kern w:val="2"/>
                <w:sz w:val="21"/>
                <w:szCs w:val="21"/>
                <w:highlight w:val="none"/>
                <w:lang w:eastAsia="zh-CN"/>
              </w:rPr>
              <w:t>）</w:t>
            </w:r>
            <w:r>
              <w:rPr>
                <w:rFonts w:hint="eastAsia" w:ascii="宋体" w:hAnsi="宋体" w:cs="宋体"/>
                <w:b w:val="0"/>
                <w:bCs w:val="0"/>
                <w:color w:val="auto"/>
                <w:kern w:val="2"/>
                <w:sz w:val="21"/>
                <w:szCs w:val="21"/>
                <w:highlight w:val="none"/>
                <w:lang w:val="en-US" w:eastAsia="zh-CN"/>
              </w:rPr>
              <w:t>信息系统建设和服务能力证书</w:t>
            </w:r>
            <w:r>
              <w:rPr>
                <w:rFonts w:hint="eastAsia" w:ascii="宋体" w:hAnsi="宋体" w:cs="宋体"/>
                <w:b w:val="0"/>
                <w:bCs w:val="0"/>
                <w:color w:val="auto"/>
                <w:kern w:val="2"/>
                <w:sz w:val="21"/>
                <w:szCs w:val="21"/>
                <w:highlight w:val="none"/>
                <w:lang w:eastAsia="zh-CN"/>
              </w:rPr>
              <w:t>；</w:t>
            </w:r>
          </w:p>
          <w:p w14:paraId="5C24F543">
            <w:pPr>
              <w:keepNext w:val="0"/>
              <w:keepLines w:val="0"/>
              <w:pageBreakBefore w:val="0"/>
              <w:widowControl w:val="0"/>
              <w:numPr>
                <w:ilvl w:val="0"/>
                <w:numId w:val="0"/>
              </w:numPr>
              <w:suppressLineNumbers w:val="0"/>
              <w:shd w:val="clear"/>
              <w:tabs>
                <w:tab w:val="left" w:pos="555"/>
              </w:tabs>
              <w:kinsoku/>
              <w:wordWrap w:val="0"/>
              <w:overflowPunct/>
              <w:topLinePunct w:val="0"/>
              <w:autoSpaceDE/>
              <w:autoSpaceDN/>
              <w:bidi w:val="0"/>
              <w:adjustRightInd w:val="0"/>
              <w:snapToGrid w:val="0"/>
              <w:spacing w:before="0" w:beforeAutospacing="0" w:after="0" w:afterAutospacing="0" w:line="300" w:lineRule="exact"/>
              <w:ind w:left="0" w:leftChars="0" w:right="0" w:firstLine="315" w:firstLineChars="150"/>
              <w:jc w:val="both"/>
              <w:textAlignment w:val="auto"/>
              <w:outlineLvl w:val="9"/>
              <w:rPr>
                <w:rFonts w:hint="default"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eastAsia="zh-CN"/>
              </w:rPr>
              <w:t>（</w:t>
            </w:r>
            <w:r>
              <w:rPr>
                <w:rFonts w:hint="eastAsia" w:ascii="宋体" w:hAnsi="宋体" w:cs="宋体"/>
                <w:b w:val="0"/>
                <w:bCs w:val="0"/>
                <w:color w:val="auto"/>
                <w:kern w:val="2"/>
                <w:sz w:val="21"/>
                <w:szCs w:val="21"/>
                <w:highlight w:val="none"/>
                <w:lang w:val="en-US" w:eastAsia="zh-CN"/>
              </w:rPr>
              <w:t>5</w:t>
            </w:r>
            <w:r>
              <w:rPr>
                <w:rFonts w:hint="eastAsia" w:ascii="宋体" w:hAnsi="宋体" w:cs="宋体"/>
                <w:b w:val="0"/>
                <w:bCs w:val="0"/>
                <w:color w:val="auto"/>
                <w:kern w:val="2"/>
                <w:sz w:val="21"/>
                <w:szCs w:val="21"/>
                <w:highlight w:val="none"/>
                <w:lang w:eastAsia="zh-CN"/>
              </w:rPr>
              <w:t>）</w:t>
            </w:r>
            <w:r>
              <w:rPr>
                <w:rFonts w:hint="eastAsia" w:ascii="宋体" w:hAnsi="宋体" w:cs="宋体"/>
                <w:b w:val="0"/>
                <w:bCs w:val="0"/>
                <w:color w:val="auto"/>
                <w:kern w:val="2"/>
                <w:sz w:val="21"/>
                <w:szCs w:val="21"/>
                <w:highlight w:val="none"/>
                <w:lang w:val="en-US" w:eastAsia="zh-CN"/>
              </w:rPr>
              <w:t>电子与智能化工程专业承包二级(含)以上证书</w:t>
            </w:r>
            <w:r>
              <w:rPr>
                <w:rFonts w:hint="eastAsia" w:ascii="宋体" w:hAnsi="宋体" w:cs="宋体"/>
                <w:b w:val="0"/>
                <w:bCs w:val="0"/>
                <w:color w:val="auto"/>
                <w:kern w:val="2"/>
                <w:sz w:val="21"/>
                <w:szCs w:val="21"/>
                <w:highlight w:val="none"/>
                <w:lang w:eastAsia="zh-CN"/>
              </w:rPr>
              <w:t>。</w:t>
            </w:r>
          </w:p>
          <w:p w14:paraId="521BC8E0">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firstLine="315" w:firstLineChars="15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rPr>
              <w:t>（</w:t>
            </w:r>
            <w:r>
              <w:rPr>
                <w:rFonts w:hint="eastAsia" w:ascii="宋体" w:hAnsi="宋体" w:eastAsia="宋体" w:cs="宋体"/>
                <w:b w:val="0"/>
                <w:bCs w:val="0"/>
                <w:color w:val="auto"/>
                <w:kern w:val="0"/>
                <w:sz w:val="21"/>
                <w:szCs w:val="21"/>
                <w:highlight w:val="none"/>
              </w:rPr>
              <w:t>相关证书复印件提供在资信商务及技术文件中，要求清晰可辨，否则不得分）</w:t>
            </w:r>
          </w:p>
        </w:tc>
        <w:tc>
          <w:tcPr>
            <w:tcW w:w="675" w:type="dxa"/>
            <w:shd w:val="clear" w:color="auto" w:fill="auto"/>
            <w:noWrap w:val="0"/>
            <w:vAlign w:val="center"/>
          </w:tcPr>
          <w:p w14:paraId="134D22CC">
            <w:pPr>
              <w:keepNext w:val="0"/>
              <w:keepLines w:val="0"/>
              <w:pageBreakBefore w:val="0"/>
              <w:widowControl/>
              <w:suppressLineNumbers w:val="0"/>
              <w:shd w:val="clear"/>
              <w:kinsoku/>
              <w:wordWrap w:val="0"/>
              <w:overflowPunct/>
              <w:topLinePunct w:val="0"/>
              <w:bidi w:val="0"/>
              <w:spacing w:before="0" w:beforeAutospacing="0" w:after="0" w:afterAutospacing="0" w:line="300" w:lineRule="exact"/>
              <w:ind w:left="0" w:leftChars="0" w:right="0" w:rightChars="0"/>
              <w:jc w:val="center"/>
              <w:textAlignment w:val="center"/>
              <w:outlineLvl w:val="9"/>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cs="宋体"/>
                <w:b w:val="0"/>
                <w:bCs w:val="0"/>
                <w:i w:val="0"/>
                <w:iCs w:val="0"/>
                <w:color w:val="auto"/>
                <w:kern w:val="0"/>
                <w:sz w:val="21"/>
                <w:szCs w:val="21"/>
                <w:highlight w:val="none"/>
                <w:u w:val="none"/>
                <w:lang w:val="en-US" w:eastAsia="zh-CN" w:bidi="ar"/>
              </w:rPr>
              <w:t>5</w:t>
            </w:r>
          </w:p>
        </w:tc>
      </w:tr>
      <w:tr w14:paraId="4DC2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868" w:type="dxa"/>
            <w:vMerge w:val="restart"/>
            <w:noWrap w:val="0"/>
            <w:vAlign w:val="center"/>
          </w:tcPr>
          <w:p w14:paraId="5B05B795">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技术</w:t>
            </w:r>
          </w:p>
          <w:p w14:paraId="2255D3CF">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val="en-US" w:eastAsia="zh-CN"/>
              </w:rPr>
              <w:t>59</w:t>
            </w:r>
            <w:r>
              <w:rPr>
                <w:rFonts w:hint="eastAsia" w:ascii="宋体" w:hAnsi="宋体" w:eastAsia="宋体" w:cs="宋体"/>
                <w:color w:val="auto"/>
                <w:kern w:val="0"/>
                <w:sz w:val="21"/>
                <w:szCs w:val="21"/>
                <w:highlight w:val="none"/>
              </w:rPr>
              <w:t>分</w:t>
            </w:r>
          </w:p>
        </w:tc>
        <w:tc>
          <w:tcPr>
            <w:tcW w:w="1715" w:type="dxa"/>
            <w:shd w:val="clear" w:color="auto" w:fill="auto"/>
            <w:noWrap w:val="0"/>
            <w:vAlign w:val="center"/>
          </w:tcPr>
          <w:p w14:paraId="466417BD">
            <w:pPr>
              <w:keepNext w:val="0"/>
              <w:keepLines w:val="0"/>
              <w:pageBreakBefore w:val="0"/>
              <w:widowControl w:val="0"/>
              <w:suppressLineNumbers w:val="0"/>
              <w:shd w:val="clear"/>
              <w:tabs>
                <w:tab w:val="left" w:pos="851"/>
                <w:tab w:val="left" w:pos="993"/>
              </w:tabs>
              <w:kinsoku/>
              <w:wordWrap w:val="0"/>
              <w:overflowPunct/>
              <w:topLinePunct w:val="0"/>
              <w:bidi w:val="0"/>
              <w:adjustRightInd w:val="0"/>
              <w:snapToGrid w:val="0"/>
              <w:spacing w:before="0" w:beforeAutospacing="0" w:after="0" w:afterAutospacing="0" w:line="300" w:lineRule="exact"/>
              <w:ind w:left="0" w:leftChars="0" w:right="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拟投入本项目人员</w:t>
            </w:r>
          </w:p>
        </w:tc>
        <w:tc>
          <w:tcPr>
            <w:tcW w:w="6084" w:type="dxa"/>
            <w:shd w:val="clear" w:color="auto" w:fill="auto"/>
            <w:noWrap w:val="0"/>
            <w:vAlign w:val="center"/>
          </w:tcPr>
          <w:p w14:paraId="300CA6D2">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40" w:lineRule="exact"/>
              <w:ind w:left="0" w:right="0" w:firstLine="315" w:firstLineChars="15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根据招标需求</w:t>
            </w:r>
            <w:r>
              <w:rPr>
                <w:rFonts w:hint="eastAsia" w:ascii="宋体" w:hAnsi="宋体" w:cs="宋体"/>
                <w:color w:val="auto"/>
                <w:kern w:val="0"/>
                <w:sz w:val="21"/>
                <w:szCs w:val="21"/>
                <w:highlight w:val="none"/>
                <w:lang w:val="en-US" w:eastAsia="zh-CN" w:bidi="ar-SA"/>
              </w:rPr>
              <w:t>提供</w:t>
            </w:r>
            <w:r>
              <w:rPr>
                <w:rFonts w:hint="eastAsia" w:ascii="宋体" w:hAnsi="宋体" w:eastAsia="宋体" w:cs="宋体"/>
                <w:color w:val="auto"/>
                <w:kern w:val="0"/>
                <w:sz w:val="21"/>
                <w:szCs w:val="21"/>
                <w:highlight w:val="none"/>
                <w:lang w:val="en-US" w:eastAsia="zh-CN" w:bidi="ar-SA"/>
              </w:rPr>
              <w:t>本项目的管理人员的机构设置、项目实施的人员配备情况，</w:t>
            </w:r>
            <w:r>
              <w:rPr>
                <w:rFonts w:hint="eastAsia" w:ascii="宋体" w:hAnsi="宋体" w:cs="宋体"/>
                <w:color w:val="auto"/>
                <w:kern w:val="0"/>
                <w:sz w:val="21"/>
                <w:szCs w:val="21"/>
                <w:highlight w:val="none"/>
                <w:lang w:val="en-US" w:eastAsia="zh-CN" w:bidi="ar-SA"/>
              </w:rPr>
              <w:t>从</w:t>
            </w:r>
            <w:r>
              <w:rPr>
                <w:rFonts w:hint="eastAsia" w:ascii="宋体" w:hAnsi="宋体" w:eastAsia="宋体" w:cs="宋体"/>
                <w:color w:val="auto"/>
                <w:kern w:val="0"/>
                <w:sz w:val="21"/>
                <w:szCs w:val="21"/>
                <w:highlight w:val="none"/>
                <w:lang w:val="en-US" w:eastAsia="zh-CN" w:bidi="ar-SA"/>
              </w:rPr>
              <w:t>机构设置是否简洁合理有效、人员配备是否合理</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人员素质等</w:t>
            </w:r>
            <w:r>
              <w:rPr>
                <w:rFonts w:hint="eastAsia" w:ascii="宋体" w:hAnsi="宋体" w:cs="宋体"/>
                <w:color w:val="auto"/>
                <w:kern w:val="0"/>
                <w:sz w:val="21"/>
                <w:szCs w:val="21"/>
                <w:highlight w:val="none"/>
                <w:lang w:val="en-US" w:eastAsia="zh-CN" w:bidi="ar-SA"/>
              </w:rPr>
              <w:t>方面，</w:t>
            </w:r>
            <w:r>
              <w:rPr>
                <w:rFonts w:hint="eastAsia" w:ascii="宋体" w:hAnsi="宋体" w:eastAsia="宋体" w:cs="宋体"/>
                <w:color w:val="auto"/>
                <w:kern w:val="0"/>
                <w:sz w:val="21"/>
                <w:szCs w:val="21"/>
                <w:highlight w:val="none"/>
                <w:lang w:val="en-US" w:eastAsia="zh-CN" w:bidi="ar-SA"/>
              </w:rPr>
              <w:t>由评委在分值范围内打分</w:t>
            </w:r>
            <w:r>
              <w:rPr>
                <w:rFonts w:hint="eastAsia" w:ascii="宋体" w:hAnsi="宋体" w:cs="宋体"/>
                <w:color w:val="auto"/>
                <w:kern w:val="0"/>
                <w:sz w:val="21"/>
                <w:szCs w:val="21"/>
                <w:highlight w:val="none"/>
                <w:lang w:val="en-US" w:eastAsia="zh-CN" w:bidi="ar-SA"/>
              </w:rPr>
              <w:t>（2-4分）</w:t>
            </w:r>
            <w:r>
              <w:rPr>
                <w:rFonts w:hint="eastAsia" w:ascii="宋体" w:hAnsi="宋体" w:eastAsia="宋体" w:cs="宋体"/>
                <w:color w:val="auto"/>
                <w:kern w:val="0"/>
                <w:sz w:val="21"/>
                <w:szCs w:val="21"/>
                <w:highlight w:val="none"/>
                <w:lang w:val="en-US" w:eastAsia="zh-CN" w:bidi="ar-SA"/>
              </w:rPr>
              <w:t>。</w:t>
            </w:r>
          </w:p>
        </w:tc>
        <w:tc>
          <w:tcPr>
            <w:tcW w:w="675" w:type="dxa"/>
            <w:shd w:val="clear" w:color="auto" w:fill="auto"/>
            <w:noWrap w:val="0"/>
            <w:vAlign w:val="center"/>
          </w:tcPr>
          <w:p w14:paraId="58DA6F82">
            <w:pPr>
              <w:keepNext w:val="0"/>
              <w:keepLines w:val="0"/>
              <w:pageBreakBefore w:val="0"/>
              <w:widowControl/>
              <w:suppressLineNumbers w:val="0"/>
              <w:shd w:val="clear"/>
              <w:kinsoku/>
              <w:wordWrap w:val="0"/>
              <w:overflowPunct/>
              <w:topLinePunct w:val="0"/>
              <w:bidi w:val="0"/>
              <w:spacing w:before="0" w:beforeAutospacing="0" w:after="0" w:afterAutospacing="0" w:line="300" w:lineRule="exact"/>
              <w:ind w:left="0" w:leftChars="0" w:right="0"/>
              <w:jc w:val="center"/>
              <w:textAlignment w:val="center"/>
              <w:outlineLvl w:val="9"/>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4</w:t>
            </w:r>
          </w:p>
        </w:tc>
      </w:tr>
      <w:tr w14:paraId="751F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68" w:type="dxa"/>
            <w:vMerge w:val="continue"/>
            <w:noWrap w:val="0"/>
            <w:vAlign w:val="center"/>
          </w:tcPr>
          <w:p w14:paraId="7BA0A37E">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eastAsia="宋体" w:cs="宋体"/>
                <w:color w:val="auto"/>
                <w:kern w:val="0"/>
                <w:sz w:val="21"/>
                <w:szCs w:val="21"/>
                <w:highlight w:val="none"/>
              </w:rPr>
            </w:pPr>
          </w:p>
        </w:tc>
        <w:tc>
          <w:tcPr>
            <w:tcW w:w="1715" w:type="dxa"/>
            <w:shd w:val="clear" w:color="000000" w:fill="FFFFFF"/>
            <w:noWrap w:val="0"/>
            <w:vAlign w:val="center"/>
          </w:tcPr>
          <w:p w14:paraId="6F40FB20">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投标产品符合度</w:t>
            </w:r>
          </w:p>
        </w:tc>
        <w:tc>
          <w:tcPr>
            <w:tcW w:w="6084" w:type="dxa"/>
            <w:shd w:val="clear" w:color="000000" w:fill="FFFFFF"/>
            <w:noWrap w:val="0"/>
            <w:vAlign w:val="center"/>
          </w:tcPr>
          <w:p w14:paraId="09C460AC">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right="0" w:firstLine="315" w:firstLineChars="150"/>
              <w:textAlignment w:val="auto"/>
              <w:outlineLvl w:val="9"/>
              <w:rPr>
                <w:rFonts w:hint="eastAsia" w:ascii="宋体" w:hAnsi="宋体" w:cs="宋体"/>
                <w:b w:val="0"/>
                <w:bCs w:val="0"/>
                <w:color w:val="auto"/>
                <w:kern w:val="0"/>
                <w:sz w:val="21"/>
                <w:szCs w:val="21"/>
                <w:highlight w:val="none"/>
                <w:lang w:val="en-US" w:eastAsia="zh-CN"/>
              </w:rPr>
            </w:pPr>
            <w:r>
              <w:rPr>
                <w:rFonts w:hint="eastAsia" w:ascii="宋体" w:hAnsi="宋体" w:cs="宋体"/>
                <w:b w:val="0"/>
                <w:bCs w:val="0"/>
                <w:color w:val="auto"/>
                <w:kern w:val="0"/>
                <w:sz w:val="21"/>
                <w:szCs w:val="21"/>
                <w:highlight w:val="none"/>
                <w:lang w:val="en-US" w:eastAsia="zh-CN"/>
              </w:rPr>
              <w:t>投标产品带“</w:t>
            </w:r>
            <w:r>
              <w:rPr>
                <w:rFonts w:hint="eastAsia" w:ascii="宋体" w:hAnsi="宋体" w:cs="宋体"/>
                <w:b w:val="0"/>
                <w:bCs w:val="0"/>
                <w:color w:val="auto"/>
                <w:kern w:val="0"/>
                <w:sz w:val="21"/>
                <w:szCs w:val="21"/>
                <w:highlight w:val="none"/>
                <w:lang w:val="en-US" w:eastAsia="zh-CN"/>
              </w:rPr>
              <w:t>★</w:t>
            </w:r>
            <w:r>
              <w:rPr>
                <w:rFonts w:hint="eastAsia" w:ascii="宋体" w:hAnsi="宋体" w:cs="宋体"/>
                <w:b w:val="0"/>
                <w:bCs w:val="0"/>
                <w:color w:val="auto"/>
                <w:kern w:val="0"/>
                <w:sz w:val="21"/>
                <w:szCs w:val="21"/>
                <w:highlight w:val="none"/>
                <w:lang w:val="en-US" w:eastAsia="zh-CN"/>
              </w:rPr>
              <w:t>”的重要技术参数完全符合招标文件技术参数要</w:t>
            </w:r>
            <w:r>
              <w:rPr>
                <w:rFonts w:hint="eastAsia" w:ascii="宋体" w:hAnsi="宋体" w:cs="宋体"/>
                <w:b w:val="0"/>
                <w:bCs w:val="0"/>
                <w:color w:val="auto"/>
                <w:kern w:val="0"/>
                <w:sz w:val="21"/>
                <w:szCs w:val="21"/>
                <w:highlight w:val="none"/>
                <w:lang w:val="en-US" w:eastAsia="zh-CN"/>
              </w:rPr>
              <w:t>求的</w:t>
            </w:r>
            <w:r>
              <w:rPr>
                <w:rFonts w:hint="eastAsia" w:ascii="宋体" w:hAnsi="宋体" w:cs="宋体"/>
                <w:b w:val="0"/>
                <w:bCs w:val="0"/>
                <w:color w:val="auto"/>
                <w:kern w:val="0"/>
                <w:sz w:val="21"/>
                <w:szCs w:val="21"/>
                <w:highlight w:val="none"/>
                <w:lang w:val="en-US" w:eastAsia="zh-CN"/>
              </w:rPr>
              <w:t>得15分</w:t>
            </w:r>
            <w:r>
              <w:rPr>
                <w:rFonts w:hint="eastAsia" w:ascii="宋体" w:hAnsi="宋体" w:cs="宋体"/>
                <w:b w:val="0"/>
                <w:bCs w:val="0"/>
                <w:color w:val="auto"/>
                <w:kern w:val="0"/>
                <w:sz w:val="21"/>
                <w:szCs w:val="21"/>
                <w:highlight w:val="none"/>
                <w:lang w:val="en-US" w:eastAsia="zh-CN"/>
              </w:rPr>
              <w:t>，每项重要技术参数负偏离或缺漏项的</w:t>
            </w:r>
            <w:r>
              <w:rPr>
                <w:rFonts w:hint="eastAsia" w:ascii="宋体" w:hAnsi="宋体" w:cs="宋体"/>
                <w:b w:val="0"/>
                <w:bCs w:val="0"/>
                <w:color w:val="auto"/>
                <w:kern w:val="0"/>
                <w:sz w:val="21"/>
                <w:szCs w:val="21"/>
                <w:highlight w:val="none"/>
                <w:lang w:val="en-US" w:eastAsia="zh-CN"/>
              </w:rPr>
              <w:t>扣1.5分</w:t>
            </w:r>
            <w:r>
              <w:rPr>
                <w:rFonts w:hint="eastAsia" w:ascii="宋体" w:hAnsi="宋体" w:cs="宋体"/>
                <w:b w:val="0"/>
                <w:bCs w:val="0"/>
                <w:color w:val="auto"/>
                <w:kern w:val="0"/>
                <w:sz w:val="21"/>
                <w:szCs w:val="21"/>
                <w:highlight w:val="none"/>
                <w:lang w:val="en-US" w:eastAsia="zh-CN"/>
              </w:rPr>
              <w:t>，扣完为止。</w:t>
            </w:r>
          </w:p>
          <w:p w14:paraId="046CB4DC">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firstLine="315" w:firstLineChars="150"/>
              <w:textAlignment w:val="auto"/>
              <w:outlineLvl w:val="9"/>
              <w:rPr>
                <w:rFonts w:hint="default" w:ascii="宋体" w:hAnsi="宋体" w:cs="宋体"/>
                <w:color w:val="auto"/>
                <w:kern w:val="0"/>
                <w:sz w:val="21"/>
                <w:szCs w:val="21"/>
                <w:highlight w:val="none"/>
                <w:lang w:val="en-US" w:eastAsia="zh-CN"/>
              </w:rPr>
            </w:pPr>
            <w:r>
              <w:rPr>
                <w:rFonts w:hint="eastAsia" w:ascii="宋体" w:hAnsi="宋体" w:cs="宋体"/>
                <w:b w:val="0"/>
                <w:bCs w:val="0"/>
                <w:color w:val="auto"/>
                <w:kern w:val="0"/>
                <w:sz w:val="21"/>
                <w:szCs w:val="21"/>
                <w:highlight w:val="none"/>
                <w:lang w:val="en-US" w:eastAsia="zh-CN"/>
              </w:rPr>
              <w:t>注：采购内容中要求提供检测报告的技术参数，投标文件中承诺未偏离的应</w:t>
            </w:r>
            <w:r>
              <w:rPr>
                <w:rFonts w:hint="eastAsia" w:ascii="宋体" w:hAnsi="宋体" w:cs="宋体"/>
                <w:b/>
                <w:bCs/>
                <w:color w:val="auto"/>
                <w:kern w:val="0"/>
                <w:sz w:val="21"/>
                <w:szCs w:val="21"/>
                <w:highlight w:val="none"/>
                <w:lang w:val="en-US" w:eastAsia="zh-CN"/>
              </w:rPr>
              <w:t>在资信商务及技术文件中提供相应的检测报告</w:t>
            </w:r>
            <w:r>
              <w:rPr>
                <w:rFonts w:hint="eastAsia" w:ascii="宋体" w:hAnsi="宋体" w:cs="宋体"/>
                <w:b w:val="0"/>
                <w:bCs w:val="0"/>
                <w:color w:val="auto"/>
                <w:kern w:val="0"/>
                <w:sz w:val="21"/>
                <w:szCs w:val="21"/>
                <w:highlight w:val="none"/>
                <w:lang w:val="en-US" w:eastAsia="zh-CN"/>
              </w:rPr>
              <w:t>，未提供的视为负偏离。</w:t>
            </w:r>
          </w:p>
        </w:tc>
        <w:tc>
          <w:tcPr>
            <w:tcW w:w="675" w:type="dxa"/>
            <w:shd w:val="clear" w:color="000000" w:fill="FFFFFF"/>
            <w:noWrap w:val="0"/>
            <w:vAlign w:val="center"/>
          </w:tcPr>
          <w:p w14:paraId="077BF83B">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default" w:ascii="宋体" w:hAnsi="宋体" w:eastAsia="宋体" w:cs="宋体"/>
                <w:color w:val="auto"/>
                <w:kern w:val="0"/>
                <w:sz w:val="22"/>
                <w:szCs w:val="22"/>
                <w:highlight w:val="none"/>
                <w:lang w:val="en-US" w:eastAsia="zh-CN" w:bidi="ar-SA"/>
              </w:rPr>
            </w:pPr>
            <w:r>
              <w:rPr>
                <w:rFonts w:hint="eastAsia" w:ascii="宋体" w:hAnsi="宋体" w:cs="宋体"/>
                <w:color w:val="auto"/>
                <w:kern w:val="0"/>
                <w:sz w:val="22"/>
                <w:szCs w:val="22"/>
                <w:highlight w:val="none"/>
                <w:lang w:val="en-US" w:eastAsia="zh-CN"/>
              </w:rPr>
              <w:t>15</w:t>
            </w:r>
          </w:p>
        </w:tc>
      </w:tr>
      <w:tr w14:paraId="5BDF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68" w:type="dxa"/>
            <w:vMerge w:val="continue"/>
            <w:noWrap w:val="0"/>
            <w:vAlign w:val="center"/>
          </w:tcPr>
          <w:p w14:paraId="67C21F60">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eastAsia="宋体" w:cs="宋体"/>
                <w:color w:val="auto"/>
                <w:kern w:val="0"/>
                <w:sz w:val="21"/>
                <w:szCs w:val="21"/>
                <w:highlight w:val="none"/>
              </w:rPr>
            </w:pPr>
          </w:p>
        </w:tc>
        <w:tc>
          <w:tcPr>
            <w:tcW w:w="1715" w:type="dxa"/>
            <w:shd w:val="clear" w:color="auto" w:fill="auto"/>
            <w:noWrap w:val="0"/>
            <w:vAlign w:val="center"/>
          </w:tcPr>
          <w:p w14:paraId="2919E2C8">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项目</w:t>
            </w:r>
            <w:r>
              <w:rPr>
                <w:rFonts w:hint="eastAsia" w:ascii="宋体" w:hAnsi="宋体" w:cs="宋体"/>
                <w:color w:val="auto"/>
                <w:kern w:val="0"/>
                <w:sz w:val="21"/>
                <w:szCs w:val="21"/>
                <w:highlight w:val="none"/>
                <w:lang w:val="en-US" w:eastAsia="zh-CN"/>
              </w:rPr>
              <w:t>升级、</w:t>
            </w:r>
            <w:r>
              <w:rPr>
                <w:rFonts w:hint="eastAsia" w:ascii="宋体" w:hAnsi="宋体" w:eastAsia="宋体" w:cs="宋体"/>
                <w:color w:val="auto"/>
                <w:kern w:val="0"/>
                <w:sz w:val="21"/>
                <w:szCs w:val="21"/>
                <w:highlight w:val="none"/>
              </w:rPr>
              <w:t>建设实施方案</w:t>
            </w:r>
          </w:p>
        </w:tc>
        <w:tc>
          <w:tcPr>
            <w:tcW w:w="6084" w:type="dxa"/>
            <w:shd w:val="clear" w:color="auto" w:fill="auto"/>
            <w:noWrap w:val="0"/>
            <w:vAlign w:val="center"/>
          </w:tcPr>
          <w:p w14:paraId="09E5786E">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right="0" w:firstLine="315" w:firstLineChars="15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根据对本次项目任务的理解和技术方案总体设计水平，由评委在分值范围内打分：</w:t>
            </w:r>
          </w:p>
          <w:p w14:paraId="3FC5401E">
            <w:pPr>
              <w:keepNext w:val="0"/>
              <w:keepLines w:val="0"/>
              <w:pageBreakBefore w:val="0"/>
              <w:widowControl w:val="0"/>
              <w:numPr>
                <w:ilvl w:val="0"/>
                <w:numId w:val="40"/>
              </w:numPr>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firstLine="210" w:firstLineChars="100"/>
              <w:jc w:val="both"/>
              <w:textAlignment w:val="auto"/>
              <w:outlineLvl w:val="9"/>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对</w:t>
            </w:r>
            <w:r>
              <w:rPr>
                <w:rFonts w:hint="eastAsia" w:ascii="宋体" w:hAnsi="宋体" w:eastAsia="宋体" w:cs="宋体"/>
                <w:color w:val="auto"/>
                <w:kern w:val="0"/>
                <w:sz w:val="21"/>
                <w:szCs w:val="21"/>
                <w:highlight w:val="none"/>
                <w:lang w:val="en-US" w:eastAsia="zh-CN"/>
              </w:rPr>
              <w:t>西塘古镇景区</w:t>
            </w:r>
            <w:r>
              <w:rPr>
                <w:rFonts w:hint="eastAsia" w:ascii="宋体" w:hAnsi="宋体" w:eastAsia="宋体" w:cs="宋体"/>
                <w:color w:val="auto"/>
                <w:kern w:val="0"/>
                <w:sz w:val="21"/>
                <w:szCs w:val="21"/>
                <w:highlight w:val="none"/>
                <w:lang w:val="en-US" w:eastAsia="zh-CN"/>
              </w:rPr>
              <w:t>客流量</w:t>
            </w:r>
            <w:r>
              <w:rPr>
                <w:rFonts w:hint="eastAsia" w:ascii="宋体" w:hAnsi="宋体" w:eastAsia="宋体" w:cs="宋体"/>
                <w:color w:val="auto"/>
                <w:kern w:val="0"/>
                <w:sz w:val="21"/>
                <w:szCs w:val="21"/>
                <w:highlight w:val="none"/>
              </w:rPr>
              <w:t>现状、</w:t>
            </w:r>
            <w:r>
              <w:rPr>
                <w:rFonts w:hint="eastAsia" w:ascii="宋体" w:hAnsi="宋体" w:eastAsia="宋体" w:cs="宋体"/>
                <w:color w:val="auto"/>
                <w:kern w:val="0"/>
                <w:sz w:val="21"/>
                <w:szCs w:val="21"/>
                <w:highlight w:val="none"/>
                <w:lang w:val="en-US" w:eastAsia="zh-CN"/>
              </w:rPr>
              <w:t>票务</w:t>
            </w:r>
            <w:r>
              <w:rPr>
                <w:rFonts w:hint="eastAsia" w:ascii="宋体" w:hAnsi="宋体" w:eastAsia="宋体" w:cs="宋体"/>
                <w:color w:val="auto"/>
                <w:kern w:val="0"/>
                <w:sz w:val="21"/>
                <w:szCs w:val="21"/>
                <w:highlight w:val="none"/>
              </w:rPr>
              <w:t>系统现状</w:t>
            </w:r>
            <w:r>
              <w:rPr>
                <w:rFonts w:hint="eastAsia" w:ascii="宋体" w:hAnsi="宋体" w:eastAsia="宋体" w:cs="宋体"/>
                <w:color w:val="auto"/>
                <w:kern w:val="0"/>
                <w:sz w:val="21"/>
                <w:szCs w:val="21"/>
                <w:highlight w:val="none"/>
              </w:rPr>
              <w:t>的了解和分析</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3-5分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w:t>
            </w:r>
          </w:p>
          <w:p w14:paraId="615E8AC6">
            <w:pPr>
              <w:keepNext w:val="0"/>
              <w:keepLines w:val="0"/>
              <w:pageBreakBefore w:val="0"/>
              <w:widowControl w:val="0"/>
              <w:numPr>
                <w:ilvl w:val="0"/>
                <w:numId w:val="40"/>
              </w:numPr>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firstLine="210" w:firstLineChars="100"/>
              <w:jc w:val="both"/>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总体技术方案设计合理、方案详细，有良好的业务架构、数据架构、应用架构、技术架构及支撑体系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3-5分</w:t>
            </w:r>
            <w:r>
              <w:rPr>
                <w:rFonts w:hint="eastAsia" w:ascii="宋体" w:hAnsi="宋体" w:eastAsia="宋体" w:cs="宋体"/>
                <w:color w:val="auto"/>
                <w:kern w:val="0"/>
                <w:sz w:val="21"/>
                <w:szCs w:val="21"/>
                <w:highlight w:val="none"/>
                <w:lang w:eastAsia="zh-CN"/>
              </w:rPr>
              <w:t>）；</w:t>
            </w:r>
          </w:p>
          <w:p w14:paraId="156E50C0">
            <w:pPr>
              <w:keepNext w:val="0"/>
              <w:keepLines w:val="0"/>
              <w:pageBreakBefore w:val="0"/>
              <w:widowControl w:val="0"/>
              <w:numPr>
                <w:ilvl w:val="0"/>
                <w:numId w:val="40"/>
              </w:numPr>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firstLine="210" w:firstLineChars="100"/>
              <w:jc w:val="both"/>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整体</w:t>
            </w:r>
            <w:r>
              <w:rPr>
                <w:rFonts w:hint="eastAsia" w:ascii="宋体" w:hAnsi="宋体" w:eastAsia="宋体" w:cs="宋体"/>
                <w:color w:val="auto"/>
                <w:kern w:val="0"/>
                <w:sz w:val="21"/>
                <w:szCs w:val="21"/>
                <w:highlight w:val="none"/>
                <w:lang w:val="en-US" w:eastAsia="zh-CN"/>
              </w:rPr>
              <w:t>票务系统</w:t>
            </w:r>
            <w:r>
              <w:rPr>
                <w:rFonts w:hint="eastAsia" w:ascii="宋体" w:hAnsi="宋体" w:eastAsia="宋体" w:cs="宋体"/>
                <w:color w:val="auto"/>
                <w:kern w:val="0"/>
                <w:sz w:val="21"/>
                <w:szCs w:val="21"/>
                <w:highlight w:val="none"/>
              </w:rPr>
              <w:t>的框架及各</w:t>
            </w:r>
            <w:r>
              <w:rPr>
                <w:rFonts w:hint="eastAsia" w:ascii="宋体" w:hAnsi="宋体" w:eastAsia="宋体" w:cs="宋体"/>
                <w:color w:val="auto"/>
                <w:kern w:val="0"/>
                <w:sz w:val="21"/>
                <w:szCs w:val="21"/>
                <w:highlight w:val="none"/>
                <w:lang w:val="en-US" w:eastAsia="zh-CN"/>
              </w:rPr>
              <w:t>配置</w:t>
            </w:r>
            <w:r>
              <w:rPr>
                <w:rFonts w:hint="eastAsia" w:ascii="宋体" w:hAnsi="宋体" w:eastAsia="宋体" w:cs="宋体"/>
                <w:color w:val="auto"/>
                <w:kern w:val="0"/>
                <w:sz w:val="21"/>
                <w:szCs w:val="21"/>
                <w:highlight w:val="none"/>
              </w:rPr>
              <w:t>建设</w:t>
            </w:r>
            <w:r>
              <w:rPr>
                <w:rFonts w:hint="eastAsia" w:ascii="宋体" w:hAnsi="宋体" w:eastAsia="宋体" w:cs="宋体"/>
                <w:color w:val="auto"/>
                <w:kern w:val="0"/>
                <w:sz w:val="21"/>
                <w:szCs w:val="21"/>
                <w:highlight w:val="none"/>
              </w:rPr>
              <w:t>具体技术实现设计方案</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3-5分</w:t>
            </w:r>
            <w:r>
              <w:rPr>
                <w:rFonts w:hint="eastAsia" w:ascii="宋体" w:hAnsi="宋体" w:eastAsia="宋体" w:cs="宋体"/>
                <w:color w:val="auto"/>
                <w:kern w:val="0"/>
                <w:sz w:val="21"/>
                <w:szCs w:val="21"/>
                <w:highlight w:val="none"/>
                <w:lang w:eastAsia="zh-CN"/>
              </w:rPr>
              <w:t>）；</w:t>
            </w:r>
          </w:p>
          <w:p w14:paraId="5FAC8E71">
            <w:pPr>
              <w:keepNext w:val="0"/>
              <w:keepLines w:val="0"/>
              <w:pageBreakBefore w:val="0"/>
              <w:widowControl w:val="0"/>
              <w:numPr>
                <w:ilvl w:val="0"/>
                <w:numId w:val="40"/>
              </w:numPr>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firstLine="210" w:firstLineChars="100"/>
              <w:jc w:val="both"/>
              <w:textAlignment w:val="auto"/>
              <w:outlineLvl w:val="9"/>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kern w:val="0"/>
                <w:sz w:val="21"/>
                <w:szCs w:val="21"/>
                <w:highlight w:val="none"/>
              </w:rPr>
              <w:t>与</w:t>
            </w:r>
            <w:r>
              <w:rPr>
                <w:rFonts w:hint="eastAsia" w:ascii="宋体" w:hAnsi="宋体" w:eastAsia="宋体" w:cs="宋体"/>
                <w:color w:val="auto"/>
                <w:kern w:val="0"/>
                <w:sz w:val="21"/>
                <w:szCs w:val="21"/>
                <w:highlight w:val="none"/>
                <w:lang w:val="en-US" w:eastAsia="zh-CN"/>
              </w:rPr>
              <w:t>西塘古镇</w:t>
            </w:r>
            <w:r>
              <w:rPr>
                <w:rFonts w:hint="eastAsia" w:ascii="宋体" w:hAnsi="宋体" w:eastAsia="宋体" w:cs="宋体"/>
                <w:color w:val="auto"/>
                <w:kern w:val="0"/>
                <w:sz w:val="21"/>
                <w:szCs w:val="21"/>
                <w:highlight w:val="none"/>
              </w:rPr>
              <w:t>景区的</w:t>
            </w:r>
            <w:r>
              <w:rPr>
                <w:rFonts w:hint="eastAsia" w:ascii="宋体" w:hAnsi="宋体" w:eastAsia="宋体" w:cs="宋体"/>
                <w:color w:val="auto"/>
                <w:kern w:val="0"/>
                <w:sz w:val="21"/>
                <w:szCs w:val="21"/>
                <w:highlight w:val="none"/>
                <w:lang w:val="en-US" w:eastAsia="zh-CN"/>
              </w:rPr>
              <w:t>原</w:t>
            </w:r>
            <w:r>
              <w:rPr>
                <w:rFonts w:hint="eastAsia" w:ascii="宋体" w:hAnsi="宋体" w:eastAsia="宋体" w:cs="宋体"/>
                <w:color w:val="auto"/>
                <w:kern w:val="0"/>
                <w:sz w:val="21"/>
                <w:szCs w:val="21"/>
                <w:highlight w:val="none"/>
              </w:rPr>
              <w:t>票务系统、</w:t>
            </w:r>
            <w:r>
              <w:rPr>
                <w:rFonts w:hint="eastAsia" w:ascii="宋体" w:hAnsi="宋体" w:eastAsia="宋体" w:cs="宋体"/>
                <w:color w:val="auto"/>
                <w:kern w:val="0"/>
                <w:sz w:val="21"/>
                <w:szCs w:val="21"/>
                <w:highlight w:val="none"/>
                <w:lang w:val="en-US" w:eastAsia="zh-CN"/>
              </w:rPr>
              <w:t>数据库</w:t>
            </w:r>
            <w:r>
              <w:rPr>
                <w:rFonts w:hint="eastAsia" w:ascii="宋体" w:hAnsi="宋体" w:eastAsia="宋体" w:cs="宋体"/>
                <w:color w:val="auto"/>
                <w:kern w:val="0"/>
                <w:sz w:val="21"/>
                <w:szCs w:val="21"/>
                <w:highlight w:val="none"/>
              </w:rPr>
              <w:t>对接方案</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3-5分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w:t>
            </w:r>
          </w:p>
        </w:tc>
        <w:tc>
          <w:tcPr>
            <w:tcW w:w="675" w:type="dxa"/>
            <w:shd w:val="clear" w:color="auto" w:fill="auto"/>
            <w:noWrap w:val="0"/>
            <w:vAlign w:val="center"/>
          </w:tcPr>
          <w:p w14:paraId="3B12B050">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kern w:val="0"/>
                <w:sz w:val="22"/>
                <w:szCs w:val="22"/>
                <w:highlight w:val="none"/>
                <w:lang w:val="en-US" w:eastAsia="zh-CN"/>
              </w:rPr>
              <w:t>20</w:t>
            </w:r>
          </w:p>
        </w:tc>
      </w:tr>
      <w:tr w14:paraId="64E3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68" w:type="dxa"/>
            <w:vMerge w:val="continue"/>
            <w:noWrap w:val="0"/>
            <w:vAlign w:val="center"/>
          </w:tcPr>
          <w:p w14:paraId="53182B22">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eastAsia="宋体" w:cs="宋体"/>
                <w:color w:val="auto"/>
                <w:kern w:val="0"/>
                <w:sz w:val="21"/>
                <w:szCs w:val="21"/>
                <w:highlight w:val="none"/>
              </w:rPr>
            </w:pPr>
          </w:p>
        </w:tc>
        <w:tc>
          <w:tcPr>
            <w:tcW w:w="1715" w:type="dxa"/>
            <w:shd w:val="clear" w:color="000000" w:fill="FFFFFF"/>
            <w:noWrap w:val="0"/>
            <w:vAlign w:val="center"/>
          </w:tcPr>
          <w:p w14:paraId="12726708">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进度计划及保证措施</w:t>
            </w:r>
          </w:p>
        </w:tc>
        <w:tc>
          <w:tcPr>
            <w:tcW w:w="6084" w:type="dxa"/>
            <w:shd w:val="clear" w:color="000000" w:fill="FFFFFF"/>
            <w:noWrap w:val="0"/>
            <w:vAlign w:val="center"/>
          </w:tcPr>
          <w:p w14:paraId="3A821265">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firstLine="315" w:firstLineChars="150"/>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根据实施进度安排的科学性、合理性，有可行的进度图，有保证项目进度的具体措施等，由评委在分值范围内打分</w:t>
            </w:r>
            <w:r>
              <w:rPr>
                <w:rFonts w:hint="eastAsia" w:ascii="宋体" w:hAnsi="宋体" w:cs="宋体"/>
                <w:color w:val="auto"/>
                <w:kern w:val="0"/>
                <w:sz w:val="21"/>
                <w:szCs w:val="21"/>
                <w:highlight w:val="none"/>
                <w:lang w:eastAsia="zh-CN"/>
              </w:rPr>
              <w:t>（2-4分）</w:t>
            </w:r>
            <w:r>
              <w:rPr>
                <w:rFonts w:hint="eastAsia" w:ascii="宋体" w:hAnsi="宋体" w:eastAsia="宋体" w:cs="宋体"/>
                <w:color w:val="auto"/>
                <w:kern w:val="0"/>
                <w:sz w:val="21"/>
                <w:szCs w:val="21"/>
                <w:highlight w:val="none"/>
              </w:rPr>
              <w:t>。</w:t>
            </w:r>
          </w:p>
        </w:tc>
        <w:tc>
          <w:tcPr>
            <w:tcW w:w="675" w:type="dxa"/>
            <w:shd w:val="clear" w:color="000000" w:fill="FFFFFF"/>
            <w:noWrap w:val="0"/>
            <w:vAlign w:val="center"/>
          </w:tcPr>
          <w:p w14:paraId="37E38AB6">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default" w:ascii="宋体" w:hAnsi="宋体" w:eastAsia="宋体" w:cs="宋体"/>
                <w:color w:val="auto"/>
                <w:kern w:val="0"/>
                <w:sz w:val="22"/>
                <w:szCs w:val="22"/>
                <w:highlight w:val="none"/>
                <w:lang w:val="en-US" w:eastAsia="zh-CN" w:bidi="ar-SA"/>
              </w:rPr>
            </w:pPr>
            <w:r>
              <w:rPr>
                <w:rFonts w:hint="eastAsia" w:ascii="宋体" w:hAnsi="宋体" w:cs="宋体"/>
                <w:color w:val="auto"/>
                <w:kern w:val="0"/>
                <w:sz w:val="21"/>
                <w:szCs w:val="21"/>
                <w:highlight w:val="none"/>
                <w:lang w:val="en-US" w:eastAsia="zh-CN" w:bidi="ar-SA"/>
              </w:rPr>
              <w:t>4</w:t>
            </w:r>
          </w:p>
        </w:tc>
      </w:tr>
      <w:tr w14:paraId="309FC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68" w:type="dxa"/>
            <w:vMerge w:val="continue"/>
            <w:noWrap w:val="0"/>
            <w:vAlign w:val="center"/>
          </w:tcPr>
          <w:p w14:paraId="5E3000D8">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eastAsia="宋体" w:cs="宋体"/>
                <w:color w:val="auto"/>
                <w:kern w:val="0"/>
                <w:sz w:val="21"/>
                <w:szCs w:val="21"/>
                <w:highlight w:val="none"/>
              </w:rPr>
            </w:pPr>
          </w:p>
        </w:tc>
        <w:tc>
          <w:tcPr>
            <w:tcW w:w="1715" w:type="dxa"/>
            <w:shd w:val="clear" w:color="000000" w:fill="FFFFFF"/>
            <w:noWrap w:val="0"/>
            <w:vAlign w:val="center"/>
          </w:tcPr>
          <w:p w14:paraId="3A8D20BA">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测试、试运行和验收方案</w:t>
            </w:r>
          </w:p>
        </w:tc>
        <w:tc>
          <w:tcPr>
            <w:tcW w:w="6084" w:type="dxa"/>
            <w:shd w:val="clear" w:color="000000" w:fill="FFFFFF"/>
            <w:noWrap w:val="0"/>
            <w:vAlign w:val="center"/>
          </w:tcPr>
          <w:p w14:paraId="1C241041">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firstLine="315" w:firstLineChars="150"/>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功能测试、试运转及验收方案的合理性、可行性情况等，由评委在分值范围内打分</w:t>
            </w:r>
            <w:r>
              <w:rPr>
                <w:rFonts w:hint="eastAsia" w:ascii="宋体" w:hAnsi="宋体" w:cs="宋体"/>
                <w:color w:val="auto"/>
                <w:kern w:val="0"/>
                <w:sz w:val="21"/>
                <w:szCs w:val="21"/>
                <w:highlight w:val="none"/>
                <w:lang w:eastAsia="zh-CN"/>
              </w:rPr>
              <w:t>（2-4分）。</w:t>
            </w:r>
          </w:p>
        </w:tc>
        <w:tc>
          <w:tcPr>
            <w:tcW w:w="675" w:type="dxa"/>
            <w:shd w:val="clear" w:color="000000" w:fill="FFFFFF"/>
            <w:noWrap w:val="0"/>
            <w:vAlign w:val="center"/>
          </w:tcPr>
          <w:p w14:paraId="288CC366">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color w:val="auto"/>
                <w:kern w:val="0"/>
                <w:sz w:val="22"/>
                <w:szCs w:val="22"/>
                <w:highlight w:val="none"/>
                <w:lang w:val="en-US" w:eastAsia="zh-CN" w:bidi="ar-SA"/>
              </w:rPr>
            </w:pPr>
            <w:r>
              <w:rPr>
                <w:rFonts w:hint="eastAsia" w:ascii="宋体" w:hAnsi="宋体" w:cs="宋体"/>
                <w:color w:val="auto"/>
                <w:kern w:val="0"/>
                <w:sz w:val="21"/>
                <w:szCs w:val="21"/>
                <w:highlight w:val="none"/>
                <w:lang w:val="en-US" w:eastAsia="zh-CN" w:bidi="ar-SA"/>
              </w:rPr>
              <w:t>4</w:t>
            </w:r>
          </w:p>
        </w:tc>
      </w:tr>
      <w:tr w14:paraId="6863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68" w:type="dxa"/>
            <w:vMerge w:val="continue"/>
            <w:noWrap w:val="0"/>
            <w:vAlign w:val="center"/>
          </w:tcPr>
          <w:p w14:paraId="178A685E">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eastAsia="宋体" w:cs="宋体"/>
                <w:color w:val="auto"/>
                <w:kern w:val="0"/>
                <w:sz w:val="21"/>
                <w:szCs w:val="21"/>
                <w:highlight w:val="none"/>
              </w:rPr>
            </w:pPr>
          </w:p>
        </w:tc>
        <w:tc>
          <w:tcPr>
            <w:tcW w:w="1715" w:type="dxa"/>
            <w:shd w:val="clear" w:color="000000" w:fill="FFFFFF"/>
            <w:noWrap w:val="0"/>
            <w:vAlign w:val="center"/>
          </w:tcPr>
          <w:p w14:paraId="0C80280E">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培训方案</w:t>
            </w:r>
          </w:p>
        </w:tc>
        <w:tc>
          <w:tcPr>
            <w:tcW w:w="6084" w:type="dxa"/>
            <w:shd w:val="clear" w:color="000000" w:fill="FFFFFF"/>
            <w:noWrap w:val="0"/>
            <w:vAlign w:val="top"/>
          </w:tcPr>
          <w:p w14:paraId="40F81EF0">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firstLine="315" w:firstLineChars="150"/>
              <w:textAlignment w:val="auto"/>
              <w:outlineLvl w:val="9"/>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投标人提供的培训方案设计是否具有科学性、合理性、可行性，由评委在分值范围内打分</w:t>
            </w:r>
            <w:r>
              <w:rPr>
                <w:rFonts w:hint="eastAsia" w:ascii="宋体" w:hAnsi="宋体" w:cs="宋体"/>
                <w:color w:val="auto"/>
                <w:kern w:val="0"/>
                <w:sz w:val="21"/>
                <w:szCs w:val="21"/>
                <w:highlight w:val="none"/>
                <w:lang w:eastAsia="zh-CN"/>
              </w:rPr>
              <w:t>（2-4分）</w:t>
            </w:r>
            <w:r>
              <w:rPr>
                <w:rFonts w:hint="eastAsia" w:ascii="宋体" w:hAnsi="宋体" w:eastAsia="宋体" w:cs="宋体"/>
                <w:color w:val="auto"/>
                <w:kern w:val="0"/>
                <w:sz w:val="21"/>
                <w:szCs w:val="21"/>
                <w:highlight w:val="none"/>
              </w:rPr>
              <w:t>。</w:t>
            </w:r>
          </w:p>
        </w:tc>
        <w:tc>
          <w:tcPr>
            <w:tcW w:w="675" w:type="dxa"/>
            <w:shd w:val="clear" w:color="000000" w:fill="FFFFFF"/>
            <w:noWrap w:val="0"/>
            <w:vAlign w:val="center"/>
          </w:tcPr>
          <w:p w14:paraId="3E0B3BB3">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color w:val="auto"/>
                <w:kern w:val="0"/>
                <w:sz w:val="22"/>
                <w:szCs w:val="22"/>
                <w:highlight w:val="none"/>
                <w:lang w:val="en-US" w:eastAsia="zh-CN" w:bidi="ar-SA"/>
              </w:rPr>
            </w:pPr>
            <w:r>
              <w:rPr>
                <w:rFonts w:hint="eastAsia" w:ascii="宋体" w:hAnsi="宋体" w:cs="宋体"/>
                <w:color w:val="auto"/>
                <w:kern w:val="0"/>
                <w:sz w:val="21"/>
                <w:szCs w:val="21"/>
                <w:highlight w:val="none"/>
                <w:lang w:val="en-US" w:eastAsia="zh-CN" w:bidi="ar-SA"/>
              </w:rPr>
              <w:t>4</w:t>
            </w:r>
          </w:p>
        </w:tc>
      </w:tr>
      <w:tr w14:paraId="1B86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68" w:type="dxa"/>
            <w:vMerge w:val="continue"/>
            <w:noWrap w:val="0"/>
            <w:vAlign w:val="center"/>
          </w:tcPr>
          <w:p w14:paraId="06CA4DB5">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eastAsia="宋体" w:cs="宋体"/>
                <w:color w:val="auto"/>
                <w:kern w:val="0"/>
                <w:sz w:val="21"/>
                <w:szCs w:val="21"/>
                <w:highlight w:val="none"/>
              </w:rPr>
            </w:pPr>
          </w:p>
        </w:tc>
        <w:tc>
          <w:tcPr>
            <w:tcW w:w="1715" w:type="dxa"/>
            <w:shd w:val="clear" w:color="000000" w:fill="FFFFFF"/>
            <w:noWrap w:val="0"/>
            <w:vAlign w:val="center"/>
          </w:tcPr>
          <w:p w14:paraId="4D6FD8EC">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售后服务方案</w:t>
            </w:r>
          </w:p>
        </w:tc>
        <w:tc>
          <w:tcPr>
            <w:tcW w:w="6084" w:type="dxa"/>
            <w:shd w:val="clear" w:color="000000" w:fill="FFFFFF"/>
            <w:noWrap w:val="0"/>
            <w:vAlign w:val="top"/>
          </w:tcPr>
          <w:p w14:paraId="40A77BE9">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firstLine="315" w:firstLineChars="150"/>
              <w:textAlignment w:val="auto"/>
              <w:outlineLvl w:val="9"/>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售后服务方案，对投标人针对本项目的售后服务方案进行评审，包括但不限于服务措施、响应时间、维护技术力量等，由评委在分值范围内打分</w:t>
            </w:r>
            <w:r>
              <w:rPr>
                <w:rFonts w:hint="eastAsia" w:ascii="宋体" w:hAnsi="宋体" w:cs="宋体"/>
                <w:color w:val="auto"/>
                <w:kern w:val="0"/>
                <w:sz w:val="21"/>
                <w:szCs w:val="21"/>
                <w:highlight w:val="none"/>
                <w:lang w:eastAsia="zh-CN"/>
              </w:rPr>
              <w:t>（2-4分）</w:t>
            </w:r>
            <w:r>
              <w:rPr>
                <w:rFonts w:hint="eastAsia" w:ascii="宋体" w:hAnsi="宋体" w:eastAsia="宋体" w:cs="宋体"/>
                <w:color w:val="auto"/>
                <w:kern w:val="0"/>
                <w:sz w:val="21"/>
                <w:szCs w:val="21"/>
                <w:highlight w:val="none"/>
              </w:rPr>
              <w:t>。</w:t>
            </w:r>
          </w:p>
        </w:tc>
        <w:tc>
          <w:tcPr>
            <w:tcW w:w="675" w:type="dxa"/>
            <w:shd w:val="clear" w:color="000000" w:fill="FFFFFF"/>
            <w:noWrap w:val="0"/>
            <w:vAlign w:val="center"/>
          </w:tcPr>
          <w:p w14:paraId="510F5EFB">
            <w:pPr>
              <w:keepNext w:val="0"/>
              <w:keepLines w:val="0"/>
              <w:pageBreakBefore w:val="0"/>
              <w:widowControl w:val="0"/>
              <w:suppressLineNumbers w:val="0"/>
              <w:shd w:val="clear"/>
              <w:kinsoku/>
              <w:wordWrap w:val="0"/>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outlineLvl w:val="9"/>
              <w:rPr>
                <w:rFonts w:hint="eastAsia" w:ascii="宋体" w:hAnsi="宋体" w:eastAsia="宋体" w:cs="宋体"/>
                <w:color w:val="auto"/>
                <w:kern w:val="0"/>
                <w:sz w:val="22"/>
                <w:szCs w:val="22"/>
                <w:highlight w:val="none"/>
                <w:lang w:val="en-US" w:eastAsia="zh-CN" w:bidi="ar-SA"/>
              </w:rPr>
            </w:pPr>
            <w:r>
              <w:rPr>
                <w:rFonts w:hint="eastAsia" w:ascii="宋体" w:hAnsi="宋体" w:cs="宋体"/>
                <w:color w:val="auto"/>
                <w:kern w:val="0"/>
                <w:sz w:val="21"/>
                <w:szCs w:val="21"/>
                <w:highlight w:val="none"/>
                <w:lang w:val="en-US" w:eastAsia="zh-CN" w:bidi="ar-SA"/>
              </w:rPr>
              <w:t>4</w:t>
            </w:r>
          </w:p>
        </w:tc>
      </w:tr>
      <w:tr w14:paraId="049D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68" w:type="dxa"/>
            <w:vMerge w:val="continue"/>
            <w:noWrap w:val="0"/>
            <w:vAlign w:val="center"/>
          </w:tcPr>
          <w:p w14:paraId="539E2B9B">
            <w:pPr>
              <w:keepNext w:val="0"/>
              <w:keepLines w:val="0"/>
              <w:pageBreakBefore w:val="0"/>
              <w:widowControl w:val="0"/>
              <w:suppressLineNumbers w:val="0"/>
              <w:shd w:val="clear"/>
              <w:kinsoku/>
              <w:wordWrap w:val="0"/>
              <w:overflowPunct/>
              <w:topLinePunct w:val="0"/>
              <w:bidi w:val="0"/>
              <w:adjustRightInd w:val="0"/>
              <w:snapToGrid w:val="0"/>
              <w:spacing w:before="0" w:beforeAutospacing="0" w:after="0" w:afterAutospacing="0"/>
              <w:ind w:left="0" w:leftChars="0" w:right="0"/>
              <w:jc w:val="center"/>
              <w:textAlignment w:val="auto"/>
              <w:rPr>
                <w:rFonts w:hint="eastAsia" w:ascii="宋体" w:hAnsi="宋体" w:eastAsia="宋体" w:cs="宋体"/>
                <w:color w:val="auto"/>
                <w:kern w:val="0"/>
                <w:sz w:val="21"/>
                <w:szCs w:val="21"/>
                <w:highlight w:val="none"/>
              </w:rPr>
            </w:pPr>
          </w:p>
        </w:tc>
        <w:tc>
          <w:tcPr>
            <w:tcW w:w="1715" w:type="dxa"/>
            <w:noWrap w:val="0"/>
            <w:vAlign w:val="center"/>
          </w:tcPr>
          <w:p w14:paraId="38C4D710">
            <w:pPr>
              <w:keepNext w:val="0"/>
              <w:keepLines w:val="0"/>
              <w:pageBreakBefore w:val="0"/>
              <w:widowControl w:val="0"/>
              <w:suppressLineNumbers w:val="0"/>
              <w:shd w:val="clear"/>
              <w:tabs>
                <w:tab w:val="left" w:pos="851"/>
                <w:tab w:val="left" w:pos="993"/>
              </w:tabs>
              <w:kinsoku/>
              <w:wordWrap w:val="0"/>
              <w:overflowPunct/>
              <w:topLinePunct w:val="0"/>
              <w:bidi w:val="0"/>
              <w:adjustRightInd w:val="0"/>
              <w:snapToGrid w:val="0"/>
              <w:spacing w:before="0" w:beforeAutospacing="0" w:after="0" w:afterAutospacing="0" w:line="300" w:lineRule="exact"/>
              <w:ind w:left="0" w:leftChars="0" w:right="0"/>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突发事件的应急措施及纠纷处置措施方案</w:t>
            </w:r>
          </w:p>
        </w:tc>
        <w:tc>
          <w:tcPr>
            <w:tcW w:w="6084" w:type="dxa"/>
            <w:noWrap w:val="0"/>
            <w:vAlign w:val="center"/>
          </w:tcPr>
          <w:p w14:paraId="056D3F6A">
            <w:pPr>
              <w:keepNext w:val="0"/>
              <w:keepLines w:val="0"/>
              <w:pageBreakBefore w:val="0"/>
              <w:widowControl w:val="0"/>
              <w:suppressLineNumbers w:val="0"/>
              <w:shd w:val="clear"/>
              <w:kinsoku/>
              <w:wordWrap w:val="0"/>
              <w:overflowPunct/>
              <w:topLinePunct w:val="0"/>
              <w:autoSpaceDE w:val="0"/>
              <w:autoSpaceDN w:val="0"/>
              <w:bidi w:val="0"/>
              <w:adjustRightInd w:val="0"/>
              <w:spacing w:before="0" w:beforeAutospacing="0" w:after="0" w:afterAutospacing="0" w:line="300" w:lineRule="exact"/>
              <w:ind w:left="0" w:right="0"/>
              <w:jc w:val="both"/>
              <w:textAlignment w:val="auto"/>
              <w:outlineLvl w:val="9"/>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项目实施过程中的突发事件的应急响应预案及常见突发纠纷事件的处置方案针对性、合理性酌情打分</w:t>
            </w: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val="en-US" w:eastAsia="zh-CN"/>
              </w:rPr>
              <w:t>2-4</w:t>
            </w:r>
            <w:r>
              <w:rPr>
                <w:rFonts w:hint="eastAsia" w:ascii="宋体" w:hAnsi="宋体" w:eastAsia="宋体" w:cs="宋体"/>
                <w:color w:val="auto"/>
                <w:kern w:val="0"/>
                <w:sz w:val="21"/>
                <w:szCs w:val="21"/>
                <w:highlight w:val="none"/>
              </w:rPr>
              <w:t>分）</w:t>
            </w:r>
            <w:r>
              <w:rPr>
                <w:rFonts w:hint="eastAsia" w:ascii="宋体" w:hAnsi="宋体" w:eastAsia="宋体" w:cs="宋体"/>
                <w:bCs/>
                <w:color w:val="auto"/>
                <w:sz w:val="21"/>
                <w:szCs w:val="21"/>
                <w:highlight w:val="none"/>
                <w:lang w:val="en-US" w:eastAsia="zh-CN"/>
              </w:rPr>
              <w:t>。</w:t>
            </w:r>
          </w:p>
        </w:tc>
        <w:tc>
          <w:tcPr>
            <w:tcW w:w="675" w:type="dxa"/>
            <w:noWrap w:val="0"/>
            <w:vAlign w:val="center"/>
          </w:tcPr>
          <w:p w14:paraId="37615A82">
            <w:pPr>
              <w:keepNext w:val="0"/>
              <w:keepLines w:val="0"/>
              <w:pageBreakBefore w:val="0"/>
              <w:widowControl/>
              <w:suppressLineNumbers w:val="0"/>
              <w:shd w:val="clear"/>
              <w:kinsoku/>
              <w:wordWrap w:val="0"/>
              <w:overflowPunct/>
              <w:topLinePunct w:val="0"/>
              <w:bidi w:val="0"/>
              <w:spacing w:before="0" w:beforeAutospacing="0" w:after="0" w:afterAutospacing="0" w:line="300" w:lineRule="exact"/>
              <w:ind w:left="0" w:leftChars="0" w:right="0"/>
              <w:jc w:val="center"/>
              <w:textAlignment w:val="center"/>
              <w:outlineLvl w:val="9"/>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kern w:val="0"/>
                <w:sz w:val="22"/>
                <w:szCs w:val="22"/>
                <w:highlight w:val="none"/>
                <w:lang w:val="en-US" w:eastAsia="zh-CN"/>
              </w:rPr>
              <w:t>4</w:t>
            </w:r>
          </w:p>
        </w:tc>
      </w:tr>
      <w:tr w14:paraId="187B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667" w:type="dxa"/>
            <w:gridSpan w:val="3"/>
            <w:noWrap w:val="0"/>
            <w:vAlign w:val="center"/>
          </w:tcPr>
          <w:p w14:paraId="36A261F1">
            <w:pPr>
              <w:keepNext w:val="0"/>
              <w:keepLines w:val="0"/>
              <w:pageBreakBefore w:val="0"/>
              <w:suppressLineNumbers w:val="0"/>
              <w:shd w:val="clear"/>
              <w:kinsoku/>
              <w:wordWrap w:val="0"/>
              <w:overflowPunct/>
              <w:topLinePunct w:val="0"/>
              <w:bidi w:val="0"/>
              <w:adjustRightInd w:val="0"/>
              <w:snapToGrid w:val="0"/>
              <w:spacing w:before="0" w:beforeAutospacing="0" w:after="0" w:afterAutospacing="0"/>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  计</w:t>
            </w:r>
          </w:p>
        </w:tc>
        <w:tc>
          <w:tcPr>
            <w:tcW w:w="675" w:type="dxa"/>
            <w:noWrap w:val="0"/>
            <w:vAlign w:val="center"/>
          </w:tcPr>
          <w:p w14:paraId="77364DDF">
            <w:pPr>
              <w:keepNext w:val="0"/>
              <w:keepLines w:val="0"/>
              <w:pageBreakBefore w:val="0"/>
              <w:widowControl/>
              <w:suppressLineNumbers w:val="0"/>
              <w:shd w:val="clear"/>
              <w:kinsoku/>
              <w:wordWrap w:val="0"/>
              <w:overflowPunct/>
              <w:topLinePunct w:val="0"/>
              <w:autoSpaceDE/>
              <w:autoSpaceDN/>
              <w:bidi w:val="0"/>
              <w:adjustRightInd w:val="0"/>
              <w:snapToGrid w:val="0"/>
              <w:spacing w:before="0" w:beforeAutospacing="0" w:after="0" w:afterAutospacing="0"/>
              <w:ind w:left="0" w:leftChars="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70</w:t>
            </w:r>
          </w:p>
        </w:tc>
      </w:tr>
    </w:tbl>
    <w:p w14:paraId="58FA1461">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注：本表由评标委员会成员按分值标准各自独立打分，并记名。打分值最多保留1位小数。</w:t>
      </w:r>
      <w:r>
        <w:rPr>
          <w:rFonts w:hint="eastAsia" w:ascii="宋体" w:hAnsi="宋体" w:eastAsia="宋体" w:cs="宋体"/>
          <w:color w:val="auto"/>
          <w:sz w:val="24"/>
          <w:highlight w:val="none"/>
          <w:lang w:eastAsia="zh-CN"/>
        </w:rPr>
        <w:t>若</w:t>
      </w:r>
      <w:r>
        <w:rPr>
          <w:rFonts w:hint="eastAsia" w:ascii="宋体" w:hAnsi="宋体" w:eastAsia="宋体" w:cs="宋体"/>
          <w:color w:val="auto"/>
          <w:sz w:val="24"/>
          <w:highlight w:val="none"/>
        </w:rPr>
        <w:t>缺项或内容与招标要求不符</w:t>
      </w:r>
      <w:r>
        <w:rPr>
          <w:rFonts w:hint="eastAsia" w:ascii="宋体" w:hAnsi="宋体" w:eastAsia="宋体" w:cs="宋体"/>
          <w:color w:val="auto"/>
          <w:sz w:val="24"/>
          <w:highlight w:val="none"/>
          <w:lang w:eastAsia="zh-CN"/>
        </w:rPr>
        <w:t>或</w:t>
      </w:r>
      <w:r>
        <w:rPr>
          <w:rFonts w:hint="eastAsia" w:ascii="宋体" w:hAnsi="宋体" w:eastAsia="宋体" w:cs="宋体"/>
          <w:color w:val="auto"/>
          <w:sz w:val="24"/>
          <w:highlight w:val="none"/>
        </w:rPr>
        <w:t>未附上述资料或资料模糊不清无法辨认的，经评标委员会按少数服从多数原则认定，该项得零分。各投标人的资信商务及技术分按照评标委员会成员的</w:t>
      </w:r>
      <w:r>
        <w:rPr>
          <w:rFonts w:hint="eastAsia" w:ascii="宋体" w:hAnsi="宋体" w:eastAsia="宋体" w:cs="宋体"/>
          <w:color w:val="auto"/>
          <w:sz w:val="24"/>
          <w:highlight w:val="none"/>
        </w:rPr>
        <w:t>独立评分结果汇总后</w:t>
      </w:r>
      <w:r>
        <w:rPr>
          <w:rFonts w:hint="eastAsia" w:ascii="宋体" w:hAnsi="宋体" w:eastAsia="宋体" w:cs="宋体"/>
          <w:color w:val="auto"/>
          <w:sz w:val="24"/>
          <w:highlight w:val="none"/>
        </w:rPr>
        <w:t>的算术平均分计算。</w:t>
      </w:r>
      <w:r>
        <w:rPr>
          <w:rFonts w:hint="eastAsia" w:ascii="宋体" w:hAnsi="宋体" w:eastAsia="宋体" w:cs="宋体"/>
          <w:color w:val="auto"/>
          <w:sz w:val="24"/>
          <w:highlight w:val="none"/>
        </w:rPr>
        <w:t>评分结果采用四舍五入法，并保留小数2位。</w:t>
      </w:r>
    </w:p>
    <w:p w14:paraId="5EEA0D5A">
      <w:pPr>
        <w:keepNext w:val="0"/>
        <w:keepLines w:val="0"/>
        <w:pageBreakBefore w:val="0"/>
        <w:widowControl w:val="0"/>
        <w:numPr>
          <w:ilvl w:val="3"/>
          <w:numId w:val="37"/>
        </w:numPr>
        <w:shd w:val="clear"/>
        <w:tabs>
          <w:tab w:val="left" w:pos="851"/>
        </w:tabs>
        <w:kinsoku/>
        <w:wordWrap w:val="0"/>
        <w:overflowPunct/>
        <w:topLinePunct w:val="0"/>
        <w:autoSpaceDE/>
        <w:autoSpaceDN/>
        <w:bidi w:val="0"/>
        <w:adjustRightInd w:val="0"/>
        <w:snapToGrid w:val="0"/>
        <w:spacing w:before="30" w:beforeLines="10" w:after="59" w:afterLines="20" w:line="480" w:lineRule="exact"/>
        <w:ind w:left="0" w:lef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报价文件符合性检查，报价文件有下列情况之一的，按照无效投标处理：</w:t>
      </w:r>
    </w:p>
    <w:p w14:paraId="68CE3C78">
      <w:pPr>
        <w:keepNext w:val="0"/>
        <w:keepLines w:val="0"/>
        <w:pageBreakBefore w:val="0"/>
        <w:numPr>
          <w:ilvl w:val="0"/>
          <w:numId w:val="41"/>
        </w:numPr>
        <w:shd w:val="clear"/>
        <w:kinsoku/>
        <w:wordWrap w:val="0"/>
        <w:overflowPunct/>
        <w:topLinePunct w:val="0"/>
        <w:autoSpaceDE/>
        <w:autoSpaceDN/>
        <w:bidi w:val="0"/>
        <w:adjustRightInd w:val="0"/>
        <w:snapToGrid w:val="0"/>
        <w:spacing w:line="480" w:lineRule="exact"/>
        <w:ind w:lef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未采用人民币报价或者未按照招标文件标明的币种报价的；</w:t>
      </w:r>
    </w:p>
    <w:p w14:paraId="1B92AB68">
      <w:pPr>
        <w:keepNext w:val="0"/>
        <w:keepLines w:val="0"/>
        <w:pageBreakBefore w:val="0"/>
        <w:numPr>
          <w:ilvl w:val="0"/>
          <w:numId w:val="41"/>
        </w:numPr>
        <w:shd w:val="clear"/>
        <w:kinsoku/>
        <w:wordWrap w:val="0"/>
        <w:overflowPunct/>
        <w:topLinePunct w:val="0"/>
        <w:autoSpaceDE/>
        <w:autoSpaceDN/>
        <w:bidi w:val="0"/>
        <w:adjustRightInd w:val="0"/>
        <w:snapToGrid w:val="0"/>
        <w:spacing w:line="480" w:lineRule="exact"/>
        <w:ind w:lef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投标文件的盖章、签字等不符合</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rPr>
        <w:t>相关规定要求的；</w:t>
      </w:r>
    </w:p>
    <w:p w14:paraId="2759CC51">
      <w:pPr>
        <w:keepNext w:val="0"/>
        <w:keepLines w:val="0"/>
        <w:pageBreakBefore w:val="0"/>
        <w:numPr>
          <w:ilvl w:val="0"/>
          <w:numId w:val="41"/>
        </w:numPr>
        <w:shd w:val="clear"/>
        <w:kinsoku/>
        <w:wordWrap w:val="0"/>
        <w:overflowPunct/>
        <w:topLinePunct w:val="0"/>
        <w:autoSpaceDE/>
        <w:autoSpaceDN/>
        <w:bidi w:val="0"/>
        <w:adjustRightInd w:val="0"/>
        <w:snapToGrid w:val="0"/>
        <w:spacing w:line="480" w:lineRule="exact"/>
        <w:ind w:left="0" w:firstLine="480" w:firstLineChars="200"/>
        <w:textAlignment w:val="auto"/>
        <w:rPr>
          <w:rFonts w:ascii="宋体" w:hAnsi="宋体"/>
          <w:color w:val="auto"/>
          <w:sz w:val="24"/>
          <w:highlight w:val="none"/>
        </w:rPr>
      </w:pPr>
      <w:r>
        <w:rPr>
          <w:rFonts w:hint="eastAsia" w:ascii="宋体" w:hAnsi="宋体" w:eastAsia="宋体" w:cs="宋体"/>
          <w:color w:val="auto"/>
          <w:sz w:val="24"/>
          <w:highlight w:val="none"/>
        </w:rPr>
        <w:t>未按照</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rPr>
        <w:t>规定</w:t>
      </w:r>
      <w:r>
        <w:rPr>
          <w:rFonts w:hint="eastAsia" w:ascii="宋体" w:hAnsi="宋体"/>
          <w:color w:val="auto"/>
          <w:sz w:val="24"/>
          <w:highlight w:val="none"/>
        </w:rPr>
        <w:t>的格式填写或关键字迹模糊，无法辨认或随意增减采购项目的；</w:t>
      </w:r>
    </w:p>
    <w:p w14:paraId="3202E4BC">
      <w:pPr>
        <w:keepNext w:val="0"/>
        <w:keepLines w:val="0"/>
        <w:pageBreakBefore w:val="0"/>
        <w:numPr>
          <w:ilvl w:val="0"/>
          <w:numId w:val="41"/>
        </w:numPr>
        <w:shd w:val="clear"/>
        <w:kinsoku/>
        <w:wordWrap w:val="0"/>
        <w:overflowPunct/>
        <w:topLinePunct w:val="0"/>
        <w:autoSpaceDE/>
        <w:autoSpaceDN/>
        <w:bidi w:val="0"/>
        <w:adjustRightInd w:val="0"/>
        <w:snapToGrid w:val="0"/>
        <w:spacing w:line="480" w:lineRule="exact"/>
        <w:ind w:left="0" w:firstLine="480" w:firstLineChars="200"/>
        <w:textAlignment w:val="auto"/>
        <w:rPr>
          <w:rFonts w:ascii="宋体" w:hAnsi="宋体"/>
          <w:color w:val="auto"/>
          <w:sz w:val="24"/>
          <w:highlight w:val="none"/>
        </w:rPr>
      </w:pPr>
      <w:r>
        <w:rPr>
          <w:rFonts w:hint="eastAsia" w:ascii="宋体" w:hAnsi="宋体"/>
          <w:color w:val="auto"/>
          <w:sz w:val="24"/>
          <w:highlight w:val="none"/>
        </w:rPr>
        <w:t>同一份投标文件中如有两个或两个以上报价，且未书面声明最终报价的；</w:t>
      </w:r>
    </w:p>
    <w:p w14:paraId="462FD486">
      <w:pPr>
        <w:keepNext w:val="0"/>
        <w:keepLines w:val="0"/>
        <w:pageBreakBefore w:val="0"/>
        <w:numPr>
          <w:ilvl w:val="0"/>
          <w:numId w:val="41"/>
        </w:numPr>
        <w:shd w:val="clear"/>
        <w:kinsoku/>
        <w:wordWrap w:val="0"/>
        <w:overflowPunct/>
        <w:topLinePunct w:val="0"/>
        <w:autoSpaceDE/>
        <w:autoSpaceDN/>
        <w:bidi w:val="0"/>
        <w:adjustRightInd w:val="0"/>
        <w:snapToGrid w:val="0"/>
        <w:spacing w:line="480" w:lineRule="exact"/>
        <w:ind w:left="0" w:firstLine="480" w:firstLineChars="200"/>
        <w:textAlignment w:val="auto"/>
        <w:rPr>
          <w:rFonts w:ascii="宋体" w:hAnsi="宋体"/>
          <w:color w:val="auto"/>
          <w:sz w:val="24"/>
          <w:highlight w:val="none"/>
        </w:rPr>
      </w:pPr>
      <w:r>
        <w:rPr>
          <w:rFonts w:ascii="宋体" w:hAnsi="宋体"/>
          <w:color w:val="auto"/>
          <w:sz w:val="24"/>
          <w:highlight w:val="none"/>
        </w:rPr>
        <w:t>存在串标、抬标或弄虚作假情况的</w:t>
      </w:r>
      <w:r>
        <w:rPr>
          <w:rFonts w:hint="eastAsia" w:ascii="宋体" w:hAnsi="宋体"/>
          <w:color w:val="auto"/>
          <w:sz w:val="24"/>
          <w:highlight w:val="none"/>
        </w:rPr>
        <w:t>；</w:t>
      </w:r>
    </w:p>
    <w:p w14:paraId="30DDFD08">
      <w:pPr>
        <w:keepNext w:val="0"/>
        <w:keepLines w:val="0"/>
        <w:pageBreakBefore w:val="0"/>
        <w:numPr>
          <w:ilvl w:val="0"/>
          <w:numId w:val="41"/>
        </w:numPr>
        <w:shd w:val="clear"/>
        <w:kinsoku/>
        <w:wordWrap w:val="0"/>
        <w:overflowPunct/>
        <w:topLinePunct w:val="0"/>
        <w:autoSpaceDE/>
        <w:autoSpaceDN/>
        <w:bidi w:val="0"/>
        <w:adjustRightInd w:val="0"/>
        <w:snapToGrid w:val="0"/>
        <w:spacing w:line="480" w:lineRule="exact"/>
        <w:ind w:left="0" w:firstLine="480" w:firstLineChars="200"/>
        <w:textAlignment w:val="auto"/>
        <w:rPr>
          <w:rFonts w:ascii="宋体" w:hAnsi="宋体"/>
          <w:color w:val="auto"/>
          <w:sz w:val="24"/>
          <w:highlight w:val="none"/>
        </w:rPr>
      </w:pPr>
      <w:r>
        <w:rPr>
          <w:rFonts w:ascii="宋体" w:hAnsi="宋体"/>
          <w:color w:val="auto"/>
          <w:sz w:val="24"/>
          <w:highlight w:val="none"/>
        </w:rPr>
        <w:t>不符合法律、法规和</w:t>
      </w:r>
      <w:r>
        <w:rPr>
          <w:rFonts w:hint="eastAsia" w:ascii="宋体" w:hAnsi="宋体"/>
          <w:color w:val="auto"/>
          <w:sz w:val="24"/>
          <w:highlight w:val="none"/>
          <w:lang w:eastAsia="zh-CN"/>
        </w:rPr>
        <w:t>招标文件</w:t>
      </w:r>
      <w:r>
        <w:rPr>
          <w:rFonts w:ascii="宋体" w:hAnsi="宋体"/>
          <w:color w:val="auto"/>
          <w:sz w:val="24"/>
          <w:highlight w:val="none"/>
        </w:rPr>
        <w:t>中规定的其他实质性要求的。</w:t>
      </w:r>
    </w:p>
    <w:p w14:paraId="3F6D9BFE">
      <w:pPr>
        <w:keepNext w:val="0"/>
        <w:keepLines w:val="0"/>
        <w:pageBreakBefore w:val="0"/>
        <w:widowControl w:val="0"/>
        <w:numPr>
          <w:ilvl w:val="3"/>
          <w:numId w:val="37"/>
        </w:numPr>
        <w:shd w:val="clear"/>
        <w:tabs>
          <w:tab w:val="left" w:pos="851"/>
        </w:tabs>
        <w:kinsoku/>
        <w:wordWrap w:val="0"/>
        <w:overflowPunct/>
        <w:topLinePunct w:val="0"/>
        <w:autoSpaceDE/>
        <w:autoSpaceDN/>
        <w:bidi w:val="0"/>
        <w:adjustRightInd w:val="0"/>
        <w:snapToGrid w:val="0"/>
        <w:spacing w:before="30" w:beforeLines="10" w:after="59" w:afterLines="20" w:line="480" w:lineRule="exact"/>
        <w:ind w:left="0" w:lef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价格分（</w:t>
      </w:r>
      <w:r>
        <w:rPr>
          <w:rFonts w:hint="eastAsia" w:ascii="宋体" w:hAnsi="宋体" w:cs="宋体"/>
          <w:b/>
          <w:bCs/>
          <w:color w:val="auto"/>
          <w:sz w:val="24"/>
          <w:highlight w:val="none"/>
          <w:lang w:val="en-US" w:eastAsia="zh-CN"/>
        </w:rPr>
        <w:t>30分</w:t>
      </w:r>
      <w:r>
        <w:rPr>
          <w:rFonts w:hint="eastAsia" w:ascii="宋体" w:hAnsi="宋体" w:eastAsia="宋体" w:cs="宋体"/>
          <w:b/>
          <w:bCs/>
          <w:color w:val="auto"/>
          <w:sz w:val="24"/>
          <w:highlight w:val="none"/>
          <w:lang w:val="en-US" w:eastAsia="zh-CN"/>
        </w:rPr>
        <w:t>）</w:t>
      </w:r>
    </w:p>
    <w:p w14:paraId="722D96BA">
      <w:pPr>
        <w:keepNext w:val="0"/>
        <w:keepLines w:val="0"/>
        <w:pageBreakBefore w:val="0"/>
        <w:numPr>
          <w:ilvl w:val="0"/>
          <w:numId w:val="42"/>
        </w:numPr>
        <w:shd w:val="clear"/>
        <w:tabs>
          <w:tab w:val="left" w:pos="1134"/>
        </w:tabs>
        <w:kinsoku/>
        <w:wordWrap w:val="0"/>
        <w:overflowPunct/>
        <w:topLinePunct w:val="0"/>
        <w:autoSpaceDE/>
        <w:autoSpaceDN/>
        <w:bidi w:val="0"/>
        <w:adjustRightInd w:val="0"/>
        <w:snapToGrid w:val="0"/>
        <w:spacing w:line="480" w:lineRule="exact"/>
        <w:ind w:left="0" w:firstLine="482" w:firstLineChars="200"/>
        <w:textAlignment w:val="auto"/>
        <w:rPr>
          <w:rFonts w:hint="default" w:ascii="宋体" w:hAnsi="宋体" w:eastAsia="宋体" w:cs="宋体"/>
          <w:b/>
          <w:color w:val="auto"/>
          <w:sz w:val="24"/>
          <w:szCs w:val="20"/>
          <w:highlight w:val="none"/>
        </w:rPr>
      </w:pPr>
      <w:r>
        <w:rPr>
          <w:rFonts w:hint="default" w:ascii="宋体" w:hAnsi="宋体" w:eastAsia="宋体" w:cs="宋体"/>
          <w:b/>
          <w:color w:val="auto"/>
          <w:sz w:val="24"/>
          <w:szCs w:val="20"/>
          <w:highlight w:val="none"/>
        </w:rPr>
        <w:t>异常报价的甄别</w:t>
      </w:r>
    </w:p>
    <w:p w14:paraId="03558B83">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snapToGrid w:val="0"/>
          <w:color w:val="auto"/>
          <w:sz w:val="24"/>
          <w:szCs w:val="20"/>
          <w:highlight w:val="none"/>
        </w:rPr>
        <w:t>（1）</w:t>
      </w:r>
      <w:r>
        <w:rPr>
          <w:rFonts w:hint="default" w:ascii="宋体" w:hAnsi="宋体" w:eastAsia="宋体" w:cs="宋体"/>
          <w:color w:val="auto"/>
          <w:sz w:val="24"/>
          <w:szCs w:val="20"/>
          <w:highlight w:val="none"/>
        </w:rPr>
        <w:t>本项目最高投标限价为</w:t>
      </w:r>
      <w:r>
        <w:rPr>
          <w:rFonts w:hint="eastAsia" w:ascii="宋体" w:hAnsi="宋体" w:cs="宋体"/>
          <w:b/>
          <w:color w:val="auto"/>
          <w:sz w:val="24"/>
          <w:szCs w:val="20"/>
          <w:highlight w:val="none"/>
          <w:lang w:val="en-US" w:eastAsia="zh-CN"/>
        </w:rPr>
        <w:t>¥</w:t>
      </w:r>
      <w:r>
        <w:rPr>
          <w:rFonts w:hint="eastAsia" w:ascii="宋体" w:hAnsi="宋体" w:cs="宋体"/>
          <w:b/>
          <w:color w:val="auto"/>
          <w:sz w:val="24"/>
          <w:szCs w:val="20"/>
          <w:highlight w:val="none"/>
          <w:lang w:val="en-US" w:eastAsia="zh-CN"/>
        </w:rPr>
        <w:t>***</w:t>
      </w:r>
      <w:r>
        <w:rPr>
          <w:rFonts w:hint="default" w:ascii="宋体" w:hAnsi="宋体" w:eastAsia="宋体" w:cs="宋体"/>
          <w:b/>
          <w:color w:val="auto"/>
          <w:sz w:val="24"/>
          <w:szCs w:val="20"/>
          <w:highlight w:val="none"/>
        </w:rPr>
        <w:t>元</w:t>
      </w:r>
      <w:r>
        <w:rPr>
          <w:rFonts w:hint="default" w:ascii="宋体" w:hAnsi="宋体" w:eastAsia="宋体" w:cs="宋体"/>
          <w:color w:val="auto"/>
          <w:sz w:val="24"/>
          <w:szCs w:val="20"/>
          <w:highlight w:val="none"/>
        </w:rPr>
        <w:t>，若投标人的投标报价高于最高投标限价的，由评标委员会认定为异常报价，其价格得分为</w:t>
      </w:r>
      <w:r>
        <w:rPr>
          <w:rFonts w:hint="default" w:ascii="宋体" w:hAnsi="宋体" w:eastAsia="宋体" w:cs="宋体"/>
          <w:color w:val="auto"/>
          <w:sz w:val="24"/>
          <w:szCs w:val="20"/>
          <w:highlight w:val="none"/>
        </w:rPr>
        <w:t>零分</w:t>
      </w:r>
      <w:r>
        <w:rPr>
          <w:rFonts w:hint="default" w:ascii="宋体" w:hAnsi="宋体" w:eastAsia="宋体" w:cs="宋体"/>
          <w:color w:val="auto"/>
          <w:sz w:val="24"/>
          <w:szCs w:val="20"/>
          <w:highlight w:val="none"/>
        </w:rPr>
        <w:t>，并不得推荐为中标候选人，且其投标报价不得进入投标异常低价中各有效投标人报价的算术平均值的计算。当所有投标报价均超过最高投标限价时，招标人将重新组织招标。</w:t>
      </w:r>
    </w:p>
    <w:p w14:paraId="0E6919CC">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snapToGrid w:val="0"/>
          <w:color w:val="auto"/>
          <w:sz w:val="24"/>
          <w:szCs w:val="20"/>
          <w:highlight w:val="none"/>
        </w:rPr>
        <w:t>（2）</w:t>
      </w:r>
      <w:r>
        <w:rPr>
          <w:rFonts w:hint="default" w:ascii="宋体" w:hAnsi="宋体" w:eastAsia="宋体" w:cs="宋体"/>
          <w:color w:val="auto"/>
          <w:sz w:val="24"/>
          <w:szCs w:val="20"/>
          <w:highlight w:val="none"/>
        </w:rPr>
        <w:t>投标异常低价</w:t>
      </w:r>
    </w:p>
    <w:p w14:paraId="318182F1">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1）．投标异常低价按如下方法判别：</w:t>
      </w:r>
    </w:p>
    <w:p w14:paraId="2E4622B1">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投标异常低价=各有效投标人报价的算术平均值×（1-C%），若投标人的投标报价低于投标异常低价</w:t>
      </w:r>
      <w:r>
        <w:rPr>
          <w:rFonts w:hint="default" w:ascii="宋体" w:hAnsi="宋体" w:eastAsia="宋体" w:cs="宋体"/>
          <w:color w:val="auto"/>
          <w:sz w:val="24"/>
          <w:szCs w:val="20"/>
          <w:highlight w:val="none"/>
        </w:rPr>
        <w:t>，由评标委员会认定为投标异常报价，其报价得分为</w:t>
      </w:r>
      <w:r>
        <w:rPr>
          <w:rFonts w:hint="default" w:ascii="宋体" w:hAnsi="宋体" w:eastAsia="宋体" w:cs="宋体"/>
          <w:color w:val="auto"/>
          <w:sz w:val="24"/>
          <w:szCs w:val="20"/>
          <w:highlight w:val="none"/>
        </w:rPr>
        <w:t>零分</w:t>
      </w:r>
      <w:r>
        <w:rPr>
          <w:rFonts w:hint="default" w:ascii="宋体" w:hAnsi="宋体" w:eastAsia="宋体" w:cs="宋体"/>
          <w:color w:val="auto"/>
          <w:sz w:val="24"/>
          <w:szCs w:val="20"/>
          <w:highlight w:val="none"/>
        </w:rPr>
        <w:t>，并不得推荐为中标候选人。“C”在开标时由</w:t>
      </w:r>
      <w:r>
        <w:rPr>
          <w:rFonts w:hint="default" w:ascii="宋体" w:hAnsi="宋体" w:eastAsia="宋体" w:cs="宋体"/>
          <w:color w:val="auto"/>
          <w:sz w:val="24"/>
          <w:szCs w:val="20"/>
          <w:highlight w:val="none"/>
        </w:rPr>
        <w:t>招标人代表</w:t>
      </w:r>
      <w:r>
        <w:rPr>
          <w:rFonts w:hint="default" w:ascii="宋体" w:hAnsi="宋体" w:eastAsia="宋体" w:cs="宋体"/>
          <w:color w:val="auto"/>
          <w:sz w:val="24"/>
          <w:szCs w:val="20"/>
          <w:highlight w:val="none"/>
        </w:rPr>
        <w:t>在有关部门的监督下当场从“</w:t>
      </w:r>
      <w:r>
        <w:rPr>
          <w:rFonts w:hint="eastAsia" w:ascii="宋体" w:hAnsi="宋体" w:cs="宋体"/>
          <w:color w:val="auto"/>
          <w:sz w:val="24"/>
          <w:szCs w:val="20"/>
          <w:highlight w:val="none"/>
          <w:lang w:val="en-US" w:eastAsia="zh-CN"/>
        </w:rPr>
        <w:t>5</w:t>
      </w:r>
      <w:r>
        <w:rPr>
          <w:rFonts w:hint="default" w:ascii="宋体" w:hAnsi="宋体" w:eastAsia="宋体" w:cs="宋体"/>
          <w:color w:val="auto"/>
          <w:sz w:val="24"/>
          <w:szCs w:val="20"/>
          <w:highlight w:val="none"/>
        </w:rPr>
        <w:t>、</w:t>
      </w:r>
      <w:r>
        <w:rPr>
          <w:rFonts w:hint="eastAsia" w:ascii="宋体" w:hAnsi="宋体" w:cs="宋体"/>
          <w:color w:val="auto"/>
          <w:sz w:val="24"/>
          <w:szCs w:val="20"/>
          <w:highlight w:val="none"/>
          <w:lang w:val="en-US" w:eastAsia="zh-CN"/>
        </w:rPr>
        <w:t>6</w:t>
      </w:r>
      <w:r>
        <w:rPr>
          <w:rFonts w:hint="default" w:ascii="宋体" w:hAnsi="宋体" w:eastAsia="宋体" w:cs="宋体"/>
          <w:color w:val="auto"/>
          <w:sz w:val="24"/>
          <w:szCs w:val="20"/>
          <w:highlight w:val="none"/>
        </w:rPr>
        <w:t>、</w:t>
      </w:r>
      <w:r>
        <w:rPr>
          <w:rFonts w:hint="eastAsia" w:ascii="宋体" w:hAnsi="宋体" w:cs="宋体"/>
          <w:color w:val="auto"/>
          <w:sz w:val="24"/>
          <w:szCs w:val="20"/>
          <w:highlight w:val="none"/>
          <w:lang w:val="en-US" w:eastAsia="zh-CN"/>
        </w:rPr>
        <w:t>7</w:t>
      </w:r>
      <w:r>
        <w:rPr>
          <w:rFonts w:hint="default" w:ascii="宋体" w:hAnsi="宋体" w:eastAsia="宋体" w:cs="宋体"/>
          <w:color w:val="auto"/>
          <w:sz w:val="24"/>
          <w:szCs w:val="20"/>
          <w:highlight w:val="none"/>
        </w:rPr>
        <w:t>”这三个数据中随机抽取（01球表示</w:t>
      </w:r>
      <w:r>
        <w:rPr>
          <w:rFonts w:hint="eastAsia" w:ascii="宋体" w:hAnsi="宋体" w:cs="宋体"/>
          <w:color w:val="auto"/>
          <w:sz w:val="24"/>
          <w:szCs w:val="20"/>
          <w:highlight w:val="none"/>
          <w:lang w:val="en-US" w:eastAsia="zh-CN"/>
        </w:rPr>
        <w:t>5</w:t>
      </w:r>
      <w:r>
        <w:rPr>
          <w:rFonts w:hint="default" w:ascii="宋体" w:hAnsi="宋体" w:eastAsia="宋体" w:cs="宋体"/>
          <w:color w:val="auto"/>
          <w:sz w:val="24"/>
          <w:szCs w:val="20"/>
          <w:highlight w:val="none"/>
        </w:rPr>
        <w:t>、02球表示</w:t>
      </w:r>
      <w:r>
        <w:rPr>
          <w:rFonts w:hint="eastAsia" w:ascii="宋体" w:hAnsi="宋体" w:cs="宋体"/>
          <w:color w:val="auto"/>
          <w:sz w:val="24"/>
          <w:szCs w:val="20"/>
          <w:highlight w:val="none"/>
          <w:lang w:val="en-US" w:eastAsia="zh-CN"/>
        </w:rPr>
        <w:t>6</w:t>
      </w:r>
      <w:r>
        <w:rPr>
          <w:rFonts w:hint="default" w:ascii="宋体" w:hAnsi="宋体" w:eastAsia="宋体" w:cs="宋体"/>
          <w:color w:val="auto"/>
          <w:sz w:val="24"/>
          <w:szCs w:val="20"/>
          <w:highlight w:val="none"/>
        </w:rPr>
        <w:t>、03球表示</w:t>
      </w:r>
      <w:r>
        <w:rPr>
          <w:rFonts w:hint="eastAsia" w:ascii="宋体" w:hAnsi="宋体" w:cs="宋体"/>
          <w:color w:val="auto"/>
          <w:sz w:val="24"/>
          <w:szCs w:val="20"/>
          <w:highlight w:val="none"/>
          <w:lang w:val="en-US" w:eastAsia="zh-CN"/>
        </w:rPr>
        <w:t>7</w:t>
      </w:r>
      <w:r>
        <w:rPr>
          <w:rFonts w:hint="default" w:ascii="宋体" w:hAnsi="宋体" w:eastAsia="宋体" w:cs="宋体"/>
          <w:color w:val="auto"/>
          <w:sz w:val="24"/>
          <w:szCs w:val="20"/>
          <w:highlight w:val="none"/>
        </w:rPr>
        <w:t>）；</w:t>
      </w:r>
    </w:p>
    <w:p w14:paraId="23F3DC07">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 xml:space="preserve"> 2）. 投标异常低价中各有效投标人报价的算术平均值按以下方法计算：</w:t>
      </w:r>
    </w:p>
    <w:p w14:paraId="05EF7816">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①当有效投标人≤2家时，是否继续评标，由评标委员会决定；如继续评审则不再进行投标异常报价的判别。</w:t>
      </w:r>
    </w:p>
    <w:p w14:paraId="3B2F785D">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②当有效投标人为3家时，全部进入算术平均值的计算；</w:t>
      </w:r>
    </w:p>
    <w:p w14:paraId="4BD81C2A">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③当有效投标人为4-8家时，去掉最高和最低报价后的算术平均值；</w:t>
      </w:r>
    </w:p>
    <w:p w14:paraId="7AD9085C">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④当有效投标人为9-11家时，去掉最高、次高、最低报价后的算术平均值；</w:t>
      </w:r>
    </w:p>
    <w:p w14:paraId="27A72F53">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⑤当有效投标人为12家及以上时，去掉最高、次高、最低、次低报价后的算术平均值；</w:t>
      </w:r>
    </w:p>
    <w:p w14:paraId="34802529">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⑥以上所提到的“有效投标人”是指通过资格审查及投标文件符合性审查，且其投标报价低于等于最高投标限价的投标人。</w:t>
      </w:r>
    </w:p>
    <w:p w14:paraId="17D50D2C">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s="宋体"/>
          <w:color w:val="auto"/>
          <w:sz w:val="24"/>
          <w:szCs w:val="20"/>
          <w:highlight w:val="none"/>
        </w:rPr>
      </w:pPr>
      <w:r>
        <w:rPr>
          <w:rFonts w:hint="default" w:ascii="宋体" w:hAnsi="宋体" w:eastAsia="宋体" w:cs="宋体"/>
          <w:color w:val="auto"/>
          <w:sz w:val="24"/>
          <w:szCs w:val="20"/>
          <w:highlight w:val="none"/>
        </w:rPr>
        <w:t>3）.算术平均值计算后，随后无论出现何种情形（包括投标人因被质疑、投诉、举报等导致其投标文件被否决的），都将不再重新计算算术平均值。</w:t>
      </w:r>
    </w:p>
    <w:p w14:paraId="7DEFADBD">
      <w:pPr>
        <w:keepNext w:val="0"/>
        <w:keepLines w:val="0"/>
        <w:pageBreakBefore w:val="0"/>
        <w:shd w:val="clear"/>
        <w:kinsoku/>
        <w:wordWrap w:val="0"/>
        <w:overflowPunct/>
        <w:topLinePunct w:val="0"/>
        <w:autoSpaceDE/>
        <w:autoSpaceDN/>
        <w:bidi w:val="0"/>
        <w:adjustRightInd w:val="0"/>
        <w:snapToGrid w:val="0"/>
        <w:spacing w:line="480" w:lineRule="exact"/>
        <w:ind w:left="0" w:firstLine="480" w:firstLineChars="200"/>
        <w:textAlignment w:val="auto"/>
        <w:rPr>
          <w:rFonts w:hint="default" w:ascii="宋体" w:hAnsi="宋体" w:eastAsia="宋体"/>
          <w:color w:val="auto"/>
          <w:sz w:val="24"/>
          <w:szCs w:val="20"/>
          <w:highlight w:val="none"/>
        </w:rPr>
      </w:pPr>
      <w:r>
        <w:rPr>
          <w:rFonts w:hint="default" w:ascii="宋体" w:hAnsi="宋体" w:eastAsia="宋体" w:cs="宋体"/>
          <w:snapToGrid w:val="0"/>
          <w:color w:val="auto"/>
          <w:sz w:val="24"/>
          <w:szCs w:val="20"/>
          <w:highlight w:val="none"/>
        </w:rPr>
        <w:t>（3）</w:t>
      </w:r>
      <w:r>
        <w:rPr>
          <w:rFonts w:hint="default" w:ascii="宋体" w:hAnsi="宋体" w:eastAsia="宋体" w:cs="宋体"/>
          <w:color w:val="auto"/>
          <w:sz w:val="24"/>
          <w:szCs w:val="20"/>
          <w:highlight w:val="none"/>
        </w:rPr>
        <w:t>投标报价低于等于最高投标限价的，且高于等于投标异常低价</w:t>
      </w:r>
      <w:r>
        <w:rPr>
          <w:rFonts w:hint="default" w:ascii="宋体" w:hAnsi="宋体" w:eastAsia="宋体" w:cs="宋体"/>
          <w:snapToGrid w:val="0"/>
          <w:color w:val="auto"/>
          <w:sz w:val="24"/>
          <w:szCs w:val="20"/>
          <w:highlight w:val="none"/>
        </w:rPr>
        <w:t>的</w:t>
      </w:r>
      <w:r>
        <w:rPr>
          <w:rFonts w:hint="default" w:ascii="宋体" w:hAnsi="宋体" w:eastAsia="宋体" w:cs="宋体"/>
          <w:color w:val="auto"/>
          <w:sz w:val="24"/>
          <w:szCs w:val="20"/>
          <w:highlight w:val="none"/>
        </w:rPr>
        <w:t>，为合理报价。</w:t>
      </w:r>
      <w:r>
        <w:rPr>
          <w:rFonts w:hint="default" w:ascii="宋体" w:hAnsi="宋体" w:eastAsia="宋体"/>
          <w:color w:val="auto"/>
          <w:sz w:val="24"/>
          <w:szCs w:val="20"/>
          <w:highlight w:val="none"/>
        </w:rPr>
        <w:t>投标报价高于最高投标限价，或者低于投标异常低价</w:t>
      </w:r>
      <w:r>
        <w:rPr>
          <w:rFonts w:hint="default" w:ascii="宋体" w:hAnsi="宋体" w:eastAsia="宋体"/>
          <w:snapToGrid w:val="0"/>
          <w:color w:val="auto"/>
          <w:sz w:val="24"/>
          <w:szCs w:val="20"/>
          <w:highlight w:val="none"/>
        </w:rPr>
        <w:t>的</w:t>
      </w:r>
      <w:r>
        <w:rPr>
          <w:rFonts w:hint="default" w:ascii="宋体" w:hAnsi="宋体" w:eastAsia="宋体"/>
          <w:color w:val="auto"/>
          <w:sz w:val="24"/>
          <w:szCs w:val="20"/>
          <w:highlight w:val="none"/>
        </w:rPr>
        <w:t>，由评标委员会认定为投标异常报价，其报价得分为零分，并不得推荐为中标候选人，</w:t>
      </w:r>
      <w:r>
        <w:rPr>
          <w:rFonts w:hint="default" w:ascii="宋体" w:hAnsi="宋体" w:eastAsia="宋体"/>
          <w:b/>
          <w:color w:val="auto"/>
          <w:sz w:val="24"/>
          <w:szCs w:val="20"/>
          <w:highlight w:val="none"/>
        </w:rPr>
        <w:t>且不得进入评标基准价的计算</w:t>
      </w:r>
      <w:r>
        <w:rPr>
          <w:rFonts w:hint="default" w:ascii="宋体" w:hAnsi="宋体" w:eastAsia="宋体"/>
          <w:color w:val="auto"/>
          <w:sz w:val="24"/>
          <w:szCs w:val="20"/>
          <w:highlight w:val="none"/>
        </w:rPr>
        <w:t>。</w:t>
      </w:r>
    </w:p>
    <w:p w14:paraId="59D657CB">
      <w:pPr>
        <w:keepNext w:val="0"/>
        <w:keepLines w:val="0"/>
        <w:pageBreakBefore w:val="0"/>
        <w:numPr>
          <w:ilvl w:val="0"/>
          <w:numId w:val="42"/>
        </w:numPr>
        <w:shd w:val="clear"/>
        <w:tabs>
          <w:tab w:val="left" w:pos="1134"/>
        </w:tabs>
        <w:kinsoku/>
        <w:wordWrap w:val="0"/>
        <w:overflowPunct/>
        <w:topLinePunct w:val="0"/>
        <w:autoSpaceDE/>
        <w:autoSpaceDN/>
        <w:bidi w:val="0"/>
        <w:adjustRightInd w:val="0"/>
        <w:snapToGrid w:val="0"/>
        <w:spacing w:line="480" w:lineRule="exact"/>
        <w:ind w:left="0" w:firstLine="482" w:firstLineChars="200"/>
        <w:textAlignment w:val="auto"/>
        <w:rPr>
          <w:rFonts w:hint="default" w:ascii="宋体" w:hAnsi="宋体" w:eastAsia="宋体"/>
          <w:b/>
          <w:color w:val="auto"/>
          <w:sz w:val="24"/>
          <w:szCs w:val="20"/>
          <w:highlight w:val="none"/>
        </w:rPr>
      </w:pPr>
      <w:r>
        <w:rPr>
          <w:rFonts w:hint="default" w:ascii="宋体" w:hAnsi="宋体" w:eastAsia="宋体"/>
          <w:b/>
          <w:color w:val="auto"/>
          <w:sz w:val="24"/>
          <w:szCs w:val="20"/>
          <w:highlight w:val="none"/>
        </w:rPr>
        <w:t>价格分计算</w:t>
      </w:r>
    </w:p>
    <w:p w14:paraId="06B1B818">
      <w:pPr>
        <w:keepNext w:val="0"/>
        <w:keepLines w:val="0"/>
        <w:pageBreakBefore w:val="0"/>
        <w:widowControl/>
        <w:numPr>
          <w:ilvl w:val="1"/>
          <w:numId w:val="43"/>
        </w:numPr>
        <w:shd w:val="clear"/>
        <w:kinsoku/>
        <w:wordWrap w:val="0"/>
        <w:overflowPunct/>
        <w:topLinePunct w:val="0"/>
        <w:autoSpaceDE/>
        <w:autoSpaceDN/>
        <w:bidi w:val="0"/>
        <w:adjustRightInd w:val="0"/>
        <w:snapToGrid w:val="0"/>
        <w:spacing w:line="480" w:lineRule="exact"/>
        <w:ind w:left="0" w:firstLine="480" w:firstLineChars="200"/>
        <w:jc w:val="left"/>
        <w:textAlignment w:val="auto"/>
        <w:rPr>
          <w:rFonts w:hint="default" w:ascii="宋体" w:hAnsi="宋体" w:eastAsia="宋体" w:cs="宋体"/>
          <w:color w:val="auto"/>
          <w:kern w:val="0"/>
          <w:sz w:val="24"/>
          <w:szCs w:val="20"/>
          <w:highlight w:val="none"/>
        </w:rPr>
      </w:pPr>
      <w:r>
        <w:rPr>
          <w:rFonts w:hint="default" w:ascii="宋体" w:hAnsi="宋体" w:eastAsia="宋体" w:cs="宋体"/>
          <w:color w:val="auto"/>
          <w:kern w:val="0"/>
          <w:sz w:val="24"/>
          <w:szCs w:val="20"/>
          <w:highlight w:val="none"/>
        </w:rPr>
        <w:t xml:space="preserve">评标基准价 = </w:t>
      </w:r>
      <w:r>
        <w:rPr>
          <w:rFonts w:hint="default" w:ascii="宋体" w:hAnsi="宋体" w:eastAsia="宋体" w:cs="宋体"/>
          <w:color w:val="auto"/>
          <w:kern w:val="0"/>
          <w:sz w:val="24"/>
          <w:szCs w:val="20"/>
          <w:highlight w:val="none"/>
        </w:rPr>
        <w:t>各有效投标人的算术平均值×投标价格权重B</w:t>
      </w:r>
      <w:r>
        <w:rPr>
          <w:rFonts w:hint="default" w:ascii="宋体" w:hAnsi="宋体" w:eastAsia="宋体" w:cs="宋体"/>
          <w:color w:val="auto"/>
          <w:kern w:val="0"/>
          <w:sz w:val="24"/>
          <w:szCs w:val="20"/>
          <w:highlight w:val="none"/>
        </w:rPr>
        <w:t xml:space="preserve"> + </w:t>
      </w:r>
      <w:r>
        <w:rPr>
          <w:rFonts w:hint="default" w:ascii="宋体" w:hAnsi="宋体" w:eastAsia="宋体" w:cs="宋体"/>
          <w:color w:val="auto"/>
          <w:kern w:val="0"/>
          <w:sz w:val="24"/>
          <w:szCs w:val="20"/>
          <w:highlight w:val="none"/>
        </w:rPr>
        <w:t>最高投标限价×（1－下浮动率A）×（1－投标价格权重B）</w:t>
      </w:r>
      <w:r>
        <w:rPr>
          <w:rFonts w:hint="default" w:ascii="宋体" w:hAnsi="宋体" w:eastAsia="宋体" w:cs="宋体"/>
          <w:color w:val="auto"/>
          <w:kern w:val="0"/>
          <w:sz w:val="24"/>
          <w:szCs w:val="20"/>
          <w:highlight w:val="none"/>
        </w:rPr>
        <w:t>。</w:t>
      </w:r>
    </w:p>
    <w:p w14:paraId="3603567B">
      <w:pPr>
        <w:keepNext w:val="0"/>
        <w:keepLines w:val="0"/>
        <w:pageBreakBefore w:val="0"/>
        <w:widowControl/>
        <w:numPr>
          <w:ilvl w:val="1"/>
          <w:numId w:val="43"/>
        </w:numPr>
        <w:shd w:val="clear"/>
        <w:kinsoku/>
        <w:wordWrap w:val="0"/>
        <w:overflowPunct/>
        <w:topLinePunct w:val="0"/>
        <w:autoSpaceDE/>
        <w:autoSpaceDN/>
        <w:bidi w:val="0"/>
        <w:adjustRightInd w:val="0"/>
        <w:snapToGrid w:val="0"/>
        <w:spacing w:line="480" w:lineRule="exact"/>
        <w:ind w:left="0" w:firstLine="480" w:firstLineChars="200"/>
        <w:jc w:val="left"/>
        <w:textAlignment w:val="auto"/>
        <w:rPr>
          <w:rFonts w:hint="default" w:ascii="宋体" w:hAnsi="宋体" w:eastAsia="宋体" w:cs="宋体"/>
          <w:color w:val="auto"/>
          <w:kern w:val="0"/>
          <w:sz w:val="24"/>
          <w:szCs w:val="20"/>
          <w:highlight w:val="none"/>
        </w:rPr>
      </w:pPr>
      <w:r>
        <w:rPr>
          <w:rFonts w:hint="default" w:ascii="宋体" w:hAnsi="宋体" w:eastAsia="宋体" w:cs="宋体"/>
          <w:color w:val="auto"/>
          <w:kern w:val="0"/>
          <w:sz w:val="24"/>
          <w:szCs w:val="20"/>
          <w:highlight w:val="none"/>
        </w:rPr>
        <w:t>下浮动率A 为：</w:t>
      </w:r>
      <w:r>
        <w:rPr>
          <w:rFonts w:hint="eastAsia" w:ascii="宋体" w:hAnsi="宋体" w:cs="宋体"/>
          <w:color w:val="auto"/>
          <w:kern w:val="0"/>
          <w:sz w:val="24"/>
          <w:szCs w:val="20"/>
          <w:highlight w:val="none"/>
          <w:lang w:val="en-US" w:eastAsia="zh-CN"/>
        </w:rPr>
        <w:t>7</w:t>
      </w:r>
      <w:r>
        <w:rPr>
          <w:rFonts w:hint="default" w:ascii="宋体" w:hAnsi="宋体" w:eastAsia="宋体" w:cs="宋体"/>
          <w:color w:val="auto"/>
          <w:kern w:val="0"/>
          <w:sz w:val="24"/>
          <w:szCs w:val="20"/>
          <w:highlight w:val="none"/>
        </w:rPr>
        <w:t>.5%、</w:t>
      </w:r>
      <w:r>
        <w:rPr>
          <w:rFonts w:hint="eastAsia" w:ascii="宋体" w:hAnsi="宋体" w:cs="宋体"/>
          <w:color w:val="auto"/>
          <w:kern w:val="0"/>
          <w:sz w:val="24"/>
          <w:szCs w:val="20"/>
          <w:highlight w:val="none"/>
          <w:lang w:val="en-US" w:eastAsia="zh-CN"/>
        </w:rPr>
        <w:t>8</w:t>
      </w:r>
      <w:r>
        <w:rPr>
          <w:rFonts w:hint="default" w:ascii="宋体" w:hAnsi="宋体" w:eastAsia="宋体" w:cs="宋体"/>
          <w:color w:val="auto"/>
          <w:kern w:val="0"/>
          <w:sz w:val="24"/>
          <w:szCs w:val="20"/>
          <w:highlight w:val="none"/>
        </w:rPr>
        <w:t>%、</w:t>
      </w:r>
      <w:r>
        <w:rPr>
          <w:rFonts w:hint="eastAsia" w:ascii="宋体" w:hAnsi="宋体" w:cs="宋体"/>
          <w:color w:val="auto"/>
          <w:kern w:val="0"/>
          <w:sz w:val="24"/>
          <w:szCs w:val="20"/>
          <w:highlight w:val="none"/>
          <w:lang w:val="en-US" w:eastAsia="zh-CN"/>
        </w:rPr>
        <w:t>8</w:t>
      </w:r>
      <w:r>
        <w:rPr>
          <w:rFonts w:hint="default" w:ascii="宋体" w:hAnsi="宋体" w:eastAsia="宋体" w:cs="宋体"/>
          <w:color w:val="auto"/>
          <w:kern w:val="0"/>
          <w:sz w:val="24"/>
          <w:szCs w:val="20"/>
          <w:highlight w:val="none"/>
        </w:rPr>
        <w:t>.5%、</w:t>
      </w:r>
      <w:r>
        <w:rPr>
          <w:rFonts w:hint="eastAsia" w:ascii="宋体" w:hAnsi="宋体" w:cs="宋体"/>
          <w:color w:val="auto"/>
          <w:kern w:val="0"/>
          <w:sz w:val="24"/>
          <w:szCs w:val="20"/>
          <w:highlight w:val="none"/>
          <w:lang w:val="en-US" w:eastAsia="zh-CN"/>
        </w:rPr>
        <w:t>9</w:t>
      </w:r>
      <w:r>
        <w:rPr>
          <w:rFonts w:hint="default" w:ascii="宋体" w:hAnsi="宋体" w:eastAsia="宋体" w:cs="宋体"/>
          <w:color w:val="auto"/>
          <w:kern w:val="0"/>
          <w:sz w:val="24"/>
          <w:szCs w:val="20"/>
          <w:highlight w:val="none"/>
        </w:rPr>
        <w:t>%、</w:t>
      </w:r>
      <w:r>
        <w:rPr>
          <w:rFonts w:hint="eastAsia" w:ascii="宋体" w:hAnsi="宋体" w:cs="宋体"/>
          <w:color w:val="auto"/>
          <w:kern w:val="0"/>
          <w:sz w:val="24"/>
          <w:szCs w:val="20"/>
          <w:highlight w:val="none"/>
          <w:lang w:val="en-US" w:eastAsia="zh-CN"/>
        </w:rPr>
        <w:t>9</w:t>
      </w:r>
      <w:r>
        <w:rPr>
          <w:rFonts w:hint="default" w:ascii="宋体" w:hAnsi="宋体" w:eastAsia="宋体" w:cs="宋体"/>
          <w:color w:val="auto"/>
          <w:kern w:val="0"/>
          <w:sz w:val="24"/>
          <w:szCs w:val="20"/>
          <w:highlight w:val="none"/>
        </w:rPr>
        <w:t>.5%、</w:t>
      </w:r>
      <w:r>
        <w:rPr>
          <w:rFonts w:hint="eastAsia" w:ascii="宋体" w:hAnsi="宋体" w:cs="宋体"/>
          <w:color w:val="auto"/>
          <w:kern w:val="0"/>
          <w:sz w:val="24"/>
          <w:szCs w:val="20"/>
          <w:highlight w:val="none"/>
          <w:lang w:val="en-US" w:eastAsia="zh-CN"/>
        </w:rPr>
        <w:t>10</w:t>
      </w:r>
      <w:r>
        <w:rPr>
          <w:rFonts w:hint="default" w:ascii="宋体" w:hAnsi="宋体" w:eastAsia="宋体" w:cs="宋体"/>
          <w:color w:val="auto"/>
          <w:kern w:val="0"/>
          <w:sz w:val="24"/>
          <w:szCs w:val="20"/>
          <w:highlight w:val="none"/>
        </w:rPr>
        <w:t>%、</w:t>
      </w:r>
      <w:r>
        <w:rPr>
          <w:rFonts w:hint="eastAsia" w:ascii="宋体" w:hAnsi="宋体" w:cs="宋体"/>
          <w:color w:val="auto"/>
          <w:kern w:val="0"/>
          <w:sz w:val="24"/>
          <w:szCs w:val="20"/>
          <w:highlight w:val="none"/>
          <w:lang w:val="en-US" w:eastAsia="zh-CN"/>
        </w:rPr>
        <w:t>10</w:t>
      </w:r>
      <w:r>
        <w:rPr>
          <w:rFonts w:hint="default" w:ascii="宋体" w:hAnsi="宋体" w:eastAsia="宋体" w:cs="宋体"/>
          <w:color w:val="auto"/>
          <w:kern w:val="0"/>
          <w:sz w:val="24"/>
          <w:szCs w:val="20"/>
          <w:highlight w:val="none"/>
        </w:rPr>
        <w:t>.5%、</w:t>
      </w:r>
      <w:r>
        <w:rPr>
          <w:rFonts w:hint="eastAsia" w:ascii="宋体" w:hAnsi="宋体" w:cs="宋体"/>
          <w:color w:val="auto"/>
          <w:kern w:val="0"/>
          <w:sz w:val="24"/>
          <w:szCs w:val="20"/>
          <w:highlight w:val="none"/>
          <w:lang w:val="en-US" w:eastAsia="zh-CN"/>
        </w:rPr>
        <w:t>11</w:t>
      </w:r>
      <w:r>
        <w:rPr>
          <w:rFonts w:hint="default" w:ascii="宋体" w:hAnsi="宋体" w:eastAsia="宋体" w:cs="宋体"/>
          <w:color w:val="auto"/>
          <w:kern w:val="0"/>
          <w:sz w:val="24"/>
          <w:szCs w:val="20"/>
          <w:highlight w:val="none"/>
        </w:rPr>
        <w:t>%、</w:t>
      </w:r>
      <w:r>
        <w:rPr>
          <w:rFonts w:hint="eastAsia" w:ascii="宋体" w:hAnsi="宋体" w:cs="宋体"/>
          <w:color w:val="auto"/>
          <w:kern w:val="0"/>
          <w:sz w:val="24"/>
          <w:szCs w:val="20"/>
          <w:highlight w:val="none"/>
          <w:lang w:val="en-US" w:eastAsia="zh-CN"/>
        </w:rPr>
        <w:t>11</w:t>
      </w:r>
      <w:r>
        <w:rPr>
          <w:rFonts w:hint="default" w:ascii="宋体" w:hAnsi="宋体" w:eastAsia="宋体" w:cs="宋体"/>
          <w:color w:val="auto"/>
          <w:kern w:val="0"/>
          <w:sz w:val="24"/>
          <w:szCs w:val="20"/>
          <w:highlight w:val="none"/>
        </w:rPr>
        <w:t>.5%、</w:t>
      </w:r>
      <w:r>
        <w:rPr>
          <w:rFonts w:hint="eastAsia" w:ascii="宋体" w:hAnsi="宋体" w:cs="宋体"/>
          <w:color w:val="auto"/>
          <w:kern w:val="0"/>
          <w:sz w:val="24"/>
          <w:szCs w:val="20"/>
          <w:highlight w:val="none"/>
          <w:lang w:val="en-US" w:eastAsia="zh-CN"/>
        </w:rPr>
        <w:t>12</w:t>
      </w:r>
      <w:r>
        <w:rPr>
          <w:rFonts w:hint="default" w:ascii="宋体" w:hAnsi="宋体" w:eastAsia="宋体" w:cs="宋体"/>
          <w:color w:val="auto"/>
          <w:kern w:val="0"/>
          <w:sz w:val="24"/>
          <w:szCs w:val="20"/>
          <w:highlight w:val="none"/>
        </w:rPr>
        <w:t>%、</w:t>
      </w:r>
      <w:r>
        <w:rPr>
          <w:rFonts w:hint="eastAsia" w:ascii="宋体" w:hAnsi="宋体" w:cs="宋体"/>
          <w:color w:val="auto"/>
          <w:kern w:val="0"/>
          <w:sz w:val="24"/>
          <w:szCs w:val="20"/>
          <w:highlight w:val="none"/>
          <w:lang w:val="en-US" w:eastAsia="zh-CN"/>
        </w:rPr>
        <w:t>12</w:t>
      </w:r>
      <w:r>
        <w:rPr>
          <w:rFonts w:hint="default" w:ascii="宋体" w:hAnsi="宋体" w:eastAsia="宋体" w:cs="宋体"/>
          <w:color w:val="auto"/>
          <w:kern w:val="0"/>
          <w:sz w:val="24"/>
          <w:szCs w:val="20"/>
          <w:highlight w:val="none"/>
        </w:rPr>
        <w:t>.5%</w:t>
      </w:r>
      <w:r>
        <w:rPr>
          <w:rFonts w:hint="default" w:ascii="宋体" w:hAnsi="宋体" w:eastAsia="宋体" w:cs="宋体"/>
          <w:color w:val="auto"/>
          <w:kern w:val="0"/>
          <w:sz w:val="24"/>
          <w:szCs w:val="20"/>
          <w:highlight w:val="none"/>
        </w:rPr>
        <w:t>十一档数值。</w:t>
      </w:r>
    </w:p>
    <w:p w14:paraId="3A94D5E6">
      <w:pPr>
        <w:keepNext w:val="0"/>
        <w:keepLines w:val="0"/>
        <w:pageBreakBefore w:val="0"/>
        <w:widowControl/>
        <w:shd w:val="clear"/>
        <w:kinsoku/>
        <w:wordWrap w:val="0"/>
        <w:overflowPunct/>
        <w:topLinePunct w:val="0"/>
        <w:autoSpaceDE/>
        <w:autoSpaceDN/>
        <w:bidi w:val="0"/>
        <w:adjustRightInd w:val="0"/>
        <w:snapToGrid w:val="0"/>
        <w:spacing w:line="480" w:lineRule="exact"/>
        <w:ind w:left="0" w:firstLine="480" w:firstLineChars="200"/>
        <w:jc w:val="left"/>
        <w:textAlignment w:val="auto"/>
        <w:rPr>
          <w:rFonts w:hint="default" w:ascii="宋体" w:hAnsi="宋体" w:eastAsia="宋体" w:cs="宋体"/>
          <w:color w:val="auto"/>
          <w:kern w:val="0"/>
          <w:sz w:val="24"/>
          <w:szCs w:val="20"/>
          <w:highlight w:val="none"/>
        </w:rPr>
      </w:pPr>
      <w:r>
        <w:rPr>
          <w:rFonts w:hint="default" w:ascii="宋体" w:hAnsi="宋体" w:eastAsia="宋体" w:cs="宋体"/>
          <w:color w:val="auto"/>
          <w:kern w:val="0"/>
          <w:sz w:val="24"/>
          <w:szCs w:val="20"/>
          <w:highlight w:val="none"/>
        </w:rPr>
        <w:t>投标价格权重B为：</w:t>
      </w:r>
      <w:r>
        <w:rPr>
          <w:rFonts w:hint="default" w:ascii="宋体" w:hAnsi="宋体" w:eastAsia="宋体"/>
          <w:color w:val="auto"/>
          <w:sz w:val="24"/>
          <w:szCs w:val="20"/>
          <w:highlight w:val="none"/>
        </w:rPr>
        <w:t>40%、42%、44%、46%、48%、50%、52%、54%、56%、58%、60%</w:t>
      </w:r>
      <w:r>
        <w:rPr>
          <w:rFonts w:hint="default" w:ascii="宋体" w:hAnsi="宋体" w:eastAsia="宋体" w:cs="宋体"/>
          <w:color w:val="auto"/>
          <w:kern w:val="0"/>
          <w:sz w:val="24"/>
          <w:szCs w:val="20"/>
          <w:highlight w:val="none"/>
        </w:rPr>
        <w:t>十一档数值。</w:t>
      </w:r>
    </w:p>
    <w:p w14:paraId="0F559050">
      <w:pPr>
        <w:keepNext w:val="0"/>
        <w:keepLines w:val="0"/>
        <w:pageBreakBefore w:val="0"/>
        <w:widowControl/>
        <w:numPr>
          <w:ilvl w:val="1"/>
          <w:numId w:val="43"/>
        </w:numPr>
        <w:shd w:val="clear"/>
        <w:kinsoku/>
        <w:wordWrap w:val="0"/>
        <w:overflowPunct/>
        <w:topLinePunct w:val="0"/>
        <w:autoSpaceDE/>
        <w:autoSpaceDN/>
        <w:bidi w:val="0"/>
        <w:adjustRightInd w:val="0"/>
        <w:snapToGrid w:val="0"/>
        <w:spacing w:line="480" w:lineRule="exact"/>
        <w:ind w:left="0" w:firstLine="480" w:firstLineChars="200"/>
        <w:jc w:val="left"/>
        <w:textAlignment w:val="auto"/>
        <w:rPr>
          <w:rFonts w:hint="default" w:ascii="宋体" w:hAnsi="宋体" w:eastAsia="宋体" w:cs="宋体"/>
          <w:color w:val="auto"/>
          <w:kern w:val="0"/>
          <w:sz w:val="24"/>
          <w:szCs w:val="20"/>
          <w:highlight w:val="none"/>
        </w:rPr>
      </w:pPr>
      <w:r>
        <w:rPr>
          <w:rFonts w:hint="default" w:ascii="宋体" w:hAnsi="宋体" w:eastAsia="宋体" w:cs="宋体"/>
          <w:color w:val="auto"/>
          <w:kern w:val="0"/>
          <w:sz w:val="24"/>
          <w:szCs w:val="20"/>
          <w:highlight w:val="none"/>
        </w:rPr>
        <w:t>A、B值由</w:t>
      </w:r>
      <w:r>
        <w:rPr>
          <w:rFonts w:hint="default" w:ascii="宋体" w:hAnsi="宋体" w:eastAsia="宋体" w:cs="宋体"/>
          <w:color w:val="auto"/>
          <w:kern w:val="0"/>
          <w:sz w:val="24"/>
          <w:szCs w:val="20"/>
          <w:highlight w:val="none"/>
        </w:rPr>
        <w:t>招标人代表</w:t>
      </w:r>
      <w:r>
        <w:rPr>
          <w:rFonts w:hint="default" w:ascii="宋体" w:hAnsi="宋体" w:eastAsia="宋体" w:cs="宋体"/>
          <w:color w:val="auto"/>
          <w:kern w:val="0"/>
          <w:sz w:val="24"/>
          <w:szCs w:val="20"/>
          <w:highlight w:val="none"/>
        </w:rPr>
        <w:t>在监督部门的监督下在规定数值中当场随机抽取。（01球至11球按排序分别对应以上相应数值）</w:t>
      </w:r>
    </w:p>
    <w:p w14:paraId="4D749415">
      <w:pPr>
        <w:keepNext w:val="0"/>
        <w:keepLines w:val="0"/>
        <w:pageBreakBefore w:val="0"/>
        <w:widowControl/>
        <w:numPr>
          <w:ilvl w:val="1"/>
          <w:numId w:val="43"/>
        </w:numPr>
        <w:shd w:val="clear"/>
        <w:kinsoku/>
        <w:wordWrap w:val="0"/>
        <w:overflowPunct/>
        <w:topLinePunct w:val="0"/>
        <w:autoSpaceDE/>
        <w:autoSpaceDN/>
        <w:bidi w:val="0"/>
        <w:adjustRightInd w:val="0"/>
        <w:snapToGrid w:val="0"/>
        <w:spacing w:line="480" w:lineRule="exact"/>
        <w:ind w:left="0" w:firstLine="480" w:firstLineChars="200"/>
        <w:jc w:val="left"/>
        <w:textAlignment w:val="auto"/>
        <w:rPr>
          <w:rFonts w:hint="default" w:ascii="宋体" w:hAnsi="宋体" w:eastAsia="宋体" w:cs="宋体"/>
          <w:color w:val="auto"/>
          <w:kern w:val="0"/>
          <w:sz w:val="24"/>
          <w:szCs w:val="20"/>
          <w:highlight w:val="none"/>
        </w:rPr>
      </w:pPr>
      <w:r>
        <w:rPr>
          <w:rFonts w:hint="default" w:ascii="宋体" w:hAnsi="宋体" w:eastAsia="宋体" w:cs="宋体"/>
          <w:color w:val="auto"/>
          <w:kern w:val="0"/>
          <w:sz w:val="24"/>
          <w:szCs w:val="20"/>
          <w:highlight w:val="none"/>
        </w:rPr>
        <w:t>当有效投标报价仅有一家或两家时，是否继续评审由评标委员会决定。</w:t>
      </w:r>
    </w:p>
    <w:p w14:paraId="2EACB978">
      <w:pPr>
        <w:keepNext w:val="0"/>
        <w:keepLines w:val="0"/>
        <w:pageBreakBefore w:val="0"/>
        <w:widowControl/>
        <w:numPr>
          <w:ilvl w:val="1"/>
          <w:numId w:val="43"/>
        </w:numPr>
        <w:shd w:val="clear"/>
        <w:kinsoku/>
        <w:wordWrap w:val="0"/>
        <w:overflowPunct/>
        <w:topLinePunct w:val="0"/>
        <w:autoSpaceDE/>
        <w:autoSpaceDN/>
        <w:bidi w:val="0"/>
        <w:adjustRightInd w:val="0"/>
        <w:snapToGrid w:val="0"/>
        <w:spacing w:line="480" w:lineRule="exact"/>
        <w:ind w:left="0" w:firstLine="480" w:firstLineChars="200"/>
        <w:jc w:val="left"/>
        <w:textAlignment w:val="auto"/>
        <w:rPr>
          <w:rFonts w:hint="default" w:ascii="宋体" w:hAnsi="宋体" w:eastAsia="宋体" w:cs="宋体"/>
          <w:color w:val="auto"/>
          <w:kern w:val="0"/>
          <w:sz w:val="24"/>
          <w:szCs w:val="20"/>
          <w:highlight w:val="none"/>
        </w:rPr>
      </w:pPr>
      <w:r>
        <w:rPr>
          <w:rFonts w:hint="default" w:ascii="宋体" w:hAnsi="宋体" w:eastAsia="宋体" w:cs="宋体"/>
          <w:color w:val="auto"/>
          <w:kern w:val="0"/>
          <w:sz w:val="24"/>
          <w:szCs w:val="20"/>
          <w:highlight w:val="none"/>
        </w:rPr>
        <w:t>投标报价与评标基准价相比，等于评标基准价的为满分</w:t>
      </w:r>
      <w:r>
        <w:rPr>
          <w:rFonts w:hint="eastAsia" w:ascii="宋体" w:hAnsi="宋体" w:cs="宋体"/>
          <w:color w:val="auto"/>
          <w:kern w:val="0"/>
          <w:sz w:val="24"/>
          <w:szCs w:val="20"/>
          <w:highlight w:val="none"/>
          <w:lang w:val="en-US" w:eastAsia="zh-CN"/>
        </w:rPr>
        <w:t>3</w:t>
      </w:r>
      <w:r>
        <w:rPr>
          <w:rFonts w:hint="eastAsia" w:ascii="宋体" w:hAnsi="宋体" w:cs="宋体"/>
          <w:color w:val="auto"/>
          <w:kern w:val="0"/>
          <w:sz w:val="24"/>
          <w:szCs w:val="20"/>
          <w:highlight w:val="none"/>
          <w:lang w:eastAsia="zh-CN"/>
        </w:rPr>
        <w:t>0分</w:t>
      </w:r>
      <w:r>
        <w:rPr>
          <w:rFonts w:hint="default" w:ascii="宋体" w:hAnsi="宋体" w:eastAsia="宋体" w:cs="宋体"/>
          <w:color w:val="auto"/>
          <w:kern w:val="0"/>
          <w:sz w:val="24"/>
          <w:szCs w:val="20"/>
          <w:highlight w:val="none"/>
        </w:rPr>
        <w:t>，每高于评标基准价1个百分点扣</w:t>
      </w:r>
      <w:r>
        <w:rPr>
          <w:rFonts w:hint="default" w:ascii="宋体" w:hAnsi="宋体" w:eastAsia="宋体" w:cs="宋体"/>
          <w:color w:val="auto"/>
          <w:kern w:val="0"/>
          <w:sz w:val="24"/>
          <w:szCs w:val="20"/>
          <w:highlight w:val="none"/>
        </w:rPr>
        <w:t>0.</w:t>
      </w:r>
      <w:r>
        <w:rPr>
          <w:rFonts w:hint="eastAsia" w:ascii="宋体" w:hAnsi="宋体" w:cs="宋体"/>
          <w:color w:val="auto"/>
          <w:kern w:val="0"/>
          <w:sz w:val="24"/>
          <w:szCs w:val="20"/>
          <w:highlight w:val="none"/>
          <w:lang w:val="en-US" w:eastAsia="zh-CN"/>
        </w:rPr>
        <w:t>3</w:t>
      </w:r>
      <w:r>
        <w:rPr>
          <w:rFonts w:hint="default" w:ascii="宋体" w:hAnsi="宋体" w:eastAsia="宋体" w:cs="宋体"/>
          <w:color w:val="auto"/>
          <w:kern w:val="0"/>
          <w:sz w:val="24"/>
          <w:szCs w:val="20"/>
          <w:highlight w:val="none"/>
        </w:rPr>
        <w:t>分，每低于评标基准价1个百分点扣</w:t>
      </w:r>
      <w:r>
        <w:rPr>
          <w:rFonts w:hint="default" w:ascii="宋体" w:hAnsi="宋体" w:eastAsia="宋体" w:cs="宋体"/>
          <w:color w:val="auto"/>
          <w:kern w:val="0"/>
          <w:sz w:val="24"/>
          <w:szCs w:val="20"/>
          <w:highlight w:val="none"/>
        </w:rPr>
        <w:t>0.2</w:t>
      </w:r>
      <w:r>
        <w:rPr>
          <w:rFonts w:hint="default" w:ascii="宋体" w:hAnsi="宋体" w:eastAsia="宋体" w:cs="宋体"/>
          <w:color w:val="auto"/>
          <w:kern w:val="0"/>
          <w:sz w:val="24"/>
          <w:szCs w:val="20"/>
          <w:highlight w:val="none"/>
        </w:rPr>
        <w:t>分，以此类推，不计负分（保留二位小数，四舍五入）。</w:t>
      </w:r>
    </w:p>
    <w:p w14:paraId="1936728A">
      <w:pPr>
        <w:keepNext w:val="0"/>
        <w:keepLines w:val="0"/>
        <w:pageBreakBefore w:val="0"/>
        <w:widowControl/>
        <w:shd w:val="clear"/>
        <w:kinsoku/>
        <w:wordWrap w:val="0"/>
        <w:overflowPunct/>
        <w:topLinePunct w:val="0"/>
        <w:autoSpaceDE/>
        <w:autoSpaceDN/>
        <w:bidi w:val="0"/>
        <w:adjustRightInd w:val="0"/>
        <w:snapToGrid w:val="0"/>
        <w:spacing w:line="480" w:lineRule="exact"/>
        <w:ind w:left="0" w:firstLine="480" w:firstLineChars="200"/>
        <w:jc w:val="left"/>
        <w:textAlignment w:val="auto"/>
        <w:rPr>
          <w:rFonts w:hint="default" w:ascii="宋体" w:hAnsi="宋体" w:eastAsia="宋体" w:cs="宋体"/>
          <w:color w:val="auto"/>
          <w:kern w:val="0"/>
          <w:sz w:val="24"/>
          <w:szCs w:val="20"/>
          <w:highlight w:val="none"/>
        </w:rPr>
      </w:pPr>
      <w:bookmarkStart w:id="636" w:name="_Toc529477740"/>
      <w:r>
        <w:rPr>
          <w:rFonts w:hint="eastAsia" w:ascii="宋体" w:hAnsi="宋体" w:cs="宋体"/>
          <w:color w:val="auto"/>
          <w:kern w:val="0"/>
          <w:sz w:val="24"/>
          <w:szCs w:val="20"/>
          <w:highlight w:val="none"/>
          <w:lang w:val="en-US" w:eastAsia="zh-CN"/>
        </w:rPr>
        <w:t>注：</w:t>
      </w:r>
      <w:r>
        <w:rPr>
          <w:rFonts w:hint="eastAsia" w:ascii="宋体" w:hAnsi="宋体" w:cs="宋体"/>
          <w:color w:val="auto"/>
          <w:kern w:val="0"/>
          <w:sz w:val="24"/>
          <w:szCs w:val="20"/>
          <w:highlight w:val="none"/>
          <w:lang w:val="en-US" w:eastAsia="zh-CN"/>
        </w:rPr>
        <w:t>投标异常低价、</w:t>
      </w:r>
      <w:r>
        <w:rPr>
          <w:rFonts w:hint="eastAsia" w:ascii="宋体" w:hAnsi="宋体" w:cs="宋体"/>
          <w:color w:val="auto"/>
          <w:kern w:val="0"/>
          <w:sz w:val="24"/>
          <w:szCs w:val="20"/>
          <w:highlight w:val="none"/>
          <w:lang w:eastAsia="zh-CN"/>
        </w:rPr>
        <w:t>评标基准价由评标委员会计算、复核并签字确认。除计算差错外，确认后的</w:t>
      </w:r>
      <w:r>
        <w:rPr>
          <w:rFonts w:hint="eastAsia" w:ascii="宋体" w:hAnsi="宋体" w:cs="宋体"/>
          <w:color w:val="auto"/>
          <w:kern w:val="0"/>
          <w:sz w:val="24"/>
          <w:szCs w:val="20"/>
          <w:highlight w:val="none"/>
          <w:lang w:eastAsia="zh-CN"/>
        </w:rPr>
        <w:t>投标异常</w:t>
      </w:r>
      <w:r>
        <w:rPr>
          <w:rFonts w:hint="eastAsia" w:ascii="宋体" w:hAnsi="宋体" w:cs="宋体"/>
          <w:color w:val="auto"/>
          <w:kern w:val="0"/>
          <w:sz w:val="24"/>
          <w:szCs w:val="20"/>
          <w:highlight w:val="none"/>
          <w:lang w:eastAsia="zh-CN"/>
        </w:rPr>
        <w:t>低价或</w:t>
      </w:r>
      <w:r>
        <w:rPr>
          <w:rFonts w:hint="eastAsia" w:ascii="宋体" w:hAnsi="宋体" w:cs="宋体"/>
          <w:color w:val="auto"/>
          <w:kern w:val="0"/>
          <w:sz w:val="24"/>
          <w:szCs w:val="20"/>
          <w:highlight w:val="none"/>
          <w:lang w:eastAsia="zh-CN"/>
        </w:rPr>
        <w:t>评标基准价在本次招标期间保持不变。计算差错，仅限于以下两种情况：</w:t>
      </w:r>
      <w:r>
        <w:rPr>
          <w:rFonts w:hint="eastAsia" w:ascii="宋体" w:hAnsi="宋体" w:cs="宋体"/>
          <w:color w:val="auto"/>
          <w:kern w:val="0"/>
          <w:sz w:val="24"/>
          <w:szCs w:val="20"/>
          <w:highlight w:val="none"/>
          <w:lang w:val="en-US" w:eastAsia="zh-CN"/>
        </w:rPr>
        <w:t>①</w:t>
      </w:r>
      <w:r>
        <w:rPr>
          <w:rFonts w:hint="eastAsia" w:ascii="宋体" w:hAnsi="宋体" w:cs="宋体"/>
          <w:color w:val="auto"/>
          <w:kern w:val="0"/>
          <w:sz w:val="24"/>
          <w:szCs w:val="20"/>
          <w:highlight w:val="none"/>
          <w:lang w:eastAsia="zh-CN"/>
        </w:rPr>
        <w:t>纯算术性四则运算差错；</w:t>
      </w:r>
      <w:r>
        <w:rPr>
          <w:rFonts w:hint="eastAsia" w:ascii="宋体" w:hAnsi="宋体" w:cs="宋体"/>
          <w:color w:val="auto"/>
          <w:kern w:val="0"/>
          <w:sz w:val="24"/>
          <w:szCs w:val="20"/>
          <w:highlight w:val="none"/>
          <w:lang w:val="en-US" w:eastAsia="zh-CN"/>
        </w:rPr>
        <w:t>②</w:t>
      </w:r>
      <w:r>
        <w:rPr>
          <w:rFonts w:hint="eastAsia" w:ascii="宋体" w:hAnsi="宋体" w:cs="宋体"/>
          <w:color w:val="auto"/>
          <w:kern w:val="0"/>
          <w:sz w:val="24"/>
          <w:szCs w:val="20"/>
          <w:highlight w:val="none"/>
          <w:lang w:eastAsia="zh-CN"/>
        </w:rPr>
        <w:t>未按约定的计算方法，多计或少计投标人报价。由于评标差错，导致否决投标错误，重新评标纠正等其他情况，不属于计算差错</w:t>
      </w:r>
      <w:r>
        <w:rPr>
          <w:rFonts w:hint="default" w:ascii="宋体" w:hAnsi="宋体" w:eastAsia="宋体" w:cs="宋体"/>
          <w:color w:val="auto"/>
          <w:kern w:val="0"/>
          <w:sz w:val="24"/>
          <w:szCs w:val="20"/>
          <w:highlight w:val="none"/>
        </w:rPr>
        <w:t>。</w:t>
      </w:r>
    </w:p>
    <w:p w14:paraId="1F924974">
      <w:pPr>
        <w:pageBreakBefore w:val="0"/>
        <w:shd w:val="clear"/>
        <w:kinsoku/>
        <w:wordWrap w:val="0"/>
        <w:overflowPunct/>
        <w:topLinePunct w:val="0"/>
        <w:bidi w:val="0"/>
        <w:rPr>
          <w:rFonts w:hint="eastAsia"/>
          <w:color w:val="auto"/>
          <w:highlight w:val="none"/>
          <w:lang w:val="en-US" w:eastAsia="zh-CN"/>
        </w:rPr>
      </w:pPr>
      <w:r>
        <w:rPr>
          <w:rFonts w:hint="eastAsia"/>
          <w:color w:val="auto"/>
          <w:highlight w:val="none"/>
          <w:lang w:val="en-US" w:eastAsia="zh-CN"/>
        </w:rPr>
        <w:br w:type="page"/>
      </w:r>
    </w:p>
    <w:p w14:paraId="034CD8F6">
      <w:pPr>
        <w:pStyle w:val="2"/>
        <w:pageBreakBefore w:val="0"/>
        <w:numPr>
          <w:ilvl w:val="0"/>
          <w:numId w:val="0"/>
        </w:numPr>
        <w:shd w:val="clear"/>
        <w:kinsoku/>
        <w:wordWrap w:val="0"/>
        <w:overflowPunct/>
        <w:topLinePunct w:val="0"/>
        <w:autoSpaceDE/>
        <w:autoSpaceDN/>
        <w:bidi w:val="0"/>
        <w:adjustRightInd w:val="0"/>
        <w:snapToGrid w:val="0"/>
        <w:spacing w:before="0" w:after="0" w:line="360" w:lineRule="auto"/>
        <w:textAlignment w:val="auto"/>
        <w:rPr>
          <w:rFonts w:hint="eastAsia"/>
          <w:color w:val="auto"/>
          <w:highlight w:val="none"/>
        </w:rPr>
      </w:pPr>
      <w:bookmarkStart w:id="637" w:name="_Toc1021"/>
      <w:bookmarkStart w:id="638" w:name="_Toc14763"/>
      <w:r>
        <w:rPr>
          <w:rFonts w:hint="eastAsia"/>
          <w:color w:val="auto"/>
          <w:highlight w:val="none"/>
          <w:lang w:val="en-US" w:eastAsia="zh-CN"/>
        </w:rPr>
        <w:t>第五章　</w:t>
      </w:r>
      <w:r>
        <w:rPr>
          <w:rFonts w:hint="eastAsia"/>
          <w:color w:val="auto"/>
          <w:highlight w:val="none"/>
        </w:rPr>
        <w:t>采购合同</w:t>
      </w:r>
      <w:bookmarkEnd w:id="636"/>
      <w:r>
        <w:rPr>
          <w:rFonts w:hint="eastAsia"/>
          <w:color w:val="auto"/>
          <w:highlight w:val="none"/>
        </w:rPr>
        <w:t>（指引）</w:t>
      </w:r>
      <w:bookmarkEnd w:id="637"/>
      <w:bookmarkEnd w:id="638"/>
    </w:p>
    <w:p w14:paraId="2982754E">
      <w:pPr>
        <w:keepNext w:val="0"/>
        <w:keepLines w:val="0"/>
        <w:pageBreakBefore w:val="0"/>
        <w:widowControl/>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500" w:lineRule="exact"/>
        <w:jc w:val="center"/>
        <w:textAlignment w:val="auto"/>
        <w:rPr>
          <w:rFonts w:ascii="宋体" w:hAnsi="宋体" w:cs="Arial"/>
          <w:color w:val="auto"/>
          <w:kern w:val="0"/>
          <w:sz w:val="28"/>
          <w:szCs w:val="28"/>
          <w:highlight w:val="none"/>
        </w:rPr>
      </w:pPr>
      <w:r>
        <w:rPr>
          <w:rFonts w:hint="eastAsia" w:ascii="宋体" w:hAnsi="宋体" w:cs="Arial"/>
          <w:color w:val="auto"/>
          <w:kern w:val="0"/>
          <w:sz w:val="28"/>
          <w:szCs w:val="28"/>
          <w:highlight w:val="none"/>
        </w:rPr>
        <w:t>一、通用必备条款部分</w:t>
      </w:r>
    </w:p>
    <w:p w14:paraId="4A81F657">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jc w:val="left"/>
        <w:textAlignment w:val="auto"/>
        <w:rPr>
          <w:rFonts w:ascii="宋体" w:hAnsi="宋体" w:cs="Arial"/>
          <w:color w:val="auto"/>
          <w:kern w:val="0"/>
          <w:sz w:val="24"/>
          <w:highlight w:val="none"/>
          <w:u w:val="single"/>
        </w:rPr>
      </w:pPr>
      <w:r>
        <w:rPr>
          <w:rFonts w:hint="eastAsia" w:ascii="宋体" w:hAnsi="宋体" w:cs="Arial"/>
          <w:color w:val="auto"/>
          <w:kern w:val="0"/>
          <w:sz w:val="24"/>
          <w:highlight w:val="none"/>
          <w:lang w:eastAsia="zh-CN"/>
        </w:rPr>
        <w:t>招标人</w:t>
      </w:r>
      <w:r>
        <w:rPr>
          <w:rFonts w:hint="eastAsia" w:ascii="宋体" w:hAnsi="宋体" w:cs="Arial"/>
          <w:color w:val="auto"/>
          <w:kern w:val="0"/>
          <w:sz w:val="24"/>
          <w:highlight w:val="none"/>
        </w:rPr>
        <w:t>（以下称甲方）：</w:t>
      </w:r>
      <w:r>
        <w:rPr>
          <w:rFonts w:hint="eastAsia" w:ascii="宋体" w:hAnsi="宋体" w:cs="Arial"/>
          <w:color w:val="auto"/>
          <w:kern w:val="0"/>
          <w:sz w:val="24"/>
          <w:highlight w:val="none"/>
          <w:lang w:val="en-US" w:eastAsia="zh-CN"/>
        </w:rPr>
        <w:t>浙江西塘旅游文化发展有限公司</w:t>
      </w:r>
    </w:p>
    <w:p w14:paraId="1674CECC">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供应商（以下称乙方）：</w:t>
      </w:r>
    </w:p>
    <w:p w14:paraId="086ECE35">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代理机构：嘉兴市华信工程咨询有限公司</w:t>
      </w:r>
    </w:p>
    <w:p w14:paraId="235DF41D">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采购方式：公开招标</w:t>
      </w:r>
    </w:p>
    <w:p w14:paraId="053EA86C">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jc w:val="left"/>
        <w:textAlignment w:val="auto"/>
        <w:rPr>
          <w:rFonts w:hint="eastAsia" w:ascii="宋体" w:hAnsi="宋体" w:cs="Arial"/>
          <w:color w:val="auto"/>
          <w:kern w:val="0"/>
          <w:sz w:val="24"/>
          <w:highlight w:val="none"/>
        </w:rPr>
      </w:pPr>
      <w:r>
        <w:rPr>
          <w:rFonts w:hint="eastAsia" w:ascii="宋体" w:hAnsi="宋体" w:cs="Arial"/>
          <w:color w:val="auto"/>
          <w:kern w:val="0"/>
          <w:sz w:val="24"/>
          <w:highlight w:val="none"/>
          <w:lang w:eastAsia="zh-CN"/>
        </w:rPr>
        <w:t>招标文件</w:t>
      </w:r>
      <w:r>
        <w:rPr>
          <w:rFonts w:hint="eastAsia" w:ascii="宋体" w:hAnsi="宋体" w:cs="Arial"/>
          <w:color w:val="auto"/>
          <w:kern w:val="0"/>
          <w:sz w:val="24"/>
          <w:highlight w:val="none"/>
        </w:rPr>
        <w:t>编号：</w:t>
      </w:r>
      <w:r>
        <w:rPr>
          <w:rFonts w:hint="eastAsia" w:ascii="宋体" w:hAnsi="宋体" w:cs="Arial"/>
          <w:color w:val="auto"/>
          <w:kern w:val="0"/>
          <w:sz w:val="24"/>
          <w:highlight w:val="none"/>
          <w:lang w:eastAsia="zh-CN"/>
        </w:rPr>
        <w:t>2025（***）</w:t>
      </w:r>
    </w:p>
    <w:p w14:paraId="38703128">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根据《中华人民共和国民法典》等法律法规的规定，甲乙双方按照</w:t>
      </w:r>
      <w:r>
        <w:rPr>
          <w:rFonts w:hint="eastAsia" w:ascii="宋体" w:hAnsi="宋体"/>
          <w:color w:val="auto"/>
          <w:sz w:val="24"/>
          <w:highlight w:val="none"/>
          <w:u w:val="single"/>
          <w:lang w:eastAsia="zh-CN"/>
        </w:rPr>
        <w:t>西塘古镇智慧景区综合（票务）服务平台建设项目</w:t>
      </w:r>
      <w:r>
        <w:rPr>
          <w:rFonts w:hint="eastAsia" w:ascii="宋体" w:hAnsi="宋体" w:cs="Arial"/>
          <w:color w:val="auto"/>
          <w:kern w:val="0"/>
          <w:sz w:val="24"/>
          <w:highlight w:val="none"/>
        </w:rPr>
        <w:t>采购结果签订本合同。</w:t>
      </w:r>
    </w:p>
    <w:p w14:paraId="12D715E0">
      <w:pPr>
        <w:keepNext w:val="0"/>
        <w:keepLines w:val="0"/>
        <w:pageBreakBefore w:val="0"/>
        <w:widowControl w:val="0"/>
        <w:numPr>
          <w:ilvl w:val="0"/>
          <w:numId w:val="44"/>
        </w:num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left="0" w:leftChars="0" w:firstLine="397" w:firstLineChars="0"/>
        <w:jc w:val="left"/>
        <w:textAlignment w:val="auto"/>
        <w:rPr>
          <w:rFonts w:ascii="宋体" w:hAnsi="宋体" w:cs="Arial"/>
          <w:b/>
          <w:color w:val="auto"/>
          <w:kern w:val="0"/>
          <w:sz w:val="24"/>
          <w:highlight w:val="none"/>
        </w:rPr>
      </w:pPr>
      <w:r>
        <w:rPr>
          <w:rFonts w:hint="eastAsia" w:ascii="宋体" w:hAnsi="宋体" w:cs="Arial"/>
          <w:b/>
          <w:color w:val="auto"/>
          <w:kern w:val="0"/>
          <w:sz w:val="24"/>
          <w:highlight w:val="none"/>
        </w:rPr>
        <w:t>合同组成</w:t>
      </w:r>
    </w:p>
    <w:p w14:paraId="144D40B6">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本次采购活动的相关文件为本合同的组成部分，这些文件包括但不限于：</w:t>
      </w:r>
    </w:p>
    <w:p w14:paraId="325B70E9">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（1）本合同文本；</w:t>
      </w:r>
    </w:p>
    <w:p w14:paraId="14F61136">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（2）</w:t>
      </w:r>
      <w:r>
        <w:rPr>
          <w:rFonts w:hint="eastAsia" w:ascii="宋体" w:hAnsi="宋体" w:cs="Arial"/>
          <w:color w:val="auto"/>
          <w:kern w:val="0"/>
          <w:sz w:val="24"/>
          <w:highlight w:val="none"/>
          <w:lang w:eastAsia="zh-CN"/>
        </w:rPr>
        <w:t>招标文件</w:t>
      </w:r>
      <w:r>
        <w:rPr>
          <w:rFonts w:hint="eastAsia" w:ascii="宋体" w:hAnsi="宋体" w:cs="Arial"/>
          <w:color w:val="auto"/>
          <w:kern w:val="0"/>
          <w:sz w:val="24"/>
          <w:highlight w:val="none"/>
        </w:rPr>
        <w:t>与投标文件；</w:t>
      </w:r>
    </w:p>
    <w:p w14:paraId="249958DD">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（3）中标或成交通知书；</w:t>
      </w:r>
    </w:p>
    <w:p w14:paraId="6A4B38A5">
      <w:pPr>
        <w:keepNext w:val="0"/>
        <w:keepLines w:val="0"/>
        <w:pageBreakBefore w:val="0"/>
        <w:widowControl w:val="0"/>
        <w:numPr>
          <w:ilvl w:val="0"/>
          <w:numId w:val="44"/>
        </w:num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left="0" w:leftChars="0" w:firstLine="397" w:firstLineChars="0"/>
        <w:jc w:val="left"/>
        <w:textAlignment w:val="auto"/>
        <w:rPr>
          <w:rFonts w:ascii="宋体" w:hAnsi="宋体" w:cs="Arial"/>
          <w:b/>
          <w:color w:val="auto"/>
          <w:kern w:val="0"/>
          <w:sz w:val="24"/>
          <w:highlight w:val="none"/>
        </w:rPr>
      </w:pPr>
      <w:r>
        <w:rPr>
          <w:rFonts w:hint="eastAsia" w:ascii="宋体" w:hAnsi="宋体" w:cs="Arial"/>
          <w:b/>
          <w:color w:val="auto"/>
          <w:kern w:val="0"/>
          <w:sz w:val="24"/>
          <w:highlight w:val="none"/>
        </w:rPr>
        <w:t>合同标的与相关属性</w:t>
      </w:r>
    </w:p>
    <w:p w14:paraId="08A3D5BB">
      <w:pPr>
        <w:keepNext w:val="0"/>
        <w:keepLines w:val="0"/>
        <w:pageBreakBefore w:val="0"/>
        <w:widowControl w:val="0"/>
        <w:numPr>
          <w:ilvl w:val="0"/>
          <w:numId w:val="45"/>
        </w:numPr>
        <w:shd w:val="clear"/>
        <w:kinsoku/>
        <w:wordWrap w:val="0"/>
        <w:overflowPunct/>
        <w:topLinePunct w:val="0"/>
        <w:autoSpaceDE/>
        <w:autoSpaceDN/>
        <w:bidi w:val="0"/>
        <w:adjustRightInd w:val="0"/>
        <w:snapToGrid w:val="0"/>
        <w:spacing w:line="420" w:lineRule="exact"/>
        <w:ind w:left="0" w:leftChars="0" w:firstLine="425" w:firstLineChars="0"/>
        <w:textAlignment w:val="auto"/>
        <w:rPr>
          <w:rFonts w:hint="eastAsia" w:ascii="宋体" w:hAnsi="宋体" w:cs="宋体"/>
          <w:color w:val="auto"/>
          <w:sz w:val="24"/>
          <w:highlight w:val="none"/>
          <w:u w:val="single"/>
        </w:rPr>
      </w:pPr>
      <w:r>
        <w:rPr>
          <w:rFonts w:hint="eastAsia" w:ascii="宋体" w:hAnsi="宋体" w:cs="Arial"/>
          <w:color w:val="auto"/>
          <w:kern w:val="0"/>
          <w:sz w:val="24"/>
          <w:szCs w:val="22"/>
          <w:highlight w:val="none"/>
        </w:rPr>
        <w:t>本次采购的内容：</w:t>
      </w:r>
      <w:r>
        <w:rPr>
          <w:rFonts w:hint="eastAsia" w:ascii="宋体" w:hAnsi="宋体" w:cs="Arial"/>
          <w:b/>
          <w:bCs/>
          <w:color w:val="auto"/>
          <w:kern w:val="0"/>
          <w:sz w:val="24"/>
          <w:highlight w:val="none"/>
          <w:u w:val="single"/>
        </w:rPr>
        <w:t xml:space="preserve"> 西塘古镇景区现有票务系统已无法满足正常运行要求，在原票务系统基础上进行</w:t>
      </w:r>
      <w:r>
        <w:rPr>
          <w:rFonts w:hint="eastAsia" w:ascii="宋体" w:hAnsi="宋体" w:cs="Arial"/>
          <w:b/>
          <w:bCs/>
          <w:color w:val="auto"/>
          <w:kern w:val="0"/>
          <w:sz w:val="24"/>
          <w:highlight w:val="none"/>
          <w:u w:val="single"/>
          <w:lang w:eastAsia="zh-CN"/>
        </w:rPr>
        <w:t>门禁闸机等设备更换、智慧景区（票务）管理平台升级</w:t>
      </w:r>
      <w:r>
        <w:rPr>
          <w:rFonts w:hint="eastAsia" w:ascii="宋体" w:hAnsi="宋体" w:cs="Arial"/>
          <w:b/>
          <w:bCs/>
          <w:color w:val="auto"/>
          <w:kern w:val="0"/>
          <w:sz w:val="24"/>
          <w:highlight w:val="none"/>
          <w:u w:val="single"/>
        </w:rPr>
        <w:t>，实现运行达标要求。</w:t>
      </w:r>
      <w:r>
        <w:rPr>
          <w:rFonts w:hint="eastAsia" w:ascii="宋体" w:hAnsi="宋体" w:cs="宋体"/>
          <w:color w:val="auto"/>
          <w:sz w:val="24"/>
          <w:highlight w:val="none"/>
          <w:u w:val="single"/>
        </w:rPr>
        <w:t>‬‬‬‬‬‬‬‬‬‬‬‬‬‬‬‬‬‬‬‬‬‬‬‬‬‬‬‬‬‬‬‬‬‬‬‬‬‬‬‬‬‬‬‬‬‬‬‬‬‬‬‬‬‬‬‬‬‬‬‬‬‬‬‬‬‬‬‬‬‬‬‬‬‬‬‬‬‬‬‬‬‬‬‬‬‬‬‬‬‬‬‬‬‬‬‬‬‬‬‬‬‬‬‬‬‬‬‬‬‬‬‬‬‬‬‬‬‬‬‬‬‬‬‬‬‬‬‬‬‬‬‬‬‬‬‬‬‬‬‬‬‬‬‬‬‬‬‬‬</w:t>
      </w:r>
    </w:p>
    <w:p w14:paraId="0308C38F">
      <w:pPr>
        <w:keepNext w:val="0"/>
        <w:keepLines w:val="0"/>
        <w:pageBreakBefore w:val="0"/>
        <w:widowControl w:val="0"/>
        <w:numPr>
          <w:ilvl w:val="0"/>
          <w:numId w:val="45"/>
        </w:numPr>
        <w:shd w:val="clear"/>
        <w:kinsoku/>
        <w:wordWrap w:val="0"/>
        <w:overflowPunct/>
        <w:topLinePunct w:val="0"/>
        <w:autoSpaceDE/>
        <w:autoSpaceDN/>
        <w:bidi w:val="0"/>
        <w:adjustRightInd w:val="0"/>
        <w:snapToGrid w:val="0"/>
        <w:spacing w:line="420" w:lineRule="exact"/>
        <w:ind w:left="0" w:leftChars="0" w:firstLine="425" w:firstLineChars="0"/>
        <w:textAlignment w:val="auto"/>
        <w:rPr>
          <w:rFonts w:hint="eastAsia" w:ascii="宋体" w:hAnsi="宋体" w:eastAsia="宋体" w:cs="Times New Roman"/>
          <w:color w:val="auto"/>
          <w:sz w:val="24"/>
          <w:highlight w:val="none"/>
          <w:lang w:eastAsia="zh-CN"/>
        </w:rPr>
      </w:pPr>
      <w:r>
        <w:rPr>
          <w:rFonts w:hint="eastAsia" w:ascii="宋体" w:hAnsi="宋体" w:cs="Arial"/>
          <w:color w:val="auto"/>
          <w:kern w:val="0"/>
          <w:sz w:val="24"/>
          <w:szCs w:val="22"/>
          <w:highlight w:val="none"/>
          <w:lang w:eastAsia="zh-CN"/>
        </w:rPr>
        <w:t>工期</w:t>
      </w:r>
      <w:r>
        <w:rPr>
          <w:rFonts w:hint="eastAsia" w:ascii="宋体" w:hAnsi="宋体" w:cs="Arial"/>
          <w:color w:val="auto"/>
          <w:kern w:val="0"/>
          <w:sz w:val="24"/>
          <w:szCs w:val="22"/>
          <w:highlight w:val="none"/>
        </w:rPr>
        <w:t>：</w:t>
      </w:r>
      <w:r>
        <w:rPr>
          <w:rFonts w:hint="eastAsia" w:ascii="宋体" w:hAnsi="宋体" w:cs="Arial"/>
          <w:b/>
          <w:bCs/>
          <w:color w:val="auto"/>
          <w:kern w:val="0"/>
          <w:sz w:val="24"/>
          <w:highlight w:val="none"/>
          <w:u w:val="single"/>
          <w:lang w:val="en-US" w:eastAsia="zh-CN"/>
        </w:rPr>
        <w:t xml:space="preserve">                                </w:t>
      </w:r>
      <w:r>
        <w:rPr>
          <w:rFonts w:hint="eastAsia" w:ascii="宋体" w:hAnsi="宋体" w:cs="Arial"/>
          <w:b/>
          <w:bCs/>
          <w:color w:val="auto"/>
          <w:kern w:val="0"/>
          <w:sz w:val="24"/>
          <w:highlight w:val="none"/>
          <w:u w:val="single"/>
          <w:lang w:eastAsia="zh-CN"/>
        </w:rPr>
        <w:t>。</w:t>
      </w:r>
    </w:p>
    <w:p w14:paraId="23370FAC">
      <w:pPr>
        <w:keepNext w:val="0"/>
        <w:keepLines w:val="0"/>
        <w:pageBreakBefore w:val="0"/>
        <w:widowControl w:val="0"/>
        <w:numPr>
          <w:ilvl w:val="0"/>
          <w:numId w:val="44"/>
        </w:num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left="0" w:leftChars="0" w:firstLine="397" w:firstLineChars="0"/>
        <w:jc w:val="left"/>
        <w:textAlignment w:val="auto"/>
        <w:rPr>
          <w:rFonts w:hint="eastAsia" w:ascii="宋体" w:hAnsi="宋体" w:eastAsia="宋体" w:cs="Arial"/>
          <w:b/>
          <w:color w:val="auto"/>
          <w:kern w:val="0"/>
          <w:sz w:val="24"/>
          <w:highlight w:val="none"/>
        </w:rPr>
      </w:pPr>
      <w:r>
        <w:rPr>
          <w:rFonts w:hint="eastAsia" w:ascii="宋体" w:hAnsi="宋体" w:eastAsia="宋体" w:cs="Arial"/>
          <w:b/>
          <w:color w:val="auto"/>
          <w:kern w:val="0"/>
          <w:sz w:val="24"/>
          <w:highlight w:val="none"/>
        </w:rPr>
        <w:t>合同价款</w:t>
      </w:r>
    </w:p>
    <w:p w14:paraId="57EEED81">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1、</w:t>
      </w:r>
      <w:r>
        <w:rPr>
          <w:rFonts w:hint="eastAsia" w:ascii="宋体" w:hAnsi="宋体" w:cs="Arial"/>
          <w:color w:val="auto"/>
          <w:kern w:val="0"/>
          <w:sz w:val="24"/>
          <w:highlight w:val="none"/>
          <w:lang w:eastAsia="zh-CN"/>
        </w:rPr>
        <w:t>本项目合同价款</w:t>
      </w:r>
      <w:r>
        <w:rPr>
          <w:rFonts w:hint="eastAsia" w:ascii="宋体" w:hAnsi="宋体" w:cs="Arial"/>
          <w:color w:val="auto"/>
          <w:kern w:val="0"/>
          <w:sz w:val="24"/>
          <w:highlight w:val="none"/>
        </w:rPr>
        <w:t>为人民币（大写）</w:t>
      </w:r>
      <w:r>
        <w:rPr>
          <w:rFonts w:hint="eastAsia" w:ascii="宋体" w:hAnsi="宋体" w:cs="Arial"/>
          <w:color w:val="auto"/>
          <w:kern w:val="0"/>
          <w:sz w:val="24"/>
          <w:highlight w:val="none"/>
          <w:u w:val="single"/>
          <w:lang w:val="en-US" w:eastAsia="zh-CN"/>
        </w:rPr>
        <w:t xml:space="preserve">           </w:t>
      </w:r>
      <w:r>
        <w:rPr>
          <w:rFonts w:hint="eastAsia" w:ascii="宋体" w:hAnsi="宋体" w:cs="Arial"/>
          <w:color w:val="auto"/>
          <w:kern w:val="0"/>
          <w:sz w:val="24"/>
          <w:highlight w:val="none"/>
        </w:rPr>
        <w:t>，分项价款见“价格清单”（如有）。</w:t>
      </w:r>
    </w:p>
    <w:p w14:paraId="48AC2DBA">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2、</w:t>
      </w:r>
      <w:r>
        <w:rPr>
          <w:rFonts w:hint="eastAsia" w:ascii="宋体" w:hAnsi="宋体" w:eastAsia="宋体" w:cs="Arial"/>
          <w:color w:val="auto"/>
          <w:kern w:val="0"/>
          <w:sz w:val="24"/>
          <w:highlight w:val="none"/>
        </w:rPr>
        <w:t>本合同总价款</w:t>
      </w:r>
      <w:r>
        <w:rPr>
          <w:rFonts w:hint="eastAsia" w:ascii="宋体" w:hAnsi="宋体" w:eastAsia="宋体" w:cs="Arial"/>
          <w:color w:val="auto"/>
          <w:kern w:val="0"/>
          <w:sz w:val="24"/>
          <w:highlight w:val="none"/>
          <w:lang w:eastAsia="zh-CN"/>
        </w:rPr>
        <w:t>包括完成本项目所需的</w:t>
      </w:r>
      <w:r>
        <w:rPr>
          <w:rFonts w:hint="eastAsia" w:ascii="宋体" w:hAnsi="宋体" w:cs="Arial"/>
          <w:color w:val="auto"/>
          <w:kern w:val="0"/>
          <w:sz w:val="24"/>
          <w:highlight w:val="none"/>
          <w:lang w:eastAsia="zh-CN"/>
        </w:rPr>
        <w:t>软件开发费（含升级费）、硬件、标准附件、备品备件、专用工具、配套设施、安装调试、系统集成、技术指导、培训、专利费（著作权）、相关验收费用、三年期售后服务费、管理费、利润、风险费、保险、税金、招标代理费等</w:t>
      </w:r>
      <w:r>
        <w:rPr>
          <w:rFonts w:hint="eastAsia" w:ascii="宋体" w:hAnsi="宋体" w:eastAsia="宋体" w:cs="Arial"/>
          <w:color w:val="auto"/>
          <w:kern w:val="0"/>
          <w:sz w:val="24"/>
          <w:highlight w:val="none"/>
          <w:lang w:eastAsia="zh-CN"/>
        </w:rPr>
        <w:t>全部费用并承担一切风险责任</w:t>
      </w:r>
      <w:r>
        <w:rPr>
          <w:rFonts w:hint="eastAsia" w:ascii="宋体" w:hAnsi="宋体" w:eastAsia="宋体" w:cs="Arial"/>
          <w:color w:val="auto"/>
          <w:kern w:val="0"/>
          <w:sz w:val="24"/>
          <w:highlight w:val="none"/>
        </w:rPr>
        <w:t>。</w:t>
      </w:r>
    </w:p>
    <w:p w14:paraId="33859CE2">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3、本项目资金来源：</w:t>
      </w:r>
      <w:r>
        <w:rPr>
          <w:rFonts w:hint="eastAsia" w:ascii="宋体" w:hAnsi="宋体" w:cs="宋体"/>
          <w:color w:val="auto"/>
          <w:kern w:val="0"/>
          <w:sz w:val="24"/>
          <w:highlight w:val="none"/>
          <w:u w:val="single"/>
        </w:rPr>
        <w:t>自筹</w:t>
      </w:r>
    </w:p>
    <w:p w14:paraId="4082F7DB">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u w:val="single"/>
        </w:rPr>
      </w:pPr>
      <w:r>
        <w:rPr>
          <w:rFonts w:hint="eastAsia" w:ascii="宋体" w:hAnsi="宋体" w:cs="Arial"/>
          <w:color w:val="auto"/>
          <w:kern w:val="0"/>
          <w:sz w:val="24"/>
          <w:highlight w:val="none"/>
        </w:rPr>
        <w:t>4、合同价款的结算与支付：</w:t>
      </w:r>
      <w:r>
        <w:rPr>
          <w:rFonts w:hint="eastAsia" w:ascii="宋体" w:hAnsi="宋体" w:cs="Arial"/>
          <w:b/>
          <w:bCs/>
          <w:color w:val="auto"/>
          <w:kern w:val="0"/>
          <w:sz w:val="24"/>
          <w:highlight w:val="none"/>
          <w:u w:val="single"/>
        </w:rPr>
        <w:t xml:space="preserve">  详见第三章招标需求  </w:t>
      </w:r>
      <w:r>
        <w:rPr>
          <w:rFonts w:hint="eastAsia" w:ascii="宋体" w:hAnsi="宋体" w:cs="Arial"/>
          <w:color w:val="auto"/>
          <w:kern w:val="0"/>
          <w:sz w:val="24"/>
          <w:highlight w:val="none"/>
          <w:u w:val="single"/>
        </w:rPr>
        <w:t xml:space="preserve">                    </w:t>
      </w:r>
    </w:p>
    <w:p w14:paraId="53D0CF87">
      <w:pPr>
        <w:keepNext w:val="0"/>
        <w:keepLines w:val="0"/>
        <w:pageBreakBefore w:val="0"/>
        <w:widowControl w:val="0"/>
        <w:numPr>
          <w:ilvl w:val="0"/>
          <w:numId w:val="44"/>
        </w:num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left="0" w:leftChars="0" w:firstLine="397" w:firstLineChars="0"/>
        <w:jc w:val="left"/>
        <w:textAlignment w:val="auto"/>
        <w:rPr>
          <w:rFonts w:hint="eastAsia" w:ascii="宋体" w:hAnsi="宋体" w:eastAsia="宋体" w:cs="Arial"/>
          <w:b/>
          <w:color w:val="auto"/>
          <w:kern w:val="0"/>
          <w:sz w:val="24"/>
          <w:highlight w:val="none"/>
        </w:rPr>
      </w:pPr>
      <w:r>
        <w:rPr>
          <w:rFonts w:hint="eastAsia" w:ascii="宋体" w:hAnsi="宋体" w:eastAsia="宋体" w:cs="Arial"/>
          <w:b/>
          <w:color w:val="auto"/>
          <w:kern w:val="0"/>
          <w:sz w:val="24"/>
          <w:highlight w:val="none"/>
        </w:rPr>
        <w:t>履约保证金</w:t>
      </w:r>
    </w:p>
    <w:p w14:paraId="5D0F2AE3">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b/>
          <w:color w:val="auto"/>
          <w:kern w:val="0"/>
          <w:sz w:val="24"/>
          <w:highlight w:val="none"/>
        </w:rPr>
      </w:pPr>
      <w:r>
        <w:rPr>
          <w:rFonts w:hint="eastAsia" w:ascii="宋体" w:hAnsi="宋体" w:cs="Arial"/>
          <w:color w:val="auto"/>
          <w:kern w:val="0"/>
          <w:sz w:val="24"/>
          <w:highlight w:val="none"/>
        </w:rPr>
        <w:t>按以下第</w:t>
      </w:r>
      <w:r>
        <w:rPr>
          <w:rFonts w:hint="eastAsia" w:ascii="宋体" w:hAnsi="宋体" w:cs="Arial"/>
          <w:b/>
          <w:bCs/>
          <w:color w:val="auto"/>
          <w:kern w:val="0"/>
          <w:sz w:val="24"/>
          <w:highlight w:val="none"/>
          <w:u w:val="single"/>
          <w:lang w:val="en-US" w:eastAsia="zh-CN"/>
        </w:rPr>
        <w:t xml:space="preserve"> 1</w:t>
      </w:r>
      <w:r>
        <w:rPr>
          <w:rFonts w:hint="eastAsia" w:ascii="宋体" w:hAnsi="宋体" w:cs="Arial"/>
          <w:b/>
          <w:bCs/>
          <w:color w:val="auto"/>
          <w:kern w:val="0"/>
          <w:sz w:val="24"/>
          <w:highlight w:val="none"/>
          <w:u w:val="single"/>
        </w:rPr>
        <w:t xml:space="preserve"> </w:t>
      </w:r>
      <w:r>
        <w:rPr>
          <w:rFonts w:hint="eastAsia" w:ascii="宋体" w:hAnsi="宋体" w:cs="Arial"/>
          <w:color w:val="auto"/>
          <w:kern w:val="0"/>
          <w:sz w:val="24"/>
          <w:highlight w:val="none"/>
        </w:rPr>
        <w:t>项处理：</w:t>
      </w:r>
    </w:p>
    <w:p w14:paraId="5B1D179E">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1、本</w:t>
      </w:r>
      <w:r>
        <w:rPr>
          <w:rFonts w:hint="eastAsia" w:ascii="宋体" w:hAnsi="宋体" w:eastAsia="宋体" w:cs="Arial"/>
          <w:color w:val="auto"/>
          <w:kern w:val="0"/>
          <w:sz w:val="24"/>
          <w:highlight w:val="none"/>
        </w:rPr>
        <w:t>项目</w:t>
      </w:r>
      <w:r>
        <w:rPr>
          <w:rFonts w:hint="eastAsia" w:ascii="宋体" w:hAnsi="宋体" w:cs="Arial"/>
          <w:color w:val="auto"/>
          <w:kern w:val="0"/>
          <w:sz w:val="24"/>
          <w:highlight w:val="none"/>
        </w:rPr>
        <w:t>设置履约保证金，乙方应于</w:t>
      </w:r>
      <w:r>
        <w:rPr>
          <w:rFonts w:hint="eastAsia" w:ascii="宋体" w:hAnsi="宋体" w:cs="Arial"/>
          <w:color w:val="auto"/>
          <w:kern w:val="0"/>
          <w:sz w:val="24"/>
          <w:highlight w:val="none"/>
          <w:u w:val="single"/>
          <w:lang w:val="en-US" w:eastAsia="zh-CN"/>
        </w:rPr>
        <w:t xml:space="preserve">  合同签订前  </w:t>
      </w:r>
      <w:r>
        <w:rPr>
          <w:rFonts w:hint="eastAsia" w:ascii="宋体" w:hAnsi="宋体" w:cs="Arial"/>
          <w:color w:val="auto"/>
          <w:kern w:val="0"/>
          <w:sz w:val="24"/>
          <w:highlight w:val="none"/>
        </w:rPr>
        <w:t>（时间）向甲方提交履约保证金（</w:t>
      </w:r>
      <w:r>
        <w:rPr>
          <w:rFonts w:hint="eastAsia" w:ascii="宋体" w:hAnsi="宋体"/>
          <w:color w:val="auto"/>
          <w:sz w:val="24"/>
          <w:highlight w:val="none"/>
        </w:rPr>
        <w:t>合同金额的1%</w:t>
      </w:r>
      <w:r>
        <w:rPr>
          <w:rFonts w:hint="eastAsia" w:ascii="宋体" w:hAnsi="宋体" w:cs="Arial"/>
          <w:color w:val="auto"/>
          <w:kern w:val="0"/>
          <w:sz w:val="24"/>
          <w:highlight w:val="none"/>
        </w:rPr>
        <w:t>）元。履约保证金</w:t>
      </w:r>
      <w:r>
        <w:rPr>
          <w:rFonts w:hint="eastAsia" w:ascii="宋体" w:hAnsi="宋体"/>
          <w:color w:val="auto"/>
          <w:sz w:val="24"/>
          <w:highlight w:val="none"/>
        </w:rPr>
        <w:t>待</w:t>
      </w:r>
      <w:r>
        <w:rPr>
          <w:rFonts w:hint="eastAsia" w:ascii="宋体" w:hAnsi="宋体"/>
          <w:color w:val="auto"/>
          <w:sz w:val="24"/>
          <w:highlight w:val="none"/>
          <w:u w:val="single"/>
        </w:rPr>
        <w:t>合同履行完毕且验收合格后一个月内无息</w:t>
      </w:r>
      <w:r>
        <w:rPr>
          <w:rFonts w:hint="eastAsia" w:ascii="宋体" w:hAnsi="宋体" w:cs="Arial"/>
          <w:color w:val="auto"/>
          <w:kern w:val="0"/>
          <w:sz w:val="24"/>
          <w:highlight w:val="none"/>
          <w:u w:val="single"/>
        </w:rPr>
        <w:t>退还</w:t>
      </w:r>
      <w:r>
        <w:rPr>
          <w:rFonts w:hint="eastAsia" w:ascii="宋体" w:hAnsi="宋体" w:cs="Arial"/>
          <w:color w:val="auto"/>
          <w:kern w:val="0"/>
          <w:sz w:val="24"/>
          <w:highlight w:val="none"/>
        </w:rPr>
        <w:t>乙方。</w:t>
      </w:r>
    </w:p>
    <w:p w14:paraId="2CE8ED3E">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b/>
          <w:color w:val="auto"/>
          <w:kern w:val="0"/>
          <w:sz w:val="24"/>
          <w:highlight w:val="none"/>
        </w:rPr>
      </w:pPr>
      <w:r>
        <w:rPr>
          <w:rFonts w:hint="eastAsia" w:ascii="宋体" w:hAnsi="宋体" w:cs="Arial"/>
          <w:color w:val="auto"/>
          <w:kern w:val="0"/>
          <w:sz w:val="24"/>
          <w:highlight w:val="none"/>
        </w:rPr>
        <w:t>2、本项目不设置履约保证金。</w:t>
      </w:r>
    </w:p>
    <w:p w14:paraId="5B09EB69">
      <w:pPr>
        <w:keepNext w:val="0"/>
        <w:keepLines w:val="0"/>
        <w:pageBreakBefore w:val="0"/>
        <w:widowControl w:val="0"/>
        <w:numPr>
          <w:ilvl w:val="0"/>
          <w:numId w:val="44"/>
        </w:num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left="0" w:leftChars="0" w:firstLine="397" w:firstLineChars="0"/>
        <w:jc w:val="left"/>
        <w:textAlignment w:val="auto"/>
        <w:rPr>
          <w:rFonts w:hint="eastAsia" w:ascii="宋体" w:hAnsi="宋体" w:eastAsia="宋体" w:cs="Arial"/>
          <w:b/>
          <w:color w:val="auto"/>
          <w:kern w:val="0"/>
          <w:sz w:val="24"/>
          <w:highlight w:val="none"/>
        </w:rPr>
      </w:pPr>
      <w:r>
        <w:rPr>
          <w:rFonts w:hint="eastAsia" w:ascii="宋体" w:hAnsi="宋体" w:eastAsia="宋体" w:cs="Arial"/>
          <w:b/>
          <w:color w:val="auto"/>
          <w:kern w:val="0"/>
          <w:sz w:val="24"/>
          <w:highlight w:val="none"/>
        </w:rPr>
        <w:t>合同的变更和终止</w:t>
      </w:r>
    </w:p>
    <w:p w14:paraId="76977973">
      <w:pPr>
        <w:keepNext w:val="0"/>
        <w:keepLines w:val="0"/>
        <w:pageBreakBefore w:val="0"/>
        <w:widowControl w:val="0"/>
        <w:shd w:val="clear"/>
        <w:kinsoku/>
        <w:wordWrap w:val="0"/>
        <w:overflowPunct/>
        <w:topLinePunct w:val="0"/>
        <w:autoSpaceDE/>
        <w:autoSpaceDN/>
        <w:bidi w:val="0"/>
        <w:adjustRightInd w:val="0"/>
        <w:snapToGrid w:val="0"/>
        <w:spacing w:line="420" w:lineRule="exact"/>
        <w:ind w:firstLine="480" w:firstLineChars="200"/>
        <w:textAlignment w:val="auto"/>
        <w:rPr>
          <w:rFonts w:hint="eastAsia" w:ascii="宋体" w:hAnsi="宋体" w:cs="Arial"/>
          <w:color w:val="auto"/>
          <w:kern w:val="0"/>
          <w:sz w:val="24"/>
          <w:highlight w:val="none"/>
        </w:rPr>
      </w:pPr>
      <w:r>
        <w:rPr>
          <w:rFonts w:hint="eastAsia" w:ascii="宋体" w:hAnsi="宋体" w:cs="Arial"/>
          <w:color w:val="auto"/>
          <w:kern w:val="0"/>
          <w:sz w:val="24"/>
          <w:highlight w:val="none"/>
        </w:rPr>
        <w:t>1</w:t>
      </w:r>
      <w:r>
        <w:rPr>
          <w:rFonts w:hint="eastAsia" w:ascii="宋体" w:hAnsi="宋体" w:cs="Arial"/>
          <w:color w:val="auto"/>
          <w:kern w:val="0"/>
          <w:sz w:val="24"/>
          <w:highlight w:val="none"/>
          <w:lang w:eastAsia="zh-CN"/>
        </w:rPr>
        <w:t>、</w:t>
      </w:r>
      <w:r>
        <w:rPr>
          <w:rFonts w:hint="eastAsia" w:ascii="宋体" w:hAnsi="宋体" w:cs="Arial"/>
          <w:color w:val="auto"/>
          <w:kern w:val="0"/>
          <w:sz w:val="24"/>
          <w:highlight w:val="none"/>
        </w:rPr>
        <w:t>本合同一经签订，甲乙双方不得擅自终止合同（招标文件中有约定的除外）。</w:t>
      </w:r>
    </w:p>
    <w:p w14:paraId="3BF76123">
      <w:pPr>
        <w:keepNext w:val="0"/>
        <w:keepLines w:val="0"/>
        <w:pageBreakBefore w:val="0"/>
        <w:widowControl w:val="0"/>
        <w:numPr>
          <w:ilvl w:val="0"/>
          <w:numId w:val="44"/>
        </w:num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left="0" w:leftChars="0" w:firstLine="397" w:firstLineChars="0"/>
        <w:jc w:val="left"/>
        <w:textAlignment w:val="auto"/>
        <w:rPr>
          <w:rFonts w:hint="eastAsia" w:ascii="宋体" w:hAnsi="宋体" w:eastAsia="宋体" w:cs="Arial"/>
          <w:b/>
          <w:color w:val="auto"/>
          <w:kern w:val="0"/>
          <w:sz w:val="24"/>
          <w:highlight w:val="none"/>
        </w:rPr>
      </w:pPr>
      <w:r>
        <w:rPr>
          <w:rFonts w:hint="eastAsia" w:ascii="宋体" w:hAnsi="宋体" w:eastAsia="宋体" w:cs="Arial"/>
          <w:b/>
          <w:color w:val="auto"/>
          <w:kern w:val="0"/>
          <w:sz w:val="24"/>
          <w:highlight w:val="none"/>
        </w:rPr>
        <w:t>合同的转让与分包</w:t>
      </w:r>
    </w:p>
    <w:p w14:paraId="01B8C0EF">
      <w:pPr>
        <w:keepNext w:val="0"/>
        <w:keepLines w:val="0"/>
        <w:pageBreakBefore w:val="0"/>
        <w:widowControl w:val="0"/>
        <w:shd w:val="clear"/>
        <w:kinsoku/>
        <w:wordWrap w:val="0"/>
        <w:overflowPunct/>
        <w:topLinePunct w:val="0"/>
        <w:autoSpaceDE/>
        <w:autoSpaceDN/>
        <w:bidi w:val="0"/>
        <w:adjustRightInd w:val="0"/>
        <w:snapToGrid w:val="0"/>
        <w:spacing w:line="420" w:lineRule="exact"/>
        <w:ind w:firstLine="480" w:firstLineChars="200"/>
        <w:textAlignment w:val="auto"/>
        <w:rPr>
          <w:rFonts w:ascii="宋体" w:hAns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lang w:eastAsia="zh-CN"/>
        </w:rPr>
        <w:t>、</w:t>
      </w:r>
      <w:r>
        <w:rPr>
          <w:rFonts w:ascii="宋体" w:hAnsi="宋体" w:cs="宋体"/>
          <w:color w:val="auto"/>
          <w:kern w:val="0"/>
          <w:sz w:val="24"/>
          <w:highlight w:val="none"/>
        </w:rPr>
        <w:t>本项目不允许转包。</w:t>
      </w:r>
    </w:p>
    <w:p w14:paraId="676C5A1A">
      <w:pPr>
        <w:keepNext w:val="0"/>
        <w:keepLines w:val="0"/>
        <w:pageBreakBefore w:val="0"/>
        <w:widowControl w:val="0"/>
        <w:shd w:val="clear"/>
        <w:kinsoku/>
        <w:wordWrap w:val="0"/>
        <w:overflowPunct/>
        <w:topLinePunct w:val="0"/>
        <w:autoSpaceDE/>
        <w:autoSpaceDN/>
        <w:bidi w:val="0"/>
        <w:adjustRightInd w:val="0"/>
        <w:snapToGrid w:val="0"/>
        <w:spacing w:line="420" w:lineRule="exact"/>
        <w:ind w:firstLine="480" w:firstLineChars="200"/>
        <w:textAlignment w:val="auto"/>
        <w:rPr>
          <w:rFonts w:ascii="宋体" w:hAnsi="宋体" w:cs="宋体"/>
          <w:color w:val="auto"/>
          <w:kern w:val="0"/>
          <w:sz w:val="24"/>
          <w:highlight w:val="none"/>
        </w:rPr>
      </w:pPr>
      <w:r>
        <w:rPr>
          <w:rFonts w:ascii="宋体" w:hAnsi="宋体" w:cs="宋体"/>
          <w:color w:val="auto"/>
          <w:kern w:val="0"/>
          <w:sz w:val="24"/>
          <w:highlight w:val="none"/>
        </w:rPr>
        <w:t>2</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本项目不允许分包。</w:t>
      </w:r>
    </w:p>
    <w:p w14:paraId="448D88CB">
      <w:pPr>
        <w:keepNext w:val="0"/>
        <w:keepLines w:val="0"/>
        <w:pageBreakBefore w:val="0"/>
        <w:widowControl w:val="0"/>
        <w:numPr>
          <w:ilvl w:val="0"/>
          <w:numId w:val="44"/>
        </w:num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left="0" w:leftChars="0" w:firstLine="397" w:firstLineChars="0"/>
        <w:jc w:val="left"/>
        <w:textAlignment w:val="auto"/>
        <w:rPr>
          <w:rFonts w:hint="eastAsia" w:ascii="宋体" w:hAnsi="宋体" w:eastAsia="宋体" w:cs="Arial"/>
          <w:b/>
          <w:color w:val="auto"/>
          <w:kern w:val="0"/>
          <w:sz w:val="24"/>
          <w:highlight w:val="none"/>
        </w:rPr>
      </w:pPr>
      <w:r>
        <w:rPr>
          <w:rFonts w:hint="eastAsia" w:ascii="宋体" w:hAnsi="宋体" w:eastAsia="宋体" w:cs="Arial"/>
          <w:b/>
          <w:color w:val="auto"/>
          <w:kern w:val="0"/>
          <w:sz w:val="24"/>
          <w:highlight w:val="none"/>
        </w:rPr>
        <w:t>争议的解决</w:t>
      </w:r>
    </w:p>
    <w:p w14:paraId="016BD2B2">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因履行本合同引起的或与本合同有关的争议，甲、乙双方应首先通过友好协商解决，如果协商不能解决争议，则采取以下第</w:t>
      </w:r>
      <w:r>
        <w:rPr>
          <w:rFonts w:hint="eastAsia" w:ascii="宋体" w:hAnsi="宋体" w:cs="Arial"/>
          <w:color w:val="auto"/>
          <w:kern w:val="0"/>
          <w:sz w:val="24"/>
          <w:highlight w:val="none"/>
          <w:u w:val="single"/>
        </w:rPr>
        <w:t xml:space="preserve">    </w:t>
      </w:r>
      <w:r>
        <w:rPr>
          <w:rFonts w:hint="eastAsia" w:ascii="宋体" w:hAnsi="宋体" w:cs="Arial"/>
          <w:color w:val="auto"/>
          <w:kern w:val="0"/>
          <w:sz w:val="24"/>
          <w:highlight w:val="none"/>
          <w:u w:val="single"/>
          <w:lang w:val="en-US" w:eastAsia="zh-CN"/>
        </w:rPr>
        <w:t xml:space="preserve"> </w:t>
      </w:r>
      <w:r>
        <w:rPr>
          <w:rFonts w:hint="eastAsia" w:ascii="宋体" w:hAnsi="宋体" w:cs="Arial"/>
          <w:color w:val="auto"/>
          <w:kern w:val="0"/>
          <w:sz w:val="24"/>
          <w:highlight w:val="none"/>
          <w:u w:val="single"/>
        </w:rPr>
        <w:t xml:space="preserve">1     </w:t>
      </w:r>
      <w:r>
        <w:rPr>
          <w:rFonts w:hint="eastAsia" w:ascii="宋体" w:hAnsi="宋体" w:cs="Arial"/>
          <w:color w:val="auto"/>
          <w:kern w:val="0"/>
          <w:sz w:val="24"/>
          <w:highlight w:val="none"/>
        </w:rPr>
        <w:t>种方式解决争议：</w:t>
      </w:r>
    </w:p>
    <w:p w14:paraId="3257BD72">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（1）向甲方所在地有管辖权的人民法院提起诉讼；</w:t>
      </w:r>
    </w:p>
    <w:p w14:paraId="219DEAA2">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（2）向</w:t>
      </w:r>
      <w:r>
        <w:rPr>
          <w:rFonts w:hint="eastAsia" w:ascii="宋体" w:hAnsi="宋体" w:cs="Arial"/>
          <w:color w:val="auto"/>
          <w:kern w:val="0"/>
          <w:sz w:val="24"/>
          <w:highlight w:val="none"/>
          <w:u w:val="single"/>
        </w:rPr>
        <w:t xml:space="preserve">    /    </w:t>
      </w:r>
      <w:r>
        <w:rPr>
          <w:rFonts w:hint="eastAsia" w:ascii="宋体" w:hAnsi="宋体" w:cs="Arial"/>
          <w:color w:val="auto"/>
          <w:kern w:val="0"/>
          <w:sz w:val="24"/>
          <w:highlight w:val="none"/>
        </w:rPr>
        <w:t>仲裁委员申请仲裁。</w:t>
      </w:r>
    </w:p>
    <w:p w14:paraId="70B31588">
      <w:pPr>
        <w:keepNext w:val="0"/>
        <w:keepLines w:val="0"/>
        <w:pageBreakBefore w:val="0"/>
        <w:widowControl w:val="0"/>
        <w:numPr>
          <w:ilvl w:val="0"/>
          <w:numId w:val="44"/>
        </w:num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left="0" w:leftChars="0" w:firstLine="397" w:firstLineChars="0"/>
        <w:jc w:val="left"/>
        <w:textAlignment w:val="auto"/>
        <w:rPr>
          <w:rFonts w:hint="eastAsia" w:ascii="宋体" w:hAnsi="宋体" w:eastAsia="宋体" w:cs="Arial"/>
          <w:b/>
          <w:color w:val="auto"/>
          <w:kern w:val="0"/>
          <w:sz w:val="24"/>
          <w:highlight w:val="none"/>
        </w:rPr>
      </w:pPr>
      <w:r>
        <w:rPr>
          <w:rFonts w:hint="eastAsia" w:ascii="宋体" w:hAnsi="宋体" w:eastAsia="宋体" w:cs="Arial"/>
          <w:b/>
          <w:color w:val="auto"/>
          <w:kern w:val="0"/>
          <w:sz w:val="24"/>
          <w:highlight w:val="none"/>
        </w:rPr>
        <w:t>合同生效、备案及其他</w:t>
      </w:r>
    </w:p>
    <w:p w14:paraId="6358A1E3">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1、本合同自双方签字盖章之日起生效。</w:t>
      </w:r>
    </w:p>
    <w:p w14:paraId="01714032">
      <w:pPr>
        <w:keepNext w:val="0"/>
        <w:keepLines w:val="0"/>
        <w:pageBreakBefore w:val="0"/>
        <w:widowControl w:val="0"/>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420" w:lineRule="exact"/>
        <w:ind w:firstLine="480" w:firstLineChars="200"/>
        <w:jc w:val="left"/>
        <w:textAlignment w:val="auto"/>
        <w:rPr>
          <w:rFonts w:ascii="宋体" w:hAnsi="宋体" w:cs="Arial"/>
          <w:color w:val="auto"/>
          <w:kern w:val="0"/>
          <w:sz w:val="24"/>
          <w:highlight w:val="none"/>
        </w:rPr>
      </w:pPr>
      <w:r>
        <w:rPr>
          <w:rFonts w:hint="eastAsia" w:ascii="宋体" w:hAnsi="宋体" w:cs="Arial"/>
          <w:color w:val="auto"/>
          <w:kern w:val="0"/>
          <w:sz w:val="24"/>
          <w:highlight w:val="none"/>
        </w:rPr>
        <w:t>2、本合同一式</w:t>
      </w:r>
      <w:r>
        <w:rPr>
          <w:rFonts w:hint="eastAsia" w:ascii="宋体" w:hAnsi="宋体" w:cs="Arial"/>
          <w:color w:val="auto"/>
          <w:kern w:val="0"/>
          <w:sz w:val="24"/>
          <w:highlight w:val="none"/>
          <w:u w:val="single"/>
        </w:rPr>
        <w:t xml:space="preserve"> 六 </w:t>
      </w:r>
      <w:r>
        <w:rPr>
          <w:rFonts w:hint="eastAsia" w:ascii="宋体" w:hAnsi="宋体" w:cs="Arial"/>
          <w:color w:val="auto"/>
          <w:kern w:val="0"/>
          <w:sz w:val="24"/>
          <w:highlight w:val="none"/>
        </w:rPr>
        <w:t>份，甲乙双方各执</w:t>
      </w:r>
      <w:r>
        <w:rPr>
          <w:rFonts w:hint="eastAsia" w:ascii="宋体" w:hAnsi="宋体" w:cs="Arial"/>
          <w:color w:val="auto"/>
          <w:kern w:val="0"/>
          <w:sz w:val="24"/>
          <w:highlight w:val="none"/>
          <w:u w:val="single"/>
        </w:rPr>
        <w:t xml:space="preserve"> 二 </w:t>
      </w:r>
      <w:r>
        <w:rPr>
          <w:rFonts w:hint="eastAsia" w:ascii="宋体" w:hAnsi="宋体" w:cs="Arial"/>
          <w:color w:val="auto"/>
          <w:kern w:val="0"/>
          <w:sz w:val="24"/>
          <w:highlight w:val="none"/>
        </w:rPr>
        <w:t>份，</w:t>
      </w:r>
      <w:r>
        <w:rPr>
          <w:rFonts w:hint="eastAsia" w:ascii="宋体" w:hAnsi="宋体" w:cs="Arial"/>
          <w:color w:val="auto"/>
          <w:kern w:val="0"/>
          <w:sz w:val="24"/>
          <w:szCs w:val="24"/>
          <w:highlight w:val="none"/>
        </w:rPr>
        <w:t>招采办及</w:t>
      </w:r>
      <w:r>
        <w:rPr>
          <w:rFonts w:hint="eastAsia" w:ascii="宋体" w:hAnsi="宋体"/>
          <w:color w:val="auto"/>
          <w:sz w:val="24"/>
          <w:szCs w:val="24"/>
          <w:highlight w:val="none"/>
        </w:rPr>
        <w:t>招标代理机构</w:t>
      </w:r>
      <w:r>
        <w:rPr>
          <w:rFonts w:hint="eastAsia" w:ascii="宋体" w:hAnsi="宋体" w:cs="Arial"/>
          <w:color w:val="auto"/>
          <w:kern w:val="0"/>
          <w:sz w:val="24"/>
          <w:szCs w:val="24"/>
          <w:highlight w:val="none"/>
        </w:rPr>
        <w:t>各执</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一份</w:t>
      </w:r>
      <w:r>
        <w:rPr>
          <w:rFonts w:hint="eastAsia" w:ascii="宋体" w:hAnsi="宋体"/>
          <w:color w:val="auto"/>
          <w:sz w:val="24"/>
          <w:highlight w:val="none"/>
          <w:u w:val="single"/>
          <w:lang w:val="en-US" w:eastAsia="zh-CN"/>
        </w:rPr>
        <w:t xml:space="preserve"> </w:t>
      </w:r>
      <w:r>
        <w:rPr>
          <w:rFonts w:hint="eastAsia" w:ascii="宋体" w:hAnsi="宋体" w:cs="Arial"/>
          <w:color w:val="auto"/>
          <w:kern w:val="0"/>
          <w:sz w:val="24"/>
          <w:highlight w:val="none"/>
        </w:rPr>
        <w:t>。</w:t>
      </w:r>
    </w:p>
    <w:p w14:paraId="45288854">
      <w:pPr>
        <w:keepNext w:val="0"/>
        <w:keepLines w:val="0"/>
        <w:pageBreakBefore w:val="0"/>
        <w:widowControl/>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Arial"/>
          <w:color w:val="auto"/>
          <w:kern w:val="0"/>
          <w:sz w:val="28"/>
          <w:szCs w:val="28"/>
          <w:highlight w:val="none"/>
        </w:rPr>
      </w:pPr>
      <w:r>
        <w:rPr>
          <w:rFonts w:hint="eastAsia" w:ascii="宋体" w:hAnsi="宋体" w:eastAsia="宋体" w:cs="Arial"/>
          <w:color w:val="auto"/>
          <w:kern w:val="0"/>
          <w:sz w:val="28"/>
          <w:szCs w:val="28"/>
          <w:highlight w:val="none"/>
        </w:rPr>
        <w:t>二、特殊专用条款部分</w:t>
      </w:r>
    </w:p>
    <w:p w14:paraId="59DEE1E6">
      <w:p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hint="eastAsia" w:ascii="宋体" w:hAnsi="宋体" w:cs="Arial"/>
          <w:b/>
          <w:color w:val="auto"/>
          <w:kern w:val="0"/>
          <w:sz w:val="24"/>
          <w:highlight w:val="none"/>
        </w:rPr>
      </w:pPr>
      <w:r>
        <w:rPr>
          <w:rFonts w:hint="eastAsia" w:ascii="宋体" w:hAnsi="宋体" w:cs="Arial"/>
          <w:b/>
          <w:color w:val="auto"/>
          <w:kern w:val="0"/>
          <w:sz w:val="24"/>
          <w:highlight w:val="none"/>
        </w:rPr>
        <w:t>第九条 采购清单</w:t>
      </w:r>
    </w:p>
    <w:p w14:paraId="3531D255">
      <w:pPr>
        <w:keepNext w:val="0"/>
        <w:keepLines w:val="0"/>
        <w:pageBreakBefore w:val="0"/>
        <w:widowControl w:val="0"/>
        <w:pBdr>
          <w:bottom w:val="single" w:color="auto" w:sz="4" w:space="0"/>
        </w:pBdr>
        <w:shd w:val="clear"/>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cs="Arial"/>
          <w:color w:val="auto"/>
          <w:kern w:val="0"/>
          <w:position w:val="2"/>
          <w:sz w:val="24"/>
          <w:highlight w:val="none"/>
          <w:u w:val="none"/>
        </w:rPr>
      </w:pPr>
      <w:r>
        <w:rPr>
          <w:rFonts w:hint="eastAsia" w:ascii="宋体" w:hAnsi="宋体" w:cs="Arial"/>
          <w:color w:val="auto"/>
          <w:kern w:val="0"/>
          <w:position w:val="2"/>
          <w:sz w:val="24"/>
          <w:highlight w:val="none"/>
          <w:u w:val="none"/>
        </w:rPr>
        <w:t>详见第三章招标需求</w:t>
      </w:r>
    </w:p>
    <w:p w14:paraId="2BEAAF9B">
      <w:p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hint="eastAsia" w:ascii="宋体" w:hAnsi="宋体" w:cs="Arial"/>
          <w:b/>
          <w:color w:val="auto"/>
          <w:kern w:val="0"/>
          <w:sz w:val="24"/>
          <w:highlight w:val="none"/>
        </w:rPr>
      </w:pPr>
      <w:r>
        <w:rPr>
          <w:rFonts w:hint="eastAsia" w:ascii="宋体" w:hAnsi="宋体" w:cs="Arial"/>
          <w:b/>
          <w:color w:val="auto"/>
          <w:kern w:val="0"/>
          <w:sz w:val="24"/>
          <w:highlight w:val="none"/>
        </w:rPr>
        <w:t>第十条 其他商务要求</w:t>
      </w:r>
    </w:p>
    <w:p w14:paraId="5ECE14AA">
      <w:pPr>
        <w:keepNext w:val="0"/>
        <w:keepLines w:val="0"/>
        <w:pageBreakBefore w:val="0"/>
        <w:widowControl w:val="0"/>
        <w:pBdr>
          <w:bottom w:val="single" w:color="auto" w:sz="4" w:space="0"/>
        </w:pBdr>
        <w:shd w:val="clear"/>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cs="Arial"/>
          <w:color w:val="auto"/>
          <w:kern w:val="0"/>
          <w:position w:val="2"/>
          <w:sz w:val="24"/>
          <w:highlight w:val="none"/>
          <w:u w:val="none"/>
        </w:rPr>
      </w:pPr>
      <w:r>
        <w:rPr>
          <w:rFonts w:hint="eastAsia" w:ascii="宋体" w:hAnsi="宋体" w:cs="Arial"/>
          <w:color w:val="auto"/>
          <w:kern w:val="0"/>
          <w:position w:val="2"/>
          <w:sz w:val="24"/>
          <w:highlight w:val="none"/>
          <w:u w:val="none"/>
        </w:rPr>
        <w:t>详见第三章招标需求</w:t>
      </w:r>
    </w:p>
    <w:p w14:paraId="737B2B7E">
      <w:p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hint="eastAsia" w:ascii="宋体" w:hAnsi="宋体" w:cs="Arial"/>
          <w:b/>
          <w:color w:val="auto"/>
          <w:kern w:val="0"/>
          <w:sz w:val="24"/>
          <w:highlight w:val="none"/>
        </w:rPr>
      </w:pPr>
      <w:r>
        <w:rPr>
          <w:rFonts w:hint="eastAsia" w:ascii="宋体" w:hAnsi="宋体" w:cs="Arial"/>
          <w:b/>
          <w:color w:val="auto"/>
          <w:kern w:val="0"/>
          <w:sz w:val="24"/>
          <w:highlight w:val="none"/>
        </w:rPr>
        <w:t>第十</w:t>
      </w:r>
      <w:r>
        <w:rPr>
          <w:rFonts w:hint="eastAsia" w:ascii="宋体" w:hAnsi="宋体" w:cs="Arial"/>
          <w:b/>
          <w:color w:val="auto"/>
          <w:kern w:val="0"/>
          <w:sz w:val="24"/>
          <w:highlight w:val="none"/>
          <w:lang w:val="en-US" w:eastAsia="zh-CN"/>
        </w:rPr>
        <w:t>一</w:t>
      </w:r>
      <w:r>
        <w:rPr>
          <w:rFonts w:hint="eastAsia" w:ascii="宋体" w:hAnsi="宋体" w:cs="Arial"/>
          <w:b/>
          <w:color w:val="auto"/>
          <w:kern w:val="0"/>
          <w:sz w:val="24"/>
          <w:highlight w:val="none"/>
        </w:rPr>
        <w:t>条 验收及安装调试要求</w:t>
      </w:r>
    </w:p>
    <w:p w14:paraId="00B3AA5F">
      <w:pPr>
        <w:numPr>
          <w:ilvl w:val="0"/>
          <w:numId w:val="46"/>
        </w:numPr>
        <w:shd w:val="clear"/>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到货验收</w:t>
      </w:r>
    </w:p>
    <w:p w14:paraId="7432A78C">
      <w:pPr>
        <w:numPr>
          <w:ilvl w:val="0"/>
          <w:numId w:val="47"/>
        </w:numPr>
        <w:shd w:val="clear"/>
        <w:tabs>
          <w:tab w:val="left" w:pos="851"/>
          <w:tab w:val="left" w:pos="993"/>
        </w:tabs>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甲方在收货后与乙方一起对货物的规格、数量等进行到货验收。如货物有损坏、数量缺少等情况，乙方应按甲方要求立即采取措施进行修理、补充或更换以满足合同要求，并承担由此引起的一切费用和责任。货物经到货验收没发现问题或乙方已按索赔要求予以更换或修理，均不能视为乙方按合同规定应承担的质量保证责任的解除。</w:t>
      </w:r>
    </w:p>
    <w:p w14:paraId="17500229">
      <w:pPr>
        <w:numPr>
          <w:ilvl w:val="0"/>
          <w:numId w:val="46"/>
        </w:numPr>
        <w:shd w:val="clear"/>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安装调试及试运行</w:t>
      </w:r>
    </w:p>
    <w:p w14:paraId="2E731FF3">
      <w:pPr>
        <w:numPr>
          <w:ilvl w:val="0"/>
          <w:numId w:val="48"/>
        </w:numPr>
        <w:shd w:val="clear"/>
        <w:tabs>
          <w:tab w:val="left" w:pos="851"/>
          <w:tab w:val="left" w:pos="993"/>
        </w:tabs>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乙方应指派技术人员按合同规定的日程完成货物的安装和调试、试运行工作，并对甲方人员进行技术指导，保证使货物达到预定的性能指标。</w:t>
      </w:r>
    </w:p>
    <w:p w14:paraId="464AC5F1">
      <w:pPr>
        <w:numPr>
          <w:ilvl w:val="0"/>
          <w:numId w:val="48"/>
        </w:numPr>
        <w:shd w:val="clear"/>
        <w:tabs>
          <w:tab w:val="left" w:pos="851"/>
          <w:tab w:val="left" w:pos="993"/>
        </w:tabs>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乙方负责货物安装调试、</w:t>
      </w:r>
      <w:r>
        <w:rPr>
          <w:rFonts w:hint="eastAsia" w:ascii="宋体" w:hAnsi="宋体" w:cs="宋体"/>
          <w:color w:val="auto"/>
          <w:sz w:val="24"/>
          <w:highlight w:val="none"/>
        </w:rPr>
        <w:t>试运行</w:t>
      </w:r>
      <w:r>
        <w:rPr>
          <w:rFonts w:hint="eastAsia" w:ascii="宋体" w:hAnsi="宋体" w:cs="宋体"/>
          <w:color w:val="auto"/>
          <w:sz w:val="24"/>
          <w:highlight w:val="none"/>
        </w:rPr>
        <w:t>完毕前的保管，乙方安装调试完毕后，提请甲方进行初步验收。如果经初步验收，货物存在缺陷，按下述约定处理：</w:t>
      </w:r>
    </w:p>
    <w:p w14:paraId="3216834E">
      <w:pPr>
        <w:numPr>
          <w:ilvl w:val="0"/>
          <w:numId w:val="49"/>
        </w:numPr>
        <w:shd w:val="clear"/>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如果货物存在严重的缺陷，则退回给乙方，乙方重新提供货物并进行安装，双方协商第二次验收的时间。前述发生的费用由乙方承担。若安装调试逾期，乙方应当按照约定承担违约责任。</w:t>
      </w:r>
    </w:p>
    <w:p w14:paraId="219D806C">
      <w:pPr>
        <w:numPr>
          <w:ilvl w:val="0"/>
          <w:numId w:val="49"/>
        </w:numPr>
        <w:shd w:val="clear"/>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如果货物存在一些轻微的缺陷，则乙方应当现场在24小时内纠正缺陷，纠正后进行第二次验收。</w:t>
      </w:r>
    </w:p>
    <w:p w14:paraId="523922C3">
      <w:pPr>
        <w:numPr>
          <w:ilvl w:val="0"/>
          <w:numId w:val="49"/>
        </w:numPr>
        <w:shd w:val="clear"/>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无论轻微缺陷、一般缺陷或者严重缺陷，若经两次整改，货物仍不满足合同约定要求，则甲方有权解除合同，同时要求乙方承担合同总价【30】%的违约金，若前述违约金不足以弥补甲方损失，则甲方有权要求乙方进一步赔偿相应损失。</w:t>
      </w:r>
    </w:p>
    <w:p w14:paraId="008EB15F">
      <w:pPr>
        <w:numPr>
          <w:ilvl w:val="0"/>
          <w:numId w:val="49"/>
        </w:numPr>
        <w:shd w:val="clear"/>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对于验收中出现的缺陷是否属于严重缺陷，甲方有最终决定权。</w:t>
      </w:r>
    </w:p>
    <w:p w14:paraId="28672F19">
      <w:pPr>
        <w:numPr>
          <w:ilvl w:val="0"/>
          <w:numId w:val="48"/>
        </w:numPr>
        <w:shd w:val="clear"/>
        <w:tabs>
          <w:tab w:val="left" w:pos="851"/>
          <w:tab w:val="left" w:pos="993"/>
        </w:tabs>
        <w:spacing w:line="360" w:lineRule="auto"/>
        <w:ind w:left="0" w:firstLine="567"/>
        <w:rPr>
          <w:rFonts w:hint="eastAsia" w:ascii="宋体" w:hAnsi="宋体" w:cs="宋体"/>
          <w:color w:val="auto"/>
          <w:sz w:val="24"/>
          <w:highlight w:val="none"/>
        </w:rPr>
      </w:pPr>
      <w:r>
        <w:rPr>
          <w:rFonts w:hint="eastAsia" w:ascii="宋体" w:hAnsi="宋体" w:cs="宋体"/>
          <w:color w:val="auto"/>
          <w:sz w:val="24"/>
          <w:highlight w:val="none"/>
        </w:rPr>
        <w:t xml:space="preserve">当所有的货物安装调试完毕，均通过甲方的初步验收及试运行终验后，货物正式交付给甲方。交付之前，货物毁损、灭失的风险由乙方承担。  </w:t>
      </w:r>
    </w:p>
    <w:p w14:paraId="171CD17A">
      <w:p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hint="eastAsia" w:ascii="宋体" w:hAnsi="宋体" w:cs="Arial"/>
          <w:b/>
          <w:color w:val="auto"/>
          <w:kern w:val="0"/>
          <w:sz w:val="24"/>
          <w:highlight w:val="none"/>
        </w:rPr>
      </w:pPr>
      <w:r>
        <w:rPr>
          <w:rFonts w:hint="eastAsia" w:ascii="宋体" w:hAnsi="宋体" w:cs="Arial"/>
          <w:b/>
          <w:color w:val="auto"/>
          <w:kern w:val="0"/>
          <w:sz w:val="24"/>
          <w:highlight w:val="none"/>
        </w:rPr>
        <w:t>第十</w:t>
      </w:r>
      <w:r>
        <w:rPr>
          <w:rFonts w:hint="eastAsia" w:ascii="宋体" w:hAnsi="宋体" w:cs="Arial"/>
          <w:b/>
          <w:color w:val="auto"/>
          <w:kern w:val="0"/>
          <w:sz w:val="24"/>
          <w:highlight w:val="none"/>
          <w:lang w:val="en-US" w:eastAsia="zh-CN"/>
        </w:rPr>
        <w:t>二</w:t>
      </w:r>
      <w:r>
        <w:rPr>
          <w:rFonts w:hint="eastAsia" w:ascii="宋体" w:hAnsi="宋体" w:cs="Arial"/>
          <w:b/>
          <w:color w:val="auto"/>
          <w:kern w:val="0"/>
          <w:sz w:val="24"/>
          <w:highlight w:val="none"/>
        </w:rPr>
        <w:t>条 违约责任</w:t>
      </w:r>
    </w:p>
    <w:p w14:paraId="6C52C894">
      <w:pPr>
        <w:pStyle w:val="164"/>
        <w:numPr>
          <w:ilvl w:val="0"/>
          <w:numId w:val="50"/>
        </w:numPr>
        <w:shd w:val="clear"/>
        <w:spacing w:line="360" w:lineRule="auto"/>
        <w:ind w:left="0" w:firstLine="420"/>
        <w:rPr>
          <w:rFonts w:ascii="宋体" w:hAnsi="宋体"/>
          <w:color w:val="auto"/>
          <w:highlight w:val="none"/>
        </w:rPr>
      </w:pPr>
      <w:r>
        <w:rPr>
          <w:rFonts w:hint="eastAsia" w:ascii="宋体" w:hAnsi="宋体"/>
          <w:color w:val="auto"/>
          <w:highlight w:val="none"/>
        </w:rPr>
        <w:t>乙方所提供的产品和服务不符合合同规定及招标文件规定标准的，甲方有权要求乙方改正，乙方拒绝改正的，甲方可单方面解除合同。</w:t>
      </w:r>
    </w:p>
    <w:p w14:paraId="63A36970">
      <w:pPr>
        <w:pStyle w:val="164"/>
        <w:numPr>
          <w:ilvl w:val="0"/>
          <w:numId w:val="50"/>
        </w:numPr>
        <w:shd w:val="clear"/>
        <w:spacing w:line="360" w:lineRule="auto"/>
        <w:ind w:left="0" w:firstLine="420"/>
        <w:rPr>
          <w:rFonts w:ascii="宋体" w:hAnsi="宋体"/>
          <w:color w:val="auto"/>
          <w:highlight w:val="none"/>
        </w:rPr>
      </w:pPr>
      <w:r>
        <w:rPr>
          <w:rFonts w:hint="eastAsia" w:ascii="宋体" w:hAnsi="宋体"/>
          <w:color w:val="auto"/>
          <w:highlight w:val="none"/>
        </w:rPr>
        <w:t>乙方保证项目组人员具备完成此次服务的相关资质、经验、技术等条件，乙方更换人员必须经甲方书面同意，否则甲方有权解除合同。</w:t>
      </w:r>
    </w:p>
    <w:p w14:paraId="621F5847">
      <w:pPr>
        <w:pStyle w:val="164"/>
        <w:numPr>
          <w:ilvl w:val="0"/>
          <w:numId w:val="50"/>
        </w:numPr>
        <w:shd w:val="clear"/>
        <w:spacing w:line="360" w:lineRule="auto"/>
        <w:ind w:left="0" w:firstLine="420"/>
        <w:rPr>
          <w:rFonts w:hint="eastAsia" w:ascii="宋体" w:hAnsi="宋体"/>
          <w:color w:val="auto"/>
          <w:highlight w:val="none"/>
        </w:rPr>
      </w:pPr>
      <w:r>
        <w:rPr>
          <w:rFonts w:hint="eastAsia" w:ascii="宋体" w:hAnsi="宋体"/>
          <w:color w:val="auto"/>
          <w:highlight w:val="none"/>
        </w:rPr>
        <w:t>乙方应按照甲方规定的时间交货和提供服务。除不可抗力，如乙方发生不能按期交货、施工安装、调试、试运行、交付的情况，应及时以书面形式将不能按时交货</w:t>
      </w:r>
      <w:r>
        <w:rPr>
          <w:rFonts w:hint="eastAsia" w:ascii="宋体" w:hAnsi="宋体"/>
          <w:color w:val="auto"/>
          <w:highlight w:val="none"/>
        </w:rPr>
        <w:t>或完工的理由、延误时间通知甲方。如甲方同意，可酌情延长交货时间或工期，如甲方不同意延期，乙方逾期供货的，自逾期之日起，向甲方每日偿付</w:t>
      </w:r>
      <w:r>
        <w:rPr>
          <w:rFonts w:hint="eastAsia" w:ascii="宋体" w:hAnsi="宋体" w:cs="宋体"/>
          <w:color w:val="auto"/>
          <w:highlight w:val="none"/>
        </w:rPr>
        <w:t>延迟交货部分货款</w:t>
      </w:r>
      <w:r>
        <w:rPr>
          <w:rFonts w:hint="eastAsia" w:ascii="宋体" w:hAnsi="宋体"/>
          <w:color w:val="auto"/>
          <w:highlight w:val="none"/>
        </w:rPr>
        <w:t>总价5‰的违约金；乙方逾期5个工作日不能交货的，应向甲方支付合同总价5%的违约金，并且甲方有权解除本合同，不再退还履约保证金。</w:t>
      </w:r>
    </w:p>
    <w:p w14:paraId="53220DE8">
      <w:p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hint="eastAsia" w:ascii="宋体" w:hAnsi="宋体" w:cs="Arial"/>
          <w:color w:val="auto"/>
          <w:kern w:val="0"/>
          <w:sz w:val="24"/>
          <w:highlight w:val="none"/>
        </w:rPr>
      </w:pPr>
      <w:r>
        <w:rPr>
          <w:rFonts w:hint="eastAsia" w:ascii="宋体" w:hAnsi="宋体" w:cs="Arial"/>
          <w:color w:val="auto"/>
          <w:kern w:val="0"/>
          <w:sz w:val="24"/>
          <w:highlight w:val="none"/>
        </w:rPr>
        <w:t>注：如由于甲方原因导致乙方不能及时安装调试或试运行或交付的，对延误的工期予以相应的顺延，但不承担任何补偿或赔偿费用。</w:t>
      </w:r>
    </w:p>
    <w:p w14:paraId="53D8B9C6">
      <w:pPr>
        <w:pStyle w:val="164"/>
        <w:numPr>
          <w:ilvl w:val="0"/>
          <w:numId w:val="50"/>
        </w:numPr>
        <w:shd w:val="clear"/>
        <w:spacing w:line="360" w:lineRule="auto"/>
        <w:ind w:left="0" w:firstLine="420"/>
        <w:rPr>
          <w:rFonts w:hint="eastAsia" w:ascii="宋体" w:hAnsi="宋体"/>
          <w:color w:val="auto"/>
          <w:highlight w:val="none"/>
        </w:rPr>
      </w:pPr>
      <w:r>
        <w:rPr>
          <w:rFonts w:hint="eastAsia" w:ascii="宋体" w:hAnsi="宋体"/>
          <w:color w:val="auto"/>
          <w:highlight w:val="none"/>
        </w:rPr>
        <w:t>乙方未在约定时间内完成安装调试</w:t>
      </w:r>
      <w:r>
        <w:rPr>
          <w:rFonts w:hint="eastAsia" w:ascii="宋体" w:hAnsi="宋体" w:cs="Arial"/>
          <w:color w:val="auto"/>
          <w:kern w:val="0"/>
          <w:highlight w:val="none"/>
        </w:rPr>
        <w:t>试运行</w:t>
      </w:r>
      <w:r>
        <w:rPr>
          <w:rFonts w:hint="eastAsia" w:ascii="宋体" w:hAnsi="宋体"/>
          <w:color w:val="auto"/>
          <w:highlight w:val="none"/>
        </w:rPr>
        <w:t>的，参照前款约定承担违约责任。</w:t>
      </w:r>
    </w:p>
    <w:p w14:paraId="06529E41">
      <w:pPr>
        <w:pStyle w:val="164"/>
        <w:numPr>
          <w:ilvl w:val="0"/>
          <w:numId w:val="50"/>
        </w:numPr>
        <w:shd w:val="clear"/>
        <w:spacing w:line="360" w:lineRule="auto"/>
        <w:ind w:left="0" w:firstLine="420"/>
        <w:rPr>
          <w:rFonts w:hint="eastAsia" w:ascii="宋体" w:hAnsi="宋体"/>
          <w:color w:val="auto"/>
          <w:highlight w:val="none"/>
        </w:rPr>
      </w:pPr>
      <w:r>
        <w:rPr>
          <w:rFonts w:hint="eastAsia" w:ascii="宋体" w:hAnsi="宋体"/>
          <w:color w:val="auto"/>
          <w:highlight w:val="none"/>
        </w:rPr>
        <w:t>乙方违反本合同和招投标文件约定的有关质量保证服务或运维服务的，每发生</w:t>
      </w:r>
      <w:r>
        <w:rPr>
          <w:rFonts w:hint="eastAsia" w:ascii="宋体" w:hAnsi="宋体"/>
          <w:color w:val="auto"/>
          <w:highlight w:val="none"/>
        </w:rPr>
        <w:t>一次，乙方应向甲方支付10000元违约金。同时，甲方有权委托第三方进行保修，所产生的费用由乙方承担。若因货物缺陷或乙方服务质量等问题造成甲方或任何人员人身、财产损害的，乙方应承担有关责任并作出相应赔偿。</w:t>
      </w:r>
    </w:p>
    <w:p w14:paraId="0B8CEBCB">
      <w:pPr>
        <w:pStyle w:val="164"/>
        <w:numPr>
          <w:ilvl w:val="0"/>
          <w:numId w:val="50"/>
        </w:numPr>
        <w:shd w:val="clear"/>
        <w:spacing w:line="360" w:lineRule="auto"/>
        <w:ind w:left="0" w:firstLine="420"/>
        <w:rPr>
          <w:rFonts w:hint="eastAsia" w:ascii="宋体" w:hAnsi="宋体"/>
          <w:color w:val="auto"/>
          <w:highlight w:val="none"/>
        </w:rPr>
      </w:pPr>
      <w:r>
        <w:rPr>
          <w:rFonts w:hint="eastAsia" w:ascii="宋体" w:hAnsi="宋体"/>
          <w:color w:val="auto"/>
          <w:highlight w:val="none"/>
        </w:rPr>
        <w:t>因乙方违约或者其他过错造成甲方损失大于约定的违约金数额的，乙方应当赔偿甲方损失，且不受限额的限制。</w:t>
      </w:r>
    </w:p>
    <w:p w14:paraId="293E6C6D">
      <w:pPr>
        <w:pStyle w:val="164"/>
        <w:numPr>
          <w:ilvl w:val="0"/>
          <w:numId w:val="50"/>
        </w:numPr>
        <w:shd w:val="clear"/>
        <w:spacing w:line="360" w:lineRule="auto"/>
        <w:ind w:left="0" w:firstLine="420"/>
        <w:rPr>
          <w:rFonts w:hint="eastAsia" w:ascii="宋体" w:hAnsi="宋体"/>
          <w:color w:val="auto"/>
          <w:highlight w:val="none"/>
        </w:rPr>
      </w:pPr>
      <w:r>
        <w:rPr>
          <w:rFonts w:hint="eastAsia" w:ascii="宋体" w:hAnsi="宋体"/>
          <w:color w:val="auto"/>
          <w:highlight w:val="none"/>
        </w:rPr>
        <w:t>在未得到对方许可的情况下，甲方或乙方均不得擅自终止本合同，如双方中的任何一方无正当理由终止合同，则违约方将向另一方支付中途毁约违约金，金额为合同总价的 30%。</w:t>
      </w:r>
    </w:p>
    <w:p w14:paraId="566F48E0">
      <w:pPr>
        <w:shd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hint="eastAsia" w:ascii="宋体" w:hAnsi="宋体" w:cs="Arial"/>
          <w:b/>
          <w:color w:val="auto"/>
          <w:kern w:val="0"/>
          <w:sz w:val="24"/>
          <w:highlight w:val="none"/>
        </w:rPr>
      </w:pPr>
      <w:r>
        <w:rPr>
          <w:rFonts w:hint="eastAsia" w:ascii="宋体" w:hAnsi="宋体" w:cs="Arial"/>
          <w:b/>
          <w:color w:val="auto"/>
          <w:kern w:val="0"/>
          <w:sz w:val="24"/>
          <w:highlight w:val="none"/>
        </w:rPr>
        <w:t>第十</w:t>
      </w:r>
      <w:r>
        <w:rPr>
          <w:rFonts w:hint="eastAsia" w:ascii="宋体" w:hAnsi="宋体" w:cs="Arial"/>
          <w:b/>
          <w:color w:val="auto"/>
          <w:kern w:val="0"/>
          <w:sz w:val="24"/>
          <w:highlight w:val="none"/>
          <w:lang w:val="en-US" w:eastAsia="zh-CN"/>
        </w:rPr>
        <w:t>三</w:t>
      </w:r>
      <w:r>
        <w:rPr>
          <w:rFonts w:hint="eastAsia" w:ascii="宋体" w:hAnsi="宋体" w:cs="Arial"/>
          <w:b/>
          <w:color w:val="auto"/>
          <w:kern w:val="0"/>
          <w:sz w:val="24"/>
          <w:highlight w:val="none"/>
        </w:rPr>
        <w:t>条 索赔</w:t>
      </w:r>
    </w:p>
    <w:p w14:paraId="718947DE">
      <w:pPr>
        <w:widowControl/>
        <w:numPr>
          <w:ilvl w:val="0"/>
          <w:numId w:val="51"/>
        </w:numPr>
        <w:shd w:val="clear"/>
        <w:tabs>
          <w:tab w:val="left" w:pos="567"/>
          <w:tab w:val="left" w:pos="709"/>
          <w:tab w:val="left" w:pos="993"/>
        </w:tabs>
        <w:adjustRightInd w:val="0"/>
        <w:snapToGrid w:val="0"/>
        <w:spacing w:line="360" w:lineRule="auto"/>
        <w:ind w:left="425" w:firstLine="1"/>
        <w:jc w:val="left"/>
        <w:rPr>
          <w:rFonts w:hint="eastAsia" w:ascii="宋体" w:hAnsi="宋体" w:cs="宋体"/>
          <w:bCs/>
          <w:snapToGrid w:val="0"/>
          <w:color w:val="auto"/>
          <w:kern w:val="28"/>
          <w:sz w:val="24"/>
          <w:highlight w:val="none"/>
        </w:rPr>
      </w:pPr>
      <w:r>
        <w:rPr>
          <w:rFonts w:hint="eastAsia" w:ascii="宋体" w:hAnsi="宋体" w:cs="宋体"/>
          <w:bCs/>
          <w:snapToGrid w:val="0"/>
          <w:color w:val="auto"/>
          <w:kern w:val="28"/>
          <w:sz w:val="24"/>
          <w:highlight w:val="none"/>
        </w:rPr>
        <w:t>在质保期内，如果乙方对由甲方提出的索赔和差异负有责任，乙方应按照甲方同意的下列一种或多种方式解决索赔事宜：</w:t>
      </w:r>
    </w:p>
    <w:p w14:paraId="0CEAB3B9">
      <w:pPr>
        <w:widowControl/>
        <w:numPr>
          <w:ilvl w:val="0"/>
          <w:numId w:val="52"/>
        </w:numPr>
        <w:shd w:val="clear"/>
        <w:tabs>
          <w:tab w:val="left" w:pos="567"/>
          <w:tab w:val="left" w:pos="709"/>
        </w:tabs>
        <w:adjustRightInd w:val="0"/>
        <w:snapToGrid w:val="0"/>
        <w:spacing w:line="360" w:lineRule="auto"/>
        <w:ind w:hanging="278"/>
        <w:jc w:val="left"/>
        <w:rPr>
          <w:rFonts w:hint="eastAsia" w:ascii="宋体" w:hAnsi="宋体" w:cs="宋体"/>
          <w:bCs/>
          <w:snapToGrid w:val="0"/>
          <w:color w:val="auto"/>
          <w:kern w:val="28"/>
          <w:sz w:val="24"/>
          <w:highlight w:val="none"/>
        </w:rPr>
      </w:pPr>
      <w:r>
        <w:rPr>
          <w:rFonts w:hint="eastAsia" w:ascii="宋体" w:hAnsi="宋体" w:cs="宋体"/>
          <w:bCs/>
          <w:snapToGrid w:val="0"/>
          <w:color w:val="auto"/>
          <w:kern w:val="28"/>
          <w:sz w:val="24"/>
          <w:highlight w:val="none"/>
        </w:rPr>
        <w:t>根据设备低劣程度、损坏程度以及甲方所遭受损失的数额，经甲、乙双方商定降低设备的价格。</w:t>
      </w:r>
    </w:p>
    <w:p w14:paraId="7F262DEF">
      <w:pPr>
        <w:widowControl/>
        <w:numPr>
          <w:ilvl w:val="0"/>
          <w:numId w:val="52"/>
        </w:numPr>
        <w:shd w:val="clear"/>
        <w:tabs>
          <w:tab w:val="left" w:pos="567"/>
          <w:tab w:val="left" w:pos="709"/>
        </w:tabs>
        <w:adjustRightInd w:val="0"/>
        <w:snapToGrid w:val="0"/>
        <w:spacing w:line="360" w:lineRule="auto"/>
        <w:ind w:hanging="278"/>
        <w:jc w:val="left"/>
        <w:rPr>
          <w:rFonts w:hint="eastAsia" w:ascii="宋体" w:hAnsi="宋体" w:cs="宋体"/>
          <w:bCs/>
          <w:snapToGrid w:val="0"/>
          <w:color w:val="auto"/>
          <w:kern w:val="28"/>
          <w:sz w:val="24"/>
          <w:highlight w:val="none"/>
        </w:rPr>
      </w:pPr>
      <w:r>
        <w:rPr>
          <w:rFonts w:hint="eastAsia" w:ascii="宋体" w:hAnsi="宋体" w:cs="宋体"/>
          <w:bCs/>
          <w:snapToGrid w:val="0"/>
          <w:color w:val="auto"/>
          <w:kern w:val="28"/>
          <w:sz w:val="24"/>
          <w:highlight w:val="none"/>
        </w:rPr>
        <w:t>用符合规格、质量和性能要求的新零件、部件或设备来更换有缺陷的部分或修补缺陷部分，乙方应承担一切费用和风险，并负担甲方所发生的一切直接费用。同时，根据甲方要求相应延长修补或更换部件的质保期。</w:t>
      </w:r>
    </w:p>
    <w:p w14:paraId="5C1D05C0">
      <w:pPr>
        <w:widowControl/>
        <w:numPr>
          <w:ilvl w:val="0"/>
          <w:numId w:val="52"/>
        </w:numPr>
        <w:shd w:val="clear"/>
        <w:tabs>
          <w:tab w:val="left" w:pos="567"/>
          <w:tab w:val="left" w:pos="709"/>
        </w:tabs>
        <w:adjustRightInd w:val="0"/>
        <w:snapToGrid w:val="0"/>
        <w:spacing w:line="360" w:lineRule="auto"/>
        <w:ind w:hanging="278"/>
        <w:jc w:val="left"/>
        <w:rPr>
          <w:rFonts w:hint="eastAsia" w:ascii="宋体" w:hAnsi="宋体" w:cs="宋体"/>
          <w:bCs/>
          <w:snapToGrid w:val="0"/>
          <w:color w:val="auto"/>
          <w:kern w:val="28"/>
          <w:sz w:val="24"/>
          <w:highlight w:val="none"/>
        </w:rPr>
      </w:pPr>
      <w:r>
        <w:rPr>
          <w:rFonts w:hint="eastAsia" w:ascii="宋体" w:hAnsi="宋体" w:cs="宋体"/>
          <w:bCs/>
          <w:snapToGrid w:val="0"/>
          <w:color w:val="auto"/>
          <w:kern w:val="28"/>
          <w:sz w:val="24"/>
          <w:highlight w:val="none"/>
        </w:rPr>
        <w:t>如果在甲方发出索赔通知后 30 天内，乙方未作答复，上述索赔应视已被乙方接受。乙方未能在甲方提出索赔通知后 30 天内，或甲方同意的更长时间内，按照本合同条款规定的方法解决索赔事宜，甲方将从未付款或从乙方开具的履约保证金中扣回索赔金额。如果这些金额不足以补偿索赔金额，甲方有权向乙方就不足部分提出补偿。</w:t>
      </w:r>
    </w:p>
    <w:p w14:paraId="4B569CA7">
      <w:pPr>
        <w:pStyle w:val="164"/>
        <w:shd w:val="clear"/>
        <w:spacing w:line="360" w:lineRule="auto"/>
        <w:ind w:left="560"/>
        <w:rPr>
          <w:rFonts w:hint="eastAsia" w:ascii="宋体" w:hAnsi="宋体" w:cs="Arial"/>
          <w:b/>
          <w:color w:val="auto"/>
          <w:kern w:val="0"/>
          <w:highlight w:val="none"/>
        </w:rPr>
      </w:pPr>
      <w:r>
        <w:rPr>
          <w:rFonts w:hint="eastAsia" w:ascii="宋体" w:hAnsi="宋体" w:cs="Arial"/>
          <w:b/>
          <w:color w:val="auto"/>
          <w:kern w:val="0"/>
          <w:highlight w:val="none"/>
        </w:rPr>
        <w:t>第十</w:t>
      </w:r>
      <w:r>
        <w:rPr>
          <w:rFonts w:hint="eastAsia" w:ascii="宋体" w:hAnsi="宋体" w:cs="Arial"/>
          <w:b/>
          <w:color w:val="auto"/>
          <w:kern w:val="0"/>
          <w:highlight w:val="none"/>
          <w:lang w:val="en-US" w:eastAsia="zh-CN"/>
        </w:rPr>
        <w:t>四</w:t>
      </w:r>
      <w:r>
        <w:rPr>
          <w:rFonts w:hint="eastAsia" w:ascii="宋体" w:hAnsi="宋体" w:cs="Arial"/>
          <w:b/>
          <w:color w:val="auto"/>
          <w:kern w:val="0"/>
          <w:highlight w:val="none"/>
        </w:rPr>
        <w:t>条 不可抗力事件处理</w:t>
      </w:r>
    </w:p>
    <w:p w14:paraId="5D8EDFC7">
      <w:pPr>
        <w:widowControl/>
        <w:numPr>
          <w:ilvl w:val="0"/>
          <w:numId w:val="53"/>
        </w:numPr>
        <w:shd w:val="clear"/>
        <w:tabs>
          <w:tab w:val="left" w:pos="567"/>
          <w:tab w:val="left" w:pos="709"/>
          <w:tab w:val="left" w:pos="993"/>
        </w:tabs>
        <w:adjustRightInd w:val="0"/>
        <w:snapToGrid w:val="0"/>
        <w:spacing w:line="360" w:lineRule="auto"/>
        <w:ind w:left="425" w:firstLine="1"/>
        <w:jc w:val="left"/>
        <w:rPr>
          <w:rFonts w:hint="eastAsia" w:ascii="宋体" w:hAnsi="宋体" w:cs="宋体"/>
          <w:bCs/>
          <w:snapToGrid w:val="0"/>
          <w:color w:val="auto"/>
          <w:kern w:val="28"/>
          <w:sz w:val="24"/>
          <w:highlight w:val="none"/>
        </w:rPr>
      </w:pPr>
      <w:r>
        <w:rPr>
          <w:rFonts w:hint="eastAsia" w:ascii="宋体" w:hAnsi="宋体" w:cs="宋体"/>
          <w:bCs/>
          <w:snapToGrid w:val="0"/>
          <w:color w:val="auto"/>
          <w:kern w:val="28"/>
          <w:sz w:val="24"/>
          <w:highlight w:val="none"/>
        </w:rPr>
        <w:t>在合同有效期内，任何一方因不可抗力事件导致不能履行合同，则合同履行期可延长，其延长期与不可抗力影响期相同。</w:t>
      </w:r>
    </w:p>
    <w:p w14:paraId="26C9448D">
      <w:pPr>
        <w:widowControl/>
        <w:numPr>
          <w:ilvl w:val="0"/>
          <w:numId w:val="53"/>
        </w:numPr>
        <w:shd w:val="clear"/>
        <w:tabs>
          <w:tab w:val="left" w:pos="567"/>
          <w:tab w:val="left" w:pos="709"/>
          <w:tab w:val="left" w:pos="993"/>
        </w:tabs>
        <w:adjustRightInd w:val="0"/>
        <w:snapToGrid w:val="0"/>
        <w:spacing w:line="360" w:lineRule="auto"/>
        <w:ind w:left="425" w:firstLine="1"/>
        <w:jc w:val="left"/>
        <w:rPr>
          <w:rFonts w:hint="eastAsia" w:ascii="宋体" w:hAnsi="宋体" w:cs="宋体"/>
          <w:bCs/>
          <w:snapToGrid w:val="0"/>
          <w:color w:val="auto"/>
          <w:kern w:val="28"/>
          <w:sz w:val="24"/>
          <w:highlight w:val="none"/>
        </w:rPr>
      </w:pPr>
      <w:r>
        <w:rPr>
          <w:rFonts w:hint="eastAsia" w:ascii="宋体" w:hAnsi="宋体" w:cs="宋体"/>
          <w:bCs/>
          <w:snapToGrid w:val="0"/>
          <w:color w:val="auto"/>
          <w:kern w:val="28"/>
          <w:sz w:val="24"/>
          <w:highlight w:val="none"/>
        </w:rPr>
        <w:t>不可抗力事件发生后，应立即通知对方，并寄送有关权威机构出具的证明。</w:t>
      </w:r>
    </w:p>
    <w:p w14:paraId="348E3820">
      <w:pPr>
        <w:widowControl/>
        <w:numPr>
          <w:ilvl w:val="0"/>
          <w:numId w:val="53"/>
        </w:numPr>
        <w:shd w:val="clear"/>
        <w:tabs>
          <w:tab w:val="left" w:pos="567"/>
          <w:tab w:val="left" w:pos="709"/>
          <w:tab w:val="left" w:pos="993"/>
        </w:tabs>
        <w:adjustRightInd w:val="0"/>
        <w:snapToGrid w:val="0"/>
        <w:spacing w:line="360" w:lineRule="auto"/>
        <w:ind w:left="425" w:firstLine="1"/>
        <w:jc w:val="left"/>
        <w:rPr>
          <w:rFonts w:hint="eastAsia" w:ascii="宋体" w:hAnsi="宋体" w:cs="宋体"/>
          <w:bCs/>
          <w:snapToGrid w:val="0"/>
          <w:color w:val="auto"/>
          <w:kern w:val="28"/>
          <w:sz w:val="24"/>
          <w:highlight w:val="none"/>
        </w:rPr>
      </w:pPr>
      <w:r>
        <w:rPr>
          <w:rFonts w:hint="eastAsia" w:ascii="宋体" w:hAnsi="宋体" w:cs="宋体"/>
          <w:bCs/>
          <w:snapToGrid w:val="0"/>
          <w:color w:val="auto"/>
          <w:kern w:val="28"/>
          <w:sz w:val="24"/>
          <w:highlight w:val="none"/>
        </w:rPr>
        <w:t>不可抗力事件延续 120 天以上，双方应通过友好协商，确定是否继续履行合同。</w:t>
      </w:r>
    </w:p>
    <w:p w14:paraId="02B8869C">
      <w:pPr>
        <w:keepNext w:val="0"/>
        <w:keepLines w:val="0"/>
        <w:pageBreakBefore w:val="0"/>
        <w:widowControl w:val="0"/>
        <w:shd w:val="clear"/>
        <w:kinsoku/>
        <w:wordWrap w:val="0"/>
        <w:overflowPunct/>
        <w:topLinePunct w:val="0"/>
        <w:autoSpaceDE/>
        <w:autoSpaceDN/>
        <w:bidi w:val="0"/>
        <w:adjustRightInd w:val="0"/>
        <w:snapToGrid w:val="0"/>
        <w:spacing w:line="420" w:lineRule="exact"/>
        <w:ind w:right="0" w:firstLine="0" w:firstLineChars="0"/>
        <w:jc w:val="left"/>
        <w:textAlignment w:val="auto"/>
        <w:rPr>
          <w:rFonts w:ascii="宋体" w:hAnsi="宋体"/>
          <w:b/>
          <w:color w:val="auto"/>
          <w:sz w:val="24"/>
          <w:highlight w:val="none"/>
        </w:rPr>
      </w:pPr>
      <w:r>
        <w:rPr>
          <w:rFonts w:hint="eastAsia" w:ascii="宋体" w:hAnsi="宋体"/>
          <w:b/>
          <w:color w:val="auto"/>
          <w:sz w:val="24"/>
          <w:highlight w:val="none"/>
          <w:lang w:eastAsia="zh-CN"/>
        </w:rPr>
        <w:t>招标人</w:t>
      </w:r>
      <w:r>
        <w:rPr>
          <w:rFonts w:hint="eastAsia" w:ascii="宋体" w:hAnsi="宋体"/>
          <w:b/>
          <w:color w:val="auto"/>
          <w:sz w:val="24"/>
          <w:highlight w:val="none"/>
        </w:rPr>
        <w:t xml:space="preserve">（甲方公章） </w:t>
      </w:r>
      <w:r>
        <w:rPr>
          <w:rFonts w:hint="eastAsia" w:ascii="宋体" w:hAnsi="宋体"/>
          <w:b/>
          <w:color w:val="auto"/>
          <w:sz w:val="24"/>
          <w:highlight w:val="none"/>
          <w:lang w:eastAsia="zh-CN"/>
        </w:rPr>
        <w:t>：</w:t>
      </w:r>
      <w:r>
        <w:rPr>
          <w:rFonts w:hint="eastAsia" w:ascii="宋体" w:hAnsi="宋体"/>
          <w:b/>
          <w:color w:val="auto"/>
          <w:sz w:val="24"/>
          <w:highlight w:val="none"/>
        </w:rPr>
        <w:t xml:space="preserve">                 供应商（乙方公章）：</w:t>
      </w:r>
    </w:p>
    <w:p w14:paraId="724C0DA2">
      <w:pPr>
        <w:keepNext w:val="0"/>
        <w:keepLines w:val="0"/>
        <w:pageBreakBefore w:val="0"/>
        <w:widowControl w:val="0"/>
        <w:shd w:val="clear"/>
        <w:kinsoku/>
        <w:wordWrap w:val="0"/>
        <w:overflowPunct/>
        <w:topLinePunct w:val="0"/>
        <w:autoSpaceDE/>
        <w:autoSpaceDN/>
        <w:bidi w:val="0"/>
        <w:adjustRightInd w:val="0"/>
        <w:snapToGrid w:val="0"/>
        <w:spacing w:line="420" w:lineRule="exact"/>
        <w:ind w:right="0" w:firstLine="0" w:firstLineChars="0"/>
        <w:jc w:val="left"/>
        <w:textAlignment w:val="auto"/>
        <w:rPr>
          <w:rFonts w:ascii="宋体" w:hAnsi="宋体"/>
          <w:b/>
          <w:color w:val="auto"/>
          <w:sz w:val="24"/>
          <w:highlight w:val="none"/>
        </w:rPr>
      </w:pPr>
      <w:r>
        <w:rPr>
          <w:rFonts w:hint="eastAsia" w:ascii="宋体" w:hAnsi="宋体"/>
          <w:b/>
          <w:color w:val="auto"/>
          <w:sz w:val="24"/>
          <w:highlight w:val="none"/>
        </w:rPr>
        <w:t>法定代表人                            法定代表人</w:t>
      </w:r>
    </w:p>
    <w:p w14:paraId="1FDDB2A5">
      <w:pPr>
        <w:keepNext w:val="0"/>
        <w:keepLines w:val="0"/>
        <w:pageBreakBefore w:val="0"/>
        <w:widowControl w:val="0"/>
        <w:shd w:val="clear"/>
        <w:kinsoku/>
        <w:wordWrap w:val="0"/>
        <w:overflowPunct/>
        <w:topLinePunct w:val="0"/>
        <w:autoSpaceDE/>
        <w:autoSpaceDN/>
        <w:bidi w:val="0"/>
        <w:adjustRightInd w:val="0"/>
        <w:snapToGrid w:val="0"/>
        <w:spacing w:line="420" w:lineRule="exact"/>
        <w:ind w:right="0" w:firstLine="0" w:firstLineChars="0"/>
        <w:jc w:val="left"/>
        <w:textAlignment w:val="auto"/>
        <w:rPr>
          <w:rFonts w:ascii="宋体" w:hAnsi="宋体"/>
          <w:b/>
          <w:color w:val="auto"/>
          <w:sz w:val="24"/>
          <w:highlight w:val="none"/>
        </w:rPr>
      </w:pPr>
      <w:r>
        <w:rPr>
          <w:rFonts w:hint="eastAsia" w:ascii="宋体" w:hAnsi="宋体"/>
          <w:b/>
          <w:color w:val="auto"/>
          <w:sz w:val="24"/>
          <w:highlight w:val="none"/>
        </w:rPr>
        <w:t>或被授权人（签字）：                  或被授权人（签字）：</w:t>
      </w:r>
    </w:p>
    <w:p w14:paraId="48CC401C">
      <w:pPr>
        <w:keepNext w:val="0"/>
        <w:keepLines w:val="0"/>
        <w:pageBreakBefore w:val="0"/>
        <w:widowControl w:val="0"/>
        <w:shd w:val="clear"/>
        <w:kinsoku/>
        <w:wordWrap w:val="0"/>
        <w:overflowPunct/>
        <w:topLinePunct w:val="0"/>
        <w:autoSpaceDE/>
        <w:autoSpaceDN/>
        <w:bidi w:val="0"/>
        <w:adjustRightInd w:val="0"/>
        <w:snapToGrid w:val="0"/>
        <w:spacing w:line="420" w:lineRule="exact"/>
        <w:ind w:right="0" w:firstLine="0" w:firstLineChars="0"/>
        <w:jc w:val="left"/>
        <w:textAlignment w:val="auto"/>
        <w:rPr>
          <w:rFonts w:ascii="宋体" w:hAnsi="宋体"/>
          <w:b/>
          <w:color w:val="auto"/>
          <w:sz w:val="24"/>
          <w:highlight w:val="none"/>
        </w:rPr>
      </w:pPr>
      <w:r>
        <w:rPr>
          <w:rFonts w:hint="eastAsia" w:ascii="宋体" w:hAnsi="宋体"/>
          <w:b/>
          <w:color w:val="auto"/>
          <w:sz w:val="24"/>
          <w:highlight w:val="none"/>
        </w:rPr>
        <w:t>电话：                                电话：</w:t>
      </w:r>
    </w:p>
    <w:p w14:paraId="04FB40B8">
      <w:pPr>
        <w:keepNext w:val="0"/>
        <w:keepLines w:val="0"/>
        <w:pageBreakBefore w:val="0"/>
        <w:widowControl w:val="0"/>
        <w:shd w:val="clear"/>
        <w:kinsoku/>
        <w:wordWrap w:val="0"/>
        <w:overflowPunct/>
        <w:topLinePunct w:val="0"/>
        <w:autoSpaceDE/>
        <w:autoSpaceDN/>
        <w:bidi w:val="0"/>
        <w:adjustRightInd w:val="0"/>
        <w:snapToGrid w:val="0"/>
        <w:spacing w:line="420" w:lineRule="exact"/>
        <w:ind w:right="0" w:firstLine="4578" w:firstLineChars="1900"/>
        <w:jc w:val="left"/>
        <w:textAlignment w:val="auto"/>
        <w:rPr>
          <w:rFonts w:ascii="宋体" w:hAnsi="宋体"/>
          <w:b/>
          <w:color w:val="auto"/>
          <w:sz w:val="24"/>
          <w:highlight w:val="none"/>
        </w:rPr>
      </w:pPr>
      <w:r>
        <w:rPr>
          <w:rFonts w:hint="eastAsia" w:ascii="宋体" w:hAnsi="宋体"/>
          <w:b/>
          <w:color w:val="auto"/>
          <w:sz w:val="24"/>
          <w:highlight w:val="none"/>
        </w:rPr>
        <w:t>开户银行账号：</w:t>
      </w:r>
    </w:p>
    <w:p w14:paraId="75D6B709">
      <w:pPr>
        <w:keepNext w:val="0"/>
        <w:keepLines w:val="0"/>
        <w:pageBreakBefore w:val="0"/>
        <w:widowControl w:val="0"/>
        <w:shd w:val="clear"/>
        <w:kinsoku/>
        <w:wordWrap w:val="0"/>
        <w:overflowPunct/>
        <w:topLinePunct w:val="0"/>
        <w:autoSpaceDE/>
        <w:autoSpaceDN/>
        <w:bidi w:val="0"/>
        <w:adjustRightInd w:val="0"/>
        <w:snapToGrid w:val="0"/>
        <w:spacing w:line="420" w:lineRule="exact"/>
        <w:ind w:right="0" w:firstLine="4560" w:firstLineChars="1900"/>
        <w:jc w:val="left"/>
        <w:textAlignment w:val="auto"/>
        <w:rPr>
          <w:rFonts w:hint="eastAsia" w:ascii="宋体" w:hAnsi="宋体"/>
          <w:b w:val="0"/>
          <w:bCs w:val="0"/>
          <w:color w:val="auto"/>
          <w:sz w:val="24"/>
          <w:highlight w:val="none"/>
        </w:rPr>
      </w:pPr>
    </w:p>
    <w:p w14:paraId="3760F158">
      <w:pPr>
        <w:keepNext w:val="0"/>
        <w:keepLines w:val="0"/>
        <w:pageBreakBefore w:val="0"/>
        <w:widowControl w:val="0"/>
        <w:shd w:val="clear"/>
        <w:kinsoku/>
        <w:wordWrap w:val="0"/>
        <w:overflowPunct/>
        <w:topLinePunct w:val="0"/>
        <w:autoSpaceDE/>
        <w:autoSpaceDN/>
        <w:bidi w:val="0"/>
        <w:adjustRightInd w:val="0"/>
        <w:snapToGrid w:val="0"/>
        <w:spacing w:line="420" w:lineRule="exact"/>
        <w:ind w:right="0" w:firstLine="4560" w:firstLineChars="1900"/>
        <w:jc w:val="left"/>
        <w:textAlignment w:val="auto"/>
        <w:rPr>
          <w:rFonts w:ascii="宋体" w:hAnsi="宋体"/>
          <w:b w:val="0"/>
          <w:bCs w:val="0"/>
          <w:color w:val="auto"/>
          <w:sz w:val="24"/>
          <w:highlight w:val="none"/>
        </w:rPr>
      </w:pPr>
      <w:r>
        <w:rPr>
          <w:rFonts w:hint="eastAsia" w:ascii="宋体" w:hAnsi="宋体"/>
          <w:b w:val="0"/>
          <w:bCs w:val="0"/>
          <w:color w:val="auto"/>
          <w:sz w:val="24"/>
          <w:highlight w:val="none"/>
        </w:rPr>
        <w:t>合同签订日期：     年    月   日</w:t>
      </w:r>
    </w:p>
    <w:p w14:paraId="1573790A">
      <w:pPr>
        <w:keepNext w:val="0"/>
        <w:keepLines w:val="0"/>
        <w:pageBreakBefore w:val="0"/>
        <w:widowControl w:val="0"/>
        <w:shd w:val="clear"/>
        <w:kinsoku/>
        <w:wordWrap w:val="0"/>
        <w:overflowPunct/>
        <w:topLinePunct w:val="0"/>
        <w:autoSpaceDE/>
        <w:autoSpaceDN/>
        <w:bidi w:val="0"/>
        <w:adjustRightInd w:val="0"/>
        <w:snapToGrid w:val="0"/>
        <w:spacing w:line="420" w:lineRule="exact"/>
        <w:ind w:right="0" w:firstLine="4560" w:firstLineChars="1900"/>
        <w:jc w:val="left"/>
        <w:textAlignment w:val="auto"/>
        <w:rPr>
          <w:rFonts w:ascii="宋体" w:hAnsi="宋体" w:cs="Arial"/>
          <w:b w:val="0"/>
          <w:bCs w:val="0"/>
          <w:color w:val="auto"/>
          <w:kern w:val="0"/>
          <w:sz w:val="24"/>
          <w:highlight w:val="none"/>
        </w:rPr>
      </w:pPr>
      <w:r>
        <w:rPr>
          <w:rFonts w:hint="eastAsia" w:ascii="宋体" w:hAnsi="宋体"/>
          <w:b w:val="0"/>
          <w:bCs w:val="0"/>
          <w:color w:val="auto"/>
          <w:sz w:val="24"/>
          <w:highlight w:val="none"/>
        </w:rPr>
        <w:t>签约地点：</w:t>
      </w:r>
    </w:p>
    <w:p w14:paraId="42E1C37C">
      <w:pPr>
        <w:pageBreakBefore w:val="0"/>
        <w:shd w:val="clear"/>
        <w:kinsoku/>
        <w:wordWrap w:val="0"/>
        <w:overflowPunct/>
        <w:topLinePunct w:val="0"/>
        <w:bidi w:val="0"/>
        <w:rPr>
          <w:color w:val="auto"/>
          <w:highlight w:val="none"/>
        </w:rPr>
      </w:pPr>
      <w:bookmarkStart w:id="639" w:name="_Toc513370307"/>
      <w:r>
        <w:rPr>
          <w:rFonts w:hint="eastAsia"/>
          <w:color w:val="auto"/>
          <w:highlight w:val="none"/>
        </w:rPr>
        <w:br w:type="page"/>
      </w:r>
    </w:p>
    <w:p w14:paraId="709DC97A">
      <w:pPr>
        <w:pStyle w:val="2"/>
        <w:pageBreakBefore w:val="0"/>
        <w:shd w:val="clear"/>
        <w:kinsoku/>
        <w:wordWrap w:val="0"/>
        <w:overflowPunct/>
        <w:topLinePunct w:val="0"/>
        <w:bidi w:val="0"/>
        <w:spacing w:before="0" w:after="0" w:line="360" w:lineRule="auto"/>
        <w:rPr>
          <w:color w:val="auto"/>
          <w:highlight w:val="none"/>
        </w:rPr>
      </w:pPr>
      <w:bookmarkStart w:id="640" w:name="_Toc14150"/>
      <w:bookmarkStart w:id="641" w:name="_Toc5900"/>
      <w:r>
        <w:rPr>
          <w:rFonts w:hint="eastAsia"/>
          <w:color w:val="auto"/>
          <w:highlight w:val="none"/>
        </w:rPr>
        <w:t>第六章　投标文件格式</w:t>
      </w:r>
      <w:bookmarkEnd w:id="639"/>
      <w:bookmarkEnd w:id="640"/>
      <w:bookmarkEnd w:id="641"/>
    </w:p>
    <w:p w14:paraId="26E9D44E">
      <w:pPr>
        <w:pageBreakBefore w:val="0"/>
        <w:shd w:val="clear"/>
        <w:kinsoku/>
        <w:wordWrap w:val="0"/>
        <w:overflowPunct/>
        <w:topLinePunct w:val="0"/>
        <w:bidi w:val="0"/>
        <w:snapToGrid w:val="0"/>
        <w:spacing w:beforeLines="50" w:after="50"/>
        <w:jc w:val="center"/>
        <w:outlineLvl w:val="1"/>
        <w:rPr>
          <w:rFonts w:ascii="宋体" w:hAnsi="宋体"/>
          <w:b/>
          <w:bCs/>
          <w:color w:val="auto"/>
          <w:sz w:val="24"/>
          <w:highlight w:val="none"/>
        </w:rPr>
      </w:pPr>
      <w:bookmarkStart w:id="642" w:name="_Toc28547"/>
      <w:bookmarkStart w:id="643" w:name="_Toc11998"/>
      <w:bookmarkStart w:id="644" w:name="_Toc1146"/>
      <w:bookmarkStart w:id="645" w:name="_Toc24935"/>
      <w:bookmarkStart w:id="646" w:name="_Toc5862"/>
      <w:bookmarkStart w:id="647" w:name="_Toc22290"/>
      <w:bookmarkStart w:id="648" w:name="_Toc29956"/>
      <w:bookmarkStart w:id="649" w:name="_Toc5517"/>
      <w:bookmarkStart w:id="650" w:name="_Toc13348"/>
      <w:bookmarkStart w:id="651" w:name="_Toc27453"/>
      <w:bookmarkStart w:id="652" w:name="_Toc31852"/>
      <w:bookmarkStart w:id="653" w:name="_Toc25844"/>
      <w:bookmarkStart w:id="654" w:name="_Toc8988"/>
      <w:bookmarkStart w:id="655" w:name="_Toc381081902"/>
      <w:bookmarkStart w:id="656" w:name="_Toc20784"/>
      <w:bookmarkStart w:id="657" w:name="_Toc8920"/>
      <w:bookmarkStart w:id="658" w:name="_Toc10509"/>
      <w:bookmarkStart w:id="659" w:name="_Toc32309"/>
      <w:r>
        <w:rPr>
          <w:rFonts w:hint="eastAsia" w:ascii="宋体" w:hAnsi="宋体"/>
          <w:b/>
          <w:bCs/>
          <w:color w:val="auto"/>
          <w:sz w:val="24"/>
          <w:highlight w:val="none"/>
        </w:rPr>
        <w:t>一、投标文件外层包装及封面格式</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14:paraId="6DAB8565">
      <w:pPr>
        <w:pageBreakBefore w:val="0"/>
        <w:shd w:val="clear"/>
        <w:kinsoku/>
        <w:wordWrap w:val="0"/>
        <w:overflowPunct/>
        <w:topLinePunct w:val="0"/>
        <w:bidi w:val="0"/>
        <w:snapToGrid w:val="0"/>
        <w:spacing w:beforeLines="50" w:after="50"/>
        <w:rPr>
          <w:rFonts w:ascii="宋体" w:hAnsi="宋体"/>
          <w:b/>
          <w:color w:val="auto"/>
          <w:sz w:val="24"/>
          <w:highlight w:val="none"/>
        </w:rPr>
      </w:pPr>
    </w:p>
    <w:p w14:paraId="3D0770BD">
      <w:pPr>
        <w:pageBreakBefore w:val="0"/>
        <w:shd w:val="clear"/>
        <w:kinsoku/>
        <w:wordWrap w:val="0"/>
        <w:overflowPunct/>
        <w:topLinePunct w:val="0"/>
        <w:bidi w:val="0"/>
        <w:snapToGrid w:val="0"/>
        <w:spacing w:beforeLines="50" w:after="50"/>
        <w:rPr>
          <w:rFonts w:ascii="宋体" w:hAnsi="宋体"/>
          <w:b/>
          <w:color w:val="auto"/>
          <w:sz w:val="24"/>
          <w:highlight w:val="none"/>
        </w:rPr>
      </w:pPr>
      <w:r>
        <w:rPr>
          <w:rFonts w:ascii="宋体" w:hAnsi="宋体"/>
          <w:b/>
          <w:color w:val="auto"/>
          <w:sz w:val="24"/>
          <w:highlight w:val="none"/>
        </w:rPr>
        <w:t>1.</w:t>
      </w:r>
      <w:r>
        <w:rPr>
          <w:rFonts w:hint="eastAsia" w:ascii="宋体" w:hAnsi="宋体"/>
          <w:b/>
          <w:bCs/>
          <w:color w:val="auto"/>
          <w:sz w:val="24"/>
          <w:highlight w:val="none"/>
        </w:rPr>
        <w:t>资信商务及技术文件的外</w:t>
      </w:r>
      <w:r>
        <w:rPr>
          <w:rFonts w:hint="eastAsia" w:ascii="宋体" w:hAnsi="宋体"/>
          <w:b/>
          <w:color w:val="auto"/>
          <w:sz w:val="24"/>
          <w:highlight w:val="none"/>
        </w:rPr>
        <w:t>包装封面格式</w:t>
      </w:r>
    </w:p>
    <w:p w14:paraId="50760D52">
      <w:pPr>
        <w:pageBreakBefore w:val="0"/>
        <w:shd w:val="clear"/>
        <w:kinsoku/>
        <w:wordWrap w:val="0"/>
        <w:overflowPunct/>
        <w:topLinePunct w:val="0"/>
        <w:bidi w:val="0"/>
        <w:snapToGrid w:val="0"/>
        <w:spacing w:beforeLines="50" w:after="50"/>
        <w:jc w:val="center"/>
        <w:rPr>
          <w:rFonts w:ascii="宋体" w:hAnsi="宋体"/>
          <w:b/>
          <w:bCs/>
          <w:color w:val="auto"/>
          <w:sz w:val="32"/>
          <w:szCs w:val="32"/>
          <w:highlight w:val="none"/>
        </w:rPr>
      </w:pPr>
      <w:r>
        <w:rPr>
          <w:rFonts w:hint="eastAsia" w:ascii="宋体" w:hAnsi="宋体"/>
          <w:b/>
          <w:bCs/>
          <w:color w:val="auto"/>
          <w:sz w:val="32"/>
          <w:szCs w:val="32"/>
          <w:highlight w:val="none"/>
        </w:rPr>
        <w:t>投标文件</w:t>
      </w:r>
    </w:p>
    <w:p w14:paraId="3C52FE36">
      <w:pPr>
        <w:pageBreakBefore w:val="0"/>
        <w:shd w:val="clear"/>
        <w:kinsoku/>
        <w:wordWrap w:val="0"/>
        <w:overflowPunct/>
        <w:topLinePunct w:val="0"/>
        <w:bidi w:val="0"/>
        <w:snapToGrid w:val="0"/>
        <w:spacing w:beforeLines="50" w:after="50"/>
        <w:rPr>
          <w:rFonts w:ascii="宋体" w:hAnsi="宋体"/>
          <w:bCs/>
          <w:color w:val="auto"/>
          <w:sz w:val="24"/>
          <w:szCs w:val="20"/>
          <w:highlight w:val="none"/>
        </w:rPr>
      </w:pPr>
    </w:p>
    <w:p w14:paraId="15626FB5">
      <w:pPr>
        <w:pageBreakBefore w:val="0"/>
        <w:shd w:val="clear"/>
        <w:kinsoku/>
        <w:wordWrap w:val="0"/>
        <w:overflowPunct/>
        <w:topLinePunct w:val="0"/>
        <w:bidi w:val="0"/>
        <w:snapToGrid w:val="0"/>
        <w:spacing w:line="360" w:lineRule="auto"/>
        <w:ind w:firstLine="1068" w:firstLineChars="445"/>
        <w:rPr>
          <w:rFonts w:ascii="宋体" w:hAnsi="宋体"/>
          <w:bCs/>
          <w:color w:val="auto"/>
          <w:sz w:val="24"/>
          <w:szCs w:val="20"/>
          <w:highlight w:val="none"/>
        </w:rPr>
      </w:pPr>
      <w:r>
        <w:rPr>
          <w:rFonts w:hint="eastAsia" w:ascii="宋体" w:hAnsi="宋体"/>
          <w:bCs/>
          <w:color w:val="auto"/>
          <w:sz w:val="24"/>
          <w:highlight w:val="none"/>
        </w:rPr>
        <w:t>项目名称：</w:t>
      </w:r>
    </w:p>
    <w:p w14:paraId="7A19E218">
      <w:pPr>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项目编号：</w:t>
      </w:r>
    </w:p>
    <w:p w14:paraId="15D19E45">
      <w:pPr>
        <w:pStyle w:val="12"/>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投标文件名称：</w:t>
      </w:r>
      <w:r>
        <w:rPr>
          <w:rFonts w:hint="eastAsia" w:ascii="宋体" w:hAnsi="宋体"/>
          <w:b/>
          <w:bCs/>
          <w:color w:val="auto"/>
          <w:sz w:val="24"/>
          <w:highlight w:val="none"/>
        </w:rPr>
        <w:t>资信商务及技术文件</w:t>
      </w:r>
    </w:p>
    <w:p w14:paraId="619494E4">
      <w:pPr>
        <w:pStyle w:val="12"/>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投标人名称（盖章）：</w:t>
      </w:r>
    </w:p>
    <w:p w14:paraId="5221390D">
      <w:pPr>
        <w:pStyle w:val="12"/>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投标人地址：</w:t>
      </w:r>
    </w:p>
    <w:p w14:paraId="5498FE42">
      <w:pPr>
        <w:pStyle w:val="12"/>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 xml:space="preserve">在    </w:t>
      </w:r>
      <w:r>
        <w:rPr>
          <w:rFonts w:hint="eastAsia" w:ascii="宋体" w:hAnsi="宋体" w:cs="Arial"/>
          <w:color w:val="auto"/>
          <w:sz w:val="24"/>
          <w:highlight w:val="none"/>
        </w:rPr>
        <w:t>年   月   日</w:t>
      </w:r>
      <w:r>
        <w:rPr>
          <w:rFonts w:hint="eastAsia" w:ascii="宋体" w:hAnsi="宋体"/>
          <w:bCs/>
          <w:color w:val="auto"/>
          <w:sz w:val="24"/>
          <w:highlight w:val="none"/>
        </w:rPr>
        <w:t xml:space="preserve">   时   分之前不得启封</w:t>
      </w:r>
    </w:p>
    <w:p w14:paraId="3D2BC9B1">
      <w:pPr>
        <w:pageBreakBefore w:val="0"/>
        <w:shd w:val="clear"/>
        <w:kinsoku/>
        <w:wordWrap w:val="0"/>
        <w:overflowPunct/>
        <w:topLinePunct w:val="0"/>
        <w:bidi w:val="0"/>
        <w:snapToGrid w:val="0"/>
        <w:spacing w:beforeLines="50" w:after="50"/>
        <w:ind w:firstLine="1068" w:firstLineChars="445"/>
        <w:rPr>
          <w:rFonts w:ascii="宋体" w:hAnsi="宋体"/>
          <w:bCs/>
          <w:color w:val="auto"/>
          <w:sz w:val="24"/>
          <w:szCs w:val="20"/>
          <w:highlight w:val="none"/>
        </w:rPr>
      </w:pPr>
    </w:p>
    <w:p w14:paraId="20B71CC4">
      <w:pPr>
        <w:pageBreakBefore w:val="0"/>
        <w:shd w:val="clear"/>
        <w:kinsoku/>
        <w:wordWrap w:val="0"/>
        <w:overflowPunct/>
        <w:topLinePunct w:val="0"/>
        <w:bidi w:val="0"/>
        <w:snapToGrid w:val="0"/>
        <w:spacing w:beforeLines="50" w:after="50"/>
        <w:ind w:firstLine="645"/>
        <w:jc w:val="center"/>
        <w:rPr>
          <w:rFonts w:ascii="宋体" w:hAnsi="宋体"/>
          <w:bCs/>
          <w:color w:val="auto"/>
          <w:sz w:val="24"/>
          <w:szCs w:val="20"/>
          <w:highlight w:val="none"/>
        </w:rPr>
      </w:pPr>
      <w:r>
        <w:rPr>
          <w:rFonts w:hint="eastAsia" w:ascii="宋体" w:hAnsi="宋体"/>
          <w:bCs/>
          <w:color w:val="auto"/>
          <w:sz w:val="24"/>
          <w:highlight w:val="none"/>
        </w:rPr>
        <w:t>年月日</w:t>
      </w:r>
    </w:p>
    <w:p w14:paraId="7B58B870">
      <w:pPr>
        <w:pageBreakBefore w:val="0"/>
        <w:shd w:val="clear"/>
        <w:kinsoku/>
        <w:wordWrap w:val="0"/>
        <w:overflowPunct/>
        <w:topLinePunct w:val="0"/>
        <w:bidi w:val="0"/>
        <w:snapToGrid w:val="0"/>
        <w:spacing w:beforeLines="50" w:after="50"/>
        <w:jc w:val="center"/>
        <w:rPr>
          <w:rFonts w:ascii="宋体" w:hAnsi="宋体"/>
          <w:color w:val="auto"/>
          <w:sz w:val="24"/>
          <w:szCs w:val="20"/>
          <w:highlight w:val="none"/>
        </w:rPr>
      </w:pPr>
    </w:p>
    <w:p w14:paraId="258B60B8">
      <w:pPr>
        <w:pageBreakBefore w:val="0"/>
        <w:shd w:val="clear"/>
        <w:kinsoku/>
        <w:wordWrap w:val="0"/>
        <w:overflowPunct/>
        <w:topLinePunct w:val="0"/>
        <w:bidi w:val="0"/>
        <w:snapToGrid w:val="0"/>
        <w:spacing w:beforeLines="50" w:after="50"/>
        <w:jc w:val="center"/>
        <w:rPr>
          <w:rFonts w:ascii="宋体" w:hAnsi="宋体"/>
          <w:color w:val="auto"/>
          <w:sz w:val="24"/>
          <w:szCs w:val="20"/>
          <w:highlight w:val="none"/>
        </w:rPr>
      </w:pPr>
    </w:p>
    <w:p w14:paraId="37D85E1D">
      <w:pPr>
        <w:pageBreakBefore w:val="0"/>
        <w:shd w:val="clear"/>
        <w:kinsoku/>
        <w:wordWrap w:val="0"/>
        <w:overflowPunct/>
        <w:topLinePunct w:val="0"/>
        <w:bidi w:val="0"/>
        <w:snapToGrid w:val="0"/>
        <w:spacing w:beforeLines="50" w:after="50"/>
        <w:jc w:val="center"/>
        <w:rPr>
          <w:rFonts w:ascii="宋体" w:hAnsi="宋体"/>
          <w:color w:val="auto"/>
          <w:sz w:val="24"/>
          <w:szCs w:val="20"/>
          <w:highlight w:val="none"/>
        </w:rPr>
      </w:pPr>
    </w:p>
    <w:p w14:paraId="42DBF173">
      <w:pPr>
        <w:pageBreakBefore w:val="0"/>
        <w:shd w:val="clear"/>
        <w:kinsoku/>
        <w:wordWrap w:val="0"/>
        <w:overflowPunct/>
        <w:topLinePunct w:val="0"/>
        <w:bidi w:val="0"/>
        <w:snapToGrid w:val="0"/>
        <w:spacing w:beforeLines="50" w:after="50"/>
        <w:rPr>
          <w:rFonts w:ascii="宋体" w:hAnsi="宋体"/>
          <w:b/>
          <w:color w:val="auto"/>
          <w:sz w:val="24"/>
          <w:highlight w:val="none"/>
        </w:rPr>
      </w:pPr>
      <w:r>
        <w:rPr>
          <w:rFonts w:hint="eastAsia" w:ascii="宋体" w:hAnsi="宋体"/>
          <w:b/>
          <w:color w:val="auto"/>
          <w:sz w:val="24"/>
          <w:highlight w:val="none"/>
        </w:rPr>
        <w:t>2</w:t>
      </w:r>
      <w:r>
        <w:rPr>
          <w:rFonts w:ascii="宋体" w:hAnsi="宋体"/>
          <w:b/>
          <w:color w:val="auto"/>
          <w:sz w:val="24"/>
          <w:highlight w:val="none"/>
        </w:rPr>
        <w:t>.</w:t>
      </w:r>
      <w:r>
        <w:rPr>
          <w:rFonts w:hint="eastAsia" w:ascii="宋体" w:hAnsi="宋体"/>
          <w:b/>
          <w:color w:val="auto"/>
          <w:sz w:val="24"/>
          <w:highlight w:val="none"/>
        </w:rPr>
        <w:t>资信商务及技术文件封面格式：</w:t>
      </w:r>
    </w:p>
    <w:p w14:paraId="3C7ED7D2">
      <w:pPr>
        <w:pageBreakBefore w:val="0"/>
        <w:shd w:val="clear"/>
        <w:kinsoku/>
        <w:wordWrap w:val="0"/>
        <w:overflowPunct/>
        <w:topLinePunct w:val="0"/>
        <w:bidi w:val="0"/>
        <w:snapToGrid w:val="0"/>
        <w:spacing w:beforeLines="50" w:after="50"/>
        <w:jc w:val="right"/>
        <w:rPr>
          <w:rFonts w:ascii="宋体" w:hAnsi="宋体"/>
          <w:b/>
          <w:bCs/>
          <w:color w:val="auto"/>
          <w:sz w:val="32"/>
          <w:szCs w:val="20"/>
          <w:highlight w:val="none"/>
        </w:rPr>
      </w:pPr>
      <w:r>
        <w:rPr>
          <w:rFonts w:hint="eastAsia" w:ascii="宋体" w:hAnsi="宋体"/>
          <w:b/>
          <w:bCs/>
          <w:color w:val="auto"/>
          <w:highlight w:val="none"/>
        </w:rPr>
        <w:t>正本</w:t>
      </w:r>
      <w:r>
        <w:rPr>
          <w:rFonts w:ascii="宋体" w:hAnsi="宋体"/>
          <w:b/>
          <w:bCs/>
          <w:color w:val="auto"/>
          <w:highlight w:val="none"/>
        </w:rPr>
        <w:t>/</w:t>
      </w:r>
      <w:r>
        <w:rPr>
          <w:rFonts w:hint="eastAsia" w:ascii="宋体" w:hAnsi="宋体"/>
          <w:b/>
          <w:bCs/>
          <w:color w:val="auto"/>
          <w:highlight w:val="none"/>
        </w:rPr>
        <w:t>或副本</w:t>
      </w:r>
    </w:p>
    <w:p w14:paraId="4841DC61">
      <w:pPr>
        <w:pageBreakBefore w:val="0"/>
        <w:shd w:val="clear"/>
        <w:kinsoku/>
        <w:wordWrap w:val="0"/>
        <w:overflowPunct/>
        <w:topLinePunct w:val="0"/>
        <w:bidi w:val="0"/>
        <w:snapToGrid w:val="0"/>
        <w:spacing w:beforeLines="50" w:after="50"/>
        <w:jc w:val="center"/>
        <w:rPr>
          <w:rFonts w:ascii="宋体" w:hAnsi="宋体"/>
          <w:b/>
          <w:bCs/>
          <w:color w:val="auto"/>
          <w:sz w:val="32"/>
          <w:szCs w:val="32"/>
          <w:highlight w:val="none"/>
        </w:rPr>
      </w:pPr>
      <w:r>
        <w:rPr>
          <w:rFonts w:hint="eastAsia" w:ascii="宋体" w:hAnsi="宋体"/>
          <w:b/>
          <w:bCs/>
          <w:color w:val="auto"/>
          <w:sz w:val="32"/>
          <w:szCs w:val="32"/>
          <w:highlight w:val="none"/>
        </w:rPr>
        <w:t>资信商务及</w:t>
      </w:r>
      <w:r>
        <w:rPr>
          <w:rFonts w:hint="eastAsia" w:ascii="宋体" w:hAnsi="宋体"/>
          <w:b/>
          <w:color w:val="auto"/>
          <w:sz w:val="32"/>
          <w:szCs w:val="32"/>
          <w:highlight w:val="none"/>
        </w:rPr>
        <w:t>技术文件</w:t>
      </w:r>
    </w:p>
    <w:p w14:paraId="0CDFCB07">
      <w:pPr>
        <w:pageBreakBefore w:val="0"/>
        <w:shd w:val="clear"/>
        <w:kinsoku/>
        <w:wordWrap w:val="0"/>
        <w:overflowPunct/>
        <w:topLinePunct w:val="0"/>
        <w:bidi w:val="0"/>
        <w:snapToGrid w:val="0"/>
        <w:spacing w:beforeLines="50" w:after="50"/>
        <w:rPr>
          <w:rFonts w:ascii="宋体" w:hAnsi="宋体"/>
          <w:bCs/>
          <w:color w:val="auto"/>
          <w:sz w:val="24"/>
          <w:szCs w:val="20"/>
          <w:highlight w:val="none"/>
        </w:rPr>
      </w:pPr>
    </w:p>
    <w:p w14:paraId="0DBB918E">
      <w:pPr>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项目名称：</w:t>
      </w:r>
    </w:p>
    <w:p w14:paraId="6578D2EB">
      <w:pPr>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项目编号：</w:t>
      </w:r>
    </w:p>
    <w:p w14:paraId="50A8AC01">
      <w:pPr>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投标人名称（盖章）：</w:t>
      </w:r>
    </w:p>
    <w:p w14:paraId="51771C66">
      <w:pPr>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投标人地址：</w:t>
      </w:r>
    </w:p>
    <w:p w14:paraId="79101944">
      <w:pPr>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p>
    <w:p w14:paraId="219A8531">
      <w:pPr>
        <w:pageBreakBefore w:val="0"/>
        <w:shd w:val="clear"/>
        <w:kinsoku/>
        <w:wordWrap w:val="0"/>
        <w:overflowPunct/>
        <w:topLinePunct w:val="0"/>
        <w:bidi w:val="0"/>
        <w:snapToGrid w:val="0"/>
        <w:spacing w:beforeLines="50" w:after="50"/>
        <w:ind w:firstLine="645"/>
        <w:jc w:val="center"/>
        <w:rPr>
          <w:rFonts w:ascii="宋体" w:hAnsi="宋体"/>
          <w:color w:val="auto"/>
          <w:sz w:val="24"/>
          <w:highlight w:val="none"/>
        </w:rPr>
      </w:pPr>
      <w:r>
        <w:rPr>
          <w:rFonts w:hint="eastAsia" w:ascii="宋体" w:hAnsi="宋体"/>
          <w:color w:val="auto"/>
          <w:sz w:val="24"/>
          <w:highlight w:val="none"/>
        </w:rPr>
        <w:t>年月日</w:t>
      </w:r>
    </w:p>
    <w:p w14:paraId="63DAB6EC">
      <w:pPr>
        <w:pageBreakBefore w:val="0"/>
        <w:shd w:val="clear"/>
        <w:kinsoku/>
        <w:wordWrap w:val="0"/>
        <w:overflowPunct/>
        <w:topLinePunct w:val="0"/>
        <w:bidi w:val="0"/>
        <w:rPr>
          <w:rFonts w:hint="eastAsia" w:ascii="宋体" w:hAnsi="宋体"/>
          <w:b/>
          <w:color w:val="auto"/>
          <w:sz w:val="24"/>
          <w:highlight w:val="none"/>
        </w:rPr>
      </w:pPr>
      <w:r>
        <w:rPr>
          <w:rFonts w:hint="eastAsia" w:ascii="宋体" w:hAnsi="宋体"/>
          <w:b/>
          <w:color w:val="auto"/>
          <w:sz w:val="24"/>
          <w:highlight w:val="none"/>
        </w:rPr>
        <w:br w:type="page"/>
      </w:r>
    </w:p>
    <w:p w14:paraId="54C848D9">
      <w:pPr>
        <w:pageBreakBefore w:val="0"/>
        <w:shd w:val="clear"/>
        <w:kinsoku/>
        <w:wordWrap w:val="0"/>
        <w:overflowPunct/>
        <w:topLinePunct w:val="0"/>
        <w:bidi w:val="0"/>
        <w:snapToGrid w:val="0"/>
        <w:spacing w:beforeLines="50" w:after="50"/>
        <w:rPr>
          <w:rFonts w:ascii="宋体" w:hAnsi="宋体"/>
          <w:b/>
          <w:color w:val="auto"/>
          <w:sz w:val="24"/>
          <w:highlight w:val="none"/>
        </w:rPr>
      </w:pPr>
      <w:r>
        <w:rPr>
          <w:rFonts w:hint="eastAsia" w:ascii="宋体" w:hAnsi="宋体"/>
          <w:b/>
          <w:color w:val="auto"/>
          <w:sz w:val="24"/>
          <w:highlight w:val="none"/>
        </w:rPr>
        <w:t>3</w:t>
      </w:r>
      <w:r>
        <w:rPr>
          <w:rFonts w:ascii="宋体" w:hAnsi="宋体"/>
          <w:b/>
          <w:color w:val="auto"/>
          <w:sz w:val="24"/>
          <w:highlight w:val="none"/>
        </w:rPr>
        <w:t>.</w:t>
      </w:r>
      <w:r>
        <w:rPr>
          <w:rFonts w:hint="eastAsia" w:ascii="宋体" w:hAnsi="宋体"/>
          <w:b/>
          <w:color w:val="auto"/>
          <w:sz w:val="24"/>
          <w:highlight w:val="none"/>
        </w:rPr>
        <w:t>报价文件的外包装封面格式</w:t>
      </w:r>
    </w:p>
    <w:p w14:paraId="106FCDBB">
      <w:pPr>
        <w:pageBreakBefore w:val="0"/>
        <w:shd w:val="clear"/>
        <w:kinsoku/>
        <w:wordWrap w:val="0"/>
        <w:overflowPunct/>
        <w:topLinePunct w:val="0"/>
        <w:bidi w:val="0"/>
        <w:snapToGrid w:val="0"/>
        <w:spacing w:beforeLines="50" w:after="50"/>
        <w:jc w:val="center"/>
        <w:rPr>
          <w:rFonts w:ascii="宋体" w:hAnsi="宋体"/>
          <w:b/>
          <w:bCs/>
          <w:color w:val="auto"/>
          <w:sz w:val="32"/>
          <w:szCs w:val="32"/>
          <w:highlight w:val="none"/>
        </w:rPr>
      </w:pPr>
      <w:r>
        <w:rPr>
          <w:rFonts w:hint="eastAsia" w:ascii="宋体" w:hAnsi="宋体"/>
          <w:b/>
          <w:bCs/>
          <w:color w:val="auto"/>
          <w:sz w:val="32"/>
          <w:szCs w:val="32"/>
          <w:highlight w:val="none"/>
        </w:rPr>
        <w:t>投标文件</w:t>
      </w:r>
    </w:p>
    <w:p w14:paraId="3ED52C38">
      <w:pPr>
        <w:pageBreakBefore w:val="0"/>
        <w:shd w:val="clear"/>
        <w:kinsoku/>
        <w:wordWrap w:val="0"/>
        <w:overflowPunct/>
        <w:topLinePunct w:val="0"/>
        <w:bidi w:val="0"/>
        <w:snapToGrid w:val="0"/>
        <w:spacing w:beforeLines="50" w:after="50"/>
        <w:rPr>
          <w:rFonts w:ascii="宋体" w:hAnsi="宋体"/>
          <w:bCs/>
          <w:color w:val="auto"/>
          <w:sz w:val="24"/>
          <w:szCs w:val="20"/>
          <w:highlight w:val="none"/>
        </w:rPr>
      </w:pPr>
    </w:p>
    <w:p w14:paraId="014852C7">
      <w:pPr>
        <w:pageBreakBefore w:val="0"/>
        <w:shd w:val="clear"/>
        <w:kinsoku/>
        <w:wordWrap w:val="0"/>
        <w:overflowPunct/>
        <w:topLinePunct w:val="0"/>
        <w:bidi w:val="0"/>
        <w:snapToGrid w:val="0"/>
        <w:spacing w:line="360" w:lineRule="auto"/>
        <w:ind w:firstLine="1068" w:firstLineChars="445"/>
        <w:rPr>
          <w:rFonts w:ascii="宋体" w:hAnsi="宋体"/>
          <w:bCs/>
          <w:color w:val="auto"/>
          <w:sz w:val="24"/>
          <w:szCs w:val="20"/>
          <w:highlight w:val="none"/>
        </w:rPr>
      </w:pPr>
      <w:r>
        <w:rPr>
          <w:rFonts w:hint="eastAsia" w:ascii="宋体" w:hAnsi="宋体"/>
          <w:bCs/>
          <w:color w:val="auto"/>
          <w:sz w:val="24"/>
          <w:highlight w:val="none"/>
        </w:rPr>
        <w:t>项目名称：</w:t>
      </w:r>
    </w:p>
    <w:p w14:paraId="77D4CE4A">
      <w:pPr>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项目编号：</w:t>
      </w:r>
    </w:p>
    <w:p w14:paraId="6A736FF1">
      <w:pPr>
        <w:pStyle w:val="12"/>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投标文件名称：</w:t>
      </w:r>
      <w:r>
        <w:rPr>
          <w:rFonts w:hint="eastAsia" w:ascii="宋体" w:hAnsi="宋体"/>
          <w:b/>
          <w:color w:val="auto"/>
          <w:sz w:val="24"/>
          <w:highlight w:val="none"/>
        </w:rPr>
        <w:t>报价文件</w:t>
      </w:r>
    </w:p>
    <w:p w14:paraId="65CFCA56">
      <w:pPr>
        <w:pStyle w:val="12"/>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投标人名称（盖章）：</w:t>
      </w:r>
    </w:p>
    <w:p w14:paraId="18DCC24A">
      <w:pPr>
        <w:pStyle w:val="12"/>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投标人地址：</w:t>
      </w:r>
    </w:p>
    <w:p w14:paraId="2BE5AE84">
      <w:pPr>
        <w:pStyle w:val="12"/>
        <w:pageBreakBefore w:val="0"/>
        <w:shd w:val="clear"/>
        <w:kinsoku/>
        <w:wordWrap w:val="0"/>
        <w:overflowPunct/>
        <w:topLinePunct w:val="0"/>
        <w:bidi w:val="0"/>
        <w:snapToGrid w:val="0"/>
        <w:spacing w:line="360" w:lineRule="auto"/>
        <w:ind w:firstLine="1068" w:firstLineChars="445"/>
        <w:rPr>
          <w:rFonts w:ascii="宋体" w:hAnsi="宋体"/>
          <w:bCs/>
          <w:color w:val="auto"/>
          <w:sz w:val="24"/>
          <w:highlight w:val="none"/>
        </w:rPr>
      </w:pPr>
      <w:r>
        <w:rPr>
          <w:rFonts w:hint="eastAsia" w:ascii="宋体" w:hAnsi="宋体"/>
          <w:bCs/>
          <w:color w:val="auto"/>
          <w:sz w:val="24"/>
          <w:highlight w:val="none"/>
        </w:rPr>
        <w:t xml:space="preserve">在    </w:t>
      </w:r>
      <w:r>
        <w:rPr>
          <w:rFonts w:hint="eastAsia" w:ascii="宋体" w:hAnsi="宋体" w:cs="Arial"/>
          <w:color w:val="auto"/>
          <w:sz w:val="24"/>
          <w:highlight w:val="none"/>
        </w:rPr>
        <w:t>年   月   日</w:t>
      </w:r>
      <w:r>
        <w:rPr>
          <w:rFonts w:hint="eastAsia" w:ascii="宋体" w:hAnsi="宋体"/>
          <w:bCs/>
          <w:color w:val="auto"/>
          <w:sz w:val="24"/>
          <w:highlight w:val="none"/>
        </w:rPr>
        <w:t xml:space="preserve">   时   分之前不得启封</w:t>
      </w:r>
    </w:p>
    <w:p w14:paraId="0AF4C550">
      <w:pPr>
        <w:pageBreakBefore w:val="0"/>
        <w:shd w:val="clear"/>
        <w:kinsoku/>
        <w:wordWrap w:val="0"/>
        <w:overflowPunct/>
        <w:topLinePunct w:val="0"/>
        <w:bidi w:val="0"/>
        <w:snapToGrid w:val="0"/>
        <w:spacing w:beforeLines="50" w:after="50"/>
        <w:ind w:firstLine="1068" w:firstLineChars="445"/>
        <w:rPr>
          <w:rFonts w:ascii="宋体" w:hAnsi="宋体"/>
          <w:bCs/>
          <w:color w:val="auto"/>
          <w:sz w:val="24"/>
          <w:szCs w:val="20"/>
          <w:highlight w:val="none"/>
        </w:rPr>
      </w:pPr>
    </w:p>
    <w:p w14:paraId="6B34921A">
      <w:pPr>
        <w:pageBreakBefore w:val="0"/>
        <w:shd w:val="clear"/>
        <w:kinsoku/>
        <w:wordWrap w:val="0"/>
        <w:overflowPunct/>
        <w:topLinePunct w:val="0"/>
        <w:bidi w:val="0"/>
        <w:snapToGrid w:val="0"/>
        <w:spacing w:beforeLines="50" w:after="50"/>
        <w:ind w:firstLine="645"/>
        <w:jc w:val="center"/>
        <w:rPr>
          <w:rFonts w:ascii="宋体" w:hAnsi="宋体"/>
          <w:bCs/>
          <w:color w:val="auto"/>
          <w:sz w:val="24"/>
          <w:szCs w:val="20"/>
          <w:highlight w:val="none"/>
        </w:rPr>
      </w:pPr>
      <w:r>
        <w:rPr>
          <w:rFonts w:hint="eastAsia" w:ascii="宋体" w:hAnsi="宋体"/>
          <w:bCs/>
          <w:color w:val="auto"/>
          <w:sz w:val="24"/>
          <w:highlight w:val="none"/>
        </w:rPr>
        <w:t>年月日</w:t>
      </w:r>
    </w:p>
    <w:p w14:paraId="2685F179">
      <w:pPr>
        <w:pStyle w:val="22"/>
        <w:pageBreakBefore w:val="0"/>
        <w:shd w:val="clear"/>
        <w:kinsoku/>
        <w:wordWrap w:val="0"/>
        <w:overflowPunct/>
        <w:topLinePunct w:val="0"/>
        <w:bidi w:val="0"/>
        <w:rPr>
          <w:rFonts w:ascii="宋体" w:hAnsi="宋体"/>
          <w:color w:val="auto"/>
          <w:sz w:val="24"/>
          <w:highlight w:val="none"/>
        </w:rPr>
      </w:pPr>
    </w:p>
    <w:p w14:paraId="25665F4B">
      <w:pPr>
        <w:pStyle w:val="22"/>
        <w:pageBreakBefore w:val="0"/>
        <w:shd w:val="clear"/>
        <w:kinsoku/>
        <w:wordWrap w:val="0"/>
        <w:overflowPunct/>
        <w:topLinePunct w:val="0"/>
        <w:bidi w:val="0"/>
        <w:rPr>
          <w:rFonts w:ascii="宋体" w:hAnsi="宋体"/>
          <w:color w:val="auto"/>
          <w:sz w:val="24"/>
          <w:highlight w:val="none"/>
        </w:rPr>
      </w:pPr>
    </w:p>
    <w:p w14:paraId="1093F35B">
      <w:pPr>
        <w:pStyle w:val="22"/>
        <w:pageBreakBefore w:val="0"/>
        <w:shd w:val="clear"/>
        <w:kinsoku/>
        <w:wordWrap w:val="0"/>
        <w:overflowPunct/>
        <w:topLinePunct w:val="0"/>
        <w:bidi w:val="0"/>
        <w:rPr>
          <w:rFonts w:ascii="宋体" w:hAnsi="宋体"/>
          <w:color w:val="auto"/>
          <w:sz w:val="24"/>
          <w:highlight w:val="none"/>
        </w:rPr>
      </w:pPr>
    </w:p>
    <w:p w14:paraId="430BCC8E">
      <w:pPr>
        <w:pStyle w:val="22"/>
        <w:pageBreakBefore w:val="0"/>
        <w:shd w:val="clear"/>
        <w:kinsoku/>
        <w:wordWrap w:val="0"/>
        <w:overflowPunct/>
        <w:topLinePunct w:val="0"/>
        <w:bidi w:val="0"/>
        <w:rPr>
          <w:rFonts w:ascii="宋体" w:hAnsi="宋体"/>
          <w:color w:val="auto"/>
          <w:sz w:val="24"/>
          <w:highlight w:val="none"/>
        </w:rPr>
      </w:pPr>
    </w:p>
    <w:p w14:paraId="0F42A887">
      <w:pPr>
        <w:pageBreakBefore w:val="0"/>
        <w:shd w:val="clear"/>
        <w:kinsoku/>
        <w:wordWrap w:val="0"/>
        <w:overflowPunct/>
        <w:topLinePunct w:val="0"/>
        <w:bidi w:val="0"/>
        <w:snapToGrid w:val="0"/>
        <w:spacing w:beforeLines="50" w:after="50"/>
        <w:rPr>
          <w:rFonts w:hint="eastAsia" w:ascii="宋体" w:hAnsi="宋体"/>
          <w:b/>
          <w:color w:val="auto"/>
          <w:sz w:val="24"/>
          <w:highlight w:val="none"/>
        </w:rPr>
      </w:pPr>
    </w:p>
    <w:p w14:paraId="24631894">
      <w:pPr>
        <w:pageBreakBefore w:val="0"/>
        <w:shd w:val="clear"/>
        <w:kinsoku/>
        <w:wordWrap w:val="0"/>
        <w:overflowPunct/>
        <w:topLinePunct w:val="0"/>
        <w:bidi w:val="0"/>
        <w:snapToGrid w:val="0"/>
        <w:spacing w:beforeLines="50" w:after="50"/>
        <w:rPr>
          <w:rFonts w:hint="eastAsia" w:ascii="宋体" w:hAnsi="宋体"/>
          <w:b/>
          <w:color w:val="auto"/>
          <w:sz w:val="24"/>
          <w:highlight w:val="none"/>
        </w:rPr>
      </w:pPr>
    </w:p>
    <w:p w14:paraId="00D02410">
      <w:pPr>
        <w:pageBreakBefore w:val="0"/>
        <w:shd w:val="clear"/>
        <w:kinsoku/>
        <w:wordWrap w:val="0"/>
        <w:overflowPunct/>
        <w:topLinePunct w:val="0"/>
        <w:bidi w:val="0"/>
        <w:snapToGrid w:val="0"/>
        <w:spacing w:beforeLines="50" w:after="50"/>
        <w:rPr>
          <w:rFonts w:ascii="宋体" w:hAnsi="宋体"/>
          <w:color w:val="auto"/>
          <w:sz w:val="24"/>
          <w:szCs w:val="20"/>
          <w:highlight w:val="none"/>
        </w:rPr>
      </w:pPr>
      <w:r>
        <w:rPr>
          <w:rFonts w:hint="eastAsia" w:ascii="宋体" w:hAnsi="宋体"/>
          <w:b/>
          <w:color w:val="auto"/>
          <w:sz w:val="24"/>
          <w:highlight w:val="none"/>
        </w:rPr>
        <w:t>4．报价文件封面格式：</w:t>
      </w:r>
    </w:p>
    <w:p w14:paraId="5207E24C">
      <w:pPr>
        <w:pageBreakBefore w:val="0"/>
        <w:shd w:val="clear"/>
        <w:kinsoku/>
        <w:wordWrap w:val="0"/>
        <w:overflowPunct/>
        <w:topLinePunct w:val="0"/>
        <w:bidi w:val="0"/>
        <w:snapToGrid w:val="0"/>
        <w:spacing w:beforeLines="50" w:after="50"/>
        <w:jc w:val="right"/>
        <w:rPr>
          <w:rFonts w:ascii="宋体" w:hAnsi="宋体"/>
          <w:b/>
          <w:bCs/>
          <w:color w:val="auto"/>
          <w:sz w:val="32"/>
          <w:szCs w:val="20"/>
          <w:highlight w:val="none"/>
        </w:rPr>
      </w:pPr>
      <w:r>
        <w:rPr>
          <w:rFonts w:hint="eastAsia" w:ascii="宋体" w:hAnsi="宋体"/>
          <w:b/>
          <w:bCs/>
          <w:color w:val="auto"/>
          <w:highlight w:val="none"/>
        </w:rPr>
        <w:t>正本</w:t>
      </w:r>
      <w:r>
        <w:rPr>
          <w:rFonts w:ascii="宋体" w:hAnsi="宋体"/>
          <w:b/>
          <w:bCs/>
          <w:color w:val="auto"/>
          <w:highlight w:val="none"/>
        </w:rPr>
        <w:t>/</w:t>
      </w:r>
      <w:r>
        <w:rPr>
          <w:rFonts w:hint="eastAsia" w:ascii="宋体" w:hAnsi="宋体"/>
          <w:b/>
          <w:bCs/>
          <w:color w:val="auto"/>
          <w:highlight w:val="none"/>
        </w:rPr>
        <w:t>或副本</w:t>
      </w:r>
    </w:p>
    <w:p w14:paraId="119E1586">
      <w:pPr>
        <w:pageBreakBefore w:val="0"/>
        <w:shd w:val="clear"/>
        <w:kinsoku/>
        <w:wordWrap w:val="0"/>
        <w:overflowPunct/>
        <w:topLinePunct w:val="0"/>
        <w:bidi w:val="0"/>
        <w:snapToGrid w:val="0"/>
        <w:spacing w:beforeLines="50" w:after="50"/>
        <w:jc w:val="center"/>
        <w:rPr>
          <w:rFonts w:ascii="宋体" w:hAnsi="宋体"/>
          <w:b/>
          <w:bCs/>
          <w:color w:val="auto"/>
          <w:sz w:val="32"/>
          <w:szCs w:val="32"/>
          <w:highlight w:val="none"/>
        </w:rPr>
      </w:pPr>
      <w:r>
        <w:rPr>
          <w:rFonts w:hint="eastAsia" w:ascii="宋体" w:hAnsi="宋体"/>
          <w:b/>
          <w:bCs/>
          <w:color w:val="auto"/>
          <w:sz w:val="32"/>
          <w:szCs w:val="32"/>
          <w:highlight w:val="none"/>
        </w:rPr>
        <w:t>报价文件</w:t>
      </w:r>
    </w:p>
    <w:p w14:paraId="77C60CB7">
      <w:pPr>
        <w:pageBreakBefore w:val="0"/>
        <w:shd w:val="clear"/>
        <w:kinsoku/>
        <w:wordWrap w:val="0"/>
        <w:overflowPunct/>
        <w:topLinePunct w:val="0"/>
        <w:bidi w:val="0"/>
        <w:snapToGrid w:val="0"/>
        <w:spacing w:beforeLines="50" w:after="50" w:line="320" w:lineRule="exact"/>
        <w:ind w:firstLine="1068" w:firstLineChars="445"/>
        <w:rPr>
          <w:rFonts w:ascii="宋体" w:hAnsi="宋体"/>
          <w:bCs/>
          <w:color w:val="auto"/>
          <w:sz w:val="24"/>
          <w:szCs w:val="20"/>
          <w:highlight w:val="none"/>
        </w:rPr>
      </w:pPr>
      <w:r>
        <w:rPr>
          <w:rFonts w:hint="eastAsia" w:ascii="宋体" w:hAnsi="宋体"/>
          <w:bCs/>
          <w:color w:val="auto"/>
          <w:sz w:val="24"/>
          <w:highlight w:val="none"/>
        </w:rPr>
        <w:t>项目名称：</w:t>
      </w:r>
    </w:p>
    <w:p w14:paraId="28FF1A6B">
      <w:pPr>
        <w:pageBreakBefore w:val="0"/>
        <w:shd w:val="clear"/>
        <w:kinsoku/>
        <w:wordWrap w:val="0"/>
        <w:overflowPunct/>
        <w:topLinePunct w:val="0"/>
        <w:bidi w:val="0"/>
        <w:snapToGrid w:val="0"/>
        <w:spacing w:beforeLines="50" w:after="50" w:line="320" w:lineRule="exact"/>
        <w:ind w:firstLine="1068" w:firstLineChars="445"/>
        <w:rPr>
          <w:rFonts w:ascii="宋体" w:hAnsi="宋体"/>
          <w:bCs/>
          <w:color w:val="auto"/>
          <w:sz w:val="24"/>
          <w:highlight w:val="none"/>
        </w:rPr>
      </w:pPr>
      <w:r>
        <w:rPr>
          <w:rFonts w:hint="eastAsia" w:ascii="宋体" w:hAnsi="宋体"/>
          <w:bCs/>
          <w:color w:val="auto"/>
          <w:sz w:val="24"/>
          <w:highlight w:val="none"/>
        </w:rPr>
        <w:t>项目编号：</w:t>
      </w:r>
    </w:p>
    <w:p w14:paraId="7FC468F0">
      <w:pPr>
        <w:pStyle w:val="12"/>
        <w:pageBreakBefore w:val="0"/>
        <w:shd w:val="clear"/>
        <w:kinsoku/>
        <w:wordWrap w:val="0"/>
        <w:overflowPunct/>
        <w:topLinePunct w:val="0"/>
        <w:bidi w:val="0"/>
        <w:snapToGrid w:val="0"/>
        <w:spacing w:before="50" w:after="50" w:line="320" w:lineRule="exact"/>
        <w:ind w:firstLine="1068" w:firstLineChars="445"/>
        <w:rPr>
          <w:rFonts w:ascii="宋体" w:hAnsi="宋体"/>
          <w:bCs/>
          <w:color w:val="auto"/>
          <w:sz w:val="24"/>
          <w:highlight w:val="none"/>
        </w:rPr>
      </w:pPr>
      <w:r>
        <w:rPr>
          <w:rFonts w:hint="eastAsia" w:ascii="宋体" w:hAnsi="宋体"/>
          <w:bCs/>
          <w:color w:val="auto"/>
          <w:sz w:val="24"/>
          <w:highlight w:val="none"/>
        </w:rPr>
        <w:t>投标人名称（盖章）：</w:t>
      </w:r>
    </w:p>
    <w:p w14:paraId="10FABBF9">
      <w:pPr>
        <w:pStyle w:val="12"/>
        <w:pageBreakBefore w:val="0"/>
        <w:shd w:val="clear"/>
        <w:kinsoku/>
        <w:wordWrap w:val="0"/>
        <w:overflowPunct/>
        <w:topLinePunct w:val="0"/>
        <w:bidi w:val="0"/>
        <w:snapToGrid w:val="0"/>
        <w:spacing w:before="50" w:after="50" w:line="320" w:lineRule="exact"/>
        <w:ind w:firstLine="1068" w:firstLineChars="445"/>
        <w:rPr>
          <w:rFonts w:ascii="宋体" w:hAnsi="宋体"/>
          <w:bCs/>
          <w:color w:val="auto"/>
          <w:sz w:val="24"/>
          <w:highlight w:val="none"/>
        </w:rPr>
      </w:pPr>
      <w:r>
        <w:rPr>
          <w:rFonts w:hint="eastAsia" w:ascii="宋体" w:hAnsi="宋体"/>
          <w:bCs/>
          <w:color w:val="auto"/>
          <w:sz w:val="24"/>
          <w:highlight w:val="none"/>
        </w:rPr>
        <w:t>投标人地址：</w:t>
      </w:r>
    </w:p>
    <w:p w14:paraId="7EFE32D9">
      <w:pPr>
        <w:pageBreakBefore w:val="0"/>
        <w:shd w:val="clear"/>
        <w:kinsoku/>
        <w:wordWrap w:val="0"/>
        <w:overflowPunct/>
        <w:topLinePunct w:val="0"/>
        <w:bidi w:val="0"/>
        <w:snapToGrid w:val="0"/>
        <w:spacing w:beforeLines="50" w:after="50" w:line="360" w:lineRule="auto"/>
        <w:ind w:firstLine="645"/>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年月日</w:t>
      </w:r>
    </w:p>
    <w:p w14:paraId="4F667A33">
      <w:pPr>
        <w:keepNext w:val="0"/>
        <w:keepLines w:val="0"/>
        <w:pageBreakBefore w:val="0"/>
        <w:widowControl w:val="0"/>
        <w:shd w:val="clear"/>
        <w:kinsoku/>
        <w:wordWrap w:val="0"/>
        <w:overflowPunct/>
        <w:topLinePunct w:val="0"/>
        <w:autoSpaceDE/>
        <w:autoSpaceDN/>
        <w:bidi w:val="0"/>
        <w:adjustRightInd/>
        <w:snapToGrid w:val="0"/>
        <w:spacing w:beforeLines="50" w:after="50"/>
        <w:jc w:val="center"/>
        <w:textAlignment w:val="auto"/>
        <w:outlineLvl w:val="9"/>
        <w:rPr>
          <w:rFonts w:hint="eastAsia" w:ascii="宋体" w:hAnsi="宋体" w:eastAsia="宋体" w:cs="宋体"/>
          <w:b/>
          <w:bCs/>
          <w:color w:val="auto"/>
          <w:sz w:val="28"/>
          <w:szCs w:val="28"/>
          <w:highlight w:val="none"/>
        </w:rPr>
      </w:pPr>
      <w:bookmarkStart w:id="660" w:name="_Toc6282"/>
      <w:bookmarkStart w:id="661" w:name="_Toc22693"/>
    </w:p>
    <w:p w14:paraId="32489ABC">
      <w:pPr>
        <w:pageBreakBefore w:val="0"/>
        <w:shd w:val="clear"/>
        <w:kinsoku/>
        <w:wordWrap w:val="0"/>
        <w:overflowPunct/>
        <w:topLinePunct w:val="0"/>
        <w:bidi w:val="0"/>
        <w:rPr>
          <w:rFonts w:hint="eastAsia" w:ascii="宋体" w:hAnsi="宋体" w:eastAsia="宋体" w:cs="宋体"/>
          <w:b/>
          <w:bCs/>
          <w:color w:val="auto"/>
          <w:sz w:val="28"/>
          <w:szCs w:val="28"/>
          <w:highlight w:val="none"/>
        </w:rPr>
      </w:pPr>
      <w:bookmarkStart w:id="662" w:name="_Toc18254"/>
      <w:bookmarkStart w:id="663" w:name="_Toc28486"/>
      <w:bookmarkStart w:id="664" w:name="_Toc7673"/>
      <w:bookmarkStart w:id="665" w:name="_Toc16973"/>
      <w:bookmarkStart w:id="666" w:name="_Toc27221"/>
      <w:bookmarkStart w:id="667" w:name="_Toc13847"/>
      <w:bookmarkStart w:id="668" w:name="_Toc11288"/>
      <w:bookmarkStart w:id="669" w:name="_Toc19473"/>
      <w:bookmarkStart w:id="670" w:name="_Toc23069"/>
      <w:bookmarkStart w:id="671" w:name="_Toc22045"/>
      <w:r>
        <w:rPr>
          <w:rFonts w:hint="eastAsia" w:ascii="宋体" w:hAnsi="宋体" w:eastAsia="宋体" w:cs="宋体"/>
          <w:b/>
          <w:bCs/>
          <w:color w:val="auto"/>
          <w:sz w:val="28"/>
          <w:szCs w:val="28"/>
          <w:highlight w:val="none"/>
        </w:rPr>
        <w:br w:type="page"/>
      </w:r>
    </w:p>
    <w:p w14:paraId="434D72ED">
      <w:pPr>
        <w:pageBreakBefore w:val="0"/>
        <w:shd w:val="clear"/>
        <w:kinsoku/>
        <w:wordWrap w:val="0"/>
        <w:overflowPunct/>
        <w:topLinePunct w:val="0"/>
        <w:bidi w:val="0"/>
        <w:snapToGrid w:val="0"/>
        <w:spacing w:beforeLines="50" w:after="50"/>
        <w:jc w:val="center"/>
        <w:outlineLvl w:val="1"/>
        <w:rPr>
          <w:rFonts w:hint="eastAsia" w:ascii="宋体" w:hAnsi="宋体" w:eastAsia="宋体" w:cs="宋体"/>
          <w:b/>
          <w:bCs/>
          <w:color w:val="auto"/>
          <w:sz w:val="28"/>
          <w:szCs w:val="28"/>
          <w:highlight w:val="none"/>
        </w:rPr>
      </w:pPr>
      <w:bookmarkStart w:id="672" w:name="_Toc12332"/>
      <w:bookmarkStart w:id="673" w:name="_Toc30851"/>
      <w:bookmarkStart w:id="674" w:name="_Toc1951"/>
      <w:bookmarkStart w:id="675" w:name="_Toc107"/>
      <w:bookmarkStart w:id="676" w:name="_Toc14090"/>
      <w:r>
        <w:rPr>
          <w:rFonts w:hint="eastAsia" w:ascii="宋体" w:hAnsi="宋体" w:eastAsia="宋体" w:cs="宋体"/>
          <w:b/>
          <w:bCs/>
          <w:color w:val="auto"/>
          <w:sz w:val="28"/>
          <w:szCs w:val="28"/>
          <w:highlight w:val="none"/>
        </w:rPr>
        <w:t>二、投标文件附件（附表）格式</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0B26B2F6">
      <w:pPr>
        <w:pageBreakBefore w:val="0"/>
        <w:shd w:val="clear"/>
        <w:kinsoku/>
        <w:wordWrap w:val="0"/>
        <w:overflowPunct/>
        <w:topLinePunct w:val="0"/>
        <w:bidi w:val="0"/>
        <w:snapToGrid w:val="0"/>
        <w:spacing w:beforeLines="50" w:after="50"/>
        <w:rPr>
          <w:rFonts w:hint="eastAsia" w:ascii="宋体" w:hAnsi="宋体" w:eastAsia="宋体" w:cs="宋体"/>
          <w:b/>
          <w:color w:val="auto"/>
          <w:sz w:val="24"/>
          <w:highlight w:val="none"/>
        </w:rPr>
      </w:pPr>
    </w:p>
    <w:p w14:paraId="35DF75B2">
      <w:pPr>
        <w:pStyle w:val="98"/>
        <w:pageBreakBefore w:val="0"/>
        <w:numPr>
          <w:ilvl w:val="0"/>
          <w:numId w:val="54"/>
        </w:numPr>
        <w:shd w:val="clear"/>
        <w:kinsoku/>
        <w:wordWrap w:val="0"/>
        <w:overflowPunct/>
        <w:topLinePunct w:val="0"/>
        <w:bidi w:val="0"/>
        <w:snapToGrid w:val="0"/>
        <w:ind w:firstLineChars="0"/>
        <w:rPr>
          <w:rFonts w:hint="eastAsia" w:ascii="宋体" w:hAnsi="宋体" w:eastAsia="宋体" w:cs="宋体"/>
          <w:color w:val="auto"/>
          <w:highlight w:val="none"/>
        </w:rPr>
      </w:pPr>
      <w:r>
        <w:rPr>
          <w:rFonts w:hint="eastAsia" w:ascii="宋体" w:hAnsi="宋体" w:eastAsia="宋体" w:cs="宋体"/>
          <w:b/>
          <w:color w:val="auto"/>
          <w:highlight w:val="none"/>
        </w:rPr>
        <w:t>资信商务及技术文件、报价文件目录</w:t>
      </w:r>
      <w:r>
        <w:rPr>
          <w:rFonts w:hint="eastAsia" w:ascii="宋体" w:hAnsi="宋体" w:eastAsia="宋体" w:cs="宋体"/>
          <w:b/>
          <w:bCs/>
          <w:color w:val="auto"/>
          <w:highlight w:val="none"/>
        </w:rPr>
        <w:t>（请按照“第二章投标人须知，三、投标文件的编制”的顺序，结合评标办法自行编制目录）</w:t>
      </w:r>
    </w:p>
    <w:p w14:paraId="5B96A182">
      <w:pPr>
        <w:pageBreakBefore w:val="0"/>
        <w:shd w:val="clear"/>
        <w:kinsoku/>
        <w:wordWrap w:val="0"/>
        <w:overflowPunct/>
        <w:topLinePunct w:val="0"/>
        <w:bidi w:val="0"/>
        <w:snapToGrid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例如：</w:t>
      </w:r>
    </w:p>
    <w:p w14:paraId="7D5D0B19">
      <w:pPr>
        <w:pageBreakBefore w:val="0"/>
        <w:shd w:val="clear"/>
        <w:kinsoku/>
        <w:wordWrap w:val="0"/>
        <w:overflowPunct/>
        <w:topLinePunct w:val="0"/>
        <w:bidi w:val="0"/>
        <w:snapToGrid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资信商务及技术文件：</w:t>
      </w:r>
    </w:p>
    <w:p w14:paraId="131A5302">
      <w:pPr>
        <w:pageBreakBefore w:val="0"/>
        <w:numPr>
          <w:ilvl w:val="0"/>
          <w:numId w:val="55"/>
        </w:numPr>
        <w:shd w:val="clear"/>
        <w:kinsoku/>
        <w:wordWrap w:val="0"/>
        <w:overflowPunct/>
        <w:topLinePunct w:val="0"/>
        <w:bidi w:val="0"/>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资信商务及技术自评表————————————（页码）</w:t>
      </w:r>
    </w:p>
    <w:p w14:paraId="5613BF21">
      <w:pPr>
        <w:pageBreakBefore w:val="0"/>
        <w:numPr>
          <w:ilvl w:val="0"/>
          <w:numId w:val="55"/>
        </w:numPr>
        <w:shd w:val="clear"/>
        <w:kinsoku/>
        <w:wordWrap w:val="0"/>
        <w:overflowPunct/>
        <w:topLinePunct w:val="0"/>
        <w:bidi w:val="0"/>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资格审查资料</w:t>
      </w:r>
      <w:r>
        <w:rPr>
          <w:rFonts w:hint="eastAsia" w:ascii="宋体" w:hAnsi="宋体" w:eastAsia="宋体" w:cs="宋体"/>
          <w:color w:val="auto"/>
          <w:sz w:val="24"/>
          <w:highlight w:val="none"/>
        </w:rPr>
        <w:t>————————————————（页码）</w:t>
      </w:r>
    </w:p>
    <w:p w14:paraId="6BB935BA">
      <w:pPr>
        <w:pageBreakBefore w:val="0"/>
        <w:numPr>
          <w:ilvl w:val="0"/>
          <w:numId w:val="55"/>
        </w:numPr>
        <w:shd w:val="clear"/>
        <w:kinsoku/>
        <w:wordWrap w:val="0"/>
        <w:overflowPunct/>
        <w:topLinePunct w:val="0"/>
        <w:bidi w:val="0"/>
        <w:snapToGrid w:val="0"/>
        <w:spacing w:line="360" w:lineRule="auto"/>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rPr>
        <w:t>投标函———————————————————（页码）</w:t>
      </w:r>
    </w:p>
    <w:p w14:paraId="4DE0F5C0">
      <w:pPr>
        <w:pageBreakBefore w:val="0"/>
        <w:widowControl/>
        <w:shd w:val="clear"/>
        <w:kinsoku/>
        <w:wordWrap w:val="0"/>
        <w:overflowPunct/>
        <w:topLinePunct w:val="0"/>
        <w:bidi w:val="0"/>
        <w:jc w:val="left"/>
        <w:rPr>
          <w:rFonts w:hint="eastAsia" w:ascii="宋体" w:hAnsi="宋体" w:eastAsia="宋体" w:cs="宋体"/>
          <w:color w:val="auto"/>
          <w:sz w:val="24"/>
          <w:szCs w:val="20"/>
          <w:highlight w:val="none"/>
        </w:rPr>
      </w:pPr>
    </w:p>
    <w:p w14:paraId="7AC1AB43">
      <w:pPr>
        <w:pStyle w:val="84"/>
        <w:pageBreakBefore w:val="0"/>
        <w:numPr>
          <w:ilvl w:val="0"/>
          <w:numId w:val="54"/>
        </w:numPr>
        <w:shd w:val="clear"/>
        <w:kinsoku/>
        <w:wordWrap w:val="0"/>
        <w:overflowPunct/>
        <w:topLinePunct w:val="0"/>
        <w:bidi w:val="0"/>
        <w:snapToGrid w:val="0"/>
        <w:ind w:firstLineChars="0"/>
        <w:rPr>
          <w:rFonts w:hint="eastAsia" w:ascii="宋体" w:hAnsi="宋体" w:eastAsia="宋体" w:cs="宋体"/>
          <w:color w:val="auto"/>
          <w:sz w:val="24"/>
          <w:szCs w:val="24"/>
          <w:highlight w:val="none"/>
        </w:rPr>
      </w:pPr>
      <w:r>
        <w:rPr>
          <w:rFonts w:hint="eastAsia" w:ascii="宋体" w:hAnsi="宋体" w:eastAsia="宋体" w:cs="宋体"/>
          <w:color w:val="auto"/>
          <w:szCs w:val="20"/>
          <w:highlight w:val="none"/>
        </w:rPr>
        <w:br w:type="page"/>
      </w:r>
      <w:r>
        <w:rPr>
          <w:rFonts w:hint="eastAsia" w:ascii="宋体" w:hAnsi="宋体" w:eastAsia="宋体" w:cs="宋体"/>
          <w:b/>
          <w:color w:val="auto"/>
          <w:sz w:val="24"/>
          <w:szCs w:val="24"/>
          <w:highlight w:val="none"/>
        </w:rPr>
        <w:t>资信商务及技术自评表格式</w:t>
      </w:r>
    </w:p>
    <w:p w14:paraId="4B09CD69">
      <w:pPr>
        <w:pageBreakBefore w:val="0"/>
        <w:shd w:val="clear"/>
        <w:kinsoku/>
        <w:wordWrap w:val="0"/>
        <w:overflowPunct/>
        <w:topLinePunct w:val="0"/>
        <w:autoSpaceDE w:val="0"/>
        <w:autoSpaceDN w:val="0"/>
        <w:bidi w:val="0"/>
        <w:adjustRightInd w:val="0"/>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color w:val="auto"/>
          <w:sz w:val="24"/>
          <w:szCs w:val="24"/>
          <w:highlight w:val="none"/>
        </w:rPr>
        <w:t>资信商务及技术自评表</w:t>
      </w:r>
    </w:p>
    <w:p w14:paraId="3A469A94">
      <w:pPr>
        <w:keepNext w:val="0"/>
        <w:keepLines w:val="0"/>
        <w:pageBreakBefore w:val="0"/>
        <w:widowControl w:val="0"/>
        <w:shd w:val="clear"/>
        <w:kinsoku/>
        <w:wordWrap w:val="0"/>
        <w:overflowPunct/>
        <w:topLinePunct w:val="0"/>
        <w:autoSpaceDE/>
        <w:autoSpaceDN/>
        <w:bidi w:val="0"/>
        <w:adjustRightInd/>
        <w:snapToGrid/>
        <w:spacing w:line="312"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p w14:paraId="51BFFD28">
      <w:pPr>
        <w:keepNext w:val="0"/>
        <w:keepLines w:val="0"/>
        <w:pageBreakBefore w:val="0"/>
        <w:widowControl w:val="0"/>
        <w:shd w:val="clear"/>
        <w:kinsoku/>
        <w:wordWrap w:val="0"/>
        <w:overflowPunct/>
        <w:topLinePunct w:val="0"/>
        <w:autoSpaceDE/>
        <w:autoSpaceDN/>
        <w:bidi w:val="0"/>
        <w:adjustRightInd/>
        <w:snapToGrid/>
        <w:spacing w:line="312"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投标人名称：</w:t>
      </w:r>
    </w:p>
    <w:tbl>
      <w:tblPr>
        <w:tblStyle w:val="48"/>
        <w:tblW w:w="9151" w:type="dxa"/>
        <w:jc w:val="center"/>
        <w:tblLayout w:type="fixed"/>
        <w:tblCellMar>
          <w:top w:w="0" w:type="dxa"/>
          <w:left w:w="108" w:type="dxa"/>
          <w:bottom w:w="0" w:type="dxa"/>
          <w:right w:w="108" w:type="dxa"/>
        </w:tblCellMar>
      </w:tblPr>
      <w:tblGrid>
        <w:gridCol w:w="2087"/>
        <w:gridCol w:w="393"/>
        <w:gridCol w:w="706"/>
        <w:gridCol w:w="632"/>
        <w:gridCol w:w="1206"/>
        <w:gridCol w:w="1528"/>
        <w:gridCol w:w="323"/>
        <w:gridCol w:w="567"/>
        <w:gridCol w:w="323"/>
        <w:gridCol w:w="1386"/>
      </w:tblGrid>
      <w:tr w14:paraId="620A7B2E">
        <w:tblPrEx>
          <w:tblCellMar>
            <w:top w:w="0" w:type="dxa"/>
            <w:left w:w="108" w:type="dxa"/>
            <w:bottom w:w="0" w:type="dxa"/>
            <w:right w:w="108" w:type="dxa"/>
          </w:tblCellMar>
        </w:tblPrEx>
        <w:trPr>
          <w:trHeight w:val="454" w:hRule="atLeast"/>
          <w:jc w:val="center"/>
        </w:trPr>
        <w:tc>
          <w:tcPr>
            <w:tcW w:w="9151" w:type="dxa"/>
            <w:gridSpan w:val="10"/>
            <w:tcBorders>
              <w:top w:val="single" w:color="auto" w:sz="4" w:space="0"/>
              <w:left w:val="single" w:color="auto" w:sz="4" w:space="0"/>
              <w:bottom w:val="single" w:color="auto" w:sz="4" w:space="0"/>
              <w:right w:val="single" w:color="auto" w:sz="4" w:space="0"/>
            </w:tcBorders>
            <w:noWrap w:val="0"/>
            <w:vAlign w:val="center"/>
          </w:tcPr>
          <w:p w14:paraId="057DEBC2">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kern w:val="0"/>
                <w:sz w:val="21"/>
                <w:szCs w:val="21"/>
                <w:highlight w:val="none"/>
              </w:rPr>
            </w:pPr>
            <w:r>
              <w:rPr>
                <w:rFonts w:hint="eastAsia" w:ascii="Times New Roman" w:hAnsi="Times New Roman" w:eastAsia="宋体" w:cs="Times New Roman"/>
                <w:b/>
                <w:color w:val="auto"/>
                <w:highlight w:val="none"/>
              </w:rPr>
              <w:t>同类项目业绩（0-</w:t>
            </w:r>
            <w:r>
              <w:rPr>
                <w:rFonts w:hint="eastAsia" w:ascii="Times New Roman" w:hAnsi="Times New Roman" w:eastAsia="宋体" w:cs="Times New Roman"/>
                <w:b/>
                <w:color w:val="auto"/>
                <w:highlight w:val="none"/>
                <w:lang w:val="en-US" w:eastAsia="zh-CN"/>
              </w:rPr>
              <w:t>6</w:t>
            </w:r>
            <w:r>
              <w:rPr>
                <w:rFonts w:hint="eastAsia" w:ascii="Times New Roman" w:hAnsi="Times New Roman" w:eastAsia="宋体" w:cs="Times New Roman"/>
                <w:b/>
                <w:color w:val="auto"/>
                <w:highlight w:val="none"/>
              </w:rPr>
              <w:t>分）</w:t>
            </w:r>
          </w:p>
        </w:tc>
      </w:tr>
      <w:tr w14:paraId="4FD67625">
        <w:tblPrEx>
          <w:tblCellMar>
            <w:top w:w="0" w:type="dxa"/>
            <w:left w:w="108" w:type="dxa"/>
            <w:bottom w:w="0" w:type="dxa"/>
            <w:right w:w="108" w:type="dxa"/>
          </w:tblCellMar>
        </w:tblPrEx>
        <w:trPr>
          <w:trHeight w:val="454" w:hRule="atLeast"/>
          <w:jc w:val="center"/>
        </w:trPr>
        <w:tc>
          <w:tcPr>
            <w:tcW w:w="2087" w:type="dxa"/>
            <w:tcBorders>
              <w:top w:val="single" w:color="auto" w:sz="4" w:space="0"/>
              <w:left w:val="single" w:color="auto" w:sz="4" w:space="0"/>
              <w:bottom w:val="single" w:color="auto" w:sz="4" w:space="0"/>
              <w:right w:val="single" w:color="auto" w:sz="4" w:space="0"/>
            </w:tcBorders>
            <w:noWrap w:val="0"/>
            <w:vAlign w:val="center"/>
          </w:tcPr>
          <w:p w14:paraId="22BDB288">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项目名称</w:t>
            </w:r>
          </w:p>
        </w:tc>
        <w:tc>
          <w:tcPr>
            <w:tcW w:w="1731" w:type="dxa"/>
            <w:gridSpan w:val="3"/>
            <w:tcBorders>
              <w:top w:val="single" w:color="auto" w:sz="4" w:space="0"/>
              <w:left w:val="single" w:color="auto" w:sz="4" w:space="0"/>
              <w:bottom w:val="single" w:color="auto" w:sz="4" w:space="0"/>
              <w:right w:val="single" w:color="auto" w:sz="4" w:space="0"/>
            </w:tcBorders>
            <w:noWrap w:val="0"/>
            <w:vAlign w:val="center"/>
          </w:tcPr>
          <w:p w14:paraId="6AEB8D97">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合同签订时间</w:t>
            </w:r>
          </w:p>
        </w:tc>
        <w:tc>
          <w:tcPr>
            <w:tcW w:w="1206" w:type="dxa"/>
            <w:tcBorders>
              <w:top w:val="single" w:color="auto" w:sz="4" w:space="0"/>
              <w:left w:val="single" w:color="auto" w:sz="4" w:space="0"/>
              <w:bottom w:val="single" w:color="auto" w:sz="4" w:space="0"/>
              <w:right w:val="single" w:color="auto" w:sz="4" w:space="0"/>
            </w:tcBorders>
            <w:noWrap w:val="0"/>
            <w:vAlign w:val="center"/>
          </w:tcPr>
          <w:p w14:paraId="7C6907E3">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合同金额（万元）</w:t>
            </w:r>
          </w:p>
        </w:tc>
        <w:tc>
          <w:tcPr>
            <w:tcW w:w="1528" w:type="dxa"/>
            <w:tcBorders>
              <w:top w:val="single" w:color="auto" w:sz="4" w:space="0"/>
              <w:left w:val="single" w:color="auto" w:sz="4" w:space="0"/>
              <w:bottom w:val="single" w:color="auto" w:sz="4" w:space="0"/>
              <w:right w:val="single" w:color="auto" w:sz="4" w:space="0"/>
            </w:tcBorders>
            <w:noWrap w:val="0"/>
            <w:vAlign w:val="center"/>
          </w:tcPr>
          <w:p w14:paraId="0E2300B8">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采购</w:t>
            </w:r>
            <w:r>
              <w:rPr>
                <w:rFonts w:hint="eastAsia" w:ascii="宋体" w:hAnsi="宋体" w:eastAsia="宋体" w:cs="宋体"/>
                <w:color w:val="auto"/>
                <w:kern w:val="0"/>
                <w:sz w:val="21"/>
                <w:szCs w:val="21"/>
                <w:highlight w:val="none"/>
              </w:rPr>
              <w:t>内容</w:t>
            </w:r>
          </w:p>
        </w:tc>
        <w:tc>
          <w:tcPr>
            <w:tcW w:w="890" w:type="dxa"/>
            <w:gridSpan w:val="2"/>
            <w:tcBorders>
              <w:top w:val="single" w:color="auto" w:sz="4" w:space="0"/>
              <w:left w:val="nil"/>
              <w:bottom w:val="single" w:color="auto" w:sz="4" w:space="0"/>
              <w:right w:val="single" w:color="auto" w:sz="4" w:space="0"/>
            </w:tcBorders>
            <w:noWrap w:val="0"/>
            <w:vAlign w:val="center"/>
          </w:tcPr>
          <w:p w14:paraId="3DD479AD">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得分</w:t>
            </w:r>
          </w:p>
        </w:tc>
        <w:tc>
          <w:tcPr>
            <w:tcW w:w="1709" w:type="dxa"/>
            <w:gridSpan w:val="2"/>
            <w:tcBorders>
              <w:top w:val="nil"/>
              <w:left w:val="nil"/>
              <w:bottom w:val="single" w:color="auto" w:sz="4" w:space="0"/>
              <w:right w:val="single" w:color="auto" w:sz="4" w:space="0"/>
            </w:tcBorders>
            <w:noWrap w:val="0"/>
            <w:vAlign w:val="center"/>
          </w:tcPr>
          <w:p w14:paraId="18A63F75">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页码</w:t>
            </w:r>
          </w:p>
        </w:tc>
      </w:tr>
      <w:tr w14:paraId="43C044D8">
        <w:tblPrEx>
          <w:tblCellMar>
            <w:top w:w="0" w:type="dxa"/>
            <w:left w:w="108" w:type="dxa"/>
            <w:bottom w:w="0" w:type="dxa"/>
            <w:right w:w="108" w:type="dxa"/>
          </w:tblCellMar>
        </w:tblPrEx>
        <w:trPr>
          <w:trHeight w:val="454" w:hRule="atLeast"/>
          <w:jc w:val="center"/>
        </w:trPr>
        <w:tc>
          <w:tcPr>
            <w:tcW w:w="2087" w:type="dxa"/>
            <w:tcBorders>
              <w:top w:val="single" w:color="auto" w:sz="4" w:space="0"/>
              <w:left w:val="single" w:color="auto" w:sz="4" w:space="0"/>
              <w:bottom w:val="single" w:color="auto" w:sz="4" w:space="0"/>
              <w:right w:val="single" w:color="auto" w:sz="4" w:space="0"/>
            </w:tcBorders>
            <w:noWrap w:val="0"/>
            <w:vAlign w:val="center"/>
          </w:tcPr>
          <w:p w14:paraId="18A82311">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1731" w:type="dxa"/>
            <w:gridSpan w:val="3"/>
            <w:tcBorders>
              <w:top w:val="single" w:color="auto" w:sz="4" w:space="0"/>
              <w:left w:val="single" w:color="auto" w:sz="4" w:space="0"/>
              <w:bottom w:val="single" w:color="auto" w:sz="4" w:space="0"/>
              <w:right w:val="single" w:color="auto" w:sz="4" w:space="0"/>
            </w:tcBorders>
            <w:noWrap w:val="0"/>
            <w:vAlign w:val="center"/>
          </w:tcPr>
          <w:p w14:paraId="5225697A">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1206" w:type="dxa"/>
            <w:tcBorders>
              <w:top w:val="single" w:color="auto" w:sz="4" w:space="0"/>
              <w:left w:val="single" w:color="auto" w:sz="4" w:space="0"/>
              <w:bottom w:val="single" w:color="auto" w:sz="4" w:space="0"/>
              <w:right w:val="single" w:color="auto" w:sz="4" w:space="0"/>
            </w:tcBorders>
            <w:noWrap w:val="0"/>
            <w:vAlign w:val="center"/>
          </w:tcPr>
          <w:p w14:paraId="0937C379">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1528" w:type="dxa"/>
            <w:tcBorders>
              <w:top w:val="single" w:color="auto" w:sz="4" w:space="0"/>
              <w:left w:val="single" w:color="auto" w:sz="4" w:space="0"/>
              <w:bottom w:val="single" w:color="auto" w:sz="4" w:space="0"/>
              <w:right w:val="single" w:color="auto" w:sz="4" w:space="0"/>
            </w:tcBorders>
            <w:noWrap w:val="0"/>
            <w:vAlign w:val="center"/>
          </w:tcPr>
          <w:p w14:paraId="5BCBFEBE">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890" w:type="dxa"/>
            <w:gridSpan w:val="2"/>
            <w:tcBorders>
              <w:top w:val="single" w:color="auto" w:sz="4" w:space="0"/>
              <w:left w:val="nil"/>
              <w:bottom w:val="single" w:color="auto" w:sz="4" w:space="0"/>
              <w:right w:val="single" w:color="auto" w:sz="4" w:space="0"/>
            </w:tcBorders>
            <w:noWrap w:val="0"/>
            <w:vAlign w:val="center"/>
          </w:tcPr>
          <w:p w14:paraId="68E68E1F">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1709" w:type="dxa"/>
            <w:gridSpan w:val="2"/>
            <w:tcBorders>
              <w:top w:val="nil"/>
              <w:left w:val="nil"/>
              <w:bottom w:val="single" w:color="auto" w:sz="4" w:space="0"/>
              <w:right w:val="single" w:color="auto" w:sz="4" w:space="0"/>
            </w:tcBorders>
            <w:noWrap w:val="0"/>
            <w:vAlign w:val="center"/>
          </w:tcPr>
          <w:p w14:paraId="60B9D8C7">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kern w:val="0"/>
                <w:sz w:val="21"/>
                <w:szCs w:val="21"/>
                <w:highlight w:val="none"/>
              </w:rPr>
            </w:pPr>
          </w:p>
        </w:tc>
      </w:tr>
      <w:tr w14:paraId="4311A5E1">
        <w:tblPrEx>
          <w:tblCellMar>
            <w:top w:w="0" w:type="dxa"/>
            <w:left w:w="108" w:type="dxa"/>
            <w:bottom w:w="0" w:type="dxa"/>
            <w:right w:w="108" w:type="dxa"/>
          </w:tblCellMar>
        </w:tblPrEx>
        <w:trPr>
          <w:trHeight w:val="454" w:hRule="atLeast"/>
          <w:jc w:val="center"/>
        </w:trPr>
        <w:tc>
          <w:tcPr>
            <w:tcW w:w="2087" w:type="dxa"/>
            <w:tcBorders>
              <w:top w:val="single" w:color="auto" w:sz="4" w:space="0"/>
              <w:left w:val="single" w:color="auto" w:sz="4" w:space="0"/>
              <w:bottom w:val="single" w:color="auto" w:sz="4" w:space="0"/>
              <w:right w:val="single" w:color="auto" w:sz="4" w:space="0"/>
            </w:tcBorders>
            <w:noWrap w:val="0"/>
            <w:vAlign w:val="center"/>
          </w:tcPr>
          <w:p w14:paraId="16E4A673">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1731" w:type="dxa"/>
            <w:gridSpan w:val="3"/>
            <w:tcBorders>
              <w:top w:val="single" w:color="auto" w:sz="4" w:space="0"/>
              <w:left w:val="single" w:color="auto" w:sz="4" w:space="0"/>
              <w:bottom w:val="single" w:color="auto" w:sz="4" w:space="0"/>
              <w:right w:val="single" w:color="auto" w:sz="4" w:space="0"/>
            </w:tcBorders>
            <w:noWrap w:val="0"/>
            <w:vAlign w:val="center"/>
          </w:tcPr>
          <w:p w14:paraId="42E9447E">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1206" w:type="dxa"/>
            <w:tcBorders>
              <w:top w:val="single" w:color="auto" w:sz="4" w:space="0"/>
              <w:left w:val="single" w:color="auto" w:sz="4" w:space="0"/>
              <w:bottom w:val="single" w:color="auto" w:sz="4" w:space="0"/>
              <w:right w:val="single" w:color="auto" w:sz="4" w:space="0"/>
            </w:tcBorders>
            <w:noWrap w:val="0"/>
            <w:vAlign w:val="center"/>
          </w:tcPr>
          <w:p w14:paraId="1206B9DA">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1528" w:type="dxa"/>
            <w:tcBorders>
              <w:top w:val="single" w:color="auto" w:sz="4" w:space="0"/>
              <w:left w:val="single" w:color="auto" w:sz="4" w:space="0"/>
              <w:bottom w:val="single" w:color="auto" w:sz="4" w:space="0"/>
              <w:right w:val="single" w:color="auto" w:sz="4" w:space="0"/>
            </w:tcBorders>
            <w:noWrap w:val="0"/>
            <w:vAlign w:val="center"/>
          </w:tcPr>
          <w:p w14:paraId="0EB0D8AE">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890" w:type="dxa"/>
            <w:gridSpan w:val="2"/>
            <w:tcBorders>
              <w:top w:val="single" w:color="auto" w:sz="4" w:space="0"/>
              <w:left w:val="nil"/>
              <w:bottom w:val="single" w:color="auto" w:sz="4" w:space="0"/>
              <w:right w:val="single" w:color="auto" w:sz="4" w:space="0"/>
            </w:tcBorders>
            <w:noWrap w:val="0"/>
            <w:vAlign w:val="center"/>
          </w:tcPr>
          <w:p w14:paraId="4D25E2D5">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c>
          <w:tcPr>
            <w:tcW w:w="1709" w:type="dxa"/>
            <w:gridSpan w:val="2"/>
            <w:tcBorders>
              <w:top w:val="nil"/>
              <w:left w:val="nil"/>
              <w:bottom w:val="single" w:color="auto" w:sz="4" w:space="0"/>
              <w:right w:val="single" w:color="auto" w:sz="4" w:space="0"/>
            </w:tcBorders>
            <w:noWrap w:val="0"/>
            <w:vAlign w:val="center"/>
          </w:tcPr>
          <w:p w14:paraId="085C6E35">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kern w:val="0"/>
                <w:sz w:val="21"/>
                <w:szCs w:val="21"/>
                <w:highlight w:val="none"/>
              </w:rPr>
            </w:pPr>
          </w:p>
        </w:tc>
      </w:tr>
      <w:tr w14:paraId="08F8DF05">
        <w:tblPrEx>
          <w:tblCellMar>
            <w:top w:w="0" w:type="dxa"/>
            <w:left w:w="108" w:type="dxa"/>
            <w:bottom w:w="0" w:type="dxa"/>
            <w:right w:w="108" w:type="dxa"/>
          </w:tblCellMar>
        </w:tblPrEx>
        <w:trPr>
          <w:trHeight w:val="454" w:hRule="atLeast"/>
          <w:jc w:val="center"/>
        </w:trPr>
        <w:tc>
          <w:tcPr>
            <w:tcW w:w="6552" w:type="dxa"/>
            <w:gridSpan w:val="6"/>
            <w:tcBorders>
              <w:top w:val="single" w:color="auto" w:sz="4" w:space="0"/>
              <w:left w:val="single" w:color="auto" w:sz="4" w:space="0"/>
              <w:bottom w:val="single" w:color="auto" w:sz="4" w:space="0"/>
              <w:right w:val="single" w:color="auto" w:sz="4" w:space="0"/>
            </w:tcBorders>
            <w:noWrap w:val="0"/>
            <w:vAlign w:val="center"/>
          </w:tcPr>
          <w:p w14:paraId="0D598D29">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小计</w:t>
            </w:r>
          </w:p>
        </w:tc>
        <w:tc>
          <w:tcPr>
            <w:tcW w:w="890" w:type="dxa"/>
            <w:gridSpan w:val="2"/>
            <w:tcBorders>
              <w:top w:val="single" w:color="auto" w:sz="4" w:space="0"/>
              <w:left w:val="nil"/>
              <w:bottom w:val="single" w:color="auto" w:sz="4" w:space="0"/>
              <w:right w:val="single" w:color="auto" w:sz="4" w:space="0"/>
            </w:tcBorders>
            <w:noWrap w:val="0"/>
            <w:vAlign w:val="center"/>
          </w:tcPr>
          <w:p w14:paraId="46954447">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kern w:val="0"/>
                <w:sz w:val="21"/>
                <w:szCs w:val="21"/>
                <w:highlight w:val="none"/>
              </w:rPr>
            </w:pPr>
          </w:p>
        </w:tc>
        <w:tc>
          <w:tcPr>
            <w:tcW w:w="1709" w:type="dxa"/>
            <w:gridSpan w:val="2"/>
            <w:tcBorders>
              <w:top w:val="nil"/>
              <w:left w:val="nil"/>
              <w:bottom w:val="single" w:color="auto" w:sz="4" w:space="0"/>
              <w:right w:val="single" w:color="auto" w:sz="4" w:space="0"/>
            </w:tcBorders>
            <w:noWrap w:val="0"/>
            <w:vAlign w:val="center"/>
          </w:tcPr>
          <w:p w14:paraId="47A6595B">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kern w:val="0"/>
                <w:sz w:val="21"/>
                <w:szCs w:val="21"/>
                <w:highlight w:val="none"/>
              </w:rPr>
            </w:pPr>
          </w:p>
        </w:tc>
      </w:tr>
      <w:tr w14:paraId="05636BA0">
        <w:tblPrEx>
          <w:tblCellMar>
            <w:top w:w="0" w:type="dxa"/>
            <w:left w:w="108" w:type="dxa"/>
            <w:bottom w:w="0" w:type="dxa"/>
            <w:right w:w="108" w:type="dxa"/>
          </w:tblCellMar>
        </w:tblPrEx>
        <w:trPr>
          <w:trHeight w:val="397" w:hRule="atLeast"/>
          <w:jc w:val="center"/>
        </w:trPr>
        <w:tc>
          <w:tcPr>
            <w:tcW w:w="9151" w:type="dxa"/>
            <w:gridSpan w:val="10"/>
            <w:tcBorders>
              <w:top w:val="single" w:color="auto" w:sz="4" w:space="0"/>
              <w:left w:val="single" w:color="auto" w:sz="4" w:space="0"/>
              <w:bottom w:val="single" w:color="auto" w:sz="4" w:space="0"/>
              <w:right w:val="single" w:color="auto" w:sz="4" w:space="0"/>
            </w:tcBorders>
            <w:noWrap w:val="0"/>
            <w:vAlign w:val="center"/>
          </w:tcPr>
          <w:p w14:paraId="70E68C44">
            <w:pPr>
              <w:keepNext w:val="0"/>
              <w:keepLines w:val="0"/>
              <w:suppressLineNumbers w:val="0"/>
              <w:shd w:val="clear"/>
              <w:spacing w:before="0" w:beforeAutospacing="0" w:after="0" w:afterAutospacing="0"/>
              <w:ind w:left="0" w:right="0"/>
              <w:jc w:val="center"/>
              <w:rPr>
                <w:rFonts w:hint="default" w:ascii="宋体" w:hAnsi="宋体" w:cs="宋体"/>
                <w:b/>
                <w:bCs/>
                <w:color w:val="auto"/>
                <w:kern w:val="0"/>
                <w:szCs w:val="21"/>
                <w:highlight w:val="none"/>
              </w:rPr>
            </w:pPr>
            <w:r>
              <w:rPr>
                <w:rFonts w:hint="eastAsia"/>
                <w:b/>
                <w:color w:val="auto"/>
                <w:highlight w:val="none"/>
              </w:rPr>
              <w:t>投标</w:t>
            </w:r>
            <w:r>
              <w:rPr>
                <w:rFonts w:hint="eastAsia"/>
                <w:b/>
                <w:color w:val="auto"/>
                <w:highlight w:val="none"/>
                <w:lang w:val="en-US" w:eastAsia="zh-CN"/>
              </w:rPr>
              <w:t>人实力</w:t>
            </w:r>
            <w:r>
              <w:rPr>
                <w:rFonts w:hint="eastAsia" w:ascii="宋体" w:hAnsi="宋体" w:cs="宋体"/>
                <w:b/>
                <w:color w:val="auto"/>
                <w:szCs w:val="21"/>
                <w:highlight w:val="none"/>
              </w:rPr>
              <w:t>（0-</w:t>
            </w:r>
            <w:r>
              <w:rPr>
                <w:rFonts w:hint="eastAsia" w:ascii="宋体" w:hAnsi="宋体" w:cs="宋体"/>
                <w:b/>
                <w:color w:val="auto"/>
                <w:szCs w:val="21"/>
                <w:highlight w:val="none"/>
                <w:lang w:val="en-US" w:eastAsia="zh-CN"/>
              </w:rPr>
              <w:t>5</w:t>
            </w:r>
            <w:r>
              <w:rPr>
                <w:rFonts w:hint="eastAsia" w:ascii="宋体" w:hAnsi="宋体" w:cs="宋体"/>
                <w:b/>
                <w:color w:val="auto"/>
                <w:kern w:val="0"/>
                <w:szCs w:val="21"/>
                <w:highlight w:val="none"/>
              </w:rPr>
              <w:t>分）</w:t>
            </w:r>
          </w:p>
        </w:tc>
      </w:tr>
      <w:tr w14:paraId="7D3BBAB6">
        <w:tblPrEx>
          <w:tblCellMar>
            <w:top w:w="0" w:type="dxa"/>
            <w:left w:w="108" w:type="dxa"/>
            <w:bottom w:w="0" w:type="dxa"/>
            <w:right w:w="108" w:type="dxa"/>
          </w:tblCellMar>
        </w:tblPrEx>
        <w:trPr>
          <w:trHeight w:val="397" w:hRule="atLeast"/>
          <w:jc w:val="center"/>
        </w:trPr>
        <w:tc>
          <w:tcPr>
            <w:tcW w:w="3186" w:type="dxa"/>
            <w:gridSpan w:val="3"/>
            <w:tcBorders>
              <w:top w:val="single" w:color="auto" w:sz="4" w:space="0"/>
              <w:left w:val="single" w:color="auto" w:sz="4" w:space="0"/>
              <w:bottom w:val="single" w:color="auto" w:sz="4" w:space="0"/>
              <w:right w:val="single" w:color="auto" w:sz="4" w:space="0"/>
            </w:tcBorders>
            <w:noWrap w:val="0"/>
            <w:vAlign w:val="center"/>
          </w:tcPr>
          <w:p w14:paraId="75155260">
            <w:pPr>
              <w:keepNext w:val="0"/>
              <w:keepLines w:val="0"/>
              <w:suppressLineNumbers w:val="0"/>
              <w:shd w:val="clear"/>
              <w:tabs>
                <w:tab w:val="left" w:pos="6252"/>
              </w:tabs>
              <w:spacing w:before="0" w:beforeAutospacing="0" w:after="0" w:afterAutospacing="0"/>
              <w:ind w:left="0" w:right="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证书名称</w:t>
            </w:r>
          </w:p>
        </w:tc>
        <w:tc>
          <w:tcPr>
            <w:tcW w:w="3689" w:type="dxa"/>
            <w:gridSpan w:val="4"/>
            <w:tcBorders>
              <w:top w:val="single" w:color="auto" w:sz="4" w:space="0"/>
              <w:left w:val="single" w:color="auto" w:sz="4" w:space="0"/>
              <w:bottom w:val="single" w:color="auto" w:sz="4" w:space="0"/>
              <w:right w:val="single" w:color="auto" w:sz="4" w:space="0"/>
            </w:tcBorders>
            <w:noWrap w:val="0"/>
            <w:vAlign w:val="center"/>
          </w:tcPr>
          <w:p w14:paraId="116F3320">
            <w:pPr>
              <w:keepNext w:val="0"/>
              <w:keepLines w:val="0"/>
              <w:suppressLineNumbers w:val="0"/>
              <w:shd w:val="clear"/>
              <w:tabs>
                <w:tab w:val="left" w:pos="6252"/>
              </w:tabs>
              <w:spacing w:before="0" w:beforeAutospacing="0" w:after="0" w:afterAutospacing="0"/>
              <w:ind w:left="0" w:right="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证书有效期</w:t>
            </w:r>
          </w:p>
        </w:tc>
        <w:tc>
          <w:tcPr>
            <w:tcW w:w="890" w:type="dxa"/>
            <w:gridSpan w:val="2"/>
            <w:tcBorders>
              <w:top w:val="single" w:color="auto" w:sz="4" w:space="0"/>
              <w:left w:val="nil"/>
              <w:bottom w:val="single" w:color="auto" w:sz="4" w:space="0"/>
              <w:right w:val="single" w:color="auto" w:sz="4" w:space="0"/>
            </w:tcBorders>
            <w:noWrap w:val="0"/>
            <w:vAlign w:val="center"/>
          </w:tcPr>
          <w:p w14:paraId="0B210055">
            <w:pPr>
              <w:keepNext w:val="0"/>
              <w:keepLines w:val="0"/>
              <w:widowControl/>
              <w:suppressLineNumbers w:val="0"/>
              <w:shd w:val="clear"/>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得分</w:t>
            </w:r>
          </w:p>
        </w:tc>
        <w:tc>
          <w:tcPr>
            <w:tcW w:w="1386" w:type="dxa"/>
            <w:tcBorders>
              <w:top w:val="nil"/>
              <w:left w:val="nil"/>
              <w:bottom w:val="single" w:color="auto" w:sz="4" w:space="0"/>
              <w:right w:val="single" w:color="auto" w:sz="4" w:space="0"/>
            </w:tcBorders>
            <w:noWrap w:val="0"/>
            <w:vAlign w:val="center"/>
          </w:tcPr>
          <w:p w14:paraId="1F6EA35B">
            <w:pPr>
              <w:keepNext w:val="0"/>
              <w:keepLines w:val="0"/>
              <w:widowControl/>
              <w:suppressLineNumbers w:val="0"/>
              <w:shd w:val="clear"/>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szCs w:val="21"/>
                <w:highlight w:val="none"/>
              </w:rPr>
              <w:t>页码</w:t>
            </w:r>
          </w:p>
        </w:tc>
      </w:tr>
      <w:tr w14:paraId="14C1D545">
        <w:tblPrEx>
          <w:tblCellMar>
            <w:top w:w="0" w:type="dxa"/>
            <w:left w:w="108" w:type="dxa"/>
            <w:bottom w:w="0" w:type="dxa"/>
            <w:right w:w="108" w:type="dxa"/>
          </w:tblCellMar>
        </w:tblPrEx>
        <w:trPr>
          <w:trHeight w:val="397" w:hRule="atLeast"/>
          <w:jc w:val="center"/>
        </w:trPr>
        <w:tc>
          <w:tcPr>
            <w:tcW w:w="3186" w:type="dxa"/>
            <w:gridSpan w:val="3"/>
            <w:tcBorders>
              <w:top w:val="single" w:color="auto" w:sz="4" w:space="0"/>
              <w:left w:val="single" w:color="auto" w:sz="4" w:space="0"/>
              <w:bottom w:val="single" w:color="auto" w:sz="4" w:space="0"/>
              <w:right w:val="single" w:color="auto" w:sz="4" w:space="0"/>
            </w:tcBorders>
            <w:noWrap w:val="0"/>
            <w:vAlign w:val="center"/>
          </w:tcPr>
          <w:p w14:paraId="742E7EB4">
            <w:pPr>
              <w:keepNext w:val="0"/>
              <w:keepLines w:val="0"/>
              <w:widowControl/>
              <w:suppressLineNumbers w:val="0"/>
              <w:shd w:val="clear"/>
              <w:spacing w:before="0" w:beforeAutospacing="0" w:after="0" w:afterAutospacing="0"/>
              <w:ind w:left="0" w:right="0"/>
              <w:jc w:val="center"/>
              <w:rPr>
                <w:rFonts w:hint="default" w:ascii="宋体" w:hAnsi="宋体" w:cs="宋体"/>
                <w:color w:val="auto"/>
                <w:kern w:val="0"/>
                <w:szCs w:val="21"/>
                <w:highlight w:val="none"/>
              </w:rPr>
            </w:pPr>
          </w:p>
        </w:tc>
        <w:tc>
          <w:tcPr>
            <w:tcW w:w="3689" w:type="dxa"/>
            <w:gridSpan w:val="4"/>
            <w:tcBorders>
              <w:top w:val="single" w:color="auto" w:sz="4" w:space="0"/>
              <w:left w:val="single" w:color="auto" w:sz="4" w:space="0"/>
              <w:bottom w:val="single" w:color="auto" w:sz="4" w:space="0"/>
              <w:right w:val="single" w:color="auto" w:sz="4" w:space="0"/>
            </w:tcBorders>
            <w:noWrap w:val="0"/>
            <w:vAlign w:val="center"/>
          </w:tcPr>
          <w:p w14:paraId="77B76FB5">
            <w:pPr>
              <w:keepNext w:val="0"/>
              <w:keepLines w:val="0"/>
              <w:widowControl/>
              <w:suppressLineNumbers w:val="0"/>
              <w:shd w:val="clear"/>
              <w:spacing w:before="0" w:beforeAutospacing="0" w:after="0" w:afterAutospacing="0"/>
              <w:ind w:left="0" w:right="0"/>
              <w:jc w:val="center"/>
              <w:rPr>
                <w:rFonts w:hint="default" w:ascii="宋体" w:hAnsi="宋体" w:cs="宋体"/>
                <w:color w:val="auto"/>
                <w:kern w:val="0"/>
                <w:szCs w:val="21"/>
                <w:highlight w:val="none"/>
              </w:rPr>
            </w:pPr>
          </w:p>
        </w:tc>
        <w:tc>
          <w:tcPr>
            <w:tcW w:w="890" w:type="dxa"/>
            <w:gridSpan w:val="2"/>
            <w:tcBorders>
              <w:top w:val="single" w:color="auto" w:sz="4" w:space="0"/>
              <w:left w:val="nil"/>
              <w:bottom w:val="single" w:color="auto" w:sz="4" w:space="0"/>
              <w:right w:val="single" w:color="auto" w:sz="4" w:space="0"/>
            </w:tcBorders>
            <w:noWrap w:val="0"/>
            <w:vAlign w:val="center"/>
          </w:tcPr>
          <w:p w14:paraId="333BB069">
            <w:pPr>
              <w:keepNext w:val="0"/>
              <w:keepLines w:val="0"/>
              <w:widowControl/>
              <w:suppressLineNumbers w:val="0"/>
              <w:shd w:val="clear"/>
              <w:spacing w:before="0" w:beforeAutospacing="0" w:after="0" w:afterAutospacing="0"/>
              <w:ind w:left="0" w:right="0"/>
              <w:jc w:val="center"/>
              <w:rPr>
                <w:rFonts w:hint="default" w:ascii="宋体" w:hAnsi="宋体" w:cs="宋体"/>
                <w:color w:val="auto"/>
                <w:kern w:val="0"/>
                <w:szCs w:val="21"/>
                <w:highlight w:val="none"/>
              </w:rPr>
            </w:pPr>
          </w:p>
        </w:tc>
        <w:tc>
          <w:tcPr>
            <w:tcW w:w="1386" w:type="dxa"/>
            <w:tcBorders>
              <w:top w:val="nil"/>
              <w:left w:val="nil"/>
              <w:bottom w:val="single" w:color="auto" w:sz="4" w:space="0"/>
              <w:right w:val="single" w:color="auto" w:sz="4" w:space="0"/>
            </w:tcBorders>
            <w:noWrap w:val="0"/>
            <w:vAlign w:val="center"/>
          </w:tcPr>
          <w:p w14:paraId="7F2B979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kern w:val="0"/>
                <w:szCs w:val="21"/>
                <w:highlight w:val="none"/>
              </w:rPr>
            </w:pPr>
          </w:p>
        </w:tc>
      </w:tr>
      <w:tr w14:paraId="5112A383">
        <w:tblPrEx>
          <w:tblCellMar>
            <w:top w:w="0" w:type="dxa"/>
            <w:left w:w="108" w:type="dxa"/>
            <w:bottom w:w="0" w:type="dxa"/>
            <w:right w:w="108" w:type="dxa"/>
          </w:tblCellMar>
        </w:tblPrEx>
        <w:trPr>
          <w:trHeight w:val="397" w:hRule="atLeast"/>
          <w:jc w:val="center"/>
        </w:trPr>
        <w:tc>
          <w:tcPr>
            <w:tcW w:w="6875" w:type="dxa"/>
            <w:gridSpan w:val="7"/>
            <w:tcBorders>
              <w:top w:val="single" w:color="auto" w:sz="4" w:space="0"/>
              <w:left w:val="single" w:color="auto" w:sz="4" w:space="0"/>
              <w:bottom w:val="single" w:color="auto" w:sz="4" w:space="0"/>
              <w:right w:val="single" w:color="auto" w:sz="4" w:space="0"/>
            </w:tcBorders>
            <w:noWrap w:val="0"/>
            <w:vAlign w:val="center"/>
          </w:tcPr>
          <w:p w14:paraId="5E6C28A3">
            <w:pPr>
              <w:keepNext w:val="0"/>
              <w:keepLines w:val="0"/>
              <w:widowControl/>
              <w:suppressLineNumbers w:val="0"/>
              <w:shd w:val="clear"/>
              <w:spacing w:before="0" w:beforeAutospacing="0" w:after="0" w:afterAutospacing="0"/>
              <w:ind w:left="0" w:right="0"/>
              <w:jc w:val="center"/>
              <w:rPr>
                <w:rFonts w:hint="default" w:ascii="宋体" w:hAnsi="宋体" w:cs="宋体"/>
                <w:color w:val="auto"/>
                <w:kern w:val="0"/>
                <w:szCs w:val="21"/>
                <w:highlight w:val="none"/>
              </w:rPr>
            </w:pPr>
            <w:r>
              <w:rPr>
                <w:rFonts w:hint="eastAsia" w:ascii="宋体" w:hAnsi="宋体" w:cs="宋体"/>
                <w:b/>
                <w:bCs/>
                <w:color w:val="auto"/>
                <w:kern w:val="0"/>
                <w:szCs w:val="21"/>
                <w:highlight w:val="none"/>
              </w:rPr>
              <w:t>小计</w:t>
            </w:r>
          </w:p>
        </w:tc>
        <w:tc>
          <w:tcPr>
            <w:tcW w:w="890" w:type="dxa"/>
            <w:gridSpan w:val="2"/>
            <w:tcBorders>
              <w:top w:val="single" w:color="auto" w:sz="4" w:space="0"/>
              <w:left w:val="nil"/>
              <w:bottom w:val="single" w:color="auto" w:sz="4" w:space="0"/>
              <w:right w:val="single" w:color="auto" w:sz="4" w:space="0"/>
            </w:tcBorders>
            <w:noWrap w:val="0"/>
            <w:vAlign w:val="center"/>
          </w:tcPr>
          <w:p w14:paraId="778BC839">
            <w:pPr>
              <w:keepNext w:val="0"/>
              <w:keepLines w:val="0"/>
              <w:widowControl/>
              <w:suppressLineNumbers w:val="0"/>
              <w:shd w:val="clear"/>
              <w:spacing w:before="0" w:beforeAutospacing="0" w:after="0" w:afterAutospacing="0"/>
              <w:ind w:left="0" w:right="0"/>
              <w:jc w:val="center"/>
              <w:rPr>
                <w:rFonts w:hint="default" w:ascii="宋体" w:hAnsi="宋体" w:cs="宋体"/>
                <w:color w:val="auto"/>
                <w:kern w:val="0"/>
                <w:szCs w:val="21"/>
                <w:highlight w:val="none"/>
              </w:rPr>
            </w:pPr>
          </w:p>
        </w:tc>
        <w:tc>
          <w:tcPr>
            <w:tcW w:w="1386" w:type="dxa"/>
            <w:tcBorders>
              <w:top w:val="nil"/>
              <w:left w:val="nil"/>
              <w:bottom w:val="single" w:color="auto" w:sz="4" w:space="0"/>
              <w:right w:val="single" w:color="auto" w:sz="4" w:space="0"/>
            </w:tcBorders>
            <w:noWrap w:val="0"/>
            <w:vAlign w:val="center"/>
          </w:tcPr>
          <w:p w14:paraId="4B7D45E7">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kern w:val="0"/>
                <w:szCs w:val="21"/>
                <w:highlight w:val="none"/>
              </w:rPr>
            </w:pPr>
          </w:p>
        </w:tc>
      </w:tr>
      <w:tr w14:paraId="61C84FD7">
        <w:tblPrEx>
          <w:tblCellMar>
            <w:top w:w="0" w:type="dxa"/>
            <w:left w:w="108" w:type="dxa"/>
            <w:bottom w:w="0" w:type="dxa"/>
            <w:right w:w="108" w:type="dxa"/>
          </w:tblCellMar>
        </w:tblPrEx>
        <w:trPr>
          <w:trHeight w:val="397" w:hRule="atLeast"/>
          <w:jc w:val="center"/>
        </w:trPr>
        <w:tc>
          <w:tcPr>
            <w:tcW w:w="9151" w:type="dxa"/>
            <w:gridSpan w:val="10"/>
            <w:tcBorders>
              <w:top w:val="single" w:color="auto" w:sz="4" w:space="0"/>
              <w:left w:val="single" w:color="auto" w:sz="4" w:space="0"/>
              <w:bottom w:val="single" w:color="auto" w:sz="4" w:space="0"/>
              <w:right w:val="single" w:color="auto" w:sz="4" w:space="0"/>
            </w:tcBorders>
            <w:noWrap w:val="0"/>
            <w:vAlign w:val="center"/>
          </w:tcPr>
          <w:p w14:paraId="0E25BA50">
            <w:pPr>
              <w:keepNext w:val="0"/>
              <w:keepLines w:val="0"/>
              <w:suppressLineNumbers w:val="0"/>
              <w:shd w:val="clear"/>
              <w:spacing w:before="0" w:beforeAutospacing="0" w:after="0" w:afterAutospacing="0"/>
              <w:ind w:left="0" w:right="0"/>
              <w:jc w:val="center"/>
              <w:rPr>
                <w:rFonts w:hint="default" w:ascii="宋体" w:hAnsi="宋体" w:cs="宋体"/>
                <w:b/>
                <w:bCs/>
                <w:color w:val="auto"/>
                <w:kern w:val="0"/>
                <w:szCs w:val="21"/>
                <w:highlight w:val="none"/>
              </w:rPr>
            </w:pPr>
            <w:r>
              <w:rPr>
                <w:rFonts w:hint="eastAsia"/>
                <w:b/>
                <w:color w:val="auto"/>
                <w:highlight w:val="none"/>
              </w:rPr>
              <w:t>投标产品符合度</w:t>
            </w:r>
            <w:r>
              <w:rPr>
                <w:rFonts w:hint="eastAsia" w:ascii="宋体" w:hAnsi="宋体" w:cs="宋体"/>
                <w:b/>
                <w:color w:val="auto"/>
                <w:szCs w:val="21"/>
                <w:highlight w:val="none"/>
              </w:rPr>
              <w:t>（0-1</w:t>
            </w:r>
            <w:r>
              <w:rPr>
                <w:rFonts w:hint="eastAsia" w:ascii="宋体" w:hAnsi="宋体" w:cs="宋体"/>
                <w:b/>
                <w:color w:val="auto"/>
                <w:szCs w:val="21"/>
                <w:highlight w:val="none"/>
                <w:lang w:val="en-US" w:eastAsia="zh-CN"/>
              </w:rPr>
              <w:t>5</w:t>
            </w:r>
            <w:r>
              <w:rPr>
                <w:rFonts w:hint="eastAsia" w:ascii="宋体" w:hAnsi="宋体" w:cs="宋体"/>
                <w:b/>
                <w:color w:val="auto"/>
                <w:kern w:val="0"/>
                <w:szCs w:val="21"/>
                <w:highlight w:val="none"/>
              </w:rPr>
              <w:t>分）</w:t>
            </w:r>
          </w:p>
        </w:tc>
      </w:tr>
      <w:tr w14:paraId="2687E3E8">
        <w:tblPrEx>
          <w:tblCellMar>
            <w:top w:w="0" w:type="dxa"/>
            <w:left w:w="108" w:type="dxa"/>
            <w:bottom w:w="0" w:type="dxa"/>
            <w:right w:w="108" w:type="dxa"/>
          </w:tblCellMar>
        </w:tblPrEx>
        <w:trPr>
          <w:trHeight w:val="397" w:hRule="atLeast"/>
          <w:jc w:val="center"/>
        </w:trPr>
        <w:tc>
          <w:tcPr>
            <w:tcW w:w="6875" w:type="dxa"/>
            <w:gridSpan w:val="7"/>
            <w:tcBorders>
              <w:top w:val="single" w:color="auto" w:sz="4" w:space="0"/>
              <w:left w:val="single" w:color="auto" w:sz="4" w:space="0"/>
              <w:bottom w:val="single" w:color="auto" w:sz="4" w:space="0"/>
              <w:right w:val="single" w:color="auto" w:sz="4" w:space="0"/>
            </w:tcBorders>
            <w:noWrap w:val="0"/>
            <w:vAlign w:val="center"/>
          </w:tcPr>
          <w:p w14:paraId="7E566B84">
            <w:pPr>
              <w:keepNext w:val="0"/>
              <w:keepLines w:val="0"/>
              <w:suppressLineNumbers w:val="0"/>
              <w:shd w:val="clear"/>
              <w:tabs>
                <w:tab w:val="left" w:pos="6252"/>
              </w:tabs>
              <w:spacing w:before="0" w:beforeAutospacing="0" w:after="0" w:afterAutospacing="0"/>
              <w:ind w:left="0" w:right="0"/>
              <w:jc w:val="center"/>
              <w:rPr>
                <w:rFonts w:hint="default" w:ascii="宋体" w:hAnsi="宋体" w:cs="宋体"/>
                <w:color w:val="auto"/>
                <w:szCs w:val="21"/>
                <w:highlight w:val="none"/>
              </w:rPr>
            </w:pPr>
            <w:r>
              <w:rPr>
                <w:rFonts w:hint="eastAsia"/>
                <w:color w:val="auto"/>
                <w:highlight w:val="none"/>
              </w:rPr>
              <w:t>带“★”的重要技术参数负偏离项数</w:t>
            </w:r>
          </w:p>
        </w:tc>
        <w:tc>
          <w:tcPr>
            <w:tcW w:w="890" w:type="dxa"/>
            <w:gridSpan w:val="2"/>
            <w:tcBorders>
              <w:top w:val="single" w:color="auto" w:sz="4" w:space="0"/>
              <w:left w:val="nil"/>
              <w:bottom w:val="single" w:color="auto" w:sz="4" w:space="0"/>
              <w:right w:val="single" w:color="auto" w:sz="4" w:space="0"/>
            </w:tcBorders>
            <w:noWrap w:val="0"/>
            <w:vAlign w:val="center"/>
          </w:tcPr>
          <w:p w14:paraId="1C2C08D2">
            <w:pPr>
              <w:keepNext w:val="0"/>
              <w:keepLines w:val="0"/>
              <w:widowControl/>
              <w:suppressLineNumbers w:val="0"/>
              <w:shd w:val="clear"/>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得分</w:t>
            </w:r>
          </w:p>
        </w:tc>
        <w:tc>
          <w:tcPr>
            <w:tcW w:w="1386" w:type="dxa"/>
            <w:tcBorders>
              <w:top w:val="nil"/>
              <w:left w:val="nil"/>
              <w:bottom w:val="single" w:color="auto" w:sz="4" w:space="0"/>
              <w:right w:val="single" w:color="auto" w:sz="4" w:space="0"/>
            </w:tcBorders>
            <w:noWrap w:val="0"/>
            <w:vAlign w:val="center"/>
          </w:tcPr>
          <w:p w14:paraId="5BF9D22A">
            <w:pPr>
              <w:keepNext w:val="0"/>
              <w:keepLines w:val="0"/>
              <w:widowControl/>
              <w:suppressLineNumbers w:val="0"/>
              <w:shd w:val="clear"/>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szCs w:val="21"/>
                <w:highlight w:val="none"/>
              </w:rPr>
              <w:t>页码</w:t>
            </w:r>
          </w:p>
        </w:tc>
      </w:tr>
      <w:tr w14:paraId="41B45268">
        <w:tblPrEx>
          <w:tblCellMar>
            <w:top w:w="0" w:type="dxa"/>
            <w:left w:w="108" w:type="dxa"/>
            <w:bottom w:w="0" w:type="dxa"/>
            <w:right w:w="108" w:type="dxa"/>
          </w:tblCellMar>
        </w:tblPrEx>
        <w:trPr>
          <w:trHeight w:val="397" w:hRule="atLeast"/>
          <w:jc w:val="center"/>
        </w:trPr>
        <w:tc>
          <w:tcPr>
            <w:tcW w:w="6875" w:type="dxa"/>
            <w:gridSpan w:val="7"/>
            <w:tcBorders>
              <w:top w:val="single" w:color="auto" w:sz="4" w:space="0"/>
              <w:left w:val="single" w:color="auto" w:sz="4" w:space="0"/>
              <w:bottom w:val="single" w:color="auto" w:sz="4" w:space="0"/>
              <w:right w:val="single" w:color="auto" w:sz="4" w:space="0"/>
            </w:tcBorders>
            <w:noWrap w:val="0"/>
            <w:vAlign w:val="center"/>
          </w:tcPr>
          <w:p w14:paraId="210DEDAA">
            <w:pPr>
              <w:keepNext w:val="0"/>
              <w:keepLines w:val="0"/>
              <w:widowControl/>
              <w:suppressLineNumbers w:val="0"/>
              <w:shd w:val="clear"/>
              <w:spacing w:before="0" w:beforeAutospacing="0" w:after="0" w:afterAutospacing="0"/>
              <w:ind w:left="0" w:right="0"/>
              <w:jc w:val="center"/>
              <w:rPr>
                <w:rFonts w:hint="default" w:ascii="宋体" w:hAnsi="宋体" w:cs="宋体"/>
                <w:color w:val="auto"/>
                <w:kern w:val="0"/>
                <w:szCs w:val="21"/>
                <w:highlight w:val="none"/>
              </w:rPr>
            </w:pPr>
          </w:p>
        </w:tc>
        <w:tc>
          <w:tcPr>
            <w:tcW w:w="890" w:type="dxa"/>
            <w:gridSpan w:val="2"/>
            <w:tcBorders>
              <w:top w:val="single" w:color="auto" w:sz="4" w:space="0"/>
              <w:left w:val="nil"/>
              <w:bottom w:val="single" w:color="auto" w:sz="4" w:space="0"/>
              <w:right w:val="single" w:color="auto" w:sz="4" w:space="0"/>
            </w:tcBorders>
            <w:noWrap w:val="0"/>
            <w:vAlign w:val="center"/>
          </w:tcPr>
          <w:p w14:paraId="478439AE">
            <w:pPr>
              <w:keepNext w:val="0"/>
              <w:keepLines w:val="0"/>
              <w:widowControl/>
              <w:suppressLineNumbers w:val="0"/>
              <w:shd w:val="clear"/>
              <w:spacing w:before="0" w:beforeAutospacing="0" w:after="0" w:afterAutospacing="0"/>
              <w:ind w:left="0" w:right="0"/>
              <w:jc w:val="center"/>
              <w:rPr>
                <w:rFonts w:hint="default" w:ascii="宋体" w:hAnsi="宋体" w:cs="宋体"/>
                <w:color w:val="auto"/>
                <w:kern w:val="0"/>
                <w:szCs w:val="21"/>
                <w:highlight w:val="none"/>
              </w:rPr>
            </w:pPr>
          </w:p>
        </w:tc>
        <w:tc>
          <w:tcPr>
            <w:tcW w:w="1386" w:type="dxa"/>
            <w:tcBorders>
              <w:top w:val="nil"/>
              <w:left w:val="nil"/>
              <w:bottom w:val="single" w:color="auto" w:sz="4" w:space="0"/>
              <w:right w:val="single" w:color="auto" w:sz="4" w:space="0"/>
            </w:tcBorders>
            <w:noWrap w:val="0"/>
            <w:vAlign w:val="center"/>
          </w:tcPr>
          <w:p w14:paraId="239DDE8E">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kern w:val="0"/>
                <w:szCs w:val="21"/>
                <w:highlight w:val="none"/>
              </w:rPr>
            </w:pPr>
          </w:p>
        </w:tc>
      </w:tr>
      <w:tr w14:paraId="6421C51D">
        <w:tblPrEx>
          <w:tblCellMar>
            <w:top w:w="0" w:type="dxa"/>
            <w:left w:w="108" w:type="dxa"/>
            <w:bottom w:w="0" w:type="dxa"/>
            <w:right w:w="108" w:type="dxa"/>
          </w:tblCellMar>
        </w:tblPrEx>
        <w:trPr>
          <w:trHeight w:val="397" w:hRule="atLeast"/>
          <w:jc w:val="center"/>
        </w:trPr>
        <w:tc>
          <w:tcPr>
            <w:tcW w:w="6875" w:type="dxa"/>
            <w:gridSpan w:val="7"/>
            <w:tcBorders>
              <w:top w:val="single" w:color="auto" w:sz="4" w:space="0"/>
              <w:left w:val="single" w:color="auto" w:sz="4" w:space="0"/>
              <w:bottom w:val="single" w:color="auto" w:sz="4" w:space="0"/>
              <w:right w:val="single" w:color="auto" w:sz="4" w:space="0"/>
            </w:tcBorders>
            <w:noWrap w:val="0"/>
            <w:vAlign w:val="center"/>
          </w:tcPr>
          <w:p w14:paraId="30AAAF20">
            <w:pPr>
              <w:keepNext w:val="0"/>
              <w:keepLines w:val="0"/>
              <w:widowControl/>
              <w:suppressLineNumbers w:val="0"/>
              <w:shd w:val="clear"/>
              <w:spacing w:before="0" w:beforeAutospacing="0" w:after="0" w:afterAutospacing="0"/>
              <w:ind w:left="0" w:right="0"/>
              <w:jc w:val="center"/>
              <w:rPr>
                <w:rFonts w:hint="default" w:ascii="宋体" w:hAnsi="宋体" w:cs="宋体"/>
                <w:color w:val="auto"/>
                <w:kern w:val="0"/>
                <w:szCs w:val="21"/>
                <w:highlight w:val="none"/>
              </w:rPr>
            </w:pPr>
            <w:r>
              <w:rPr>
                <w:rFonts w:hint="eastAsia" w:ascii="宋体" w:hAnsi="宋体" w:cs="宋体"/>
                <w:b/>
                <w:bCs/>
                <w:color w:val="auto"/>
                <w:kern w:val="0"/>
                <w:szCs w:val="21"/>
                <w:highlight w:val="none"/>
              </w:rPr>
              <w:t>小计</w:t>
            </w:r>
          </w:p>
        </w:tc>
        <w:tc>
          <w:tcPr>
            <w:tcW w:w="890" w:type="dxa"/>
            <w:gridSpan w:val="2"/>
            <w:tcBorders>
              <w:top w:val="single" w:color="auto" w:sz="4" w:space="0"/>
              <w:left w:val="nil"/>
              <w:bottom w:val="single" w:color="auto" w:sz="4" w:space="0"/>
              <w:right w:val="single" w:color="auto" w:sz="4" w:space="0"/>
            </w:tcBorders>
            <w:noWrap w:val="0"/>
            <w:vAlign w:val="center"/>
          </w:tcPr>
          <w:p w14:paraId="20038B48">
            <w:pPr>
              <w:keepNext w:val="0"/>
              <w:keepLines w:val="0"/>
              <w:widowControl/>
              <w:suppressLineNumbers w:val="0"/>
              <w:shd w:val="clear"/>
              <w:spacing w:before="0" w:beforeAutospacing="0" w:after="0" w:afterAutospacing="0"/>
              <w:ind w:left="0" w:right="0"/>
              <w:jc w:val="center"/>
              <w:rPr>
                <w:rFonts w:hint="default" w:ascii="宋体" w:hAnsi="宋体" w:cs="宋体"/>
                <w:color w:val="auto"/>
                <w:kern w:val="0"/>
                <w:szCs w:val="21"/>
                <w:highlight w:val="none"/>
              </w:rPr>
            </w:pPr>
          </w:p>
        </w:tc>
        <w:tc>
          <w:tcPr>
            <w:tcW w:w="1386" w:type="dxa"/>
            <w:tcBorders>
              <w:top w:val="nil"/>
              <w:left w:val="nil"/>
              <w:bottom w:val="single" w:color="auto" w:sz="4" w:space="0"/>
              <w:right w:val="single" w:color="auto" w:sz="4" w:space="0"/>
            </w:tcBorders>
            <w:noWrap w:val="0"/>
            <w:vAlign w:val="center"/>
          </w:tcPr>
          <w:p w14:paraId="3A070090">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kern w:val="0"/>
                <w:szCs w:val="21"/>
                <w:highlight w:val="none"/>
              </w:rPr>
            </w:pPr>
          </w:p>
        </w:tc>
      </w:tr>
      <w:tr w14:paraId="3624F34F">
        <w:tblPrEx>
          <w:tblCellMar>
            <w:top w:w="0" w:type="dxa"/>
            <w:left w:w="108" w:type="dxa"/>
            <w:bottom w:w="0" w:type="dxa"/>
            <w:right w:w="108" w:type="dxa"/>
          </w:tblCellMar>
        </w:tblPrEx>
        <w:trPr>
          <w:trHeight w:val="454" w:hRule="atLeast"/>
          <w:jc w:val="center"/>
        </w:trPr>
        <w:tc>
          <w:tcPr>
            <w:tcW w:w="2480" w:type="dxa"/>
            <w:gridSpan w:val="2"/>
            <w:tcBorders>
              <w:top w:val="single" w:color="auto" w:sz="4" w:space="0"/>
              <w:left w:val="single" w:color="auto" w:sz="4" w:space="0"/>
              <w:bottom w:val="single" w:color="auto" w:sz="4" w:space="0"/>
              <w:right w:val="single" w:color="auto" w:sz="4" w:space="0"/>
            </w:tcBorders>
            <w:noWrap w:val="0"/>
            <w:vAlign w:val="center"/>
          </w:tcPr>
          <w:p w14:paraId="24484560">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得分合计</w:t>
            </w:r>
          </w:p>
          <w:p w14:paraId="3CFBCACA">
            <w:pPr>
              <w:keepNext w:val="0"/>
              <w:keepLines w:val="0"/>
              <w:suppressLineNumbers w:val="0"/>
              <w:shd w:val="clear"/>
              <w:spacing w:before="0" w:beforeAutospacing="0" w:after="0" w:afterAutospacing="0"/>
              <w:ind w:left="0" w:right="0"/>
              <w:rPr>
                <w:rFonts w:hint="default"/>
                <w:color w:val="auto"/>
                <w:highlight w:val="none"/>
              </w:rPr>
            </w:pPr>
          </w:p>
        </w:tc>
        <w:tc>
          <w:tcPr>
            <w:tcW w:w="6671" w:type="dxa"/>
            <w:gridSpan w:val="8"/>
            <w:tcBorders>
              <w:top w:val="single" w:color="auto" w:sz="4" w:space="0"/>
              <w:left w:val="nil"/>
              <w:bottom w:val="single" w:color="auto" w:sz="4" w:space="0"/>
              <w:right w:val="single" w:color="auto" w:sz="4" w:space="0"/>
            </w:tcBorders>
            <w:noWrap w:val="0"/>
            <w:vAlign w:val="center"/>
          </w:tcPr>
          <w:p w14:paraId="76B0BFF8">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kern w:val="0"/>
                <w:sz w:val="21"/>
                <w:szCs w:val="21"/>
                <w:highlight w:val="none"/>
              </w:rPr>
            </w:pPr>
          </w:p>
        </w:tc>
      </w:tr>
    </w:tbl>
    <w:p w14:paraId="0B906FEA">
      <w:pPr>
        <w:keepNext w:val="0"/>
        <w:keepLines w:val="0"/>
        <w:pageBreakBefore w:val="0"/>
        <w:widowControl w:val="0"/>
        <w:shd w:val="clear"/>
        <w:tabs>
          <w:tab w:val="left" w:pos="851"/>
          <w:tab w:val="left" w:pos="993"/>
        </w:tabs>
        <w:kinsoku/>
        <w:wordWrap w:val="0"/>
        <w:overflowPunct/>
        <w:topLinePunct w:val="0"/>
        <w:autoSpaceDE/>
        <w:autoSpaceDN/>
        <w:bidi w:val="0"/>
        <w:adjustRightInd w:val="0"/>
        <w:snapToGrid w:val="0"/>
        <w:spacing w:line="400" w:lineRule="exact"/>
        <w:ind w:left="120" w:leftChars="5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注：以上得分需按评标细则要求在投标文件中提供相应证明材料复印件，否则不得分。本表可在不改变格式的情况下根据具体需要自行增减。</w:t>
      </w:r>
    </w:p>
    <w:p w14:paraId="547F3E68">
      <w:pPr>
        <w:pageBreakBefore w:val="0"/>
        <w:shd w:val="clear"/>
        <w:kinsoku/>
        <w:wordWrap w:val="0"/>
        <w:overflowPunct/>
        <w:topLinePunct w:val="0"/>
        <w:bidi w:val="0"/>
        <w:rPr>
          <w:rFonts w:hint="eastAsia"/>
          <w:color w:val="auto"/>
          <w:highlight w:val="none"/>
        </w:rPr>
      </w:pPr>
    </w:p>
    <w:p w14:paraId="30A768D7">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highlight w:val="none"/>
        </w:rPr>
      </w:pPr>
      <w:r>
        <w:rPr>
          <w:rFonts w:hint="eastAsia" w:ascii="宋体" w:hAnsi="宋体" w:eastAsia="宋体" w:cs="宋体"/>
          <w:bCs/>
          <w:color w:val="auto"/>
          <w:sz w:val="24"/>
          <w:highlight w:val="none"/>
        </w:rPr>
        <w:t>投标人（盖章）</w:t>
      </w:r>
      <w:r>
        <w:rPr>
          <w:rFonts w:hint="eastAsia" w:ascii="宋体" w:hAnsi="宋体" w:eastAsia="宋体" w:cs="宋体"/>
          <w:color w:val="auto"/>
          <w:sz w:val="24"/>
          <w:highlight w:val="none"/>
        </w:rPr>
        <w:t>：</w:t>
      </w:r>
    </w:p>
    <w:p w14:paraId="5E945EB2">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szCs w:val="20"/>
          <w:highlight w:val="none"/>
        </w:rPr>
      </w:pPr>
    </w:p>
    <w:p w14:paraId="4847FBD7">
      <w:pPr>
        <w:pageBreakBefore w:val="0"/>
        <w:shd w:val="clear"/>
        <w:kinsoku/>
        <w:wordWrap w:val="0"/>
        <w:overflowPunct/>
        <w:topLinePunct w:val="0"/>
        <w:bidi w:val="0"/>
        <w:snapToGrid w:val="0"/>
        <w:spacing w:beforeLines="50" w:after="5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日期：</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日</w:t>
      </w:r>
    </w:p>
    <w:p w14:paraId="398AA291">
      <w:pPr>
        <w:pStyle w:val="98"/>
        <w:pageBreakBefore w:val="0"/>
        <w:widowControl/>
        <w:numPr>
          <w:ilvl w:val="0"/>
          <w:numId w:val="54"/>
        </w:numPr>
        <w:shd w:val="clear"/>
        <w:kinsoku/>
        <w:wordWrap w:val="0"/>
        <w:overflowPunct/>
        <w:topLinePunct w:val="0"/>
        <w:bidi w:val="0"/>
        <w:snapToGrid w:val="0"/>
        <w:ind w:firstLineChars="0"/>
        <w:jc w:val="left"/>
        <w:rPr>
          <w:rFonts w:hint="eastAsia" w:ascii="宋体" w:hAnsi="宋体" w:eastAsia="宋体" w:cs="宋体"/>
          <w:b/>
          <w:bCs/>
          <w:color w:val="auto"/>
          <w:highlight w:val="none"/>
        </w:rPr>
      </w:pPr>
      <w:r>
        <w:rPr>
          <w:rFonts w:hint="eastAsia" w:ascii="宋体" w:hAnsi="宋体" w:eastAsia="宋体" w:cs="宋体"/>
          <w:color w:val="auto"/>
          <w:szCs w:val="20"/>
          <w:highlight w:val="none"/>
        </w:rPr>
        <w:br w:type="page"/>
      </w:r>
      <w:r>
        <w:rPr>
          <w:rFonts w:hint="eastAsia" w:ascii="宋体" w:hAnsi="宋体" w:eastAsia="宋体" w:cs="宋体"/>
          <w:b/>
          <w:bCs/>
          <w:color w:val="auto"/>
          <w:highlight w:val="none"/>
          <w:lang w:eastAsia="zh-CN"/>
        </w:rPr>
        <w:t>资格审查资料</w:t>
      </w:r>
      <w:r>
        <w:rPr>
          <w:rFonts w:hint="eastAsia" w:ascii="宋体" w:hAnsi="宋体" w:eastAsia="宋体" w:cs="宋体"/>
          <w:b/>
          <w:bCs/>
          <w:color w:val="auto"/>
          <w:highlight w:val="none"/>
        </w:rPr>
        <w:t>格式</w:t>
      </w:r>
    </w:p>
    <w:p w14:paraId="035D09E5">
      <w:pPr>
        <w:pStyle w:val="98"/>
        <w:pageBreakBefore w:val="0"/>
        <w:shd w:val="clear"/>
        <w:kinsoku/>
        <w:wordWrap w:val="0"/>
        <w:overflowPunct/>
        <w:topLinePunct w:val="0"/>
        <w:bidi w:val="0"/>
        <w:snapToGrid w:val="0"/>
        <w:ind w:left="420" w:firstLine="0" w:firstLineChars="0"/>
        <w:rPr>
          <w:rFonts w:hint="eastAsia" w:ascii="宋体" w:hAnsi="宋体" w:eastAsia="宋体" w:cs="宋体"/>
          <w:b/>
          <w:bCs/>
          <w:color w:val="auto"/>
          <w:highlight w:val="none"/>
        </w:rPr>
      </w:pPr>
    </w:p>
    <w:p w14:paraId="3460A224">
      <w:pPr>
        <w:pageBreakBefore w:val="0"/>
        <w:numPr>
          <w:ilvl w:val="0"/>
          <w:numId w:val="0"/>
        </w:numPr>
        <w:shd w:val="clear"/>
        <w:kinsoku/>
        <w:wordWrap w:val="0"/>
        <w:overflowPunct/>
        <w:topLinePunct w:val="0"/>
        <w:bidi w:val="0"/>
        <w:snapToGrid w:val="0"/>
        <w:spacing w:beforeLines="50" w:after="50"/>
        <w:ind w:left="400" w:leftChars="0"/>
        <w:rPr>
          <w:rFonts w:hint="eastAsia" w:ascii="宋体" w:hAnsi="宋体" w:eastAsia="宋体" w:cs="宋体"/>
          <w:b/>
          <w:color w:val="auto"/>
          <w:sz w:val="24"/>
          <w:highlight w:val="none"/>
        </w:rPr>
      </w:pPr>
      <w:bookmarkStart w:id="677" w:name="_Toc219619166"/>
      <w:r>
        <w:rPr>
          <w:rFonts w:hint="eastAsia" w:ascii="宋体" w:hAnsi="宋体" w:eastAsia="宋体" w:cs="宋体"/>
          <w:b/>
          <w:color w:val="auto"/>
          <w:sz w:val="24"/>
          <w:highlight w:val="none"/>
          <w:lang w:val="en-US" w:eastAsia="zh-CN"/>
        </w:rPr>
        <w:t>①</w:t>
      </w:r>
      <w:r>
        <w:rPr>
          <w:rFonts w:hint="eastAsia" w:ascii="宋体" w:hAnsi="宋体" w:eastAsia="宋体" w:cs="宋体"/>
          <w:b/>
          <w:color w:val="auto"/>
          <w:sz w:val="24"/>
          <w:highlight w:val="none"/>
        </w:rPr>
        <w:t>符合参加采购活动应当具备的一般条件的承诺函格式</w:t>
      </w:r>
    </w:p>
    <w:p w14:paraId="6F8F87FF">
      <w:pPr>
        <w:pageBreakBefore w:val="0"/>
        <w:shd w:val="clear"/>
        <w:kinsoku/>
        <w:wordWrap w:val="0"/>
        <w:overflowPunct/>
        <w:topLinePunct w:val="0"/>
        <w:bidi w:val="0"/>
        <w:spacing w:line="400" w:lineRule="exact"/>
        <w:jc w:val="center"/>
        <w:rPr>
          <w:rFonts w:hint="eastAsia" w:ascii="宋体" w:hAnsi="宋体" w:eastAsia="宋体" w:cs="宋体"/>
          <w:color w:val="auto"/>
          <w:sz w:val="24"/>
          <w:highlight w:val="none"/>
        </w:rPr>
      </w:pPr>
    </w:p>
    <w:p w14:paraId="4B80281B">
      <w:pPr>
        <w:pageBreakBefore w:val="0"/>
        <w:shd w:val="clear"/>
        <w:kinsoku/>
        <w:wordWrap w:val="0"/>
        <w:overflowPunct/>
        <w:topLinePunct w:val="0"/>
        <w:bidi w:val="0"/>
        <w:spacing w:line="400" w:lineRule="exact"/>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符合参加采购活动应当具备的一般条件的承诺函</w:t>
      </w:r>
    </w:p>
    <w:p w14:paraId="3DE52B44">
      <w:pPr>
        <w:pageBreakBefore w:val="0"/>
        <w:shd w:val="clear"/>
        <w:kinsoku/>
        <w:wordWrap w:val="0"/>
        <w:overflowPunct/>
        <w:topLinePunct w:val="0"/>
        <w:bidi w:val="0"/>
        <w:spacing w:line="400" w:lineRule="exact"/>
        <w:jc w:val="center"/>
        <w:rPr>
          <w:rFonts w:hint="eastAsia" w:ascii="宋体" w:hAnsi="宋体" w:eastAsia="宋体" w:cs="宋体"/>
          <w:color w:val="auto"/>
          <w:sz w:val="24"/>
          <w:highlight w:val="none"/>
        </w:rPr>
      </w:pPr>
    </w:p>
    <w:p w14:paraId="7BC4F771">
      <w:pPr>
        <w:keepNext w:val="0"/>
        <w:keepLines w:val="0"/>
        <w:pageBreakBefore w:val="0"/>
        <w:widowControl w:val="0"/>
        <w:shd w:val="clear"/>
        <w:kinsoku/>
        <w:wordWrap w:val="0"/>
        <w:overflowPunct/>
        <w:topLinePunct w:val="0"/>
        <w:autoSpaceDE/>
        <w:autoSpaceDN/>
        <w:bidi w:val="0"/>
        <w:adjustRightInd/>
        <w:snapToGrid w:val="0"/>
        <w:spacing w:line="46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招标人</w:t>
      </w:r>
      <w:r>
        <w:rPr>
          <w:rFonts w:hint="eastAsia" w:ascii="宋体" w:hAnsi="宋体" w:eastAsia="宋体" w:cs="宋体"/>
          <w:color w:val="auto"/>
          <w:sz w:val="24"/>
          <w:highlight w:val="none"/>
        </w:rPr>
        <w:t>）、（采购代理机构）：</w:t>
      </w:r>
    </w:p>
    <w:p w14:paraId="022C057D">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我方参与（项目名称）【</w:t>
      </w:r>
      <w:r>
        <w:rPr>
          <w:rFonts w:hint="eastAsia" w:ascii="宋体" w:hAnsi="宋体" w:eastAsia="宋体" w:cs="宋体"/>
          <w:color w:val="auto"/>
          <w:sz w:val="24"/>
          <w:highlight w:val="none"/>
          <w:lang w:eastAsia="zh-CN"/>
        </w:rPr>
        <w:t>项目编号</w:t>
      </w:r>
      <w:r>
        <w:rPr>
          <w:rFonts w:hint="eastAsia" w:ascii="宋体" w:hAnsi="宋体" w:eastAsia="宋体" w:cs="宋体"/>
          <w:color w:val="auto"/>
          <w:sz w:val="24"/>
          <w:highlight w:val="none"/>
        </w:rPr>
        <w:t>：（采购编号）】采购活动，郑重承诺：</w:t>
      </w:r>
    </w:p>
    <w:p w14:paraId="7A3C75D0">
      <w:pPr>
        <w:keepNext w:val="0"/>
        <w:keepLines w:val="0"/>
        <w:pageBreakBefore w:val="0"/>
        <w:widowControl w:val="0"/>
        <w:shd w:val="clear"/>
        <w:kinsoku/>
        <w:wordWrap w:val="0"/>
        <w:overflowPunct/>
        <w:topLinePunct w:val="0"/>
        <w:autoSpaceDE/>
        <w:autoSpaceDN/>
        <w:bidi w:val="0"/>
        <w:adjustRightInd/>
        <w:snapToGrid w:val="0"/>
        <w:spacing w:line="460" w:lineRule="exact"/>
        <w:ind w:firstLine="360" w:firstLineChars="1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（一）具备</w:t>
      </w:r>
      <w:r>
        <w:rPr>
          <w:rFonts w:hint="eastAsia" w:ascii="宋体" w:hAnsi="宋体" w:eastAsia="宋体" w:cs="宋体"/>
          <w:color w:val="auto"/>
          <w:sz w:val="24"/>
          <w:highlight w:val="none"/>
          <w:lang w:eastAsia="zh-CN"/>
        </w:rPr>
        <w:t>本次招标</w:t>
      </w:r>
      <w:r>
        <w:rPr>
          <w:rFonts w:hint="eastAsia" w:ascii="宋体" w:hAnsi="宋体" w:eastAsia="宋体" w:cs="宋体"/>
          <w:color w:val="auto"/>
          <w:sz w:val="24"/>
          <w:highlight w:val="none"/>
        </w:rPr>
        <w:t>规定的条件：</w:t>
      </w:r>
    </w:p>
    <w:p w14:paraId="4D75A685">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1、具有独立承担民事责任的能力；</w:t>
      </w:r>
    </w:p>
    <w:p w14:paraId="3EB6BF50">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2、具有良好的商业信誉和健全的财务会计制度； </w:t>
      </w:r>
    </w:p>
    <w:p w14:paraId="6F04E2A5">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3、具有履行合同所必需的设备和专业技术能力；</w:t>
      </w:r>
    </w:p>
    <w:p w14:paraId="755F685D">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4、有依法缴纳税收和社会保障资金的良好记录；</w:t>
      </w:r>
    </w:p>
    <w:p w14:paraId="0ABEF6B5">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5、参加采购活动前三年内，在经营活动中没有重大违法记录；</w:t>
      </w:r>
    </w:p>
    <w:p w14:paraId="503B32AD">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6、具有法律、行政法规规定的其他条件。</w:t>
      </w:r>
    </w:p>
    <w:p w14:paraId="0A13CC59">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（二）</w:t>
      </w:r>
      <w:r>
        <w:rPr>
          <w:rFonts w:hint="eastAsia" w:ascii="宋体" w:hAnsi="宋体" w:eastAsia="宋体" w:cs="宋体"/>
          <w:color w:val="auto"/>
          <w:sz w:val="24"/>
          <w:highlight w:val="none"/>
          <w:lang w:val="en-US" w:eastAsia="zh-CN"/>
        </w:rPr>
        <w:t>信用要求：</w:t>
      </w:r>
      <w:r>
        <w:rPr>
          <w:rFonts w:hint="eastAsia" w:ascii="宋体" w:hAnsi="宋体" w:cs="宋体"/>
          <w:color w:val="auto"/>
          <w:sz w:val="24"/>
          <w:highlight w:val="none"/>
          <w:lang w:val="en-US" w:eastAsia="zh-CN"/>
        </w:rPr>
        <w:t>①未被“信用中国”网站（www.creditchina.gov.cn）列入严重失信主体名单；②未被国家企业信用信息公示系统（http://www.gsxt.gov.cn/）列入严重违法失信名单（黑名单）信息；③未被“中国执行信息公开网”网站（http://zxgk.court.gov.cn/）列入失信被执行人；④投标人或法定代表人自2022年1月1日以来在中国裁判文书网（https：//wenshu.court.gov.cn/）上没有行贿犯罪记录情况（以行贿罪判决为准）</w:t>
      </w:r>
      <w:r>
        <w:rPr>
          <w:rFonts w:hint="eastAsia" w:ascii="宋体" w:hAnsi="宋体" w:eastAsia="宋体" w:cs="宋体"/>
          <w:color w:val="auto"/>
          <w:sz w:val="24"/>
          <w:highlight w:val="none"/>
          <w:lang w:eastAsia="zh-CN"/>
        </w:rPr>
        <w:t>。</w:t>
      </w:r>
    </w:p>
    <w:p w14:paraId="785C207A">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（三）不存在以下情况：</w:t>
      </w:r>
    </w:p>
    <w:p w14:paraId="4D5387C7">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1、单位负责人为同一人或者存在直接控股、管理关系的不同</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参加同一合同项下的采购活动的；</w:t>
      </w:r>
    </w:p>
    <w:p w14:paraId="4638F7F8">
      <w:pPr>
        <w:keepNext w:val="0"/>
        <w:keepLines w:val="0"/>
        <w:pageBreakBefore w:val="0"/>
        <w:widowControl w:val="0"/>
        <w:shd w:val="clear"/>
        <w:kinsoku/>
        <w:wordWrap w:val="0"/>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2、为采购项目提供整体设计、规范编制或者项目管理、监理、检测等服务后再参加该采购项目的其他采购活动的。</w:t>
      </w:r>
    </w:p>
    <w:p w14:paraId="62906F09">
      <w:pPr>
        <w:keepNext w:val="0"/>
        <w:keepLines w:val="0"/>
        <w:pageBreakBefore w:val="0"/>
        <w:widowControl w:val="0"/>
        <w:shd w:val="clear"/>
        <w:kinsoku/>
        <w:wordWrap w:val="0"/>
        <w:overflowPunct/>
        <w:topLinePunct w:val="0"/>
        <w:autoSpaceDE/>
        <w:autoSpaceDN/>
        <w:bidi w:val="0"/>
        <w:adjustRightInd/>
        <w:snapToGrid w:val="0"/>
        <w:spacing w:line="460" w:lineRule="exact"/>
        <w:ind w:firstLine="4440" w:firstLineChars="1850"/>
        <w:textAlignment w:val="auto"/>
        <w:rPr>
          <w:rFonts w:hint="eastAsia" w:ascii="宋体" w:hAnsi="宋体" w:eastAsia="宋体" w:cs="宋体"/>
          <w:color w:val="auto"/>
          <w:sz w:val="24"/>
          <w:highlight w:val="none"/>
        </w:rPr>
      </w:pPr>
      <w:r>
        <w:rPr>
          <w:rFonts w:hint="eastAsia" w:ascii="宋体" w:hAnsi="宋体" w:eastAsia="宋体" w:cs="宋体"/>
          <w:bCs/>
          <w:color w:val="auto"/>
          <w:sz w:val="24"/>
          <w:highlight w:val="none"/>
        </w:rPr>
        <w:t>投标人（盖章）</w:t>
      </w:r>
      <w:r>
        <w:rPr>
          <w:rFonts w:hint="eastAsia" w:ascii="宋体" w:hAnsi="宋体" w:eastAsia="宋体" w:cs="宋体"/>
          <w:color w:val="auto"/>
          <w:sz w:val="24"/>
          <w:highlight w:val="none"/>
        </w:rPr>
        <w:t>：</w:t>
      </w:r>
    </w:p>
    <w:p w14:paraId="2BAB50A8">
      <w:pPr>
        <w:keepNext w:val="0"/>
        <w:keepLines w:val="0"/>
        <w:pageBreakBefore w:val="0"/>
        <w:widowControl w:val="0"/>
        <w:shd w:val="clear"/>
        <w:kinsoku/>
        <w:wordWrap w:val="0"/>
        <w:overflowPunct/>
        <w:topLinePunct w:val="0"/>
        <w:autoSpaceDE/>
        <w:autoSpaceDN/>
        <w:bidi w:val="0"/>
        <w:adjustRightInd/>
        <w:snapToGrid w:val="0"/>
        <w:spacing w:line="460" w:lineRule="exact"/>
        <w:ind w:firstLine="5040" w:firstLineChars="2100"/>
        <w:textAlignment w:val="auto"/>
        <w:rPr>
          <w:rFonts w:hint="eastAsia" w:ascii="宋体" w:hAnsi="宋体" w:eastAsia="宋体" w:cs="宋体"/>
          <w:color w:val="auto"/>
          <w:kern w:val="0"/>
          <w:sz w:val="24"/>
          <w:highlight w:val="none"/>
          <w:lang w:val="zh-CN"/>
        </w:rPr>
      </w:pPr>
    </w:p>
    <w:p w14:paraId="1F10CA24">
      <w:pPr>
        <w:keepNext w:val="0"/>
        <w:keepLines w:val="0"/>
        <w:pageBreakBefore w:val="0"/>
        <w:widowControl w:val="0"/>
        <w:shd w:val="clear"/>
        <w:kinsoku/>
        <w:wordWrap w:val="0"/>
        <w:overflowPunct/>
        <w:topLinePunct w:val="0"/>
        <w:autoSpaceDE/>
        <w:autoSpaceDN/>
        <w:bidi w:val="0"/>
        <w:adjustRightInd/>
        <w:snapToGrid w:val="0"/>
        <w:spacing w:line="460" w:lineRule="exact"/>
        <w:ind w:firstLine="5640" w:firstLineChars="2350"/>
        <w:textAlignment w:val="auto"/>
        <w:rPr>
          <w:rStyle w:val="125"/>
          <w:rFonts w:hint="eastAsia" w:ascii="宋体" w:hAnsi="宋体" w:eastAsia="宋体" w:cs="宋体"/>
          <w:color w:val="auto"/>
          <w:highlight w:val="none"/>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  日</w:t>
      </w:r>
    </w:p>
    <w:p w14:paraId="69F9EAD6">
      <w:pPr>
        <w:keepNext w:val="0"/>
        <w:keepLines w:val="0"/>
        <w:pageBreakBefore w:val="0"/>
        <w:widowControl w:val="0"/>
        <w:numPr>
          <w:ilvl w:val="0"/>
          <w:numId w:val="0"/>
        </w:numPr>
        <w:shd w:val="clear"/>
        <w:kinsoku/>
        <w:wordWrap w:val="0"/>
        <w:overflowPunct/>
        <w:topLinePunct w:val="0"/>
        <w:autoSpaceDN/>
        <w:bidi w:val="0"/>
        <w:adjustRightInd w:val="0"/>
        <w:snapToGrid w:val="0"/>
        <w:spacing w:line="360" w:lineRule="auto"/>
        <w:textAlignment w:val="auto"/>
        <w:rPr>
          <w:rFonts w:hint="eastAsia" w:ascii="宋体" w:hAnsi="宋体" w:eastAsia="宋体" w:cs="宋体"/>
          <w:b/>
          <w:color w:val="auto"/>
          <w:sz w:val="24"/>
          <w:highlight w:val="none"/>
        </w:rPr>
        <w:sectPr>
          <w:pgSz w:w="11905" w:h="16838"/>
          <w:pgMar w:top="1304" w:right="1474" w:bottom="1304" w:left="1474" w:header="907" w:footer="964" w:gutter="0"/>
          <w:pgBorders>
            <w:top w:val="none" w:sz="0" w:space="0"/>
            <w:left w:val="none" w:sz="0" w:space="0"/>
            <w:bottom w:val="none" w:sz="0" w:space="0"/>
            <w:right w:val="none" w:sz="0" w:space="0"/>
          </w:pgBorders>
          <w:pgNumType w:fmt="decimal"/>
          <w:cols w:space="0" w:num="1"/>
          <w:rtlGutter w:val="0"/>
          <w:docGrid w:linePitch="289" w:charSpace="0"/>
        </w:sectPr>
      </w:pPr>
      <w:r>
        <w:rPr>
          <w:rFonts w:hint="eastAsia" w:ascii="宋体" w:hAnsi="宋体" w:eastAsia="宋体" w:cs="宋体"/>
          <w:b/>
          <w:color w:val="auto"/>
          <w:highlight w:val="none"/>
        </w:rPr>
        <w:br w:type="page"/>
      </w:r>
      <w:r>
        <w:rPr>
          <w:rFonts w:hint="eastAsia" w:ascii="宋体" w:hAnsi="宋体" w:eastAsia="宋体" w:cs="宋体"/>
          <w:b/>
          <w:color w:val="auto"/>
          <w:sz w:val="24"/>
          <w:highlight w:val="none"/>
          <w:lang w:eastAsia="zh-CN"/>
        </w:rPr>
        <w:t>②</w:t>
      </w:r>
      <w:r>
        <w:rPr>
          <w:rFonts w:hint="eastAsia" w:ascii="宋体" w:hAnsi="宋体" w:eastAsia="宋体" w:cs="宋体"/>
          <w:b/>
          <w:color w:val="auto"/>
          <w:sz w:val="24"/>
          <w:highlight w:val="none"/>
        </w:rPr>
        <w:t>有效的企业营业执照（或事业法人登记证或其他登记证明材料）复印件；</w:t>
      </w:r>
      <w:r>
        <w:rPr>
          <w:rFonts w:hint="eastAsia" w:ascii="宋体" w:hAnsi="宋体" w:eastAsia="宋体" w:cs="宋体"/>
          <w:b/>
          <w:color w:val="auto"/>
          <w:sz w:val="24"/>
          <w:highlight w:val="none"/>
          <w:lang w:eastAsia="zh-CN"/>
        </w:rPr>
        <w:t>投标人</w:t>
      </w:r>
      <w:r>
        <w:rPr>
          <w:rFonts w:hint="eastAsia" w:ascii="宋体" w:hAnsi="宋体" w:eastAsia="宋体" w:cs="宋体"/>
          <w:b/>
          <w:color w:val="auto"/>
          <w:sz w:val="24"/>
          <w:highlight w:val="none"/>
        </w:rPr>
        <w:t>如果有名称变更的，应提供由行政主管部门出具的变更证明文件复印件）</w:t>
      </w:r>
    </w:p>
    <w:p w14:paraId="118661BC">
      <w:pPr>
        <w:pStyle w:val="98"/>
        <w:pageBreakBefore w:val="0"/>
        <w:numPr>
          <w:ilvl w:val="0"/>
          <w:numId w:val="54"/>
        </w:numPr>
        <w:shd w:val="clear"/>
        <w:kinsoku/>
        <w:wordWrap w:val="0"/>
        <w:overflowPunct/>
        <w:topLinePunct w:val="0"/>
        <w:bidi w:val="0"/>
        <w:snapToGrid w:val="0"/>
        <w:ind w:firstLineChars="0"/>
        <w:rPr>
          <w:rFonts w:hint="eastAsia" w:ascii="宋体" w:hAnsi="宋体" w:eastAsia="宋体" w:cs="宋体"/>
          <w:b/>
          <w:color w:val="auto"/>
          <w:highlight w:val="none"/>
        </w:rPr>
      </w:pPr>
      <w:r>
        <w:rPr>
          <w:rFonts w:hint="eastAsia" w:ascii="宋体" w:hAnsi="宋体" w:eastAsia="宋体" w:cs="宋体"/>
          <w:b/>
          <w:color w:val="auto"/>
          <w:highlight w:val="none"/>
        </w:rPr>
        <w:t>投标函</w:t>
      </w:r>
      <w:r>
        <w:rPr>
          <w:rFonts w:hint="eastAsia" w:ascii="宋体" w:hAnsi="宋体" w:eastAsia="宋体" w:cs="宋体"/>
          <w:b/>
          <w:bCs/>
          <w:color w:val="auto"/>
          <w:highlight w:val="none"/>
        </w:rPr>
        <w:t>格式</w:t>
      </w:r>
    </w:p>
    <w:p w14:paraId="446CC775">
      <w:pPr>
        <w:pageBreakBefore w:val="0"/>
        <w:shd w:val="clear"/>
        <w:kinsoku/>
        <w:wordWrap w:val="0"/>
        <w:overflowPunct/>
        <w:topLinePunct w:val="0"/>
        <w:bidi w:val="0"/>
        <w:snapToGrid w:val="0"/>
        <w:spacing w:beforeLines="50" w:after="5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投标函</w:t>
      </w:r>
    </w:p>
    <w:p w14:paraId="72929808">
      <w:pPr>
        <w:pageBreakBefore w:val="0"/>
        <w:shd w:val="clear"/>
        <w:kinsoku/>
        <w:wordWrap w:val="0"/>
        <w:overflowPunct/>
        <w:topLinePunct w:val="0"/>
        <w:bidi w:val="0"/>
        <w:snapToGrid w:val="0"/>
        <w:spacing w:beforeLines="50" w:after="50" w:line="400" w:lineRule="exact"/>
        <w:rPr>
          <w:rFonts w:hint="eastAsia" w:ascii="宋体" w:hAnsi="宋体" w:eastAsia="宋体" w:cs="宋体"/>
          <w:color w:val="auto"/>
          <w:sz w:val="24"/>
          <w:szCs w:val="20"/>
          <w:highlight w:val="none"/>
          <w:u w:val="single"/>
          <w:lang w:eastAsia="zh-CN"/>
        </w:rPr>
      </w:pPr>
      <w:r>
        <w:rPr>
          <w:rFonts w:hint="eastAsia" w:ascii="宋体" w:hAnsi="宋体" w:eastAsia="宋体" w:cs="宋体"/>
          <w:color w:val="auto"/>
          <w:sz w:val="24"/>
          <w:highlight w:val="none"/>
        </w:rPr>
        <w:t>致：</w:t>
      </w:r>
      <w:r>
        <w:rPr>
          <w:rFonts w:hint="eastAsia" w:ascii="宋体" w:hAnsi="宋体" w:cs="宋体"/>
          <w:color w:val="auto"/>
          <w:sz w:val="24"/>
          <w:highlight w:val="none"/>
          <w:u w:val="single"/>
          <w:lang w:eastAsia="zh-CN"/>
        </w:rPr>
        <w:t>浙江西塘旅游文化发展有限公司</w:t>
      </w:r>
      <w:r>
        <w:rPr>
          <w:rFonts w:hint="eastAsia" w:ascii="宋体" w:hAnsi="宋体" w:eastAsia="宋体" w:cs="宋体"/>
          <w:color w:val="auto"/>
          <w:sz w:val="24"/>
          <w:highlight w:val="none"/>
          <w:u w:val="single"/>
          <w:lang w:eastAsia="zh-CN"/>
        </w:rPr>
        <w:t xml:space="preserve"> </w:t>
      </w:r>
    </w:p>
    <w:p w14:paraId="517345A1">
      <w:pPr>
        <w:pageBreakBefore w:val="0"/>
        <w:shd w:val="clear"/>
        <w:kinsoku/>
        <w:wordWrap w:val="0"/>
        <w:overflowPunct/>
        <w:topLinePunct w:val="0"/>
        <w:bidi w:val="0"/>
        <w:snapToGrid w:val="0"/>
        <w:spacing w:beforeLines="50" w:after="50" w:line="360" w:lineRule="auto"/>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rPr>
        <w:t>我方已全面阅读和研究了</w:t>
      </w:r>
      <w:r>
        <w:rPr>
          <w:rFonts w:hint="eastAsia" w:ascii="宋体" w:hAnsi="宋体" w:eastAsia="宋体" w:cs="宋体"/>
          <w:color w:val="auto"/>
          <w:sz w:val="24"/>
          <w:highlight w:val="none"/>
          <w:u w:val="single"/>
        </w:rPr>
        <w:t xml:space="preserve">     （项目名称）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rPr>
        <w:t>（项目编号：</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），正式授权</w:t>
      </w:r>
      <w:r>
        <w:rPr>
          <w:rFonts w:hint="eastAsia" w:ascii="宋体" w:hAnsi="宋体" w:eastAsia="宋体" w:cs="宋体"/>
          <w:color w:val="auto"/>
          <w:sz w:val="24"/>
          <w:highlight w:val="none"/>
          <w:u w:val="single"/>
        </w:rPr>
        <w:t>（投标人代表姓名）</w:t>
      </w:r>
      <w:r>
        <w:rPr>
          <w:rFonts w:hint="eastAsia" w:ascii="宋体" w:hAnsi="宋体" w:eastAsia="宋体" w:cs="宋体"/>
          <w:color w:val="auto"/>
          <w:sz w:val="24"/>
          <w:highlight w:val="none"/>
        </w:rPr>
        <w:t>代表</w:t>
      </w:r>
      <w:r>
        <w:rPr>
          <w:rFonts w:hint="eastAsia" w:ascii="宋体" w:hAnsi="宋体" w:eastAsia="宋体" w:cs="宋体"/>
          <w:color w:val="auto"/>
          <w:sz w:val="24"/>
          <w:highlight w:val="none"/>
          <w:u w:val="single"/>
        </w:rPr>
        <w:t xml:space="preserve">（投标人名称）   </w:t>
      </w:r>
      <w:r>
        <w:rPr>
          <w:rFonts w:hint="eastAsia" w:ascii="宋体" w:hAnsi="宋体" w:eastAsia="宋体" w:cs="宋体"/>
          <w:color w:val="auto"/>
          <w:sz w:val="24"/>
          <w:highlight w:val="none"/>
        </w:rPr>
        <w:t>提交投标文件。据此函，我方郑重承诺如下：</w:t>
      </w:r>
    </w:p>
    <w:p w14:paraId="5379FAC8">
      <w:pPr>
        <w:pStyle w:val="84"/>
        <w:pageBreakBefore w:val="0"/>
        <w:numPr>
          <w:ilvl w:val="1"/>
          <w:numId w:val="56"/>
        </w:numPr>
        <w:shd w:val="clear"/>
        <w:kinsoku/>
        <w:wordWrap w:val="0"/>
        <w:overflowPunct/>
        <w:topLinePunct w:val="0"/>
        <w:bidi w:val="0"/>
        <w:ind w:left="0"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我方的投标文件在投标截止日后90天内保持有效，如中标，有效期将延至本项目执行期满日为止。</w:t>
      </w:r>
    </w:p>
    <w:p w14:paraId="54BA97A8">
      <w:pPr>
        <w:pStyle w:val="84"/>
        <w:pageBreakBefore w:val="0"/>
        <w:numPr>
          <w:ilvl w:val="1"/>
          <w:numId w:val="56"/>
        </w:numPr>
        <w:shd w:val="clear"/>
        <w:kinsoku/>
        <w:wordWrap w:val="0"/>
        <w:overflowPunct/>
        <w:topLinePunct w:val="0"/>
        <w:bidi w:val="0"/>
        <w:ind w:left="0" w:firstLine="420" w:firstLineChars="0"/>
        <w:rPr>
          <w:rFonts w:ascii="宋体" w:hAnsi="宋体"/>
          <w:color w:val="auto"/>
          <w:highlight w:val="none"/>
        </w:rPr>
      </w:pPr>
      <w:r>
        <w:rPr>
          <w:rFonts w:hint="eastAsia" w:ascii="宋体" w:hAnsi="宋体" w:eastAsia="宋体" w:cs="宋体"/>
          <w:color w:val="auto"/>
          <w:highlight w:val="none"/>
        </w:rPr>
        <w:t>我方在参与投标前已仔细研究了</w:t>
      </w:r>
      <w:r>
        <w:rPr>
          <w:rFonts w:hint="eastAsia" w:ascii="宋体" w:hAnsi="宋体" w:eastAsia="宋体" w:cs="宋体"/>
          <w:color w:val="auto"/>
          <w:highlight w:val="none"/>
          <w:lang w:eastAsia="zh-CN"/>
        </w:rPr>
        <w:t>招标文件</w:t>
      </w:r>
      <w:r>
        <w:rPr>
          <w:rFonts w:hint="eastAsia" w:ascii="宋体" w:hAnsi="宋体" w:eastAsia="宋体" w:cs="宋体"/>
          <w:color w:val="auto"/>
          <w:highlight w:val="none"/>
        </w:rPr>
        <w:t>和所有相关资料，我方完全明白并认为此</w:t>
      </w:r>
      <w:r>
        <w:rPr>
          <w:rFonts w:hint="eastAsia" w:ascii="宋体" w:hAnsi="宋体" w:eastAsia="宋体" w:cs="宋体"/>
          <w:color w:val="auto"/>
          <w:highlight w:val="none"/>
          <w:lang w:eastAsia="zh-CN"/>
        </w:rPr>
        <w:t>招标文件</w:t>
      </w:r>
      <w:r>
        <w:rPr>
          <w:rFonts w:hint="eastAsia" w:ascii="宋体" w:hAnsi="宋体" w:eastAsia="宋体" w:cs="宋体"/>
          <w:color w:val="auto"/>
          <w:highlight w:val="none"/>
        </w:rPr>
        <w:t>没有倾向性，也没有存在排斥潜在</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的内容，我方同意</w:t>
      </w:r>
      <w:r>
        <w:rPr>
          <w:rFonts w:hint="eastAsia" w:ascii="宋体" w:hAnsi="宋体" w:eastAsia="宋体" w:cs="宋体"/>
          <w:color w:val="auto"/>
          <w:highlight w:val="none"/>
          <w:lang w:eastAsia="zh-CN"/>
        </w:rPr>
        <w:t>招标文件</w:t>
      </w:r>
      <w:r>
        <w:rPr>
          <w:rFonts w:hint="eastAsia" w:ascii="宋体" w:hAnsi="宋体" w:eastAsia="宋体" w:cs="宋体"/>
          <w:color w:val="auto"/>
          <w:highlight w:val="none"/>
        </w:rPr>
        <w:t>的相关条款，放弃对</w:t>
      </w:r>
      <w:r>
        <w:rPr>
          <w:rFonts w:hint="eastAsia" w:ascii="宋体" w:hAnsi="宋体" w:eastAsia="宋体" w:cs="宋体"/>
          <w:color w:val="auto"/>
          <w:highlight w:val="none"/>
          <w:lang w:eastAsia="zh-CN"/>
        </w:rPr>
        <w:t>招标文件</w:t>
      </w:r>
      <w:r>
        <w:rPr>
          <w:rFonts w:hint="eastAsia" w:ascii="宋体" w:hAnsi="宋体" w:eastAsia="宋体" w:cs="宋体"/>
          <w:color w:val="auto"/>
          <w:highlight w:val="none"/>
        </w:rPr>
        <w:t>提出误解和质疑的一切权利</w:t>
      </w:r>
      <w:r>
        <w:rPr>
          <w:rFonts w:ascii="宋体" w:hAnsi="宋体"/>
          <w:color w:val="auto"/>
          <w:highlight w:val="none"/>
        </w:rPr>
        <w:t>。</w:t>
      </w:r>
    </w:p>
    <w:p w14:paraId="00939FF3">
      <w:pPr>
        <w:pStyle w:val="84"/>
        <w:pageBreakBefore w:val="0"/>
        <w:numPr>
          <w:ilvl w:val="1"/>
          <w:numId w:val="56"/>
        </w:numPr>
        <w:shd w:val="clear"/>
        <w:kinsoku/>
        <w:wordWrap w:val="0"/>
        <w:overflowPunct/>
        <w:topLinePunct w:val="0"/>
        <w:bidi w:val="0"/>
        <w:ind w:left="0" w:firstLine="420" w:firstLineChars="0"/>
        <w:rPr>
          <w:rFonts w:ascii="宋体" w:hAnsi="宋体"/>
          <w:color w:val="auto"/>
          <w:highlight w:val="none"/>
        </w:rPr>
      </w:pPr>
      <w:r>
        <w:rPr>
          <w:rFonts w:hint="eastAsia" w:ascii="宋体" w:hAnsi="宋体"/>
          <w:color w:val="auto"/>
          <w:highlight w:val="none"/>
        </w:rPr>
        <w:t>我方声明投标文件及所提供的一切资料均真实无误及有效。由于我方提供资料不实而造成的责任和后果由我方承担。我方同意按照贵方可能提出的要求，提供与投标有关的任何</w:t>
      </w:r>
      <w:r>
        <w:rPr>
          <w:rFonts w:hint="eastAsia" w:ascii="宋体" w:hAnsi="宋体"/>
          <w:color w:val="auto"/>
          <w:highlight w:val="none"/>
          <w:lang w:eastAsia="zh-CN"/>
        </w:rPr>
        <w:t>其他</w:t>
      </w:r>
      <w:r>
        <w:rPr>
          <w:rFonts w:hint="eastAsia" w:ascii="宋体" w:hAnsi="宋体"/>
          <w:color w:val="auto"/>
          <w:highlight w:val="none"/>
        </w:rPr>
        <w:t>数据或信息。</w:t>
      </w:r>
    </w:p>
    <w:p w14:paraId="558A4FD6">
      <w:pPr>
        <w:pStyle w:val="84"/>
        <w:pageBreakBefore w:val="0"/>
        <w:numPr>
          <w:ilvl w:val="1"/>
          <w:numId w:val="56"/>
        </w:numPr>
        <w:shd w:val="clear"/>
        <w:kinsoku/>
        <w:wordWrap w:val="0"/>
        <w:overflowPunct/>
        <w:topLinePunct w:val="0"/>
        <w:bidi w:val="0"/>
        <w:ind w:left="0" w:firstLine="420" w:firstLineChars="0"/>
        <w:rPr>
          <w:rFonts w:ascii="宋体" w:hAnsi="宋体"/>
          <w:color w:val="auto"/>
          <w:highlight w:val="none"/>
        </w:rPr>
      </w:pPr>
      <w:r>
        <w:rPr>
          <w:rFonts w:hint="eastAsia" w:ascii="宋体" w:hAnsi="宋体"/>
          <w:color w:val="auto"/>
          <w:highlight w:val="none"/>
        </w:rPr>
        <w:t>我方如果中标，保证履行投标文件中承诺的全部责任和义务，采购合同中的全部条款。</w:t>
      </w:r>
    </w:p>
    <w:p w14:paraId="29787B75">
      <w:pPr>
        <w:pStyle w:val="84"/>
        <w:pageBreakBefore w:val="0"/>
        <w:numPr>
          <w:ilvl w:val="1"/>
          <w:numId w:val="56"/>
        </w:numPr>
        <w:shd w:val="clear"/>
        <w:kinsoku/>
        <w:wordWrap w:val="0"/>
        <w:overflowPunct/>
        <w:topLinePunct w:val="0"/>
        <w:bidi w:val="0"/>
        <w:ind w:left="0" w:firstLine="420" w:firstLineChars="0"/>
        <w:rPr>
          <w:rFonts w:ascii="宋体" w:hAnsi="宋体"/>
          <w:color w:val="auto"/>
          <w:highlight w:val="none"/>
        </w:rPr>
      </w:pPr>
      <w:r>
        <w:rPr>
          <w:rFonts w:hint="eastAsia" w:ascii="宋体" w:hAnsi="宋体"/>
          <w:color w:val="auto"/>
          <w:highlight w:val="none"/>
        </w:rPr>
        <w:t>我方理解贵方不一定接受最低报价的投标。</w:t>
      </w:r>
    </w:p>
    <w:p w14:paraId="10D2D9FD">
      <w:pPr>
        <w:pStyle w:val="84"/>
        <w:pageBreakBefore w:val="0"/>
        <w:numPr>
          <w:ilvl w:val="1"/>
          <w:numId w:val="56"/>
        </w:numPr>
        <w:shd w:val="clear"/>
        <w:kinsoku/>
        <w:wordWrap w:val="0"/>
        <w:overflowPunct/>
        <w:topLinePunct w:val="0"/>
        <w:bidi w:val="0"/>
        <w:ind w:left="0" w:firstLine="420" w:firstLineChars="0"/>
        <w:rPr>
          <w:rFonts w:ascii="宋体" w:hAnsi="宋体"/>
          <w:color w:val="auto"/>
          <w:highlight w:val="none"/>
        </w:rPr>
      </w:pPr>
      <w:r>
        <w:rPr>
          <w:rFonts w:hint="eastAsia" w:ascii="宋体" w:hAnsi="宋体"/>
          <w:color w:val="auto"/>
          <w:highlight w:val="none"/>
        </w:rPr>
        <w:t>我方保证，</w:t>
      </w:r>
      <w:r>
        <w:rPr>
          <w:rFonts w:hint="eastAsia" w:ascii="宋体" w:hAnsi="宋体"/>
          <w:color w:val="auto"/>
          <w:highlight w:val="none"/>
          <w:lang w:eastAsia="zh-CN"/>
        </w:rPr>
        <w:t>招标人</w:t>
      </w:r>
      <w:r>
        <w:rPr>
          <w:rFonts w:hint="eastAsia" w:ascii="宋体" w:hAnsi="宋体"/>
          <w:color w:val="auto"/>
          <w:highlight w:val="none"/>
        </w:rPr>
        <w:t>在中华人民共和国境内使用我方报价货物、资料、技术、服务或其任何一部分时，享有不受限制的无偿使用权，如有第三方向</w:t>
      </w:r>
      <w:r>
        <w:rPr>
          <w:rFonts w:hint="eastAsia" w:ascii="宋体" w:hAnsi="宋体"/>
          <w:color w:val="auto"/>
          <w:highlight w:val="none"/>
          <w:lang w:eastAsia="zh-CN"/>
        </w:rPr>
        <w:t>招标人</w:t>
      </w:r>
      <w:r>
        <w:rPr>
          <w:rFonts w:hint="eastAsia" w:ascii="宋体" w:hAnsi="宋体"/>
          <w:color w:val="auto"/>
          <w:highlight w:val="none"/>
        </w:rPr>
        <w:t>提出侵犯其专利权、商标权或</w:t>
      </w:r>
      <w:r>
        <w:rPr>
          <w:rFonts w:hint="eastAsia" w:ascii="宋体" w:hAnsi="宋体"/>
          <w:color w:val="auto"/>
          <w:highlight w:val="none"/>
          <w:lang w:eastAsia="zh-CN"/>
        </w:rPr>
        <w:t>其他</w:t>
      </w:r>
      <w:r>
        <w:rPr>
          <w:rFonts w:hint="eastAsia" w:ascii="宋体" w:hAnsi="宋体"/>
          <w:color w:val="auto"/>
          <w:highlight w:val="none"/>
        </w:rPr>
        <w:t>知识产权的主张，该责任由我方承担。我方的报价已包含所有应向所有权人支付的专利权、商标权或</w:t>
      </w:r>
      <w:r>
        <w:rPr>
          <w:rFonts w:hint="eastAsia" w:ascii="宋体" w:hAnsi="宋体"/>
          <w:color w:val="auto"/>
          <w:highlight w:val="none"/>
          <w:lang w:eastAsia="zh-CN"/>
        </w:rPr>
        <w:t>其他</w:t>
      </w:r>
      <w:r>
        <w:rPr>
          <w:rFonts w:hint="eastAsia" w:ascii="宋体" w:hAnsi="宋体"/>
          <w:color w:val="auto"/>
          <w:highlight w:val="none"/>
        </w:rPr>
        <w:t>知识产权的一切相关费用。</w:t>
      </w:r>
    </w:p>
    <w:p w14:paraId="7FFCB731">
      <w:pPr>
        <w:pStyle w:val="84"/>
        <w:pageBreakBefore w:val="0"/>
        <w:numPr>
          <w:ilvl w:val="1"/>
          <w:numId w:val="56"/>
        </w:numPr>
        <w:shd w:val="clear"/>
        <w:kinsoku/>
        <w:wordWrap w:val="0"/>
        <w:overflowPunct/>
        <w:topLinePunct w:val="0"/>
        <w:bidi w:val="0"/>
        <w:ind w:left="0" w:firstLine="420" w:firstLineChars="0"/>
        <w:rPr>
          <w:rFonts w:ascii="宋体" w:hAnsi="宋体"/>
          <w:color w:val="auto"/>
          <w:highlight w:val="none"/>
        </w:rPr>
      </w:pPr>
      <w:r>
        <w:rPr>
          <w:rFonts w:hint="eastAsia" w:ascii="宋体" w:hAnsi="宋体"/>
          <w:color w:val="auto"/>
          <w:highlight w:val="none"/>
        </w:rPr>
        <w:t>与本投标有关的一切正式往来信函请寄：</w:t>
      </w:r>
    </w:p>
    <w:p w14:paraId="78633DC7">
      <w:pPr>
        <w:pageBreakBefore w:val="0"/>
        <w:shd w:val="clear"/>
        <w:kinsoku/>
        <w:wordWrap w:val="0"/>
        <w:overflowPunct/>
        <w:topLinePunct w:val="0"/>
        <w:bidi w:val="0"/>
        <w:snapToGrid w:val="0"/>
        <w:spacing w:line="360" w:lineRule="auto"/>
        <w:rPr>
          <w:rFonts w:hint="default" w:ascii="宋体" w:hAnsi="宋体" w:eastAsia="宋体"/>
          <w:color w:val="auto"/>
          <w:sz w:val="24"/>
          <w:szCs w:val="20"/>
          <w:highlight w:val="none"/>
          <w:u w:val="single"/>
          <w:lang w:val="en-US" w:eastAsia="zh-CN"/>
        </w:rPr>
      </w:pPr>
      <w:r>
        <w:rPr>
          <w:rFonts w:hint="eastAsia" w:ascii="宋体" w:hAnsi="宋体"/>
          <w:color w:val="auto"/>
          <w:sz w:val="24"/>
          <w:highlight w:val="none"/>
        </w:rPr>
        <w:t>地址：</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邮编：</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电话：</w:t>
      </w:r>
      <w:r>
        <w:rPr>
          <w:rFonts w:hint="eastAsia" w:ascii="宋体" w:hAnsi="宋体"/>
          <w:color w:val="auto"/>
          <w:sz w:val="24"/>
          <w:highlight w:val="none"/>
          <w:u w:val="single"/>
          <w:lang w:val="en-US" w:eastAsia="zh-CN"/>
        </w:rPr>
        <w:t xml:space="preserve">            </w:t>
      </w:r>
    </w:p>
    <w:p w14:paraId="14FE6954">
      <w:pPr>
        <w:pageBreakBefore w:val="0"/>
        <w:shd w:val="clear"/>
        <w:kinsoku/>
        <w:wordWrap w:val="0"/>
        <w:overflowPunct/>
        <w:topLinePunct w:val="0"/>
        <w:bidi w:val="0"/>
        <w:snapToGrid w:val="0"/>
        <w:spacing w:line="360" w:lineRule="auto"/>
        <w:rPr>
          <w:rFonts w:hint="default" w:ascii="宋体" w:hAnsi="宋体" w:eastAsia="宋体"/>
          <w:color w:val="auto"/>
          <w:sz w:val="24"/>
          <w:szCs w:val="20"/>
          <w:highlight w:val="none"/>
          <w:u w:val="single"/>
          <w:lang w:val="en-US" w:eastAsia="zh-CN"/>
        </w:rPr>
      </w:pPr>
      <w:r>
        <w:rPr>
          <w:rFonts w:hint="eastAsia" w:ascii="宋体" w:hAnsi="宋体"/>
          <w:color w:val="auto"/>
          <w:sz w:val="24"/>
          <w:highlight w:val="none"/>
        </w:rPr>
        <w:t>传真：</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投标人代表姓名：</w:t>
      </w:r>
      <w:r>
        <w:rPr>
          <w:rFonts w:hint="eastAsia" w:ascii="宋体" w:hAnsi="宋体"/>
          <w:color w:val="auto"/>
          <w:sz w:val="24"/>
          <w:highlight w:val="none"/>
          <w:u w:val="none"/>
          <w:lang w:val="en-US" w:eastAsia="zh-CN"/>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职务：</w:t>
      </w:r>
      <w:r>
        <w:rPr>
          <w:rFonts w:hint="eastAsia" w:ascii="宋体" w:hAnsi="宋体"/>
          <w:color w:val="auto"/>
          <w:sz w:val="24"/>
          <w:highlight w:val="none"/>
          <w:u w:val="single"/>
          <w:lang w:val="en-US" w:eastAsia="zh-CN"/>
        </w:rPr>
        <w:t xml:space="preserve">             </w:t>
      </w:r>
    </w:p>
    <w:p w14:paraId="2E8AF9C7">
      <w:pPr>
        <w:pageBreakBefore w:val="0"/>
        <w:shd w:val="clear"/>
        <w:kinsoku/>
        <w:wordWrap w:val="0"/>
        <w:overflowPunct/>
        <w:topLinePunct w:val="0"/>
        <w:bidi w:val="0"/>
        <w:snapToGrid w:val="0"/>
        <w:spacing w:line="360" w:lineRule="auto"/>
        <w:rPr>
          <w:rFonts w:hint="eastAsia" w:ascii="宋体" w:hAnsi="宋体"/>
          <w:color w:val="auto"/>
          <w:sz w:val="24"/>
          <w:highlight w:val="none"/>
          <w:u w:val="single"/>
          <w:lang w:val="en-US" w:eastAsia="zh-CN"/>
        </w:rPr>
      </w:pPr>
      <w:r>
        <w:rPr>
          <w:rFonts w:hint="eastAsia" w:ascii="宋体" w:hAnsi="宋体"/>
          <w:color w:val="auto"/>
          <w:sz w:val="24"/>
          <w:highlight w:val="none"/>
        </w:rPr>
        <w:t>投标人（盖章）</w:t>
      </w:r>
      <w:r>
        <w:rPr>
          <w:rFonts w:hint="eastAsia" w:ascii="宋体" w:hAnsi="宋体"/>
          <w:color w:val="auto"/>
          <w:sz w:val="24"/>
          <w:highlight w:val="none"/>
          <w:lang w:eastAsia="zh-CN"/>
        </w:rPr>
        <w:t>：</w:t>
      </w:r>
      <w:r>
        <w:rPr>
          <w:rFonts w:hint="eastAsia" w:ascii="宋体" w:hAnsi="宋体"/>
          <w:color w:val="auto"/>
          <w:sz w:val="24"/>
          <w:highlight w:val="none"/>
          <w:u w:val="single"/>
          <w:lang w:val="en-US" w:eastAsia="zh-CN"/>
        </w:rPr>
        <w:t xml:space="preserve">                      </w:t>
      </w:r>
    </w:p>
    <w:p w14:paraId="33437400">
      <w:pPr>
        <w:pageBreakBefore w:val="0"/>
        <w:shd w:val="clear"/>
        <w:kinsoku/>
        <w:wordWrap w:val="0"/>
        <w:overflowPunct/>
        <w:topLinePunct w:val="0"/>
        <w:bidi w:val="0"/>
        <w:snapToGrid w:val="0"/>
        <w:spacing w:line="360" w:lineRule="auto"/>
        <w:rPr>
          <w:rFonts w:hint="default" w:ascii="宋体" w:hAnsi="宋体" w:eastAsia="宋体"/>
          <w:color w:val="auto"/>
          <w:sz w:val="24"/>
          <w:szCs w:val="20"/>
          <w:highlight w:val="none"/>
          <w:u w:val="single"/>
          <w:lang w:val="en-US" w:eastAsia="zh-CN"/>
        </w:rPr>
      </w:pPr>
      <w:r>
        <w:rPr>
          <w:rFonts w:hint="eastAsia" w:ascii="宋体" w:hAnsi="宋体"/>
          <w:color w:val="auto"/>
          <w:sz w:val="24"/>
          <w:highlight w:val="none"/>
        </w:rPr>
        <w:t>开户银行：</w:t>
      </w:r>
      <w:r>
        <w:rPr>
          <w:rFonts w:hint="eastAsia" w:ascii="宋体" w:hAnsi="宋体"/>
          <w:color w:val="auto"/>
          <w:sz w:val="24"/>
          <w:highlight w:val="none"/>
          <w:lang w:val="en-US" w:eastAsia="zh-CN"/>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 xml:space="preserve"> 银行账号：</w:t>
      </w:r>
      <w:r>
        <w:rPr>
          <w:rFonts w:hint="eastAsia" w:ascii="宋体" w:hAnsi="宋体"/>
          <w:color w:val="auto"/>
          <w:sz w:val="24"/>
          <w:highlight w:val="none"/>
          <w:u w:val="single"/>
          <w:lang w:val="en-US" w:eastAsia="zh-CN"/>
        </w:rPr>
        <w:t xml:space="preserve">                         </w:t>
      </w:r>
    </w:p>
    <w:p w14:paraId="4D58A8D0">
      <w:pPr>
        <w:pageBreakBefore w:val="0"/>
        <w:shd w:val="clear"/>
        <w:kinsoku/>
        <w:wordWrap w:val="0"/>
        <w:overflowPunct/>
        <w:topLinePunct w:val="0"/>
        <w:bidi w:val="0"/>
        <w:snapToGrid w:val="0"/>
        <w:spacing w:line="360" w:lineRule="auto"/>
        <w:rPr>
          <w:rFonts w:ascii="宋体" w:hAnsi="宋体"/>
          <w:color w:val="auto"/>
          <w:sz w:val="24"/>
          <w:highlight w:val="none"/>
        </w:rPr>
      </w:pPr>
      <w:r>
        <w:rPr>
          <w:rFonts w:hint="eastAsia" w:ascii="宋体" w:hAnsi="宋体"/>
          <w:color w:val="auto"/>
          <w:sz w:val="24"/>
          <w:highlight w:val="none"/>
        </w:rPr>
        <w:t>法定代表人（签字或盖章）：</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日期</w:t>
      </w:r>
      <w:r>
        <w:rPr>
          <w:rFonts w:hint="eastAsia" w:ascii="宋体" w:hAnsi="宋体"/>
          <w:color w:val="auto"/>
          <w:sz w:val="24"/>
          <w:highlight w:val="none"/>
          <w:lang w:eastAsia="zh-CN"/>
        </w:rPr>
        <w:t>：</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年</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月</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日</w:t>
      </w:r>
    </w:p>
    <w:p w14:paraId="4075CB8B">
      <w:pPr>
        <w:pStyle w:val="98"/>
        <w:pageBreakBefore w:val="0"/>
        <w:numPr>
          <w:ilvl w:val="0"/>
          <w:numId w:val="54"/>
        </w:numPr>
        <w:shd w:val="clear"/>
        <w:kinsoku/>
        <w:wordWrap w:val="0"/>
        <w:overflowPunct/>
        <w:topLinePunct w:val="0"/>
        <w:bidi w:val="0"/>
        <w:snapToGrid w:val="0"/>
        <w:ind w:firstLineChars="0"/>
        <w:rPr>
          <w:rFonts w:ascii="宋体" w:hAnsi="宋体"/>
          <w:b/>
          <w:color w:val="auto"/>
          <w:highlight w:val="none"/>
        </w:rPr>
      </w:pPr>
      <w:r>
        <w:rPr>
          <w:rFonts w:ascii="宋体" w:hAnsi="宋体"/>
          <w:b/>
          <w:color w:val="auto"/>
          <w:highlight w:val="none"/>
        </w:rPr>
        <w:br w:type="page"/>
      </w:r>
      <w:r>
        <w:rPr>
          <w:rFonts w:hint="eastAsia" w:ascii="宋体" w:hAnsi="宋体"/>
          <w:b/>
          <w:color w:val="auto"/>
          <w:highlight w:val="none"/>
        </w:rPr>
        <w:t>法定代表人身份证明书</w:t>
      </w:r>
      <w:r>
        <w:rPr>
          <w:rFonts w:hint="eastAsia" w:ascii="宋体" w:hAnsi="宋体"/>
          <w:b/>
          <w:bCs/>
          <w:color w:val="auto"/>
          <w:highlight w:val="none"/>
        </w:rPr>
        <w:t>格式</w:t>
      </w:r>
    </w:p>
    <w:p w14:paraId="60B851B2">
      <w:pPr>
        <w:pageBreakBefore w:val="0"/>
        <w:shd w:val="clear"/>
        <w:kinsoku/>
        <w:wordWrap w:val="0"/>
        <w:overflowPunct/>
        <w:topLinePunct w:val="0"/>
        <w:bidi w:val="0"/>
        <w:spacing w:line="380" w:lineRule="exact"/>
        <w:jc w:val="left"/>
        <w:rPr>
          <w:rFonts w:ascii="宋体" w:hAnsi="宋体"/>
          <w:b/>
          <w:color w:val="auto"/>
          <w:sz w:val="36"/>
          <w:szCs w:val="36"/>
          <w:highlight w:val="none"/>
        </w:rPr>
      </w:pPr>
    </w:p>
    <w:p w14:paraId="168F4079">
      <w:pPr>
        <w:pageBreakBefore w:val="0"/>
        <w:shd w:val="clear"/>
        <w:kinsoku/>
        <w:wordWrap w:val="0"/>
        <w:overflowPunct/>
        <w:topLinePunct w:val="0"/>
        <w:bidi w:val="0"/>
        <w:spacing w:line="380" w:lineRule="exact"/>
        <w:jc w:val="center"/>
        <w:rPr>
          <w:rFonts w:ascii="宋体" w:hAnsi="宋体"/>
          <w:b/>
          <w:color w:val="auto"/>
          <w:sz w:val="36"/>
          <w:szCs w:val="36"/>
          <w:highlight w:val="none"/>
        </w:rPr>
      </w:pPr>
      <w:r>
        <w:rPr>
          <w:rFonts w:ascii="宋体" w:hAnsi="宋体"/>
          <w:b/>
          <w:color w:val="auto"/>
          <w:sz w:val="36"/>
          <w:szCs w:val="36"/>
          <w:highlight w:val="none"/>
        </w:rPr>
        <w:t>法定代表人</w:t>
      </w:r>
      <w:r>
        <w:rPr>
          <w:rFonts w:hint="eastAsia" w:ascii="宋体" w:hAnsi="宋体"/>
          <w:b/>
          <w:color w:val="auto"/>
          <w:sz w:val="36"/>
          <w:szCs w:val="36"/>
          <w:highlight w:val="none"/>
        </w:rPr>
        <w:t>身份</w:t>
      </w:r>
      <w:r>
        <w:rPr>
          <w:rFonts w:ascii="宋体" w:hAnsi="宋体"/>
          <w:b/>
          <w:color w:val="auto"/>
          <w:sz w:val="36"/>
          <w:szCs w:val="36"/>
          <w:highlight w:val="none"/>
        </w:rPr>
        <w:t>证明书</w:t>
      </w:r>
    </w:p>
    <w:p w14:paraId="59E20616">
      <w:pPr>
        <w:pageBreakBefore w:val="0"/>
        <w:shd w:val="clear"/>
        <w:kinsoku/>
        <w:wordWrap w:val="0"/>
        <w:overflowPunct/>
        <w:topLinePunct w:val="0"/>
        <w:bidi w:val="0"/>
        <w:snapToGrid w:val="0"/>
        <w:spacing w:before="120" w:beforeLines="50" w:after="50" w:line="360" w:lineRule="auto"/>
        <w:jc w:val="center"/>
        <w:rPr>
          <w:rFonts w:ascii="宋体" w:hAnsi="宋体"/>
          <w:b/>
          <w:color w:val="auto"/>
          <w:sz w:val="32"/>
          <w:szCs w:val="32"/>
          <w:highlight w:val="none"/>
        </w:rPr>
      </w:pPr>
      <w:r>
        <w:rPr>
          <w:rFonts w:hint="eastAsia" w:ascii="宋体" w:hAnsi="宋体"/>
          <w:b/>
          <w:color w:val="auto"/>
          <w:sz w:val="32"/>
          <w:szCs w:val="32"/>
          <w:highlight w:val="none"/>
        </w:rPr>
        <w:t>（法定代表人参加投标的提供）</w:t>
      </w:r>
    </w:p>
    <w:p w14:paraId="7E051F87">
      <w:pPr>
        <w:pageBreakBefore w:val="0"/>
        <w:shd w:val="clear"/>
        <w:kinsoku/>
        <w:wordWrap w:val="0"/>
        <w:overflowPunct/>
        <w:topLinePunct w:val="0"/>
        <w:bidi w:val="0"/>
        <w:spacing w:line="500" w:lineRule="exact"/>
        <w:jc w:val="center"/>
        <w:rPr>
          <w:rFonts w:ascii="Calibri" w:hAnsi="Calibri" w:cs="Arial"/>
          <w:bCs/>
          <w:color w:val="auto"/>
          <w:sz w:val="28"/>
          <w:highlight w:val="none"/>
        </w:rPr>
      </w:pPr>
    </w:p>
    <w:p w14:paraId="5289B597">
      <w:pPr>
        <w:pageBreakBefore w:val="0"/>
        <w:shd w:val="clear"/>
        <w:kinsoku/>
        <w:wordWrap w:val="0"/>
        <w:overflowPunct/>
        <w:topLinePunct w:val="0"/>
        <w:bidi w:val="0"/>
        <w:spacing w:line="480" w:lineRule="auto"/>
        <w:ind w:firstLine="480" w:firstLineChars="200"/>
        <w:rPr>
          <w:rFonts w:ascii="Calibri" w:hAnsi="Calibri" w:cs="Arial"/>
          <w:color w:val="auto"/>
          <w:sz w:val="24"/>
          <w:highlight w:val="none"/>
        </w:rPr>
      </w:pPr>
      <w:r>
        <w:rPr>
          <w:rFonts w:ascii="Calibri" w:hAnsi="Calibri" w:cs="Arial"/>
          <w:color w:val="auto"/>
          <w:sz w:val="24"/>
          <w:highlight w:val="none"/>
        </w:rPr>
        <w:t>投标人名称：</w:t>
      </w:r>
    </w:p>
    <w:p w14:paraId="5B3EE93D">
      <w:pPr>
        <w:pageBreakBefore w:val="0"/>
        <w:shd w:val="clear"/>
        <w:kinsoku/>
        <w:wordWrap w:val="0"/>
        <w:overflowPunct/>
        <w:topLinePunct w:val="0"/>
        <w:bidi w:val="0"/>
        <w:spacing w:line="480" w:lineRule="auto"/>
        <w:ind w:firstLine="480" w:firstLineChars="200"/>
        <w:rPr>
          <w:rFonts w:ascii="Calibri" w:hAnsi="Calibri" w:cs="Arial"/>
          <w:color w:val="auto"/>
          <w:sz w:val="24"/>
          <w:highlight w:val="none"/>
        </w:rPr>
      </w:pPr>
      <w:r>
        <w:rPr>
          <w:rFonts w:ascii="Calibri" w:hAnsi="Calibri" w:cs="Arial"/>
          <w:color w:val="auto"/>
          <w:sz w:val="24"/>
          <w:highlight w:val="none"/>
        </w:rPr>
        <w:t>单位性质：</w:t>
      </w:r>
    </w:p>
    <w:p w14:paraId="561E7BAC">
      <w:pPr>
        <w:pageBreakBefore w:val="0"/>
        <w:shd w:val="clear"/>
        <w:kinsoku/>
        <w:wordWrap w:val="0"/>
        <w:overflowPunct/>
        <w:topLinePunct w:val="0"/>
        <w:bidi w:val="0"/>
        <w:spacing w:line="480" w:lineRule="auto"/>
        <w:ind w:firstLine="480" w:firstLineChars="200"/>
        <w:rPr>
          <w:rFonts w:ascii="Calibri" w:hAnsi="Calibri" w:cs="Arial"/>
          <w:color w:val="auto"/>
          <w:sz w:val="24"/>
          <w:highlight w:val="none"/>
        </w:rPr>
      </w:pPr>
      <w:r>
        <w:rPr>
          <w:rFonts w:ascii="Calibri" w:hAnsi="Calibri" w:cs="Arial"/>
          <w:color w:val="auto"/>
          <w:sz w:val="24"/>
          <w:highlight w:val="none"/>
        </w:rPr>
        <w:t>地址：</w:t>
      </w:r>
    </w:p>
    <w:p w14:paraId="34C61551">
      <w:pPr>
        <w:pageBreakBefore w:val="0"/>
        <w:shd w:val="clear"/>
        <w:kinsoku/>
        <w:wordWrap w:val="0"/>
        <w:overflowPunct/>
        <w:topLinePunct w:val="0"/>
        <w:bidi w:val="0"/>
        <w:spacing w:line="480" w:lineRule="auto"/>
        <w:ind w:firstLine="480" w:firstLineChars="200"/>
        <w:rPr>
          <w:rFonts w:hint="eastAsia" w:ascii="宋体" w:hAnsi="宋体" w:eastAsia="宋体" w:cs="宋体"/>
          <w:color w:val="auto"/>
          <w:sz w:val="24"/>
          <w:highlight w:val="none"/>
        </w:rPr>
      </w:pPr>
      <w:r>
        <w:rPr>
          <w:rFonts w:ascii="Calibri" w:hAnsi="Calibri" w:cs="Arial"/>
          <w:color w:val="auto"/>
          <w:sz w:val="24"/>
          <w:highlight w:val="none"/>
        </w:rPr>
        <w:t>成</w:t>
      </w:r>
      <w:r>
        <w:rPr>
          <w:rFonts w:hint="eastAsia" w:ascii="宋体" w:hAnsi="宋体" w:eastAsia="宋体" w:cs="宋体"/>
          <w:color w:val="auto"/>
          <w:sz w:val="24"/>
          <w:highlight w:val="none"/>
        </w:rPr>
        <w:t>立时间：</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日</w:t>
      </w:r>
    </w:p>
    <w:p w14:paraId="1E8E1351">
      <w:pPr>
        <w:pageBreakBefore w:val="0"/>
        <w:shd w:val="clear"/>
        <w:kinsoku/>
        <w:wordWrap w:val="0"/>
        <w:overflowPunct/>
        <w:topLinePunct w:val="0"/>
        <w:bidi w:val="0"/>
        <w:spacing w:line="48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经营期限：</w:t>
      </w:r>
    </w:p>
    <w:p w14:paraId="0ABFA5BA">
      <w:pPr>
        <w:pageBreakBefore w:val="0"/>
        <w:shd w:val="clear"/>
        <w:kinsoku/>
        <w:wordWrap w:val="0"/>
        <w:overflowPunct/>
        <w:topLinePunct w:val="0"/>
        <w:bidi w:val="0"/>
        <w:spacing w:line="48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rPr>
        <w:t>（</w:t>
      </w:r>
      <w:r>
        <w:rPr>
          <w:rFonts w:hint="eastAsia" w:ascii="宋体" w:hAnsi="宋体" w:eastAsia="宋体" w:cs="宋体"/>
          <w:color w:val="auto"/>
          <w:sz w:val="24"/>
          <w:highlight w:val="none"/>
        </w:rPr>
        <w:t>身份证号：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年龄：</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）系</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的法定代表人，联系电话（手机）</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w:t>
      </w:r>
    </w:p>
    <w:p w14:paraId="1EAEE1B2">
      <w:pPr>
        <w:pageBreakBefore w:val="0"/>
        <w:shd w:val="clear"/>
        <w:kinsoku/>
        <w:wordWrap w:val="0"/>
        <w:overflowPunct/>
        <w:topLinePunct w:val="0"/>
        <w:bidi w:val="0"/>
        <w:spacing w:line="480" w:lineRule="auto"/>
        <w:ind w:firstLine="480" w:firstLineChars="200"/>
        <w:rPr>
          <w:rFonts w:hint="eastAsia" w:ascii="宋体" w:hAnsi="宋体" w:eastAsia="宋体" w:cs="宋体"/>
          <w:color w:val="auto"/>
          <w:sz w:val="24"/>
          <w:highlight w:val="none"/>
        </w:rPr>
      </w:pPr>
    </w:p>
    <w:p w14:paraId="3FF849D1">
      <w:pPr>
        <w:pageBreakBefore w:val="0"/>
        <w:shd w:val="clear"/>
        <w:kinsoku/>
        <w:wordWrap w:val="0"/>
        <w:overflowPunct/>
        <w:topLinePunct w:val="0"/>
        <w:bidi w:val="0"/>
        <w:spacing w:line="480" w:lineRule="auto"/>
        <w:ind w:firstLine="960" w:firstLineChars="40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0BB212AA">
      <w:pPr>
        <w:pageBreakBefore w:val="0"/>
        <w:shd w:val="clear"/>
        <w:kinsoku/>
        <w:wordWrap w:val="0"/>
        <w:overflowPunct/>
        <w:topLinePunct w:val="0"/>
        <w:bidi w:val="0"/>
        <w:spacing w:line="480" w:lineRule="auto"/>
        <w:ind w:firstLine="480" w:firstLineChars="200"/>
        <w:rPr>
          <w:rFonts w:hint="eastAsia" w:ascii="宋体" w:hAnsi="宋体" w:eastAsia="宋体" w:cs="宋体"/>
          <w:color w:val="auto"/>
          <w:sz w:val="24"/>
          <w:highlight w:val="none"/>
        </w:rPr>
      </w:pPr>
    </w:p>
    <w:p w14:paraId="1A279749">
      <w:pPr>
        <w:pageBreakBefore w:val="0"/>
        <w:shd w:val="clear"/>
        <w:kinsoku/>
        <w:wordWrap w:val="0"/>
        <w:overflowPunct/>
        <w:topLinePunct w:val="0"/>
        <w:bidi w:val="0"/>
        <w:spacing w:line="480" w:lineRule="auto"/>
        <w:ind w:firstLine="480" w:firstLineChars="200"/>
        <w:rPr>
          <w:rFonts w:hint="eastAsia" w:ascii="宋体" w:hAnsi="宋体" w:eastAsia="宋体" w:cs="宋体"/>
          <w:color w:val="auto"/>
          <w:sz w:val="24"/>
          <w:highlight w:val="none"/>
        </w:rPr>
      </w:pPr>
    </w:p>
    <w:p w14:paraId="67B93F0D">
      <w:pPr>
        <w:pStyle w:val="25"/>
        <w:pageBreakBefore w:val="0"/>
        <w:shd w:val="clear"/>
        <w:kinsoku/>
        <w:wordWrap w:val="0"/>
        <w:overflowPunct/>
        <w:topLinePunct w:val="0"/>
        <w:bidi w:val="0"/>
        <w:spacing w:before="120" w:after="120" w:line="400" w:lineRule="atLeast"/>
        <w:ind w:left="480" w:leftChars="200" w:firstLine="480"/>
        <w:rPr>
          <w:rFonts w:hint="eastAsia" w:ascii="宋体" w:hAnsi="宋体" w:eastAsia="宋体" w:cs="宋体"/>
          <w:color w:val="auto"/>
          <w:highlight w:val="none"/>
        </w:rPr>
      </w:pPr>
      <w:r>
        <w:rPr>
          <w:rFonts w:hint="eastAsia" w:ascii="宋体" w:hAnsi="宋体" w:eastAsia="宋体" w:cs="宋体"/>
          <w:bCs/>
          <w:color w:val="auto"/>
          <w:highlight w:val="none"/>
        </w:rPr>
        <w:t>投标人（盖章）</w:t>
      </w:r>
      <w:r>
        <w:rPr>
          <w:rFonts w:hint="eastAsia" w:ascii="宋体" w:hAnsi="宋体" w:eastAsia="宋体" w:cs="宋体"/>
          <w:color w:val="auto"/>
          <w:highlight w:val="none"/>
        </w:rPr>
        <w:t>：</w:t>
      </w:r>
      <w:r>
        <w:rPr>
          <w:rFonts w:hint="eastAsia" w:ascii="宋体" w:hAnsi="宋体" w:eastAsia="宋体" w:cs="宋体"/>
          <w:color w:val="auto"/>
          <w:highlight w:val="none"/>
        </w:rPr>
        <w:cr/>
      </w:r>
    </w:p>
    <w:p w14:paraId="268D5481">
      <w:pPr>
        <w:pStyle w:val="25"/>
        <w:pageBreakBefore w:val="0"/>
        <w:shd w:val="clear"/>
        <w:kinsoku/>
        <w:wordWrap w:val="0"/>
        <w:overflowPunct/>
        <w:topLinePunct w:val="0"/>
        <w:bidi w:val="0"/>
        <w:spacing w:before="120" w:after="120" w:line="400" w:lineRule="atLeast"/>
        <w:ind w:firstLine="1080" w:firstLineChars="450"/>
        <w:rPr>
          <w:rFonts w:hint="eastAsia" w:ascii="宋体" w:hAnsi="宋体" w:eastAsia="宋体" w:cs="宋体"/>
          <w:color w:val="auto"/>
          <w:highlight w:val="none"/>
        </w:rPr>
      </w:pPr>
      <w:r>
        <w:rPr>
          <w:rFonts w:hint="eastAsia" w:ascii="宋体" w:hAnsi="宋体" w:eastAsia="宋体" w:cs="宋体"/>
          <w:color w:val="auto"/>
          <w:highlight w:val="none"/>
        </w:rPr>
        <w:t>日    期：</w:t>
      </w:r>
    </w:p>
    <w:p w14:paraId="023273FF">
      <w:pPr>
        <w:pageBreakBefore w:val="0"/>
        <w:shd w:val="clear"/>
        <w:kinsoku/>
        <w:wordWrap w:val="0"/>
        <w:overflowPunct/>
        <w:topLinePunct w:val="0"/>
        <w:bidi w:val="0"/>
        <w:spacing w:line="380" w:lineRule="exact"/>
        <w:rPr>
          <w:rFonts w:hint="eastAsia" w:ascii="宋体" w:hAnsi="宋体" w:eastAsia="宋体" w:cs="宋体"/>
          <w:color w:val="auto"/>
          <w:sz w:val="32"/>
          <w:szCs w:val="32"/>
          <w:highlight w:val="none"/>
        </w:rPr>
      </w:pPr>
    </w:p>
    <w:p w14:paraId="2175A006">
      <w:pPr>
        <w:pageBreakBefore w:val="0"/>
        <w:shd w:val="clear"/>
        <w:kinsoku/>
        <w:wordWrap w:val="0"/>
        <w:overflowPunct/>
        <w:topLinePunct w:val="0"/>
        <w:bidi w:val="0"/>
        <w:spacing w:line="380" w:lineRule="exact"/>
        <w:rPr>
          <w:rFonts w:hint="eastAsia" w:ascii="宋体" w:hAnsi="宋体" w:eastAsia="宋体" w:cs="宋体"/>
          <w:color w:val="auto"/>
          <w:sz w:val="24"/>
          <w:highlight w:val="none"/>
        </w:rPr>
      </w:pPr>
    </w:p>
    <w:p w14:paraId="2074756B">
      <w:pPr>
        <w:pageBreakBefore w:val="0"/>
        <w:shd w:val="clear"/>
        <w:kinsoku/>
        <w:wordWrap w:val="0"/>
        <w:overflowPunct/>
        <w:topLinePunct w:val="0"/>
        <w:bidi w:val="0"/>
        <w:spacing w:line="380" w:lineRule="exact"/>
        <w:rPr>
          <w:rFonts w:hint="eastAsia" w:ascii="宋体" w:hAnsi="宋体" w:eastAsia="宋体" w:cs="宋体"/>
          <w:color w:val="auto"/>
          <w:sz w:val="24"/>
          <w:highlight w:val="none"/>
        </w:rPr>
      </w:pPr>
    </w:p>
    <w:p w14:paraId="62541A9A">
      <w:pPr>
        <w:pStyle w:val="229"/>
        <w:pageBreakBefore w:val="0"/>
        <w:shd w:val="clear"/>
        <w:kinsoku/>
        <w:wordWrap w:val="0"/>
        <w:overflowPunct/>
        <w:topLinePunct w:val="0"/>
        <w:bidi w:val="0"/>
        <w:ind w:firstLine="360"/>
        <w:rPr>
          <w:rFonts w:hint="eastAsia" w:ascii="宋体" w:hAnsi="宋体" w:eastAsia="宋体" w:cs="宋体"/>
          <w:b w:val="0"/>
          <w:color w:val="auto"/>
          <w:highlight w:val="none"/>
        </w:rPr>
      </w:pPr>
      <w:r>
        <w:rPr>
          <w:rFonts w:hint="eastAsia" w:ascii="宋体" w:hAnsi="宋体" w:eastAsia="宋体" w:cs="宋体"/>
          <w:b w:val="0"/>
          <w:color w:val="auto"/>
          <w:highlight w:val="none"/>
        </w:rPr>
        <w:t>附：法定代表人身份证双面复印件</w:t>
      </w:r>
    </w:p>
    <w:p w14:paraId="2A9F2F28">
      <w:pPr>
        <w:pStyle w:val="229"/>
        <w:pageBreakBefore w:val="0"/>
        <w:shd w:val="clear"/>
        <w:kinsoku/>
        <w:wordWrap w:val="0"/>
        <w:overflowPunct/>
        <w:topLinePunct w:val="0"/>
        <w:bidi w:val="0"/>
        <w:ind w:firstLine="360"/>
        <w:rPr>
          <w:rFonts w:hint="eastAsia" w:ascii="宋体" w:hAnsi="宋体" w:eastAsia="宋体" w:cs="宋体"/>
          <w:b w:val="0"/>
          <w:color w:val="auto"/>
          <w:highlight w:val="none"/>
        </w:rPr>
      </w:pPr>
    </w:p>
    <w:p w14:paraId="0121C994">
      <w:pPr>
        <w:pStyle w:val="84"/>
        <w:pageBreakBefore w:val="0"/>
        <w:shd w:val="clear"/>
        <w:kinsoku/>
        <w:wordWrap w:val="0"/>
        <w:overflowPunct/>
        <w:topLinePunct w:val="0"/>
        <w:bidi w:val="0"/>
        <w:spacing w:line="500" w:lineRule="exact"/>
        <w:ind w:left="420" w:firstLine="0" w:firstLineChars="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注：此表请放一页，如要放2页及以上请在每页上都加盖公章。</w:t>
      </w:r>
    </w:p>
    <w:p w14:paraId="4B8F3A97">
      <w:pPr>
        <w:pageBreakBefore w:val="0"/>
        <w:widowControl/>
        <w:shd w:val="clear"/>
        <w:kinsoku/>
        <w:wordWrap w:val="0"/>
        <w:overflowPunct/>
        <w:topLinePunct w:val="0"/>
        <w:bidi w:val="0"/>
        <w:jc w:val="left"/>
        <w:rPr>
          <w:rFonts w:hint="eastAsia" w:ascii="宋体" w:hAnsi="宋体" w:eastAsia="宋体" w:cs="宋体"/>
          <w:b/>
          <w:color w:val="auto"/>
          <w:sz w:val="24"/>
          <w:szCs w:val="22"/>
          <w:highlight w:val="none"/>
        </w:rPr>
      </w:pPr>
      <w:r>
        <w:rPr>
          <w:rFonts w:hint="eastAsia" w:ascii="宋体" w:hAnsi="宋体" w:eastAsia="宋体" w:cs="宋体"/>
          <w:b/>
          <w:color w:val="auto"/>
          <w:highlight w:val="none"/>
        </w:rPr>
        <w:br w:type="page"/>
      </w:r>
    </w:p>
    <w:p w14:paraId="67F5DE3C">
      <w:pPr>
        <w:pStyle w:val="98"/>
        <w:pageBreakBefore w:val="0"/>
        <w:numPr>
          <w:ilvl w:val="0"/>
          <w:numId w:val="54"/>
        </w:numPr>
        <w:shd w:val="clear"/>
        <w:kinsoku/>
        <w:wordWrap w:val="0"/>
        <w:overflowPunct/>
        <w:topLinePunct w:val="0"/>
        <w:bidi w:val="0"/>
        <w:snapToGrid w:val="0"/>
        <w:ind w:firstLineChars="0"/>
        <w:rPr>
          <w:rFonts w:hint="eastAsia" w:ascii="宋体" w:hAnsi="宋体" w:eastAsia="宋体" w:cs="宋体"/>
          <w:b/>
          <w:color w:val="auto"/>
          <w:highlight w:val="none"/>
        </w:rPr>
      </w:pPr>
      <w:r>
        <w:rPr>
          <w:rFonts w:hint="eastAsia" w:ascii="宋体" w:hAnsi="宋体" w:eastAsia="宋体" w:cs="宋体"/>
          <w:b/>
          <w:color w:val="auto"/>
          <w:highlight w:val="none"/>
        </w:rPr>
        <w:t>法定代表人授权委托书</w:t>
      </w:r>
      <w:r>
        <w:rPr>
          <w:rFonts w:hint="eastAsia" w:ascii="宋体" w:hAnsi="宋体" w:eastAsia="宋体" w:cs="宋体"/>
          <w:b/>
          <w:bCs/>
          <w:color w:val="auto"/>
          <w:highlight w:val="none"/>
        </w:rPr>
        <w:t>格式</w:t>
      </w:r>
    </w:p>
    <w:p w14:paraId="2A42D73A">
      <w:pPr>
        <w:pageBreakBefore w:val="0"/>
        <w:shd w:val="clear"/>
        <w:kinsoku/>
        <w:wordWrap w:val="0"/>
        <w:overflowPunct/>
        <w:topLinePunct w:val="0"/>
        <w:bidi w:val="0"/>
        <w:snapToGrid w:val="0"/>
        <w:spacing w:before="120" w:beforeLines="50" w:after="50"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法定代表人授权委托书</w:t>
      </w:r>
    </w:p>
    <w:p w14:paraId="74F107BE">
      <w:pPr>
        <w:pageBreakBefore w:val="0"/>
        <w:shd w:val="clear"/>
        <w:kinsoku/>
        <w:wordWrap w:val="0"/>
        <w:overflowPunct/>
        <w:topLinePunct w:val="0"/>
        <w:bidi w:val="0"/>
        <w:snapToGrid w:val="0"/>
        <w:spacing w:before="120" w:beforeLines="50" w:after="50" w:line="360" w:lineRule="auto"/>
        <w:jc w:val="center"/>
        <w:rPr>
          <w:rFonts w:ascii="宋体" w:hAnsi="宋体"/>
          <w:b/>
          <w:color w:val="auto"/>
          <w:sz w:val="32"/>
          <w:szCs w:val="32"/>
          <w:highlight w:val="none"/>
        </w:rPr>
      </w:pPr>
      <w:r>
        <w:rPr>
          <w:rFonts w:hint="eastAsia" w:ascii="宋体" w:hAnsi="宋体"/>
          <w:b/>
          <w:color w:val="auto"/>
          <w:sz w:val="32"/>
          <w:szCs w:val="32"/>
          <w:highlight w:val="none"/>
        </w:rPr>
        <w:t>（委托代理人参加投标的提供）</w:t>
      </w:r>
    </w:p>
    <w:p w14:paraId="7BC2A113">
      <w:pPr>
        <w:pageBreakBefore w:val="0"/>
        <w:shd w:val="clear"/>
        <w:kinsoku/>
        <w:wordWrap w:val="0"/>
        <w:overflowPunct/>
        <w:topLinePunct w:val="0"/>
        <w:bidi w:val="0"/>
        <w:snapToGrid w:val="0"/>
        <w:spacing w:beforeLines="50" w:after="50" w:line="360" w:lineRule="auto"/>
        <w:rPr>
          <w:rFonts w:hint="eastAsia" w:ascii="宋体" w:hAnsi="宋体" w:eastAsia="宋体" w:cs="宋体"/>
          <w:b/>
          <w:bCs/>
          <w:color w:val="auto"/>
          <w:sz w:val="24"/>
          <w:szCs w:val="20"/>
          <w:highlight w:val="none"/>
          <w:lang w:eastAsia="zh-CN"/>
        </w:rPr>
      </w:pPr>
      <w:r>
        <w:rPr>
          <w:rFonts w:hint="eastAsia" w:ascii="宋体" w:hAnsi="宋体" w:eastAsia="宋体" w:cs="宋体"/>
          <w:bCs/>
          <w:color w:val="auto"/>
          <w:sz w:val="24"/>
          <w:highlight w:val="none"/>
        </w:rPr>
        <w:t>致</w:t>
      </w:r>
      <w:r>
        <w:rPr>
          <w:rFonts w:hint="eastAsia" w:ascii="宋体" w:hAnsi="宋体" w:eastAsia="宋体" w:cs="宋体"/>
          <w:bCs/>
          <w:color w:val="auto"/>
          <w:sz w:val="24"/>
          <w:highlight w:val="none"/>
          <w:lang w:eastAsia="zh-CN"/>
        </w:rPr>
        <w:t>：</w:t>
      </w:r>
      <w:r>
        <w:rPr>
          <w:rFonts w:hint="eastAsia" w:ascii="宋体" w:hAnsi="宋体" w:cs="宋体"/>
          <w:bCs/>
          <w:color w:val="auto"/>
          <w:sz w:val="24"/>
          <w:highlight w:val="none"/>
          <w:lang w:eastAsia="zh-CN"/>
        </w:rPr>
        <w:t>浙江西塘旅游文化发展有限公司</w:t>
      </w:r>
      <w:r>
        <w:rPr>
          <w:rFonts w:hint="eastAsia" w:ascii="宋体" w:hAnsi="宋体" w:eastAsia="宋体" w:cs="宋体"/>
          <w:bCs/>
          <w:color w:val="auto"/>
          <w:sz w:val="24"/>
          <w:highlight w:val="none"/>
          <w:lang w:eastAsia="zh-CN"/>
        </w:rPr>
        <w:t xml:space="preserve"> </w:t>
      </w:r>
    </w:p>
    <w:p w14:paraId="43DF7F15">
      <w:pPr>
        <w:pageBreakBefore w:val="0"/>
        <w:shd w:val="clear"/>
        <w:kinsoku/>
        <w:wordWrap w:val="0"/>
        <w:overflowPunct/>
        <w:topLinePunct w:val="0"/>
        <w:bidi w:val="0"/>
        <w:snapToGrid w:val="0"/>
        <w:spacing w:beforeLines="50" w:after="50" w:line="360" w:lineRule="auto"/>
        <w:ind w:firstLine="720" w:firstLineChars="300"/>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rPr>
        <w:t>我</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（姓名）系</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（投标人名称）的法定代表人，现授权委托</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（姓名）以我方的名义参加</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none"/>
          <w:lang w:eastAsia="zh-CN"/>
        </w:rPr>
        <w:t>（</w:t>
      </w:r>
      <w:r>
        <w:rPr>
          <w:rFonts w:hint="eastAsia" w:ascii="宋体" w:hAnsi="宋体" w:cs="宋体"/>
          <w:color w:val="auto"/>
          <w:sz w:val="24"/>
          <w:highlight w:val="none"/>
          <w:u w:val="none"/>
          <w:lang w:val="en-US" w:eastAsia="zh-CN"/>
        </w:rPr>
        <w:t>项目名称</w:t>
      </w:r>
      <w:r>
        <w:rPr>
          <w:rFonts w:hint="eastAsia" w:ascii="宋体" w:hAnsi="宋体" w:eastAsia="宋体" w:cs="宋体"/>
          <w:color w:val="auto"/>
          <w:sz w:val="24"/>
          <w:highlight w:val="none"/>
          <w:u w:val="none"/>
          <w:lang w:eastAsia="zh-CN"/>
        </w:rPr>
        <w:t>）</w:t>
      </w:r>
      <w:r>
        <w:rPr>
          <w:rFonts w:hint="eastAsia" w:ascii="宋体" w:hAnsi="宋体" w:eastAsia="宋体" w:cs="宋体"/>
          <w:color w:val="auto"/>
          <w:sz w:val="24"/>
          <w:highlight w:val="none"/>
        </w:rPr>
        <w:t>的投标活动，并代表我方全权办理针对上述项目的投标、开标、评标、签约等具体事务和签署相关文件。</w:t>
      </w:r>
    </w:p>
    <w:p w14:paraId="70582D06">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rPr>
        <w:t>我方对被授权人的签字事项负全部责任。</w:t>
      </w:r>
    </w:p>
    <w:p w14:paraId="62FE0954">
      <w:pPr>
        <w:pageBreakBefore w:val="0"/>
        <w:shd w:val="clear"/>
        <w:kinsoku/>
        <w:wordWrap w:val="0"/>
        <w:overflowPunct/>
        <w:topLinePunct w:val="0"/>
        <w:bidi w:val="0"/>
        <w:snapToGrid w:val="0"/>
        <w:spacing w:beforeLines="50" w:after="50" w:line="360" w:lineRule="auto"/>
        <w:ind w:firstLine="480"/>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u w:val="single"/>
        </w:rPr>
        <w:t>在撤销授权的书面通知以前，本授权书一直有效。</w:t>
      </w:r>
      <w:r>
        <w:rPr>
          <w:rFonts w:hint="eastAsia" w:ascii="宋体" w:hAnsi="宋体" w:eastAsia="宋体" w:cs="宋体"/>
          <w:color w:val="auto"/>
          <w:sz w:val="24"/>
          <w:highlight w:val="none"/>
        </w:rPr>
        <w:t>被授权人在授权书有效期内签署的所有文件不因授权的撤销而失效。</w:t>
      </w:r>
    </w:p>
    <w:p w14:paraId="11115DDB">
      <w:pPr>
        <w:pageBreakBefore w:val="0"/>
        <w:shd w:val="clear"/>
        <w:kinsoku/>
        <w:wordWrap w:val="0"/>
        <w:overflowPunct/>
        <w:topLinePunct w:val="0"/>
        <w:bidi w:val="0"/>
        <w:snapToGrid w:val="0"/>
        <w:spacing w:beforeLines="50" w:after="50" w:line="360" w:lineRule="auto"/>
        <w:ind w:firstLine="480"/>
        <w:rPr>
          <w:rFonts w:hint="eastAsia" w:ascii="宋体" w:hAnsi="宋体" w:eastAsia="宋体" w:cs="宋体"/>
          <w:color w:val="auto"/>
          <w:sz w:val="24"/>
          <w:szCs w:val="20"/>
          <w:highlight w:val="none"/>
        </w:rPr>
      </w:pPr>
      <w:r>
        <w:rPr>
          <w:rFonts w:hint="eastAsia" w:ascii="宋体" w:hAnsi="宋体" w:eastAsia="宋体" w:cs="宋体"/>
          <w:color w:val="auto"/>
          <w:sz w:val="24"/>
          <w:highlight w:val="none"/>
        </w:rPr>
        <w:t>被授权人无转委托权，特此委托。</w:t>
      </w:r>
    </w:p>
    <w:p w14:paraId="001BC2EE">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szCs w:val="20"/>
          <w:highlight w:val="none"/>
        </w:rPr>
      </w:pPr>
    </w:p>
    <w:p w14:paraId="0E192AE3">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szCs w:val="20"/>
          <w:highlight w:val="none"/>
          <w:u w:val="single"/>
        </w:rPr>
      </w:pPr>
      <w:r>
        <w:rPr>
          <w:rFonts w:hint="eastAsia" w:ascii="宋体" w:hAnsi="宋体" w:eastAsia="宋体" w:cs="宋体"/>
          <w:color w:val="auto"/>
          <w:sz w:val="24"/>
          <w:highlight w:val="none"/>
        </w:rPr>
        <w:t>法定代表人签字（或盖章）：</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被授权人签字（或盖章）：</w:t>
      </w:r>
    </w:p>
    <w:p w14:paraId="0752432E">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职务：</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职务：</w:t>
      </w:r>
    </w:p>
    <w:p w14:paraId="2FA7E0B6">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szCs w:val="20"/>
          <w:highlight w:val="none"/>
          <w:lang w:eastAsia="zh-CN"/>
        </w:rPr>
      </w:pPr>
      <w:r>
        <w:rPr>
          <w:rFonts w:hint="eastAsia" w:ascii="宋体" w:hAnsi="宋体" w:eastAsia="宋体" w:cs="宋体"/>
          <w:color w:val="auto"/>
          <w:sz w:val="24"/>
          <w:highlight w:val="none"/>
        </w:rPr>
        <w:t>联系电话（手机）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联系电话（手机）</w:t>
      </w:r>
      <w:r>
        <w:rPr>
          <w:rFonts w:hint="eastAsia" w:ascii="宋体" w:hAnsi="宋体" w:eastAsia="宋体" w:cs="宋体"/>
          <w:color w:val="auto"/>
          <w:sz w:val="24"/>
          <w:highlight w:val="none"/>
          <w:lang w:eastAsia="zh-CN"/>
        </w:rPr>
        <w:t>：</w:t>
      </w:r>
    </w:p>
    <w:p w14:paraId="21A9CC4D">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szCs w:val="20"/>
          <w:highlight w:val="none"/>
        </w:rPr>
      </w:pPr>
    </w:p>
    <w:p w14:paraId="1FF6D134">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法定代表人身份证粘贴处（正反面）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被授权人身份证粘贴处（正反面）</w:t>
      </w:r>
    </w:p>
    <w:p w14:paraId="679C4F88">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highlight w:val="none"/>
        </w:rPr>
      </w:pPr>
    </w:p>
    <w:p w14:paraId="1BC123AF">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highlight w:val="none"/>
        </w:rPr>
      </w:pPr>
      <w:r>
        <w:rPr>
          <w:rFonts w:hint="eastAsia" w:ascii="宋体" w:hAnsi="宋体" w:eastAsia="宋体" w:cs="宋体"/>
          <w:bCs/>
          <w:color w:val="auto"/>
          <w:sz w:val="24"/>
          <w:highlight w:val="none"/>
        </w:rPr>
        <w:t>投标人（盖章）</w:t>
      </w:r>
      <w:r>
        <w:rPr>
          <w:rFonts w:hint="eastAsia" w:ascii="宋体" w:hAnsi="宋体" w:eastAsia="宋体" w:cs="宋体"/>
          <w:color w:val="auto"/>
          <w:sz w:val="24"/>
          <w:highlight w:val="none"/>
        </w:rPr>
        <w:t>：</w:t>
      </w:r>
    </w:p>
    <w:p w14:paraId="2516A7F2">
      <w:pPr>
        <w:pageBreakBefore w:val="0"/>
        <w:shd w:val="clear"/>
        <w:kinsoku/>
        <w:wordWrap w:val="0"/>
        <w:overflowPunct/>
        <w:topLinePunct w:val="0"/>
        <w:bidi w:val="0"/>
        <w:snapToGrid w:val="0"/>
        <w:spacing w:beforeLines="50" w:after="50" w:line="360" w:lineRule="auto"/>
        <w:rPr>
          <w:rFonts w:hint="eastAsia" w:ascii="宋体" w:hAnsi="宋体" w:eastAsia="宋体" w:cs="宋体"/>
          <w:color w:val="auto"/>
          <w:sz w:val="24"/>
          <w:szCs w:val="20"/>
          <w:highlight w:val="none"/>
        </w:rPr>
      </w:pPr>
    </w:p>
    <w:p w14:paraId="4266F2E0">
      <w:pPr>
        <w:pageBreakBefore w:val="0"/>
        <w:shd w:val="clear"/>
        <w:kinsoku/>
        <w:wordWrap w:val="0"/>
        <w:overflowPunct/>
        <w:topLinePunct w:val="0"/>
        <w:bidi w:val="0"/>
        <w:snapToGrid w:val="0"/>
        <w:spacing w:beforeLines="50" w:after="5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日</w:t>
      </w:r>
    </w:p>
    <w:p w14:paraId="2F1B8D97">
      <w:pPr>
        <w:pStyle w:val="218"/>
        <w:pageBreakBefore w:val="0"/>
        <w:shd w:val="clear"/>
        <w:kinsoku/>
        <w:wordWrap w:val="0"/>
        <w:overflowPunct/>
        <w:topLinePunct w:val="0"/>
        <w:bidi w:val="0"/>
        <w:spacing w:line="360" w:lineRule="auto"/>
        <w:rPr>
          <w:rFonts w:hint="eastAsia" w:ascii="宋体" w:hAnsi="宋体" w:eastAsia="宋体" w:cs="宋体"/>
          <w:color w:val="auto"/>
          <w:sz w:val="24"/>
          <w:highlight w:val="none"/>
        </w:rPr>
      </w:pPr>
    </w:p>
    <w:p w14:paraId="2D9A39EC">
      <w:pPr>
        <w:pageBreakBefore w:val="0"/>
        <w:shd w:val="clear"/>
        <w:kinsoku/>
        <w:wordWrap w:val="0"/>
        <w:overflowPunct/>
        <w:topLinePunct w:val="0"/>
        <w:bidi w:val="0"/>
        <w:spacing w:line="500" w:lineRule="exact"/>
        <w:jc w:val="left"/>
        <w:rPr>
          <w:rFonts w:hint="eastAsia" w:ascii="宋体" w:hAnsi="宋体" w:eastAsia="宋体" w:cs="宋体"/>
          <w:color w:val="auto"/>
          <w:sz w:val="24"/>
          <w:highlight w:val="none"/>
        </w:rPr>
      </w:pPr>
      <w:r>
        <w:rPr>
          <w:rFonts w:hint="eastAsia" w:ascii="宋体" w:hAnsi="宋体" w:eastAsia="宋体" w:cs="宋体"/>
          <w:b/>
          <w:color w:val="auto"/>
          <w:szCs w:val="21"/>
          <w:highlight w:val="none"/>
        </w:rPr>
        <w:t>注：此表请放一页，如要放2页及以上请在每页上都加盖公章。</w:t>
      </w:r>
    </w:p>
    <w:p w14:paraId="22939159">
      <w:pPr>
        <w:pageBreakBefore w:val="0"/>
        <w:widowControl/>
        <w:shd w:val="clear"/>
        <w:kinsoku/>
        <w:wordWrap w:val="0"/>
        <w:overflowPunct/>
        <w:topLinePunct w:val="0"/>
        <w:bidi w:val="0"/>
        <w:jc w:val="left"/>
        <w:rPr>
          <w:rFonts w:hint="eastAsia" w:ascii="宋体" w:hAnsi="宋体" w:eastAsia="宋体" w:cs="宋体"/>
          <w:b/>
          <w:color w:val="auto"/>
          <w:highlight w:val="none"/>
        </w:rPr>
      </w:pPr>
      <w:r>
        <w:rPr>
          <w:rFonts w:hint="eastAsia" w:ascii="宋体" w:hAnsi="宋体" w:eastAsia="宋体" w:cs="宋体"/>
          <w:b/>
          <w:color w:val="auto"/>
          <w:highlight w:val="none"/>
        </w:rPr>
        <w:br w:type="page"/>
      </w:r>
    </w:p>
    <w:p w14:paraId="324697C2">
      <w:pPr>
        <w:pStyle w:val="98"/>
        <w:pageBreakBefore w:val="0"/>
        <w:numPr>
          <w:ilvl w:val="0"/>
          <w:numId w:val="54"/>
        </w:numPr>
        <w:shd w:val="clear"/>
        <w:kinsoku/>
        <w:wordWrap w:val="0"/>
        <w:overflowPunct/>
        <w:topLinePunct w:val="0"/>
        <w:bidi w:val="0"/>
        <w:snapToGrid w:val="0"/>
        <w:ind w:firstLineChars="0"/>
        <w:rPr>
          <w:rFonts w:hint="eastAsia" w:ascii="宋体" w:hAnsi="宋体" w:eastAsia="宋体" w:cs="宋体"/>
          <w:b/>
          <w:color w:val="auto"/>
          <w:highlight w:val="none"/>
        </w:rPr>
      </w:pPr>
      <w:r>
        <w:rPr>
          <w:rFonts w:hint="eastAsia" w:ascii="宋体" w:hAnsi="宋体" w:eastAsia="宋体" w:cs="宋体"/>
          <w:b/>
          <w:color w:val="auto"/>
          <w:highlight w:val="none"/>
          <w:lang w:eastAsia="zh-CN"/>
        </w:rPr>
        <w:t>同类项目业绩</w:t>
      </w:r>
      <w:r>
        <w:rPr>
          <w:rFonts w:hint="eastAsia" w:ascii="宋体" w:hAnsi="宋体" w:eastAsia="宋体" w:cs="宋体"/>
          <w:b/>
          <w:color w:val="auto"/>
          <w:highlight w:val="none"/>
        </w:rPr>
        <w:t>一览表格式</w:t>
      </w:r>
    </w:p>
    <w:p w14:paraId="37538217">
      <w:pPr>
        <w:pStyle w:val="161"/>
        <w:pageBreakBefore w:val="0"/>
        <w:shd w:val="clear"/>
        <w:kinsoku/>
        <w:wordWrap w:val="0"/>
        <w:overflowPunct/>
        <w:topLinePunct w:val="0"/>
        <w:bidi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同类项目业绩</w:t>
      </w:r>
      <w:r>
        <w:rPr>
          <w:rFonts w:hint="eastAsia" w:ascii="宋体" w:hAnsi="宋体" w:eastAsia="宋体" w:cs="宋体"/>
          <w:b/>
          <w:color w:val="auto"/>
          <w:sz w:val="24"/>
          <w:szCs w:val="24"/>
          <w:highlight w:val="none"/>
        </w:rPr>
        <w:t>一览表</w:t>
      </w:r>
    </w:p>
    <w:tbl>
      <w:tblPr>
        <w:tblStyle w:val="48"/>
        <w:tblW w:w="9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915"/>
        <w:gridCol w:w="1656"/>
        <w:gridCol w:w="1143"/>
        <w:gridCol w:w="1214"/>
        <w:gridCol w:w="1169"/>
        <w:gridCol w:w="1290"/>
      </w:tblGrid>
      <w:tr w14:paraId="0F45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678" w:type="dxa"/>
            <w:vAlign w:val="center"/>
          </w:tcPr>
          <w:p w14:paraId="1CC465AA">
            <w:pPr>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1915" w:type="dxa"/>
            <w:vAlign w:val="center"/>
          </w:tcPr>
          <w:p w14:paraId="124ACE0D">
            <w:pPr>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项目名称</w:t>
            </w:r>
          </w:p>
        </w:tc>
        <w:tc>
          <w:tcPr>
            <w:tcW w:w="1656" w:type="dxa"/>
            <w:vAlign w:val="center"/>
          </w:tcPr>
          <w:p w14:paraId="4FC371CF">
            <w:pPr>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招标人</w:t>
            </w:r>
            <w:r>
              <w:rPr>
                <w:rFonts w:hint="eastAsia" w:ascii="宋体" w:hAnsi="宋体" w:eastAsia="宋体" w:cs="宋体"/>
                <w:b/>
                <w:color w:val="auto"/>
                <w:szCs w:val="21"/>
                <w:highlight w:val="none"/>
              </w:rPr>
              <w:t>名称</w:t>
            </w:r>
          </w:p>
        </w:tc>
        <w:tc>
          <w:tcPr>
            <w:tcW w:w="1143" w:type="dxa"/>
            <w:vAlign w:val="center"/>
          </w:tcPr>
          <w:p w14:paraId="799292EE">
            <w:pPr>
              <w:keepNext w:val="0"/>
              <w:keepLines w:val="0"/>
              <w:pageBreakBefore w:val="0"/>
              <w:suppressLineNumbers w:val="0"/>
              <w:shd w:val="clear"/>
              <w:tabs>
                <w:tab w:val="left" w:pos="6252"/>
              </w:tabs>
              <w:kinsoku/>
              <w:wordWrap w:val="0"/>
              <w:overflowPunct/>
              <w:topLinePunct w:val="0"/>
              <w:bidi w:val="0"/>
              <w:spacing w:before="0" w:beforeAutospacing="0" w:after="0" w:afterAutospacing="0"/>
              <w:ind w:left="0" w:right="0"/>
              <w:jc w:val="center"/>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采购</w:t>
            </w:r>
            <w:r>
              <w:rPr>
                <w:rFonts w:hint="eastAsia" w:ascii="宋体" w:hAnsi="宋体" w:eastAsia="宋体" w:cs="宋体"/>
                <w:b/>
                <w:color w:val="auto"/>
                <w:szCs w:val="21"/>
                <w:highlight w:val="none"/>
              </w:rPr>
              <w:t>内容</w:t>
            </w:r>
          </w:p>
        </w:tc>
        <w:tc>
          <w:tcPr>
            <w:tcW w:w="1214" w:type="dxa"/>
            <w:vAlign w:val="center"/>
          </w:tcPr>
          <w:p w14:paraId="689E36DE">
            <w:pPr>
              <w:keepNext w:val="0"/>
              <w:keepLines w:val="0"/>
              <w:pageBreakBefore w:val="0"/>
              <w:suppressLineNumbers w:val="0"/>
              <w:shd w:val="clear"/>
              <w:tabs>
                <w:tab w:val="left" w:pos="6252"/>
              </w:tabs>
              <w:kinsoku/>
              <w:wordWrap w:val="0"/>
              <w:overflowPunct/>
              <w:topLinePunct w:val="0"/>
              <w:bidi w:val="0"/>
              <w:spacing w:before="0" w:beforeAutospacing="0" w:after="0" w:afterAutospacing="0"/>
              <w:ind w:left="0" w:right="0"/>
              <w:jc w:val="center"/>
              <w:rPr>
                <w:rFonts w:hint="default"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合同金额</w:t>
            </w:r>
          </w:p>
        </w:tc>
        <w:tc>
          <w:tcPr>
            <w:tcW w:w="1169" w:type="dxa"/>
            <w:vAlign w:val="center"/>
          </w:tcPr>
          <w:p w14:paraId="71F32B72">
            <w:pPr>
              <w:keepNext w:val="0"/>
              <w:keepLines w:val="0"/>
              <w:pageBreakBefore w:val="0"/>
              <w:suppressLineNumbers w:val="0"/>
              <w:shd w:val="clear"/>
              <w:tabs>
                <w:tab w:val="left" w:pos="6252"/>
              </w:tabs>
              <w:kinsoku/>
              <w:wordWrap w:val="0"/>
              <w:overflowPunct/>
              <w:topLinePunct w:val="0"/>
              <w:bidi w:val="0"/>
              <w:spacing w:before="0" w:beforeAutospacing="0" w:after="0" w:afterAutospacing="0"/>
              <w:ind w:left="0" w:right="0"/>
              <w:jc w:val="center"/>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eastAsia="zh-CN"/>
              </w:rPr>
              <w:t>工期</w:t>
            </w:r>
          </w:p>
        </w:tc>
        <w:tc>
          <w:tcPr>
            <w:tcW w:w="1290" w:type="dxa"/>
            <w:vAlign w:val="center"/>
          </w:tcPr>
          <w:p w14:paraId="5478613D">
            <w:pPr>
              <w:keepNext w:val="0"/>
              <w:keepLines w:val="0"/>
              <w:pageBreakBefore w:val="0"/>
              <w:suppressLineNumbers w:val="0"/>
              <w:shd w:val="clear"/>
              <w:tabs>
                <w:tab w:val="left" w:pos="6252"/>
              </w:tabs>
              <w:kinsoku/>
              <w:wordWrap w:val="0"/>
              <w:overflowPunct/>
              <w:topLinePunct w:val="0"/>
              <w:bidi w:val="0"/>
              <w:spacing w:before="0" w:beforeAutospacing="0" w:after="0" w:afterAutospacing="0"/>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合同签订时间</w:t>
            </w:r>
          </w:p>
        </w:tc>
      </w:tr>
      <w:tr w14:paraId="2440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78" w:type="dxa"/>
            <w:vAlign w:val="center"/>
          </w:tcPr>
          <w:p w14:paraId="506D689B">
            <w:pPr>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915" w:type="dxa"/>
            <w:vAlign w:val="center"/>
          </w:tcPr>
          <w:p w14:paraId="0FE34821">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宋体" w:hAnsi="宋体" w:eastAsia="宋体" w:cs="宋体"/>
                <w:color w:val="auto"/>
                <w:szCs w:val="21"/>
                <w:highlight w:val="none"/>
                <w:lang w:val="en-US" w:eastAsia="zh-CN"/>
              </w:rPr>
            </w:pPr>
          </w:p>
        </w:tc>
        <w:tc>
          <w:tcPr>
            <w:tcW w:w="1656" w:type="dxa"/>
            <w:vAlign w:val="center"/>
          </w:tcPr>
          <w:p w14:paraId="495681F2">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143" w:type="dxa"/>
            <w:vAlign w:val="center"/>
          </w:tcPr>
          <w:p w14:paraId="6266E964">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214" w:type="dxa"/>
            <w:vAlign w:val="center"/>
          </w:tcPr>
          <w:p w14:paraId="0EDEBC4B">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169" w:type="dxa"/>
            <w:vAlign w:val="center"/>
          </w:tcPr>
          <w:p w14:paraId="2242E0FB">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290" w:type="dxa"/>
            <w:vAlign w:val="center"/>
          </w:tcPr>
          <w:p w14:paraId="316AFDF9">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r>
      <w:tr w14:paraId="6237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678" w:type="dxa"/>
            <w:vAlign w:val="center"/>
          </w:tcPr>
          <w:p w14:paraId="2CC12F25">
            <w:pPr>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915" w:type="dxa"/>
            <w:vAlign w:val="center"/>
          </w:tcPr>
          <w:p w14:paraId="593EF8F6">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656" w:type="dxa"/>
            <w:vAlign w:val="center"/>
          </w:tcPr>
          <w:p w14:paraId="52FB8E66">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143" w:type="dxa"/>
            <w:vAlign w:val="center"/>
          </w:tcPr>
          <w:p w14:paraId="785B6BAF">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214" w:type="dxa"/>
            <w:vAlign w:val="center"/>
          </w:tcPr>
          <w:p w14:paraId="5B1DD227">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169" w:type="dxa"/>
            <w:vAlign w:val="center"/>
          </w:tcPr>
          <w:p w14:paraId="7807628C">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290" w:type="dxa"/>
            <w:vAlign w:val="center"/>
          </w:tcPr>
          <w:p w14:paraId="0A7D6113">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r>
      <w:tr w14:paraId="4505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678" w:type="dxa"/>
            <w:vAlign w:val="center"/>
          </w:tcPr>
          <w:p w14:paraId="39C7DF6D">
            <w:pPr>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915" w:type="dxa"/>
            <w:vAlign w:val="center"/>
          </w:tcPr>
          <w:p w14:paraId="37ADD5B5">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656" w:type="dxa"/>
            <w:vAlign w:val="center"/>
          </w:tcPr>
          <w:p w14:paraId="33760EEC">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143" w:type="dxa"/>
            <w:vAlign w:val="center"/>
          </w:tcPr>
          <w:p w14:paraId="755BDF8A">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214" w:type="dxa"/>
            <w:vAlign w:val="center"/>
          </w:tcPr>
          <w:p w14:paraId="7ECAFEC0">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169" w:type="dxa"/>
            <w:vAlign w:val="center"/>
          </w:tcPr>
          <w:p w14:paraId="217B0F1F">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290" w:type="dxa"/>
            <w:vAlign w:val="center"/>
          </w:tcPr>
          <w:p w14:paraId="4C114CAB">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r>
      <w:tr w14:paraId="15DC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678" w:type="dxa"/>
            <w:vAlign w:val="center"/>
          </w:tcPr>
          <w:p w14:paraId="450B7AD2">
            <w:pPr>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915" w:type="dxa"/>
            <w:vAlign w:val="center"/>
          </w:tcPr>
          <w:p w14:paraId="01155696">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656" w:type="dxa"/>
            <w:vAlign w:val="center"/>
          </w:tcPr>
          <w:p w14:paraId="7644DA3F">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143" w:type="dxa"/>
            <w:vAlign w:val="center"/>
          </w:tcPr>
          <w:p w14:paraId="3D4ADC25">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214" w:type="dxa"/>
            <w:vAlign w:val="center"/>
          </w:tcPr>
          <w:p w14:paraId="7AB11639">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169" w:type="dxa"/>
            <w:vAlign w:val="center"/>
          </w:tcPr>
          <w:p w14:paraId="019577DF">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c>
          <w:tcPr>
            <w:tcW w:w="1290" w:type="dxa"/>
            <w:vAlign w:val="center"/>
          </w:tcPr>
          <w:p w14:paraId="27C4783B">
            <w:pPr>
              <w:keepNext w:val="0"/>
              <w:keepLines w:val="0"/>
              <w:pageBreakBefore w:val="0"/>
              <w:widowControl w:val="0"/>
              <w:suppressLineNumbers w:val="0"/>
              <w:shd w:val="clear"/>
              <w:kinsoku/>
              <w:wordWrap w:val="0"/>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olor w:val="auto"/>
                <w:szCs w:val="21"/>
                <w:highlight w:val="none"/>
              </w:rPr>
            </w:pPr>
          </w:p>
        </w:tc>
      </w:tr>
    </w:tbl>
    <w:p w14:paraId="3A8A56C6">
      <w:pPr>
        <w:keepNext w:val="0"/>
        <w:keepLines w:val="0"/>
        <w:pageBreakBefore w:val="0"/>
        <w:widowControl w:val="0"/>
        <w:shd w:val="clear"/>
        <w:tabs>
          <w:tab w:val="left" w:pos="851"/>
          <w:tab w:val="left" w:pos="993"/>
        </w:tabs>
        <w:kinsoku/>
        <w:wordWrap w:val="0"/>
        <w:overflowPunct/>
        <w:topLinePunct w:val="0"/>
        <w:autoSpaceDE/>
        <w:autoSpaceDN/>
        <w:bidi w:val="0"/>
        <w:adjustRightInd w:val="0"/>
        <w:snapToGrid w:val="0"/>
        <w:spacing w:line="400" w:lineRule="exact"/>
        <w:ind w:left="120" w:leftChars="5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注：同类项目业绩得分以本表为准，后附相关证明材料，所需的证明材料要求详见评标办法。</w:t>
      </w:r>
    </w:p>
    <w:p w14:paraId="1A139D22">
      <w:pPr>
        <w:pageBreakBefore w:val="0"/>
        <w:shd w:val="clear"/>
        <w:kinsoku/>
        <w:wordWrap w:val="0"/>
        <w:overflowPunct/>
        <w:topLinePunct w:val="0"/>
        <w:bidi w:val="0"/>
        <w:snapToGrid w:val="0"/>
        <w:spacing w:beforeLines="50" w:line="400" w:lineRule="exact"/>
        <w:ind w:firstLine="200"/>
        <w:rPr>
          <w:rFonts w:hint="eastAsia" w:ascii="宋体" w:hAnsi="宋体" w:eastAsia="宋体" w:cs="宋体"/>
          <w:b/>
          <w:color w:val="auto"/>
          <w:kern w:val="0"/>
          <w:szCs w:val="21"/>
          <w:highlight w:val="none"/>
        </w:rPr>
      </w:pPr>
    </w:p>
    <w:p w14:paraId="4F847418">
      <w:pPr>
        <w:pageBreakBefore w:val="0"/>
        <w:shd w:val="clear"/>
        <w:kinsoku/>
        <w:wordWrap w:val="0"/>
        <w:overflowPunct/>
        <w:topLinePunct w:val="0"/>
        <w:bidi w:val="0"/>
        <w:snapToGrid w:val="0"/>
        <w:spacing w:beforeLines="50" w:line="400" w:lineRule="exact"/>
        <w:ind w:firstLine="200"/>
        <w:rPr>
          <w:rFonts w:hint="eastAsia" w:ascii="宋体" w:hAnsi="宋体" w:eastAsia="宋体" w:cs="宋体"/>
          <w:b/>
          <w:color w:val="auto"/>
          <w:sz w:val="24"/>
          <w:szCs w:val="21"/>
          <w:highlight w:val="none"/>
        </w:rPr>
      </w:pPr>
    </w:p>
    <w:p w14:paraId="3EBE9035">
      <w:pPr>
        <w:pageBreakBefore w:val="0"/>
        <w:shd w:val="clear"/>
        <w:kinsoku/>
        <w:wordWrap w:val="0"/>
        <w:overflowPunct/>
        <w:topLinePunct w:val="0"/>
        <w:bidi w:val="0"/>
        <w:snapToGrid w:val="0"/>
        <w:spacing w:beforeLines="50" w:after="50" w:afterLines="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投标人（盖章）：</w:t>
      </w:r>
    </w:p>
    <w:p w14:paraId="7BA1C90B">
      <w:pPr>
        <w:pageBreakBefore w:val="0"/>
        <w:shd w:val="clear"/>
        <w:kinsoku/>
        <w:wordWrap w:val="0"/>
        <w:overflowPunct/>
        <w:topLinePunct w:val="0"/>
        <w:bidi w:val="0"/>
        <w:snapToGrid w:val="0"/>
        <w:spacing w:beforeLines="50" w:after="50" w:afterLines="0" w:line="360" w:lineRule="auto"/>
        <w:rPr>
          <w:rFonts w:hint="eastAsia" w:ascii="宋体" w:hAnsi="宋体" w:eastAsia="宋体" w:cs="宋体"/>
          <w:color w:val="auto"/>
          <w:sz w:val="24"/>
          <w:szCs w:val="20"/>
          <w:highlight w:val="none"/>
        </w:rPr>
      </w:pPr>
    </w:p>
    <w:p w14:paraId="77A085F7">
      <w:pPr>
        <w:pageBreakBefore w:val="0"/>
        <w:shd w:val="clear"/>
        <w:kinsoku/>
        <w:wordWrap w:val="0"/>
        <w:overflowPunct/>
        <w:topLinePunct w:val="0"/>
        <w:bidi w:val="0"/>
        <w:snapToGrid w:val="0"/>
        <w:spacing w:beforeLines="50" w:after="50" w:afterLines="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w:t>
      </w:r>
    </w:p>
    <w:p w14:paraId="5C77CF05">
      <w:pPr>
        <w:pStyle w:val="31"/>
        <w:pageBreakBefore w:val="0"/>
        <w:pBdr>
          <w:top w:val="none" w:color="auto" w:sz="0" w:space="0"/>
          <w:left w:val="none" w:color="auto" w:sz="0" w:space="0"/>
          <w:bottom w:val="none" w:color="auto" w:sz="0" w:space="1"/>
          <w:right w:val="none" w:color="auto" w:sz="0" w:space="0"/>
          <w:between w:val="none" w:color="auto" w:sz="0" w:space="0"/>
        </w:pBdr>
        <w:shd w:val="clear"/>
        <w:kinsoku/>
        <w:wordWrap w:val="0"/>
        <w:overflowPunct/>
        <w:topLinePunct w:val="0"/>
        <w:bidi w:val="0"/>
        <w:jc w:val="both"/>
        <w:rPr>
          <w:rFonts w:hint="eastAsia" w:ascii="宋体" w:hAnsi="宋体" w:eastAsia="宋体" w:cs="宋体"/>
          <w:color w:val="auto"/>
          <w:highlight w:val="none"/>
        </w:rPr>
      </w:pPr>
    </w:p>
    <w:p w14:paraId="4AF25290">
      <w:pPr>
        <w:pageBreakBefore w:val="0"/>
        <w:shd w:val="clear"/>
        <w:kinsoku/>
        <w:wordWrap w:val="0"/>
        <w:overflowPunct/>
        <w:topLinePunct w:val="0"/>
        <w:bidi w:val="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2383BFB8">
      <w:pPr>
        <w:pStyle w:val="98"/>
        <w:pageBreakBefore w:val="0"/>
        <w:numPr>
          <w:ilvl w:val="0"/>
          <w:numId w:val="54"/>
        </w:numPr>
        <w:shd w:val="clear"/>
        <w:kinsoku/>
        <w:wordWrap w:val="0"/>
        <w:overflowPunct/>
        <w:topLinePunct w:val="0"/>
        <w:bidi w:val="0"/>
        <w:snapToGrid w:val="0"/>
        <w:ind w:firstLineChars="0"/>
        <w:rPr>
          <w:rFonts w:ascii="宋体" w:hAnsi="宋体"/>
          <w:b/>
          <w:color w:val="auto"/>
          <w:highlight w:val="none"/>
        </w:rPr>
      </w:pPr>
      <w:r>
        <w:rPr>
          <w:rFonts w:hint="eastAsia" w:ascii="宋体" w:hAnsi="宋体"/>
          <w:b/>
          <w:color w:val="auto"/>
          <w:highlight w:val="none"/>
        </w:rPr>
        <w:t>拟投入本项目人员一览表格式</w:t>
      </w:r>
    </w:p>
    <w:p w14:paraId="5ABA253B">
      <w:pPr>
        <w:pStyle w:val="25"/>
        <w:pageBreakBefore w:val="0"/>
        <w:shd w:val="clear"/>
        <w:kinsoku/>
        <w:wordWrap w:val="0"/>
        <w:overflowPunct/>
        <w:topLinePunct w:val="0"/>
        <w:bidi w:val="0"/>
        <w:adjustRightInd w:val="0"/>
        <w:spacing w:before="120" w:after="120" w:line="360" w:lineRule="auto"/>
        <w:jc w:val="center"/>
        <w:textAlignment w:val="baseline"/>
        <w:rPr>
          <w:rFonts w:hAnsi="宋体"/>
          <w:color w:val="auto"/>
          <w:sz w:val="32"/>
          <w:szCs w:val="32"/>
          <w:highlight w:val="none"/>
        </w:rPr>
      </w:pPr>
      <w:r>
        <w:rPr>
          <w:rFonts w:hint="eastAsia" w:hAnsi="宋体"/>
          <w:b/>
          <w:color w:val="auto"/>
          <w:sz w:val="32"/>
          <w:szCs w:val="32"/>
          <w:highlight w:val="none"/>
        </w:rPr>
        <w:t>拟投入本项目人员一览表</w:t>
      </w:r>
    </w:p>
    <w:tbl>
      <w:tblPr>
        <w:tblStyle w:val="48"/>
        <w:tblW w:w="4881"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31"/>
        <w:gridCol w:w="1066"/>
        <w:gridCol w:w="1170"/>
        <w:gridCol w:w="742"/>
        <w:gridCol w:w="742"/>
        <w:gridCol w:w="889"/>
        <w:gridCol w:w="1486"/>
        <w:gridCol w:w="2329"/>
      </w:tblGrid>
      <w:tr w14:paraId="56885C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37DA8C5E">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序号</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7CDF9101">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姓名</w:t>
            </w:r>
          </w:p>
        </w:tc>
        <w:tc>
          <w:tcPr>
            <w:tcW w:w="653" w:type="pct"/>
            <w:tcBorders>
              <w:top w:val="single" w:color="auto" w:sz="4" w:space="0"/>
              <w:left w:val="single" w:color="auto" w:sz="4" w:space="0"/>
              <w:bottom w:val="single" w:color="auto" w:sz="4" w:space="0"/>
              <w:right w:val="single" w:color="auto" w:sz="4" w:space="0"/>
            </w:tcBorders>
            <w:noWrap w:val="0"/>
            <w:vAlign w:val="center"/>
          </w:tcPr>
          <w:p w14:paraId="4FB47705">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拟投入本项目岗位</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370B4954">
            <w:pPr>
              <w:keepNext w:val="0"/>
              <w:keepLines w:val="0"/>
              <w:pageBreakBefore w:val="0"/>
              <w:widowControl/>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性别</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7DA7B174">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年龄</w:t>
            </w:r>
          </w:p>
        </w:tc>
        <w:tc>
          <w:tcPr>
            <w:tcW w:w="496" w:type="pct"/>
            <w:tcBorders>
              <w:top w:val="single" w:color="auto" w:sz="4" w:space="0"/>
              <w:left w:val="single" w:color="auto" w:sz="4" w:space="0"/>
              <w:bottom w:val="single" w:color="auto" w:sz="4" w:space="0"/>
              <w:right w:val="single" w:color="auto" w:sz="4" w:space="0"/>
            </w:tcBorders>
            <w:noWrap w:val="0"/>
            <w:vAlign w:val="center"/>
          </w:tcPr>
          <w:p w14:paraId="733858A7">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学历</w:t>
            </w:r>
          </w:p>
        </w:tc>
        <w:tc>
          <w:tcPr>
            <w:tcW w:w="829" w:type="pct"/>
            <w:tcBorders>
              <w:top w:val="single" w:color="auto" w:sz="4" w:space="0"/>
              <w:left w:val="single" w:color="auto" w:sz="4" w:space="0"/>
              <w:bottom w:val="single" w:color="auto" w:sz="4" w:space="0"/>
              <w:right w:val="single" w:color="auto" w:sz="4" w:space="0"/>
            </w:tcBorders>
            <w:noWrap w:val="0"/>
            <w:vAlign w:val="center"/>
          </w:tcPr>
          <w:p w14:paraId="6B4A8BDB">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证书</w:t>
            </w:r>
            <w:r>
              <w:rPr>
                <w:rFonts w:hint="eastAsia" w:ascii="宋体" w:hAnsi="宋体" w:cs="宋体"/>
                <w:b/>
                <w:bCs/>
                <w:color w:val="auto"/>
                <w:sz w:val="21"/>
                <w:szCs w:val="21"/>
                <w:highlight w:val="none"/>
                <w:lang w:val="en-US" w:eastAsia="zh-CN"/>
              </w:rPr>
              <w:t>名称</w:t>
            </w:r>
          </w:p>
        </w:tc>
        <w:tc>
          <w:tcPr>
            <w:tcW w:w="1299" w:type="pct"/>
            <w:tcBorders>
              <w:top w:val="single" w:color="auto" w:sz="4" w:space="0"/>
              <w:left w:val="single" w:color="auto" w:sz="4" w:space="0"/>
              <w:bottom w:val="single" w:color="auto" w:sz="4" w:space="0"/>
              <w:right w:val="single" w:color="auto" w:sz="4" w:space="0"/>
            </w:tcBorders>
            <w:noWrap w:val="0"/>
            <w:vAlign w:val="center"/>
          </w:tcPr>
          <w:p w14:paraId="3B1468C5">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同类项目经验</w:t>
            </w:r>
          </w:p>
        </w:tc>
      </w:tr>
      <w:tr w14:paraId="41EA28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5BDD510D">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4F25936D">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4E6FB318">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1DAF9D9B">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602B37D0">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96" w:type="pct"/>
            <w:tcBorders>
              <w:top w:val="single" w:color="auto" w:sz="4" w:space="0"/>
              <w:left w:val="single" w:color="auto" w:sz="4" w:space="0"/>
              <w:bottom w:val="single" w:color="auto" w:sz="4" w:space="0"/>
              <w:right w:val="single" w:color="auto" w:sz="4" w:space="0"/>
            </w:tcBorders>
            <w:noWrap w:val="0"/>
            <w:vAlign w:val="center"/>
          </w:tcPr>
          <w:p w14:paraId="76FFFEAB">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06FD5653">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1299" w:type="pct"/>
            <w:tcBorders>
              <w:top w:val="single" w:color="auto" w:sz="4" w:space="0"/>
              <w:left w:val="single" w:color="auto" w:sz="4" w:space="0"/>
              <w:bottom w:val="single" w:color="auto" w:sz="4" w:space="0"/>
              <w:right w:val="single" w:color="auto" w:sz="4" w:space="0"/>
            </w:tcBorders>
            <w:noWrap w:val="0"/>
            <w:vAlign w:val="center"/>
          </w:tcPr>
          <w:p w14:paraId="2D0FCB9B">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r>
      <w:tr w14:paraId="4C431A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7A6A75AE">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24460968">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043013CB">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629E060B">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417F6663">
            <w:pPr>
              <w:pStyle w:val="29"/>
              <w:keepNext w:val="0"/>
              <w:keepLines w:val="0"/>
              <w:pageBreakBefore w:val="0"/>
              <w:suppressLineNumbers w:val="0"/>
              <w:shd w:val="clear"/>
              <w:kinsoku/>
              <w:wordWrap w:val="0"/>
              <w:overflowPunct/>
              <w:topLinePunct w:val="0"/>
              <w:bidi w:val="0"/>
              <w:spacing w:before="0" w:beforeAutospacing="0" w:after="0" w:afterAutospacing="0"/>
              <w:ind w:left="0" w:right="-485" w:rightChars="-202"/>
              <w:jc w:val="center"/>
              <w:rPr>
                <w:rFonts w:hint="eastAsia" w:ascii="宋体" w:hAnsi="宋体" w:eastAsia="宋体" w:cs="宋体"/>
                <w:color w:val="auto"/>
                <w:sz w:val="21"/>
                <w:szCs w:val="21"/>
                <w:highlight w:val="none"/>
                <w:lang w:val="en-US" w:eastAsia="zh-CN"/>
              </w:rPr>
            </w:pPr>
          </w:p>
        </w:tc>
        <w:tc>
          <w:tcPr>
            <w:tcW w:w="496" w:type="pct"/>
            <w:tcBorders>
              <w:top w:val="single" w:color="auto" w:sz="4" w:space="0"/>
              <w:left w:val="single" w:color="auto" w:sz="4" w:space="0"/>
              <w:bottom w:val="single" w:color="auto" w:sz="4" w:space="0"/>
              <w:right w:val="single" w:color="auto" w:sz="4" w:space="0"/>
            </w:tcBorders>
            <w:noWrap w:val="0"/>
            <w:vAlign w:val="center"/>
          </w:tcPr>
          <w:p w14:paraId="50362EE2">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490E0AFE">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1299" w:type="pct"/>
            <w:tcBorders>
              <w:top w:val="single" w:color="auto" w:sz="4" w:space="0"/>
              <w:left w:val="single" w:color="auto" w:sz="4" w:space="0"/>
              <w:bottom w:val="single" w:color="auto" w:sz="4" w:space="0"/>
              <w:right w:val="single" w:color="auto" w:sz="4" w:space="0"/>
            </w:tcBorders>
            <w:noWrap w:val="0"/>
            <w:vAlign w:val="center"/>
          </w:tcPr>
          <w:p w14:paraId="00BDFCFD">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r>
      <w:tr w14:paraId="5DA93F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6EF1AD54">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19EAA7DF">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21351295">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077E86B8">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0CF642BD">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96" w:type="pct"/>
            <w:tcBorders>
              <w:top w:val="single" w:color="auto" w:sz="4" w:space="0"/>
              <w:left w:val="single" w:color="auto" w:sz="4" w:space="0"/>
              <w:bottom w:val="single" w:color="auto" w:sz="4" w:space="0"/>
              <w:right w:val="single" w:color="auto" w:sz="4" w:space="0"/>
            </w:tcBorders>
            <w:noWrap w:val="0"/>
            <w:vAlign w:val="center"/>
          </w:tcPr>
          <w:p w14:paraId="234415C7">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216CB8D3">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1299" w:type="pct"/>
            <w:tcBorders>
              <w:top w:val="single" w:color="auto" w:sz="4" w:space="0"/>
              <w:left w:val="single" w:color="auto" w:sz="4" w:space="0"/>
              <w:bottom w:val="single" w:color="auto" w:sz="4" w:space="0"/>
              <w:right w:val="single" w:color="auto" w:sz="4" w:space="0"/>
            </w:tcBorders>
            <w:noWrap w:val="0"/>
            <w:vAlign w:val="center"/>
          </w:tcPr>
          <w:p w14:paraId="66C44A07">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r>
      <w:tr w14:paraId="06A6D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0AC69904">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44AA36A8">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166334B9">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3D13D4FF">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7DF24DE1">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96" w:type="pct"/>
            <w:tcBorders>
              <w:top w:val="single" w:color="auto" w:sz="4" w:space="0"/>
              <w:left w:val="single" w:color="auto" w:sz="4" w:space="0"/>
              <w:bottom w:val="single" w:color="auto" w:sz="4" w:space="0"/>
              <w:right w:val="single" w:color="auto" w:sz="4" w:space="0"/>
            </w:tcBorders>
            <w:noWrap w:val="0"/>
            <w:vAlign w:val="center"/>
          </w:tcPr>
          <w:p w14:paraId="0DC86BA1">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70487B8C">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1299" w:type="pct"/>
            <w:tcBorders>
              <w:top w:val="single" w:color="auto" w:sz="4" w:space="0"/>
              <w:left w:val="single" w:color="auto" w:sz="4" w:space="0"/>
              <w:bottom w:val="single" w:color="auto" w:sz="4" w:space="0"/>
              <w:right w:val="single" w:color="auto" w:sz="4" w:space="0"/>
            </w:tcBorders>
            <w:noWrap w:val="0"/>
            <w:vAlign w:val="center"/>
          </w:tcPr>
          <w:p w14:paraId="038828D3">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r>
      <w:tr w14:paraId="18EB9C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7843F2A9">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7E57867F">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209A993D">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41E25FE2">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19D6F3C8">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96" w:type="pct"/>
            <w:tcBorders>
              <w:top w:val="single" w:color="auto" w:sz="4" w:space="0"/>
              <w:left w:val="single" w:color="auto" w:sz="4" w:space="0"/>
              <w:bottom w:val="single" w:color="auto" w:sz="4" w:space="0"/>
              <w:right w:val="single" w:color="auto" w:sz="4" w:space="0"/>
            </w:tcBorders>
            <w:noWrap w:val="0"/>
            <w:vAlign w:val="center"/>
          </w:tcPr>
          <w:p w14:paraId="50620CDC">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680D59D2">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1299" w:type="pct"/>
            <w:tcBorders>
              <w:top w:val="single" w:color="auto" w:sz="4" w:space="0"/>
              <w:left w:val="single" w:color="auto" w:sz="4" w:space="0"/>
              <w:bottom w:val="single" w:color="auto" w:sz="4" w:space="0"/>
              <w:right w:val="single" w:color="auto" w:sz="4" w:space="0"/>
            </w:tcBorders>
            <w:noWrap w:val="0"/>
            <w:vAlign w:val="center"/>
          </w:tcPr>
          <w:p w14:paraId="0D4DCFD8">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r>
      <w:tr w14:paraId="154771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66E2600A">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52773A9C">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35F9932D">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1CCC19A0">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7CF6FD67">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96" w:type="pct"/>
            <w:tcBorders>
              <w:top w:val="single" w:color="auto" w:sz="4" w:space="0"/>
              <w:left w:val="single" w:color="auto" w:sz="4" w:space="0"/>
              <w:bottom w:val="single" w:color="auto" w:sz="4" w:space="0"/>
              <w:right w:val="single" w:color="auto" w:sz="4" w:space="0"/>
            </w:tcBorders>
            <w:noWrap w:val="0"/>
            <w:vAlign w:val="center"/>
          </w:tcPr>
          <w:p w14:paraId="05F0C897">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65048D0B">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1299" w:type="pct"/>
            <w:tcBorders>
              <w:top w:val="single" w:color="auto" w:sz="4" w:space="0"/>
              <w:left w:val="single" w:color="auto" w:sz="4" w:space="0"/>
              <w:bottom w:val="single" w:color="auto" w:sz="4" w:space="0"/>
              <w:right w:val="single" w:color="auto" w:sz="4" w:space="0"/>
            </w:tcBorders>
            <w:noWrap w:val="0"/>
            <w:vAlign w:val="center"/>
          </w:tcPr>
          <w:p w14:paraId="12BF6D32">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r>
      <w:tr w14:paraId="64B666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7905FD5B">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12C6E6CE">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698959C1">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26920EF1">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6C191CB7">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96" w:type="pct"/>
            <w:tcBorders>
              <w:top w:val="single" w:color="auto" w:sz="4" w:space="0"/>
              <w:left w:val="single" w:color="auto" w:sz="4" w:space="0"/>
              <w:bottom w:val="single" w:color="auto" w:sz="4" w:space="0"/>
              <w:right w:val="single" w:color="auto" w:sz="4" w:space="0"/>
            </w:tcBorders>
            <w:noWrap w:val="0"/>
            <w:vAlign w:val="center"/>
          </w:tcPr>
          <w:p w14:paraId="44EB90BC">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096572EF">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1299" w:type="pct"/>
            <w:tcBorders>
              <w:top w:val="single" w:color="auto" w:sz="4" w:space="0"/>
              <w:left w:val="single" w:color="auto" w:sz="4" w:space="0"/>
              <w:bottom w:val="single" w:color="auto" w:sz="4" w:space="0"/>
              <w:right w:val="single" w:color="auto" w:sz="4" w:space="0"/>
            </w:tcBorders>
            <w:noWrap w:val="0"/>
            <w:vAlign w:val="center"/>
          </w:tcPr>
          <w:p w14:paraId="51CF784A">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r>
      <w:tr w14:paraId="7425BC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491C8430">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3BA7511F">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54EF8CB7">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39E7ED67">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19D6EA6D">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96" w:type="pct"/>
            <w:tcBorders>
              <w:top w:val="single" w:color="auto" w:sz="4" w:space="0"/>
              <w:left w:val="single" w:color="auto" w:sz="4" w:space="0"/>
              <w:bottom w:val="single" w:color="auto" w:sz="4" w:space="0"/>
              <w:right w:val="single" w:color="auto" w:sz="4" w:space="0"/>
            </w:tcBorders>
            <w:noWrap w:val="0"/>
            <w:vAlign w:val="center"/>
          </w:tcPr>
          <w:p w14:paraId="71F03AA3">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734C86E0">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1299" w:type="pct"/>
            <w:tcBorders>
              <w:top w:val="single" w:color="auto" w:sz="4" w:space="0"/>
              <w:left w:val="single" w:color="auto" w:sz="4" w:space="0"/>
              <w:bottom w:val="single" w:color="auto" w:sz="4" w:space="0"/>
              <w:right w:val="single" w:color="auto" w:sz="4" w:space="0"/>
            </w:tcBorders>
            <w:noWrap w:val="0"/>
            <w:vAlign w:val="center"/>
          </w:tcPr>
          <w:p w14:paraId="2E65CE9F">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r>
      <w:tr w14:paraId="4CBBE6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0D82B44F">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637725C1">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5FADB36D">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31FA478E">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6FAA3B64">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496" w:type="pct"/>
            <w:tcBorders>
              <w:top w:val="single" w:color="auto" w:sz="4" w:space="0"/>
              <w:left w:val="single" w:color="auto" w:sz="4" w:space="0"/>
              <w:bottom w:val="single" w:color="auto" w:sz="4" w:space="0"/>
              <w:right w:val="single" w:color="auto" w:sz="4" w:space="0"/>
            </w:tcBorders>
            <w:noWrap w:val="0"/>
            <w:vAlign w:val="center"/>
          </w:tcPr>
          <w:p w14:paraId="7CD32628">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829" w:type="pct"/>
            <w:tcBorders>
              <w:top w:val="single" w:color="auto" w:sz="4" w:space="0"/>
              <w:left w:val="single" w:color="auto" w:sz="4" w:space="0"/>
              <w:bottom w:val="single" w:color="auto" w:sz="4" w:space="0"/>
              <w:right w:val="single" w:color="auto" w:sz="4" w:space="0"/>
            </w:tcBorders>
            <w:noWrap w:val="0"/>
            <w:vAlign w:val="center"/>
          </w:tcPr>
          <w:p w14:paraId="4E802C42">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c>
          <w:tcPr>
            <w:tcW w:w="1299" w:type="pct"/>
            <w:tcBorders>
              <w:top w:val="single" w:color="auto" w:sz="4" w:space="0"/>
              <w:left w:val="single" w:color="auto" w:sz="4" w:space="0"/>
              <w:bottom w:val="single" w:color="auto" w:sz="4" w:space="0"/>
              <w:right w:val="single" w:color="auto" w:sz="4" w:space="0"/>
            </w:tcBorders>
            <w:noWrap w:val="0"/>
            <w:vAlign w:val="center"/>
          </w:tcPr>
          <w:p w14:paraId="5BC44EEC">
            <w:pPr>
              <w:pStyle w:val="29"/>
              <w:keepNext w:val="0"/>
              <w:keepLines w:val="0"/>
              <w:pageBreakBefore w:val="0"/>
              <w:suppressLineNumbers w:val="0"/>
              <w:shd w:val="clear"/>
              <w:kinsoku/>
              <w:wordWrap w:val="0"/>
              <w:overflowPunct/>
              <w:topLinePunct w:val="0"/>
              <w:bidi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p>
        </w:tc>
      </w:tr>
    </w:tbl>
    <w:p w14:paraId="0AD7EDEA">
      <w:pPr>
        <w:keepNext w:val="0"/>
        <w:keepLines w:val="0"/>
        <w:pageBreakBefore w:val="0"/>
        <w:widowControl w:val="0"/>
        <w:shd w:val="clear"/>
        <w:tabs>
          <w:tab w:val="left" w:pos="851"/>
          <w:tab w:val="left" w:pos="993"/>
        </w:tabs>
        <w:kinsoku/>
        <w:wordWrap w:val="0"/>
        <w:overflowPunct/>
        <w:topLinePunct w:val="0"/>
        <w:autoSpaceDE/>
        <w:autoSpaceDN/>
        <w:bidi w:val="0"/>
        <w:adjustRightInd w:val="0"/>
        <w:snapToGrid w:val="0"/>
        <w:spacing w:line="400" w:lineRule="exact"/>
        <w:ind w:left="120" w:leftChars="5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注：拟投入本项目人员</w:t>
      </w:r>
      <w:r>
        <w:rPr>
          <w:rFonts w:hint="eastAsia" w:ascii="宋体" w:hAnsi="宋体" w:eastAsia="宋体" w:cs="宋体"/>
          <w:color w:val="auto"/>
          <w:kern w:val="0"/>
          <w:sz w:val="21"/>
          <w:szCs w:val="21"/>
          <w:highlight w:val="none"/>
          <w:lang w:val="en-US" w:eastAsia="zh-CN"/>
        </w:rPr>
        <w:t>得分以本表为准，</w:t>
      </w:r>
      <w:r>
        <w:rPr>
          <w:rFonts w:hint="eastAsia" w:ascii="宋体" w:hAnsi="宋体" w:eastAsia="宋体" w:cs="宋体"/>
          <w:color w:val="auto"/>
          <w:kern w:val="0"/>
          <w:sz w:val="21"/>
          <w:szCs w:val="21"/>
          <w:highlight w:val="none"/>
        </w:rPr>
        <w:t>后附相关证明材料。</w:t>
      </w:r>
    </w:p>
    <w:p w14:paraId="58A14209">
      <w:pPr>
        <w:pageBreakBefore w:val="0"/>
        <w:shd w:val="clear"/>
        <w:kinsoku/>
        <w:wordWrap w:val="0"/>
        <w:overflowPunct/>
        <w:topLinePunct w:val="0"/>
        <w:bidi w:val="0"/>
        <w:snapToGrid w:val="0"/>
        <w:spacing w:before="120" w:beforeLines="50" w:after="50" w:line="400" w:lineRule="exact"/>
        <w:rPr>
          <w:rFonts w:hint="eastAsia" w:ascii="宋体" w:hAnsi="宋体"/>
          <w:bCs/>
          <w:color w:val="auto"/>
          <w:sz w:val="24"/>
          <w:highlight w:val="none"/>
        </w:rPr>
      </w:pPr>
    </w:p>
    <w:p w14:paraId="5DFFDB39">
      <w:pPr>
        <w:pageBreakBefore w:val="0"/>
        <w:shd w:val="clear"/>
        <w:kinsoku/>
        <w:wordWrap w:val="0"/>
        <w:overflowPunct/>
        <w:topLinePunct w:val="0"/>
        <w:bidi w:val="0"/>
        <w:snapToGrid w:val="0"/>
        <w:spacing w:beforeLines="50" w:after="50" w:afterLines="0" w:line="360" w:lineRule="auto"/>
        <w:rPr>
          <w:rFonts w:hint="default" w:ascii="宋体" w:hAnsi="宋体" w:eastAsia="宋体"/>
          <w:color w:val="auto"/>
          <w:sz w:val="24"/>
          <w:szCs w:val="24"/>
          <w:highlight w:val="none"/>
        </w:rPr>
      </w:pPr>
      <w:r>
        <w:rPr>
          <w:rFonts w:hint="default" w:ascii="宋体" w:hAnsi="宋体" w:eastAsia="宋体"/>
          <w:color w:val="auto"/>
          <w:sz w:val="24"/>
          <w:szCs w:val="24"/>
          <w:highlight w:val="none"/>
        </w:rPr>
        <w:t>投标人（盖章）：</w:t>
      </w:r>
    </w:p>
    <w:p w14:paraId="68C0BC16">
      <w:pPr>
        <w:pageBreakBefore w:val="0"/>
        <w:shd w:val="clear"/>
        <w:kinsoku/>
        <w:wordWrap w:val="0"/>
        <w:overflowPunct/>
        <w:topLinePunct w:val="0"/>
        <w:bidi w:val="0"/>
        <w:snapToGrid w:val="0"/>
        <w:spacing w:beforeLines="50" w:after="50" w:afterLines="0"/>
        <w:jc w:val="right"/>
        <w:rPr>
          <w:rFonts w:hint="default" w:hAnsi="宋体"/>
          <w:color w:val="auto"/>
          <w:sz w:val="24"/>
          <w:szCs w:val="20"/>
          <w:highlight w:val="none"/>
        </w:rPr>
      </w:pPr>
      <w:r>
        <w:rPr>
          <w:rFonts w:hint="default" w:ascii="宋体" w:hAnsi="宋体" w:eastAsia="宋体"/>
          <w:color w:val="auto"/>
          <w:sz w:val="24"/>
          <w:szCs w:val="24"/>
          <w:highlight w:val="none"/>
        </w:rPr>
        <w:t>年   月   日</w:t>
      </w:r>
    </w:p>
    <w:bookmarkEnd w:id="677"/>
    <w:p w14:paraId="0651DEAA">
      <w:pPr>
        <w:pageBreakBefore w:val="0"/>
        <w:shd w:val="clear"/>
        <w:kinsoku/>
        <w:wordWrap w:val="0"/>
        <w:overflowPunct/>
        <w:topLinePunct w:val="0"/>
        <w:bidi w:val="0"/>
        <w:rPr>
          <w:rFonts w:hint="eastAsia" w:hAnsi="宋体"/>
          <w:b/>
          <w:color w:val="auto"/>
          <w:highlight w:val="none"/>
        </w:rPr>
      </w:pPr>
      <w:r>
        <w:rPr>
          <w:rFonts w:hint="eastAsia" w:hAnsi="宋体"/>
          <w:b/>
          <w:color w:val="auto"/>
          <w:highlight w:val="none"/>
        </w:rPr>
        <w:br w:type="page"/>
      </w:r>
    </w:p>
    <w:p w14:paraId="72A9C46D">
      <w:pPr>
        <w:pageBreakBefore w:val="0"/>
        <w:shd w:val="clear"/>
        <w:kinsoku/>
        <w:wordWrap w:val="0"/>
        <w:overflowPunct/>
        <w:topLinePunct w:val="0"/>
        <w:bidi w:val="0"/>
        <w:rPr>
          <w:rFonts w:hint="eastAsia" w:hAnsi="宋体"/>
          <w:b/>
          <w:color w:val="auto"/>
          <w:highlight w:val="none"/>
        </w:rPr>
      </w:pPr>
    </w:p>
    <w:p w14:paraId="64B830CA">
      <w:pPr>
        <w:pageBreakBefore w:val="0"/>
        <w:shd w:val="clear"/>
        <w:kinsoku/>
        <w:wordWrap w:val="0"/>
        <w:overflowPunct/>
        <w:topLinePunct w:val="0"/>
        <w:bidi w:val="0"/>
        <w:rPr>
          <w:rFonts w:hint="eastAsia" w:hAnsi="宋体"/>
          <w:b/>
          <w:color w:val="auto"/>
          <w:highlight w:val="none"/>
        </w:rPr>
      </w:pPr>
    </w:p>
    <w:p w14:paraId="2F687E21">
      <w:pPr>
        <w:pStyle w:val="98"/>
        <w:pageBreakBefore w:val="0"/>
        <w:numPr>
          <w:ilvl w:val="0"/>
          <w:numId w:val="54"/>
        </w:numPr>
        <w:shd w:val="clear"/>
        <w:kinsoku/>
        <w:wordWrap w:val="0"/>
        <w:overflowPunct/>
        <w:topLinePunct w:val="0"/>
        <w:bidi w:val="0"/>
        <w:snapToGrid w:val="0"/>
        <w:ind w:firstLineChars="0"/>
        <w:rPr>
          <w:rFonts w:hint="eastAsia" w:hAnsi="宋体" w:eastAsia="宋体" w:cs="Times New Roman"/>
          <w:b/>
          <w:color w:val="auto"/>
          <w:highlight w:val="none"/>
        </w:rPr>
      </w:pPr>
      <w:r>
        <w:rPr>
          <w:rFonts w:hint="eastAsia" w:hAnsi="宋体" w:eastAsia="宋体" w:cs="Times New Roman"/>
          <w:b/>
          <w:color w:val="auto"/>
          <w:highlight w:val="none"/>
        </w:rPr>
        <w:t>商务技术偏离表格式</w:t>
      </w:r>
    </w:p>
    <w:p w14:paraId="77F74B6B">
      <w:pPr>
        <w:shd w:val="clear"/>
        <w:snapToGrid w:val="0"/>
        <w:rPr>
          <w:rFonts w:hAnsi="宋体"/>
          <w:b/>
          <w:color w:val="auto"/>
          <w:highlight w:val="none"/>
        </w:rPr>
      </w:pPr>
    </w:p>
    <w:p w14:paraId="621E4016">
      <w:pPr>
        <w:shd w:val="clear"/>
        <w:snapToGrid w:val="0"/>
        <w:jc w:val="center"/>
        <w:rPr>
          <w:rFonts w:hAnsi="宋体"/>
          <w:b/>
          <w:color w:val="auto"/>
          <w:highlight w:val="none"/>
        </w:rPr>
      </w:pPr>
      <w:r>
        <w:rPr>
          <w:rFonts w:hint="eastAsia" w:hAnsi="宋体"/>
          <w:b/>
          <w:color w:val="auto"/>
          <w:highlight w:val="none"/>
        </w:rPr>
        <w:t>商务技术偏离表</w:t>
      </w:r>
    </w:p>
    <w:tbl>
      <w:tblPr>
        <w:tblStyle w:val="48"/>
        <w:tblW w:w="10137"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708"/>
        <w:gridCol w:w="1560"/>
        <w:gridCol w:w="2126"/>
        <w:gridCol w:w="1843"/>
        <w:gridCol w:w="1773"/>
      </w:tblGrid>
      <w:tr w14:paraId="1D01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127" w:type="dxa"/>
            <w:tcBorders>
              <w:top w:val="single" w:color="auto" w:sz="4" w:space="0"/>
              <w:left w:val="single" w:color="auto" w:sz="4" w:space="0"/>
              <w:bottom w:val="single" w:color="auto" w:sz="4" w:space="0"/>
              <w:right w:val="single" w:color="auto" w:sz="4" w:space="0"/>
            </w:tcBorders>
            <w:noWrap w:val="0"/>
            <w:vAlign w:val="center"/>
          </w:tcPr>
          <w:p w14:paraId="0EE75FCA">
            <w:pPr>
              <w:keepNext w:val="0"/>
              <w:keepLines w:val="0"/>
              <w:suppressLineNumbers w:val="0"/>
              <w:shd w:val="clear"/>
              <w:spacing w:before="0" w:beforeAutospacing="0" w:after="0" w:afterAutospacing="0"/>
              <w:ind w:left="0" w:right="0"/>
              <w:jc w:val="center"/>
              <w:rPr>
                <w:rFonts w:hint="eastAsia"/>
                <w:b/>
                <w:color w:val="auto"/>
                <w:highlight w:val="none"/>
              </w:rPr>
            </w:pPr>
            <w:r>
              <w:rPr>
                <w:rFonts w:hint="eastAsia"/>
                <w:b/>
                <w:color w:val="auto"/>
                <w:highlight w:val="none"/>
              </w:rPr>
              <w:t>响应参数类别</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3F563A44">
            <w:pPr>
              <w:keepNext w:val="0"/>
              <w:keepLines w:val="0"/>
              <w:suppressLineNumbers w:val="0"/>
              <w:shd w:val="clear"/>
              <w:spacing w:before="0" w:beforeAutospacing="0" w:after="0" w:afterAutospacing="0"/>
              <w:ind w:left="0" w:right="0"/>
              <w:jc w:val="center"/>
              <w:rPr>
                <w:rFonts w:hint="default"/>
                <w:b/>
                <w:color w:val="auto"/>
                <w:highlight w:val="none"/>
              </w:rPr>
            </w:pPr>
            <w:r>
              <w:rPr>
                <w:rFonts w:hint="eastAsia"/>
                <w:b/>
                <w:color w:val="auto"/>
                <w:highlight w:val="none"/>
              </w:rPr>
              <w:t>序号</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674F267B">
            <w:pPr>
              <w:keepNext w:val="0"/>
              <w:keepLines w:val="0"/>
              <w:suppressLineNumbers w:val="0"/>
              <w:shd w:val="clear"/>
              <w:spacing w:before="0" w:beforeAutospacing="0" w:after="0" w:afterAutospacing="0"/>
              <w:ind w:left="0" w:right="0"/>
              <w:jc w:val="center"/>
              <w:rPr>
                <w:rFonts w:hint="default"/>
                <w:b/>
                <w:color w:val="auto"/>
                <w:highlight w:val="none"/>
              </w:rPr>
            </w:pPr>
            <w:r>
              <w:rPr>
                <w:rFonts w:hint="eastAsia"/>
                <w:b/>
                <w:color w:val="auto"/>
                <w:highlight w:val="none"/>
              </w:rPr>
              <w:t>项目内容</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79C63C7">
            <w:pPr>
              <w:keepNext w:val="0"/>
              <w:keepLines w:val="0"/>
              <w:suppressLineNumbers w:val="0"/>
              <w:shd w:val="clear"/>
              <w:spacing w:before="0" w:beforeAutospacing="0" w:after="0" w:afterAutospacing="0"/>
              <w:ind w:left="0" w:right="0"/>
              <w:jc w:val="center"/>
              <w:rPr>
                <w:rFonts w:hint="default"/>
                <w:b/>
                <w:color w:val="auto"/>
                <w:highlight w:val="none"/>
              </w:rPr>
            </w:pPr>
            <w:r>
              <w:rPr>
                <w:rFonts w:hint="eastAsia"/>
                <w:b/>
                <w:color w:val="auto"/>
                <w:highlight w:val="none"/>
                <w:lang w:val="en-US" w:eastAsia="zh-CN"/>
              </w:rPr>
              <w:t>招标</w:t>
            </w:r>
            <w:r>
              <w:rPr>
                <w:rFonts w:hint="eastAsia"/>
                <w:b/>
                <w:color w:val="auto"/>
                <w:highlight w:val="none"/>
              </w:rPr>
              <w:t>文件章节及具体内容</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4195577">
            <w:pPr>
              <w:keepNext w:val="0"/>
              <w:keepLines w:val="0"/>
              <w:suppressLineNumbers w:val="0"/>
              <w:shd w:val="clear"/>
              <w:spacing w:before="0" w:beforeAutospacing="0" w:after="0" w:afterAutospacing="0"/>
              <w:ind w:left="0" w:right="0"/>
              <w:jc w:val="center"/>
              <w:rPr>
                <w:rFonts w:hint="default"/>
                <w:b/>
                <w:color w:val="auto"/>
                <w:highlight w:val="none"/>
              </w:rPr>
            </w:pPr>
            <w:r>
              <w:rPr>
                <w:rFonts w:hint="eastAsia"/>
                <w:b/>
                <w:color w:val="auto"/>
                <w:highlight w:val="none"/>
              </w:rPr>
              <w:t>投标文件章节及具体内容</w:t>
            </w:r>
          </w:p>
        </w:tc>
        <w:tc>
          <w:tcPr>
            <w:tcW w:w="1773" w:type="dxa"/>
            <w:tcBorders>
              <w:top w:val="single" w:color="auto" w:sz="4" w:space="0"/>
              <w:left w:val="single" w:color="auto" w:sz="4" w:space="0"/>
              <w:bottom w:val="single" w:color="auto" w:sz="4" w:space="0"/>
              <w:right w:val="single" w:color="auto" w:sz="4" w:space="0"/>
            </w:tcBorders>
            <w:noWrap w:val="0"/>
            <w:vAlign w:val="center"/>
          </w:tcPr>
          <w:p w14:paraId="24B1A548">
            <w:pPr>
              <w:keepNext w:val="0"/>
              <w:keepLines w:val="0"/>
              <w:suppressLineNumbers w:val="0"/>
              <w:shd w:val="clear"/>
              <w:spacing w:before="0" w:beforeAutospacing="0" w:after="0" w:afterAutospacing="0"/>
              <w:ind w:left="0" w:right="0"/>
              <w:jc w:val="center"/>
              <w:rPr>
                <w:rFonts w:hint="default"/>
                <w:b/>
                <w:color w:val="auto"/>
                <w:highlight w:val="none"/>
              </w:rPr>
            </w:pPr>
            <w:r>
              <w:rPr>
                <w:rFonts w:hint="eastAsia"/>
                <w:b/>
                <w:color w:val="auto"/>
                <w:highlight w:val="none"/>
              </w:rPr>
              <w:t>偏离情况</w:t>
            </w:r>
          </w:p>
        </w:tc>
      </w:tr>
      <w:tr w14:paraId="2F57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127" w:type="dxa"/>
            <w:vMerge w:val="restart"/>
            <w:tcBorders>
              <w:top w:val="single" w:color="auto" w:sz="4" w:space="0"/>
              <w:left w:val="single" w:color="auto" w:sz="4" w:space="0"/>
              <w:right w:val="single" w:color="auto" w:sz="4" w:space="0"/>
            </w:tcBorders>
            <w:noWrap w:val="0"/>
            <w:vAlign w:val="center"/>
          </w:tcPr>
          <w:p w14:paraId="4C602A7E">
            <w:pPr>
              <w:keepNext w:val="0"/>
              <w:keepLines w:val="0"/>
              <w:suppressLineNumbers w:val="0"/>
              <w:shd w:val="clear"/>
              <w:spacing w:before="0" w:beforeAutospacing="0" w:after="0" w:afterAutospacing="0"/>
              <w:ind w:left="0" w:right="0"/>
              <w:jc w:val="center"/>
              <w:rPr>
                <w:rFonts w:hint="eastAsia"/>
                <w:color w:val="auto"/>
                <w:highlight w:val="none"/>
              </w:rPr>
            </w:pPr>
            <w:r>
              <w:rPr>
                <w:rFonts w:hint="eastAsia"/>
                <w:color w:val="auto"/>
                <w:highlight w:val="none"/>
              </w:rPr>
              <w:t>带“★”的重要技术参数</w:t>
            </w:r>
          </w:p>
          <w:p w14:paraId="16CFDAB5">
            <w:pPr>
              <w:keepNext w:val="0"/>
              <w:keepLines w:val="0"/>
              <w:suppressLineNumbers w:val="0"/>
              <w:shd w:val="clear"/>
              <w:spacing w:before="0" w:beforeAutospacing="0" w:after="0" w:afterAutospacing="0"/>
              <w:ind w:left="0" w:right="0"/>
              <w:jc w:val="center"/>
              <w:rPr>
                <w:rFonts w:hint="default"/>
                <w:b/>
                <w:color w:val="auto"/>
                <w:highlight w:val="none"/>
              </w:rPr>
            </w:pPr>
            <w:r>
              <w:rPr>
                <w:rFonts w:hint="eastAsia"/>
                <w:b/>
                <w:color w:val="auto"/>
                <w:highlight w:val="none"/>
              </w:rPr>
              <w:t>（要求针对“</w:t>
            </w:r>
            <w:r>
              <w:rPr>
                <w:rFonts w:hint="eastAsia"/>
                <w:b/>
                <w:color w:val="auto"/>
                <w:highlight w:val="none"/>
                <w:lang w:val="en-US" w:eastAsia="zh-CN"/>
              </w:rPr>
              <w:t>采购清单</w:t>
            </w:r>
            <w:r>
              <w:rPr>
                <w:rFonts w:hint="eastAsia"/>
                <w:b/>
                <w:color w:val="auto"/>
                <w:highlight w:val="none"/>
              </w:rPr>
              <w:t>”中所有带“★”参数进行逐条响应）</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53C86882">
            <w:pPr>
              <w:keepNext w:val="0"/>
              <w:keepLines w:val="0"/>
              <w:suppressLineNumbers w:val="0"/>
              <w:shd w:val="clear"/>
              <w:spacing w:before="0" w:beforeAutospacing="0" w:after="0" w:afterAutospacing="0"/>
              <w:ind w:left="0" w:right="0"/>
              <w:jc w:val="center"/>
              <w:rPr>
                <w:rFonts w:hint="default"/>
                <w:color w:val="auto"/>
                <w:highlight w:val="none"/>
              </w:rPr>
            </w:pPr>
            <w:r>
              <w:rPr>
                <w:rFonts w:hint="default"/>
                <w:color w:val="auto"/>
                <w:highlight w:val="none"/>
              </w:rPr>
              <w:t>1</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6F70D70D">
            <w:pPr>
              <w:keepNext w:val="0"/>
              <w:keepLines w:val="0"/>
              <w:suppressLineNumbers w:val="0"/>
              <w:shd w:val="clear"/>
              <w:spacing w:before="0" w:beforeAutospacing="0" w:after="0" w:afterAutospacing="0"/>
              <w:ind w:left="0" w:right="0"/>
              <w:jc w:val="center"/>
              <w:rPr>
                <w:rFonts w:hint="default"/>
                <w:color w:val="auto"/>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059DAE0">
            <w:pPr>
              <w:keepNext w:val="0"/>
              <w:keepLines w:val="0"/>
              <w:suppressLineNumbers w:val="0"/>
              <w:shd w:val="clear"/>
              <w:spacing w:before="0" w:beforeAutospacing="0" w:after="0" w:afterAutospacing="0"/>
              <w:ind w:left="0" w:right="0"/>
              <w:jc w:val="center"/>
              <w:rPr>
                <w:rFonts w:hint="default"/>
                <w:color w:val="auto"/>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E6A8BEE">
            <w:pPr>
              <w:keepNext w:val="0"/>
              <w:keepLines w:val="0"/>
              <w:suppressLineNumbers w:val="0"/>
              <w:shd w:val="clear"/>
              <w:spacing w:before="0" w:beforeAutospacing="0" w:after="0" w:afterAutospacing="0"/>
              <w:ind w:left="0" w:right="0"/>
              <w:jc w:val="center"/>
              <w:rPr>
                <w:rFonts w:hint="default"/>
                <w:color w:val="auto"/>
                <w:highlight w:val="none"/>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7FA63279">
            <w:pPr>
              <w:keepNext w:val="0"/>
              <w:keepLines w:val="0"/>
              <w:suppressLineNumbers w:val="0"/>
              <w:shd w:val="clear"/>
              <w:spacing w:before="0" w:beforeAutospacing="0" w:after="0" w:afterAutospacing="0"/>
              <w:ind w:left="0" w:right="0"/>
              <w:jc w:val="center"/>
              <w:rPr>
                <w:rFonts w:hint="default"/>
                <w:color w:val="auto"/>
                <w:highlight w:val="none"/>
              </w:rPr>
            </w:pPr>
          </w:p>
        </w:tc>
      </w:tr>
      <w:tr w14:paraId="504B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127" w:type="dxa"/>
            <w:vMerge w:val="continue"/>
            <w:tcBorders>
              <w:left w:val="single" w:color="auto" w:sz="4" w:space="0"/>
              <w:right w:val="single" w:color="auto" w:sz="4" w:space="0"/>
            </w:tcBorders>
            <w:noWrap w:val="0"/>
            <w:vAlign w:val="top"/>
          </w:tcPr>
          <w:p w14:paraId="12C3F565">
            <w:pPr>
              <w:keepNext w:val="0"/>
              <w:keepLines w:val="0"/>
              <w:suppressLineNumbers w:val="0"/>
              <w:shd w:val="clear"/>
              <w:spacing w:before="0" w:beforeAutospacing="0" w:after="0" w:afterAutospacing="0"/>
              <w:ind w:left="0" w:right="0"/>
              <w:jc w:val="center"/>
              <w:rPr>
                <w:rFonts w:hint="default"/>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0B147175">
            <w:pPr>
              <w:keepNext w:val="0"/>
              <w:keepLines w:val="0"/>
              <w:suppressLineNumbers w:val="0"/>
              <w:shd w:val="clear"/>
              <w:spacing w:before="0" w:beforeAutospacing="0" w:after="0" w:afterAutospacing="0"/>
              <w:ind w:left="0" w:right="0"/>
              <w:jc w:val="center"/>
              <w:rPr>
                <w:rFonts w:hint="default"/>
                <w:color w:val="auto"/>
                <w:highlight w:val="none"/>
              </w:rPr>
            </w:pPr>
            <w:r>
              <w:rPr>
                <w:rFonts w:hint="default"/>
                <w:color w:val="auto"/>
                <w:highlight w:val="none"/>
              </w:rPr>
              <w:t>2</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2070F4B">
            <w:pPr>
              <w:keepNext w:val="0"/>
              <w:keepLines w:val="0"/>
              <w:suppressLineNumbers w:val="0"/>
              <w:shd w:val="clear"/>
              <w:spacing w:before="0" w:beforeAutospacing="0" w:after="0" w:afterAutospacing="0"/>
              <w:ind w:left="0" w:right="0"/>
              <w:jc w:val="center"/>
              <w:rPr>
                <w:rFonts w:hint="default"/>
                <w:color w:val="auto"/>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5273117">
            <w:pPr>
              <w:keepNext w:val="0"/>
              <w:keepLines w:val="0"/>
              <w:suppressLineNumbers w:val="0"/>
              <w:shd w:val="clear"/>
              <w:spacing w:before="0" w:beforeAutospacing="0" w:after="0" w:afterAutospacing="0"/>
              <w:ind w:left="0" w:right="0"/>
              <w:jc w:val="center"/>
              <w:rPr>
                <w:rFonts w:hint="default"/>
                <w:color w:val="auto"/>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993BDE6">
            <w:pPr>
              <w:keepNext w:val="0"/>
              <w:keepLines w:val="0"/>
              <w:suppressLineNumbers w:val="0"/>
              <w:shd w:val="clear"/>
              <w:spacing w:before="0" w:beforeAutospacing="0" w:after="0" w:afterAutospacing="0"/>
              <w:ind w:left="0" w:right="0"/>
              <w:jc w:val="center"/>
              <w:rPr>
                <w:rFonts w:hint="default"/>
                <w:color w:val="auto"/>
                <w:highlight w:val="none"/>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3306C087">
            <w:pPr>
              <w:keepNext w:val="0"/>
              <w:keepLines w:val="0"/>
              <w:suppressLineNumbers w:val="0"/>
              <w:shd w:val="clear"/>
              <w:spacing w:before="0" w:beforeAutospacing="0" w:after="0" w:afterAutospacing="0"/>
              <w:ind w:left="0" w:right="0"/>
              <w:jc w:val="center"/>
              <w:rPr>
                <w:rFonts w:hint="default"/>
                <w:color w:val="auto"/>
                <w:highlight w:val="none"/>
              </w:rPr>
            </w:pPr>
          </w:p>
        </w:tc>
      </w:tr>
      <w:tr w14:paraId="23BA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127" w:type="dxa"/>
            <w:vMerge w:val="continue"/>
            <w:tcBorders>
              <w:left w:val="single" w:color="auto" w:sz="4" w:space="0"/>
              <w:bottom w:val="single" w:color="auto" w:sz="4" w:space="0"/>
              <w:right w:val="single" w:color="auto" w:sz="4" w:space="0"/>
            </w:tcBorders>
            <w:noWrap w:val="0"/>
            <w:vAlign w:val="top"/>
          </w:tcPr>
          <w:p w14:paraId="559F1F2C">
            <w:pPr>
              <w:keepNext w:val="0"/>
              <w:keepLines w:val="0"/>
              <w:suppressLineNumbers w:val="0"/>
              <w:shd w:val="clear"/>
              <w:spacing w:before="0" w:beforeAutospacing="0" w:after="0" w:afterAutospacing="0"/>
              <w:ind w:left="0" w:right="0"/>
              <w:jc w:val="center"/>
              <w:rPr>
                <w:rFonts w:hint="default"/>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2959491F">
            <w:pPr>
              <w:keepNext w:val="0"/>
              <w:keepLines w:val="0"/>
              <w:suppressLineNumbers w:val="0"/>
              <w:shd w:val="clear"/>
              <w:spacing w:before="0" w:beforeAutospacing="0" w:after="0" w:afterAutospacing="0"/>
              <w:ind w:left="0" w:right="0"/>
              <w:rPr>
                <w:rFonts w:hint="default"/>
                <w:color w:val="auto"/>
                <w:highlight w:val="none"/>
              </w:rPr>
            </w:pPr>
            <w:r>
              <w:rPr>
                <w:rFonts w:hint="eastAsia"/>
                <w:color w:val="auto"/>
                <w:highlight w:val="none"/>
              </w:rPr>
              <w:t>···</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559276B">
            <w:pPr>
              <w:keepNext w:val="0"/>
              <w:keepLines w:val="0"/>
              <w:suppressLineNumbers w:val="0"/>
              <w:shd w:val="clear"/>
              <w:spacing w:before="0" w:beforeAutospacing="0" w:after="0" w:afterAutospacing="0"/>
              <w:ind w:left="0" w:right="0"/>
              <w:jc w:val="center"/>
              <w:rPr>
                <w:rFonts w:hint="default"/>
                <w:color w:val="auto"/>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43BAE89E">
            <w:pPr>
              <w:keepNext w:val="0"/>
              <w:keepLines w:val="0"/>
              <w:suppressLineNumbers w:val="0"/>
              <w:shd w:val="clear"/>
              <w:spacing w:before="0" w:beforeAutospacing="0" w:after="0" w:afterAutospacing="0"/>
              <w:ind w:left="0" w:right="0"/>
              <w:jc w:val="center"/>
              <w:rPr>
                <w:rFonts w:hint="default"/>
                <w:color w:val="auto"/>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6D571E5D">
            <w:pPr>
              <w:keepNext w:val="0"/>
              <w:keepLines w:val="0"/>
              <w:suppressLineNumbers w:val="0"/>
              <w:shd w:val="clear"/>
              <w:spacing w:before="0" w:beforeAutospacing="0" w:after="0" w:afterAutospacing="0"/>
              <w:ind w:left="0" w:right="0"/>
              <w:jc w:val="center"/>
              <w:rPr>
                <w:rFonts w:hint="default"/>
                <w:color w:val="auto"/>
                <w:highlight w:val="none"/>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1881DAC5">
            <w:pPr>
              <w:keepNext w:val="0"/>
              <w:keepLines w:val="0"/>
              <w:suppressLineNumbers w:val="0"/>
              <w:shd w:val="clear"/>
              <w:spacing w:before="0" w:beforeAutospacing="0" w:after="0" w:afterAutospacing="0"/>
              <w:ind w:left="0" w:right="0"/>
              <w:jc w:val="center"/>
              <w:rPr>
                <w:rFonts w:hint="default"/>
                <w:color w:val="auto"/>
                <w:highlight w:val="none"/>
              </w:rPr>
            </w:pPr>
          </w:p>
        </w:tc>
      </w:tr>
      <w:tr w14:paraId="2EBA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127" w:type="dxa"/>
            <w:vMerge w:val="restart"/>
            <w:tcBorders>
              <w:top w:val="single" w:color="auto" w:sz="4" w:space="0"/>
              <w:left w:val="single" w:color="auto" w:sz="4" w:space="0"/>
              <w:right w:val="single" w:color="auto" w:sz="4" w:space="0"/>
            </w:tcBorders>
            <w:noWrap w:val="0"/>
            <w:vAlign w:val="center"/>
          </w:tcPr>
          <w:p w14:paraId="70605A2A">
            <w:pPr>
              <w:keepNext w:val="0"/>
              <w:keepLines w:val="0"/>
              <w:suppressLineNumbers w:val="0"/>
              <w:shd w:val="clear"/>
              <w:spacing w:before="0" w:beforeAutospacing="0" w:after="0" w:afterAutospacing="0"/>
              <w:ind w:left="0" w:right="0"/>
              <w:jc w:val="center"/>
              <w:rPr>
                <w:rFonts w:hint="eastAsia"/>
                <w:color w:val="auto"/>
                <w:highlight w:val="none"/>
              </w:rPr>
            </w:pPr>
            <w:r>
              <w:rPr>
                <w:rFonts w:hint="eastAsia"/>
                <w:color w:val="auto"/>
                <w:highlight w:val="none"/>
                <w:lang w:val="en-US" w:eastAsia="zh-CN"/>
              </w:rPr>
              <w:t>招标</w:t>
            </w:r>
            <w:r>
              <w:rPr>
                <w:rFonts w:hint="eastAsia"/>
                <w:color w:val="auto"/>
                <w:highlight w:val="none"/>
              </w:rPr>
              <w:t>文件中其他商务技术参数</w:t>
            </w:r>
          </w:p>
          <w:p w14:paraId="7BF92D16">
            <w:pPr>
              <w:keepNext w:val="0"/>
              <w:keepLines w:val="0"/>
              <w:suppressLineNumbers w:val="0"/>
              <w:shd w:val="clear"/>
              <w:spacing w:before="0" w:beforeAutospacing="0" w:after="0" w:afterAutospacing="0"/>
              <w:ind w:left="0" w:right="0"/>
              <w:jc w:val="center"/>
              <w:rPr>
                <w:rFonts w:hint="eastAsia"/>
                <w:color w:val="auto"/>
                <w:highlight w:val="none"/>
              </w:rPr>
            </w:pPr>
            <w:r>
              <w:rPr>
                <w:rFonts w:hint="eastAsia"/>
                <w:b/>
                <w:color w:val="auto"/>
                <w:highlight w:val="none"/>
              </w:rPr>
              <w:t>（</w:t>
            </w:r>
            <w:r>
              <w:rPr>
                <w:rFonts w:hint="eastAsia"/>
                <w:b/>
                <w:color w:val="auto"/>
                <w:highlight w:val="none"/>
                <w:lang w:val="en-US" w:eastAsia="zh-CN"/>
              </w:rPr>
              <w:t>投标人</w:t>
            </w:r>
            <w:r>
              <w:rPr>
                <w:rFonts w:hint="eastAsia"/>
                <w:b/>
                <w:color w:val="auto"/>
                <w:highlight w:val="none"/>
              </w:rPr>
              <w:t>仅需针对偏离参数进行响应）</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28342273">
            <w:pPr>
              <w:keepNext w:val="0"/>
              <w:keepLines w:val="0"/>
              <w:suppressLineNumbers w:val="0"/>
              <w:shd w:val="clear"/>
              <w:spacing w:before="0" w:beforeAutospacing="0" w:after="0" w:afterAutospacing="0"/>
              <w:ind w:left="0" w:right="0"/>
              <w:jc w:val="center"/>
              <w:rPr>
                <w:rFonts w:hint="eastAsia"/>
                <w:color w:val="auto"/>
                <w:highlight w:val="none"/>
              </w:rPr>
            </w:pPr>
            <w:r>
              <w:rPr>
                <w:rFonts w:hint="default"/>
                <w:color w:val="auto"/>
                <w:highlight w:val="none"/>
              </w:rPr>
              <w:t>1</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75731E2">
            <w:pPr>
              <w:keepNext w:val="0"/>
              <w:keepLines w:val="0"/>
              <w:suppressLineNumbers w:val="0"/>
              <w:shd w:val="clear"/>
              <w:spacing w:before="0" w:beforeAutospacing="0" w:after="0" w:afterAutospacing="0"/>
              <w:ind w:left="0" w:right="0"/>
              <w:jc w:val="center"/>
              <w:rPr>
                <w:rFonts w:hint="default"/>
                <w:color w:val="auto"/>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D2A9F15">
            <w:pPr>
              <w:keepNext w:val="0"/>
              <w:keepLines w:val="0"/>
              <w:suppressLineNumbers w:val="0"/>
              <w:shd w:val="clear"/>
              <w:spacing w:before="0" w:beforeAutospacing="0" w:after="0" w:afterAutospacing="0"/>
              <w:ind w:left="0" w:right="0"/>
              <w:jc w:val="center"/>
              <w:rPr>
                <w:rFonts w:hint="default"/>
                <w:color w:val="auto"/>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454F484">
            <w:pPr>
              <w:keepNext w:val="0"/>
              <w:keepLines w:val="0"/>
              <w:suppressLineNumbers w:val="0"/>
              <w:shd w:val="clear"/>
              <w:spacing w:before="0" w:beforeAutospacing="0" w:after="0" w:afterAutospacing="0"/>
              <w:ind w:left="0" w:right="0"/>
              <w:jc w:val="center"/>
              <w:rPr>
                <w:rFonts w:hint="default"/>
                <w:color w:val="auto"/>
                <w:highlight w:val="none"/>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632D7CB3">
            <w:pPr>
              <w:keepNext w:val="0"/>
              <w:keepLines w:val="0"/>
              <w:suppressLineNumbers w:val="0"/>
              <w:shd w:val="clear"/>
              <w:spacing w:before="0" w:beforeAutospacing="0" w:after="0" w:afterAutospacing="0"/>
              <w:ind w:left="0" w:right="0"/>
              <w:jc w:val="center"/>
              <w:rPr>
                <w:rFonts w:hint="default"/>
                <w:color w:val="auto"/>
                <w:highlight w:val="none"/>
              </w:rPr>
            </w:pPr>
          </w:p>
        </w:tc>
      </w:tr>
      <w:tr w14:paraId="2B16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127" w:type="dxa"/>
            <w:vMerge w:val="continue"/>
            <w:tcBorders>
              <w:top w:val="single" w:color="auto" w:sz="4" w:space="0"/>
              <w:left w:val="single" w:color="auto" w:sz="4" w:space="0"/>
              <w:right w:val="single" w:color="auto" w:sz="4" w:space="0"/>
            </w:tcBorders>
            <w:noWrap w:val="0"/>
            <w:vAlign w:val="top"/>
          </w:tcPr>
          <w:p w14:paraId="1B635282">
            <w:pPr>
              <w:keepNext w:val="0"/>
              <w:keepLines w:val="0"/>
              <w:suppressLineNumbers w:val="0"/>
              <w:shd w:val="clear"/>
              <w:spacing w:before="0" w:beforeAutospacing="0" w:after="0" w:afterAutospacing="0"/>
              <w:ind w:left="0" w:right="0"/>
              <w:jc w:val="center"/>
              <w:rPr>
                <w:rFonts w:hint="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5EC08287">
            <w:pPr>
              <w:keepNext w:val="0"/>
              <w:keepLines w:val="0"/>
              <w:suppressLineNumbers w:val="0"/>
              <w:shd w:val="clear"/>
              <w:spacing w:before="0" w:beforeAutospacing="0" w:after="0" w:afterAutospacing="0"/>
              <w:ind w:left="0" w:right="0"/>
              <w:jc w:val="center"/>
              <w:rPr>
                <w:rFonts w:hint="default"/>
                <w:color w:val="auto"/>
                <w:highlight w:val="none"/>
              </w:rPr>
            </w:pPr>
            <w:r>
              <w:rPr>
                <w:rFonts w:hint="eastAsia"/>
                <w:color w:val="auto"/>
                <w:highlight w:val="none"/>
              </w:rPr>
              <w:t>2</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5775962">
            <w:pPr>
              <w:keepNext w:val="0"/>
              <w:keepLines w:val="0"/>
              <w:suppressLineNumbers w:val="0"/>
              <w:shd w:val="clear"/>
              <w:spacing w:before="0" w:beforeAutospacing="0" w:after="0" w:afterAutospacing="0"/>
              <w:ind w:left="0" w:right="0"/>
              <w:jc w:val="center"/>
              <w:rPr>
                <w:rFonts w:hint="default"/>
                <w:color w:val="auto"/>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0A191D8B">
            <w:pPr>
              <w:keepNext w:val="0"/>
              <w:keepLines w:val="0"/>
              <w:suppressLineNumbers w:val="0"/>
              <w:shd w:val="clear"/>
              <w:spacing w:before="0" w:beforeAutospacing="0" w:after="0" w:afterAutospacing="0"/>
              <w:ind w:left="0" w:right="0"/>
              <w:jc w:val="center"/>
              <w:rPr>
                <w:rFonts w:hint="default"/>
                <w:color w:val="auto"/>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A7AC5DF">
            <w:pPr>
              <w:keepNext w:val="0"/>
              <w:keepLines w:val="0"/>
              <w:suppressLineNumbers w:val="0"/>
              <w:shd w:val="clear"/>
              <w:spacing w:before="0" w:beforeAutospacing="0" w:after="0" w:afterAutospacing="0"/>
              <w:ind w:left="0" w:right="0"/>
              <w:jc w:val="center"/>
              <w:rPr>
                <w:rFonts w:hint="default"/>
                <w:color w:val="auto"/>
                <w:highlight w:val="none"/>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2DA8DCB4">
            <w:pPr>
              <w:keepNext w:val="0"/>
              <w:keepLines w:val="0"/>
              <w:suppressLineNumbers w:val="0"/>
              <w:shd w:val="clear"/>
              <w:spacing w:before="0" w:beforeAutospacing="0" w:after="0" w:afterAutospacing="0"/>
              <w:ind w:left="0" w:right="0"/>
              <w:jc w:val="center"/>
              <w:rPr>
                <w:rFonts w:hint="default"/>
                <w:color w:val="auto"/>
                <w:highlight w:val="none"/>
              </w:rPr>
            </w:pPr>
          </w:p>
        </w:tc>
      </w:tr>
      <w:tr w14:paraId="1176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127" w:type="dxa"/>
            <w:vMerge w:val="continue"/>
            <w:tcBorders>
              <w:left w:val="single" w:color="auto" w:sz="4" w:space="0"/>
              <w:bottom w:val="single" w:color="auto" w:sz="4" w:space="0"/>
              <w:right w:val="single" w:color="auto" w:sz="4" w:space="0"/>
            </w:tcBorders>
            <w:noWrap w:val="0"/>
            <w:vAlign w:val="top"/>
          </w:tcPr>
          <w:p w14:paraId="2003907D">
            <w:pPr>
              <w:keepNext w:val="0"/>
              <w:keepLines w:val="0"/>
              <w:suppressLineNumbers w:val="0"/>
              <w:shd w:val="clear"/>
              <w:spacing w:before="0" w:beforeAutospacing="0" w:after="0" w:afterAutospacing="0"/>
              <w:ind w:left="0" w:right="0"/>
              <w:jc w:val="center"/>
              <w:rPr>
                <w:rFonts w:hint="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17DA0E0A">
            <w:pPr>
              <w:keepNext w:val="0"/>
              <w:keepLines w:val="0"/>
              <w:suppressLineNumbers w:val="0"/>
              <w:shd w:val="clear"/>
              <w:spacing w:before="0" w:beforeAutospacing="0" w:after="0" w:afterAutospacing="0"/>
              <w:ind w:left="0" w:right="0"/>
              <w:jc w:val="center"/>
              <w:rPr>
                <w:rFonts w:hint="default"/>
                <w:color w:val="auto"/>
                <w:highlight w:val="none"/>
              </w:rPr>
            </w:pPr>
            <w:r>
              <w:rPr>
                <w:rFonts w:hint="eastAsia"/>
                <w:color w:val="auto"/>
                <w:highlight w:val="none"/>
              </w:rPr>
              <w:t>···</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2931366">
            <w:pPr>
              <w:keepNext w:val="0"/>
              <w:keepLines w:val="0"/>
              <w:suppressLineNumbers w:val="0"/>
              <w:shd w:val="clear"/>
              <w:spacing w:before="0" w:beforeAutospacing="0" w:after="0" w:afterAutospacing="0"/>
              <w:ind w:left="0" w:right="0"/>
              <w:jc w:val="center"/>
              <w:rPr>
                <w:rFonts w:hint="default"/>
                <w:color w:val="auto"/>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70C1468">
            <w:pPr>
              <w:keepNext w:val="0"/>
              <w:keepLines w:val="0"/>
              <w:suppressLineNumbers w:val="0"/>
              <w:shd w:val="clear"/>
              <w:spacing w:before="0" w:beforeAutospacing="0" w:after="0" w:afterAutospacing="0"/>
              <w:ind w:left="0" w:right="0"/>
              <w:jc w:val="center"/>
              <w:rPr>
                <w:rFonts w:hint="default"/>
                <w:color w:val="auto"/>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9950102">
            <w:pPr>
              <w:keepNext w:val="0"/>
              <w:keepLines w:val="0"/>
              <w:suppressLineNumbers w:val="0"/>
              <w:shd w:val="clear"/>
              <w:spacing w:before="0" w:beforeAutospacing="0" w:after="0" w:afterAutospacing="0"/>
              <w:ind w:left="0" w:right="0"/>
              <w:jc w:val="center"/>
              <w:rPr>
                <w:rFonts w:hint="default"/>
                <w:color w:val="auto"/>
                <w:highlight w:val="none"/>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26E08D7A">
            <w:pPr>
              <w:keepNext w:val="0"/>
              <w:keepLines w:val="0"/>
              <w:suppressLineNumbers w:val="0"/>
              <w:shd w:val="clear"/>
              <w:spacing w:before="0" w:beforeAutospacing="0" w:after="0" w:afterAutospacing="0"/>
              <w:ind w:left="0" w:right="0"/>
              <w:jc w:val="center"/>
              <w:rPr>
                <w:rFonts w:hint="default"/>
                <w:color w:val="auto"/>
                <w:highlight w:val="none"/>
              </w:rPr>
            </w:pPr>
          </w:p>
        </w:tc>
      </w:tr>
    </w:tbl>
    <w:p w14:paraId="5675B7F6">
      <w:pPr>
        <w:pStyle w:val="144"/>
        <w:shd w:val="clear"/>
        <w:rPr>
          <w:rFonts w:hint="eastAsia" w:hAnsi="宋体" w:eastAsia="宋体" w:cs="宋体"/>
          <w:b/>
          <w:color w:val="auto"/>
          <w:kern w:val="0"/>
          <w:sz w:val="21"/>
          <w:szCs w:val="21"/>
          <w:highlight w:val="none"/>
          <w:lang w:bidi="ar"/>
        </w:rPr>
      </w:pPr>
      <w:r>
        <w:rPr>
          <w:rFonts w:hint="eastAsia" w:hAnsi="宋体" w:eastAsia="宋体" w:cs="宋体"/>
          <w:b/>
          <w:color w:val="auto"/>
          <w:kern w:val="0"/>
          <w:sz w:val="21"/>
          <w:szCs w:val="21"/>
          <w:highlight w:val="none"/>
          <w:lang w:bidi="ar"/>
        </w:rPr>
        <w:t>注：</w:t>
      </w:r>
    </w:p>
    <w:p w14:paraId="3BF813D9">
      <w:pPr>
        <w:pStyle w:val="144"/>
        <w:numPr>
          <w:ilvl w:val="0"/>
          <w:numId w:val="57"/>
        </w:numPr>
        <w:shd w:val="clear"/>
        <w:rPr>
          <w:rFonts w:hAnsi="宋体" w:eastAsia="宋体" w:cs="宋体"/>
          <w:color w:val="auto"/>
          <w:kern w:val="0"/>
          <w:sz w:val="21"/>
          <w:szCs w:val="21"/>
          <w:highlight w:val="none"/>
          <w:lang w:bidi="ar"/>
        </w:rPr>
      </w:pPr>
      <w:r>
        <w:rPr>
          <w:rFonts w:hint="eastAsia" w:hAnsi="宋体" w:eastAsia="宋体" w:cs="宋体"/>
          <w:color w:val="auto"/>
          <w:kern w:val="0"/>
          <w:sz w:val="21"/>
          <w:szCs w:val="21"/>
          <w:highlight w:val="none"/>
          <w:lang w:bidi="ar"/>
        </w:rPr>
        <w:t>本表可在不改变格式的情况下根据具体需要自行增减。</w:t>
      </w:r>
    </w:p>
    <w:p w14:paraId="1E70717B">
      <w:pPr>
        <w:pStyle w:val="144"/>
        <w:numPr>
          <w:ilvl w:val="0"/>
          <w:numId w:val="57"/>
        </w:numPr>
        <w:shd w:val="clear"/>
        <w:rPr>
          <w:rFonts w:hAnsi="宋体" w:eastAsia="宋体" w:cs="宋体"/>
          <w:color w:val="auto"/>
          <w:kern w:val="0"/>
          <w:sz w:val="21"/>
          <w:szCs w:val="21"/>
          <w:highlight w:val="none"/>
          <w:lang w:bidi="ar"/>
        </w:rPr>
      </w:pPr>
      <w:r>
        <w:rPr>
          <w:rFonts w:hint="eastAsia" w:hAnsi="宋体" w:eastAsia="宋体" w:cs="宋体"/>
          <w:color w:val="auto"/>
          <w:kern w:val="0"/>
          <w:sz w:val="21"/>
          <w:szCs w:val="21"/>
          <w:highlight w:val="none"/>
          <w:lang w:bidi="ar"/>
        </w:rPr>
        <w:t>供应商保证：除商务技术偏离表列出的偏离外，供应商响应招标文件的全部要求（未在此表列出的内容视为完全响应）。</w:t>
      </w:r>
    </w:p>
    <w:p w14:paraId="13D3D709">
      <w:pPr>
        <w:pStyle w:val="144"/>
        <w:numPr>
          <w:ilvl w:val="0"/>
          <w:numId w:val="57"/>
        </w:numPr>
        <w:shd w:val="clear"/>
        <w:rPr>
          <w:rFonts w:hint="eastAsia" w:hAnsi="宋体" w:eastAsia="宋体" w:cs="宋体"/>
          <w:color w:val="auto"/>
          <w:kern w:val="0"/>
          <w:sz w:val="21"/>
          <w:szCs w:val="21"/>
          <w:highlight w:val="none"/>
          <w:lang w:bidi="ar"/>
        </w:rPr>
      </w:pPr>
      <w:r>
        <w:rPr>
          <w:rFonts w:hint="eastAsia" w:hAnsi="宋体" w:eastAsia="宋体" w:cs="宋体"/>
          <w:color w:val="auto"/>
          <w:kern w:val="0"/>
          <w:sz w:val="21"/>
          <w:szCs w:val="21"/>
          <w:highlight w:val="none"/>
          <w:lang w:bidi="ar"/>
        </w:rPr>
        <w:t>投标产品符合度得分以本表为准，带“★”的重要技术参数须按第三章招标需求在本表后附相关证明材料，未提供的视为负偏离。</w:t>
      </w:r>
    </w:p>
    <w:p w14:paraId="6A6E665D">
      <w:pPr>
        <w:shd w:val="clear"/>
        <w:rPr>
          <w:color w:val="auto"/>
          <w:highlight w:val="none"/>
        </w:rPr>
      </w:pPr>
    </w:p>
    <w:p w14:paraId="5447F845">
      <w:pPr>
        <w:pageBreakBefore w:val="0"/>
        <w:shd w:val="clear"/>
        <w:kinsoku/>
        <w:wordWrap w:val="0"/>
        <w:overflowPunct/>
        <w:topLinePunct w:val="0"/>
        <w:bidi w:val="0"/>
        <w:rPr>
          <w:rFonts w:hAnsi="宋体"/>
          <w:b/>
          <w:color w:val="auto"/>
          <w:highlight w:val="none"/>
        </w:rPr>
      </w:pPr>
    </w:p>
    <w:p w14:paraId="53452E92">
      <w:pPr>
        <w:pageBreakBefore w:val="0"/>
        <w:shd w:val="clear"/>
        <w:kinsoku/>
        <w:wordWrap w:val="0"/>
        <w:overflowPunct/>
        <w:topLinePunct w:val="0"/>
        <w:bidi w:val="0"/>
        <w:rPr>
          <w:rFonts w:hint="eastAsia" w:hAnsi="宋体"/>
          <w:b/>
          <w:color w:val="auto"/>
          <w:highlight w:val="none"/>
        </w:rPr>
      </w:pPr>
    </w:p>
    <w:p w14:paraId="4A1A485E">
      <w:pPr>
        <w:pageBreakBefore w:val="0"/>
        <w:shd w:val="clear"/>
        <w:kinsoku/>
        <w:wordWrap w:val="0"/>
        <w:overflowPunct/>
        <w:topLinePunct w:val="0"/>
        <w:bidi w:val="0"/>
        <w:rPr>
          <w:rFonts w:hint="eastAsia" w:hAnsi="宋体"/>
          <w:b/>
          <w:color w:val="auto"/>
          <w:highlight w:val="none"/>
        </w:rPr>
      </w:pPr>
    </w:p>
    <w:p w14:paraId="113642B8">
      <w:pPr>
        <w:pageBreakBefore w:val="0"/>
        <w:shd w:val="clear"/>
        <w:kinsoku/>
        <w:wordWrap w:val="0"/>
        <w:overflowPunct/>
        <w:topLinePunct w:val="0"/>
        <w:bidi w:val="0"/>
        <w:snapToGrid w:val="0"/>
        <w:spacing w:beforeLines="50" w:after="50" w:afterLines="0" w:line="360" w:lineRule="auto"/>
        <w:rPr>
          <w:rFonts w:hint="default" w:ascii="宋体" w:hAnsi="宋体" w:eastAsia="宋体" w:cs="Times New Roman"/>
          <w:color w:val="auto"/>
          <w:sz w:val="24"/>
          <w:szCs w:val="24"/>
          <w:highlight w:val="none"/>
        </w:rPr>
      </w:pPr>
      <w:r>
        <w:rPr>
          <w:rFonts w:hint="default" w:ascii="宋体" w:hAnsi="宋体" w:eastAsia="宋体" w:cs="Times New Roman"/>
          <w:color w:val="auto"/>
          <w:sz w:val="24"/>
          <w:szCs w:val="24"/>
          <w:highlight w:val="none"/>
        </w:rPr>
        <w:t>投标人（盖章）：</w:t>
      </w:r>
    </w:p>
    <w:p w14:paraId="2C13FADA">
      <w:pPr>
        <w:pageBreakBefore w:val="0"/>
        <w:shd w:val="clear"/>
        <w:kinsoku/>
        <w:wordWrap w:val="0"/>
        <w:overflowPunct/>
        <w:topLinePunct w:val="0"/>
        <w:bidi w:val="0"/>
        <w:snapToGrid w:val="0"/>
        <w:spacing w:beforeLines="50" w:after="50" w:afterLines="0"/>
        <w:jc w:val="right"/>
        <w:rPr>
          <w:rFonts w:hint="default" w:ascii="Times New Roman" w:hAnsi="宋体" w:eastAsia="宋体" w:cs="Times New Roman"/>
          <w:color w:val="auto"/>
          <w:sz w:val="24"/>
          <w:szCs w:val="20"/>
          <w:highlight w:val="none"/>
        </w:rPr>
      </w:pPr>
      <w:r>
        <w:rPr>
          <w:rFonts w:hint="default" w:ascii="宋体" w:hAnsi="宋体" w:eastAsia="宋体" w:cs="Times New Roman"/>
          <w:color w:val="auto"/>
          <w:sz w:val="24"/>
          <w:szCs w:val="24"/>
          <w:highlight w:val="none"/>
        </w:rPr>
        <w:t>年   月   日</w:t>
      </w:r>
    </w:p>
    <w:p w14:paraId="27F1C3D1">
      <w:pPr>
        <w:pageBreakBefore w:val="0"/>
        <w:shd w:val="clear"/>
        <w:kinsoku/>
        <w:wordWrap w:val="0"/>
        <w:overflowPunct/>
        <w:topLinePunct w:val="0"/>
        <w:bidi w:val="0"/>
        <w:rPr>
          <w:rFonts w:hAnsi="宋体"/>
          <w:b/>
          <w:color w:val="auto"/>
          <w:highlight w:val="none"/>
        </w:rPr>
      </w:pPr>
      <w:r>
        <w:rPr>
          <w:rFonts w:hint="eastAsia" w:hAnsi="宋体"/>
          <w:b/>
          <w:color w:val="auto"/>
          <w:highlight w:val="none"/>
        </w:rPr>
        <w:br w:type="page"/>
      </w:r>
    </w:p>
    <w:p w14:paraId="50F14E87">
      <w:pPr>
        <w:pStyle w:val="98"/>
        <w:pageBreakBefore w:val="0"/>
        <w:numPr>
          <w:ilvl w:val="0"/>
          <w:numId w:val="54"/>
        </w:numPr>
        <w:shd w:val="clear"/>
        <w:kinsoku/>
        <w:wordWrap w:val="0"/>
        <w:overflowPunct/>
        <w:topLinePunct w:val="0"/>
        <w:bidi w:val="0"/>
        <w:snapToGrid w:val="0"/>
        <w:ind w:firstLineChars="0"/>
        <w:rPr>
          <w:rFonts w:hAnsi="宋体"/>
          <w:b/>
          <w:color w:val="auto"/>
          <w:highlight w:val="none"/>
        </w:rPr>
      </w:pPr>
      <w:r>
        <w:rPr>
          <w:rFonts w:hint="eastAsia" w:hAnsi="宋体"/>
          <w:b/>
          <w:color w:val="auto"/>
          <w:highlight w:val="none"/>
        </w:rPr>
        <w:t>开标一览表格式</w:t>
      </w:r>
    </w:p>
    <w:p w14:paraId="6FD94199">
      <w:pPr>
        <w:pageBreakBefore w:val="0"/>
        <w:shd w:val="clear"/>
        <w:kinsoku/>
        <w:wordWrap w:val="0"/>
        <w:overflowPunct/>
        <w:topLinePunct w:val="0"/>
        <w:bidi w:val="0"/>
        <w:snapToGrid w:val="0"/>
        <w:spacing w:before="50" w:after="50"/>
        <w:jc w:val="center"/>
        <w:rPr>
          <w:rFonts w:ascii="宋体" w:hAnsi="宋体"/>
          <w:b/>
          <w:color w:val="auto"/>
          <w:sz w:val="36"/>
          <w:szCs w:val="36"/>
          <w:highlight w:val="none"/>
        </w:rPr>
      </w:pPr>
      <w:r>
        <w:rPr>
          <w:rFonts w:hint="eastAsia" w:ascii="宋体" w:hAnsi="宋体"/>
          <w:b/>
          <w:color w:val="auto"/>
          <w:sz w:val="36"/>
          <w:szCs w:val="36"/>
          <w:highlight w:val="none"/>
        </w:rPr>
        <w:t>开标一览表</w:t>
      </w:r>
    </w:p>
    <w:p w14:paraId="2BC79489">
      <w:pPr>
        <w:keepNext w:val="0"/>
        <w:keepLines w:val="0"/>
        <w:pageBreakBefore w:val="0"/>
        <w:widowControl w:val="0"/>
        <w:shd w:val="clear"/>
        <w:kinsoku/>
        <w:wordWrap w:val="0"/>
        <w:overflowPunct/>
        <w:topLinePunct w:val="0"/>
        <w:autoSpaceDE/>
        <w:autoSpaceDN/>
        <w:bidi w:val="0"/>
        <w:adjustRightInd/>
        <w:snapToGrid/>
        <w:spacing w:line="700" w:lineRule="exact"/>
        <w:ind w:firstLine="240" w:firstLineChars="100"/>
        <w:jc w:val="left"/>
        <w:textAlignment w:val="auto"/>
        <w:rPr>
          <w:rFonts w:hint="eastAsia" w:ascii="宋体" w:hAnsi="宋体"/>
          <w:color w:val="auto"/>
          <w:position w:val="8"/>
          <w:sz w:val="24"/>
          <w:highlight w:val="none"/>
          <w:lang w:eastAsia="zh-CN"/>
        </w:rPr>
      </w:pPr>
      <w:r>
        <w:rPr>
          <w:rFonts w:hint="eastAsia" w:ascii="宋体" w:hAnsi="宋体"/>
          <w:color w:val="auto"/>
          <w:position w:val="8"/>
          <w:sz w:val="24"/>
          <w:highlight w:val="none"/>
          <w:lang w:eastAsia="zh-CN"/>
        </w:rPr>
        <w:t>项目编号</w:t>
      </w:r>
      <w:r>
        <w:rPr>
          <w:rFonts w:hint="eastAsia" w:ascii="宋体" w:hAnsi="宋体"/>
          <w:color w:val="auto"/>
          <w:position w:val="8"/>
          <w:sz w:val="24"/>
          <w:highlight w:val="none"/>
        </w:rPr>
        <w:t>：</w:t>
      </w:r>
      <w:r>
        <w:rPr>
          <w:rFonts w:hint="eastAsia" w:ascii="宋体" w:hAnsi="宋体"/>
          <w:color w:val="auto"/>
          <w:position w:val="8"/>
          <w:sz w:val="24"/>
          <w:highlight w:val="none"/>
          <w:lang w:eastAsia="zh-CN"/>
        </w:rPr>
        <w:t>2025（***）</w:t>
      </w:r>
    </w:p>
    <w:tbl>
      <w:tblPr>
        <w:tblStyle w:val="48"/>
        <w:tblW w:w="89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070"/>
        <w:gridCol w:w="4847"/>
      </w:tblGrid>
      <w:tr w14:paraId="25988E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67" w:hRule="atLeast"/>
          <w:jc w:val="center"/>
        </w:trPr>
        <w:tc>
          <w:tcPr>
            <w:tcW w:w="4070" w:type="dxa"/>
            <w:tcBorders>
              <w:top w:val="single" w:color="auto" w:sz="4" w:space="0"/>
              <w:left w:val="single" w:color="auto" w:sz="4" w:space="0"/>
              <w:bottom w:val="single" w:color="auto" w:sz="4" w:space="0"/>
              <w:right w:val="single" w:color="auto" w:sz="4" w:space="0"/>
            </w:tcBorders>
            <w:noWrap/>
            <w:vAlign w:val="center"/>
          </w:tcPr>
          <w:p w14:paraId="7CFAD718">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440" w:lineRule="exact"/>
              <w:ind w:left="0" w:right="0"/>
              <w:jc w:val="center"/>
              <w:textAlignment w:val="auto"/>
              <w:rPr>
                <w:rFonts w:hint="default" w:ascii="宋体" w:hAnsi="宋体" w:eastAsia="宋体" w:cs="Times New Roman"/>
                <w:b/>
                <w:bCs/>
                <w:color w:val="auto"/>
                <w:position w:val="2"/>
                <w:sz w:val="24"/>
                <w:highlight w:val="none"/>
              </w:rPr>
            </w:pPr>
            <w:r>
              <w:rPr>
                <w:rFonts w:hint="eastAsia" w:ascii="宋体" w:hAnsi="宋体" w:eastAsia="宋体" w:cs="Times New Roman"/>
                <w:b/>
                <w:bCs/>
                <w:color w:val="auto"/>
                <w:position w:val="2"/>
                <w:sz w:val="24"/>
                <w:highlight w:val="none"/>
              </w:rPr>
              <w:t>项目名称</w:t>
            </w:r>
          </w:p>
        </w:tc>
        <w:tc>
          <w:tcPr>
            <w:tcW w:w="4847" w:type="dxa"/>
            <w:tcBorders>
              <w:top w:val="single" w:color="auto" w:sz="4" w:space="0"/>
              <w:left w:val="single" w:color="auto" w:sz="4" w:space="0"/>
              <w:bottom w:val="single" w:color="auto" w:sz="4" w:space="0"/>
              <w:right w:val="single" w:color="auto" w:sz="4" w:space="0"/>
            </w:tcBorders>
            <w:noWrap/>
            <w:vAlign w:val="center"/>
          </w:tcPr>
          <w:p w14:paraId="06A4449C">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440" w:lineRule="exact"/>
              <w:ind w:left="0" w:right="0"/>
              <w:jc w:val="center"/>
              <w:textAlignment w:val="auto"/>
              <w:rPr>
                <w:rFonts w:hint="default" w:ascii="宋体" w:hAnsi="宋体" w:eastAsia="宋体" w:cs="Times New Roman"/>
                <w:b/>
                <w:bCs/>
                <w:color w:val="auto"/>
                <w:position w:val="2"/>
                <w:sz w:val="24"/>
                <w:highlight w:val="none"/>
              </w:rPr>
            </w:pPr>
            <w:r>
              <w:rPr>
                <w:rFonts w:hint="eastAsia" w:ascii="宋体" w:hAnsi="宋体" w:eastAsia="宋体" w:cs="Times New Roman"/>
                <w:b/>
                <w:bCs/>
                <w:color w:val="auto"/>
                <w:sz w:val="24"/>
                <w:highlight w:val="none"/>
              </w:rPr>
              <w:t>投标报价</w:t>
            </w:r>
          </w:p>
        </w:tc>
      </w:tr>
      <w:tr w14:paraId="1C3ED7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90" w:hRule="atLeast"/>
          <w:jc w:val="center"/>
        </w:trPr>
        <w:tc>
          <w:tcPr>
            <w:tcW w:w="4070" w:type="dxa"/>
            <w:tcBorders>
              <w:top w:val="single" w:color="auto" w:sz="4" w:space="0"/>
              <w:left w:val="single" w:color="auto" w:sz="4" w:space="0"/>
              <w:right w:val="single" w:color="auto" w:sz="4" w:space="0"/>
            </w:tcBorders>
            <w:noWrap/>
            <w:vAlign w:val="center"/>
          </w:tcPr>
          <w:p w14:paraId="17699834">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440" w:lineRule="exact"/>
              <w:ind w:left="0" w:right="0"/>
              <w:jc w:val="center"/>
              <w:textAlignment w:val="auto"/>
              <w:rPr>
                <w:rFonts w:hint="default" w:ascii="宋体" w:hAnsi="宋体" w:eastAsia="宋体" w:cs="Times New Roman"/>
                <w:color w:val="auto"/>
                <w:position w:val="2"/>
                <w:sz w:val="24"/>
                <w:szCs w:val="24"/>
                <w:highlight w:val="none"/>
              </w:rPr>
            </w:pPr>
            <w:r>
              <w:rPr>
                <w:rFonts w:hint="eastAsia" w:ascii="宋体" w:hAnsi="宋体" w:cs="Times New Roman"/>
                <w:color w:val="auto"/>
                <w:position w:val="2"/>
                <w:sz w:val="24"/>
                <w:szCs w:val="24"/>
                <w:highlight w:val="none"/>
                <w:lang w:eastAsia="zh-CN"/>
              </w:rPr>
              <w:t>西塘古镇智慧景区综合（票务）服务平台建设项目</w:t>
            </w:r>
          </w:p>
        </w:tc>
        <w:tc>
          <w:tcPr>
            <w:tcW w:w="4847" w:type="dxa"/>
            <w:tcBorders>
              <w:top w:val="single" w:color="auto" w:sz="4" w:space="0"/>
              <w:left w:val="single" w:color="auto" w:sz="4" w:space="0"/>
              <w:bottom w:val="single" w:color="auto" w:sz="4" w:space="0"/>
              <w:right w:val="single" w:color="auto" w:sz="4" w:space="0"/>
            </w:tcBorders>
            <w:noWrap/>
            <w:vAlign w:val="center"/>
          </w:tcPr>
          <w:p w14:paraId="4F0831AA">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780" w:lineRule="exact"/>
              <w:ind w:left="0" w:right="0" w:firstLine="240" w:firstLineChars="100"/>
              <w:jc w:val="left"/>
              <w:textAlignment w:val="auto"/>
              <w:rPr>
                <w:rFonts w:hint="default" w:ascii="宋体" w:hAnsi="宋体" w:eastAsia="宋体" w:cs="Times New Roman"/>
                <w:color w:val="auto"/>
                <w:position w:val="5"/>
                <w:sz w:val="24"/>
                <w:highlight w:val="none"/>
                <w:u w:val="single"/>
                <w:lang w:val="en-US" w:eastAsia="zh-CN"/>
              </w:rPr>
            </w:pPr>
            <w:r>
              <w:rPr>
                <w:rFonts w:hint="eastAsia" w:ascii="宋体" w:hAnsi="宋体" w:eastAsia="宋体" w:cs="Times New Roman"/>
                <w:color w:val="auto"/>
                <w:position w:val="5"/>
                <w:sz w:val="24"/>
                <w:highlight w:val="none"/>
                <w:u w:val="none"/>
                <w:lang w:val="en-US" w:eastAsia="zh-CN"/>
              </w:rPr>
              <w:t>（小写）：</w:t>
            </w:r>
            <w:r>
              <w:rPr>
                <w:rFonts w:hint="eastAsia" w:ascii="宋体" w:hAnsi="宋体" w:eastAsia="宋体" w:cs="Times New Roman"/>
                <w:color w:val="auto"/>
                <w:position w:val="5"/>
                <w:sz w:val="24"/>
                <w:highlight w:val="none"/>
                <w:u w:val="single"/>
                <w:lang w:val="en-US" w:eastAsia="zh-CN"/>
              </w:rPr>
              <w:t>¥                    元</w:t>
            </w:r>
          </w:p>
          <w:p w14:paraId="307C50CE">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780" w:lineRule="exact"/>
              <w:ind w:left="0" w:right="0" w:firstLine="240" w:firstLineChars="100"/>
              <w:jc w:val="left"/>
              <w:textAlignment w:val="auto"/>
              <w:rPr>
                <w:rFonts w:hint="default" w:ascii="宋体" w:hAnsi="宋体" w:eastAsia="宋体" w:cs="Times New Roman"/>
                <w:color w:val="auto"/>
                <w:position w:val="2"/>
                <w:sz w:val="24"/>
                <w:highlight w:val="none"/>
                <w:u w:val="single"/>
                <w:lang w:val="en-US"/>
              </w:rPr>
            </w:pPr>
            <w:r>
              <w:rPr>
                <w:rFonts w:hint="eastAsia" w:ascii="宋体" w:hAnsi="宋体" w:eastAsia="宋体" w:cs="Times New Roman"/>
                <w:color w:val="auto"/>
                <w:position w:val="5"/>
                <w:sz w:val="24"/>
                <w:highlight w:val="none"/>
                <w:u w:val="none"/>
                <w:lang w:val="en-US" w:eastAsia="zh-CN"/>
              </w:rPr>
              <w:t>（大写）：</w:t>
            </w:r>
            <w:r>
              <w:rPr>
                <w:rFonts w:hint="eastAsia" w:ascii="宋体" w:hAnsi="宋体" w:eastAsia="宋体" w:cs="Times New Roman"/>
                <w:color w:val="auto"/>
                <w:position w:val="5"/>
                <w:sz w:val="24"/>
                <w:highlight w:val="none"/>
                <w:u w:val="single"/>
                <w:lang w:val="en-US" w:eastAsia="zh-CN"/>
              </w:rPr>
              <w:t xml:space="preserve">人民币                 </w:t>
            </w:r>
          </w:p>
        </w:tc>
      </w:tr>
    </w:tbl>
    <w:p w14:paraId="519BF4C0">
      <w:pPr>
        <w:pStyle w:val="25"/>
        <w:keepNext w:val="0"/>
        <w:keepLines w:val="0"/>
        <w:pageBreakBefore w:val="0"/>
        <w:widowControl w:val="0"/>
        <w:shd w:val="clear"/>
        <w:kinsoku/>
        <w:wordWrap w:val="0"/>
        <w:overflowPunct/>
        <w:topLinePunct w:val="0"/>
        <w:autoSpaceDE/>
        <w:autoSpaceDN/>
        <w:bidi w:val="0"/>
        <w:adjustRightInd w:val="0"/>
        <w:snapToGrid w:val="0"/>
        <w:spacing w:beforeLines="0" w:afterLines="0" w:line="240" w:lineRule="auto"/>
        <w:ind w:left="480" w:leftChars="200" w:firstLine="0" w:firstLineChars="0"/>
        <w:textAlignment w:val="auto"/>
        <w:rPr>
          <w:rFonts w:hint="eastAsia" w:cs="Times New Roman" w:asciiTheme="minorEastAsia" w:hAnsiTheme="minorEastAsia" w:eastAsiaTheme="minorEastAsia"/>
          <w:b/>
          <w:bCs/>
          <w:color w:val="auto"/>
          <w:kern w:val="2"/>
          <w:sz w:val="21"/>
          <w:szCs w:val="21"/>
          <w:highlight w:val="none"/>
          <w:lang w:val="en-US" w:eastAsia="zh-CN" w:bidi="ar-SA"/>
        </w:rPr>
      </w:pPr>
      <w:r>
        <w:rPr>
          <w:rFonts w:hint="eastAsia" w:cs="Times New Roman" w:asciiTheme="minorEastAsia" w:hAnsiTheme="minorEastAsia" w:eastAsiaTheme="minorEastAsia"/>
          <w:b/>
          <w:bCs/>
          <w:color w:val="auto"/>
          <w:kern w:val="2"/>
          <w:sz w:val="21"/>
          <w:szCs w:val="21"/>
          <w:highlight w:val="none"/>
          <w:lang w:val="en-US" w:eastAsia="zh-CN" w:bidi="ar-SA"/>
        </w:rPr>
        <w:t>注：</w:t>
      </w:r>
    </w:p>
    <w:p w14:paraId="790DA3F2">
      <w:pPr>
        <w:pStyle w:val="25"/>
        <w:keepNext w:val="0"/>
        <w:keepLines w:val="0"/>
        <w:pageBreakBefore w:val="0"/>
        <w:widowControl w:val="0"/>
        <w:numPr>
          <w:ilvl w:val="0"/>
          <w:numId w:val="58"/>
        </w:numPr>
        <w:shd w:val="clear"/>
        <w:kinsoku/>
        <w:wordWrap w:val="0"/>
        <w:overflowPunct/>
        <w:topLinePunct w:val="0"/>
        <w:autoSpaceDE/>
        <w:autoSpaceDN/>
        <w:bidi w:val="0"/>
        <w:adjustRightInd w:val="0"/>
        <w:snapToGrid w:val="0"/>
        <w:spacing w:beforeLines="0" w:afterLines="0" w:line="240" w:lineRule="auto"/>
        <w:ind w:left="0" w:leftChars="0" w:firstLine="420" w:firstLineChars="200"/>
        <w:textAlignment w:val="auto"/>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lang w:eastAsia="zh-CN"/>
        </w:rPr>
        <w:t>投标报价应包括完成本项目所需的</w:t>
      </w:r>
      <w:r>
        <w:rPr>
          <w:rFonts w:hint="eastAsia" w:cs="Times New Roman" w:asciiTheme="minorEastAsia" w:hAnsiTheme="minorEastAsia" w:eastAsiaTheme="minorEastAsia"/>
          <w:color w:val="auto"/>
          <w:sz w:val="21"/>
          <w:szCs w:val="21"/>
          <w:highlight w:val="none"/>
          <w:lang w:eastAsia="zh-CN"/>
        </w:rPr>
        <w:t>软件开发费（含升级费）、硬件、标准附件、备品备件、专用工具、配套设施、安装调试、系统集成、技术指导、培训、专利费（著作权）、相关验收费用、三年期售后服务费、管理费、利润、风险费、保险、税金、招标代理费等</w:t>
      </w:r>
      <w:r>
        <w:rPr>
          <w:rFonts w:hint="eastAsia" w:cs="Times New Roman" w:asciiTheme="minorEastAsia" w:hAnsiTheme="minorEastAsia" w:eastAsiaTheme="minorEastAsia"/>
          <w:color w:val="auto"/>
          <w:sz w:val="21"/>
          <w:szCs w:val="21"/>
          <w:highlight w:val="none"/>
          <w:lang w:eastAsia="zh-CN"/>
        </w:rPr>
        <w:t>全部费用并承担一切风险责任。</w:t>
      </w:r>
    </w:p>
    <w:p w14:paraId="74A7F9DD">
      <w:pPr>
        <w:pStyle w:val="25"/>
        <w:keepNext w:val="0"/>
        <w:keepLines w:val="0"/>
        <w:pageBreakBefore w:val="0"/>
        <w:widowControl w:val="0"/>
        <w:numPr>
          <w:ilvl w:val="0"/>
          <w:numId w:val="58"/>
        </w:numPr>
        <w:shd w:val="clear"/>
        <w:kinsoku/>
        <w:wordWrap w:val="0"/>
        <w:overflowPunct/>
        <w:topLinePunct w:val="0"/>
        <w:autoSpaceDE/>
        <w:autoSpaceDN/>
        <w:bidi w:val="0"/>
        <w:adjustRightInd w:val="0"/>
        <w:snapToGrid w:val="0"/>
        <w:spacing w:beforeLines="0" w:afterLines="0" w:line="240" w:lineRule="auto"/>
        <w:ind w:left="0" w:leftChars="0" w:firstLine="420" w:firstLineChars="200"/>
        <w:textAlignment w:val="auto"/>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lang w:val="en-US" w:eastAsia="zh-CN"/>
        </w:rPr>
        <w:t>上表投标报价应与“投标报价明细表——软件清单”及“投标报价明细表——硬件清单”总计金额之和一致。</w:t>
      </w:r>
    </w:p>
    <w:p w14:paraId="701FA558">
      <w:pPr>
        <w:pStyle w:val="25"/>
        <w:keepNext w:val="0"/>
        <w:keepLines w:val="0"/>
        <w:pageBreakBefore w:val="0"/>
        <w:widowControl w:val="0"/>
        <w:numPr>
          <w:ilvl w:val="0"/>
          <w:numId w:val="58"/>
        </w:numPr>
        <w:shd w:val="clear"/>
        <w:kinsoku/>
        <w:wordWrap w:val="0"/>
        <w:overflowPunct/>
        <w:topLinePunct w:val="0"/>
        <w:autoSpaceDE/>
        <w:autoSpaceDN/>
        <w:bidi w:val="0"/>
        <w:adjustRightInd w:val="0"/>
        <w:snapToGrid w:val="0"/>
        <w:spacing w:beforeLines="0" w:afterLines="0" w:line="240" w:lineRule="auto"/>
        <w:ind w:left="0" w:leftChars="0" w:firstLine="420" w:firstLineChars="200"/>
        <w:textAlignment w:val="auto"/>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lang w:eastAsia="zh-CN"/>
        </w:rPr>
        <w:t>报价一经涂改，应在涂改处加盖单位公章或者由法定代表人或授权委托人签字或盖章，否则其投标作无效标处理。</w:t>
      </w:r>
    </w:p>
    <w:p w14:paraId="0972D864">
      <w:pPr>
        <w:pStyle w:val="25"/>
        <w:keepNext w:val="0"/>
        <w:keepLines w:val="0"/>
        <w:pageBreakBefore w:val="0"/>
        <w:widowControl w:val="0"/>
        <w:numPr>
          <w:ilvl w:val="0"/>
          <w:numId w:val="0"/>
        </w:numPr>
        <w:shd w:val="clear"/>
        <w:kinsoku/>
        <w:wordWrap w:val="0"/>
        <w:overflowPunct/>
        <w:topLinePunct w:val="0"/>
        <w:autoSpaceDE/>
        <w:autoSpaceDN/>
        <w:bidi w:val="0"/>
        <w:adjustRightInd w:val="0"/>
        <w:snapToGrid w:val="0"/>
        <w:spacing w:beforeLines="0" w:afterLines="0" w:line="240" w:lineRule="auto"/>
        <w:ind w:leftChars="200"/>
        <w:textAlignment w:val="auto"/>
        <w:rPr>
          <w:rFonts w:hint="eastAsia" w:cs="Times New Roman" w:asciiTheme="minorEastAsia" w:hAnsiTheme="minorEastAsia" w:eastAsiaTheme="minorEastAsia"/>
          <w:color w:val="auto"/>
          <w:sz w:val="21"/>
          <w:szCs w:val="21"/>
          <w:highlight w:val="none"/>
          <w:lang w:eastAsia="zh-CN"/>
        </w:rPr>
      </w:pPr>
    </w:p>
    <w:p w14:paraId="22D4C53C">
      <w:pPr>
        <w:pStyle w:val="230"/>
        <w:keepNext w:val="0"/>
        <w:keepLines w:val="0"/>
        <w:pageBreakBefore w:val="0"/>
        <w:widowControl w:val="0"/>
        <w:shd w:val="clear"/>
        <w:kinsoku/>
        <w:wordWrap w:val="0"/>
        <w:overflowPunct/>
        <w:topLinePunct w:val="0"/>
        <w:autoSpaceDE/>
        <w:autoSpaceDN/>
        <w:bidi w:val="0"/>
        <w:adjustRightInd/>
        <w:snapToGrid w:val="0"/>
        <w:spacing w:line="240" w:lineRule="auto"/>
        <w:ind w:firstLine="360" w:firstLineChars="200"/>
        <w:rPr>
          <w:rFonts w:hAnsi="宋体" w:eastAsia="宋体"/>
          <w:color w:val="auto"/>
          <w:sz w:val="18"/>
          <w:szCs w:val="18"/>
          <w:highlight w:val="none"/>
        </w:rPr>
      </w:pPr>
    </w:p>
    <w:p w14:paraId="77BA3028">
      <w:pPr>
        <w:pStyle w:val="230"/>
        <w:keepNext w:val="0"/>
        <w:keepLines w:val="0"/>
        <w:pageBreakBefore w:val="0"/>
        <w:widowControl w:val="0"/>
        <w:shd w:val="clear"/>
        <w:kinsoku/>
        <w:wordWrap w:val="0"/>
        <w:overflowPunct/>
        <w:topLinePunct w:val="0"/>
        <w:autoSpaceDE/>
        <w:autoSpaceDN/>
        <w:bidi w:val="0"/>
        <w:adjustRightInd/>
        <w:snapToGrid w:val="0"/>
        <w:spacing w:line="240" w:lineRule="auto"/>
        <w:ind w:firstLine="360" w:firstLineChars="200"/>
        <w:rPr>
          <w:rFonts w:hAnsi="宋体" w:eastAsia="宋体"/>
          <w:color w:val="auto"/>
          <w:sz w:val="18"/>
          <w:szCs w:val="18"/>
          <w:highlight w:val="none"/>
        </w:rPr>
      </w:pPr>
    </w:p>
    <w:p w14:paraId="02E7D1B2">
      <w:pPr>
        <w:pageBreakBefore w:val="0"/>
        <w:shd w:val="clear"/>
        <w:kinsoku/>
        <w:wordWrap w:val="0"/>
        <w:overflowPunct/>
        <w:topLinePunct w:val="0"/>
        <w:bidi w:val="0"/>
        <w:snapToGrid w:val="0"/>
        <w:spacing w:beforeLines="50" w:after="50" w:afterLines="0" w:line="360" w:lineRule="auto"/>
        <w:rPr>
          <w:rFonts w:hint="default" w:ascii="宋体" w:hAnsi="宋体" w:eastAsia="宋体"/>
          <w:color w:val="auto"/>
          <w:sz w:val="24"/>
          <w:szCs w:val="24"/>
          <w:highlight w:val="none"/>
        </w:rPr>
      </w:pPr>
      <w:r>
        <w:rPr>
          <w:rFonts w:hint="default" w:ascii="宋体" w:hAnsi="宋体" w:eastAsia="宋体"/>
          <w:color w:val="auto"/>
          <w:sz w:val="24"/>
          <w:szCs w:val="24"/>
          <w:highlight w:val="none"/>
        </w:rPr>
        <w:t>投标人（盖章）：</w:t>
      </w:r>
    </w:p>
    <w:p w14:paraId="44E8D2BA">
      <w:pPr>
        <w:pageBreakBefore w:val="0"/>
        <w:shd w:val="clear"/>
        <w:kinsoku/>
        <w:wordWrap w:val="0"/>
        <w:overflowPunct/>
        <w:topLinePunct w:val="0"/>
        <w:bidi w:val="0"/>
        <w:snapToGrid w:val="0"/>
        <w:spacing w:beforeLines="50" w:after="50"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法定代表人或授权代表人（签字或盖章）：</w:t>
      </w:r>
    </w:p>
    <w:p w14:paraId="7A90981E">
      <w:pPr>
        <w:pageBreakBefore w:val="0"/>
        <w:shd w:val="clear"/>
        <w:kinsoku/>
        <w:wordWrap w:val="0"/>
        <w:overflowPunct/>
        <w:topLinePunct w:val="0"/>
        <w:bidi w:val="0"/>
        <w:snapToGrid w:val="0"/>
        <w:spacing w:beforeLines="50" w:after="50"/>
        <w:jc w:val="right"/>
        <w:rPr>
          <w:rFonts w:hint="eastAsia" w:ascii="宋体" w:hAnsi="宋体" w:eastAsia="宋体"/>
          <w:color w:val="auto"/>
          <w:sz w:val="24"/>
          <w:szCs w:val="24"/>
          <w:highlight w:val="none"/>
        </w:rPr>
      </w:pPr>
    </w:p>
    <w:p w14:paraId="0DEB3D8F">
      <w:pPr>
        <w:pageBreakBefore w:val="0"/>
        <w:shd w:val="clear"/>
        <w:kinsoku/>
        <w:wordWrap w:val="0"/>
        <w:overflowPunct/>
        <w:topLinePunct w:val="0"/>
        <w:bidi w:val="0"/>
        <w:snapToGrid w:val="0"/>
        <w:spacing w:beforeLines="50" w:after="50"/>
        <w:jc w:val="right"/>
        <w:rPr>
          <w:rFonts w:hint="eastAsia" w:hAnsi="宋体" w:eastAsia="宋体"/>
          <w:color w:val="auto"/>
          <w:sz w:val="24"/>
          <w:szCs w:val="24"/>
          <w:highlight w:val="none"/>
        </w:rPr>
      </w:pPr>
      <w:r>
        <w:rPr>
          <w:rFonts w:hint="eastAsia" w:ascii="宋体" w:hAnsi="宋体" w:eastAsia="宋体"/>
          <w:color w:val="auto"/>
          <w:sz w:val="24"/>
          <w:szCs w:val="24"/>
          <w:highlight w:val="none"/>
        </w:rPr>
        <w:t>年   月   日</w:t>
      </w:r>
    </w:p>
    <w:p w14:paraId="65976172">
      <w:pPr>
        <w:pageBreakBefore w:val="0"/>
        <w:shd w:val="clear"/>
        <w:kinsoku/>
        <w:wordWrap w:val="0"/>
        <w:overflowPunct/>
        <w:topLinePunct w:val="0"/>
        <w:bidi w:val="0"/>
        <w:rPr>
          <w:rFonts w:hint="eastAsia" w:ascii="宋体" w:hAnsi="宋体" w:eastAsia="宋体" w:cs="宋体"/>
          <w:b/>
          <w:color w:val="auto"/>
          <w:highlight w:val="none"/>
        </w:rPr>
      </w:pPr>
      <w:r>
        <w:rPr>
          <w:rFonts w:hint="eastAsia" w:ascii="宋体" w:hAnsi="宋体" w:eastAsia="宋体" w:cs="宋体"/>
          <w:b/>
          <w:color w:val="auto"/>
          <w:highlight w:val="none"/>
          <w:lang w:val="en-US" w:eastAsia="zh-CN"/>
        </w:rPr>
        <w:br w:type="page"/>
      </w:r>
    </w:p>
    <w:p w14:paraId="636034F5">
      <w:pPr>
        <w:pStyle w:val="98"/>
        <w:pageBreakBefore w:val="0"/>
        <w:numPr>
          <w:ilvl w:val="0"/>
          <w:numId w:val="54"/>
        </w:numPr>
        <w:shd w:val="clear"/>
        <w:kinsoku/>
        <w:wordWrap w:val="0"/>
        <w:overflowPunct/>
        <w:topLinePunct w:val="0"/>
        <w:bidi w:val="0"/>
        <w:snapToGrid w:val="0"/>
        <w:ind w:firstLineChars="0"/>
        <w:rPr>
          <w:rFonts w:hint="eastAsia" w:ascii="宋体" w:hAnsi="宋体" w:eastAsia="宋体" w:cs="宋体"/>
          <w:b/>
          <w:color w:val="auto"/>
          <w:highlight w:val="none"/>
        </w:rPr>
      </w:pPr>
      <w:r>
        <w:rPr>
          <w:rFonts w:hint="eastAsia" w:ascii="宋体" w:hAnsi="宋体" w:eastAsia="宋体" w:cs="宋体"/>
          <w:b/>
          <w:color w:val="auto"/>
          <w:highlight w:val="none"/>
          <w:lang w:val="en-US" w:eastAsia="zh-CN"/>
        </w:rPr>
        <w:t>投标报价明细表格式</w:t>
      </w:r>
    </w:p>
    <w:p w14:paraId="0CC757F3">
      <w:pPr>
        <w:shd w:val="clear"/>
        <w:rPr>
          <w:rFonts w:hint="default" w:ascii="Times New Roman" w:hAnsi="Times New Roman" w:eastAsia="宋体" w:cs="Times New Roman"/>
          <w:b/>
          <w:bCs/>
          <w:color w:val="auto"/>
          <w:kern w:val="44"/>
          <w:sz w:val="32"/>
          <w:szCs w:val="44"/>
          <w:highlight w:val="none"/>
          <w:lang w:val="en-US" w:eastAsia="zh-CN" w:bidi="ar-SA"/>
        </w:rPr>
      </w:pPr>
      <w:r>
        <w:rPr>
          <w:rFonts w:hint="eastAsia" w:ascii="宋体" w:hAnsi="宋体" w:eastAsia="宋体" w:cs="宋体"/>
          <w:b/>
          <w:color w:val="auto"/>
          <w:highlight w:val="none"/>
          <w:lang w:val="en-US" w:eastAsia="zh-CN"/>
        </w:rPr>
        <w:t>11.1投标报价明细表——</w:t>
      </w:r>
      <w:r>
        <w:rPr>
          <w:rFonts w:hint="eastAsia" w:ascii="宋体" w:hAnsi="宋体" w:cs="宋体"/>
          <w:b/>
          <w:bCs/>
          <w:color w:val="auto"/>
          <w:sz w:val="24"/>
          <w:highlight w:val="none"/>
          <w:lang w:val="en-US" w:eastAsia="zh-CN"/>
        </w:rPr>
        <w:t>软件清单</w:t>
      </w:r>
    </w:p>
    <w:tbl>
      <w:tblPr>
        <w:tblStyle w:val="48"/>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7"/>
        <w:gridCol w:w="1806"/>
        <w:gridCol w:w="1306"/>
        <w:gridCol w:w="1307"/>
        <w:gridCol w:w="1318"/>
        <w:gridCol w:w="1311"/>
        <w:gridCol w:w="1311"/>
      </w:tblGrid>
      <w:tr w14:paraId="44543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40A5F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985" w:type="pct"/>
            <w:tcBorders>
              <w:top w:val="single" w:color="000000" w:sz="8" w:space="0"/>
              <w:left w:val="nil"/>
              <w:bottom w:val="single" w:color="000000" w:sz="8" w:space="0"/>
              <w:right w:val="single" w:color="000000" w:sz="8" w:space="0"/>
            </w:tcBorders>
            <w:shd w:val="clear" w:color="auto" w:fill="auto"/>
            <w:vAlign w:val="center"/>
          </w:tcPr>
          <w:p w14:paraId="2C4A39B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软件项目名称</w:t>
            </w:r>
          </w:p>
        </w:tc>
        <w:tc>
          <w:tcPr>
            <w:tcW w:w="712" w:type="pct"/>
            <w:tcBorders>
              <w:top w:val="single" w:color="000000" w:sz="8" w:space="0"/>
              <w:left w:val="nil"/>
              <w:bottom w:val="single" w:color="000000" w:sz="8" w:space="0"/>
              <w:right w:val="single" w:color="000000" w:sz="8" w:space="0"/>
            </w:tcBorders>
            <w:shd w:val="clear" w:color="auto" w:fill="auto"/>
            <w:vAlign w:val="center"/>
          </w:tcPr>
          <w:p w14:paraId="0541179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713" w:type="pct"/>
            <w:tcBorders>
              <w:top w:val="single" w:color="000000" w:sz="8" w:space="0"/>
              <w:left w:val="nil"/>
              <w:bottom w:val="single" w:color="000000" w:sz="8" w:space="0"/>
              <w:right w:val="single" w:color="000000" w:sz="8" w:space="0"/>
            </w:tcBorders>
            <w:shd w:val="clear" w:color="auto" w:fill="auto"/>
            <w:vAlign w:val="center"/>
          </w:tcPr>
          <w:p w14:paraId="6617E34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717" w:type="pct"/>
            <w:tcBorders>
              <w:top w:val="single" w:color="000000" w:sz="8" w:space="0"/>
              <w:left w:val="nil"/>
              <w:bottom w:val="single" w:color="000000" w:sz="8" w:space="0"/>
              <w:right w:val="single" w:color="000000" w:sz="8" w:space="0"/>
            </w:tcBorders>
            <w:shd w:val="clear" w:color="auto" w:fill="C0C0C0"/>
            <w:vAlign w:val="center"/>
          </w:tcPr>
          <w:p w14:paraId="0FC439BC">
            <w:pPr>
              <w:keepNext w:val="0"/>
              <w:keepLines w:val="0"/>
              <w:widowControl/>
              <w:suppressLineNumbers w:val="0"/>
              <w:shd w:val="clear"/>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单价/元</w:t>
            </w:r>
          </w:p>
        </w:tc>
        <w:tc>
          <w:tcPr>
            <w:tcW w:w="715" w:type="pct"/>
            <w:tcBorders>
              <w:top w:val="single" w:color="000000" w:sz="8" w:space="0"/>
              <w:left w:val="nil"/>
              <w:bottom w:val="single" w:color="000000" w:sz="8" w:space="0"/>
              <w:right w:val="single" w:color="000000" w:sz="8" w:space="0"/>
            </w:tcBorders>
            <w:shd w:val="clear" w:color="auto" w:fill="C0C0C0"/>
            <w:vAlign w:val="center"/>
          </w:tcPr>
          <w:p w14:paraId="185E4DD9">
            <w:pPr>
              <w:keepNext w:val="0"/>
              <w:keepLines w:val="0"/>
              <w:widowControl/>
              <w:suppressLineNumbers w:val="0"/>
              <w:shd w:val="clear"/>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合价/元</w:t>
            </w:r>
          </w:p>
        </w:tc>
        <w:tc>
          <w:tcPr>
            <w:tcW w:w="715" w:type="pct"/>
            <w:tcBorders>
              <w:top w:val="single" w:color="000000" w:sz="8" w:space="0"/>
              <w:left w:val="nil"/>
              <w:bottom w:val="single" w:color="000000" w:sz="8" w:space="0"/>
              <w:right w:val="single" w:color="000000" w:sz="8" w:space="0"/>
            </w:tcBorders>
            <w:shd w:val="clear" w:color="auto" w:fill="C0C0C0"/>
            <w:vAlign w:val="center"/>
          </w:tcPr>
          <w:p w14:paraId="337D382B">
            <w:pPr>
              <w:keepNext w:val="0"/>
              <w:keepLines w:val="0"/>
              <w:widowControl/>
              <w:suppressLineNumbers w:val="0"/>
              <w:shd w:val="clear"/>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备注</w:t>
            </w:r>
          </w:p>
        </w:tc>
      </w:tr>
      <w:tr w14:paraId="2A123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440" w:type="pct"/>
            <w:tcBorders>
              <w:top w:val="nil"/>
              <w:left w:val="single" w:color="000000" w:sz="8" w:space="0"/>
              <w:bottom w:val="single" w:color="000000" w:sz="8" w:space="0"/>
              <w:right w:val="single" w:color="000000" w:sz="8" w:space="0"/>
            </w:tcBorders>
            <w:shd w:val="clear" w:color="auto" w:fill="auto"/>
            <w:vAlign w:val="center"/>
          </w:tcPr>
          <w:p w14:paraId="27AACDE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5" w:type="pct"/>
            <w:tcBorders>
              <w:top w:val="nil"/>
              <w:left w:val="nil"/>
              <w:bottom w:val="single" w:color="000000" w:sz="8" w:space="0"/>
              <w:right w:val="single" w:color="000000" w:sz="8" w:space="0"/>
            </w:tcBorders>
            <w:shd w:val="clear" w:color="auto" w:fill="auto"/>
            <w:vAlign w:val="center"/>
          </w:tcPr>
          <w:p w14:paraId="02C5CB1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电子票务系统</w:t>
            </w:r>
          </w:p>
        </w:tc>
        <w:tc>
          <w:tcPr>
            <w:tcW w:w="712" w:type="pct"/>
            <w:tcBorders>
              <w:top w:val="nil"/>
              <w:left w:val="nil"/>
              <w:bottom w:val="single" w:color="000000" w:sz="8" w:space="0"/>
              <w:right w:val="single" w:color="000000" w:sz="8" w:space="0"/>
            </w:tcBorders>
            <w:shd w:val="clear" w:color="auto" w:fill="FFFFFF"/>
            <w:vAlign w:val="center"/>
          </w:tcPr>
          <w:p w14:paraId="6C7AD8E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713" w:type="pct"/>
            <w:tcBorders>
              <w:top w:val="nil"/>
              <w:left w:val="nil"/>
              <w:bottom w:val="single" w:color="000000" w:sz="8" w:space="0"/>
              <w:right w:val="single" w:color="000000" w:sz="8" w:space="0"/>
            </w:tcBorders>
            <w:shd w:val="clear" w:color="auto" w:fill="auto"/>
            <w:vAlign w:val="center"/>
          </w:tcPr>
          <w:p w14:paraId="1A1E445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17" w:type="pct"/>
            <w:tcBorders>
              <w:top w:val="nil"/>
              <w:left w:val="nil"/>
              <w:bottom w:val="single" w:color="000000" w:sz="8" w:space="0"/>
              <w:right w:val="single" w:color="000000" w:sz="8" w:space="0"/>
            </w:tcBorders>
            <w:shd w:val="clear" w:color="auto" w:fill="auto"/>
            <w:vAlign w:val="center"/>
          </w:tcPr>
          <w:p w14:paraId="742414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nil"/>
              <w:left w:val="nil"/>
              <w:bottom w:val="single" w:color="000000" w:sz="8" w:space="0"/>
              <w:right w:val="single" w:color="000000" w:sz="8" w:space="0"/>
            </w:tcBorders>
            <w:shd w:val="clear" w:color="auto" w:fill="auto"/>
            <w:vAlign w:val="center"/>
          </w:tcPr>
          <w:p w14:paraId="40800AF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nil"/>
              <w:left w:val="nil"/>
              <w:bottom w:val="single" w:color="000000" w:sz="8" w:space="0"/>
              <w:right w:val="single" w:color="000000" w:sz="8" w:space="0"/>
            </w:tcBorders>
            <w:shd w:val="clear" w:color="auto" w:fill="auto"/>
            <w:vAlign w:val="center"/>
          </w:tcPr>
          <w:p w14:paraId="0FB6A76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8B00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440" w:type="pct"/>
            <w:tcBorders>
              <w:top w:val="nil"/>
              <w:left w:val="single" w:color="000000" w:sz="8" w:space="0"/>
              <w:bottom w:val="single" w:color="auto" w:sz="4" w:space="0"/>
              <w:right w:val="single" w:color="000000" w:sz="8" w:space="0"/>
            </w:tcBorders>
            <w:shd w:val="clear" w:color="auto" w:fill="auto"/>
            <w:vAlign w:val="center"/>
          </w:tcPr>
          <w:p w14:paraId="7FD58F7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5" w:type="pct"/>
            <w:tcBorders>
              <w:top w:val="nil"/>
              <w:left w:val="nil"/>
              <w:bottom w:val="single" w:color="auto" w:sz="4" w:space="0"/>
              <w:right w:val="single" w:color="000000" w:sz="8" w:space="0"/>
            </w:tcBorders>
            <w:shd w:val="clear" w:color="auto" w:fill="FFFFFF"/>
            <w:vAlign w:val="center"/>
          </w:tcPr>
          <w:p w14:paraId="0265C2F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硬件管理平台</w:t>
            </w:r>
          </w:p>
        </w:tc>
        <w:tc>
          <w:tcPr>
            <w:tcW w:w="712" w:type="pct"/>
            <w:tcBorders>
              <w:top w:val="nil"/>
              <w:left w:val="nil"/>
              <w:bottom w:val="single" w:color="auto" w:sz="4" w:space="0"/>
              <w:right w:val="single" w:color="000000" w:sz="8" w:space="0"/>
            </w:tcBorders>
            <w:shd w:val="clear" w:color="auto" w:fill="FFFFFF"/>
            <w:vAlign w:val="center"/>
          </w:tcPr>
          <w:p w14:paraId="21A4393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713" w:type="pct"/>
            <w:tcBorders>
              <w:top w:val="nil"/>
              <w:left w:val="nil"/>
              <w:bottom w:val="single" w:color="auto" w:sz="4" w:space="0"/>
              <w:right w:val="single" w:color="000000" w:sz="8" w:space="0"/>
            </w:tcBorders>
            <w:shd w:val="clear" w:color="auto" w:fill="auto"/>
            <w:vAlign w:val="center"/>
          </w:tcPr>
          <w:p w14:paraId="453115F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17" w:type="pct"/>
            <w:tcBorders>
              <w:top w:val="nil"/>
              <w:left w:val="nil"/>
              <w:bottom w:val="single" w:color="auto" w:sz="4" w:space="0"/>
              <w:right w:val="single" w:color="000000" w:sz="8" w:space="0"/>
            </w:tcBorders>
            <w:shd w:val="clear" w:color="auto" w:fill="auto"/>
            <w:vAlign w:val="center"/>
          </w:tcPr>
          <w:p w14:paraId="79D166C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nil"/>
              <w:left w:val="nil"/>
              <w:bottom w:val="single" w:color="auto" w:sz="4" w:space="0"/>
              <w:right w:val="single" w:color="000000" w:sz="8" w:space="0"/>
            </w:tcBorders>
            <w:shd w:val="clear" w:color="auto" w:fill="auto"/>
            <w:vAlign w:val="center"/>
          </w:tcPr>
          <w:p w14:paraId="10D4616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nil"/>
              <w:left w:val="nil"/>
              <w:bottom w:val="single" w:color="auto" w:sz="4" w:space="0"/>
              <w:right w:val="single" w:color="000000" w:sz="8" w:space="0"/>
            </w:tcBorders>
            <w:shd w:val="clear" w:color="auto" w:fill="auto"/>
            <w:vAlign w:val="center"/>
          </w:tcPr>
          <w:p w14:paraId="615471B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AEE1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5E17EAB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A74766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景区管理SAAS平台后台</w:t>
            </w:r>
          </w:p>
        </w:tc>
        <w:tc>
          <w:tcPr>
            <w:tcW w:w="712" w:type="pct"/>
            <w:tcBorders>
              <w:top w:val="single" w:color="auto" w:sz="4" w:space="0"/>
              <w:left w:val="single" w:color="auto" w:sz="4" w:space="0"/>
              <w:bottom w:val="single" w:color="auto" w:sz="4" w:space="0"/>
              <w:right w:val="single" w:color="auto" w:sz="4" w:space="0"/>
            </w:tcBorders>
            <w:shd w:val="clear" w:color="auto" w:fill="FFFFFF"/>
            <w:vAlign w:val="center"/>
          </w:tcPr>
          <w:p w14:paraId="7E231C7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713" w:type="pct"/>
            <w:tcBorders>
              <w:top w:val="single" w:color="auto" w:sz="4" w:space="0"/>
              <w:left w:val="single" w:color="auto" w:sz="4" w:space="0"/>
              <w:bottom w:val="single" w:color="auto" w:sz="4" w:space="0"/>
              <w:right w:val="single" w:color="auto" w:sz="4" w:space="0"/>
            </w:tcBorders>
            <w:shd w:val="clear" w:color="auto" w:fill="auto"/>
            <w:vAlign w:val="center"/>
          </w:tcPr>
          <w:p w14:paraId="07903EB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17" w:type="pct"/>
            <w:tcBorders>
              <w:top w:val="single" w:color="auto" w:sz="4" w:space="0"/>
              <w:left w:val="single" w:color="auto" w:sz="4" w:space="0"/>
              <w:bottom w:val="single" w:color="auto" w:sz="4" w:space="0"/>
              <w:right w:val="single" w:color="auto" w:sz="4" w:space="0"/>
            </w:tcBorders>
            <w:shd w:val="clear" w:color="auto" w:fill="auto"/>
            <w:vAlign w:val="center"/>
          </w:tcPr>
          <w:p w14:paraId="10AC881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single" w:color="auto" w:sz="4" w:space="0"/>
              <w:left w:val="single" w:color="auto" w:sz="4" w:space="0"/>
              <w:bottom w:val="single" w:color="auto" w:sz="4" w:space="0"/>
              <w:right w:val="single" w:color="auto" w:sz="4" w:space="0"/>
            </w:tcBorders>
            <w:shd w:val="clear" w:color="auto" w:fill="auto"/>
            <w:vAlign w:val="center"/>
          </w:tcPr>
          <w:p w14:paraId="4DC7678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single" w:color="auto" w:sz="4" w:space="0"/>
              <w:left w:val="single" w:color="auto" w:sz="4" w:space="0"/>
              <w:bottom w:val="single" w:color="auto" w:sz="4" w:space="0"/>
              <w:right w:val="single" w:color="auto" w:sz="4" w:space="0"/>
            </w:tcBorders>
            <w:shd w:val="clear" w:color="auto" w:fill="auto"/>
            <w:vAlign w:val="center"/>
          </w:tcPr>
          <w:p w14:paraId="2782C40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0AC4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440" w:type="pct"/>
            <w:tcBorders>
              <w:top w:val="nil"/>
              <w:left w:val="single" w:color="000000" w:sz="8" w:space="0"/>
              <w:bottom w:val="single" w:color="auto" w:sz="4" w:space="0"/>
              <w:right w:val="single" w:color="000000" w:sz="8" w:space="0"/>
            </w:tcBorders>
            <w:shd w:val="clear" w:color="auto" w:fill="auto"/>
            <w:vAlign w:val="center"/>
          </w:tcPr>
          <w:p w14:paraId="15AE08F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5" w:type="pct"/>
            <w:tcBorders>
              <w:top w:val="nil"/>
              <w:left w:val="nil"/>
              <w:bottom w:val="single" w:color="auto" w:sz="4" w:space="0"/>
              <w:right w:val="single" w:color="000000" w:sz="8" w:space="0"/>
            </w:tcBorders>
            <w:shd w:val="clear" w:color="auto" w:fill="auto"/>
            <w:vAlign w:val="center"/>
          </w:tcPr>
          <w:p w14:paraId="5ABC45D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西塘全域游小程序</w:t>
            </w:r>
          </w:p>
        </w:tc>
        <w:tc>
          <w:tcPr>
            <w:tcW w:w="712" w:type="pct"/>
            <w:tcBorders>
              <w:top w:val="nil"/>
              <w:left w:val="nil"/>
              <w:bottom w:val="single" w:color="auto" w:sz="4" w:space="0"/>
              <w:right w:val="single" w:color="000000" w:sz="8" w:space="0"/>
            </w:tcBorders>
            <w:shd w:val="clear" w:color="auto" w:fill="FFFFFF"/>
            <w:vAlign w:val="center"/>
          </w:tcPr>
          <w:p w14:paraId="2DCEBCC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713" w:type="pct"/>
            <w:tcBorders>
              <w:top w:val="nil"/>
              <w:left w:val="nil"/>
              <w:bottom w:val="single" w:color="auto" w:sz="4" w:space="0"/>
              <w:right w:val="single" w:color="000000" w:sz="8" w:space="0"/>
            </w:tcBorders>
            <w:shd w:val="clear" w:color="auto" w:fill="auto"/>
            <w:vAlign w:val="center"/>
          </w:tcPr>
          <w:p w14:paraId="33609FD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17" w:type="pct"/>
            <w:tcBorders>
              <w:top w:val="nil"/>
              <w:left w:val="nil"/>
              <w:bottom w:val="single" w:color="auto" w:sz="4" w:space="0"/>
              <w:right w:val="single" w:color="000000" w:sz="8" w:space="0"/>
            </w:tcBorders>
            <w:shd w:val="clear" w:color="auto" w:fill="auto"/>
            <w:vAlign w:val="center"/>
          </w:tcPr>
          <w:p w14:paraId="23AB105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nil"/>
              <w:left w:val="nil"/>
              <w:bottom w:val="single" w:color="auto" w:sz="4" w:space="0"/>
              <w:right w:val="single" w:color="000000" w:sz="8" w:space="0"/>
            </w:tcBorders>
            <w:shd w:val="clear" w:color="auto" w:fill="auto"/>
            <w:vAlign w:val="center"/>
          </w:tcPr>
          <w:p w14:paraId="4907B3C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nil"/>
              <w:left w:val="nil"/>
              <w:bottom w:val="single" w:color="auto" w:sz="4" w:space="0"/>
              <w:right w:val="single" w:color="000000" w:sz="8" w:space="0"/>
            </w:tcBorders>
            <w:shd w:val="clear" w:color="auto" w:fill="auto"/>
            <w:vAlign w:val="center"/>
          </w:tcPr>
          <w:p w14:paraId="5BE1CAE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176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1974287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77DE623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技术支持及维保服务</w:t>
            </w:r>
          </w:p>
        </w:tc>
        <w:tc>
          <w:tcPr>
            <w:tcW w:w="712" w:type="pct"/>
            <w:tcBorders>
              <w:top w:val="single" w:color="auto" w:sz="4" w:space="0"/>
              <w:left w:val="single" w:color="auto" w:sz="4" w:space="0"/>
              <w:bottom w:val="single" w:color="auto" w:sz="4" w:space="0"/>
              <w:right w:val="single" w:color="auto" w:sz="4" w:space="0"/>
            </w:tcBorders>
            <w:shd w:val="clear" w:color="auto" w:fill="FFFFFF"/>
            <w:vAlign w:val="center"/>
          </w:tcPr>
          <w:p w14:paraId="76AA4BC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w:t>
            </w:r>
          </w:p>
        </w:tc>
        <w:tc>
          <w:tcPr>
            <w:tcW w:w="713" w:type="pct"/>
            <w:tcBorders>
              <w:top w:val="single" w:color="auto" w:sz="4" w:space="0"/>
              <w:left w:val="single" w:color="auto" w:sz="4" w:space="0"/>
              <w:bottom w:val="single" w:color="auto" w:sz="4" w:space="0"/>
              <w:right w:val="single" w:color="auto" w:sz="4" w:space="0"/>
            </w:tcBorders>
            <w:shd w:val="clear" w:color="auto" w:fill="auto"/>
            <w:vAlign w:val="center"/>
          </w:tcPr>
          <w:p w14:paraId="0B2D921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17" w:type="pct"/>
            <w:tcBorders>
              <w:top w:val="single" w:color="auto" w:sz="4" w:space="0"/>
              <w:left w:val="single" w:color="auto" w:sz="4" w:space="0"/>
              <w:bottom w:val="single" w:color="auto" w:sz="4" w:space="0"/>
              <w:right w:val="single" w:color="auto" w:sz="4" w:space="0"/>
            </w:tcBorders>
            <w:shd w:val="clear" w:color="auto" w:fill="auto"/>
            <w:vAlign w:val="center"/>
          </w:tcPr>
          <w:p w14:paraId="0800AA5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single" w:color="auto" w:sz="4" w:space="0"/>
              <w:left w:val="single" w:color="auto" w:sz="4" w:space="0"/>
              <w:bottom w:val="single" w:color="auto" w:sz="4" w:space="0"/>
              <w:right w:val="single" w:color="auto" w:sz="4" w:space="0"/>
            </w:tcBorders>
            <w:shd w:val="clear" w:color="auto" w:fill="auto"/>
            <w:vAlign w:val="center"/>
          </w:tcPr>
          <w:p w14:paraId="2F5F184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single" w:color="auto" w:sz="4" w:space="0"/>
              <w:left w:val="single" w:color="auto" w:sz="4" w:space="0"/>
              <w:bottom w:val="single" w:color="auto" w:sz="4" w:space="0"/>
              <w:right w:val="single" w:color="auto" w:sz="4" w:space="0"/>
            </w:tcBorders>
            <w:shd w:val="clear" w:color="auto" w:fill="auto"/>
            <w:vAlign w:val="center"/>
          </w:tcPr>
          <w:p w14:paraId="67AA6E9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D35C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3569"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5A67F10D">
            <w:pPr>
              <w:keepNext w:val="0"/>
              <w:keepLines w:val="0"/>
              <w:widowControl/>
              <w:suppressLineNumbers w:val="0"/>
              <w:shd w:val="clear"/>
              <w:spacing w:before="0" w:beforeAutospacing="0" w:after="0" w:afterAutospacing="0"/>
              <w:ind w:left="0" w:right="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总计</w:t>
            </w:r>
          </w:p>
        </w:tc>
        <w:tc>
          <w:tcPr>
            <w:tcW w:w="715" w:type="pct"/>
            <w:tcBorders>
              <w:top w:val="single" w:color="auto" w:sz="4" w:space="0"/>
              <w:left w:val="single" w:color="auto" w:sz="4" w:space="0"/>
              <w:bottom w:val="single" w:color="auto" w:sz="4" w:space="0"/>
              <w:right w:val="single" w:color="auto" w:sz="4" w:space="0"/>
            </w:tcBorders>
            <w:shd w:val="clear" w:color="auto" w:fill="auto"/>
            <w:vAlign w:val="center"/>
          </w:tcPr>
          <w:p w14:paraId="6805A6B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15" w:type="pct"/>
            <w:tcBorders>
              <w:top w:val="single" w:color="auto" w:sz="4" w:space="0"/>
              <w:left w:val="single" w:color="auto" w:sz="4" w:space="0"/>
              <w:bottom w:val="single" w:color="auto" w:sz="4" w:space="0"/>
              <w:right w:val="single" w:color="auto" w:sz="4" w:space="0"/>
            </w:tcBorders>
            <w:shd w:val="clear" w:color="auto" w:fill="auto"/>
            <w:vAlign w:val="center"/>
          </w:tcPr>
          <w:p w14:paraId="35166BA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bl>
    <w:p w14:paraId="63A8AECA">
      <w:pPr>
        <w:shd w:val="clear"/>
        <w:rPr>
          <w:rFonts w:hint="eastAsia" w:ascii="Times New Roman" w:hAnsi="Times New Roman" w:eastAsia="宋体" w:cs="Times New Roman"/>
          <w:b/>
          <w:bCs/>
          <w:color w:val="auto"/>
          <w:kern w:val="44"/>
          <w:sz w:val="32"/>
          <w:szCs w:val="44"/>
          <w:highlight w:val="none"/>
          <w:lang w:val="en-US" w:eastAsia="zh-CN" w:bidi="ar-SA"/>
        </w:rPr>
      </w:pPr>
    </w:p>
    <w:p w14:paraId="6EAC6143">
      <w:pPr>
        <w:shd w:val="clear"/>
        <w:rPr>
          <w:rFonts w:hint="default" w:ascii="Times New Roman" w:hAnsi="Times New Roman" w:eastAsia="宋体" w:cs="Times New Roman"/>
          <w:b/>
          <w:bCs/>
          <w:color w:val="auto"/>
          <w:kern w:val="44"/>
          <w:sz w:val="32"/>
          <w:szCs w:val="44"/>
          <w:highlight w:val="none"/>
          <w:lang w:val="en-US" w:eastAsia="zh-CN" w:bidi="ar-SA"/>
        </w:rPr>
      </w:pPr>
      <w:r>
        <w:rPr>
          <w:rFonts w:hint="eastAsia" w:ascii="宋体" w:hAnsi="宋体" w:eastAsia="宋体" w:cs="宋体"/>
          <w:b/>
          <w:color w:val="auto"/>
          <w:highlight w:val="none"/>
          <w:lang w:val="en-US" w:eastAsia="zh-CN"/>
        </w:rPr>
        <w:t>11.2投标报价明细表——</w:t>
      </w:r>
      <w:r>
        <w:rPr>
          <w:rFonts w:hint="eastAsia" w:ascii="宋体" w:hAnsi="宋体" w:cs="宋体"/>
          <w:b/>
          <w:bCs/>
          <w:color w:val="auto"/>
          <w:sz w:val="24"/>
          <w:highlight w:val="none"/>
          <w:lang w:val="en-US" w:eastAsia="zh-CN"/>
        </w:rPr>
        <w:t>硬件清单</w:t>
      </w:r>
    </w:p>
    <w:tbl>
      <w:tblPr>
        <w:tblStyle w:val="4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9"/>
        <w:gridCol w:w="2616"/>
        <w:gridCol w:w="529"/>
        <w:gridCol w:w="528"/>
        <w:gridCol w:w="816"/>
        <w:gridCol w:w="916"/>
        <w:gridCol w:w="587"/>
        <w:gridCol w:w="704"/>
        <w:gridCol w:w="1652"/>
      </w:tblGrid>
      <w:tr w14:paraId="40ADA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blHeader/>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C8A4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5DE9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设备名称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400D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品牌</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F6A4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型号</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C76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DF5D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2769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单价/元</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C640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合价/元</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B3FF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w:t>
            </w:r>
          </w:p>
        </w:tc>
      </w:tr>
      <w:tr w14:paraId="54FDF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91AADF"/>
            <w:vAlign w:val="center"/>
          </w:tcPr>
          <w:p w14:paraId="6ED6D69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（一）</w:t>
            </w:r>
          </w:p>
        </w:tc>
        <w:tc>
          <w:tcPr>
            <w:tcW w:w="4606" w:type="pct"/>
            <w:gridSpan w:val="8"/>
            <w:tcBorders>
              <w:top w:val="single" w:color="000000" w:sz="4" w:space="0"/>
              <w:left w:val="single" w:color="000000" w:sz="4" w:space="0"/>
              <w:bottom w:val="single" w:color="000000" w:sz="4" w:space="0"/>
              <w:right w:val="single" w:color="000000" w:sz="4" w:space="0"/>
            </w:tcBorders>
            <w:shd w:val="clear" w:color="auto" w:fill="91AADF"/>
            <w:vAlign w:val="center"/>
          </w:tcPr>
          <w:p w14:paraId="0028102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w:t>
            </w:r>
          </w:p>
        </w:tc>
      </w:tr>
      <w:tr w14:paraId="09F53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FCE4D3"/>
            <w:vAlign w:val="center"/>
          </w:tcPr>
          <w:p w14:paraId="2D9AD2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门禁闸机检售票硬件设施——设备采购</w:t>
            </w:r>
          </w:p>
        </w:tc>
      </w:tr>
      <w:tr w14:paraId="77979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1DE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8CF2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三锟闸</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36AF6">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DE5C3">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797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4378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26</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9E34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1E7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7024A">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AC29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1274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17BF7">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电动双摆翼摆闸</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FF684">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CF2F7">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B267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464F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7AF8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AB6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179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017C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F43C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3</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4C2F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手持检票机</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D99D">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C2E62">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4E8D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F079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2C5C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D67E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9FBA4">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2841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7E8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4</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32EFC">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人脸识别（支付宝接入）</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B576B">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E953">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1C94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6486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27</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7381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169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E4BF">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A481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FE5F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5</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E3F2">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自助售检票机</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4174">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B778">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CFB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16CA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0D7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8E14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52570">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56C7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9A0C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6</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21E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立柱式售检票机</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9B4F">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8A889">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332C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FC3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36</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A319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FEC7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D314">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9FCE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EBC1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7</w:t>
            </w:r>
          </w:p>
        </w:tc>
        <w:tc>
          <w:tcPr>
            <w:tcW w:w="9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E0E7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多功能读卡器</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37087">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05E1B">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4469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54AE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27</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4C4F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819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EE52">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73F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4C20B">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9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85506">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0562B">
            <w:pPr>
              <w:keepNext w:val="0"/>
              <w:keepLines w:val="0"/>
              <w:suppressLineNumbers w:val="0"/>
              <w:shd w:val="clear"/>
              <w:spacing w:before="0" w:beforeAutospacing="0" w:after="0" w:afterAutospacing="0"/>
              <w:ind w:left="0" w:right="0"/>
              <w:jc w:val="left"/>
              <w:rPr>
                <w:rFonts w:hint="eastAsia" w:ascii="宋体" w:hAnsi="宋体" w:eastAsia="宋体" w:cs="宋体"/>
                <w:b/>
                <w:bCs/>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A548A">
            <w:pPr>
              <w:keepNext w:val="0"/>
              <w:keepLines w:val="0"/>
              <w:suppressLineNumbers w:val="0"/>
              <w:shd w:val="clear"/>
              <w:spacing w:before="0" w:beforeAutospacing="0" w:after="0" w:afterAutospacing="0"/>
              <w:ind w:left="0" w:right="0"/>
              <w:jc w:val="left"/>
              <w:rPr>
                <w:rFonts w:hint="eastAsia" w:ascii="宋体" w:hAnsi="宋体" w:eastAsia="宋体" w:cs="宋体"/>
                <w:b/>
                <w:bCs/>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0280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049B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74D5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F01B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B94F">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18C6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A00C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8</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63A59">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遮挡雨棚</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6FCE5">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4CD54">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2425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平米</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9955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80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9C44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E9F0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6AB93">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9843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F0F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9</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32B4B">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三锟闸防护栏</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B995">
            <w:pPr>
              <w:keepNext w:val="0"/>
              <w:keepLines w:val="0"/>
              <w:suppressLineNumbers w:val="0"/>
              <w:shd w:val="clear"/>
              <w:spacing w:before="0" w:beforeAutospacing="0" w:after="0" w:afterAutospacing="0"/>
              <w:ind w:left="0" w:right="0"/>
              <w:jc w:val="left"/>
              <w:rPr>
                <w:rFonts w:hint="eastAsia" w:ascii="宋体" w:hAnsi="宋体" w:eastAsia="宋体" w:cs="宋体"/>
                <w:b/>
                <w:bCs/>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F7C24">
            <w:pPr>
              <w:keepNext w:val="0"/>
              <w:keepLines w:val="0"/>
              <w:suppressLineNumbers w:val="0"/>
              <w:shd w:val="clear"/>
              <w:spacing w:before="0" w:beforeAutospacing="0" w:after="0" w:afterAutospacing="0"/>
              <w:ind w:left="0" w:right="0"/>
              <w:jc w:val="left"/>
              <w:rPr>
                <w:rFonts w:hint="eastAsia" w:ascii="宋体" w:hAnsi="宋体" w:eastAsia="宋体" w:cs="宋体"/>
                <w:b/>
                <w:bCs/>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FACF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延米</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0ED8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 xml:space="preserve">13.33 </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A4B1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6DD7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472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FEB8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584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D1A8">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数据中心网络及票房设备</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F731A">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AEEF6">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7F25D">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CCB9">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A3C7">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7DAE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BAC15">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r>
      <w:tr w14:paraId="4CC34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8A9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10.1</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15AB5">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web服务器</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BC8D">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07CCB">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A20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D4F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33B5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AF7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822E">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0734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305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10.2</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BCA2F">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数据库服务器</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53E0">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3503F">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24E3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0C2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937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A029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C5F0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BD5C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2A28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10.3</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7F17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热备软件</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12504">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D065">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B52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B872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68AA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A676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86D0">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698F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193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10.4</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B78D3">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售票电脑</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（含显示器）</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F1AFD">
            <w:pPr>
              <w:keepNext w:val="0"/>
              <w:keepLines w:val="0"/>
              <w:suppressLineNumbers w:val="0"/>
              <w:shd w:val="clear"/>
              <w:spacing w:before="0" w:beforeAutospacing="0" w:after="0" w:afterAutospacing="0"/>
              <w:ind w:left="0" w:right="0"/>
              <w:jc w:val="left"/>
              <w:rPr>
                <w:rFonts w:hint="eastAsia" w:ascii="宋体" w:hAnsi="宋体" w:eastAsia="宋体" w:cs="宋体"/>
                <w:b/>
                <w:bCs/>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9F9B">
            <w:pPr>
              <w:keepNext w:val="0"/>
              <w:keepLines w:val="0"/>
              <w:suppressLineNumbers w:val="0"/>
              <w:shd w:val="clear"/>
              <w:spacing w:before="0" w:beforeAutospacing="0" w:after="0" w:afterAutospacing="0"/>
              <w:ind w:left="0" w:right="0"/>
              <w:jc w:val="left"/>
              <w:rPr>
                <w:rFonts w:hint="eastAsia" w:ascii="宋体" w:hAnsi="宋体" w:eastAsia="宋体" w:cs="宋体"/>
                <w:b/>
                <w:bCs/>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458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8EA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333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10B7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D75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A108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91F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10.5</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F291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售票配件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二维码阅读器</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9E02E">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AF22B">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630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CCC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3A1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2C3B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671DD">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F96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20E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10.6</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7CC4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门票打印机</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03A32">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55DB3">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297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F84E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204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2BB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F44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1EC3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1731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10.7</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499A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售票配件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IC卡读写器</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A37E8">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B9F8">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9B0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AF5E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D52B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3C2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F500">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EE64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5D6E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10.8</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B3A96">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售票配件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身份证阅读器</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D9C73">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02A52">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C22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16D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FCB3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FD9F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EE31">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A2A1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5620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2C0C">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64ECF">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6A8C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1396" w:type="pct"/>
            <w:gridSpan w:val="3"/>
            <w:tcBorders>
              <w:top w:val="single" w:color="000000" w:sz="4" w:space="0"/>
              <w:left w:val="single" w:color="000000" w:sz="4" w:space="0"/>
              <w:bottom w:val="single" w:color="000000" w:sz="4" w:space="0"/>
              <w:right w:val="single" w:color="000000" w:sz="4" w:space="0"/>
            </w:tcBorders>
            <w:shd w:val="clear" w:color="auto" w:fill="FEE796"/>
            <w:vAlign w:val="center"/>
          </w:tcPr>
          <w:p w14:paraId="573D211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门禁闸机检售票硬件设施——设备采购小计</w:t>
            </w:r>
          </w:p>
        </w:tc>
        <w:tc>
          <w:tcPr>
            <w:tcW w:w="476" w:type="pct"/>
            <w:tcBorders>
              <w:top w:val="single" w:color="000000" w:sz="4" w:space="0"/>
              <w:left w:val="single" w:color="000000" w:sz="4" w:space="0"/>
              <w:bottom w:val="single" w:color="000000" w:sz="4" w:space="0"/>
              <w:right w:val="single" w:color="000000" w:sz="4" w:space="0"/>
            </w:tcBorders>
            <w:shd w:val="clear" w:color="auto" w:fill="FEE796"/>
            <w:noWrap/>
            <w:vAlign w:val="center"/>
          </w:tcPr>
          <w:p w14:paraId="669E624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B48B1">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1B59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FCE4D3"/>
            <w:vAlign w:val="center"/>
          </w:tcPr>
          <w:p w14:paraId="0728F0D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门禁闸机检售票硬件设施——其他</w:t>
            </w:r>
          </w:p>
        </w:tc>
      </w:tr>
      <w:tr w14:paraId="5C717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A48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11</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192C0">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原设备拆旧及场地布线清理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26F8A">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5F8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A14D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项</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6B7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5A40B">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E71D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409FB">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r>
      <w:tr w14:paraId="748C2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15153">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3A2B6">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31D7">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E0FF2">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1396" w:type="pct"/>
            <w:gridSpan w:val="3"/>
            <w:tcBorders>
              <w:top w:val="single" w:color="000000" w:sz="4" w:space="0"/>
              <w:left w:val="single" w:color="000000" w:sz="4" w:space="0"/>
              <w:bottom w:val="single" w:color="000000" w:sz="4" w:space="0"/>
              <w:right w:val="single" w:color="000000" w:sz="4" w:space="0"/>
            </w:tcBorders>
            <w:shd w:val="clear" w:color="auto" w:fill="FEE796"/>
            <w:vAlign w:val="center"/>
          </w:tcPr>
          <w:p w14:paraId="7615B99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门禁闸机检售票硬件设施——其他小计</w:t>
            </w:r>
          </w:p>
        </w:tc>
        <w:tc>
          <w:tcPr>
            <w:tcW w:w="476" w:type="pct"/>
            <w:tcBorders>
              <w:top w:val="single" w:color="000000" w:sz="4" w:space="0"/>
              <w:left w:val="single" w:color="000000" w:sz="4" w:space="0"/>
              <w:bottom w:val="single" w:color="000000" w:sz="4" w:space="0"/>
              <w:right w:val="single" w:color="000000" w:sz="4" w:space="0"/>
            </w:tcBorders>
            <w:shd w:val="clear" w:color="auto" w:fill="FEE796"/>
            <w:noWrap/>
            <w:vAlign w:val="center"/>
          </w:tcPr>
          <w:p w14:paraId="599335B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8E847">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r>
      <w:tr w14:paraId="59A15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531" w:type="pct"/>
            <w:gridSpan w:val="7"/>
            <w:tcBorders>
              <w:top w:val="single" w:color="000000" w:sz="4" w:space="0"/>
              <w:left w:val="single" w:color="000000" w:sz="4" w:space="0"/>
              <w:bottom w:val="single" w:color="000000" w:sz="4" w:space="0"/>
              <w:right w:val="single" w:color="000000" w:sz="4" w:space="0"/>
            </w:tcBorders>
            <w:shd w:val="clear" w:color="auto" w:fill="7CDED7"/>
            <w:vAlign w:val="center"/>
          </w:tcPr>
          <w:p w14:paraId="3E3A84D8">
            <w:pPr>
              <w:keepNext w:val="0"/>
              <w:keepLines w:val="0"/>
              <w:widowControl/>
              <w:suppressLineNumbers w:val="0"/>
              <w:shd w:val="clear"/>
              <w:spacing w:before="0" w:beforeAutospacing="0" w:after="0" w:afterAutospacing="0"/>
              <w:ind w:left="0" w:right="0"/>
              <w:jc w:val="righ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门禁闸机检售票硬件设施小计</w:t>
            </w:r>
          </w:p>
        </w:tc>
        <w:tc>
          <w:tcPr>
            <w:tcW w:w="476" w:type="pct"/>
            <w:tcBorders>
              <w:top w:val="single" w:color="000000" w:sz="4" w:space="0"/>
              <w:left w:val="single" w:color="000000" w:sz="4" w:space="0"/>
              <w:bottom w:val="single" w:color="000000" w:sz="4" w:space="0"/>
              <w:right w:val="single" w:color="000000" w:sz="4" w:space="0"/>
            </w:tcBorders>
            <w:shd w:val="clear" w:color="auto" w:fill="7CDED7"/>
            <w:vAlign w:val="center"/>
          </w:tcPr>
          <w:p w14:paraId="43E6F33C">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7CDED7"/>
            <w:vAlign w:val="center"/>
          </w:tcPr>
          <w:p w14:paraId="6B951BA8">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r>
      <w:tr w14:paraId="37A96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91AADF"/>
            <w:vAlign w:val="center"/>
          </w:tcPr>
          <w:p w14:paraId="7CCC0A9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(二)</w:t>
            </w:r>
          </w:p>
        </w:tc>
        <w:tc>
          <w:tcPr>
            <w:tcW w:w="4606" w:type="pct"/>
            <w:gridSpan w:val="8"/>
            <w:tcBorders>
              <w:top w:val="single" w:color="000000" w:sz="4" w:space="0"/>
              <w:left w:val="single" w:color="000000" w:sz="4" w:space="0"/>
              <w:bottom w:val="single" w:color="000000" w:sz="4" w:space="0"/>
              <w:right w:val="single" w:color="000000" w:sz="4" w:space="0"/>
            </w:tcBorders>
            <w:shd w:val="clear" w:color="auto" w:fill="91AADF"/>
            <w:vAlign w:val="center"/>
          </w:tcPr>
          <w:p w14:paraId="59A40BF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w:t>
            </w:r>
          </w:p>
        </w:tc>
      </w:tr>
      <w:tr w14:paraId="3E5AC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FCE4D3"/>
            <w:vAlign w:val="center"/>
          </w:tcPr>
          <w:p w14:paraId="1E8FA0E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配套网络设施——网络设备</w:t>
            </w:r>
          </w:p>
        </w:tc>
      </w:tr>
      <w:tr w14:paraId="4110F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8AE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5884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24电口千兆接入交换机</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4059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C9F8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5085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E29F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724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1DA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2332">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F073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06E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8D1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24光口万兆汇聚交换机</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BB07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3895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2C66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BD63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CC4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66A6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8641D">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0736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BF7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A69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千兆光模块</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1FB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A2F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283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0C6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76</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D902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3B7E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4B3E">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5D66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CF9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0270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万兆光模块</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57EF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FF9C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7BB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只</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C08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4A29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847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C2F2">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1BD5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71F1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DD0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光纤跳线</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EBA9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AE3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4AD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1EE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630B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2F16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6F6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F224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E54F">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BC253">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F9FE">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0376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1396" w:type="pct"/>
            <w:gridSpan w:val="3"/>
            <w:tcBorders>
              <w:top w:val="single" w:color="000000" w:sz="4" w:space="0"/>
              <w:left w:val="single" w:color="000000" w:sz="4" w:space="0"/>
              <w:bottom w:val="single" w:color="000000" w:sz="4" w:space="0"/>
              <w:right w:val="single" w:color="000000" w:sz="4" w:space="0"/>
            </w:tcBorders>
            <w:shd w:val="clear" w:color="auto" w:fill="FEE796"/>
            <w:vAlign w:val="center"/>
          </w:tcPr>
          <w:p w14:paraId="6691A04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配套网络设施---网络设备小计</w:t>
            </w:r>
          </w:p>
        </w:tc>
        <w:tc>
          <w:tcPr>
            <w:tcW w:w="476" w:type="pct"/>
            <w:tcBorders>
              <w:top w:val="single" w:color="000000" w:sz="4" w:space="0"/>
              <w:left w:val="single" w:color="000000" w:sz="4" w:space="0"/>
              <w:bottom w:val="single" w:color="000000" w:sz="4" w:space="0"/>
              <w:right w:val="single" w:color="000000" w:sz="4" w:space="0"/>
            </w:tcBorders>
            <w:shd w:val="clear" w:color="auto" w:fill="FEE796"/>
            <w:noWrap/>
            <w:vAlign w:val="center"/>
          </w:tcPr>
          <w:p w14:paraId="65F4E37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A28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4155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FCE4D3"/>
            <w:vAlign w:val="center"/>
          </w:tcPr>
          <w:p w14:paraId="23621A3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配套网络设施---管线材料</w:t>
            </w:r>
          </w:p>
        </w:tc>
      </w:tr>
      <w:tr w14:paraId="6CC91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DEC3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0FC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室外防水蝶形光缆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B7EC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CB73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BA5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0BCD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8664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1823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59E2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20F0">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EB58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DD76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186C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室外防水重铠光缆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92F2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B07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6B70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911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1728</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73E2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C9F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DBA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07DC9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5C78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4FB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室外防水重铠光缆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1CE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C33E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ED0F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CA8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8611.2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833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A92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36A0">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ACCA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1F7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56C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室外防水重铠光缆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3D09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89E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D21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D2F5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961.2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0FD2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A79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C85C">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DE6A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B5E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205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室外防水重铠光缆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6D4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0774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14E9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2D8F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10297.2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FA08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2D2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D070">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277E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28A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54C4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光纤终端盒</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6AE3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AACC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2410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1D2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641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513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D7E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26F4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8061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08D2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光纤配线架</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74B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AA0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441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A362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C79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C3E3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8A8A">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094F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3F70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9CC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光纤配线架</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1CF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16B7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7595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C32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1087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216E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8CBB2">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0232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CB01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96FA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光纤配线架</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528FB">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BDC21">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7970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A099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46C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CDF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D1836">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145E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3AB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149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光纤跳线</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0D2AE">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F5C44">
            <w:pPr>
              <w:keepNext w:val="0"/>
              <w:keepLines w:val="0"/>
              <w:suppressLineNumbers w:val="0"/>
              <w:shd w:val="clear"/>
              <w:spacing w:before="0" w:beforeAutospacing="0" w:after="0" w:afterAutospacing="0"/>
              <w:ind w:left="0" w:right="0"/>
              <w:jc w:val="left"/>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23E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AB20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693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9BB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DBD3">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C2D7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405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768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室外防水电源线</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8AEB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67F1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F62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33F6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6120</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A8DD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255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D3A3">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9AFE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EA2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3EC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穿线用PE管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41F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981D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7476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36F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1630.8</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A586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69B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B8029">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B225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CDF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9FE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穿线用PE管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EB1D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41B4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6B1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949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474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567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A1D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2B10">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DEA4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8E1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0D09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铝合金线槽</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FFCB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A06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2FF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5EE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2042.7</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F2F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970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63D1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805D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30E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6F5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铝合金线槽</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87C7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04CD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BE8D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8D9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3643.2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1F4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6B2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DDEBC">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5759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EC9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FE2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线槽用不锈钢固定件</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DBD5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AA80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6AF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0EBF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6823 </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A04A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753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62DB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EFE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E81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AC4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绿地盆式窨井制作安装</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430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787A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2C1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02B4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81</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7B6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782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9C6E0">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61705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D74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23</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583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水泥</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3E1C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3C3D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27B0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立方米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E71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39.7</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18B5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DFB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289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6EF5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4C7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F8C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室外防水落地综合柜</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65BB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29A4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53C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83E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EAF7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37F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DA8A">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FF4A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CA62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CF9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PDU电源插座</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9193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37D9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CAF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82E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6374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FD7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AF4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203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8AA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9052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柜体接地极</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346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8E8C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D57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FD4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6BB7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6A2B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C071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ADD0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2021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27</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D23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室外防水设备箱</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F291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B9E3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2F8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2139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05F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6CEC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6EAD">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AC8D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84C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12E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沿河底水泥盖板（管护套）</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982D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B5AB9">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8B7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FB0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9AA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130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A02F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D1B7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5A9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117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硬质PVC管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172E">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030C">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D3D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CF59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1557.6</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4C9C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9B0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D20E7">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35638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1A03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8F1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硬质PVC管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A879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15D0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0DE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6E6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4990</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722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4710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238A">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92EA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908A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09E0B">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88C36">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EBA76">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c>
          <w:tcPr>
            <w:tcW w:w="1396" w:type="pct"/>
            <w:gridSpan w:val="3"/>
            <w:tcBorders>
              <w:top w:val="single" w:color="000000" w:sz="4" w:space="0"/>
              <w:left w:val="single" w:color="000000" w:sz="4" w:space="0"/>
              <w:bottom w:val="single" w:color="000000" w:sz="4" w:space="0"/>
              <w:right w:val="single" w:color="000000" w:sz="4" w:space="0"/>
            </w:tcBorders>
            <w:shd w:val="clear" w:color="auto" w:fill="FEE796"/>
            <w:vAlign w:val="center"/>
          </w:tcPr>
          <w:p w14:paraId="2BBFF8C2">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配套网络设施---管线材料小计</w:t>
            </w:r>
          </w:p>
        </w:tc>
        <w:tc>
          <w:tcPr>
            <w:tcW w:w="476" w:type="pct"/>
            <w:tcBorders>
              <w:top w:val="single" w:color="000000" w:sz="4" w:space="0"/>
              <w:left w:val="single" w:color="000000" w:sz="4" w:space="0"/>
              <w:bottom w:val="single" w:color="000000" w:sz="4" w:space="0"/>
              <w:right w:val="single" w:color="000000" w:sz="4" w:space="0"/>
            </w:tcBorders>
            <w:shd w:val="clear" w:color="auto" w:fill="FEE796"/>
            <w:noWrap/>
            <w:vAlign w:val="center"/>
          </w:tcPr>
          <w:p w14:paraId="4FA5859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D19DE">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426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FCE4D3"/>
            <w:vAlign w:val="center"/>
          </w:tcPr>
          <w:p w14:paraId="4DC850A0">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配套网络设施---安装施工</w:t>
            </w:r>
          </w:p>
        </w:tc>
      </w:tr>
      <w:tr w14:paraId="6727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19C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31</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737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水面作业（沿堤安装）</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E93C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D8BF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2CDF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03A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5685.9</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CB0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E648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D793">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62E9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18E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B6A4">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光纤热熔接</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FFF2B">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3E567">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5930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芯</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8DE1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5760</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ACD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5C5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14BB">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338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BC4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33</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FF15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河道开挖预埋</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82AA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7A95F">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77AC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8F7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A82E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6FDFD">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8638">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2AD32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947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34</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EFCC">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河堤内侧挖过墙孔</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5625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D82CA">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79E6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C52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C6F3">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D08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F45F">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5BB6C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D80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AEB28">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管道外观喷涂</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089C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9466">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61F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752C7">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220</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4CE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B8E5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9F29">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2567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C35F6">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36</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2535">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绿草地挖埋管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DFD94">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C95F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870B">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909F">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1252.8</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07480">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D9C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5DBA">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7F03E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79CD">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37</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34FD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水泥或石板路面挖埋管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4C361">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C3A5">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2FB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9E92E">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747.6</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984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3118">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0AAE5">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461E9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202F1">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A2C1A">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2C28">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F0AC6">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c>
          <w:tcPr>
            <w:tcW w:w="1396" w:type="pct"/>
            <w:gridSpan w:val="3"/>
            <w:tcBorders>
              <w:top w:val="single" w:color="000000" w:sz="4" w:space="0"/>
              <w:left w:val="single" w:color="000000" w:sz="4" w:space="0"/>
              <w:bottom w:val="single" w:color="000000" w:sz="4" w:space="0"/>
              <w:right w:val="single" w:color="000000" w:sz="4" w:space="0"/>
            </w:tcBorders>
            <w:shd w:val="clear" w:color="auto" w:fill="FEE796"/>
            <w:vAlign w:val="center"/>
          </w:tcPr>
          <w:p w14:paraId="4A1A5F39">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配套网络设施---安装施工小计</w:t>
            </w:r>
          </w:p>
        </w:tc>
        <w:tc>
          <w:tcPr>
            <w:tcW w:w="476" w:type="pct"/>
            <w:tcBorders>
              <w:top w:val="single" w:color="000000" w:sz="4" w:space="0"/>
              <w:left w:val="single" w:color="000000" w:sz="4" w:space="0"/>
              <w:bottom w:val="single" w:color="000000" w:sz="4" w:space="0"/>
              <w:right w:val="single" w:color="000000" w:sz="4" w:space="0"/>
            </w:tcBorders>
            <w:shd w:val="clear" w:color="auto" w:fill="FEE796"/>
            <w:noWrap/>
            <w:vAlign w:val="center"/>
          </w:tcPr>
          <w:p w14:paraId="2CD25C42">
            <w:pPr>
              <w:keepNext w:val="0"/>
              <w:keepLines w:val="0"/>
              <w:suppressLineNumbers w:val="0"/>
              <w:shd w:val="clear"/>
              <w:spacing w:before="0" w:beforeAutospacing="0" w:after="0" w:afterAutospacing="0"/>
              <w:ind w:left="0" w:right="0"/>
              <w:jc w:val="center"/>
              <w:rPr>
                <w:rFonts w:hint="eastAsia" w:ascii="宋体" w:hAnsi="宋体" w:eastAsia="宋体" w:cs="宋体"/>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391AA">
            <w:pPr>
              <w:keepNext w:val="0"/>
              <w:keepLines w:val="0"/>
              <w:suppressLineNumbers w:val="0"/>
              <w:shd w:val="clear"/>
              <w:spacing w:before="0" w:beforeAutospacing="0" w:after="0" w:afterAutospacing="0"/>
              <w:ind w:left="0" w:right="0"/>
              <w:rPr>
                <w:rFonts w:hint="eastAsia" w:ascii="宋体" w:hAnsi="宋体" w:eastAsia="宋体" w:cs="宋体"/>
                <w:i w:val="0"/>
                <w:iCs w:val="0"/>
                <w:color w:val="auto"/>
                <w:sz w:val="20"/>
                <w:szCs w:val="20"/>
                <w:highlight w:val="none"/>
                <w:u w:val="none"/>
              </w:rPr>
            </w:pPr>
          </w:p>
        </w:tc>
      </w:tr>
      <w:tr w14:paraId="1DB15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531" w:type="pct"/>
            <w:gridSpan w:val="7"/>
            <w:tcBorders>
              <w:top w:val="single" w:color="000000" w:sz="4" w:space="0"/>
              <w:left w:val="single" w:color="000000" w:sz="4" w:space="0"/>
              <w:bottom w:val="single" w:color="000000" w:sz="4" w:space="0"/>
              <w:right w:val="single" w:color="000000" w:sz="4" w:space="0"/>
            </w:tcBorders>
            <w:shd w:val="clear" w:color="auto" w:fill="7CDED7"/>
            <w:vAlign w:val="center"/>
          </w:tcPr>
          <w:p w14:paraId="3300298B">
            <w:pPr>
              <w:keepNext w:val="0"/>
              <w:keepLines w:val="0"/>
              <w:widowControl/>
              <w:suppressLineNumbers w:val="0"/>
              <w:shd w:val="clear"/>
              <w:spacing w:before="0" w:beforeAutospacing="0" w:after="0" w:afterAutospacing="0"/>
              <w:ind w:left="0" w:right="0"/>
              <w:jc w:val="righ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配套网络设施小计</w:t>
            </w:r>
          </w:p>
        </w:tc>
        <w:tc>
          <w:tcPr>
            <w:tcW w:w="476" w:type="pct"/>
            <w:tcBorders>
              <w:top w:val="single" w:color="000000" w:sz="4" w:space="0"/>
              <w:left w:val="single" w:color="000000" w:sz="4" w:space="0"/>
              <w:bottom w:val="single" w:color="000000" w:sz="4" w:space="0"/>
              <w:right w:val="single" w:color="000000" w:sz="4" w:space="0"/>
            </w:tcBorders>
            <w:shd w:val="clear" w:color="auto" w:fill="7CDED7"/>
            <w:vAlign w:val="center"/>
          </w:tcPr>
          <w:p w14:paraId="286CC461">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7CDED7"/>
            <w:vAlign w:val="center"/>
          </w:tcPr>
          <w:p w14:paraId="05364747">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r>
      <w:tr w14:paraId="63C46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93" w:type="pct"/>
            <w:tcBorders>
              <w:top w:val="single" w:color="000000" w:sz="4" w:space="0"/>
              <w:left w:val="single" w:color="000000" w:sz="4" w:space="0"/>
              <w:bottom w:val="single" w:color="000000" w:sz="4" w:space="0"/>
              <w:right w:val="single" w:color="000000" w:sz="4" w:space="0"/>
            </w:tcBorders>
            <w:shd w:val="clear" w:color="auto" w:fill="91AADF"/>
            <w:vAlign w:val="center"/>
          </w:tcPr>
          <w:p w14:paraId="46126533">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（三）</w:t>
            </w:r>
          </w:p>
        </w:tc>
        <w:tc>
          <w:tcPr>
            <w:tcW w:w="3138" w:type="pct"/>
            <w:gridSpan w:val="6"/>
            <w:tcBorders>
              <w:top w:val="single" w:color="000000" w:sz="4" w:space="0"/>
              <w:left w:val="single" w:color="000000" w:sz="4" w:space="0"/>
              <w:bottom w:val="single" w:color="000000" w:sz="4" w:space="0"/>
              <w:right w:val="single" w:color="000000" w:sz="4" w:space="0"/>
            </w:tcBorders>
            <w:shd w:val="clear" w:color="auto" w:fill="91AADF"/>
            <w:vAlign w:val="center"/>
          </w:tcPr>
          <w:p w14:paraId="78AA2601">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总计：（一）+（二）</w:t>
            </w:r>
          </w:p>
        </w:tc>
        <w:tc>
          <w:tcPr>
            <w:tcW w:w="476" w:type="pct"/>
            <w:tcBorders>
              <w:top w:val="single" w:color="000000" w:sz="4" w:space="0"/>
              <w:left w:val="single" w:color="000000" w:sz="4" w:space="0"/>
              <w:bottom w:val="single" w:color="000000" w:sz="4" w:space="0"/>
              <w:right w:val="single" w:color="000000" w:sz="4" w:space="0"/>
            </w:tcBorders>
            <w:shd w:val="clear" w:color="auto" w:fill="91AADF"/>
            <w:vAlign w:val="center"/>
          </w:tcPr>
          <w:p w14:paraId="72F09E25">
            <w:pPr>
              <w:keepNext w:val="0"/>
              <w:keepLines w:val="0"/>
              <w:suppressLineNumbers w:val="0"/>
              <w:shd w:val="clear"/>
              <w:spacing w:before="0" w:beforeAutospacing="0" w:after="0" w:afterAutospacing="0"/>
              <w:ind w:left="0" w:right="0"/>
              <w:jc w:val="center"/>
              <w:rPr>
                <w:rFonts w:hint="eastAsia" w:ascii="宋体" w:hAnsi="宋体" w:eastAsia="宋体" w:cs="宋体"/>
                <w:b/>
                <w:bCs/>
                <w:i w:val="0"/>
                <w:iCs w:val="0"/>
                <w:color w:val="auto"/>
                <w:sz w:val="20"/>
                <w:szCs w:val="20"/>
                <w:highlight w:val="none"/>
                <w:u w:val="none"/>
              </w:rPr>
            </w:pPr>
          </w:p>
        </w:tc>
        <w:tc>
          <w:tcPr>
            <w:tcW w:w="991" w:type="pct"/>
            <w:tcBorders>
              <w:top w:val="single" w:color="000000" w:sz="4" w:space="0"/>
              <w:left w:val="single" w:color="000000" w:sz="4" w:space="0"/>
              <w:bottom w:val="single" w:color="000000" w:sz="4" w:space="0"/>
              <w:right w:val="single" w:color="000000" w:sz="4" w:space="0"/>
            </w:tcBorders>
            <w:shd w:val="clear" w:color="auto" w:fill="91AADF"/>
            <w:vAlign w:val="center"/>
          </w:tcPr>
          <w:p w14:paraId="70979C43">
            <w:pPr>
              <w:keepNext w:val="0"/>
              <w:keepLines w:val="0"/>
              <w:suppressLineNumbers w:val="0"/>
              <w:shd w:val="clear"/>
              <w:spacing w:before="0" w:beforeAutospacing="0" w:after="0" w:afterAutospacing="0"/>
              <w:ind w:left="0" w:right="0"/>
              <w:rPr>
                <w:rFonts w:hint="eastAsia" w:ascii="宋体" w:hAnsi="宋体" w:eastAsia="宋体" w:cs="宋体"/>
                <w:b/>
                <w:bCs/>
                <w:i w:val="0"/>
                <w:iCs w:val="0"/>
                <w:color w:val="auto"/>
                <w:sz w:val="20"/>
                <w:szCs w:val="20"/>
                <w:highlight w:val="none"/>
                <w:u w:val="none"/>
              </w:rPr>
            </w:pPr>
          </w:p>
        </w:tc>
      </w:tr>
    </w:tbl>
    <w:p w14:paraId="3D774A45">
      <w:pPr>
        <w:shd w:val="clear"/>
        <w:rPr>
          <w:rFonts w:hint="eastAsia" w:ascii="宋体" w:hAnsi="宋体" w:eastAsia="宋体" w:cs="Times New Roman"/>
          <w:color w:val="auto"/>
          <w:sz w:val="24"/>
          <w:highlight w:val="none"/>
          <w:lang w:eastAsia="zh-CN"/>
        </w:rPr>
      </w:pPr>
      <w:r>
        <w:rPr>
          <w:rFonts w:hint="eastAsia" w:cs="Times New Roman"/>
          <w:b/>
          <w:bCs/>
          <w:color w:val="auto"/>
          <w:kern w:val="44"/>
          <w:sz w:val="24"/>
          <w:szCs w:val="36"/>
          <w:highlight w:val="none"/>
          <w:lang w:val="en-US" w:eastAsia="zh-CN" w:bidi="ar-SA"/>
        </w:rPr>
        <w:t>注：上表单价为全费用单价，除配套网络设施单列安装施工费用外，其余单价均已考虑相关材料采购、安装调试、施工及</w:t>
      </w:r>
      <w:r>
        <w:rPr>
          <w:rFonts w:hint="eastAsia" w:ascii="宋体" w:hAnsi="宋体" w:eastAsia="宋体" w:cs="Times New Roman"/>
          <w:color w:val="auto"/>
          <w:sz w:val="24"/>
          <w:highlight w:val="none"/>
          <w:lang w:eastAsia="zh-CN"/>
        </w:rPr>
        <w:t>三年期售后服务</w:t>
      </w:r>
      <w:r>
        <w:rPr>
          <w:rFonts w:hint="eastAsia" w:ascii="宋体" w:hAnsi="宋体" w:eastAsia="宋体" w:cs="Times New Roman"/>
          <w:color w:val="auto"/>
          <w:sz w:val="24"/>
          <w:highlight w:val="none"/>
          <w:lang w:val="en-US" w:eastAsia="zh-CN"/>
        </w:rPr>
        <w:t>等费用</w:t>
      </w:r>
      <w:r>
        <w:rPr>
          <w:rFonts w:hint="eastAsia" w:ascii="宋体" w:hAnsi="宋体" w:eastAsia="宋体" w:cs="Times New Roman"/>
          <w:color w:val="auto"/>
          <w:sz w:val="24"/>
          <w:highlight w:val="none"/>
          <w:lang w:eastAsia="zh-CN"/>
        </w:rPr>
        <w:t>。</w:t>
      </w:r>
    </w:p>
    <w:p w14:paraId="28702C37">
      <w:pPr>
        <w:shd w:val="clear"/>
        <w:rPr>
          <w:rFonts w:hint="default" w:ascii="宋体" w:hAnsi="宋体" w:eastAsia="宋体" w:cs="Times New Roman"/>
          <w:color w:val="auto"/>
          <w:sz w:val="24"/>
          <w:highlight w:val="none"/>
          <w:lang w:val="en-US" w:eastAsia="zh-CN"/>
        </w:rPr>
      </w:pPr>
    </w:p>
    <w:p w14:paraId="434D4152">
      <w:pPr>
        <w:keepNext w:val="0"/>
        <w:keepLines w:val="0"/>
        <w:pageBreakBefore w:val="0"/>
        <w:widowControl/>
        <w:shd w:val="clear"/>
        <w:kinsoku/>
        <w:wordWrap/>
        <w:overflowPunct/>
        <w:topLinePunct w:val="0"/>
        <w:autoSpaceDE/>
        <w:autoSpaceDN/>
        <w:bidi w:val="0"/>
        <w:adjustRightInd w:val="0"/>
        <w:snapToGrid w:val="0"/>
        <w:spacing w:before="0" w:beforeAutospacing="0" w:after="0" w:afterAutospacing="0" w:line="20" w:lineRule="exact"/>
        <w:ind w:right="0" w:rightChars="0"/>
        <w:jc w:val="both"/>
        <w:textAlignment w:val="auto"/>
        <w:outlineLvl w:val="9"/>
        <w:rPr>
          <w:rFonts w:hint="default" w:ascii="宋体" w:hAnsi="宋体" w:eastAsia="宋体" w:cs="宋体"/>
          <w:color w:val="auto"/>
          <w:kern w:val="0"/>
          <w:sz w:val="24"/>
          <w:szCs w:val="24"/>
          <w:highlight w:val="none"/>
          <w:lang w:val="en-US" w:eastAsia="zh-CN" w:bidi="ar-SA"/>
        </w:rPr>
      </w:pPr>
    </w:p>
    <w:p w14:paraId="25D72981">
      <w:pPr>
        <w:keepNext w:val="0"/>
        <w:keepLines w:val="0"/>
        <w:pageBreakBefore w:val="0"/>
        <w:widowControl/>
        <w:shd w:val="clear"/>
        <w:kinsoku/>
        <w:wordWrap/>
        <w:overflowPunct/>
        <w:topLinePunct w:val="0"/>
        <w:autoSpaceDE/>
        <w:autoSpaceDN/>
        <w:bidi w:val="0"/>
        <w:adjustRightInd w:val="0"/>
        <w:snapToGrid w:val="0"/>
        <w:spacing w:before="0" w:beforeAutospacing="0" w:after="0" w:afterAutospacing="0" w:line="20" w:lineRule="exact"/>
        <w:ind w:right="0" w:rightChars="0"/>
        <w:jc w:val="both"/>
        <w:textAlignment w:val="auto"/>
        <w:outlineLvl w:val="9"/>
        <w:rPr>
          <w:rFonts w:hint="default" w:ascii="宋体" w:hAnsi="宋体" w:eastAsia="宋体" w:cs="宋体"/>
          <w:color w:val="auto"/>
          <w:kern w:val="0"/>
          <w:sz w:val="24"/>
          <w:szCs w:val="24"/>
          <w:highlight w:val="none"/>
          <w:lang w:val="en-US" w:eastAsia="zh-CN" w:bidi="ar-SA"/>
        </w:rPr>
      </w:pPr>
    </w:p>
    <w:p w14:paraId="38273400">
      <w:pPr>
        <w:keepNext w:val="0"/>
        <w:keepLines w:val="0"/>
        <w:pageBreakBefore w:val="0"/>
        <w:widowControl/>
        <w:shd w:val="clear"/>
        <w:kinsoku/>
        <w:wordWrap/>
        <w:overflowPunct/>
        <w:topLinePunct w:val="0"/>
        <w:autoSpaceDE/>
        <w:autoSpaceDN/>
        <w:bidi w:val="0"/>
        <w:adjustRightInd w:val="0"/>
        <w:snapToGrid w:val="0"/>
        <w:spacing w:before="0" w:beforeAutospacing="0" w:after="0" w:afterAutospacing="0" w:line="20" w:lineRule="exact"/>
        <w:ind w:right="0" w:rightChars="0"/>
        <w:jc w:val="both"/>
        <w:textAlignment w:val="auto"/>
        <w:outlineLvl w:val="9"/>
        <w:rPr>
          <w:rFonts w:hint="default" w:ascii="宋体" w:hAnsi="宋体" w:eastAsia="宋体" w:cs="宋体"/>
          <w:color w:val="auto"/>
          <w:kern w:val="0"/>
          <w:sz w:val="24"/>
          <w:szCs w:val="24"/>
          <w:highlight w:val="none"/>
          <w:lang w:val="en-US" w:eastAsia="zh-CN" w:bidi="ar-SA"/>
        </w:rPr>
      </w:pPr>
    </w:p>
    <w:p w14:paraId="74B647EA">
      <w:pPr>
        <w:pageBreakBefore w:val="0"/>
        <w:shd w:val="clear"/>
        <w:kinsoku/>
        <w:wordWrap w:val="0"/>
        <w:overflowPunct/>
        <w:topLinePunct w:val="0"/>
        <w:bidi w:val="0"/>
        <w:snapToGrid w:val="0"/>
        <w:spacing w:beforeLines="50" w:after="50" w:afterLines="0" w:line="360" w:lineRule="auto"/>
        <w:rPr>
          <w:rFonts w:hint="default" w:ascii="宋体" w:hAnsi="宋体" w:eastAsia="宋体"/>
          <w:color w:val="auto"/>
          <w:sz w:val="24"/>
          <w:szCs w:val="24"/>
          <w:highlight w:val="none"/>
        </w:rPr>
      </w:pPr>
      <w:r>
        <w:rPr>
          <w:rFonts w:hint="default" w:ascii="宋体" w:hAnsi="宋体" w:eastAsia="宋体"/>
          <w:color w:val="auto"/>
          <w:sz w:val="24"/>
          <w:szCs w:val="24"/>
          <w:highlight w:val="none"/>
        </w:rPr>
        <w:t>投标人（盖章）：</w:t>
      </w:r>
    </w:p>
    <w:p w14:paraId="5D0B4534">
      <w:pPr>
        <w:pageBreakBefore w:val="0"/>
        <w:shd w:val="clear"/>
        <w:kinsoku/>
        <w:wordWrap w:val="0"/>
        <w:overflowPunct/>
        <w:topLinePunct w:val="0"/>
        <w:bidi w:val="0"/>
        <w:snapToGrid w:val="0"/>
        <w:spacing w:beforeLines="50" w:after="50"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法定代表人或授权代表人（签字或盖章）：</w:t>
      </w:r>
    </w:p>
    <w:p w14:paraId="236AEF29">
      <w:pPr>
        <w:pageBreakBefore w:val="0"/>
        <w:shd w:val="clear"/>
        <w:kinsoku/>
        <w:wordWrap w:val="0"/>
        <w:overflowPunct/>
        <w:topLinePunct w:val="0"/>
        <w:bidi w:val="0"/>
        <w:snapToGrid w:val="0"/>
        <w:spacing w:beforeLines="50" w:after="50"/>
        <w:jc w:val="right"/>
        <w:rPr>
          <w:rFonts w:hint="eastAsia" w:ascii="宋体" w:hAnsi="宋体" w:eastAsia="宋体"/>
          <w:color w:val="auto"/>
          <w:sz w:val="24"/>
          <w:szCs w:val="24"/>
          <w:highlight w:val="none"/>
        </w:rPr>
      </w:pPr>
    </w:p>
    <w:p w14:paraId="3B65FC25">
      <w:pPr>
        <w:pageBreakBefore w:val="0"/>
        <w:shd w:val="clear"/>
        <w:kinsoku/>
        <w:wordWrap w:val="0"/>
        <w:overflowPunct/>
        <w:topLinePunct w:val="0"/>
        <w:bidi w:val="0"/>
        <w:snapToGrid w:val="0"/>
        <w:spacing w:beforeLines="50" w:after="50"/>
        <w:jc w:val="right"/>
        <w:rPr>
          <w:rFonts w:hint="eastAsia" w:hAnsi="宋体" w:eastAsia="宋体"/>
          <w:color w:val="auto"/>
          <w:sz w:val="24"/>
          <w:szCs w:val="24"/>
          <w:highlight w:val="none"/>
        </w:rPr>
      </w:pPr>
      <w:r>
        <w:rPr>
          <w:rFonts w:hint="eastAsia" w:ascii="宋体" w:hAnsi="宋体" w:eastAsia="宋体"/>
          <w:color w:val="auto"/>
          <w:sz w:val="24"/>
          <w:szCs w:val="24"/>
          <w:highlight w:val="none"/>
        </w:rPr>
        <w:t>年   月   日</w:t>
      </w:r>
    </w:p>
    <w:p w14:paraId="786A48AB">
      <w:pPr>
        <w:keepNext w:val="0"/>
        <w:keepLines w:val="0"/>
        <w:pageBreakBefore w:val="0"/>
        <w:widowControl/>
        <w:shd w:val="clear"/>
        <w:kinsoku/>
        <w:wordWrap/>
        <w:overflowPunct/>
        <w:topLinePunct w:val="0"/>
        <w:autoSpaceDE/>
        <w:autoSpaceDN/>
        <w:bidi w:val="0"/>
        <w:adjustRightInd w:val="0"/>
        <w:snapToGrid w:val="0"/>
        <w:spacing w:before="0" w:beforeAutospacing="0" w:after="0" w:afterAutospacing="0" w:line="20" w:lineRule="exact"/>
        <w:ind w:right="0" w:rightChars="0"/>
        <w:jc w:val="both"/>
        <w:textAlignment w:val="auto"/>
        <w:outlineLvl w:val="9"/>
        <w:rPr>
          <w:rFonts w:hint="default" w:ascii="宋体" w:hAnsi="宋体" w:eastAsia="宋体" w:cs="宋体"/>
          <w:color w:val="auto"/>
          <w:kern w:val="0"/>
          <w:sz w:val="24"/>
          <w:szCs w:val="24"/>
          <w:highlight w:val="none"/>
          <w:lang w:val="en-US" w:eastAsia="zh-CN" w:bidi="ar-SA"/>
        </w:rPr>
      </w:pPr>
    </w:p>
    <w:bookmarkEnd w:id="678"/>
    <w:sectPr>
      <w:pgSz w:w="11905" w:h="16838"/>
      <w:pgMar w:top="1304" w:right="1474" w:bottom="1304" w:left="1474" w:header="907" w:footer="907" w:gutter="0"/>
      <w:pgBorders>
        <w:top w:val="none" w:sz="0" w:space="0"/>
        <w:left w:val="none" w:sz="0" w:space="0"/>
        <w:bottom w:val="none" w:sz="0" w:space="0"/>
        <w:right w:val="none" w:sz="0" w:space="0"/>
      </w:pgBorders>
      <w:pgNumType w:fmt="decimal"/>
      <w:cols w:space="0" w:num="1"/>
      <w:rtlGutter w:val="0"/>
      <w:docGrid w:linePitch="60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ucida Sans">
    <w:altName w:val="Lucida Sans Unicode"/>
    <w:panose1 w:val="020B0602030504020204"/>
    <w:charset w:val="00"/>
    <w:family w:val="swiss"/>
    <w:pitch w:val="default"/>
    <w:sig w:usb0="00000000" w:usb1="00000000" w:usb2="00000000" w:usb3="00000000" w:csb0="2000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Helvetica Neue">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等线 Light">
    <w:panose1 w:val="02010600030101010101"/>
    <w:charset w:val="86"/>
    <w:family w:val="auto"/>
    <w:pitch w:val="default"/>
    <w:sig w:usb0="A00002BF" w:usb1="38CF7CFA" w:usb2="00000016" w:usb3="00000000" w:csb0="0004000F" w:csb1="00000000"/>
  </w:font>
  <w:font w:name="创艺简标宋">
    <w:altName w:val="宋体"/>
    <w:panose1 w:val="00000000000000000000"/>
    <w:charset w:val="86"/>
    <w:family w:val="auto"/>
    <w:pitch w:val="default"/>
    <w:sig w:usb0="00000000" w:usb1="00000000" w:usb2="00000010" w:usb3="00000000" w:csb0="00040000" w:csb1="00000000"/>
  </w:font>
  <w:font w:name="MS Mincho">
    <w:altName w:val="Yu Gothic UI"/>
    <w:panose1 w:val="02020609040205080304"/>
    <w:charset w:val="80"/>
    <w:family w:val="modern"/>
    <w:pitch w:val="default"/>
    <w:sig w:usb0="00000000" w:usb1="00000000" w:usb2="00000010" w:usb3="00000000" w:csb0="4002009F" w:csb1="DFD70000"/>
  </w:font>
  <w:font w:name="Yu Gothic UI">
    <w:panose1 w:val="020B0500000000000000"/>
    <w:charset w:val="80"/>
    <w:family w:val="auto"/>
    <w:pitch w:val="default"/>
    <w:sig w:usb0="E00002FF" w:usb1="2AC7FDFF" w:usb2="00000016" w:usb3="00000000" w:csb0="2002009F"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83CC7">
    <w:pPr>
      <w:pStyle w:val="30"/>
      <w:framePr w:wrap="around" w:vAnchor="text" w:hAnchor="margin" w:xAlign="outside" w:y="1"/>
      <w:rPr>
        <w:rStyle w:val="52"/>
      </w:rPr>
    </w:pPr>
    <w:r>
      <w:fldChar w:fldCharType="begin"/>
    </w:r>
    <w:r>
      <w:rPr>
        <w:rStyle w:val="52"/>
      </w:rPr>
      <w:instrText xml:space="preserve">PAGE  </w:instrText>
    </w:r>
    <w:r>
      <w:fldChar w:fldCharType="end"/>
    </w:r>
  </w:p>
  <w:p w14:paraId="6AC9C2BD">
    <w:pPr>
      <w:pStyle w:val="3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09A95">
    <w:pPr>
      <w:pStyle w:val="3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5E95D">
    <w:pPr>
      <w:pStyle w:val="3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A530C">
    <w:pPr>
      <w:keepNext w:val="0"/>
      <w:keepLines w:val="0"/>
      <w:widowControl/>
      <w:suppressLineNumbers w:val="0"/>
      <w:pBdr>
        <w:top w:val="single" w:color="auto" w:sz="4" w:space="0"/>
      </w:pBdr>
      <w:spacing w:before="0" w:beforeAutospacing="0" w:after="0" w:afterAutospacing="0"/>
      <w:ind w:left="0" w:right="0"/>
      <w:jc w:val="center"/>
      <w:rPr>
        <w:rFonts w:ascii="宋体" w:hAnsi="宋体" w:eastAsia="宋体"/>
        <w:sz w:val="18"/>
        <w:szCs w:val="18"/>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50B5D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b w:val="0"/>
                              <w:bCs/>
                              <w:i w:val="0"/>
                              <w:iCs/>
                              <w:kern w:val="2"/>
                              <w:sz w:val="18"/>
                              <w:szCs w:val="18"/>
                              <w:lang w:val="en-US" w:eastAsia="zh-CN" w:bidi="ar"/>
                            </w:rPr>
                            <w:t xml:space="preserve">嘉兴市华信工程咨询有限公司                        </w:t>
                          </w:r>
                          <w:r>
                            <w:rPr>
                              <w:rFonts w:hint="eastAsia" w:ascii="宋体" w:hAnsi="宋体" w:eastAsia="宋体" w:cs="宋体"/>
                              <w:b w:val="0"/>
                              <w:bCs/>
                              <w:i w:val="0"/>
                              <w:iCs/>
                              <w:kern w:val="2"/>
                              <w:sz w:val="18"/>
                              <w:szCs w:val="18"/>
                              <w:lang w:val="en-US" w:eastAsia="zh-CN" w:bidi="ar"/>
                            </w:rPr>
                            <w:fldChar w:fldCharType="begin"/>
                          </w:r>
                          <w:r>
                            <w:rPr>
                              <w:rFonts w:hint="eastAsia" w:ascii="宋体" w:hAnsi="宋体" w:eastAsia="宋体" w:cs="宋体"/>
                              <w:b w:val="0"/>
                              <w:bCs/>
                              <w:i w:val="0"/>
                              <w:iCs/>
                              <w:kern w:val="2"/>
                              <w:sz w:val="18"/>
                              <w:szCs w:val="18"/>
                              <w:lang w:val="en-US" w:eastAsia="zh-CN" w:bidi="ar"/>
                            </w:rPr>
                            <w:instrText xml:space="preserve"> PAGE </w:instrText>
                          </w:r>
                          <w:r>
                            <w:rPr>
                              <w:rFonts w:hint="eastAsia" w:ascii="宋体" w:hAnsi="宋体" w:eastAsia="宋体" w:cs="宋体"/>
                              <w:b w:val="0"/>
                              <w:bCs/>
                              <w:i w:val="0"/>
                              <w:iCs/>
                              <w:kern w:val="2"/>
                              <w:sz w:val="18"/>
                              <w:szCs w:val="18"/>
                              <w:lang w:val="en-US" w:eastAsia="zh-CN" w:bidi="ar"/>
                            </w:rPr>
                            <w:fldChar w:fldCharType="separate"/>
                          </w:r>
                          <w:r>
                            <w:rPr>
                              <w:rFonts w:hint="eastAsia" w:ascii="宋体" w:hAnsi="宋体" w:eastAsia="宋体" w:cs="宋体"/>
                              <w:b w:val="0"/>
                              <w:bCs/>
                              <w:i w:val="0"/>
                              <w:iCs/>
                              <w:kern w:val="2"/>
                              <w:sz w:val="18"/>
                              <w:szCs w:val="18"/>
                              <w:lang w:val="en-US" w:eastAsia="zh-CN" w:bidi="ar"/>
                            </w:rPr>
                            <w:t>2</w:t>
                          </w:r>
                          <w:r>
                            <w:rPr>
                              <w:rFonts w:hint="eastAsia" w:ascii="宋体" w:hAnsi="宋体" w:eastAsia="宋体" w:cs="宋体"/>
                              <w:b w:val="0"/>
                              <w:bCs/>
                              <w:i w:val="0"/>
                              <w:iCs/>
                              <w:kern w:val="2"/>
                              <w:sz w:val="18"/>
                              <w:szCs w:val="18"/>
                              <w:lang w:val="en-US" w:eastAsia="zh-CN" w:bidi="ar"/>
                            </w:rPr>
                            <w:fldChar w:fldCharType="end"/>
                          </w:r>
                          <w:r>
                            <w:rPr>
                              <w:rFonts w:hint="eastAsia" w:ascii="宋体" w:hAnsi="宋体" w:eastAsia="宋体" w:cs="宋体"/>
                              <w:b w:val="0"/>
                              <w:bCs/>
                              <w:i w:val="0"/>
                              <w:iCs/>
                              <w:kern w:val="2"/>
                              <w:sz w:val="18"/>
                              <w:szCs w:val="18"/>
                              <w:lang w:val="en-US" w:eastAsia="zh-CN" w:bidi="ar"/>
                            </w:rPr>
                            <w:t xml:space="preserve">                        电话、传真：0573-84026676</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50B5D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b w:val="0"/>
                        <w:bCs/>
                        <w:i w:val="0"/>
                        <w:iCs/>
                        <w:kern w:val="2"/>
                        <w:sz w:val="18"/>
                        <w:szCs w:val="18"/>
                        <w:lang w:val="en-US" w:eastAsia="zh-CN" w:bidi="ar"/>
                      </w:rPr>
                      <w:t xml:space="preserve">嘉兴市华信工程咨询有限公司                        </w:t>
                    </w:r>
                    <w:r>
                      <w:rPr>
                        <w:rFonts w:hint="eastAsia" w:ascii="宋体" w:hAnsi="宋体" w:eastAsia="宋体" w:cs="宋体"/>
                        <w:b w:val="0"/>
                        <w:bCs/>
                        <w:i w:val="0"/>
                        <w:iCs/>
                        <w:kern w:val="2"/>
                        <w:sz w:val="18"/>
                        <w:szCs w:val="18"/>
                        <w:lang w:val="en-US" w:eastAsia="zh-CN" w:bidi="ar"/>
                      </w:rPr>
                      <w:fldChar w:fldCharType="begin"/>
                    </w:r>
                    <w:r>
                      <w:rPr>
                        <w:rFonts w:hint="eastAsia" w:ascii="宋体" w:hAnsi="宋体" w:eastAsia="宋体" w:cs="宋体"/>
                        <w:b w:val="0"/>
                        <w:bCs/>
                        <w:i w:val="0"/>
                        <w:iCs/>
                        <w:kern w:val="2"/>
                        <w:sz w:val="18"/>
                        <w:szCs w:val="18"/>
                        <w:lang w:val="en-US" w:eastAsia="zh-CN" w:bidi="ar"/>
                      </w:rPr>
                      <w:instrText xml:space="preserve"> PAGE </w:instrText>
                    </w:r>
                    <w:r>
                      <w:rPr>
                        <w:rFonts w:hint="eastAsia" w:ascii="宋体" w:hAnsi="宋体" w:eastAsia="宋体" w:cs="宋体"/>
                        <w:b w:val="0"/>
                        <w:bCs/>
                        <w:i w:val="0"/>
                        <w:iCs/>
                        <w:kern w:val="2"/>
                        <w:sz w:val="18"/>
                        <w:szCs w:val="18"/>
                        <w:lang w:val="en-US" w:eastAsia="zh-CN" w:bidi="ar"/>
                      </w:rPr>
                      <w:fldChar w:fldCharType="separate"/>
                    </w:r>
                    <w:r>
                      <w:rPr>
                        <w:rFonts w:hint="eastAsia" w:ascii="宋体" w:hAnsi="宋体" w:eastAsia="宋体" w:cs="宋体"/>
                        <w:b w:val="0"/>
                        <w:bCs/>
                        <w:i w:val="0"/>
                        <w:iCs/>
                        <w:kern w:val="2"/>
                        <w:sz w:val="18"/>
                        <w:szCs w:val="18"/>
                        <w:lang w:val="en-US" w:eastAsia="zh-CN" w:bidi="ar"/>
                      </w:rPr>
                      <w:t>2</w:t>
                    </w:r>
                    <w:r>
                      <w:rPr>
                        <w:rFonts w:hint="eastAsia" w:ascii="宋体" w:hAnsi="宋体" w:eastAsia="宋体" w:cs="宋体"/>
                        <w:b w:val="0"/>
                        <w:bCs/>
                        <w:i w:val="0"/>
                        <w:iCs/>
                        <w:kern w:val="2"/>
                        <w:sz w:val="18"/>
                        <w:szCs w:val="18"/>
                        <w:lang w:val="en-US" w:eastAsia="zh-CN" w:bidi="ar"/>
                      </w:rPr>
                      <w:fldChar w:fldCharType="end"/>
                    </w:r>
                    <w:r>
                      <w:rPr>
                        <w:rFonts w:hint="eastAsia" w:ascii="宋体" w:hAnsi="宋体" w:eastAsia="宋体" w:cs="宋体"/>
                        <w:b w:val="0"/>
                        <w:bCs/>
                        <w:i w:val="0"/>
                        <w:iCs/>
                        <w:kern w:val="2"/>
                        <w:sz w:val="18"/>
                        <w:szCs w:val="18"/>
                        <w:lang w:val="en-US" w:eastAsia="zh-CN" w:bidi="ar"/>
                      </w:rPr>
                      <w:t xml:space="preserve">                        电话、传真：0573-84026676</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7771F">
    <w:pPr>
      <w:keepNext w:val="0"/>
      <w:keepLines w:val="0"/>
      <w:widowControl/>
      <w:suppressLineNumbers w:val="0"/>
      <w:pBdr>
        <w:top w:val="single" w:color="auto" w:sz="4" w:space="0"/>
      </w:pBdr>
      <w:spacing w:before="0" w:beforeAutospacing="0" w:after="0" w:afterAutospacing="0"/>
      <w:ind w:left="0" w:right="0"/>
      <w:jc w:val="center"/>
      <w:rPr>
        <w:rFonts w:hint="eastAsia" w:ascii="宋体" w:hAnsi="宋体" w:eastAsia="宋体" w:cs="宋体"/>
        <w:b w:val="0"/>
        <w:bCs/>
        <w:i w:val="0"/>
        <w:iCs/>
        <w:kern w:val="2"/>
        <w:sz w:val="18"/>
        <w:szCs w:val="18"/>
        <w:lang w:val="en-US" w:eastAsia="zh-CN" w:bidi="ar"/>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D6FCE">
                          <w:pPr>
                            <w:rPr>
                              <w:rFonts w:hint="eastAsia" w:ascii="宋体" w:hAnsi="宋体" w:eastAsia="宋体" w:cs="宋体"/>
                              <w:b w:val="0"/>
                              <w:bCs/>
                              <w:i w:val="0"/>
                              <w:iCs/>
                              <w:kern w:val="2"/>
                              <w:sz w:val="18"/>
                              <w:szCs w:val="18"/>
                              <w:lang w:val="en-US" w:eastAsia="zh-CN" w:bidi="ar"/>
                            </w:rPr>
                          </w:pPr>
                          <w:r>
                            <w:rPr>
                              <w:rFonts w:hint="eastAsia" w:ascii="宋体" w:hAnsi="宋体" w:eastAsia="宋体" w:cs="宋体"/>
                              <w:b w:val="0"/>
                              <w:bCs/>
                              <w:i w:val="0"/>
                              <w:iCs/>
                              <w:kern w:val="2"/>
                              <w:sz w:val="18"/>
                              <w:szCs w:val="18"/>
                              <w:lang w:val="en-US" w:eastAsia="zh-CN" w:bidi="ar"/>
                            </w:rPr>
                            <w:t xml:space="preserve">嘉兴市华信工程咨询有限公司                        </w:t>
                          </w:r>
                          <w:r>
                            <w:rPr>
                              <w:rFonts w:hint="eastAsia" w:ascii="宋体" w:hAnsi="宋体" w:eastAsia="宋体" w:cs="宋体"/>
                              <w:b w:val="0"/>
                              <w:bCs/>
                              <w:i w:val="0"/>
                              <w:iCs/>
                              <w:kern w:val="2"/>
                              <w:sz w:val="18"/>
                              <w:szCs w:val="18"/>
                              <w:lang w:val="en-US" w:eastAsia="zh-CN" w:bidi="ar"/>
                            </w:rPr>
                            <w:fldChar w:fldCharType="begin"/>
                          </w:r>
                          <w:r>
                            <w:rPr>
                              <w:rFonts w:hint="eastAsia" w:ascii="宋体" w:hAnsi="宋体" w:eastAsia="宋体" w:cs="宋体"/>
                              <w:b w:val="0"/>
                              <w:bCs/>
                              <w:i w:val="0"/>
                              <w:iCs/>
                              <w:kern w:val="2"/>
                              <w:sz w:val="18"/>
                              <w:szCs w:val="18"/>
                              <w:lang w:val="en-US" w:eastAsia="zh-CN" w:bidi="ar"/>
                            </w:rPr>
                            <w:instrText xml:space="preserve"> PAGE </w:instrText>
                          </w:r>
                          <w:r>
                            <w:rPr>
                              <w:rFonts w:hint="eastAsia" w:ascii="宋体" w:hAnsi="宋体" w:eastAsia="宋体" w:cs="宋体"/>
                              <w:b w:val="0"/>
                              <w:bCs/>
                              <w:i w:val="0"/>
                              <w:iCs/>
                              <w:kern w:val="2"/>
                              <w:sz w:val="18"/>
                              <w:szCs w:val="18"/>
                              <w:lang w:val="en-US" w:eastAsia="zh-CN" w:bidi="ar"/>
                            </w:rPr>
                            <w:fldChar w:fldCharType="separate"/>
                          </w:r>
                          <w:r>
                            <w:rPr>
                              <w:rFonts w:hint="eastAsia" w:ascii="宋体" w:hAnsi="宋体" w:eastAsia="宋体" w:cs="宋体"/>
                              <w:b w:val="0"/>
                              <w:bCs/>
                              <w:i w:val="0"/>
                              <w:iCs/>
                              <w:kern w:val="2"/>
                              <w:sz w:val="18"/>
                              <w:szCs w:val="18"/>
                              <w:lang w:val="en-US" w:eastAsia="zh-CN" w:bidi="ar"/>
                            </w:rPr>
                            <w:t>2</w:t>
                          </w:r>
                          <w:r>
                            <w:rPr>
                              <w:rFonts w:hint="eastAsia" w:ascii="宋体" w:hAnsi="宋体" w:eastAsia="宋体" w:cs="宋体"/>
                              <w:b w:val="0"/>
                              <w:bCs/>
                              <w:i w:val="0"/>
                              <w:iCs/>
                              <w:kern w:val="2"/>
                              <w:sz w:val="18"/>
                              <w:szCs w:val="18"/>
                              <w:lang w:val="en-US" w:eastAsia="zh-CN" w:bidi="ar"/>
                            </w:rPr>
                            <w:fldChar w:fldCharType="end"/>
                          </w:r>
                          <w:r>
                            <w:rPr>
                              <w:rFonts w:hint="eastAsia" w:ascii="宋体" w:hAnsi="宋体" w:eastAsia="宋体" w:cs="宋体"/>
                              <w:b w:val="0"/>
                              <w:bCs/>
                              <w:i w:val="0"/>
                              <w:iCs/>
                              <w:kern w:val="2"/>
                              <w:sz w:val="18"/>
                              <w:szCs w:val="18"/>
                              <w:lang w:val="en-US" w:eastAsia="zh-CN" w:bidi="ar"/>
                            </w:rPr>
                            <w:t xml:space="preserve">                        电话、传真：0573-84026676</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07D6FCE">
                    <w:pPr>
                      <w:rPr>
                        <w:rFonts w:hint="eastAsia" w:ascii="宋体" w:hAnsi="宋体" w:eastAsia="宋体" w:cs="宋体"/>
                        <w:b w:val="0"/>
                        <w:bCs/>
                        <w:i w:val="0"/>
                        <w:iCs/>
                        <w:kern w:val="2"/>
                        <w:sz w:val="18"/>
                        <w:szCs w:val="18"/>
                        <w:lang w:val="en-US" w:eastAsia="zh-CN" w:bidi="ar"/>
                      </w:rPr>
                    </w:pPr>
                    <w:r>
                      <w:rPr>
                        <w:rFonts w:hint="eastAsia" w:ascii="宋体" w:hAnsi="宋体" w:eastAsia="宋体" w:cs="宋体"/>
                        <w:b w:val="0"/>
                        <w:bCs/>
                        <w:i w:val="0"/>
                        <w:iCs/>
                        <w:kern w:val="2"/>
                        <w:sz w:val="18"/>
                        <w:szCs w:val="18"/>
                        <w:lang w:val="en-US" w:eastAsia="zh-CN" w:bidi="ar"/>
                      </w:rPr>
                      <w:t xml:space="preserve">嘉兴市华信工程咨询有限公司                        </w:t>
                    </w:r>
                    <w:r>
                      <w:rPr>
                        <w:rFonts w:hint="eastAsia" w:ascii="宋体" w:hAnsi="宋体" w:eastAsia="宋体" w:cs="宋体"/>
                        <w:b w:val="0"/>
                        <w:bCs/>
                        <w:i w:val="0"/>
                        <w:iCs/>
                        <w:kern w:val="2"/>
                        <w:sz w:val="18"/>
                        <w:szCs w:val="18"/>
                        <w:lang w:val="en-US" w:eastAsia="zh-CN" w:bidi="ar"/>
                      </w:rPr>
                      <w:fldChar w:fldCharType="begin"/>
                    </w:r>
                    <w:r>
                      <w:rPr>
                        <w:rFonts w:hint="eastAsia" w:ascii="宋体" w:hAnsi="宋体" w:eastAsia="宋体" w:cs="宋体"/>
                        <w:b w:val="0"/>
                        <w:bCs/>
                        <w:i w:val="0"/>
                        <w:iCs/>
                        <w:kern w:val="2"/>
                        <w:sz w:val="18"/>
                        <w:szCs w:val="18"/>
                        <w:lang w:val="en-US" w:eastAsia="zh-CN" w:bidi="ar"/>
                      </w:rPr>
                      <w:instrText xml:space="preserve"> PAGE </w:instrText>
                    </w:r>
                    <w:r>
                      <w:rPr>
                        <w:rFonts w:hint="eastAsia" w:ascii="宋体" w:hAnsi="宋体" w:eastAsia="宋体" w:cs="宋体"/>
                        <w:b w:val="0"/>
                        <w:bCs/>
                        <w:i w:val="0"/>
                        <w:iCs/>
                        <w:kern w:val="2"/>
                        <w:sz w:val="18"/>
                        <w:szCs w:val="18"/>
                        <w:lang w:val="en-US" w:eastAsia="zh-CN" w:bidi="ar"/>
                      </w:rPr>
                      <w:fldChar w:fldCharType="separate"/>
                    </w:r>
                    <w:r>
                      <w:rPr>
                        <w:rFonts w:hint="eastAsia" w:ascii="宋体" w:hAnsi="宋体" w:eastAsia="宋体" w:cs="宋体"/>
                        <w:b w:val="0"/>
                        <w:bCs/>
                        <w:i w:val="0"/>
                        <w:iCs/>
                        <w:kern w:val="2"/>
                        <w:sz w:val="18"/>
                        <w:szCs w:val="18"/>
                        <w:lang w:val="en-US" w:eastAsia="zh-CN" w:bidi="ar"/>
                      </w:rPr>
                      <w:t>2</w:t>
                    </w:r>
                    <w:r>
                      <w:rPr>
                        <w:rFonts w:hint="eastAsia" w:ascii="宋体" w:hAnsi="宋体" w:eastAsia="宋体" w:cs="宋体"/>
                        <w:b w:val="0"/>
                        <w:bCs/>
                        <w:i w:val="0"/>
                        <w:iCs/>
                        <w:kern w:val="2"/>
                        <w:sz w:val="18"/>
                        <w:szCs w:val="18"/>
                        <w:lang w:val="en-US" w:eastAsia="zh-CN" w:bidi="ar"/>
                      </w:rPr>
                      <w:fldChar w:fldCharType="end"/>
                    </w:r>
                    <w:r>
                      <w:rPr>
                        <w:rFonts w:hint="eastAsia" w:ascii="宋体" w:hAnsi="宋体" w:eastAsia="宋体" w:cs="宋体"/>
                        <w:b w:val="0"/>
                        <w:bCs/>
                        <w:i w:val="0"/>
                        <w:iCs/>
                        <w:kern w:val="2"/>
                        <w:sz w:val="18"/>
                        <w:szCs w:val="18"/>
                        <w:lang w:val="en-US" w:eastAsia="zh-CN" w:bidi="ar"/>
                      </w:rPr>
                      <w:t xml:space="preserve">                        电话、传真：0573-84026676</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A748B">
    <w:pPr>
      <w:pStyle w:val="31"/>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F709B">
    <w:pPr>
      <w:pStyle w:val="42"/>
      <w:keepNext w:val="0"/>
      <w:keepLines w:val="0"/>
      <w:pageBreakBefore w:val="0"/>
      <w:widowControl w:val="0"/>
      <w:suppressLineNumbers w:val="0"/>
      <w:pBdr>
        <w:top w:val="none" w:color="auto" w:sz="0" w:space="0"/>
        <w:left w:val="none" w:color="auto" w:sz="0" w:space="0"/>
        <w:bottom w:val="single" w:color="auto" w:sz="4" w:space="4"/>
        <w:right w:val="none" w:color="auto" w:sz="0" w:space="0"/>
        <w:between w:val="none" w:color="auto" w:sz="0" w:space="0"/>
      </w:pBdr>
      <w:kinsoku/>
      <w:wordWrap/>
      <w:overflowPunct/>
      <w:topLinePunct w:val="0"/>
      <w:bidi w:val="0"/>
      <w:adjustRightInd/>
      <w:snapToGrid w:val="0"/>
      <w:spacing w:before="0" w:beforeAutospacing="0" w:after="0" w:afterAutospacing="0" w:line="240" w:lineRule="exact"/>
      <w:ind w:left="0" w:right="0"/>
      <w:jc w:val="center"/>
      <w:textAlignment w:val="auto"/>
      <w:rPr>
        <w:rFonts w:hint="eastAsia" w:ascii="宋体" w:hAnsi="宋体" w:eastAsia="宋体" w:cs="宋体"/>
        <w:position w:val="-5"/>
        <w:sz w:val="18"/>
        <w:szCs w:val="18"/>
        <w:u w:val="none"/>
      </w:rPr>
    </w:pPr>
    <w:r>
      <w:rPr>
        <w:rFonts w:hint="eastAsia" w:cs="宋体"/>
        <w:b w:val="0"/>
        <w:bCs/>
        <w:i w:val="0"/>
        <w:iCs w:val="0"/>
        <w:kern w:val="2"/>
        <w:position w:val="-5"/>
        <w:sz w:val="18"/>
        <w:szCs w:val="18"/>
        <w:lang w:val="en-US" w:eastAsia="zh-CN" w:bidi="ar"/>
      </w:rPr>
      <w:t>西塘古镇智慧景区综合（票务）服务平台建设项目</w:t>
    </w:r>
    <w:r>
      <w:rPr>
        <w:rFonts w:hint="eastAsia" w:ascii="宋体" w:hAnsi="宋体" w:eastAsia="宋体" w:cs="宋体"/>
        <w:b w:val="0"/>
        <w:bCs/>
        <w:i w:val="0"/>
        <w:iCs w:val="0"/>
        <w:kern w:val="2"/>
        <w:position w:val="-5"/>
        <w:sz w:val="18"/>
        <w:szCs w:val="18"/>
        <w:lang w:val="en-US" w:eastAsia="zh-CN" w:bidi="ar"/>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53C4F4"/>
    <w:multiLevelType w:val="multilevel"/>
    <w:tmpl w:val="8653C4F4"/>
    <w:lvl w:ilvl="0" w:tentative="0">
      <w:start w:val="1"/>
      <w:numFmt w:val="decimal"/>
      <w:lvlText w:val="（%1）"/>
      <w:lvlJc w:val="left"/>
      <w:pPr>
        <w:ind w:left="704" w:hanging="420"/>
      </w:pPr>
      <w:rPr>
        <w:rFonts w:hint="eastAsia"/>
      </w:rPr>
    </w:lvl>
    <w:lvl w:ilvl="1" w:tentative="0">
      <w:start w:val="1"/>
      <w:numFmt w:val="decimal"/>
      <w:lvlText w:val="%2、"/>
      <w:lvlJc w:val="left"/>
      <w:pPr>
        <w:ind w:left="1260" w:hanging="360"/>
      </w:pPr>
      <w:rPr>
        <w:rFonts w:hint="default"/>
      </w:rPr>
    </w:lvl>
    <w:lvl w:ilvl="2" w:tentative="0">
      <w:start w:val="1"/>
      <w:numFmt w:val="japaneseCounting"/>
      <w:lvlText w:val="(%3)"/>
      <w:lvlJc w:val="left"/>
      <w:pPr>
        <w:ind w:left="1800" w:hanging="480"/>
      </w:pPr>
      <w:rPr>
        <w:rFonts w:hint="default"/>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8A92AD20"/>
    <w:multiLevelType w:val="singleLevel"/>
    <w:tmpl w:val="8A92AD20"/>
    <w:lvl w:ilvl="0" w:tentative="0">
      <w:start w:val="1"/>
      <w:numFmt w:val="decimal"/>
      <w:suff w:val="space"/>
      <w:lvlText w:val="%1."/>
      <w:lvlJc w:val="left"/>
      <w:pPr>
        <w:ind w:left="425" w:hanging="425"/>
      </w:pPr>
      <w:rPr>
        <w:rFonts w:hint="default" w:ascii="宋体" w:hAnsi="宋体" w:eastAsia="宋体" w:cs="宋体"/>
      </w:rPr>
    </w:lvl>
  </w:abstractNum>
  <w:abstractNum w:abstractNumId="2">
    <w:nsid w:val="9F5F5156"/>
    <w:multiLevelType w:val="multilevel"/>
    <w:tmpl w:val="9F5F5156"/>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A23684F0"/>
    <w:multiLevelType w:val="multilevel"/>
    <w:tmpl w:val="A23684F0"/>
    <w:lvl w:ilvl="0" w:tentative="0">
      <w:start w:val="1"/>
      <w:numFmt w:val="decimal"/>
      <w:lvlText w:val="（%1）"/>
      <w:lvlJc w:val="left"/>
      <w:pPr>
        <w:ind w:left="900" w:hanging="420"/>
      </w:pPr>
      <w:rPr>
        <w:rFonts w:hint="default"/>
        <w:u w:val="none" w:color="auto"/>
      </w:rPr>
    </w:lvl>
    <w:lvl w:ilvl="1" w:tentative="0">
      <w:start w:val="1"/>
      <w:numFmt w:val="decimal"/>
      <w:suff w:val="space"/>
      <w:lvlText w:val="（%2）"/>
      <w:lvlJc w:val="left"/>
      <w:pPr>
        <w:ind w:left="1320" w:hanging="420"/>
      </w:pPr>
      <w:rPr>
        <w:rFonts w:hint="default"/>
        <w:u w:val="none" w:color="auto"/>
      </w:rPr>
    </w:lvl>
    <w:lvl w:ilvl="2" w:tentative="0">
      <w:start w:val="1"/>
      <w:numFmt w:val="lowerRoman"/>
      <w:lvlText w:val="%3."/>
      <w:lvlJc w:val="right"/>
      <w:pPr>
        <w:ind w:left="1740" w:hanging="420"/>
      </w:pPr>
      <w:rPr>
        <w:rFonts w:hint="default"/>
        <w:u w:val="none" w:color="auto"/>
      </w:rPr>
    </w:lvl>
    <w:lvl w:ilvl="3" w:tentative="0">
      <w:start w:val="1"/>
      <w:numFmt w:val="decimal"/>
      <w:lvlText w:val="%4."/>
      <w:lvlJc w:val="left"/>
      <w:pPr>
        <w:ind w:left="2160" w:hanging="420"/>
      </w:pPr>
      <w:rPr>
        <w:rFonts w:hint="default"/>
        <w:u w:val="none" w:color="auto"/>
      </w:rPr>
    </w:lvl>
    <w:lvl w:ilvl="4" w:tentative="0">
      <w:start w:val="1"/>
      <w:numFmt w:val="lowerLetter"/>
      <w:lvlText w:val="%5)"/>
      <w:lvlJc w:val="left"/>
      <w:pPr>
        <w:ind w:left="2580" w:hanging="420"/>
      </w:pPr>
      <w:rPr>
        <w:rFonts w:hint="default"/>
        <w:u w:val="none" w:color="auto"/>
      </w:rPr>
    </w:lvl>
    <w:lvl w:ilvl="5" w:tentative="0">
      <w:start w:val="1"/>
      <w:numFmt w:val="lowerRoman"/>
      <w:lvlText w:val="%6."/>
      <w:lvlJc w:val="right"/>
      <w:pPr>
        <w:ind w:left="3000" w:hanging="420"/>
      </w:pPr>
      <w:rPr>
        <w:rFonts w:hint="default"/>
        <w:u w:val="none" w:color="auto"/>
      </w:rPr>
    </w:lvl>
    <w:lvl w:ilvl="6" w:tentative="0">
      <w:start w:val="1"/>
      <w:numFmt w:val="decimal"/>
      <w:lvlText w:val="%7."/>
      <w:lvlJc w:val="left"/>
      <w:pPr>
        <w:ind w:left="3420" w:hanging="420"/>
      </w:pPr>
      <w:rPr>
        <w:rFonts w:hint="default"/>
        <w:u w:val="none" w:color="auto"/>
      </w:rPr>
    </w:lvl>
    <w:lvl w:ilvl="7" w:tentative="0">
      <w:start w:val="1"/>
      <w:numFmt w:val="lowerLetter"/>
      <w:lvlText w:val="%8)"/>
      <w:lvlJc w:val="left"/>
      <w:pPr>
        <w:ind w:left="3840" w:hanging="420"/>
      </w:pPr>
      <w:rPr>
        <w:rFonts w:hint="default"/>
        <w:u w:val="none" w:color="auto"/>
      </w:rPr>
    </w:lvl>
    <w:lvl w:ilvl="8" w:tentative="0">
      <w:start w:val="1"/>
      <w:numFmt w:val="lowerRoman"/>
      <w:lvlText w:val="%9."/>
      <w:lvlJc w:val="right"/>
      <w:pPr>
        <w:ind w:left="4260" w:hanging="420"/>
      </w:pPr>
      <w:rPr>
        <w:rFonts w:hint="default"/>
        <w:u w:val="none" w:color="auto"/>
      </w:rPr>
    </w:lvl>
  </w:abstractNum>
  <w:abstractNum w:abstractNumId="4">
    <w:nsid w:val="A49F8C10"/>
    <w:multiLevelType w:val="singleLevel"/>
    <w:tmpl w:val="A49F8C10"/>
    <w:lvl w:ilvl="0" w:tentative="0">
      <w:start w:val="1"/>
      <w:numFmt w:val="decimal"/>
      <w:suff w:val="nothing"/>
      <w:lvlText w:val="%1、"/>
      <w:lvlJc w:val="left"/>
    </w:lvl>
  </w:abstractNum>
  <w:abstractNum w:abstractNumId="5">
    <w:nsid w:val="BB5DA355"/>
    <w:multiLevelType w:val="multilevel"/>
    <w:tmpl w:val="BB5DA355"/>
    <w:lvl w:ilvl="0" w:tentative="0">
      <w:start w:val="1"/>
      <w:numFmt w:val="chineseCountingThousand"/>
      <w:lvlText w:val="(%1)"/>
      <w:lvlJc w:val="left"/>
      <w:pPr>
        <w:ind w:left="892" w:hanging="420"/>
      </w:pPr>
      <w:rPr>
        <w:rFonts w:hint="eastAsia"/>
      </w:rPr>
    </w:lvl>
    <w:lvl w:ilvl="1" w:tentative="0">
      <w:start w:val="1"/>
      <w:numFmt w:val="lowerLetter"/>
      <w:lvlText w:val="%2)"/>
      <w:lvlJc w:val="left"/>
      <w:pPr>
        <w:ind w:left="1312" w:hanging="420"/>
      </w:pPr>
      <w:rPr>
        <w:rFonts w:hint="eastAsia"/>
      </w:rPr>
    </w:lvl>
    <w:lvl w:ilvl="2" w:tentative="0">
      <w:start w:val="1"/>
      <w:numFmt w:val="lowerRoman"/>
      <w:lvlText w:val="%3."/>
      <w:lvlJc w:val="right"/>
      <w:pPr>
        <w:ind w:left="1732" w:hanging="420"/>
      </w:pPr>
      <w:rPr>
        <w:rFonts w:hint="eastAsia"/>
      </w:rPr>
    </w:lvl>
    <w:lvl w:ilvl="3" w:tentative="0">
      <w:start w:val="1"/>
      <w:numFmt w:val="chineseCounting"/>
      <w:suff w:val="space"/>
      <w:lvlText w:val="（%4）"/>
      <w:lvlJc w:val="left"/>
      <w:pPr>
        <w:ind w:left="420" w:hanging="420"/>
      </w:pPr>
      <w:rPr>
        <w:rFonts w:hint="eastAsia" w:ascii="宋体" w:hAnsi="宋体" w:eastAsia="宋体" w:cs="宋体"/>
        <w:b/>
      </w:rPr>
    </w:lvl>
    <w:lvl w:ilvl="4" w:tentative="0">
      <w:start w:val="1"/>
      <w:numFmt w:val="lowerLetter"/>
      <w:lvlText w:val="%5)"/>
      <w:lvlJc w:val="left"/>
      <w:pPr>
        <w:ind w:left="2572" w:hanging="420"/>
      </w:pPr>
      <w:rPr>
        <w:rFonts w:hint="eastAsia"/>
      </w:rPr>
    </w:lvl>
    <w:lvl w:ilvl="5" w:tentative="0">
      <w:start w:val="1"/>
      <w:numFmt w:val="lowerRoman"/>
      <w:lvlText w:val="%6."/>
      <w:lvlJc w:val="right"/>
      <w:pPr>
        <w:ind w:left="2992" w:hanging="420"/>
      </w:pPr>
      <w:rPr>
        <w:rFonts w:hint="eastAsia"/>
      </w:rPr>
    </w:lvl>
    <w:lvl w:ilvl="6" w:tentative="0">
      <w:start w:val="1"/>
      <w:numFmt w:val="decimal"/>
      <w:lvlText w:val="%7."/>
      <w:lvlJc w:val="left"/>
      <w:pPr>
        <w:ind w:left="3412" w:hanging="420"/>
      </w:pPr>
      <w:rPr>
        <w:rFonts w:hint="eastAsia"/>
      </w:rPr>
    </w:lvl>
    <w:lvl w:ilvl="7" w:tentative="0">
      <w:start w:val="1"/>
      <w:numFmt w:val="lowerLetter"/>
      <w:lvlText w:val="%8)"/>
      <w:lvlJc w:val="left"/>
      <w:pPr>
        <w:ind w:left="3832" w:hanging="420"/>
      </w:pPr>
      <w:rPr>
        <w:rFonts w:hint="eastAsia"/>
      </w:rPr>
    </w:lvl>
    <w:lvl w:ilvl="8" w:tentative="0">
      <w:start w:val="1"/>
      <w:numFmt w:val="lowerRoman"/>
      <w:lvlText w:val="%9."/>
      <w:lvlJc w:val="right"/>
      <w:pPr>
        <w:ind w:left="4252" w:hanging="420"/>
      </w:pPr>
      <w:rPr>
        <w:rFonts w:hint="eastAsia"/>
      </w:rPr>
    </w:lvl>
  </w:abstractNum>
  <w:abstractNum w:abstractNumId="6">
    <w:nsid w:val="BF0452CC"/>
    <w:multiLevelType w:val="singleLevel"/>
    <w:tmpl w:val="BF0452CC"/>
    <w:lvl w:ilvl="0" w:tentative="0">
      <w:start w:val="2"/>
      <w:numFmt w:val="chineseCounting"/>
      <w:suff w:val="nothing"/>
      <w:lvlText w:val="（%1）"/>
      <w:lvlJc w:val="left"/>
      <w:rPr>
        <w:rFonts w:hint="eastAsia"/>
      </w:rPr>
    </w:lvl>
  </w:abstractNum>
  <w:abstractNum w:abstractNumId="7">
    <w:nsid w:val="C2654C4B"/>
    <w:multiLevelType w:val="multilevel"/>
    <w:tmpl w:val="C2654C4B"/>
    <w:lvl w:ilvl="0" w:tentative="0">
      <w:start w:val="1"/>
      <w:numFmt w:val="decimal"/>
      <w:lvlText w:val="%1."/>
      <w:lvlJc w:val="left"/>
      <w:pPr>
        <w:ind w:left="425" w:hanging="425"/>
      </w:pPr>
      <w:rPr>
        <w:rFonts w:hint="default"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8">
    <w:nsid w:val="C4B8D4F1"/>
    <w:multiLevelType w:val="singleLevel"/>
    <w:tmpl w:val="C4B8D4F1"/>
    <w:lvl w:ilvl="0" w:tentative="0">
      <w:start w:val="1"/>
      <w:numFmt w:val="decimal"/>
      <w:suff w:val="nothing"/>
      <w:lvlText w:val="%1、"/>
      <w:lvlJc w:val="left"/>
    </w:lvl>
  </w:abstractNum>
  <w:abstractNum w:abstractNumId="9">
    <w:nsid w:val="C784875B"/>
    <w:multiLevelType w:val="singleLevel"/>
    <w:tmpl w:val="C784875B"/>
    <w:lvl w:ilvl="0" w:tentative="0">
      <w:start w:val="1"/>
      <w:numFmt w:val="decimal"/>
      <w:lvlText w:val="%1、"/>
      <w:lvlJc w:val="left"/>
      <w:pPr>
        <w:tabs>
          <w:tab w:val="left" w:pos="420"/>
        </w:tabs>
        <w:ind w:left="425" w:leftChars="0" w:hanging="425" w:firstLineChars="0"/>
      </w:pPr>
      <w:rPr>
        <w:rFonts w:hint="default"/>
      </w:rPr>
    </w:lvl>
  </w:abstractNum>
  <w:abstractNum w:abstractNumId="10">
    <w:nsid w:val="C93D6BA7"/>
    <w:multiLevelType w:val="singleLevel"/>
    <w:tmpl w:val="C93D6BA7"/>
    <w:lvl w:ilvl="0" w:tentative="0">
      <w:start w:val="1"/>
      <w:numFmt w:val="decimal"/>
      <w:suff w:val="nothing"/>
      <w:lvlText w:val="%1、"/>
      <w:lvlJc w:val="left"/>
    </w:lvl>
  </w:abstractNum>
  <w:abstractNum w:abstractNumId="11">
    <w:nsid w:val="D1740457"/>
    <w:multiLevelType w:val="singleLevel"/>
    <w:tmpl w:val="D1740457"/>
    <w:lvl w:ilvl="0" w:tentative="0">
      <w:start w:val="1"/>
      <w:numFmt w:val="decimal"/>
      <w:lvlText w:val="%1."/>
      <w:lvlJc w:val="left"/>
      <w:pPr>
        <w:ind w:left="425" w:hanging="425"/>
      </w:pPr>
      <w:rPr>
        <w:rFonts w:hint="default" w:ascii="宋体" w:hAnsi="宋体" w:eastAsia="宋体" w:cs="宋体"/>
        <w:b w:val="0"/>
        <w:bCs w:val="0"/>
      </w:rPr>
    </w:lvl>
  </w:abstractNum>
  <w:abstractNum w:abstractNumId="12">
    <w:nsid w:val="FADF8560"/>
    <w:multiLevelType w:val="singleLevel"/>
    <w:tmpl w:val="FADF8560"/>
    <w:lvl w:ilvl="0" w:tentative="0">
      <w:start w:val="1"/>
      <w:numFmt w:val="decimal"/>
      <w:lvlText w:val="(%1)"/>
      <w:lvlJc w:val="left"/>
      <w:pPr>
        <w:tabs>
          <w:tab w:val="left" w:pos="420"/>
        </w:tabs>
        <w:ind w:left="425" w:leftChars="0" w:hanging="425" w:firstLineChars="0"/>
      </w:pPr>
      <w:rPr>
        <w:rFonts w:hint="default"/>
      </w:rPr>
    </w:lvl>
  </w:abstractNum>
  <w:abstractNum w:abstractNumId="13">
    <w:nsid w:val="009A4D95"/>
    <w:multiLevelType w:val="multilevel"/>
    <w:tmpl w:val="009A4D95"/>
    <w:lvl w:ilvl="0" w:tentative="0">
      <w:start w:val="1"/>
      <w:numFmt w:val="decimal"/>
      <w:lvlText w:val="%1."/>
      <w:lvlJc w:val="left"/>
      <w:pPr>
        <w:ind w:left="1130" w:hanging="420"/>
      </w:pPr>
    </w:lvl>
    <w:lvl w:ilvl="1" w:tentative="0">
      <w:start w:val="1"/>
      <w:numFmt w:val="lowerLetter"/>
      <w:lvlText w:val="%2)"/>
      <w:lvlJc w:val="left"/>
      <w:pPr>
        <w:ind w:left="1550" w:hanging="420"/>
      </w:p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14">
    <w:nsid w:val="019F6BBF"/>
    <w:multiLevelType w:val="multilevel"/>
    <w:tmpl w:val="019F6BBF"/>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27738A6"/>
    <w:multiLevelType w:val="multilevel"/>
    <w:tmpl w:val="027738A6"/>
    <w:lvl w:ilvl="0" w:tentative="0">
      <w:start w:val="1"/>
      <w:numFmt w:val="decimal"/>
      <w:lvlText w:val="（%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62A4934"/>
    <w:multiLevelType w:val="singleLevel"/>
    <w:tmpl w:val="062A4934"/>
    <w:lvl w:ilvl="0" w:tentative="0">
      <w:start w:val="1"/>
      <w:numFmt w:val="decimal"/>
      <w:lvlText w:val="%1."/>
      <w:lvlJc w:val="left"/>
      <w:pPr>
        <w:tabs>
          <w:tab w:val="left" w:pos="312"/>
        </w:tabs>
      </w:pPr>
    </w:lvl>
  </w:abstractNum>
  <w:abstractNum w:abstractNumId="17">
    <w:nsid w:val="08350663"/>
    <w:multiLevelType w:val="multilevel"/>
    <w:tmpl w:val="0835066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09052EC7"/>
    <w:multiLevelType w:val="multilevel"/>
    <w:tmpl w:val="09052EC7"/>
    <w:lvl w:ilvl="0" w:tentative="0">
      <w:start w:val="1"/>
      <w:numFmt w:val="decimal"/>
      <w:lvlText w:val="%1."/>
      <w:lvlJc w:val="righ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0DE00C30"/>
    <w:multiLevelType w:val="multilevel"/>
    <w:tmpl w:val="0DE00C30"/>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24C5A4E"/>
    <w:multiLevelType w:val="singleLevel"/>
    <w:tmpl w:val="124C5A4E"/>
    <w:lvl w:ilvl="0" w:tentative="0">
      <w:start w:val="1"/>
      <w:numFmt w:val="decimal"/>
      <w:lvlText w:val="(%1)"/>
      <w:lvlJc w:val="left"/>
      <w:pPr>
        <w:tabs>
          <w:tab w:val="left" w:pos="420"/>
        </w:tabs>
        <w:ind w:left="425" w:leftChars="0" w:hanging="425" w:firstLineChars="0"/>
      </w:pPr>
      <w:rPr>
        <w:rFonts w:hint="default"/>
      </w:rPr>
    </w:lvl>
  </w:abstractNum>
  <w:abstractNum w:abstractNumId="21">
    <w:nsid w:val="1644596B"/>
    <w:multiLevelType w:val="multilevel"/>
    <w:tmpl w:val="1644596B"/>
    <w:lvl w:ilvl="0" w:tentative="0">
      <w:start w:val="1"/>
      <w:numFmt w:val="decimal"/>
      <w:lvlText w:val="%1、"/>
      <w:lvlJc w:val="left"/>
      <w:pPr>
        <w:ind w:left="98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68A7140"/>
    <w:multiLevelType w:val="multilevel"/>
    <w:tmpl w:val="168A71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3">
    <w:nsid w:val="1E1530C0"/>
    <w:multiLevelType w:val="multilevel"/>
    <w:tmpl w:val="1E1530C0"/>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4">
    <w:nsid w:val="219C27EE"/>
    <w:multiLevelType w:val="multilevel"/>
    <w:tmpl w:val="219C27EE"/>
    <w:lvl w:ilvl="0" w:tentative="0">
      <w:start w:val="1"/>
      <w:numFmt w:val="decimal"/>
      <w:lvlText w:val="%1."/>
      <w:lvlJc w:val="left"/>
      <w:pPr>
        <w:ind w:left="420" w:hanging="4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22500319"/>
    <w:multiLevelType w:val="multilevel"/>
    <w:tmpl w:val="22500319"/>
    <w:lvl w:ilvl="0" w:tentative="0">
      <w:start w:val="1"/>
      <w:numFmt w:val="decimal"/>
      <w:lvlText w:val="%1."/>
      <w:lvlJc w:val="left"/>
      <w:pPr>
        <w:ind w:left="902" w:hanging="42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6">
    <w:nsid w:val="23EB2813"/>
    <w:multiLevelType w:val="multilevel"/>
    <w:tmpl w:val="23EB2813"/>
    <w:lvl w:ilvl="0" w:tentative="0">
      <w:start w:val="1"/>
      <w:numFmt w:val="decimal"/>
      <w:lvlText w:val="%1."/>
      <w:lvlJc w:val="left"/>
      <w:pPr>
        <w:tabs>
          <w:tab w:val="left" w:pos="0"/>
        </w:tabs>
        <w:ind w:left="420" w:hanging="420"/>
      </w:pPr>
      <w:rPr>
        <w:rFonts w:hint="default" w:ascii="宋体" w:hAnsi="宋体" w:eastAsia="宋体" w:cs="宋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2B48F204"/>
    <w:multiLevelType w:val="singleLevel"/>
    <w:tmpl w:val="2B48F204"/>
    <w:lvl w:ilvl="0" w:tentative="0">
      <w:start w:val="1"/>
      <w:numFmt w:val="chineseCounting"/>
      <w:suff w:val="nothing"/>
      <w:lvlText w:val="第%1条  "/>
      <w:lvlJc w:val="left"/>
      <w:pPr>
        <w:ind w:left="0" w:firstLine="397"/>
      </w:pPr>
      <w:rPr>
        <w:rFonts w:hint="eastAsia"/>
      </w:rPr>
    </w:lvl>
  </w:abstractNum>
  <w:abstractNum w:abstractNumId="28">
    <w:nsid w:val="30CB0B2F"/>
    <w:multiLevelType w:val="multilevel"/>
    <w:tmpl w:val="30CB0B2F"/>
    <w:lvl w:ilvl="0" w:tentative="0">
      <w:start w:val="1"/>
      <w:numFmt w:val="decimal"/>
      <w:lvlText w:val="%1、"/>
      <w:lvlJc w:val="left"/>
      <w:pPr>
        <w:ind w:left="90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323555CD"/>
    <w:multiLevelType w:val="multilevel"/>
    <w:tmpl w:val="323555CD"/>
    <w:lvl w:ilvl="0" w:tentative="0">
      <w:start w:val="1"/>
      <w:numFmt w:val="decimal"/>
      <w:lvlText w:val="%1."/>
      <w:lvlJc w:val="left"/>
      <w:pPr>
        <w:ind w:left="420" w:hanging="420"/>
      </w:pPr>
      <w:rPr>
        <w:rFonts w:hint="default" w:ascii="宋体" w:hAnsi="宋体" w:eastAsia="宋体" w:cs="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35AD6F77"/>
    <w:multiLevelType w:val="multilevel"/>
    <w:tmpl w:val="35AD6F77"/>
    <w:lvl w:ilvl="0" w:tentative="0">
      <w:start w:val="1"/>
      <w:numFmt w:val="decimal"/>
      <w:lvlText w:val="%1、"/>
      <w:lvlJc w:val="left"/>
      <w:pPr>
        <w:ind w:left="704"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3684E8AB"/>
    <w:multiLevelType w:val="singleLevel"/>
    <w:tmpl w:val="3684E8AB"/>
    <w:lvl w:ilvl="0" w:tentative="0">
      <w:start w:val="1"/>
      <w:numFmt w:val="decimal"/>
      <w:suff w:val="space"/>
      <w:lvlText w:val="%1."/>
      <w:lvlJc w:val="left"/>
      <w:pPr>
        <w:ind w:left="425" w:hanging="425"/>
      </w:pPr>
      <w:rPr>
        <w:rFonts w:hint="default" w:ascii="宋体" w:hAnsi="宋体" w:eastAsia="宋体" w:cs="宋体"/>
      </w:rPr>
    </w:lvl>
  </w:abstractNum>
  <w:abstractNum w:abstractNumId="32">
    <w:nsid w:val="3BD883C6"/>
    <w:multiLevelType w:val="singleLevel"/>
    <w:tmpl w:val="3BD883C6"/>
    <w:lvl w:ilvl="0" w:tentative="0">
      <w:start w:val="1"/>
      <w:numFmt w:val="decimalEnclosedCircleChinese"/>
      <w:suff w:val="nothing"/>
      <w:lvlText w:val="%1　"/>
      <w:lvlJc w:val="left"/>
      <w:pPr>
        <w:ind w:left="0" w:firstLine="400"/>
      </w:pPr>
      <w:rPr>
        <w:rFonts w:hint="eastAsia" w:ascii="宋体" w:hAnsi="宋体" w:eastAsia="宋体" w:cs="宋体"/>
      </w:rPr>
    </w:lvl>
  </w:abstractNum>
  <w:abstractNum w:abstractNumId="33">
    <w:nsid w:val="3CD57BC7"/>
    <w:multiLevelType w:val="multilevel"/>
    <w:tmpl w:val="3CD57BC7"/>
    <w:lvl w:ilvl="0" w:tentative="0">
      <w:start w:val="1"/>
      <w:numFmt w:val="decimal"/>
      <w:lvlText w:val="%1、"/>
      <w:lvlJc w:val="left"/>
      <w:pPr>
        <w:ind w:left="980" w:hanging="420"/>
      </w:pPr>
      <w:rPr>
        <w:rFonts w:hint="eastAsia"/>
      </w:rPr>
    </w:lvl>
    <w:lvl w:ilvl="1" w:tentative="0">
      <w:start w:val="1"/>
      <w:numFmt w:val="lowerLetter"/>
      <w:lvlText w:val="%2)"/>
      <w:lvlJc w:val="left"/>
      <w:pPr>
        <w:ind w:left="1400" w:hanging="420"/>
      </w:pPr>
      <w:rPr>
        <w:rFonts w:hint="eastAsia"/>
      </w:rPr>
    </w:lvl>
    <w:lvl w:ilvl="2" w:tentative="0">
      <w:start w:val="1"/>
      <w:numFmt w:val="lowerRoman"/>
      <w:lvlText w:val="%3."/>
      <w:lvlJc w:val="right"/>
      <w:pPr>
        <w:ind w:left="1820" w:hanging="420"/>
      </w:pPr>
      <w:rPr>
        <w:rFonts w:hint="eastAsia"/>
      </w:rPr>
    </w:lvl>
    <w:lvl w:ilvl="3" w:tentative="0">
      <w:start w:val="1"/>
      <w:numFmt w:val="decimal"/>
      <w:lvlText w:val="%4."/>
      <w:lvlJc w:val="left"/>
      <w:pPr>
        <w:ind w:left="2240" w:hanging="420"/>
      </w:pPr>
      <w:rPr>
        <w:rFonts w:hint="eastAsia"/>
      </w:rPr>
    </w:lvl>
    <w:lvl w:ilvl="4" w:tentative="0">
      <w:start w:val="1"/>
      <w:numFmt w:val="lowerLetter"/>
      <w:lvlText w:val="%5)"/>
      <w:lvlJc w:val="left"/>
      <w:pPr>
        <w:ind w:left="2660" w:hanging="420"/>
      </w:pPr>
      <w:rPr>
        <w:rFonts w:hint="eastAsia"/>
      </w:rPr>
    </w:lvl>
    <w:lvl w:ilvl="5" w:tentative="0">
      <w:start w:val="1"/>
      <w:numFmt w:val="lowerRoman"/>
      <w:lvlText w:val="%6."/>
      <w:lvlJc w:val="right"/>
      <w:pPr>
        <w:ind w:left="3080" w:hanging="420"/>
      </w:pPr>
      <w:rPr>
        <w:rFonts w:hint="eastAsia"/>
      </w:rPr>
    </w:lvl>
    <w:lvl w:ilvl="6" w:tentative="0">
      <w:start w:val="1"/>
      <w:numFmt w:val="decimal"/>
      <w:lvlText w:val="%7."/>
      <w:lvlJc w:val="left"/>
      <w:pPr>
        <w:ind w:left="3500" w:hanging="420"/>
      </w:pPr>
      <w:rPr>
        <w:rFonts w:hint="eastAsia"/>
      </w:rPr>
    </w:lvl>
    <w:lvl w:ilvl="7" w:tentative="0">
      <w:start w:val="1"/>
      <w:numFmt w:val="lowerLetter"/>
      <w:lvlText w:val="%8)"/>
      <w:lvlJc w:val="left"/>
      <w:pPr>
        <w:ind w:left="3920" w:hanging="420"/>
      </w:pPr>
      <w:rPr>
        <w:rFonts w:hint="eastAsia"/>
      </w:rPr>
    </w:lvl>
    <w:lvl w:ilvl="8" w:tentative="0">
      <w:start w:val="1"/>
      <w:numFmt w:val="lowerRoman"/>
      <w:lvlText w:val="%9."/>
      <w:lvlJc w:val="right"/>
      <w:pPr>
        <w:ind w:left="4340" w:hanging="420"/>
      </w:pPr>
      <w:rPr>
        <w:rFonts w:hint="eastAsia"/>
      </w:rPr>
    </w:lvl>
  </w:abstractNum>
  <w:abstractNum w:abstractNumId="34">
    <w:nsid w:val="3D05F9B0"/>
    <w:multiLevelType w:val="singleLevel"/>
    <w:tmpl w:val="3D05F9B0"/>
    <w:lvl w:ilvl="0" w:tentative="0">
      <w:start w:val="1"/>
      <w:numFmt w:val="decimal"/>
      <w:lvlText w:val="(%1)"/>
      <w:lvlJc w:val="left"/>
      <w:pPr>
        <w:ind w:left="425" w:hanging="425"/>
      </w:pPr>
      <w:rPr>
        <w:rFonts w:hint="default" w:ascii="宋体" w:hAnsi="宋体" w:eastAsia="宋体" w:cs="宋体"/>
        <w:color w:val="0D0D0D" w:themeColor="text1" w:themeTint="F2"/>
        <w14:textFill>
          <w14:solidFill>
            <w14:schemeClr w14:val="tx1">
              <w14:lumMod w14:val="95000"/>
              <w14:lumOff w14:val="5000"/>
            </w14:schemeClr>
          </w14:solidFill>
        </w14:textFill>
      </w:rPr>
    </w:lvl>
  </w:abstractNum>
  <w:abstractNum w:abstractNumId="35">
    <w:nsid w:val="402F11D9"/>
    <w:multiLevelType w:val="multilevel"/>
    <w:tmpl w:val="402F11D9"/>
    <w:lvl w:ilvl="0" w:tentative="0">
      <w:start w:val="1"/>
      <w:numFmt w:val="decimal"/>
      <w:lvlText w:val="（%1）"/>
      <w:lvlJc w:val="left"/>
      <w:pPr>
        <w:ind w:left="704" w:hanging="420"/>
      </w:pPr>
      <w:rPr>
        <w:rFonts w:hint="eastAsia"/>
      </w:rPr>
    </w:lvl>
    <w:lvl w:ilvl="1" w:tentative="0">
      <w:start w:val="1"/>
      <w:numFmt w:val="decimal"/>
      <w:lvlText w:val="%2、"/>
      <w:lvlJc w:val="left"/>
      <w:pPr>
        <w:ind w:left="1260" w:hanging="360"/>
      </w:pPr>
      <w:rPr>
        <w:rFonts w:hint="default"/>
      </w:rPr>
    </w:lvl>
    <w:lvl w:ilvl="2" w:tentative="0">
      <w:start w:val="1"/>
      <w:numFmt w:val="japaneseCounting"/>
      <w:lvlText w:val="(%3)"/>
      <w:lvlJc w:val="left"/>
      <w:pPr>
        <w:ind w:left="1800" w:hanging="480"/>
      </w:pPr>
      <w:rPr>
        <w:rFonts w:hint="default"/>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6">
    <w:nsid w:val="40497156"/>
    <w:multiLevelType w:val="multilevel"/>
    <w:tmpl w:val="40497156"/>
    <w:lvl w:ilvl="0" w:tentative="0">
      <w:start w:val="1"/>
      <w:numFmt w:val="decimal"/>
      <w:lvlText w:val="%1"/>
      <w:lvlJc w:val="left"/>
      <w:pPr>
        <w:ind w:left="433" w:hanging="420"/>
      </w:pPr>
      <w:rPr>
        <w:rFonts w:hint="default" w:ascii="宋体" w:hAnsi="宋体" w:eastAsia="宋体" w:cs="宋体"/>
      </w:rPr>
    </w:lvl>
    <w:lvl w:ilvl="1" w:tentative="0">
      <w:start w:val="1"/>
      <w:numFmt w:val="lowerLetter"/>
      <w:lvlText w:val="%2)"/>
      <w:lvlJc w:val="left"/>
      <w:pPr>
        <w:ind w:left="853" w:hanging="420"/>
      </w:pPr>
    </w:lvl>
    <w:lvl w:ilvl="2" w:tentative="0">
      <w:start w:val="1"/>
      <w:numFmt w:val="lowerRoman"/>
      <w:lvlText w:val="%3."/>
      <w:lvlJc w:val="right"/>
      <w:pPr>
        <w:ind w:left="1273" w:hanging="420"/>
      </w:pPr>
    </w:lvl>
    <w:lvl w:ilvl="3" w:tentative="0">
      <w:start w:val="1"/>
      <w:numFmt w:val="decimal"/>
      <w:lvlText w:val="%4."/>
      <w:lvlJc w:val="left"/>
      <w:pPr>
        <w:ind w:left="1693" w:hanging="420"/>
      </w:pPr>
    </w:lvl>
    <w:lvl w:ilvl="4" w:tentative="0">
      <w:start w:val="1"/>
      <w:numFmt w:val="lowerLetter"/>
      <w:lvlText w:val="%5)"/>
      <w:lvlJc w:val="left"/>
      <w:pPr>
        <w:ind w:left="2113" w:hanging="420"/>
      </w:pPr>
    </w:lvl>
    <w:lvl w:ilvl="5" w:tentative="0">
      <w:start w:val="1"/>
      <w:numFmt w:val="lowerRoman"/>
      <w:lvlText w:val="%6."/>
      <w:lvlJc w:val="right"/>
      <w:pPr>
        <w:ind w:left="2533" w:hanging="420"/>
      </w:pPr>
    </w:lvl>
    <w:lvl w:ilvl="6" w:tentative="0">
      <w:start w:val="1"/>
      <w:numFmt w:val="decimal"/>
      <w:lvlText w:val="%7."/>
      <w:lvlJc w:val="left"/>
      <w:pPr>
        <w:ind w:left="2953" w:hanging="420"/>
      </w:pPr>
    </w:lvl>
    <w:lvl w:ilvl="7" w:tentative="0">
      <w:start w:val="1"/>
      <w:numFmt w:val="lowerLetter"/>
      <w:lvlText w:val="%8)"/>
      <w:lvlJc w:val="left"/>
      <w:pPr>
        <w:ind w:left="3373" w:hanging="420"/>
      </w:pPr>
    </w:lvl>
    <w:lvl w:ilvl="8" w:tentative="0">
      <w:start w:val="1"/>
      <w:numFmt w:val="lowerRoman"/>
      <w:lvlText w:val="%9."/>
      <w:lvlJc w:val="right"/>
      <w:pPr>
        <w:ind w:left="3793" w:hanging="420"/>
      </w:pPr>
    </w:lvl>
  </w:abstractNum>
  <w:abstractNum w:abstractNumId="37">
    <w:nsid w:val="46B976BF"/>
    <w:multiLevelType w:val="multilevel"/>
    <w:tmpl w:val="46B976BF"/>
    <w:lvl w:ilvl="0" w:tentative="0">
      <w:start w:val="1"/>
      <w:numFmt w:val="decimal"/>
      <w:lvlText w:val="%1."/>
      <w:lvlJc w:val="left"/>
      <w:pPr>
        <w:ind w:left="900" w:hanging="420"/>
      </w:pPr>
    </w:lvl>
    <w:lvl w:ilvl="1" w:tentative="0">
      <w:start w:val="1"/>
      <w:numFmt w:val="decimal"/>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8">
    <w:nsid w:val="4DC82BAB"/>
    <w:multiLevelType w:val="multilevel"/>
    <w:tmpl w:val="4DC82BAB"/>
    <w:lvl w:ilvl="0" w:tentative="0">
      <w:start w:val="1"/>
      <w:numFmt w:val="chineseCountingThousand"/>
      <w:lvlText w:val="%1、"/>
      <w:lvlJc w:val="left"/>
      <w:pPr>
        <w:ind w:left="703" w:hanging="420"/>
      </w:pPr>
      <w:rPr>
        <w:b/>
        <w:i w:val="0"/>
        <w:color w:val="auto"/>
      </w:r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39">
    <w:nsid w:val="4F007C5E"/>
    <w:multiLevelType w:val="multilevel"/>
    <w:tmpl w:val="4F007C5E"/>
    <w:lvl w:ilvl="0" w:tentative="0">
      <w:start w:val="1"/>
      <w:numFmt w:val="chineseCountingThousand"/>
      <w:lvlText w:val="%1、"/>
      <w:lvlJc w:val="left"/>
      <w:pPr>
        <w:ind w:left="703" w:hanging="420"/>
      </w:pPr>
      <w:rPr>
        <w:b/>
        <w:i w:val="0"/>
        <w:color w:val="auto"/>
      </w:r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40">
    <w:nsid w:val="527B108B"/>
    <w:multiLevelType w:val="multilevel"/>
    <w:tmpl w:val="527B108B"/>
    <w:lvl w:ilvl="0" w:tentative="0">
      <w:start w:val="1"/>
      <w:numFmt w:val="chineseCountingThousand"/>
      <w:lvlText w:val="%1、"/>
      <w:lvlJc w:val="left"/>
      <w:pPr>
        <w:ind w:left="-421" w:hanging="420"/>
      </w:pPr>
      <w:rPr>
        <w:rFonts w:hint="eastAsia"/>
      </w:rPr>
    </w:lvl>
    <w:lvl w:ilvl="1" w:tentative="0">
      <w:start w:val="1"/>
      <w:numFmt w:val="decimal"/>
      <w:lvlText w:val="%2、"/>
      <w:lvlJc w:val="left"/>
      <w:pPr>
        <w:ind w:left="299" w:hanging="720"/>
      </w:pPr>
      <w:rPr>
        <w:rFonts w:hint="default"/>
      </w:rPr>
    </w:lvl>
    <w:lvl w:ilvl="2" w:tentative="0">
      <w:start w:val="1"/>
      <w:numFmt w:val="lowerRoman"/>
      <w:lvlText w:val="%3."/>
      <w:lvlJc w:val="right"/>
      <w:pPr>
        <w:ind w:left="419" w:hanging="420"/>
      </w:pPr>
    </w:lvl>
    <w:lvl w:ilvl="3" w:tentative="0">
      <w:start w:val="1"/>
      <w:numFmt w:val="decimal"/>
      <w:lvlText w:val="%4."/>
      <w:lvlJc w:val="left"/>
      <w:pPr>
        <w:ind w:left="839" w:hanging="420"/>
      </w:pPr>
    </w:lvl>
    <w:lvl w:ilvl="4" w:tentative="0">
      <w:start w:val="1"/>
      <w:numFmt w:val="lowerLetter"/>
      <w:lvlText w:val="%5)"/>
      <w:lvlJc w:val="left"/>
      <w:pPr>
        <w:ind w:left="1259" w:hanging="420"/>
      </w:pPr>
    </w:lvl>
    <w:lvl w:ilvl="5" w:tentative="0">
      <w:start w:val="1"/>
      <w:numFmt w:val="lowerRoman"/>
      <w:lvlText w:val="%6."/>
      <w:lvlJc w:val="right"/>
      <w:pPr>
        <w:ind w:left="1679" w:hanging="420"/>
      </w:pPr>
    </w:lvl>
    <w:lvl w:ilvl="6" w:tentative="0">
      <w:start w:val="1"/>
      <w:numFmt w:val="decimal"/>
      <w:lvlText w:val="%7."/>
      <w:lvlJc w:val="left"/>
      <w:pPr>
        <w:ind w:left="2099" w:hanging="420"/>
      </w:pPr>
    </w:lvl>
    <w:lvl w:ilvl="7" w:tentative="0">
      <w:start w:val="1"/>
      <w:numFmt w:val="lowerLetter"/>
      <w:lvlText w:val="%8)"/>
      <w:lvlJc w:val="left"/>
      <w:pPr>
        <w:ind w:left="2519" w:hanging="420"/>
      </w:pPr>
    </w:lvl>
    <w:lvl w:ilvl="8" w:tentative="0">
      <w:start w:val="1"/>
      <w:numFmt w:val="lowerRoman"/>
      <w:lvlText w:val="%9."/>
      <w:lvlJc w:val="right"/>
      <w:pPr>
        <w:ind w:left="2939" w:hanging="420"/>
      </w:pPr>
    </w:lvl>
  </w:abstractNum>
  <w:abstractNum w:abstractNumId="41">
    <w:nsid w:val="54231B4F"/>
    <w:multiLevelType w:val="multilevel"/>
    <w:tmpl w:val="54231B4F"/>
    <w:lvl w:ilvl="0" w:tentative="0">
      <w:start w:val="1"/>
      <w:numFmt w:val="decimal"/>
      <w:lvlText w:val="%1."/>
      <w:lvlJc w:val="left"/>
      <w:pPr>
        <w:ind w:left="900" w:hanging="420"/>
      </w:pPr>
    </w:lvl>
    <w:lvl w:ilvl="1" w:tentative="0">
      <w:start w:val="1"/>
      <w:numFmt w:val="decimal"/>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54656A03"/>
    <w:multiLevelType w:val="multilevel"/>
    <w:tmpl w:val="54656A03"/>
    <w:lvl w:ilvl="0" w:tentative="0">
      <w:start w:val="1"/>
      <w:numFmt w:val="decimal"/>
      <w:lvlText w:val="（%1）"/>
      <w:lvlJc w:val="left"/>
      <w:pPr>
        <w:ind w:left="98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3">
    <w:nsid w:val="547EAD90"/>
    <w:multiLevelType w:val="singleLevel"/>
    <w:tmpl w:val="547EAD90"/>
    <w:lvl w:ilvl="0" w:tentative="0">
      <w:start w:val="1"/>
      <w:numFmt w:val="chineseCounting"/>
      <w:suff w:val="nothing"/>
      <w:lvlText w:val="（%1）"/>
      <w:lvlJc w:val="left"/>
      <w:rPr>
        <w:rFonts w:hint="eastAsia"/>
      </w:rPr>
    </w:lvl>
  </w:abstractNum>
  <w:abstractNum w:abstractNumId="44">
    <w:nsid w:val="599A3F0E"/>
    <w:multiLevelType w:val="multilevel"/>
    <w:tmpl w:val="599A3F0E"/>
    <w:lvl w:ilvl="0" w:tentative="0">
      <w:start w:val="1"/>
      <w:numFmt w:val="decimal"/>
      <w:lvlText w:val="%1."/>
      <w:lvlJc w:val="left"/>
      <w:pPr>
        <w:ind w:left="900" w:hanging="420"/>
      </w:pPr>
      <w:rPr>
        <w:rFonts w:hint="default"/>
        <w:color w:val="auto"/>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5">
    <w:nsid w:val="6518131C"/>
    <w:multiLevelType w:val="singleLevel"/>
    <w:tmpl w:val="6518131C"/>
    <w:lvl w:ilvl="0" w:tentative="0">
      <w:start w:val="1"/>
      <w:numFmt w:val="decimal"/>
      <w:suff w:val="nothing"/>
      <w:lvlText w:val="（%1）"/>
      <w:lvlJc w:val="left"/>
    </w:lvl>
  </w:abstractNum>
  <w:abstractNum w:abstractNumId="46">
    <w:nsid w:val="65220A1A"/>
    <w:multiLevelType w:val="multilevel"/>
    <w:tmpl w:val="65220A1A"/>
    <w:lvl w:ilvl="0" w:tentative="0">
      <w:start w:val="1"/>
      <w:numFmt w:val="decimal"/>
      <w:lvlText w:val="%1、"/>
      <w:lvlJc w:val="left"/>
      <w:pPr>
        <w:ind w:left="59" w:hanging="420"/>
      </w:pPr>
      <w:rPr>
        <w:rFonts w:hint="default" w:ascii="宋体" w:hAnsi="宋体" w:eastAsia="宋体" w:cs="宋体"/>
      </w:rPr>
    </w:lvl>
    <w:lvl w:ilvl="1" w:tentative="0">
      <w:start w:val="1"/>
      <w:numFmt w:val="lowerLetter"/>
      <w:lvlText w:val="%2)"/>
      <w:lvlJc w:val="left"/>
      <w:pPr>
        <w:ind w:left="479" w:hanging="420"/>
      </w:pPr>
    </w:lvl>
    <w:lvl w:ilvl="2" w:tentative="0">
      <w:start w:val="1"/>
      <w:numFmt w:val="lowerRoman"/>
      <w:lvlText w:val="%3."/>
      <w:lvlJc w:val="right"/>
      <w:pPr>
        <w:ind w:left="899" w:hanging="420"/>
      </w:pPr>
    </w:lvl>
    <w:lvl w:ilvl="3" w:tentative="0">
      <w:start w:val="1"/>
      <w:numFmt w:val="decimal"/>
      <w:lvlText w:val="%4."/>
      <w:lvlJc w:val="left"/>
      <w:pPr>
        <w:ind w:left="1319" w:hanging="420"/>
      </w:pPr>
    </w:lvl>
    <w:lvl w:ilvl="4" w:tentative="0">
      <w:start w:val="1"/>
      <w:numFmt w:val="lowerLetter"/>
      <w:lvlText w:val="%5)"/>
      <w:lvlJc w:val="left"/>
      <w:pPr>
        <w:ind w:left="1739" w:hanging="420"/>
      </w:pPr>
    </w:lvl>
    <w:lvl w:ilvl="5" w:tentative="0">
      <w:start w:val="1"/>
      <w:numFmt w:val="lowerRoman"/>
      <w:lvlText w:val="%6."/>
      <w:lvlJc w:val="right"/>
      <w:pPr>
        <w:ind w:left="2159" w:hanging="420"/>
      </w:pPr>
    </w:lvl>
    <w:lvl w:ilvl="6" w:tentative="0">
      <w:start w:val="1"/>
      <w:numFmt w:val="decimal"/>
      <w:lvlText w:val="%7."/>
      <w:lvlJc w:val="left"/>
      <w:pPr>
        <w:ind w:left="2579" w:hanging="420"/>
      </w:pPr>
    </w:lvl>
    <w:lvl w:ilvl="7" w:tentative="0">
      <w:start w:val="1"/>
      <w:numFmt w:val="lowerLetter"/>
      <w:lvlText w:val="%8)"/>
      <w:lvlJc w:val="left"/>
      <w:pPr>
        <w:ind w:left="2999" w:hanging="420"/>
      </w:pPr>
    </w:lvl>
    <w:lvl w:ilvl="8" w:tentative="0">
      <w:start w:val="1"/>
      <w:numFmt w:val="lowerRoman"/>
      <w:lvlText w:val="%9."/>
      <w:lvlJc w:val="right"/>
      <w:pPr>
        <w:ind w:left="3419" w:hanging="420"/>
      </w:pPr>
    </w:lvl>
  </w:abstractNum>
  <w:abstractNum w:abstractNumId="47">
    <w:nsid w:val="6754524A"/>
    <w:multiLevelType w:val="multilevel"/>
    <w:tmpl w:val="6754524A"/>
    <w:lvl w:ilvl="0" w:tentative="0">
      <w:start w:val="1"/>
      <w:numFmt w:val="decimal"/>
      <w:lvlText w:val="%1、"/>
      <w:lvlJc w:val="left"/>
      <w:pPr>
        <w:ind w:left="704"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675618FF"/>
    <w:multiLevelType w:val="multilevel"/>
    <w:tmpl w:val="675618FF"/>
    <w:lvl w:ilvl="0" w:tentative="0">
      <w:start w:val="1"/>
      <w:numFmt w:val="decimal"/>
      <w:lvlText w:val="%1."/>
      <w:lvlJc w:val="righ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rPr>
        <w:rFonts w:hint="default" w:ascii="宋体" w:hAnsi="宋体" w:eastAsia="宋体" w:cs="宋体"/>
        <w:color w:val="auto"/>
      </w:r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6AD65AE7"/>
    <w:multiLevelType w:val="multilevel"/>
    <w:tmpl w:val="6AD65AE7"/>
    <w:lvl w:ilvl="0" w:tentative="0">
      <w:start w:val="1"/>
      <w:numFmt w:val="decimal"/>
      <w:lvlText w:val="%1）"/>
      <w:lvlJc w:val="left"/>
      <w:pPr>
        <w:tabs>
          <w:tab w:val="left" w:pos="1047"/>
        </w:tabs>
        <w:ind w:left="480" w:firstLine="567"/>
      </w:pPr>
      <w:rPr>
        <w:rFonts w:hint="default" w:ascii="黑体" w:eastAsia="黑体"/>
        <w:b/>
        <w:u w:val="none"/>
      </w:rPr>
    </w:lvl>
    <w:lvl w:ilvl="1" w:tentative="0">
      <w:start w:val="1"/>
      <w:numFmt w:val="decimal"/>
      <w:lvlText w:val="%2）"/>
      <w:lvlJc w:val="left"/>
      <w:pPr>
        <w:tabs>
          <w:tab w:val="left" w:pos="420"/>
        </w:tabs>
        <w:ind w:left="306" w:firstLine="567"/>
      </w:pPr>
      <w:rPr>
        <w:rFonts w:hint="default" w:ascii="宋体" w:hAnsi="宋体" w:eastAsia="宋体" w:cs="宋体"/>
        <w:b w:val="0"/>
        <w:bCs/>
        <w:u w:val="none"/>
      </w:rPr>
    </w:lvl>
    <w:lvl w:ilvl="2" w:tentative="0">
      <w:start w:val="1"/>
      <w:numFmt w:val="lowerLetter"/>
      <w:lvlText w:val="%3、"/>
      <w:lvlJc w:val="left"/>
      <w:pPr>
        <w:tabs>
          <w:tab w:val="left" w:pos="1170"/>
        </w:tabs>
        <w:ind w:left="1170" w:hanging="330"/>
      </w:pPr>
      <w:rPr>
        <w:rFonts w:hint="default"/>
      </w:rPr>
    </w:lvl>
    <w:lvl w:ilvl="3" w:tentative="0">
      <w:start w:val="2"/>
      <w:numFmt w:val="japaneseCounting"/>
      <w:lvlText w:val="（%4）"/>
      <w:lvlJc w:val="left"/>
      <w:pPr>
        <w:ind w:left="1980" w:hanging="720"/>
      </w:pPr>
      <w:rPr>
        <w:rFonts w:hint="default"/>
      </w:rPr>
    </w:lvl>
    <w:lvl w:ilvl="4" w:tentative="0">
      <w:start w:val="1"/>
      <w:numFmt w:val="decimal"/>
      <w:lvlText w:val="（%5）"/>
      <w:lvlJc w:val="left"/>
      <w:pPr>
        <w:ind w:left="2670" w:hanging="990"/>
      </w:pPr>
      <w:rPr>
        <w:rFonts w:hint="default"/>
      </w:rPr>
    </w:lvl>
    <w:lvl w:ilvl="5" w:tentative="0">
      <w:start w:val="1"/>
      <w:numFmt w:val="japaneseCounting"/>
      <w:lvlText w:val="%6、"/>
      <w:lvlJc w:val="left"/>
      <w:pPr>
        <w:ind w:left="2985" w:hanging="885"/>
      </w:pPr>
      <w:rPr>
        <w:rFonts w:hint="default"/>
      </w:rPr>
    </w:lvl>
    <w:lvl w:ilvl="6" w:tentative="0">
      <w:start w:val="1"/>
      <w:numFmt w:val="decimal"/>
      <w:lvlText w:val="%7、"/>
      <w:lvlJc w:val="left"/>
      <w:pPr>
        <w:ind w:left="3255" w:hanging="735"/>
      </w:pPr>
      <w:rPr>
        <w:rFonts w:hint="default" w:ascii="Times New Roman" w:hAnsi="Times New Roman"/>
        <w:u w:val="none"/>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0">
    <w:nsid w:val="6CA96419"/>
    <w:multiLevelType w:val="singleLevel"/>
    <w:tmpl w:val="6CA96419"/>
    <w:lvl w:ilvl="0" w:tentative="0">
      <w:start w:val="1"/>
      <w:numFmt w:val="decimal"/>
      <w:lvlText w:val="%1."/>
      <w:lvlJc w:val="left"/>
      <w:pPr>
        <w:ind w:left="425" w:hanging="425"/>
      </w:pPr>
      <w:rPr>
        <w:rFonts w:hint="default"/>
      </w:rPr>
    </w:lvl>
  </w:abstractNum>
  <w:abstractNum w:abstractNumId="51">
    <w:nsid w:val="6DDB26C8"/>
    <w:multiLevelType w:val="multilevel"/>
    <w:tmpl w:val="6DDB26C8"/>
    <w:lvl w:ilvl="0" w:tentative="0">
      <w:start w:val="1"/>
      <w:numFmt w:val="decimal"/>
      <w:lvlText w:val="%1."/>
      <w:lvlJc w:val="left"/>
      <w:pPr>
        <w:ind w:left="900" w:hanging="420"/>
      </w:pPr>
    </w:lvl>
    <w:lvl w:ilvl="1" w:tentative="0">
      <w:start w:val="1"/>
      <w:numFmt w:val="decimal"/>
      <w:lvlText w:val="%2."/>
      <w:lvlJc w:val="left"/>
      <w:pPr>
        <w:ind w:left="1320" w:hanging="420"/>
      </w:pPr>
      <w:rPr>
        <w:rFonts w:hint="default"/>
        <w:color w:val="auto"/>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2">
    <w:nsid w:val="6F99F5B5"/>
    <w:multiLevelType w:val="singleLevel"/>
    <w:tmpl w:val="6F99F5B5"/>
    <w:lvl w:ilvl="0" w:tentative="0">
      <w:start w:val="1"/>
      <w:numFmt w:val="decimal"/>
      <w:lvlText w:val="(%1)"/>
      <w:lvlJc w:val="left"/>
      <w:pPr>
        <w:ind w:left="425" w:hanging="425"/>
      </w:pPr>
      <w:rPr>
        <w:rFonts w:hint="default"/>
      </w:rPr>
    </w:lvl>
  </w:abstractNum>
  <w:abstractNum w:abstractNumId="53">
    <w:nsid w:val="750F17D2"/>
    <w:multiLevelType w:val="multilevel"/>
    <w:tmpl w:val="750F17D2"/>
    <w:lvl w:ilvl="0" w:tentative="0">
      <w:start w:val="1"/>
      <w:numFmt w:val="chineseCountingThousand"/>
      <w:lvlText w:val="%1、"/>
      <w:lvlJc w:val="left"/>
      <w:pPr>
        <w:ind w:left="1402" w:hanging="420"/>
      </w:pPr>
    </w:lvl>
    <w:lvl w:ilvl="1" w:tentative="0">
      <w:start w:val="1"/>
      <w:numFmt w:val="lowerLetter"/>
      <w:lvlText w:val="%2)"/>
      <w:lvlJc w:val="left"/>
      <w:pPr>
        <w:ind w:left="1822" w:hanging="420"/>
      </w:pPr>
    </w:lvl>
    <w:lvl w:ilvl="2" w:tentative="0">
      <w:start w:val="1"/>
      <w:numFmt w:val="lowerRoman"/>
      <w:lvlText w:val="%3."/>
      <w:lvlJc w:val="right"/>
      <w:pPr>
        <w:ind w:left="2242" w:hanging="420"/>
      </w:pPr>
    </w:lvl>
    <w:lvl w:ilvl="3" w:tentative="0">
      <w:start w:val="1"/>
      <w:numFmt w:val="decimal"/>
      <w:lvlText w:val="%4."/>
      <w:lvlJc w:val="left"/>
      <w:pPr>
        <w:ind w:left="2662" w:hanging="420"/>
      </w:pPr>
    </w:lvl>
    <w:lvl w:ilvl="4" w:tentative="0">
      <w:start w:val="1"/>
      <w:numFmt w:val="lowerLetter"/>
      <w:lvlText w:val="%5)"/>
      <w:lvlJc w:val="left"/>
      <w:pPr>
        <w:ind w:left="3082" w:hanging="420"/>
      </w:pPr>
    </w:lvl>
    <w:lvl w:ilvl="5" w:tentative="0">
      <w:start w:val="1"/>
      <w:numFmt w:val="lowerRoman"/>
      <w:lvlText w:val="%6."/>
      <w:lvlJc w:val="right"/>
      <w:pPr>
        <w:ind w:left="3502" w:hanging="420"/>
      </w:pPr>
    </w:lvl>
    <w:lvl w:ilvl="6" w:tentative="0">
      <w:start w:val="1"/>
      <w:numFmt w:val="decimal"/>
      <w:lvlText w:val="%7."/>
      <w:lvlJc w:val="left"/>
      <w:pPr>
        <w:ind w:left="3922" w:hanging="420"/>
      </w:pPr>
    </w:lvl>
    <w:lvl w:ilvl="7" w:tentative="0">
      <w:start w:val="1"/>
      <w:numFmt w:val="lowerLetter"/>
      <w:lvlText w:val="%8)"/>
      <w:lvlJc w:val="left"/>
      <w:pPr>
        <w:ind w:left="4342" w:hanging="420"/>
      </w:pPr>
    </w:lvl>
    <w:lvl w:ilvl="8" w:tentative="0">
      <w:start w:val="1"/>
      <w:numFmt w:val="lowerRoman"/>
      <w:lvlText w:val="%9."/>
      <w:lvlJc w:val="right"/>
      <w:pPr>
        <w:ind w:left="4762" w:hanging="420"/>
      </w:pPr>
    </w:lvl>
  </w:abstractNum>
  <w:abstractNum w:abstractNumId="54">
    <w:nsid w:val="75D94BA6"/>
    <w:multiLevelType w:val="multilevel"/>
    <w:tmpl w:val="75D94BA6"/>
    <w:lvl w:ilvl="0" w:tentative="0">
      <w:start w:val="1"/>
      <w:numFmt w:val="decimal"/>
      <w:lvlText w:val="%1、"/>
      <w:lvlJc w:val="left"/>
      <w:pPr>
        <w:ind w:left="98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5">
    <w:nsid w:val="7A94532E"/>
    <w:multiLevelType w:val="multilevel"/>
    <w:tmpl w:val="7A94532E"/>
    <w:lvl w:ilvl="0" w:tentative="0">
      <w:start w:val="1"/>
      <w:numFmt w:val="chineseCountingThousand"/>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6">
    <w:nsid w:val="7CEC845F"/>
    <w:multiLevelType w:val="multilevel"/>
    <w:tmpl w:val="7CEC845F"/>
    <w:lvl w:ilvl="0" w:tentative="0">
      <w:start w:val="1"/>
      <w:numFmt w:val="decimal"/>
      <w:suff w:val="space"/>
      <w:lvlText w:val="%1."/>
      <w:lvlJc w:val="right"/>
      <w:pPr>
        <w:ind w:left="1128" w:hanging="420"/>
      </w:pPr>
      <w:rPr>
        <w:rFonts w:hint="default"/>
        <w:u w:val="none" w:color="auto"/>
      </w:rPr>
    </w:lvl>
    <w:lvl w:ilvl="1" w:tentative="0">
      <w:start w:val="1"/>
      <w:numFmt w:val="lowerLetter"/>
      <w:lvlText w:val="%2)"/>
      <w:lvlJc w:val="left"/>
      <w:pPr>
        <w:ind w:left="1548" w:hanging="420"/>
      </w:pPr>
      <w:rPr>
        <w:rFonts w:hint="default"/>
        <w:u w:val="none" w:color="auto"/>
      </w:rPr>
    </w:lvl>
    <w:lvl w:ilvl="2" w:tentative="0">
      <w:start w:val="1"/>
      <w:numFmt w:val="lowerRoman"/>
      <w:lvlText w:val="%3."/>
      <w:lvlJc w:val="right"/>
      <w:pPr>
        <w:ind w:left="1968" w:hanging="420"/>
      </w:pPr>
      <w:rPr>
        <w:rFonts w:hint="default"/>
        <w:u w:val="none" w:color="auto"/>
      </w:rPr>
    </w:lvl>
    <w:lvl w:ilvl="3" w:tentative="0">
      <w:start w:val="1"/>
      <w:numFmt w:val="decimal"/>
      <w:lvlText w:val="%4."/>
      <w:lvlJc w:val="left"/>
      <w:pPr>
        <w:ind w:left="2388" w:hanging="420"/>
      </w:pPr>
      <w:rPr>
        <w:rFonts w:hint="default"/>
        <w:u w:val="none" w:color="auto"/>
      </w:rPr>
    </w:lvl>
    <w:lvl w:ilvl="4" w:tentative="0">
      <w:start w:val="1"/>
      <w:numFmt w:val="lowerLetter"/>
      <w:lvlText w:val="%5)"/>
      <w:lvlJc w:val="left"/>
      <w:pPr>
        <w:ind w:left="2808" w:hanging="420"/>
      </w:pPr>
      <w:rPr>
        <w:rFonts w:hint="default"/>
        <w:u w:val="none" w:color="auto"/>
      </w:rPr>
    </w:lvl>
    <w:lvl w:ilvl="5" w:tentative="0">
      <w:start w:val="1"/>
      <w:numFmt w:val="lowerRoman"/>
      <w:lvlText w:val="%6."/>
      <w:lvlJc w:val="right"/>
      <w:pPr>
        <w:ind w:left="3228" w:hanging="420"/>
      </w:pPr>
      <w:rPr>
        <w:rFonts w:hint="default"/>
        <w:u w:val="none" w:color="auto"/>
      </w:rPr>
    </w:lvl>
    <w:lvl w:ilvl="6" w:tentative="0">
      <w:start w:val="1"/>
      <w:numFmt w:val="decimal"/>
      <w:lvlText w:val="%7."/>
      <w:lvlJc w:val="left"/>
      <w:pPr>
        <w:ind w:left="3648" w:hanging="420"/>
      </w:pPr>
      <w:rPr>
        <w:rFonts w:hint="default"/>
        <w:u w:val="none" w:color="auto"/>
      </w:rPr>
    </w:lvl>
    <w:lvl w:ilvl="7" w:tentative="0">
      <w:start w:val="1"/>
      <w:numFmt w:val="lowerLetter"/>
      <w:lvlText w:val="%8)"/>
      <w:lvlJc w:val="left"/>
      <w:pPr>
        <w:ind w:left="4068" w:hanging="420"/>
      </w:pPr>
      <w:rPr>
        <w:rFonts w:hint="default"/>
        <w:u w:val="none" w:color="auto"/>
      </w:rPr>
    </w:lvl>
    <w:lvl w:ilvl="8" w:tentative="0">
      <w:start w:val="1"/>
      <w:numFmt w:val="lowerRoman"/>
      <w:lvlText w:val="%9."/>
      <w:lvlJc w:val="right"/>
      <w:pPr>
        <w:ind w:left="4488" w:hanging="420"/>
      </w:pPr>
      <w:rPr>
        <w:rFonts w:hint="default"/>
        <w:u w:val="none" w:color="auto"/>
      </w:rPr>
    </w:lvl>
  </w:abstractNum>
  <w:abstractNum w:abstractNumId="57">
    <w:nsid w:val="7D309C86"/>
    <w:multiLevelType w:val="singleLevel"/>
    <w:tmpl w:val="7D309C86"/>
    <w:lvl w:ilvl="0" w:tentative="0">
      <w:start w:val="1"/>
      <w:numFmt w:val="decimal"/>
      <w:lvlText w:val="%1."/>
      <w:lvlJc w:val="left"/>
      <w:pPr>
        <w:ind w:left="425" w:hanging="425"/>
      </w:pPr>
      <w:rPr>
        <w:rFonts w:hint="default"/>
      </w:rPr>
    </w:lvl>
  </w:abstractNum>
  <w:num w:numId="1">
    <w:abstractNumId w:val="2"/>
  </w:num>
  <w:num w:numId="2">
    <w:abstractNumId w:val="38"/>
  </w:num>
  <w:num w:numId="3">
    <w:abstractNumId w:val="1"/>
  </w:num>
  <w:num w:numId="4">
    <w:abstractNumId w:val="39"/>
  </w:num>
  <w:num w:numId="5">
    <w:abstractNumId w:val="18"/>
  </w:num>
  <w:num w:numId="6">
    <w:abstractNumId w:val="36"/>
  </w:num>
  <w:num w:numId="7">
    <w:abstractNumId w:val="28"/>
  </w:num>
  <w:num w:numId="8">
    <w:abstractNumId w:val="44"/>
  </w:num>
  <w:num w:numId="9">
    <w:abstractNumId w:val="48"/>
  </w:num>
  <w:num w:numId="10">
    <w:abstractNumId w:val="14"/>
  </w:num>
  <w:num w:numId="11">
    <w:abstractNumId w:val="35"/>
  </w:num>
  <w:num w:numId="12">
    <w:abstractNumId w:val="32"/>
  </w:num>
  <w:num w:numId="13">
    <w:abstractNumId w:val="0"/>
  </w:num>
  <w:num w:numId="14">
    <w:abstractNumId w:val="22"/>
  </w:num>
  <w:num w:numId="15">
    <w:abstractNumId w:val="11"/>
  </w:num>
  <w:num w:numId="16">
    <w:abstractNumId w:val="25"/>
  </w:num>
  <w:num w:numId="17">
    <w:abstractNumId w:val="49"/>
  </w:num>
  <w:num w:numId="18">
    <w:abstractNumId w:val="23"/>
  </w:num>
  <w:num w:numId="19">
    <w:abstractNumId w:val="37"/>
  </w:num>
  <w:num w:numId="20">
    <w:abstractNumId w:val="41"/>
  </w:num>
  <w:num w:numId="21">
    <w:abstractNumId w:val="57"/>
  </w:num>
  <w:num w:numId="22">
    <w:abstractNumId w:val="24"/>
  </w:num>
  <w:num w:numId="23">
    <w:abstractNumId w:val="7"/>
  </w:num>
  <w:num w:numId="24">
    <w:abstractNumId w:val="40"/>
  </w:num>
  <w:num w:numId="25">
    <w:abstractNumId w:val="46"/>
  </w:num>
  <w:num w:numId="26">
    <w:abstractNumId w:val="43"/>
  </w:num>
  <w:num w:numId="27">
    <w:abstractNumId w:val="6"/>
  </w:num>
  <w:num w:numId="28">
    <w:abstractNumId w:val="10"/>
  </w:num>
  <w:num w:numId="29">
    <w:abstractNumId w:val="8"/>
  </w:num>
  <w:num w:numId="30">
    <w:abstractNumId w:val="4"/>
  </w:num>
  <w:num w:numId="31">
    <w:abstractNumId w:val="20"/>
  </w:num>
  <w:num w:numId="32">
    <w:abstractNumId w:val="12"/>
  </w:num>
  <w:num w:numId="33">
    <w:abstractNumId w:val="52"/>
  </w:num>
  <w:num w:numId="34">
    <w:abstractNumId w:val="13"/>
  </w:num>
  <w:num w:numId="35">
    <w:abstractNumId w:val="45"/>
  </w:num>
  <w:num w:numId="36">
    <w:abstractNumId w:val="53"/>
  </w:num>
  <w:num w:numId="37">
    <w:abstractNumId w:val="5"/>
  </w:num>
  <w:num w:numId="38">
    <w:abstractNumId w:val="50"/>
  </w:num>
  <w:num w:numId="39">
    <w:abstractNumId w:val="31"/>
  </w:num>
  <w:num w:numId="40">
    <w:abstractNumId w:val="34"/>
  </w:num>
  <w:num w:numId="41">
    <w:abstractNumId w:val="26"/>
  </w:num>
  <w:num w:numId="42">
    <w:abstractNumId w:val="56"/>
  </w:num>
  <w:num w:numId="43">
    <w:abstractNumId w:val="3"/>
  </w:num>
  <w:num w:numId="44">
    <w:abstractNumId w:val="27"/>
  </w:num>
  <w:num w:numId="45">
    <w:abstractNumId w:val="9"/>
  </w:num>
  <w:num w:numId="46">
    <w:abstractNumId w:val="55"/>
  </w:num>
  <w:num w:numId="47">
    <w:abstractNumId w:val="54"/>
  </w:num>
  <w:num w:numId="48">
    <w:abstractNumId w:val="21"/>
  </w:num>
  <w:num w:numId="49">
    <w:abstractNumId w:val="42"/>
  </w:num>
  <w:num w:numId="50">
    <w:abstractNumId w:val="33"/>
  </w:num>
  <w:num w:numId="51">
    <w:abstractNumId w:val="30"/>
  </w:num>
  <w:num w:numId="52">
    <w:abstractNumId w:val="15"/>
  </w:num>
  <w:num w:numId="53">
    <w:abstractNumId w:val="47"/>
  </w:num>
  <w:num w:numId="54">
    <w:abstractNumId w:val="29"/>
  </w:num>
  <w:num w:numId="55">
    <w:abstractNumId w:val="19"/>
  </w:num>
  <w:num w:numId="56">
    <w:abstractNumId w:val="51"/>
  </w:num>
  <w:num w:numId="57">
    <w:abstractNumId w:val="17"/>
  </w:num>
  <w:num w:numId="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0"/>
  <w:drawingGridHorizontalSpacing w:val="210"/>
  <w:drawingGridVerticalSpacing w:val="-794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okNames" w:val="year1_2;filetype1_2"/>
    <w:docVar w:name="commondata" w:val="eyJoZGlkIjoiNzMyMDI3YzM3ZWZjZTE0NzY2YzQzZTEzOGM3MzNjNjYifQ=="/>
    <w:docVar w:name="CurUserName" w:val="采购监管处收发室"/>
    <w:docVar w:name="DeleteMarces" w:val="False"/>
    <w:docVar w:name="DocName" w:val="0EF90D4B09DBFB9E4825742B0028ACBF_1.doc"/>
    <w:docVar w:name="haha" w:val="100"/>
    <w:docVar w:name="NewInfo" w:val="〔2009〕20&amp;;&amp;浙财采监字"/>
    <w:docVar w:name="OldInfo" w:val=" "/>
    <w:docVar w:name="SplitTool" w:val="False"/>
    <w:docVar w:name="TitleStr" w:val="浙江省财政厅;文件;"/>
    <w:docVar w:name="TrackMark" w:val="1"/>
  </w:docVars>
  <w:rsids>
    <w:rsidRoot w:val="00172A27"/>
    <w:rsid w:val="000001B2"/>
    <w:rsid w:val="000001CF"/>
    <w:rsid w:val="00000819"/>
    <w:rsid w:val="00000897"/>
    <w:rsid w:val="00001B80"/>
    <w:rsid w:val="00001EA9"/>
    <w:rsid w:val="00001FFB"/>
    <w:rsid w:val="00002068"/>
    <w:rsid w:val="000034F3"/>
    <w:rsid w:val="00003505"/>
    <w:rsid w:val="0000432F"/>
    <w:rsid w:val="00004918"/>
    <w:rsid w:val="0000555E"/>
    <w:rsid w:val="000057B0"/>
    <w:rsid w:val="00005DDD"/>
    <w:rsid w:val="000061A9"/>
    <w:rsid w:val="000067A2"/>
    <w:rsid w:val="000068DF"/>
    <w:rsid w:val="00006F56"/>
    <w:rsid w:val="00010490"/>
    <w:rsid w:val="00011619"/>
    <w:rsid w:val="00011B52"/>
    <w:rsid w:val="00011DA9"/>
    <w:rsid w:val="00014337"/>
    <w:rsid w:val="0001464B"/>
    <w:rsid w:val="0001587B"/>
    <w:rsid w:val="00015AB8"/>
    <w:rsid w:val="00015D2F"/>
    <w:rsid w:val="00016625"/>
    <w:rsid w:val="00016FF7"/>
    <w:rsid w:val="000174D7"/>
    <w:rsid w:val="00017713"/>
    <w:rsid w:val="000177F1"/>
    <w:rsid w:val="00017B25"/>
    <w:rsid w:val="00020410"/>
    <w:rsid w:val="00020E4C"/>
    <w:rsid w:val="0002111A"/>
    <w:rsid w:val="0002126A"/>
    <w:rsid w:val="0002172B"/>
    <w:rsid w:val="0002186C"/>
    <w:rsid w:val="00021C29"/>
    <w:rsid w:val="00021CE0"/>
    <w:rsid w:val="00021EA8"/>
    <w:rsid w:val="0002279E"/>
    <w:rsid w:val="000235A1"/>
    <w:rsid w:val="00023690"/>
    <w:rsid w:val="0002376A"/>
    <w:rsid w:val="00023B14"/>
    <w:rsid w:val="00023CBC"/>
    <w:rsid w:val="000246BB"/>
    <w:rsid w:val="00024A31"/>
    <w:rsid w:val="00024AB7"/>
    <w:rsid w:val="00025399"/>
    <w:rsid w:val="000262BD"/>
    <w:rsid w:val="000266D8"/>
    <w:rsid w:val="00027458"/>
    <w:rsid w:val="00030598"/>
    <w:rsid w:val="00030BCA"/>
    <w:rsid w:val="00031451"/>
    <w:rsid w:val="00031761"/>
    <w:rsid w:val="00031AA7"/>
    <w:rsid w:val="00031CD3"/>
    <w:rsid w:val="0003285D"/>
    <w:rsid w:val="00032B80"/>
    <w:rsid w:val="000338AC"/>
    <w:rsid w:val="00033E79"/>
    <w:rsid w:val="00033F45"/>
    <w:rsid w:val="00034F11"/>
    <w:rsid w:val="000363A8"/>
    <w:rsid w:val="00036714"/>
    <w:rsid w:val="00036BA0"/>
    <w:rsid w:val="00036F1C"/>
    <w:rsid w:val="00037170"/>
    <w:rsid w:val="0003742F"/>
    <w:rsid w:val="000374B7"/>
    <w:rsid w:val="00037662"/>
    <w:rsid w:val="00037AF1"/>
    <w:rsid w:val="00037E20"/>
    <w:rsid w:val="00040318"/>
    <w:rsid w:val="0004043E"/>
    <w:rsid w:val="00040B9A"/>
    <w:rsid w:val="000410E8"/>
    <w:rsid w:val="0004118F"/>
    <w:rsid w:val="00041249"/>
    <w:rsid w:val="0004135F"/>
    <w:rsid w:val="00041953"/>
    <w:rsid w:val="00041C26"/>
    <w:rsid w:val="00041D28"/>
    <w:rsid w:val="00042075"/>
    <w:rsid w:val="0004282D"/>
    <w:rsid w:val="00042D1A"/>
    <w:rsid w:val="000436AF"/>
    <w:rsid w:val="00043731"/>
    <w:rsid w:val="00043B1E"/>
    <w:rsid w:val="00043D51"/>
    <w:rsid w:val="00043F4F"/>
    <w:rsid w:val="00044164"/>
    <w:rsid w:val="00044653"/>
    <w:rsid w:val="00044BBA"/>
    <w:rsid w:val="00044D0F"/>
    <w:rsid w:val="00044D1A"/>
    <w:rsid w:val="0004541F"/>
    <w:rsid w:val="000458E5"/>
    <w:rsid w:val="00046B34"/>
    <w:rsid w:val="00047C7B"/>
    <w:rsid w:val="00047F0F"/>
    <w:rsid w:val="00050327"/>
    <w:rsid w:val="000506AA"/>
    <w:rsid w:val="00050A87"/>
    <w:rsid w:val="000519B7"/>
    <w:rsid w:val="00051D91"/>
    <w:rsid w:val="00051EAF"/>
    <w:rsid w:val="0005248E"/>
    <w:rsid w:val="000524F2"/>
    <w:rsid w:val="000525C0"/>
    <w:rsid w:val="00052DEF"/>
    <w:rsid w:val="00053621"/>
    <w:rsid w:val="0005393E"/>
    <w:rsid w:val="000541B8"/>
    <w:rsid w:val="00054683"/>
    <w:rsid w:val="000547CF"/>
    <w:rsid w:val="00055803"/>
    <w:rsid w:val="00055AB3"/>
    <w:rsid w:val="00055B1A"/>
    <w:rsid w:val="00056109"/>
    <w:rsid w:val="000561F5"/>
    <w:rsid w:val="00056275"/>
    <w:rsid w:val="000562C2"/>
    <w:rsid w:val="000565C4"/>
    <w:rsid w:val="0005690C"/>
    <w:rsid w:val="00056961"/>
    <w:rsid w:val="00056B0A"/>
    <w:rsid w:val="00056DC1"/>
    <w:rsid w:val="00056FF1"/>
    <w:rsid w:val="0005706E"/>
    <w:rsid w:val="00057667"/>
    <w:rsid w:val="00060682"/>
    <w:rsid w:val="00060B19"/>
    <w:rsid w:val="00061146"/>
    <w:rsid w:val="000616B1"/>
    <w:rsid w:val="0006337E"/>
    <w:rsid w:val="0006368E"/>
    <w:rsid w:val="000637EC"/>
    <w:rsid w:val="00063895"/>
    <w:rsid w:val="00063917"/>
    <w:rsid w:val="00064DFE"/>
    <w:rsid w:val="00064E41"/>
    <w:rsid w:val="00064EBB"/>
    <w:rsid w:val="00065100"/>
    <w:rsid w:val="0006540B"/>
    <w:rsid w:val="00065B40"/>
    <w:rsid w:val="00065BC2"/>
    <w:rsid w:val="00065C1D"/>
    <w:rsid w:val="0006646C"/>
    <w:rsid w:val="00066849"/>
    <w:rsid w:val="00066DDE"/>
    <w:rsid w:val="0006758D"/>
    <w:rsid w:val="0006761B"/>
    <w:rsid w:val="000679B8"/>
    <w:rsid w:val="000679F6"/>
    <w:rsid w:val="000702D4"/>
    <w:rsid w:val="000703B6"/>
    <w:rsid w:val="0007067D"/>
    <w:rsid w:val="000707FF"/>
    <w:rsid w:val="00070C7B"/>
    <w:rsid w:val="00070EC4"/>
    <w:rsid w:val="000721D3"/>
    <w:rsid w:val="00072833"/>
    <w:rsid w:val="00072EDB"/>
    <w:rsid w:val="00073479"/>
    <w:rsid w:val="00073E90"/>
    <w:rsid w:val="00074890"/>
    <w:rsid w:val="00074A36"/>
    <w:rsid w:val="00074DDA"/>
    <w:rsid w:val="0007525D"/>
    <w:rsid w:val="00075C52"/>
    <w:rsid w:val="00076C8D"/>
    <w:rsid w:val="00077A61"/>
    <w:rsid w:val="00077AD7"/>
    <w:rsid w:val="00077BFD"/>
    <w:rsid w:val="00080228"/>
    <w:rsid w:val="0008054C"/>
    <w:rsid w:val="000806F1"/>
    <w:rsid w:val="000809A8"/>
    <w:rsid w:val="00080AC8"/>
    <w:rsid w:val="00080CA9"/>
    <w:rsid w:val="000819AF"/>
    <w:rsid w:val="000819F7"/>
    <w:rsid w:val="000823B2"/>
    <w:rsid w:val="00082425"/>
    <w:rsid w:val="00082C04"/>
    <w:rsid w:val="00082D66"/>
    <w:rsid w:val="00082EA5"/>
    <w:rsid w:val="00083301"/>
    <w:rsid w:val="000836E6"/>
    <w:rsid w:val="00083E8F"/>
    <w:rsid w:val="00084020"/>
    <w:rsid w:val="00084044"/>
    <w:rsid w:val="000842EA"/>
    <w:rsid w:val="00084C50"/>
    <w:rsid w:val="000859E7"/>
    <w:rsid w:val="00086119"/>
    <w:rsid w:val="000866D0"/>
    <w:rsid w:val="000869B0"/>
    <w:rsid w:val="000875F5"/>
    <w:rsid w:val="000905E5"/>
    <w:rsid w:val="0009084C"/>
    <w:rsid w:val="000910EB"/>
    <w:rsid w:val="00091A1E"/>
    <w:rsid w:val="00092406"/>
    <w:rsid w:val="00092449"/>
    <w:rsid w:val="0009394D"/>
    <w:rsid w:val="00093CFF"/>
    <w:rsid w:val="00094491"/>
    <w:rsid w:val="000949B6"/>
    <w:rsid w:val="00094D17"/>
    <w:rsid w:val="0009543C"/>
    <w:rsid w:val="000965A5"/>
    <w:rsid w:val="00096BDD"/>
    <w:rsid w:val="00096D04"/>
    <w:rsid w:val="00097018"/>
    <w:rsid w:val="00097131"/>
    <w:rsid w:val="00097168"/>
    <w:rsid w:val="00097DCB"/>
    <w:rsid w:val="000A009C"/>
    <w:rsid w:val="000A01D8"/>
    <w:rsid w:val="000A08EA"/>
    <w:rsid w:val="000A0932"/>
    <w:rsid w:val="000A0E84"/>
    <w:rsid w:val="000A0FA9"/>
    <w:rsid w:val="000A1534"/>
    <w:rsid w:val="000A15FB"/>
    <w:rsid w:val="000A2000"/>
    <w:rsid w:val="000A2F46"/>
    <w:rsid w:val="000A413D"/>
    <w:rsid w:val="000A58F9"/>
    <w:rsid w:val="000A5CAB"/>
    <w:rsid w:val="000A5ED7"/>
    <w:rsid w:val="000A5F8F"/>
    <w:rsid w:val="000A6282"/>
    <w:rsid w:val="000A6D62"/>
    <w:rsid w:val="000A6F89"/>
    <w:rsid w:val="000A758A"/>
    <w:rsid w:val="000A7F83"/>
    <w:rsid w:val="000B054E"/>
    <w:rsid w:val="000B0AF4"/>
    <w:rsid w:val="000B1974"/>
    <w:rsid w:val="000B1E72"/>
    <w:rsid w:val="000B1F64"/>
    <w:rsid w:val="000B206C"/>
    <w:rsid w:val="000B20D6"/>
    <w:rsid w:val="000B3189"/>
    <w:rsid w:val="000B3722"/>
    <w:rsid w:val="000B3B88"/>
    <w:rsid w:val="000B3EBD"/>
    <w:rsid w:val="000B4283"/>
    <w:rsid w:val="000B4941"/>
    <w:rsid w:val="000B4AB6"/>
    <w:rsid w:val="000B4D88"/>
    <w:rsid w:val="000B5AB0"/>
    <w:rsid w:val="000B60A9"/>
    <w:rsid w:val="000B67C0"/>
    <w:rsid w:val="000B7C27"/>
    <w:rsid w:val="000C0623"/>
    <w:rsid w:val="000C18BD"/>
    <w:rsid w:val="000C1AEF"/>
    <w:rsid w:val="000C1D71"/>
    <w:rsid w:val="000C2370"/>
    <w:rsid w:val="000C2405"/>
    <w:rsid w:val="000C24AF"/>
    <w:rsid w:val="000C321C"/>
    <w:rsid w:val="000C3525"/>
    <w:rsid w:val="000C4092"/>
    <w:rsid w:val="000C4298"/>
    <w:rsid w:val="000C46B4"/>
    <w:rsid w:val="000C4D4A"/>
    <w:rsid w:val="000C506B"/>
    <w:rsid w:val="000C51DB"/>
    <w:rsid w:val="000C5256"/>
    <w:rsid w:val="000C6000"/>
    <w:rsid w:val="000C6E32"/>
    <w:rsid w:val="000C6F9B"/>
    <w:rsid w:val="000C710B"/>
    <w:rsid w:val="000C7B48"/>
    <w:rsid w:val="000D0115"/>
    <w:rsid w:val="000D1028"/>
    <w:rsid w:val="000D1D24"/>
    <w:rsid w:val="000D24B7"/>
    <w:rsid w:val="000D27AD"/>
    <w:rsid w:val="000D2D8D"/>
    <w:rsid w:val="000D2FD2"/>
    <w:rsid w:val="000D306D"/>
    <w:rsid w:val="000D3B90"/>
    <w:rsid w:val="000D3CFA"/>
    <w:rsid w:val="000D40B8"/>
    <w:rsid w:val="000D465C"/>
    <w:rsid w:val="000D5087"/>
    <w:rsid w:val="000D566E"/>
    <w:rsid w:val="000D657B"/>
    <w:rsid w:val="000D793F"/>
    <w:rsid w:val="000D7B6D"/>
    <w:rsid w:val="000D7D67"/>
    <w:rsid w:val="000D7E6A"/>
    <w:rsid w:val="000E002B"/>
    <w:rsid w:val="000E079F"/>
    <w:rsid w:val="000E0CEC"/>
    <w:rsid w:val="000E0DB7"/>
    <w:rsid w:val="000E11E3"/>
    <w:rsid w:val="000E1283"/>
    <w:rsid w:val="000E321F"/>
    <w:rsid w:val="000E3649"/>
    <w:rsid w:val="000E378C"/>
    <w:rsid w:val="000E3C6B"/>
    <w:rsid w:val="000E3CA3"/>
    <w:rsid w:val="000E3DDE"/>
    <w:rsid w:val="000E4449"/>
    <w:rsid w:val="000E4E02"/>
    <w:rsid w:val="000E5E27"/>
    <w:rsid w:val="000E69B1"/>
    <w:rsid w:val="000E69C7"/>
    <w:rsid w:val="000E6C75"/>
    <w:rsid w:val="000E723F"/>
    <w:rsid w:val="000E74D5"/>
    <w:rsid w:val="000E75C8"/>
    <w:rsid w:val="000E78BB"/>
    <w:rsid w:val="000E7DC2"/>
    <w:rsid w:val="000E7F78"/>
    <w:rsid w:val="000F03FF"/>
    <w:rsid w:val="000F1150"/>
    <w:rsid w:val="000F1848"/>
    <w:rsid w:val="000F1C67"/>
    <w:rsid w:val="000F1EB8"/>
    <w:rsid w:val="000F265F"/>
    <w:rsid w:val="000F335C"/>
    <w:rsid w:val="000F33EC"/>
    <w:rsid w:val="000F3796"/>
    <w:rsid w:val="000F3DD9"/>
    <w:rsid w:val="000F3FFA"/>
    <w:rsid w:val="000F4297"/>
    <w:rsid w:val="000F4A58"/>
    <w:rsid w:val="000F4C62"/>
    <w:rsid w:val="000F4DD8"/>
    <w:rsid w:val="000F51BF"/>
    <w:rsid w:val="000F54D4"/>
    <w:rsid w:val="000F5A47"/>
    <w:rsid w:val="000F5CF0"/>
    <w:rsid w:val="000F5ECB"/>
    <w:rsid w:val="000F6910"/>
    <w:rsid w:val="000F6A9B"/>
    <w:rsid w:val="000F6B32"/>
    <w:rsid w:val="000F7E0B"/>
    <w:rsid w:val="00101306"/>
    <w:rsid w:val="00101514"/>
    <w:rsid w:val="00101CE5"/>
    <w:rsid w:val="00102A64"/>
    <w:rsid w:val="00103110"/>
    <w:rsid w:val="00103117"/>
    <w:rsid w:val="001032F0"/>
    <w:rsid w:val="00103396"/>
    <w:rsid w:val="00103A53"/>
    <w:rsid w:val="00103B55"/>
    <w:rsid w:val="00104161"/>
    <w:rsid w:val="00104A17"/>
    <w:rsid w:val="00104BAB"/>
    <w:rsid w:val="00104E02"/>
    <w:rsid w:val="0010508C"/>
    <w:rsid w:val="001053B3"/>
    <w:rsid w:val="001059F2"/>
    <w:rsid w:val="00105D92"/>
    <w:rsid w:val="001067F3"/>
    <w:rsid w:val="00107168"/>
    <w:rsid w:val="001073FB"/>
    <w:rsid w:val="00110023"/>
    <w:rsid w:val="00110123"/>
    <w:rsid w:val="0011044E"/>
    <w:rsid w:val="00111E09"/>
    <w:rsid w:val="00113617"/>
    <w:rsid w:val="00113A5E"/>
    <w:rsid w:val="00113E64"/>
    <w:rsid w:val="00113FBF"/>
    <w:rsid w:val="0011408F"/>
    <w:rsid w:val="001146D3"/>
    <w:rsid w:val="00114A57"/>
    <w:rsid w:val="0011528A"/>
    <w:rsid w:val="001152AE"/>
    <w:rsid w:val="001154EB"/>
    <w:rsid w:val="00115AE6"/>
    <w:rsid w:val="0011636F"/>
    <w:rsid w:val="0011656E"/>
    <w:rsid w:val="00116BD3"/>
    <w:rsid w:val="001171C5"/>
    <w:rsid w:val="00117CDA"/>
    <w:rsid w:val="001204FB"/>
    <w:rsid w:val="00120985"/>
    <w:rsid w:val="001219FE"/>
    <w:rsid w:val="00121BF9"/>
    <w:rsid w:val="00122008"/>
    <w:rsid w:val="001226C3"/>
    <w:rsid w:val="0012370B"/>
    <w:rsid w:val="00123AF4"/>
    <w:rsid w:val="001241BE"/>
    <w:rsid w:val="00124411"/>
    <w:rsid w:val="001245F1"/>
    <w:rsid w:val="001249E5"/>
    <w:rsid w:val="00124B59"/>
    <w:rsid w:val="00124E22"/>
    <w:rsid w:val="0012506B"/>
    <w:rsid w:val="00125481"/>
    <w:rsid w:val="001256D4"/>
    <w:rsid w:val="001257E7"/>
    <w:rsid w:val="00125813"/>
    <w:rsid w:val="0012658E"/>
    <w:rsid w:val="0012660E"/>
    <w:rsid w:val="00126B25"/>
    <w:rsid w:val="00126BA0"/>
    <w:rsid w:val="0013169D"/>
    <w:rsid w:val="00131775"/>
    <w:rsid w:val="00132126"/>
    <w:rsid w:val="00132703"/>
    <w:rsid w:val="00133052"/>
    <w:rsid w:val="001333E1"/>
    <w:rsid w:val="0013398F"/>
    <w:rsid w:val="001339C7"/>
    <w:rsid w:val="00133A85"/>
    <w:rsid w:val="00133DD9"/>
    <w:rsid w:val="00133F35"/>
    <w:rsid w:val="00133F4C"/>
    <w:rsid w:val="001344D9"/>
    <w:rsid w:val="00134743"/>
    <w:rsid w:val="00134C1E"/>
    <w:rsid w:val="00135402"/>
    <w:rsid w:val="00135B5D"/>
    <w:rsid w:val="00135E3C"/>
    <w:rsid w:val="00135E4C"/>
    <w:rsid w:val="0013611C"/>
    <w:rsid w:val="0013629B"/>
    <w:rsid w:val="001366FD"/>
    <w:rsid w:val="001374B2"/>
    <w:rsid w:val="00137FE8"/>
    <w:rsid w:val="001404D6"/>
    <w:rsid w:val="001405D1"/>
    <w:rsid w:val="00140794"/>
    <w:rsid w:val="00140A8F"/>
    <w:rsid w:val="00140C69"/>
    <w:rsid w:val="001411D7"/>
    <w:rsid w:val="00141A27"/>
    <w:rsid w:val="00141E97"/>
    <w:rsid w:val="001423E0"/>
    <w:rsid w:val="00142B0E"/>
    <w:rsid w:val="001432B2"/>
    <w:rsid w:val="00143617"/>
    <w:rsid w:val="001438D6"/>
    <w:rsid w:val="001439BF"/>
    <w:rsid w:val="00143D78"/>
    <w:rsid w:val="00144199"/>
    <w:rsid w:val="0014432C"/>
    <w:rsid w:val="00144591"/>
    <w:rsid w:val="00144860"/>
    <w:rsid w:val="0014491E"/>
    <w:rsid w:val="00145494"/>
    <w:rsid w:val="00145945"/>
    <w:rsid w:val="00146771"/>
    <w:rsid w:val="0014715A"/>
    <w:rsid w:val="001471AA"/>
    <w:rsid w:val="00147831"/>
    <w:rsid w:val="00147AAA"/>
    <w:rsid w:val="00147BEE"/>
    <w:rsid w:val="001502BC"/>
    <w:rsid w:val="001508E1"/>
    <w:rsid w:val="00150A81"/>
    <w:rsid w:val="00151291"/>
    <w:rsid w:val="00151B67"/>
    <w:rsid w:val="0015267D"/>
    <w:rsid w:val="001526BA"/>
    <w:rsid w:val="00152937"/>
    <w:rsid w:val="00152D0D"/>
    <w:rsid w:val="00152DB0"/>
    <w:rsid w:val="00152F38"/>
    <w:rsid w:val="00154675"/>
    <w:rsid w:val="00154821"/>
    <w:rsid w:val="00154BDD"/>
    <w:rsid w:val="00154E00"/>
    <w:rsid w:val="00154E0B"/>
    <w:rsid w:val="00155358"/>
    <w:rsid w:val="001555C8"/>
    <w:rsid w:val="00156496"/>
    <w:rsid w:val="00156851"/>
    <w:rsid w:val="0015707B"/>
    <w:rsid w:val="00157633"/>
    <w:rsid w:val="00157634"/>
    <w:rsid w:val="001576DF"/>
    <w:rsid w:val="00157741"/>
    <w:rsid w:val="001602F3"/>
    <w:rsid w:val="0016120E"/>
    <w:rsid w:val="00161421"/>
    <w:rsid w:val="001614AA"/>
    <w:rsid w:val="001617D5"/>
    <w:rsid w:val="00161B25"/>
    <w:rsid w:val="00161FC2"/>
    <w:rsid w:val="00161FE9"/>
    <w:rsid w:val="001622E8"/>
    <w:rsid w:val="00162461"/>
    <w:rsid w:val="0016251C"/>
    <w:rsid w:val="00162B45"/>
    <w:rsid w:val="00162D76"/>
    <w:rsid w:val="00163167"/>
    <w:rsid w:val="00163408"/>
    <w:rsid w:val="00163EAD"/>
    <w:rsid w:val="00164436"/>
    <w:rsid w:val="00164853"/>
    <w:rsid w:val="00165741"/>
    <w:rsid w:val="001663F8"/>
    <w:rsid w:val="00166A26"/>
    <w:rsid w:val="00167163"/>
    <w:rsid w:val="00167821"/>
    <w:rsid w:val="0016783F"/>
    <w:rsid w:val="00170365"/>
    <w:rsid w:val="001712CD"/>
    <w:rsid w:val="0017156C"/>
    <w:rsid w:val="001719A2"/>
    <w:rsid w:val="00171E4B"/>
    <w:rsid w:val="00171E84"/>
    <w:rsid w:val="00171EA6"/>
    <w:rsid w:val="00172242"/>
    <w:rsid w:val="00172649"/>
    <w:rsid w:val="0017287C"/>
    <w:rsid w:val="00172A27"/>
    <w:rsid w:val="001740D3"/>
    <w:rsid w:val="0017464E"/>
    <w:rsid w:val="001748AA"/>
    <w:rsid w:val="001749BE"/>
    <w:rsid w:val="00174E07"/>
    <w:rsid w:val="00174FB0"/>
    <w:rsid w:val="001755E7"/>
    <w:rsid w:val="00175F65"/>
    <w:rsid w:val="00175FE6"/>
    <w:rsid w:val="0017662F"/>
    <w:rsid w:val="001767E4"/>
    <w:rsid w:val="00177759"/>
    <w:rsid w:val="0017777D"/>
    <w:rsid w:val="00177D56"/>
    <w:rsid w:val="00180551"/>
    <w:rsid w:val="001809BE"/>
    <w:rsid w:val="00181490"/>
    <w:rsid w:val="001814DC"/>
    <w:rsid w:val="001822B4"/>
    <w:rsid w:val="00182AF0"/>
    <w:rsid w:val="00182D91"/>
    <w:rsid w:val="001831A5"/>
    <w:rsid w:val="00183F7F"/>
    <w:rsid w:val="001849A0"/>
    <w:rsid w:val="0018543F"/>
    <w:rsid w:val="00185591"/>
    <w:rsid w:val="00185596"/>
    <w:rsid w:val="00185783"/>
    <w:rsid w:val="00185CAE"/>
    <w:rsid w:val="0018628B"/>
    <w:rsid w:val="00186835"/>
    <w:rsid w:val="00186926"/>
    <w:rsid w:val="00186BAA"/>
    <w:rsid w:val="00187320"/>
    <w:rsid w:val="00187379"/>
    <w:rsid w:val="001873C1"/>
    <w:rsid w:val="0018784A"/>
    <w:rsid w:val="00187AC1"/>
    <w:rsid w:val="00187B39"/>
    <w:rsid w:val="00187DDA"/>
    <w:rsid w:val="00187DF8"/>
    <w:rsid w:val="00190BD8"/>
    <w:rsid w:val="00190E8C"/>
    <w:rsid w:val="001913C9"/>
    <w:rsid w:val="00191C3C"/>
    <w:rsid w:val="00191F23"/>
    <w:rsid w:val="00192149"/>
    <w:rsid w:val="001940EA"/>
    <w:rsid w:val="00194478"/>
    <w:rsid w:val="001949D5"/>
    <w:rsid w:val="00195063"/>
    <w:rsid w:val="0019555D"/>
    <w:rsid w:val="00195B76"/>
    <w:rsid w:val="00195EF6"/>
    <w:rsid w:val="0019638C"/>
    <w:rsid w:val="001966EF"/>
    <w:rsid w:val="0019678F"/>
    <w:rsid w:val="001969F4"/>
    <w:rsid w:val="00196AEB"/>
    <w:rsid w:val="00197258"/>
    <w:rsid w:val="00197454"/>
    <w:rsid w:val="001A0913"/>
    <w:rsid w:val="001A0C21"/>
    <w:rsid w:val="001A0F24"/>
    <w:rsid w:val="001A1FFD"/>
    <w:rsid w:val="001A2BDB"/>
    <w:rsid w:val="001A38D0"/>
    <w:rsid w:val="001A3C23"/>
    <w:rsid w:val="001A4653"/>
    <w:rsid w:val="001A5536"/>
    <w:rsid w:val="001A61A9"/>
    <w:rsid w:val="001A6CCC"/>
    <w:rsid w:val="001A70A4"/>
    <w:rsid w:val="001B0A54"/>
    <w:rsid w:val="001B15CB"/>
    <w:rsid w:val="001B1764"/>
    <w:rsid w:val="001B1B66"/>
    <w:rsid w:val="001B20D3"/>
    <w:rsid w:val="001B233B"/>
    <w:rsid w:val="001B377E"/>
    <w:rsid w:val="001B465A"/>
    <w:rsid w:val="001B48BD"/>
    <w:rsid w:val="001B5328"/>
    <w:rsid w:val="001B5369"/>
    <w:rsid w:val="001B57A4"/>
    <w:rsid w:val="001B68FF"/>
    <w:rsid w:val="001B6A5C"/>
    <w:rsid w:val="001B6FCA"/>
    <w:rsid w:val="001B7D23"/>
    <w:rsid w:val="001C01AC"/>
    <w:rsid w:val="001C027C"/>
    <w:rsid w:val="001C0525"/>
    <w:rsid w:val="001C0561"/>
    <w:rsid w:val="001C0BD7"/>
    <w:rsid w:val="001C0D38"/>
    <w:rsid w:val="001C10DE"/>
    <w:rsid w:val="001C160C"/>
    <w:rsid w:val="001C1FD3"/>
    <w:rsid w:val="001C27B4"/>
    <w:rsid w:val="001C353F"/>
    <w:rsid w:val="001C3A6B"/>
    <w:rsid w:val="001C42EA"/>
    <w:rsid w:val="001C42EF"/>
    <w:rsid w:val="001C4FCF"/>
    <w:rsid w:val="001C57D4"/>
    <w:rsid w:val="001C5D71"/>
    <w:rsid w:val="001C5E71"/>
    <w:rsid w:val="001C62CE"/>
    <w:rsid w:val="001C740A"/>
    <w:rsid w:val="001C76BB"/>
    <w:rsid w:val="001C7BEF"/>
    <w:rsid w:val="001C7D29"/>
    <w:rsid w:val="001D067E"/>
    <w:rsid w:val="001D0DAD"/>
    <w:rsid w:val="001D157F"/>
    <w:rsid w:val="001D1832"/>
    <w:rsid w:val="001D19EC"/>
    <w:rsid w:val="001D243C"/>
    <w:rsid w:val="001D2C60"/>
    <w:rsid w:val="001D2D04"/>
    <w:rsid w:val="001D3638"/>
    <w:rsid w:val="001D451A"/>
    <w:rsid w:val="001D4DC2"/>
    <w:rsid w:val="001D5453"/>
    <w:rsid w:val="001D5CD3"/>
    <w:rsid w:val="001D6232"/>
    <w:rsid w:val="001D68B7"/>
    <w:rsid w:val="001D6A2C"/>
    <w:rsid w:val="001D70D9"/>
    <w:rsid w:val="001D7616"/>
    <w:rsid w:val="001D7C95"/>
    <w:rsid w:val="001E0737"/>
    <w:rsid w:val="001E0801"/>
    <w:rsid w:val="001E0BEE"/>
    <w:rsid w:val="001E115E"/>
    <w:rsid w:val="001E11C9"/>
    <w:rsid w:val="001E14EB"/>
    <w:rsid w:val="001E209E"/>
    <w:rsid w:val="001E22E1"/>
    <w:rsid w:val="001E274A"/>
    <w:rsid w:val="001E327E"/>
    <w:rsid w:val="001E33BC"/>
    <w:rsid w:val="001E3561"/>
    <w:rsid w:val="001E3F45"/>
    <w:rsid w:val="001E43B3"/>
    <w:rsid w:val="001E5030"/>
    <w:rsid w:val="001E574F"/>
    <w:rsid w:val="001E59E6"/>
    <w:rsid w:val="001E60F0"/>
    <w:rsid w:val="001E6555"/>
    <w:rsid w:val="001E65F8"/>
    <w:rsid w:val="001E6933"/>
    <w:rsid w:val="001E6AC1"/>
    <w:rsid w:val="001E6DF9"/>
    <w:rsid w:val="001E7185"/>
    <w:rsid w:val="001E743C"/>
    <w:rsid w:val="001E7A45"/>
    <w:rsid w:val="001E7BB0"/>
    <w:rsid w:val="001F02B6"/>
    <w:rsid w:val="001F03A3"/>
    <w:rsid w:val="001F0E17"/>
    <w:rsid w:val="001F16BB"/>
    <w:rsid w:val="001F1FFB"/>
    <w:rsid w:val="001F21FE"/>
    <w:rsid w:val="001F263B"/>
    <w:rsid w:val="001F2711"/>
    <w:rsid w:val="001F4212"/>
    <w:rsid w:val="001F4250"/>
    <w:rsid w:val="001F4931"/>
    <w:rsid w:val="001F4DE3"/>
    <w:rsid w:val="001F51C1"/>
    <w:rsid w:val="001F5BAB"/>
    <w:rsid w:val="001F5CF7"/>
    <w:rsid w:val="001F6532"/>
    <w:rsid w:val="001F6F4A"/>
    <w:rsid w:val="001F7678"/>
    <w:rsid w:val="001F7820"/>
    <w:rsid w:val="0020062A"/>
    <w:rsid w:val="00200663"/>
    <w:rsid w:val="00200685"/>
    <w:rsid w:val="002007D3"/>
    <w:rsid w:val="00200C7E"/>
    <w:rsid w:val="00202BB4"/>
    <w:rsid w:val="00204223"/>
    <w:rsid w:val="00204C7C"/>
    <w:rsid w:val="00205833"/>
    <w:rsid w:val="00205B5B"/>
    <w:rsid w:val="00205C95"/>
    <w:rsid w:val="002065A0"/>
    <w:rsid w:val="00207371"/>
    <w:rsid w:val="00207707"/>
    <w:rsid w:val="002077B9"/>
    <w:rsid w:val="00207AA2"/>
    <w:rsid w:val="002106E0"/>
    <w:rsid w:val="002108AF"/>
    <w:rsid w:val="0021115B"/>
    <w:rsid w:val="0021218A"/>
    <w:rsid w:val="0021287D"/>
    <w:rsid w:val="0021326F"/>
    <w:rsid w:val="0021347A"/>
    <w:rsid w:val="002134C1"/>
    <w:rsid w:val="00213878"/>
    <w:rsid w:val="002139BB"/>
    <w:rsid w:val="00214453"/>
    <w:rsid w:val="0021478C"/>
    <w:rsid w:val="002147E2"/>
    <w:rsid w:val="00214B4F"/>
    <w:rsid w:val="00214E4E"/>
    <w:rsid w:val="002154BB"/>
    <w:rsid w:val="002158B8"/>
    <w:rsid w:val="00220A00"/>
    <w:rsid w:val="00220A0F"/>
    <w:rsid w:val="00221048"/>
    <w:rsid w:val="00221549"/>
    <w:rsid w:val="0022269E"/>
    <w:rsid w:val="002228A7"/>
    <w:rsid w:val="00222D6C"/>
    <w:rsid w:val="0022342A"/>
    <w:rsid w:val="0022347E"/>
    <w:rsid w:val="002238F2"/>
    <w:rsid w:val="0022461E"/>
    <w:rsid w:val="00224857"/>
    <w:rsid w:val="00225769"/>
    <w:rsid w:val="00226863"/>
    <w:rsid w:val="00226FFF"/>
    <w:rsid w:val="002270EC"/>
    <w:rsid w:val="00227B2D"/>
    <w:rsid w:val="00227F67"/>
    <w:rsid w:val="00230588"/>
    <w:rsid w:val="002309BB"/>
    <w:rsid w:val="002317DC"/>
    <w:rsid w:val="00231884"/>
    <w:rsid w:val="00231B55"/>
    <w:rsid w:val="0023305B"/>
    <w:rsid w:val="0023357A"/>
    <w:rsid w:val="00234243"/>
    <w:rsid w:val="002346FA"/>
    <w:rsid w:val="00235159"/>
    <w:rsid w:val="00235346"/>
    <w:rsid w:val="002357A2"/>
    <w:rsid w:val="00235C89"/>
    <w:rsid w:val="0023673A"/>
    <w:rsid w:val="00236B3D"/>
    <w:rsid w:val="00236E31"/>
    <w:rsid w:val="00237140"/>
    <w:rsid w:val="002372E7"/>
    <w:rsid w:val="00240E33"/>
    <w:rsid w:val="00241458"/>
    <w:rsid w:val="00241490"/>
    <w:rsid w:val="00241C36"/>
    <w:rsid w:val="00241E05"/>
    <w:rsid w:val="00242502"/>
    <w:rsid w:val="0024276F"/>
    <w:rsid w:val="00243BCD"/>
    <w:rsid w:val="00243CB2"/>
    <w:rsid w:val="00244399"/>
    <w:rsid w:val="00244E98"/>
    <w:rsid w:val="00245220"/>
    <w:rsid w:val="00245770"/>
    <w:rsid w:val="00245818"/>
    <w:rsid w:val="00245FD3"/>
    <w:rsid w:val="00246282"/>
    <w:rsid w:val="00247318"/>
    <w:rsid w:val="002473E0"/>
    <w:rsid w:val="002477AF"/>
    <w:rsid w:val="00247C6A"/>
    <w:rsid w:val="00250282"/>
    <w:rsid w:val="00251163"/>
    <w:rsid w:val="00251653"/>
    <w:rsid w:val="00251B78"/>
    <w:rsid w:val="00251BE5"/>
    <w:rsid w:val="0025216B"/>
    <w:rsid w:val="002524F2"/>
    <w:rsid w:val="0025297A"/>
    <w:rsid w:val="00252B22"/>
    <w:rsid w:val="002530BB"/>
    <w:rsid w:val="00253A21"/>
    <w:rsid w:val="00254269"/>
    <w:rsid w:val="00254B85"/>
    <w:rsid w:val="002556E5"/>
    <w:rsid w:val="00256667"/>
    <w:rsid w:val="002569CC"/>
    <w:rsid w:val="0025722D"/>
    <w:rsid w:val="00257A16"/>
    <w:rsid w:val="0026024C"/>
    <w:rsid w:val="002606D9"/>
    <w:rsid w:val="00260A36"/>
    <w:rsid w:val="002617D5"/>
    <w:rsid w:val="00261C7B"/>
    <w:rsid w:val="00261CC5"/>
    <w:rsid w:val="00261E0F"/>
    <w:rsid w:val="0026258F"/>
    <w:rsid w:val="00262D32"/>
    <w:rsid w:val="002632A1"/>
    <w:rsid w:val="00263719"/>
    <w:rsid w:val="002637CF"/>
    <w:rsid w:val="002637FA"/>
    <w:rsid w:val="00263FE4"/>
    <w:rsid w:val="0026443A"/>
    <w:rsid w:val="0026483C"/>
    <w:rsid w:val="002648AC"/>
    <w:rsid w:val="002648C6"/>
    <w:rsid w:val="00265D1C"/>
    <w:rsid w:val="00265EA2"/>
    <w:rsid w:val="00270928"/>
    <w:rsid w:val="00270CD2"/>
    <w:rsid w:val="00270FA8"/>
    <w:rsid w:val="00271DF5"/>
    <w:rsid w:val="002723CB"/>
    <w:rsid w:val="00273E77"/>
    <w:rsid w:val="00274716"/>
    <w:rsid w:val="00274B75"/>
    <w:rsid w:val="00274C5A"/>
    <w:rsid w:val="00275722"/>
    <w:rsid w:val="00275C84"/>
    <w:rsid w:val="00276759"/>
    <w:rsid w:val="00276912"/>
    <w:rsid w:val="00276FE0"/>
    <w:rsid w:val="00277114"/>
    <w:rsid w:val="00277C71"/>
    <w:rsid w:val="0028034A"/>
    <w:rsid w:val="0028055A"/>
    <w:rsid w:val="00280C11"/>
    <w:rsid w:val="00280DF0"/>
    <w:rsid w:val="00280FEF"/>
    <w:rsid w:val="0028146A"/>
    <w:rsid w:val="002818F1"/>
    <w:rsid w:val="00281B91"/>
    <w:rsid w:val="00281C66"/>
    <w:rsid w:val="00282718"/>
    <w:rsid w:val="00282A09"/>
    <w:rsid w:val="00283844"/>
    <w:rsid w:val="00283C92"/>
    <w:rsid w:val="00283D7B"/>
    <w:rsid w:val="00283FF8"/>
    <w:rsid w:val="002840AA"/>
    <w:rsid w:val="002843C5"/>
    <w:rsid w:val="00284A01"/>
    <w:rsid w:val="00284DF2"/>
    <w:rsid w:val="002859B4"/>
    <w:rsid w:val="00285CBF"/>
    <w:rsid w:val="00286B42"/>
    <w:rsid w:val="00286B87"/>
    <w:rsid w:val="00286C20"/>
    <w:rsid w:val="00286D63"/>
    <w:rsid w:val="0028794E"/>
    <w:rsid w:val="00290099"/>
    <w:rsid w:val="00290130"/>
    <w:rsid w:val="00290D65"/>
    <w:rsid w:val="00291124"/>
    <w:rsid w:val="00291324"/>
    <w:rsid w:val="00291953"/>
    <w:rsid w:val="00291B39"/>
    <w:rsid w:val="002922D4"/>
    <w:rsid w:val="00292BC0"/>
    <w:rsid w:val="00293212"/>
    <w:rsid w:val="0029360A"/>
    <w:rsid w:val="0029385F"/>
    <w:rsid w:val="002938FD"/>
    <w:rsid w:val="00293B2B"/>
    <w:rsid w:val="00294556"/>
    <w:rsid w:val="002947D5"/>
    <w:rsid w:val="002949C3"/>
    <w:rsid w:val="00294C69"/>
    <w:rsid w:val="00294D88"/>
    <w:rsid w:val="002959AD"/>
    <w:rsid w:val="00295E18"/>
    <w:rsid w:val="00296358"/>
    <w:rsid w:val="00296B64"/>
    <w:rsid w:val="0029703E"/>
    <w:rsid w:val="00297411"/>
    <w:rsid w:val="00297A70"/>
    <w:rsid w:val="002A0235"/>
    <w:rsid w:val="002A0419"/>
    <w:rsid w:val="002A04C7"/>
    <w:rsid w:val="002A13BE"/>
    <w:rsid w:val="002A1431"/>
    <w:rsid w:val="002A1C68"/>
    <w:rsid w:val="002A1D5C"/>
    <w:rsid w:val="002A22EB"/>
    <w:rsid w:val="002A253E"/>
    <w:rsid w:val="002A3490"/>
    <w:rsid w:val="002A3897"/>
    <w:rsid w:val="002A3F52"/>
    <w:rsid w:val="002A4119"/>
    <w:rsid w:val="002A4647"/>
    <w:rsid w:val="002A532E"/>
    <w:rsid w:val="002A5C14"/>
    <w:rsid w:val="002A614C"/>
    <w:rsid w:val="002A7287"/>
    <w:rsid w:val="002A745A"/>
    <w:rsid w:val="002A7C85"/>
    <w:rsid w:val="002B0CD9"/>
    <w:rsid w:val="002B1747"/>
    <w:rsid w:val="002B18D2"/>
    <w:rsid w:val="002B1C2D"/>
    <w:rsid w:val="002B1C91"/>
    <w:rsid w:val="002B227A"/>
    <w:rsid w:val="002B2776"/>
    <w:rsid w:val="002B2B87"/>
    <w:rsid w:val="002B2CCE"/>
    <w:rsid w:val="002B3FD6"/>
    <w:rsid w:val="002B4177"/>
    <w:rsid w:val="002B4DA8"/>
    <w:rsid w:val="002B5C16"/>
    <w:rsid w:val="002B5D47"/>
    <w:rsid w:val="002B7D81"/>
    <w:rsid w:val="002C0537"/>
    <w:rsid w:val="002C05A1"/>
    <w:rsid w:val="002C05DC"/>
    <w:rsid w:val="002C07D5"/>
    <w:rsid w:val="002C09B1"/>
    <w:rsid w:val="002C0A46"/>
    <w:rsid w:val="002C147D"/>
    <w:rsid w:val="002C1FEF"/>
    <w:rsid w:val="002C202B"/>
    <w:rsid w:val="002C2191"/>
    <w:rsid w:val="002C28A3"/>
    <w:rsid w:val="002C2A5A"/>
    <w:rsid w:val="002C2E39"/>
    <w:rsid w:val="002C31D1"/>
    <w:rsid w:val="002C37FC"/>
    <w:rsid w:val="002C3DDB"/>
    <w:rsid w:val="002C4224"/>
    <w:rsid w:val="002C42DE"/>
    <w:rsid w:val="002C5D98"/>
    <w:rsid w:val="002C6120"/>
    <w:rsid w:val="002C70EF"/>
    <w:rsid w:val="002C7138"/>
    <w:rsid w:val="002C798D"/>
    <w:rsid w:val="002C7CEA"/>
    <w:rsid w:val="002D0B34"/>
    <w:rsid w:val="002D0DA6"/>
    <w:rsid w:val="002D14B9"/>
    <w:rsid w:val="002D175D"/>
    <w:rsid w:val="002D20E3"/>
    <w:rsid w:val="002D31E8"/>
    <w:rsid w:val="002D34C7"/>
    <w:rsid w:val="002D3B1F"/>
    <w:rsid w:val="002D3EA0"/>
    <w:rsid w:val="002D5D1D"/>
    <w:rsid w:val="002D600E"/>
    <w:rsid w:val="002D6526"/>
    <w:rsid w:val="002D6E2D"/>
    <w:rsid w:val="002D6F11"/>
    <w:rsid w:val="002D742D"/>
    <w:rsid w:val="002E025E"/>
    <w:rsid w:val="002E03E7"/>
    <w:rsid w:val="002E0521"/>
    <w:rsid w:val="002E075A"/>
    <w:rsid w:val="002E0B23"/>
    <w:rsid w:val="002E0C86"/>
    <w:rsid w:val="002E0F75"/>
    <w:rsid w:val="002E11A8"/>
    <w:rsid w:val="002E170B"/>
    <w:rsid w:val="002E1C7D"/>
    <w:rsid w:val="002E1C8A"/>
    <w:rsid w:val="002E27D3"/>
    <w:rsid w:val="002E284E"/>
    <w:rsid w:val="002E28A8"/>
    <w:rsid w:val="002E4DB7"/>
    <w:rsid w:val="002E4E1F"/>
    <w:rsid w:val="002E4E6C"/>
    <w:rsid w:val="002E5387"/>
    <w:rsid w:val="002E5FED"/>
    <w:rsid w:val="002E64A3"/>
    <w:rsid w:val="002E68A9"/>
    <w:rsid w:val="002E7005"/>
    <w:rsid w:val="002E76E2"/>
    <w:rsid w:val="002E7705"/>
    <w:rsid w:val="002E782A"/>
    <w:rsid w:val="002E79BE"/>
    <w:rsid w:val="002E79E3"/>
    <w:rsid w:val="002E7D45"/>
    <w:rsid w:val="002E7EF6"/>
    <w:rsid w:val="002F0128"/>
    <w:rsid w:val="002F0B06"/>
    <w:rsid w:val="002F0C34"/>
    <w:rsid w:val="002F106D"/>
    <w:rsid w:val="002F112E"/>
    <w:rsid w:val="002F1B25"/>
    <w:rsid w:val="002F2131"/>
    <w:rsid w:val="002F27ED"/>
    <w:rsid w:val="002F2808"/>
    <w:rsid w:val="002F2C8F"/>
    <w:rsid w:val="002F2F49"/>
    <w:rsid w:val="002F34D5"/>
    <w:rsid w:val="002F3B02"/>
    <w:rsid w:val="002F3CBA"/>
    <w:rsid w:val="002F3D8A"/>
    <w:rsid w:val="002F442E"/>
    <w:rsid w:val="002F4A55"/>
    <w:rsid w:val="002F4B07"/>
    <w:rsid w:val="002F4E02"/>
    <w:rsid w:val="002F552B"/>
    <w:rsid w:val="002F5698"/>
    <w:rsid w:val="002F644C"/>
    <w:rsid w:val="002F68BF"/>
    <w:rsid w:val="002F6DBD"/>
    <w:rsid w:val="002F7C85"/>
    <w:rsid w:val="002F7D80"/>
    <w:rsid w:val="002F7DF1"/>
    <w:rsid w:val="002F7EFD"/>
    <w:rsid w:val="00300B16"/>
    <w:rsid w:val="003019A9"/>
    <w:rsid w:val="0030223C"/>
    <w:rsid w:val="0030255C"/>
    <w:rsid w:val="00302841"/>
    <w:rsid w:val="00302C17"/>
    <w:rsid w:val="00303B5F"/>
    <w:rsid w:val="003042CF"/>
    <w:rsid w:val="003045DE"/>
    <w:rsid w:val="00304A8F"/>
    <w:rsid w:val="00304FFF"/>
    <w:rsid w:val="003066DC"/>
    <w:rsid w:val="00306720"/>
    <w:rsid w:val="003067E3"/>
    <w:rsid w:val="003069B2"/>
    <w:rsid w:val="0030799B"/>
    <w:rsid w:val="00307D4F"/>
    <w:rsid w:val="00307EA0"/>
    <w:rsid w:val="00307ED5"/>
    <w:rsid w:val="0031028A"/>
    <w:rsid w:val="00311C59"/>
    <w:rsid w:val="003122A7"/>
    <w:rsid w:val="00312DFA"/>
    <w:rsid w:val="00313542"/>
    <w:rsid w:val="00314215"/>
    <w:rsid w:val="00314270"/>
    <w:rsid w:val="00314336"/>
    <w:rsid w:val="00314B82"/>
    <w:rsid w:val="00314BC2"/>
    <w:rsid w:val="00314EF3"/>
    <w:rsid w:val="00315CC1"/>
    <w:rsid w:val="00316CA9"/>
    <w:rsid w:val="003173F1"/>
    <w:rsid w:val="003175B7"/>
    <w:rsid w:val="00317C98"/>
    <w:rsid w:val="003208FA"/>
    <w:rsid w:val="00320F5D"/>
    <w:rsid w:val="00321472"/>
    <w:rsid w:val="003218CA"/>
    <w:rsid w:val="00321F46"/>
    <w:rsid w:val="003224F8"/>
    <w:rsid w:val="0032271A"/>
    <w:rsid w:val="00323D6A"/>
    <w:rsid w:val="00323DD9"/>
    <w:rsid w:val="003241FA"/>
    <w:rsid w:val="00324FBD"/>
    <w:rsid w:val="0032536D"/>
    <w:rsid w:val="00325CDE"/>
    <w:rsid w:val="003273D4"/>
    <w:rsid w:val="003274AA"/>
    <w:rsid w:val="00327D6B"/>
    <w:rsid w:val="00327EBA"/>
    <w:rsid w:val="00330583"/>
    <w:rsid w:val="00330BE7"/>
    <w:rsid w:val="00330D51"/>
    <w:rsid w:val="00330F84"/>
    <w:rsid w:val="00331281"/>
    <w:rsid w:val="0033140D"/>
    <w:rsid w:val="00331844"/>
    <w:rsid w:val="003324DB"/>
    <w:rsid w:val="00332BB1"/>
    <w:rsid w:val="00333115"/>
    <w:rsid w:val="003337B7"/>
    <w:rsid w:val="00333B4F"/>
    <w:rsid w:val="0033416B"/>
    <w:rsid w:val="00334218"/>
    <w:rsid w:val="003343FE"/>
    <w:rsid w:val="003345DD"/>
    <w:rsid w:val="00334955"/>
    <w:rsid w:val="00334CB4"/>
    <w:rsid w:val="00334E7C"/>
    <w:rsid w:val="00335194"/>
    <w:rsid w:val="0033519F"/>
    <w:rsid w:val="003352BF"/>
    <w:rsid w:val="003354C6"/>
    <w:rsid w:val="003356A8"/>
    <w:rsid w:val="00335930"/>
    <w:rsid w:val="00335A0B"/>
    <w:rsid w:val="00335A2C"/>
    <w:rsid w:val="00335E3F"/>
    <w:rsid w:val="00336681"/>
    <w:rsid w:val="00336BFA"/>
    <w:rsid w:val="003401C4"/>
    <w:rsid w:val="00341552"/>
    <w:rsid w:val="00341585"/>
    <w:rsid w:val="00341C6D"/>
    <w:rsid w:val="00341E7C"/>
    <w:rsid w:val="00342437"/>
    <w:rsid w:val="003427BF"/>
    <w:rsid w:val="00343546"/>
    <w:rsid w:val="0034355D"/>
    <w:rsid w:val="00343BA6"/>
    <w:rsid w:val="003444EC"/>
    <w:rsid w:val="00344FB9"/>
    <w:rsid w:val="0034532E"/>
    <w:rsid w:val="00345749"/>
    <w:rsid w:val="00345808"/>
    <w:rsid w:val="00345946"/>
    <w:rsid w:val="00345EA7"/>
    <w:rsid w:val="00346091"/>
    <w:rsid w:val="003461FE"/>
    <w:rsid w:val="00346676"/>
    <w:rsid w:val="003476C6"/>
    <w:rsid w:val="00347D1A"/>
    <w:rsid w:val="00350B46"/>
    <w:rsid w:val="0035100C"/>
    <w:rsid w:val="0035111E"/>
    <w:rsid w:val="00351692"/>
    <w:rsid w:val="00351AA7"/>
    <w:rsid w:val="00352497"/>
    <w:rsid w:val="00352B74"/>
    <w:rsid w:val="00352CF5"/>
    <w:rsid w:val="00353216"/>
    <w:rsid w:val="00353DEC"/>
    <w:rsid w:val="0035423E"/>
    <w:rsid w:val="00354768"/>
    <w:rsid w:val="00354B67"/>
    <w:rsid w:val="00354CC7"/>
    <w:rsid w:val="00355321"/>
    <w:rsid w:val="0035559D"/>
    <w:rsid w:val="0035573C"/>
    <w:rsid w:val="00355D1B"/>
    <w:rsid w:val="0035613B"/>
    <w:rsid w:val="00356B0B"/>
    <w:rsid w:val="00356ED0"/>
    <w:rsid w:val="00357FAC"/>
    <w:rsid w:val="00360034"/>
    <w:rsid w:val="00360475"/>
    <w:rsid w:val="0036068A"/>
    <w:rsid w:val="0036076E"/>
    <w:rsid w:val="00360AB0"/>
    <w:rsid w:val="003616B6"/>
    <w:rsid w:val="00361882"/>
    <w:rsid w:val="00361C38"/>
    <w:rsid w:val="00362368"/>
    <w:rsid w:val="00362955"/>
    <w:rsid w:val="00362F54"/>
    <w:rsid w:val="0036342C"/>
    <w:rsid w:val="00363A98"/>
    <w:rsid w:val="00363F77"/>
    <w:rsid w:val="00364040"/>
    <w:rsid w:val="003640E5"/>
    <w:rsid w:val="00365239"/>
    <w:rsid w:val="00365445"/>
    <w:rsid w:val="00365772"/>
    <w:rsid w:val="00365FC9"/>
    <w:rsid w:val="00366093"/>
    <w:rsid w:val="0036714B"/>
    <w:rsid w:val="00367E27"/>
    <w:rsid w:val="00367EBD"/>
    <w:rsid w:val="003704B0"/>
    <w:rsid w:val="00370743"/>
    <w:rsid w:val="00370A77"/>
    <w:rsid w:val="00371695"/>
    <w:rsid w:val="003716B1"/>
    <w:rsid w:val="00371B04"/>
    <w:rsid w:val="00372477"/>
    <w:rsid w:val="0037289E"/>
    <w:rsid w:val="0037322D"/>
    <w:rsid w:val="00373CF8"/>
    <w:rsid w:val="00373D63"/>
    <w:rsid w:val="00374B57"/>
    <w:rsid w:val="003751CA"/>
    <w:rsid w:val="00375301"/>
    <w:rsid w:val="00375ED0"/>
    <w:rsid w:val="00376075"/>
    <w:rsid w:val="0037633A"/>
    <w:rsid w:val="003763EA"/>
    <w:rsid w:val="0037642D"/>
    <w:rsid w:val="0037654B"/>
    <w:rsid w:val="003766F2"/>
    <w:rsid w:val="0037677D"/>
    <w:rsid w:val="003767E5"/>
    <w:rsid w:val="00376A03"/>
    <w:rsid w:val="00376D30"/>
    <w:rsid w:val="00377A5F"/>
    <w:rsid w:val="003801DB"/>
    <w:rsid w:val="0038026F"/>
    <w:rsid w:val="0038071C"/>
    <w:rsid w:val="00381378"/>
    <w:rsid w:val="0038137A"/>
    <w:rsid w:val="00381CCB"/>
    <w:rsid w:val="00382150"/>
    <w:rsid w:val="00382369"/>
    <w:rsid w:val="003827F0"/>
    <w:rsid w:val="00382C80"/>
    <w:rsid w:val="00382D5B"/>
    <w:rsid w:val="003830C3"/>
    <w:rsid w:val="00385139"/>
    <w:rsid w:val="00385CD6"/>
    <w:rsid w:val="00385EE9"/>
    <w:rsid w:val="00385F83"/>
    <w:rsid w:val="0038642A"/>
    <w:rsid w:val="0038665E"/>
    <w:rsid w:val="00386BD8"/>
    <w:rsid w:val="003872A7"/>
    <w:rsid w:val="00387F8C"/>
    <w:rsid w:val="00390287"/>
    <w:rsid w:val="003902DB"/>
    <w:rsid w:val="00390BE6"/>
    <w:rsid w:val="00390C24"/>
    <w:rsid w:val="00390DDD"/>
    <w:rsid w:val="0039104C"/>
    <w:rsid w:val="0039135B"/>
    <w:rsid w:val="00392397"/>
    <w:rsid w:val="003924AE"/>
    <w:rsid w:val="003927AC"/>
    <w:rsid w:val="00392BC9"/>
    <w:rsid w:val="00392C48"/>
    <w:rsid w:val="00392CE0"/>
    <w:rsid w:val="00392E9F"/>
    <w:rsid w:val="0039314B"/>
    <w:rsid w:val="003935D8"/>
    <w:rsid w:val="0039473E"/>
    <w:rsid w:val="003955C5"/>
    <w:rsid w:val="00395D35"/>
    <w:rsid w:val="00396182"/>
    <w:rsid w:val="003961CD"/>
    <w:rsid w:val="0039656C"/>
    <w:rsid w:val="003968E5"/>
    <w:rsid w:val="003970FD"/>
    <w:rsid w:val="003A0370"/>
    <w:rsid w:val="003A0640"/>
    <w:rsid w:val="003A180A"/>
    <w:rsid w:val="003A1957"/>
    <w:rsid w:val="003A1A62"/>
    <w:rsid w:val="003A1D2E"/>
    <w:rsid w:val="003A1E47"/>
    <w:rsid w:val="003A2431"/>
    <w:rsid w:val="003A2B6E"/>
    <w:rsid w:val="003A2CD6"/>
    <w:rsid w:val="003A30ED"/>
    <w:rsid w:val="003A3712"/>
    <w:rsid w:val="003A3788"/>
    <w:rsid w:val="003A37CB"/>
    <w:rsid w:val="003A37DD"/>
    <w:rsid w:val="003A39EB"/>
    <w:rsid w:val="003A3BF0"/>
    <w:rsid w:val="003A3C2B"/>
    <w:rsid w:val="003A3EF7"/>
    <w:rsid w:val="003A440E"/>
    <w:rsid w:val="003A46D0"/>
    <w:rsid w:val="003A5543"/>
    <w:rsid w:val="003A59BB"/>
    <w:rsid w:val="003A5A96"/>
    <w:rsid w:val="003A6025"/>
    <w:rsid w:val="003A61F9"/>
    <w:rsid w:val="003A65E1"/>
    <w:rsid w:val="003A7445"/>
    <w:rsid w:val="003A7842"/>
    <w:rsid w:val="003A78EA"/>
    <w:rsid w:val="003A7C44"/>
    <w:rsid w:val="003B0238"/>
    <w:rsid w:val="003B0C0C"/>
    <w:rsid w:val="003B0D29"/>
    <w:rsid w:val="003B1004"/>
    <w:rsid w:val="003B1159"/>
    <w:rsid w:val="003B17D1"/>
    <w:rsid w:val="003B2188"/>
    <w:rsid w:val="003B25AD"/>
    <w:rsid w:val="003B4D02"/>
    <w:rsid w:val="003B5192"/>
    <w:rsid w:val="003B52A6"/>
    <w:rsid w:val="003B6024"/>
    <w:rsid w:val="003B6719"/>
    <w:rsid w:val="003B72DE"/>
    <w:rsid w:val="003B764C"/>
    <w:rsid w:val="003B786A"/>
    <w:rsid w:val="003B7A42"/>
    <w:rsid w:val="003C00A3"/>
    <w:rsid w:val="003C0BAD"/>
    <w:rsid w:val="003C1005"/>
    <w:rsid w:val="003C1112"/>
    <w:rsid w:val="003C1640"/>
    <w:rsid w:val="003C16B6"/>
    <w:rsid w:val="003C172F"/>
    <w:rsid w:val="003C176A"/>
    <w:rsid w:val="003C195B"/>
    <w:rsid w:val="003C1B5C"/>
    <w:rsid w:val="003C1DD1"/>
    <w:rsid w:val="003C1F6D"/>
    <w:rsid w:val="003C2174"/>
    <w:rsid w:val="003C2787"/>
    <w:rsid w:val="003C2881"/>
    <w:rsid w:val="003C2AE9"/>
    <w:rsid w:val="003C2CB8"/>
    <w:rsid w:val="003C2CC1"/>
    <w:rsid w:val="003C2D9E"/>
    <w:rsid w:val="003C3926"/>
    <w:rsid w:val="003C4C71"/>
    <w:rsid w:val="003C4D34"/>
    <w:rsid w:val="003C4FB6"/>
    <w:rsid w:val="003C53B5"/>
    <w:rsid w:val="003C5D8F"/>
    <w:rsid w:val="003C6255"/>
    <w:rsid w:val="003C65BC"/>
    <w:rsid w:val="003C65F9"/>
    <w:rsid w:val="003C68DC"/>
    <w:rsid w:val="003C6BD7"/>
    <w:rsid w:val="003C704B"/>
    <w:rsid w:val="003C7E43"/>
    <w:rsid w:val="003D0893"/>
    <w:rsid w:val="003D0C60"/>
    <w:rsid w:val="003D1B70"/>
    <w:rsid w:val="003D1E54"/>
    <w:rsid w:val="003D239A"/>
    <w:rsid w:val="003D2824"/>
    <w:rsid w:val="003D3CFB"/>
    <w:rsid w:val="003D401D"/>
    <w:rsid w:val="003D498F"/>
    <w:rsid w:val="003D4A0E"/>
    <w:rsid w:val="003D4A1B"/>
    <w:rsid w:val="003D4AB4"/>
    <w:rsid w:val="003D5783"/>
    <w:rsid w:val="003D606A"/>
    <w:rsid w:val="003D6159"/>
    <w:rsid w:val="003D62B8"/>
    <w:rsid w:val="003D6466"/>
    <w:rsid w:val="003D6C8B"/>
    <w:rsid w:val="003D7C83"/>
    <w:rsid w:val="003E0682"/>
    <w:rsid w:val="003E08D6"/>
    <w:rsid w:val="003E0A2D"/>
    <w:rsid w:val="003E0E52"/>
    <w:rsid w:val="003E11DD"/>
    <w:rsid w:val="003E129D"/>
    <w:rsid w:val="003E152C"/>
    <w:rsid w:val="003E166E"/>
    <w:rsid w:val="003E1E32"/>
    <w:rsid w:val="003E2491"/>
    <w:rsid w:val="003E2921"/>
    <w:rsid w:val="003E2EC5"/>
    <w:rsid w:val="003E3B2D"/>
    <w:rsid w:val="003E3DF9"/>
    <w:rsid w:val="003E4290"/>
    <w:rsid w:val="003E455F"/>
    <w:rsid w:val="003E45A1"/>
    <w:rsid w:val="003E4745"/>
    <w:rsid w:val="003E47C6"/>
    <w:rsid w:val="003E4A76"/>
    <w:rsid w:val="003E4FBE"/>
    <w:rsid w:val="003E55AA"/>
    <w:rsid w:val="003E6409"/>
    <w:rsid w:val="003E67D8"/>
    <w:rsid w:val="003E6AC0"/>
    <w:rsid w:val="003E74F0"/>
    <w:rsid w:val="003E7DB1"/>
    <w:rsid w:val="003F04F6"/>
    <w:rsid w:val="003F16EA"/>
    <w:rsid w:val="003F21E3"/>
    <w:rsid w:val="003F265A"/>
    <w:rsid w:val="003F2693"/>
    <w:rsid w:val="003F2DF2"/>
    <w:rsid w:val="003F353D"/>
    <w:rsid w:val="003F3577"/>
    <w:rsid w:val="003F3A07"/>
    <w:rsid w:val="003F3DAB"/>
    <w:rsid w:val="003F45C1"/>
    <w:rsid w:val="003F5105"/>
    <w:rsid w:val="003F543F"/>
    <w:rsid w:val="003F608E"/>
    <w:rsid w:val="003F6750"/>
    <w:rsid w:val="003F6A67"/>
    <w:rsid w:val="003F6B33"/>
    <w:rsid w:val="003F77DB"/>
    <w:rsid w:val="00400C13"/>
    <w:rsid w:val="00400DB3"/>
    <w:rsid w:val="00400F99"/>
    <w:rsid w:val="00401ED7"/>
    <w:rsid w:val="0040242B"/>
    <w:rsid w:val="00402914"/>
    <w:rsid w:val="00402A6D"/>
    <w:rsid w:val="004036BE"/>
    <w:rsid w:val="00403A02"/>
    <w:rsid w:val="00403BFD"/>
    <w:rsid w:val="00404EF6"/>
    <w:rsid w:val="0040593F"/>
    <w:rsid w:val="00405B52"/>
    <w:rsid w:val="00405D6F"/>
    <w:rsid w:val="0040778C"/>
    <w:rsid w:val="00407D55"/>
    <w:rsid w:val="00410234"/>
    <w:rsid w:val="004107C2"/>
    <w:rsid w:val="00410B40"/>
    <w:rsid w:val="0041119B"/>
    <w:rsid w:val="00411F32"/>
    <w:rsid w:val="00412199"/>
    <w:rsid w:val="0041227D"/>
    <w:rsid w:val="004122AF"/>
    <w:rsid w:val="0041249B"/>
    <w:rsid w:val="00412763"/>
    <w:rsid w:val="0041279A"/>
    <w:rsid w:val="004134B3"/>
    <w:rsid w:val="00413816"/>
    <w:rsid w:val="00413859"/>
    <w:rsid w:val="00413BD0"/>
    <w:rsid w:val="004140F5"/>
    <w:rsid w:val="004141F6"/>
    <w:rsid w:val="004142EB"/>
    <w:rsid w:val="00414C1E"/>
    <w:rsid w:val="00414E89"/>
    <w:rsid w:val="00415642"/>
    <w:rsid w:val="0041564B"/>
    <w:rsid w:val="00416040"/>
    <w:rsid w:val="00416248"/>
    <w:rsid w:val="0041652D"/>
    <w:rsid w:val="00416699"/>
    <w:rsid w:val="00416D63"/>
    <w:rsid w:val="00416E25"/>
    <w:rsid w:val="00417294"/>
    <w:rsid w:val="004176B0"/>
    <w:rsid w:val="00417D92"/>
    <w:rsid w:val="00420319"/>
    <w:rsid w:val="00420569"/>
    <w:rsid w:val="004206EA"/>
    <w:rsid w:val="0042099C"/>
    <w:rsid w:val="00420C20"/>
    <w:rsid w:val="00420EB6"/>
    <w:rsid w:val="00420F9F"/>
    <w:rsid w:val="004214B4"/>
    <w:rsid w:val="00421E2F"/>
    <w:rsid w:val="0042225F"/>
    <w:rsid w:val="0042291D"/>
    <w:rsid w:val="00423444"/>
    <w:rsid w:val="00423909"/>
    <w:rsid w:val="00423E3B"/>
    <w:rsid w:val="00424702"/>
    <w:rsid w:val="00424A33"/>
    <w:rsid w:val="00424C26"/>
    <w:rsid w:val="00424E42"/>
    <w:rsid w:val="00425053"/>
    <w:rsid w:val="0042577B"/>
    <w:rsid w:val="00425B22"/>
    <w:rsid w:val="00425EC9"/>
    <w:rsid w:val="00426486"/>
    <w:rsid w:val="004268A1"/>
    <w:rsid w:val="00426D4F"/>
    <w:rsid w:val="00427A7A"/>
    <w:rsid w:val="00430F46"/>
    <w:rsid w:val="00431437"/>
    <w:rsid w:val="00431649"/>
    <w:rsid w:val="00431A99"/>
    <w:rsid w:val="00431D46"/>
    <w:rsid w:val="00432722"/>
    <w:rsid w:val="00432C50"/>
    <w:rsid w:val="0043307D"/>
    <w:rsid w:val="004333AE"/>
    <w:rsid w:val="00433505"/>
    <w:rsid w:val="00433BA6"/>
    <w:rsid w:val="00434A93"/>
    <w:rsid w:val="00435122"/>
    <w:rsid w:val="00435373"/>
    <w:rsid w:val="00435BD6"/>
    <w:rsid w:val="00436B7C"/>
    <w:rsid w:val="00436ED1"/>
    <w:rsid w:val="00436F2A"/>
    <w:rsid w:val="00437259"/>
    <w:rsid w:val="00437BB4"/>
    <w:rsid w:val="00437F99"/>
    <w:rsid w:val="00440533"/>
    <w:rsid w:val="004405C0"/>
    <w:rsid w:val="00440BF8"/>
    <w:rsid w:val="0044180F"/>
    <w:rsid w:val="00441917"/>
    <w:rsid w:val="004420A1"/>
    <w:rsid w:val="0044298C"/>
    <w:rsid w:val="00443104"/>
    <w:rsid w:val="0044362A"/>
    <w:rsid w:val="00443C0C"/>
    <w:rsid w:val="00444119"/>
    <w:rsid w:val="00444E3A"/>
    <w:rsid w:val="00444E94"/>
    <w:rsid w:val="00445F49"/>
    <w:rsid w:val="004465DF"/>
    <w:rsid w:val="00446FD0"/>
    <w:rsid w:val="004473B0"/>
    <w:rsid w:val="004474E8"/>
    <w:rsid w:val="004478A4"/>
    <w:rsid w:val="00447D3B"/>
    <w:rsid w:val="00450BDF"/>
    <w:rsid w:val="00450EBD"/>
    <w:rsid w:val="00451739"/>
    <w:rsid w:val="004518DA"/>
    <w:rsid w:val="004520DB"/>
    <w:rsid w:val="0045315A"/>
    <w:rsid w:val="00453E63"/>
    <w:rsid w:val="00453FF3"/>
    <w:rsid w:val="0045407A"/>
    <w:rsid w:val="004542EE"/>
    <w:rsid w:val="0045442C"/>
    <w:rsid w:val="00454B3D"/>
    <w:rsid w:val="00454DBB"/>
    <w:rsid w:val="00455A74"/>
    <w:rsid w:val="00456369"/>
    <w:rsid w:val="00456C4E"/>
    <w:rsid w:val="004572FB"/>
    <w:rsid w:val="00457B5C"/>
    <w:rsid w:val="0046075F"/>
    <w:rsid w:val="00460965"/>
    <w:rsid w:val="00460CBE"/>
    <w:rsid w:val="00460D58"/>
    <w:rsid w:val="004621C3"/>
    <w:rsid w:val="00462408"/>
    <w:rsid w:val="00462864"/>
    <w:rsid w:val="004631AE"/>
    <w:rsid w:val="00463399"/>
    <w:rsid w:val="0046399A"/>
    <w:rsid w:val="00463DE6"/>
    <w:rsid w:val="00465342"/>
    <w:rsid w:val="0046595B"/>
    <w:rsid w:val="00465E52"/>
    <w:rsid w:val="004665F8"/>
    <w:rsid w:val="00466628"/>
    <w:rsid w:val="00466968"/>
    <w:rsid w:val="00466DBB"/>
    <w:rsid w:val="00467602"/>
    <w:rsid w:val="00467A31"/>
    <w:rsid w:val="0047001C"/>
    <w:rsid w:val="00470192"/>
    <w:rsid w:val="004703FA"/>
    <w:rsid w:val="00470D3E"/>
    <w:rsid w:val="00471020"/>
    <w:rsid w:val="00471167"/>
    <w:rsid w:val="004714E6"/>
    <w:rsid w:val="004719DA"/>
    <w:rsid w:val="00471C36"/>
    <w:rsid w:val="00471D78"/>
    <w:rsid w:val="00472AF2"/>
    <w:rsid w:val="004732BB"/>
    <w:rsid w:val="00473467"/>
    <w:rsid w:val="00473B4C"/>
    <w:rsid w:val="0047426D"/>
    <w:rsid w:val="00474A43"/>
    <w:rsid w:val="00475032"/>
    <w:rsid w:val="004752BD"/>
    <w:rsid w:val="00475ACD"/>
    <w:rsid w:val="004769A5"/>
    <w:rsid w:val="00476AA6"/>
    <w:rsid w:val="00476B2B"/>
    <w:rsid w:val="00476B48"/>
    <w:rsid w:val="004772D6"/>
    <w:rsid w:val="00477574"/>
    <w:rsid w:val="0047785B"/>
    <w:rsid w:val="00477D8A"/>
    <w:rsid w:val="0048067B"/>
    <w:rsid w:val="00480931"/>
    <w:rsid w:val="004809F8"/>
    <w:rsid w:val="00480C1F"/>
    <w:rsid w:val="00481124"/>
    <w:rsid w:val="0048155D"/>
    <w:rsid w:val="00481C66"/>
    <w:rsid w:val="004826FB"/>
    <w:rsid w:val="0048308D"/>
    <w:rsid w:val="00483540"/>
    <w:rsid w:val="00483576"/>
    <w:rsid w:val="00484D32"/>
    <w:rsid w:val="0048518E"/>
    <w:rsid w:val="00485380"/>
    <w:rsid w:val="00485951"/>
    <w:rsid w:val="00485A2C"/>
    <w:rsid w:val="00485A53"/>
    <w:rsid w:val="0048621A"/>
    <w:rsid w:val="00486309"/>
    <w:rsid w:val="004863C0"/>
    <w:rsid w:val="00486F3B"/>
    <w:rsid w:val="00490A41"/>
    <w:rsid w:val="0049108E"/>
    <w:rsid w:val="004915DE"/>
    <w:rsid w:val="00491819"/>
    <w:rsid w:val="00491888"/>
    <w:rsid w:val="004918D5"/>
    <w:rsid w:val="00491A69"/>
    <w:rsid w:val="004929B1"/>
    <w:rsid w:val="00492B94"/>
    <w:rsid w:val="00493227"/>
    <w:rsid w:val="00493444"/>
    <w:rsid w:val="004939A1"/>
    <w:rsid w:val="00493B3D"/>
    <w:rsid w:val="00494E97"/>
    <w:rsid w:val="00494FD8"/>
    <w:rsid w:val="00495656"/>
    <w:rsid w:val="004963F2"/>
    <w:rsid w:val="00497417"/>
    <w:rsid w:val="0049788A"/>
    <w:rsid w:val="00497AAE"/>
    <w:rsid w:val="00497D1F"/>
    <w:rsid w:val="004A000A"/>
    <w:rsid w:val="004A0175"/>
    <w:rsid w:val="004A06D7"/>
    <w:rsid w:val="004A0C02"/>
    <w:rsid w:val="004A0CA3"/>
    <w:rsid w:val="004A1214"/>
    <w:rsid w:val="004A1238"/>
    <w:rsid w:val="004A1244"/>
    <w:rsid w:val="004A12BB"/>
    <w:rsid w:val="004A14B1"/>
    <w:rsid w:val="004A1DB5"/>
    <w:rsid w:val="004A21A8"/>
    <w:rsid w:val="004A24BD"/>
    <w:rsid w:val="004A291F"/>
    <w:rsid w:val="004A3238"/>
    <w:rsid w:val="004A3303"/>
    <w:rsid w:val="004A5343"/>
    <w:rsid w:val="004A55CD"/>
    <w:rsid w:val="004A56BC"/>
    <w:rsid w:val="004A6223"/>
    <w:rsid w:val="004A623A"/>
    <w:rsid w:val="004A6292"/>
    <w:rsid w:val="004A64A7"/>
    <w:rsid w:val="004A65B0"/>
    <w:rsid w:val="004A68B0"/>
    <w:rsid w:val="004A68C5"/>
    <w:rsid w:val="004A6AD0"/>
    <w:rsid w:val="004A6E4A"/>
    <w:rsid w:val="004A71AC"/>
    <w:rsid w:val="004A72C1"/>
    <w:rsid w:val="004A77B9"/>
    <w:rsid w:val="004A7F99"/>
    <w:rsid w:val="004B023D"/>
    <w:rsid w:val="004B05AE"/>
    <w:rsid w:val="004B0647"/>
    <w:rsid w:val="004B0750"/>
    <w:rsid w:val="004B0BF7"/>
    <w:rsid w:val="004B0CB0"/>
    <w:rsid w:val="004B212B"/>
    <w:rsid w:val="004B247D"/>
    <w:rsid w:val="004B2482"/>
    <w:rsid w:val="004B2BCD"/>
    <w:rsid w:val="004B41CC"/>
    <w:rsid w:val="004B4C0A"/>
    <w:rsid w:val="004B4CD3"/>
    <w:rsid w:val="004B4FED"/>
    <w:rsid w:val="004B56AE"/>
    <w:rsid w:val="004B56E4"/>
    <w:rsid w:val="004B60A3"/>
    <w:rsid w:val="004B65DC"/>
    <w:rsid w:val="004B70C8"/>
    <w:rsid w:val="004B7B6B"/>
    <w:rsid w:val="004B7D92"/>
    <w:rsid w:val="004C0065"/>
    <w:rsid w:val="004C0081"/>
    <w:rsid w:val="004C00B0"/>
    <w:rsid w:val="004C0214"/>
    <w:rsid w:val="004C02FE"/>
    <w:rsid w:val="004C0404"/>
    <w:rsid w:val="004C0DBE"/>
    <w:rsid w:val="004C1BE7"/>
    <w:rsid w:val="004C2204"/>
    <w:rsid w:val="004C2381"/>
    <w:rsid w:val="004C27CD"/>
    <w:rsid w:val="004C2DC1"/>
    <w:rsid w:val="004C2DF3"/>
    <w:rsid w:val="004C30A9"/>
    <w:rsid w:val="004C30F4"/>
    <w:rsid w:val="004C380A"/>
    <w:rsid w:val="004C3954"/>
    <w:rsid w:val="004C3EC0"/>
    <w:rsid w:val="004C418C"/>
    <w:rsid w:val="004C4CFA"/>
    <w:rsid w:val="004C4E52"/>
    <w:rsid w:val="004C5630"/>
    <w:rsid w:val="004C5917"/>
    <w:rsid w:val="004C5F06"/>
    <w:rsid w:val="004C68E3"/>
    <w:rsid w:val="004C68F0"/>
    <w:rsid w:val="004C6C45"/>
    <w:rsid w:val="004C6F33"/>
    <w:rsid w:val="004C7272"/>
    <w:rsid w:val="004C79DB"/>
    <w:rsid w:val="004D03A0"/>
    <w:rsid w:val="004D05EE"/>
    <w:rsid w:val="004D1256"/>
    <w:rsid w:val="004D17F2"/>
    <w:rsid w:val="004D2332"/>
    <w:rsid w:val="004D2AC2"/>
    <w:rsid w:val="004D2CDF"/>
    <w:rsid w:val="004D321A"/>
    <w:rsid w:val="004D32D7"/>
    <w:rsid w:val="004D4060"/>
    <w:rsid w:val="004D408A"/>
    <w:rsid w:val="004D44F3"/>
    <w:rsid w:val="004D5202"/>
    <w:rsid w:val="004D5769"/>
    <w:rsid w:val="004D57A9"/>
    <w:rsid w:val="004D57EB"/>
    <w:rsid w:val="004D57F4"/>
    <w:rsid w:val="004D5AAA"/>
    <w:rsid w:val="004D5AAB"/>
    <w:rsid w:val="004D5B4C"/>
    <w:rsid w:val="004D642F"/>
    <w:rsid w:val="004D6530"/>
    <w:rsid w:val="004D6A4B"/>
    <w:rsid w:val="004D6C61"/>
    <w:rsid w:val="004D7607"/>
    <w:rsid w:val="004E1105"/>
    <w:rsid w:val="004E2D2B"/>
    <w:rsid w:val="004E30BA"/>
    <w:rsid w:val="004E4369"/>
    <w:rsid w:val="004E4563"/>
    <w:rsid w:val="004E4BEC"/>
    <w:rsid w:val="004E504A"/>
    <w:rsid w:val="004E52DF"/>
    <w:rsid w:val="004E5512"/>
    <w:rsid w:val="004E581D"/>
    <w:rsid w:val="004E5B2B"/>
    <w:rsid w:val="004E5D7C"/>
    <w:rsid w:val="004E6C81"/>
    <w:rsid w:val="004E7821"/>
    <w:rsid w:val="004E7B62"/>
    <w:rsid w:val="004F02AE"/>
    <w:rsid w:val="004F0458"/>
    <w:rsid w:val="004F0FEA"/>
    <w:rsid w:val="004F124C"/>
    <w:rsid w:val="004F1594"/>
    <w:rsid w:val="004F2022"/>
    <w:rsid w:val="004F51AB"/>
    <w:rsid w:val="004F59A7"/>
    <w:rsid w:val="004F60C4"/>
    <w:rsid w:val="004F614C"/>
    <w:rsid w:val="004F6511"/>
    <w:rsid w:val="004F661D"/>
    <w:rsid w:val="004F6A4D"/>
    <w:rsid w:val="004F6C84"/>
    <w:rsid w:val="004F6D64"/>
    <w:rsid w:val="004F6F5B"/>
    <w:rsid w:val="004F75A6"/>
    <w:rsid w:val="004F75F8"/>
    <w:rsid w:val="00500567"/>
    <w:rsid w:val="00500F76"/>
    <w:rsid w:val="0050112C"/>
    <w:rsid w:val="0050147D"/>
    <w:rsid w:val="00502149"/>
    <w:rsid w:val="005021F2"/>
    <w:rsid w:val="005025F2"/>
    <w:rsid w:val="005026E7"/>
    <w:rsid w:val="00502CA7"/>
    <w:rsid w:val="0050313C"/>
    <w:rsid w:val="005034F5"/>
    <w:rsid w:val="00503D1B"/>
    <w:rsid w:val="00504FC2"/>
    <w:rsid w:val="005072E0"/>
    <w:rsid w:val="00507413"/>
    <w:rsid w:val="0050754D"/>
    <w:rsid w:val="00507BA2"/>
    <w:rsid w:val="00510249"/>
    <w:rsid w:val="005105DD"/>
    <w:rsid w:val="00510A6A"/>
    <w:rsid w:val="005118D3"/>
    <w:rsid w:val="005126BD"/>
    <w:rsid w:val="00512CE6"/>
    <w:rsid w:val="00512FF1"/>
    <w:rsid w:val="00513563"/>
    <w:rsid w:val="00513AFE"/>
    <w:rsid w:val="00514871"/>
    <w:rsid w:val="00514F45"/>
    <w:rsid w:val="00515593"/>
    <w:rsid w:val="00515795"/>
    <w:rsid w:val="00515A07"/>
    <w:rsid w:val="00515BE2"/>
    <w:rsid w:val="00515D68"/>
    <w:rsid w:val="00515DA0"/>
    <w:rsid w:val="00516008"/>
    <w:rsid w:val="00516727"/>
    <w:rsid w:val="00516E35"/>
    <w:rsid w:val="00516FF7"/>
    <w:rsid w:val="00517A58"/>
    <w:rsid w:val="00517F58"/>
    <w:rsid w:val="0052041C"/>
    <w:rsid w:val="00520616"/>
    <w:rsid w:val="0052079D"/>
    <w:rsid w:val="0052121A"/>
    <w:rsid w:val="0052136A"/>
    <w:rsid w:val="005213C6"/>
    <w:rsid w:val="005220C6"/>
    <w:rsid w:val="00522111"/>
    <w:rsid w:val="005222A9"/>
    <w:rsid w:val="005227F9"/>
    <w:rsid w:val="00523A2F"/>
    <w:rsid w:val="0052477A"/>
    <w:rsid w:val="0052506B"/>
    <w:rsid w:val="0052541F"/>
    <w:rsid w:val="00525667"/>
    <w:rsid w:val="00525959"/>
    <w:rsid w:val="00525A6A"/>
    <w:rsid w:val="00525BE0"/>
    <w:rsid w:val="0052672D"/>
    <w:rsid w:val="005268FF"/>
    <w:rsid w:val="00526EEB"/>
    <w:rsid w:val="005271CD"/>
    <w:rsid w:val="00527371"/>
    <w:rsid w:val="00527912"/>
    <w:rsid w:val="005306F0"/>
    <w:rsid w:val="00530971"/>
    <w:rsid w:val="00530EBA"/>
    <w:rsid w:val="00530FFC"/>
    <w:rsid w:val="00531D12"/>
    <w:rsid w:val="00532136"/>
    <w:rsid w:val="005323D4"/>
    <w:rsid w:val="005324DD"/>
    <w:rsid w:val="0053267F"/>
    <w:rsid w:val="005334E1"/>
    <w:rsid w:val="005337DA"/>
    <w:rsid w:val="00533A4E"/>
    <w:rsid w:val="00533AE5"/>
    <w:rsid w:val="00533FE9"/>
    <w:rsid w:val="0053408F"/>
    <w:rsid w:val="00534093"/>
    <w:rsid w:val="00534AD2"/>
    <w:rsid w:val="00534FBA"/>
    <w:rsid w:val="005358F7"/>
    <w:rsid w:val="005359E8"/>
    <w:rsid w:val="00535A5C"/>
    <w:rsid w:val="00536111"/>
    <w:rsid w:val="00536AD6"/>
    <w:rsid w:val="00536EEB"/>
    <w:rsid w:val="00537090"/>
    <w:rsid w:val="0053710F"/>
    <w:rsid w:val="00537541"/>
    <w:rsid w:val="00537720"/>
    <w:rsid w:val="00540737"/>
    <w:rsid w:val="00540814"/>
    <w:rsid w:val="00540B3C"/>
    <w:rsid w:val="00541A10"/>
    <w:rsid w:val="00542130"/>
    <w:rsid w:val="0054225A"/>
    <w:rsid w:val="0054234D"/>
    <w:rsid w:val="0054277A"/>
    <w:rsid w:val="00542832"/>
    <w:rsid w:val="00542A74"/>
    <w:rsid w:val="00543312"/>
    <w:rsid w:val="005437A9"/>
    <w:rsid w:val="005439AE"/>
    <w:rsid w:val="00543B3E"/>
    <w:rsid w:val="005440A4"/>
    <w:rsid w:val="00544160"/>
    <w:rsid w:val="0054439D"/>
    <w:rsid w:val="00544437"/>
    <w:rsid w:val="005444DA"/>
    <w:rsid w:val="00544744"/>
    <w:rsid w:val="00544790"/>
    <w:rsid w:val="00544799"/>
    <w:rsid w:val="0054479A"/>
    <w:rsid w:val="00544D37"/>
    <w:rsid w:val="00544FA5"/>
    <w:rsid w:val="0054508A"/>
    <w:rsid w:val="00545714"/>
    <w:rsid w:val="00546F28"/>
    <w:rsid w:val="005476F2"/>
    <w:rsid w:val="00547813"/>
    <w:rsid w:val="0054797C"/>
    <w:rsid w:val="00550028"/>
    <w:rsid w:val="00550419"/>
    <w:rsid w:val="005504AA"/>
    <w:rsid w:val="005522D9"/>
    <w:rsid w:val="00552630"/>
    <w:rsid w:val="00552B89"/>
    <w:rsid w:val="00552C0B"/>
    <w:rsid w:val="00553F41"/>
    <w:rsid w:val="005542AB"/>
    <w:rsid w:val="00554849"/>
    <w:rsid w:val="00554997"/>
    <w:rsid w:val="005550BE"/>
    <w:rsid w:val="0055513F"/>
    <w:rsid w:val="00555340"/>
    <w:rsid w:val="005567AD"/>
    <w:rsid w:val="00556B5B"/>
    <w:rsid w:val="00560072"/>
    <w:rsid w:val="00560201"/>
    <w:rsid w:val="0056070E"/>
    <w:rsid w:val="00560B21"/>
    <w:rsid w:val="00561332"/>
    <w:rsid w:val="0056157E"/>
    <w:rsid w:val="005618AC"/>
    <w:rsid w:val="00561936"/>
    <w:rsid w:val="00561A3E"/>
    <w:rsid w:val="00561BB4"/>
    <w:rsid w:val="00561BC7"/>
    <w:rsid w:val="00561F37"/>
    <w:rsid w:val="00562359"/>
    <w:rsid w:val="00562957"/>
    <w:rsid w:val="00562AE4"/>
    <w:rsid w:val="00563120"/>
    <w:rsid w:val="005636D9"/>
    <w:rsid w:val="005637A5"/>
    <w:rsid w:val="00563FD1"/>
    <w:rsid w:val="00564193"/>
    <w:rsid w:val="005641A2"/>
    <w:rsid w:val="00565923"/>
    <w:rsid w:val="005661ED"/>
    <w:rsid w:val="00566388"/>
    <w:rsid w:val="00566B31"/>
    <w:rsid w:val="005672AE"/>
    <w:rsid w:val="0056753C"/>
    <w:rsid w:val="00567B9A"/>
    <w:rsid w:val="00567F16"/>
    <w:rsid w:val="005700E5"/>
    <w:rsid w:val="00570A54"/>
    <w:rsid w:val="005712B1"/>
    <w:rsid w:val="00571310"/>
    <w:rsid w:val="00571CC8"/>
    <w:rsid w:val="0057216F"/>
    <w:rsid w:val="00572E3E"/>
    <w:rsid w:val="0057380C"/>
    <w:rsid w:val="00574007"/>
    <w:rsid w:val="00574609"/>
    <w:rsid w:val="00574760"/>
    <w:rsid w:val="0057526F"/>
    <w:rsid w:val="005756D3"/>
    <w:rsid w:val="00575AEC"/>
    <w:rsid w:val="00575CDC"/>
    <w:rsid w:val="00576047"/>
    <w:rsid w:val="00576AF3"/>
    <w:rsid w:val="0057743B"/>
    <w:rsid w:val="00577F8E"/>
    <w:rsid w:val="00580228"/>
    <w:rsid w:val="00580276"/>
    <w:rsid w:val="00580FFE"/>
    <w:rsid w:val="005821D7"/>
    <w:rsid w:val="00583099"/>
    <w:rsid w:val="00583375"/>
    <w:rsid w:val="00583817"/>
    <w:rsid w:val="005839D7"/>
    <w:rsid w:val="00583A7A"/>
    <w:rsid w:val="00583BC5"/>
    <w:rsid w:val="00583D0C"/>
    <w:rsid w:val="00583EF1"/>
    <w:rsid w:val="0058402A"/>
    <w:rsid w:val="005840C4"/>
    <w:rsid w:val="005843B3"/>
    <w:rsid w:val="005849AF"/>
    <w:rsid w:val="005849F7"/>
    <w:rsid w:val="00584ADB"/>
    <w:rsid w:val="00584DAB"/>
    <w:rsid w:val="0058504C"/>
    <w:rsid w:val="005857B1"/>
    <w:rsid w:val="00585E0F"/>
    <w:rsid w:val="00585EFC"/>
    <w:rsid w:val="00586C19"/>
    <w:rsid w:val="0058715C"/>
    <w:rsid w:val="00587CA0"/>
    <w:rsid w:val="00587FDA"/>
    <w:rsid w:val="00590918"/>
    <w:rsid w:val="005909DA"/>
    <w:rsid w:val="00590B62"/>
    <w:rsid w:val="00591484"/>
    <w:rsid w:val="00591831"/>
    <w:rsid w:val="0059190C"/>
    <w:rsid w:val="00591C32"/>
    <w:rsid w:val="0059202E"/>
    <w:rsid w:val="00592297"/>
    <w:rsid w:val="005929C9"/>
    <w:rsid w:val="0059333A"/>
    <w:rsid w:val="00593663"/>
    <w:rsid w:val="00593E3A"/>
    <w:rsid w:val="00593FB8"/>
    <w:rsid w:val="00594DC2"/>
    <w:rsid w:val="00594E94"/>
    <w:rsid w:val="00595772"/>
    <w:rsid w:val="00595A41"/>
    <w:rsid w:val="00595BED"/>
    <w:rsid w:val="00595D73"/>
    <w:rsid w:val="00597155"/>
    <w:rsid w:val="00597282"/>
    <w:rsid w:val="00597C75"/>
    <w:rsid w:val="005A03C8"/>
    <w:rsid w:val="005A092E"/>
    <w:rsid w:val="005A0B45"/>
    <w:rsid w:val="005A0CC3"/>
    <w:rsid w:val="005A128E"/>
    <w:rsid w:val="005A12BA"/>
    <w:rsid w:val="005A162D"/>
    <w:rsid w:val="005A1719"/>
    <w:rsid w:val="005A2290"/>
    <w:rsid w:val="005A246E"/>
    <w:rsid w:val="005A2500"/>
    <w:rsid w:val="005A2ABF"/>
    <w:rsid w:val="005A2ECA"/>
    <w:rsid w:val="005A3407"/>
    <w:rsid w:val="005A456A"/>
    <w:rsid w:val="005A4BB1"/>
    <w:rsid w:val="005A507C"/>
    <w:rsid w:val="005A5134"/>
    <w:rsid w:val="005A5229"/>
    <w:rsid w:val="005A5499"/>
    <w:rsid w:val="005A557D"/>
    <w:rsid w:val="005A5944"/>
    <w:rsid w:val="005A5F1B"/>
    <w:rsid w:val="005A7158"/>
    <w:rsid w:val="005A7383"/>
    <w:rsid w:val="005A7389"/>
    <w:rsid w:val="005A74A8"/>
    <w:rsid w:val="005A7521"/>
    <w:rsid w:val="005B0FE3"/>
    <w:rsid w:val="005B1296"/>
    <w:rsid w:val="005B1392"/>
    <w:rsid w:val="005B14B5"/>
    <w:rsid w:val="005B1512"/>
    <w:rsid w:val="005B23BF"/>
    <w:rsid w:val="005B2535"/>
    <w:rsid w:val="005B2CEE"/>
    <w:rsid w:val="005B30D3"/>
    <w:rsid w:val="005B3B33"/>
    <w:rsid w:val="005B4F8E"/>
    <w:rsid w:val="005B56E8"/>
    <w:rsid w:val="005B5ED9"/>
    <w:rsid w:val="005B63D7"/>
    <w:rsid w:val="005B681F"/>
    <w:rsid w:val="005B6897"/>
    <w:rsid w:val="005B7995"/>
    <w:rsid w:val="005C013D"/>
    <w:rsid w:val="005C0BC2"/>
    <w:rsid w:val="005C0C34"/>
    <w:rsid w:val="005C1460"/>
    <w:rsid w:val="005C1476"/>
    <w:rsid w:val="005C172F"/>
    <w:rsid w:val="005C23D7"/>
    <w:rsid w:val="005C3587"/>
    <w:rsid w:val="005C376A"/>
    <w:rsid w:val="005C3A85"/>
    <w:rsid w:val="005C4117"/>
    <w:rsid w:val="005C4686"/>
    <w:rsid w:val="005C4849"/>
    <w:rsid w:val="005C512E"/>
    <w:rsid w:val="005C5277"/>
    <w:rsid w:val="005C5729"/>
    <w:rsid w:val="005C656E"/>
    <w:rsid w:val="005C6D13"/>
    <w:rsid w:val="005C727B"/>
    <w:rsid w:val="005D087A"/>
    <w:rsid w:val="005D13BB"/>
    <w:rsid w:val="005D169A"/>
    <w:rsid w:val="005D19E9"/>
    <w:rsid w:val="005D2099"/>
    <w:rsid w:val="005D2F71"/>
    <w:rsid w:val="005D3154"/>
    <w:rsid w:val="005D31F7"/>
    <w:rsid w:val="005D34DD"/>
    <w:rsid w:val="005D3C17"/>
    <w:rsid w:val="005D4195"/>
    <w:rsid w:val="005D499A"/>
    <w:rsid w:val="005D4CF6"/>
    <w:rsid w:val="005D50DB"/>
    <w:rsid w:val="005D5898"/>
    <w:rsid w:val="005D59BC"/>
    <w:rsid w:val="005D5D71"/>
    <w:rsid w:val="005D659A"/>
    <w:rsid w:val="005D7873"/>
    <w:rsid w:val="005E0119"/>
    <w:rsid w:val="005E1846"/>
    <w:rsid w:val="005E1C02"/>
    <w:rsid w:val="005E25C4"/>
    <w:rsid w:val="005E2C8E"/>
    <w:rsid w:val="005E2E76"/>
    <w:rsid w:val="005E2FBF"/>
    <w:rsid w:val="005E337D"/>
    <w:rsid w:val="005E351D"/>
    <w:rsid w:val="005E4055"/>
    <w:rsid w:val="005E4319"/>
    <w:rsid w:val="005E49B7"/>
    <w:rsid w:val="005E6073"/>
    <w:rsid w:val="005E60AE"/>
    <w:rsid w:val="005E71C3"/>
    <w:rsid w:val="005E72BD"/>
    <w:rsid w:val="005E72E9"/>
    <w:rsid w:val="005E789F"/>
    <w:rsid w:val="005E7B51"/>
    <w:rsid w:val="005E7D4B"/>
    <w:rsid w:val="005F0888"/>
    <w:rsid w:val="005F08E0"/>
    <w:rsid w:val="005F19DD"/>
    <w:rsid w:val="005F289A"/>
    <w:rsid w:val="005F2E87"/>
    <w:rsid w:val="005F354E"/>
    <w:rsid w:val="005F3986"/>
    <w:rsid w:val="005F3A2C"/>
    <w:rsid w:val="005F3B65"/>
    <w:rsid w:val="005F3C9C"/>
    <w:rsid w:val="005F447B"/>
    <w:rsid w:val="005F4903"/>
    <w:rsid w:val="005F4C13"/>
    <w:rsid w:val="005F5B83"/>
    <w:rsid w:val="005F5CAA"/>
    <w:rsid w:val="005F5F6E"/>
    <w:rsid w:val="005F6D77"/>
    <w:rsid w:val="006004F8"/>
    <w:rsid w:val="00600631"/>
    <w:rsid w:val="006009C6"/>
    <w:rsid w:val="00601770"/>
    <w:rsid w:val="00602116"/>
    <w:rsid w:val="00602466"/>
    <w:rsid w:val="006027BE"/>
    <w:rsid w:val="006027C5"/>
    <w:rsid w:val="00602B8E"/>
    <w:rsid w:val="00602BF4"/>
    <w:rsid w:val="00602D91"/>
    <w:rsid w:val="00602DF4"/>
    <w:rsid w:val="00602FCD"/>
    <w:rsid w:val="0060358D"/>
    <w:rsid w:val="006037AD"/>
    <w:rsid w:val="00603906"/>
    <w:rsid w:val="00603958"/>
    <w:rsid w:val="0060445F"/>
    <w:rsid w:val="00604A39"/>
    <w:rsid w:val="0060508E"/>
    <w:rsid w:val="00605D81"/>
    <w:rsid w:val="006061ED"/>
    <w:rsid w:val="00606332"/>
    <w:rsid w:val="00606C67"/>
    <w:rsid w:val="00606DEB"/>
    <w:rsid w:val="00607C37"/>
    <w:rsid w:val="0061036E"/>
    <w:rsid w:val="0061075B"/>
    <w:rsid w:val="0061104B"/>
    <w:rsid w:val="00611735"/>
    <w:rsid w:val="00611B1B"/>
    <w:rsid w:val="00612531"/>
    <w:rsid w:val="00612B98"/>
    <w:rsid w:val="006130AA"/>
    <w:rsid w:val="00613321"/>
    <w:rsid w:val="006134BE"/>
    <w:rsid w:val="006145C4"/>
    <w:rsid w:val="0061517C"/>
    <w:rsid w:val="00615387"/>
    <w:rsid w:val="00615F15"/>
    <w:rsid w:val="00615F52"/>
    <w:rsid w:val="00616A0D"/>
    <w:rsid w:val="00616AF3"/>
    <w:rsid w:val="0061716C"/>
    <w:rsid w:val="006172FA"/>
    <w:rsid w:val="00617669"/>
    <w:rsid w:val="00620C18"/>
    <w:rsid w:val="00620E98"/>
    <w:rsid w:val="00621872"/>
    <w:rsid w:val="00621A8F"/>
    <w:rsid w:val="00621E71"/>
    <w:rsid w:val="00622644"/>
    <w:rsid w:val="00622C82"/>
    <w:rsid w:val="00623070"/>
    <w:rsid w:val="00623A06"/>
    <w:rsid w:val="00623B6B"/>
    <w:rsid w:val="00623C8D"/>
    <w:rsid w:val="00623E45"/>
    <w:rsid w:val="00623FB9"/>
    <w:rsid w:val="00623FC8"/>
    <w:rsid w:val="00624CAB"/>
    <w:rsid w:val="00624D25"/>
    <w:rsid w:val="006250B1"/>
    <w:rsid w:val="00625242"/>
    <w:rsid w:val="00625BAD"/>
    <w:rsid w:val="00625CB8"/>
    <w:rsid w:val="00626620"/>
    <w:rsid w:val="00630187"/>
    <w:rsid w:val="00631544"/>
    <w:rsid w:val="0063243B"/>
    <w:rsid w:val="00632449"/>
    <w:rsid w:val="006328DC"/>
    <w:rsid w:val="006329BE"/>
    <w:rsid w:val="00632B76"/>
    <w:rsid w:val="00632B7F"/>
    <w:rsid w:val="00632C0D"/>
    <w:rsid w:val="0063381E"/>
    <w:rsid w:val="006343B6"/>
    <w:rsid w:val="00634452"/>
    <w:rsid w:val="00634651"/>
    <w:rsid w:val="0063573D"/>
    <w:rsid w:val="00635C42"/>
    <w:rsid w:val="0063668F"/>
    <w:rsid w:val="0063683E"/>
    <w:rsid w:val="0063701E"/>
    <w:rsid w:val="00637AC6"/>
    <w:rsid w:val="00641536"/>
    <w:rsid w:val="00641603"/>
    <w:rsid w:val="00641B5E"/>
    <w:rsid w:val="00641FA5"/>
    <w:rsid w:val="006422BC"/>
    <w:rsid w:val="006426D5"/>
    <w:rsid w:val="00642946"/>
    <w:rsid w:val="00643638"/>
    <w:rsid w:val="00643793"/>
    <w:rsid w:val="006440A2"/>
    <w:rsid w:val="00644272"/>
    <w:rsid w:val="00644352"/>
    <w:rsid w:val="006447B1"/>
    <w:rsid w:val="00644F06"/>
    <w:rsid w:val="00645ADE"/>
    <w:rsid w:val="00645E91"/>
    <w:rsid w:val="00646597"/>
    <w:rsid w:val="006466A1"/>
    <w:rsid w:val="00646848"/>
    <w:rsid w:val="006470FE"/>
    <w:rsid w:val="006475CD"/>
    <w:rsid w:val="0064764C"/>
    <w:rsid w:val="00647BBA"/>
    <w:rsid w:val="00647EED"/>
    <w:rsid w:val="006509D8"/>
    <w:rsid w:val="00650A6D"/>
    <w:rsid w:val="00650E0F"/>
    <w:rsid w:val="006513EC"/>
    <w:rsid w:val="006515D5"/>
    <w:rsid w:val="00651A79"/>
    <w:rsid w:val="00651DA6"/>
    <w:rsid w:val="00652D69"/>
    <w:rsid w:val="006530F9"/>
    <w:rsid w:val="00653262"/>
    <w:rsid w:val="00653282"/>
    <w:rsid w:val="006532CE"/>
    <w:rsid w:val="00653979"/>
    <w:rsid w:val="00653CA4"/>
    <w:rsid w:val="00654CF9"/>
    <w:rsid w:val="00655525"/>
    <w:rsid w:val="006556A2"/>
    <w:rsid w:val="006559DB"/>
    <w:rsid w:val="00655B45"/>
    <w:rsid w:val="00655B6F"/>
    <w:rsid w:val="0065648D"/>
    <w:rsid w:val="00657068"/>
    <w:rsid w:val="006571AF"/>
    <w:rsid w:val="006571F2"/>
    <w:rsid w:val="0065743C"/>
    <w:rsid w:val="0066001C"/>
    <w:rsid w:val="00660E12"/>
    <w:rsid w:val="006618DE"/>
    <w:rsid w:val="006619E3"/>
    <w:rsid w:val="00661CB6"/>
    <w:rsid w:val="00661F88"/>
    <w:rsid w:val="006622E1"/>
    <w:rsid w:val="00663080"/>
    <w:rsid w:val="00663CF6"/>
    <w:rsid w:val="00663D4E"/>
    <w:rsid w:val="006647C8"/>
    <w:rsid w:val="00664B18"/>
    <w:rsid w:val="00664C59"/>
    <w:rsid w:val="006651AB"/>
    <w:rsid w:val="006651D5"/>
    <w:rsid w:val="00665238"/>
    <w:rsid w:val="0066545D"/>
    <w:rsid w:val="006656CA"/>
    <w:rsid w:val="00665A48"/>
    <w:rsid w:val="0066620F"/>
    <w:rsid w:val="00666E41"/>
    <w:rsid w:val="0066705A"/>
    <w:rsid w:val="0066775E"/>
    <w:rsid w:val="00670FE8"/>
    <w:rsid w:val="0067176A"/>
    <w:rsid w:val="0067184C"/>
    <w:rsid w:val="00672795"/>
    <w:rsid w:val="00672DB5"/>
    <w:rsid w:val="00672F4F"/>
    <w:rsid w:val="0067321F"/>
    <w:rsid w:val="006733E5"/>
    <w:rsid w:val="00673AB3"/>
    <w:rsid w:val="006740FC"/>
    <w:rsid w:val="006743B3"/>
    <w:rsid w:val="006749F7"/>
    <w:rsid w:val="00674D54"/>
    <w:rsid w:val="0067632E"/>
    <w:rsid w:val="00676B62"/>
    <w:rsid w:val="00677415"/>
    <w:rsid w:val="00677441"/>
    <w:rsid w:val="00677461"/>
    <w:rsid w:val="0067779C"/>
    <w:rsid w:val="00677B04"/>
    <w:rsid w:val="0068009B"/>
    <w:rsid w:val="00680401"/>
    <w:rsid w:val="0068085E"/>
    <w:rsid w:val="0068087A"/>
    <w:rsid w:val="00680971"/>
    <w:rsid w:val="00680C64"/>
    <w:rsid w:val="00680EB7"/>
    <w:rsid w:val="0068185E"/>
    <w:rsid w:val="00681A8E"/>
    <w:rsid w:val="00681B5B"/>
    <w:rsid w:val="00681FD1"/>
    <w:rsid w:val="00682C82"/>
    <w:rsid w:val="00683B1A"/>
    <w:rsid w:val="00684532"/>
    <w:rsid w:val="00684C68"/>
    <w:rsid w:val="00684F49"/>
    <w:rsid w:val="006850CC"/>
    <w:rsid w:val="0068546A"/>
    <w:rsid w:val="00686867"/>
    <w:rsid w:val="00686C6D"/>
    <w:rsid w:val="00686D6E"/>
    <w:rsid w:val="00687AF4"/>
    <w:rsid w:val="00687BC8"/>
    <w:rsid w:val="00687C8E"/>
    <w:rsid w:val="00687CE5"/>
    <w:rsid w:val="00687D60"/>
    <w:rsid w:val="00690021"/>
    <w:rsid w:val="00690743"/>
    <w:rsid w:val="006908F7"/>
    <w:rsid w:val="00691FD3"/>
    <w:rsid w:val="00692277"/>
    <w:rsid w:val="0069257F"/>
    <w:rsid w:val="00692936"/>
    <w:rsid w:val="00693502"/>
    <w:rsid w:val="00693778"/>
    <w:rsid w:val="00693793"/>
    <w:rsid w:val="00693886"/>
    <w:rsid w:val="00693C7A"/>
    <w:rsid w:val="00694338"/>
    <w:rsid w:val="0069472E"/>
    <w:rsid w:val="00694931"/>
    <w:rsid w:val="00695517"/>
    <w:rsid w:val="00695609"/>
    <w:rsid w:val="006957A4"/>
    <w:rsid w:val="006962A6"/>
    <w:rsid w:val="00697741"/>
    <w:rsid w:val="00697DC6"/>
    <w:rsid w:val="00697E42"/>
    <w:rsid w:val="00697E97"/>
    <w:rsid w:val="006A0393"/>
    <w:rsid w:val="006A086E"/>
    <w:rsid w:val="006A0FB7"/>
    <w:rsid w:val="006A116B"/>
    <w:rsid w:val="006A27D1"/>
    <w:rsid w:val="006A2AA5"/>
    <w:rsid w:val="006A419A"/>
    <w:rsid w:val="006A42D6"/>
    <w:rsid w:val="006A44B5"/>
    <w:rsid w:val="006A46B6"/>
    <w:rsid w:val="006A4F11"/>
    <w:rsid w:val="006A5EA4"/>
    <w:rsid w:val="006A6828"/>
    <w:rsid w:val="006A6901"/>
    <w:rsid w:val="006A7E19"/>
    <w:rsid w:val="006B0506"/>
    <w:rsid w:val="006B0E37"/>
    <w:rsid w:val="006B1422"/>
    <w:rsid w:val="006B1795"/>
    <w:rsid w:val="006B1B37"/>
    <w:rsid w:val="006B1B53"/>
    <w:rsid w:val="006B1C61"/>
    <w:rsid w:val="006B281A"/>
    <w:rsid w:val="006B3128"/>
    <w:rsid w:val="006B3178"/>
    <w:rsid w:val="006B31DF"/>
    <w:rsid w:val="006B343E"/>
    <w:rsid w:val="006B35C4"/>
    <w:rsid w:val="006B3D23"/>
    <w:rsid w:val="006B44B4"/>
    <w:rsid w:val="006B4EFB"/>
    <w:rsid w:val="006B5FC3"/>
    <w:rsid w:val="006B6D29"/>
    <w:rsid w:val="006B7718"/>
    <w:rsid w:val="006B79F5"/>
    <w:rsid w:val="006B7E64"/>
    <w:rsid w:val="006C13E3"/>
    <w:rsid w:val="006C177B"/>
    <w:rsid w:val="006C1803"/>
    <w:rsid w:val="006C1882"/>
    <w:rsid w:val="006C1BFB"/>
    <w:rsid w:val="006C1E05"/>
    <w:rsid w:val="006C2255"/>
    <w:rsid w:val="006C22F0"/>
    <w:rsid w:val="006C2501"/>
    <w:rsid w:val="006C267D"/>
    <w:rsid w:val="006C2A26"/>
    <w:rsid w:val="006C39B4"/>
    <w:rsid w:val="006C4A6C"/>
    <w:rsid w:val="006C4EDE"/>
    <w:rsid w:val="006C5E7E"/>
    <w:rsid w:val="006C6102"/>
    <w:rsid w:val="006C7935"/>
    <w:rsid w:val="006D0966"/>
    <w:rsid w:val="006D1069"/>
    <w:rsid w:val="006D1390"/>
    <w:rsid w:val="006D15C0"/>
    <w:rsid w:val="006D2100"/>
    <w:rsid w:val="006D4237"/>
    <w:rsid w:val="006D47CA"/>
    <w:rsid w:val="006D49A8"/>
    <w:rsid w:val="006D4DBA"/>
    <w:rsid w:val="006D4EBD"/>
    <w:rsid w:val="006D4FD9"/>
    <w:rsid w:val="006D545F"/>
    <w:rsid w:val="006D57BD"/>
    <w:rsid w:val="006D6044"/>
    <w:rsid w:val="006D61F7"/>
    <w:rsid w:val="006D6AEB"/>
    <w:rsid w:val="006D749E"/>
    <w:rsid w:val="006D7AD1"/>
    <w:rsid w:val="006D7B1D"/>
    <w:rsid w:val="006D7E97"/>
    <w:rsid w:val="006E061D"/>
    <w:rsid w:val="006E0660"/>
    <w:rsid w:val="006E1243"/>
    <w:rsid w:val="006E151B"/>
    <w:rsid w:val="006E1C1B"/>
    <w:rsid w:val="006E29D4"/>
    <w:rsid w:val="006E3677"/>
    <w:rsid w:val="006E389C"/>
    <w:rsid w:val="006E3E34"/>
    <w:rsid w:val="006E3F01"/>
    <w:rsid w:val="006E3F19"/>
    <w:rsid w:val="006E48C8"/>
    <w:rsid w:val="006E519D"/>
    <w:rsid w:val="006E5BA3"/>
    <w:rsid w:val="006E66EE"/>
    <w:rsid w:val="006E6E52"/>
    <w:rsid w:val="006E77D9"/>
    <w:rsid w:val="006E7F02"/>
    <w:rsid w:val="006F099F"/>
    <w:rsid w:val="006F0AFD"/>
    <w:rsid w:val="006F148E"/>
    <w:rsid w:val="006F165C"/>
    <w:rsid w:val="006F1EE0"/>
    <w:rsid w:val="006F2582"/>
    <w:rsid w:val="006F2AEB"/>
    <w:rsid w:val="006F2D44"/>
    <w:rsid w:val="006F34BC"/>
    <w:rsid w:val="006F3766"/>
    <w:rsid w:val="006F38E2"/>
    <w:rsid w:val="006F4B34"/>
    <w:rsid w:val="006F5729"/>
    <w:rsid w:val="006F577B"/>
    <w:rsid w:val="006F5A67"/>
    <w:rsid w:val="006F5D5E"/>
    <w:rsid w:val="006F631D"/>
    <w:rsid w:val="006F7016"/>
    <w:rsid w:val="006F7633"/>
    <w:rsid w:val="006F7F3A"/>
    <w:rsid w:val="007001DF"/>
    <w:rsid w:val="007018A3"/>
    <w:rsid w:val="007020A9"/>
    <w:rsid w:val="007022F4"/>
    <w:rsid w:val="0070405C"/>
    <w:rsid w:val="007046EF"/>
    <w:rsid w:val="00704C09"/>
    <w:rsid w:val="00704C2F"/>
    <w:rsid w:val="007051FA"/>
    <w:rsid w:val="007052CF"/>
    <w:rsid w:val="0070545B"/>
    <w:rsid w:val="00705508"/>
    <w:rsid w:val="00705B5D"/>
    <w:rsid w:val="00705E48"/>
    <w:rsid w:val="00705F15"/>
    <w:rsid w:val="007066E3"/>
    <w:rsid w:val="00706BCF"/>
    <w:rsid w:val="00706DDE"/>
    <w:rsid w:val="007077A8"/>
    <w:rsid w:val="00707D07"/>
    <w:rsid w:val="0071002D"/>
    <w:rsid w:val="0071020E"/>
    <w:rsid w:val="0071051A"/>
    <w:rsid w:val="00710981"/>
    <w:rsid w:val="007109AE"/>
    <w:rsid w:val="00710B79"/>
    <w:rsid w:val="00711066"/>
    <w:rsid w:val="007113F0"/>
    <w:rsid w:val="00711B06"/>
    <w:rsid w:val="00711F68"/>
    <w:rsid w:val="007129E3"/>
    <w:rsid w:val="00712FBD"/>
    <w:rsid w:val="0071330A"/>
    <w:rsid w:val="0071342E"/>
    <w:rsid w:val="007134AB"/>
    <w:rsid w:val="007145E6"/>
    <w:rsid w:val="00714B35"/>
    <w:rsid w:val="00715472"/>
    <w:rsid w:val="0071595D"/>
    <w:rsid w:val="00715DC5"/>
    <w:rsid w:val="0071614F"/>
    <w:rsid w:val="00716C40"/>
    <w:rsid w:val="007177AF"/>
    <w:rsid w:val="007179E9"/>
    <w:rsid w:val="00717D04"/>
    <w:rsid w:val="00720113"/>
    <w:rsid w:val="00720415"/>
    <w:rsid w:val="007209D5"/>
    <w:rsid w:val="00720CE3"/>
    <w:rsid w:val="00720DA7"/>
    <w:rsid w:val="00720EFA"/>
    <w:rsid w:val="007219B0"/>
    <w:rsid w:val="00721C4A"/>
    <w:rsid w:val="00721F08"/>
    <w:rsid w:val="00721F47"/>
    <w:rsid w:val="00722192"/>
    <w:rsid w:val="00722A58"/>
    <w:rsid w:val="00723B0D"/>
    <w:rsid w:val="00724593"/>
    <w:rsid w:val="00725538"/>
    <w:rsid w:val="00725A60"/>
    <w:rsid w:val="00725E3D"/>
    <w:rsid w:val="007260CA"/>
    <w:rsid w:val="00727AEB"/>
    <w:rsid w:val="00727E77"/>
    <w:rsid w:val="0073021C"/>
    <w:rsid w:val="007304E8"/>
    <w:rsid w:val="00730C40"/>
    <w:rsid w:val="00730C98"/>
    <w:rsid w:val="007312E7"/>
    <w:rsid w:val="007316E2"/>
    <w:rsid w:val="00732650"/>
    <w:rsid w:val="00732B4C"/>
    <w:rsid w:val="007330BC"/>
    <w:rsid w:val="00733148"/>
    <w:rsid w:val="00733336"/>
    <w:rsid w:val="00733772"/>
    <w:rsid w:val="00733D9E"/>
    <w:rsid w:val="007341FD"/>
    <w:rsid w:val="007348E0"/>
    <w:rsid w:val="00734C88"/>
    <w:rsid w:val="00734FB2"/>
    <w:rsid w:val="00735080"/>
    <w:rsid w:val="0073557F"/>
    <w:rsid w:val="00736664"/>
    <w:rsid w:val="00736747"/>
    <w:rsid w:val="007369F1"/>
    <w:rsid w:val="00736A2A"/>
    <w:rsid w:val="00736F3A"/>
    <w:rsid w:val="007370E3"/>
    <w:rsid w:val="00737440"/>
    <w:rsid w:val="00737B75"/>
    <w:rsid w:val="007405A3"/>
    <w:rsid w:val="00740E71"/>
    <w:rsid w:val="00740EEB"/>
    <w:rsid w:val="007410DA"/>
    <w:rsid w:val="007411D9"/>
    <w:rsid w:val="00741BB9"/>
    <w:rsid w:val="00741BF8"/>
    <w:rsid w:val="00741DD7"/>
    <w:rsid w:val="00742096"/>
    <w:rsid w:val="00742804"/>
    <w:rsid w:val="0074318F"/>
    <w:rsid w:val="00743296"/>
    <w:rsid w:val="00743E4C"/>
    <w:rsid w:val="007442C8"/>
    <w:rsid w:val="007447D2"/>
    <w:rsid w:val="0074496C"/>
    <w:rsid w:val="00744FB1"/>
    <w:rsid w:val="0074545A"/>
    <w:rsid w:val="00745CB7"/>
    <w:rsid w:val="00745F11"/>
    <w:rsid w:val="0074733E"/>
    <w:rsid w:val="007479FA"/>
    <w:rsid w:val="00750BF1"/>
    <w:rsid w:val="00751017"/>
    <w:rsid w:val="00751959"/>
    <w:rsid w:val="00751CB2"/>
    <w:rsid w:val="00751D31"/>
    <w:rsid w:val="00754068"/>
    <w:rsid w:val="0075479E"/>
    <w:rsid w:val="00754B6C"/>
    <w:rsid w:val="00754BC5"/>
    <w:rsid w:val="0075544A"/>
    <w:rsid w:val="007559C5"/>
    <w:rsid w:val="00755C2B"/>
    <w:rsid w:val="00755C67"/>
    <w:rsid w:val="00756724"/>
    <w:rsid w:val="00756792"/>
    <w:rsid w:val="00756A04"/>
    <w:rsid w:val="00756F43"/>
    <w:rsid w:val="007570A3"/>
    <w:rsid w:val="00757539"/>
    <w:rsid w:val="00757B4C"/>
    <w:rsid w:val="00760CAF"/>
    <w:rsid w:val="007610E8"/>
    <w:rsid w:val="00761344"/>
    <w:rsid w:val="007617EB"/>
    <w:rsid w:val="007623B8"/>
    <w:rsid w:val="00762B57"/>
    <w:rsid w:val="0076377F"/>
    <w:rsid w:val="0076399E"/>
    <w:rsid w:val="007641FD"/>
    <w:rsid w:val="007646DF"/>
    <w:rsid w:val="007648FB"/>
    <w:rsid w:val="00765ABB"/>
    <w:rsid w:val="0076668F"/>
    <w:rsid w:val="00766945"/>
    <w:rsid w:val="00766EE2"/>
    <w:rsid w:val="007673A7"/>
    <w:rsid w:val="0077011F"/>
    <w:rsid w:val="00770B0B"/>
    <w:rsid w:val="00770CE7"/>
    <w:rsid w:val="00770EA7"/>
    <w:rsid w:val="007713B9"/>
    <w:rsid w:val="00771A9E"/>
    <w:rsid w:val="00771CB2"/>
    <w:rsid w:val="00771F96"/>
    <w:rsid w:val="007724A5"/>
    <w:rsid w:val="00772622"/>
    <w:rsid w:val="00772892"/>
    <w:rsid w:val="00772C52"/>
    <w:rsid w:val="00774A6E"/>
    <w:rsid w:val="00774F96"/>
    <w:rsid w:val="0077545B"/>
    <w:rsid w:val="00775A3B"/>
    <w:rsid w:val="00776203"/>
    <w:rsid w:val="007769E5"/>
    <w:rsid w:val="007771A8"/>
    <w:rsid w:val="00777A6A"/>
    <w:rsid w:val="00780ECC"/>
    <w:rsid w:val="00781258"/>
    <w:rsid w:val="00782612"/>
    <w:rsid w:val="00782C9A"/>
    <w:rsid w:val="007833FA"/>
    <w:rsid w:val="00783472"/>
    <w:rsid w:val="007834FF"/>
    <w:rsid w:val="00783658"/>
    <w:rsid w:val="007837C9"/>
    <w:rsid w:val="00783EDB"/>
    <w:rsid w:val="00784089"/>
    <w:rsid w:val="00784D17"/>
    <w:rsid w:val="00785264"/>
    <w:rsid w:val="00785433"/>
    <w:rsid w:val="0078544E"/>
    <w:rsid w:val="007858A6"/>
    <w:rsid w:val="00785EAD"/>
    <w:rsid w:val="00785FDB"/>
    <w:rsid w:val="00786D89"/>
    <w:rsid w:val="007874F8"/>
    <w:rsid w:val="00787BC3"/>
    <w:rsid w:val="00787D55"/>
    <w:rsid w:val="007904AD"/>
    <w:rsid w:val="00790E40"/>
    <w:rsid w:val="00790FDC"/>
    <w:rsid w:val="007915D6"/>
    <w:rsid w:val="007922B3"/>
    <w:rsid w:val="00792E9D"/>
    <w:rsid w:val="0079359E"/>
    <w:rsid w:val="007947C5"/>
    <w:rsid w:val="00794FB1"/>
    <w:rsid w:val="00795007"/>
    <w:rsid w:val="0079524F"/>
    <w:rsid w:val="007954B5"/>
    <w:rsid w:val="00795F81"/>
    <w:rsid w:val="007962FC"/>
    <w:rsid w:val="0079669B"/>
    <w:rsid w:val="00796844"/>
    <w:rsid w:val="00796BC7"/>
    <w:rsid w:val="00797314"/>
    <w:rsid w:val="00797AB2"/>
    <w:rsid w:val="00797CFE"/>
    <w:rsid w:val="007A001F"/>
    <w:rsid w:val="007A005F"/>
    <w:rsid w:val="007A00CC"/>
    <w:rsid w:val="007A04CA"/>
    <w:rsid w:val="007A0B93"/>
    <w:rsid w:val="007A0D07"/>
    <w:rsid w:val="007A1036"/>
    <w:rsid w:val="007A174B"/>
    <w:rsid w:val="007A272D"/>
    <w:rsid w:val="007A350E"/>
    <w:rsid w:val="007A37D2"/>
    <w:rsid w:val="007A3876"/>
    <w:rsid w:val="007A3F5B"/>
    <w:rsid w:val="007A4276"/>
    <w:rsid w:val="007A50A9"/>
    <w:rsid w:val="007A57C3"/>
    <w:rsid w:val="007A5A6B"/>
    <w:rsid w:val="007A6350"/>
    <w:rsid w:val="007A644E"/>
    <w:rsid w:val="007A6DAB"/>
    <w:rsid w:val="007A7578"/>
    <w:rsid w:val="007A75CF"/>
    <w:rsid w:val="007A76EB"/>
    <w:rsid w:val="007B1315"/>
    <w:rsid w:val="007B17ED"/>
    <w:rsid w:val="007B250E"/>
    <w:rsid w:val="007B2AE9"/>
    <w:rsid w:val="007B39C7"/>
    <w:rsid w:val="007B4925"/>
    <w:rsid w:val="007B4AA4"/>
    <w:rsid w:val="007B4C6E"/>
    <w:rsid w:val="007B4EBE"/>
    <w:rsid w:val="007B4F45"/>
    <w:rsid w:val="007B5928"/>
    <w:rsid w:val="007B64E1"/>
    <w:rsid w:val="007B6D6B"/>
    <w:rsid w:val="007C05CB"/>
    <w:rsid w:val="007C05E7"/>
    <w:rsid w:val="007C0AC5"/>
    <w:rsid w:val="007C0D43"/>
    <w:rsid w:val="007C1B7F"/>
    <w:rsid w:val="007C1FB5"/>
    <w:rsid w:val="007C22DB"/>
    <w:rsid w:val="007C356D"/>
    <w:rsid w:val="007C358D"/>
    <w:rsid w:val="007C39A6"/>
    <w:rsid w:val="007C39DB"/>
    <w:rsid w:val="007C3BEE"/>
    <w:rsid w:val="007C3D52"/>
    <w:rsid w:val="007C486E"/>
    <w:rsid w:val="007C4DA2"/>
    <w:rsid w:val="007C4FB2"/>
    <w:rsid w:val="007C57A1"/>
    <w:rsid w:val="007C6699"/>
    <w:rsid w:val="007C6AEB"/>
    <w:rsid w:val="007C730C"/>
    <w:rsid w:val="007C76BB"/>
    <w:rsid w:val="007D0558"/>
    <w:rsid w:val="007D085A"/>
    <w:rsid w:val="007D14C0"/>
    <w:rsid w:val="007D19CE"/>
    <w:rsid w:val="007D1B5E"/>
    <w:rsid w:val="007D2204"/>
    <w:rsid w:val="007D2A46"/>
    <w:rsid w:val="007D4205"/>
    <w:rsid w:val="007D4363"/>
    <w:rsid w:val="007D4F62"/>
    <w:rsid w:val="007D513B"/>
    <w:rsid w:val="007D5BA4"/>
    <w:rsid w:val="007D61A0"/>
    <w:rsid w:val="007D68B1"/>
    <w:rsid w:val="007D6937"/>
    <w:rsid w:val="007D6A9F"/>
    <w:rsid w:val="007D718B"/>
    <w:rsid w:val="007D7487"/>
    <w:rsid w:val="007D78F0"/>
    <w:rsid w:val="007D7BFB"/>
    <w:rsid w:val="007E0FF3"/>
    <w:rsid w:val="007E121E"/>
    <w:rsid w:val="007E20D1"/>
    <w:rsid w:val="007E2165"/>
    <w:rsid w:val="007E23C1"/>
    <w:rsid w:val="007E286D"/>
    <w:rsid w:val="007E314E"/>
    <w:rsid w:val="007E330C"/>
    <w:rsid w:val="007E384B"/>
    <w:rsid w:val="007E421A"/>
    <w:rsid w:val="007E4DAE"/>
    <w:rsid w:val="007E53E8"/>
    <w:rsid w:val="007E59B2"/>
    <w:rsid w:val="007E59FD"/>
    <w:rsid w:val="007E6129"/>
    <w:rsid w:val="007E68CC"/>
    <w:rsid w:val="007E6EBB"/>
    <w:rsid w:val="007E6F98"/>
    <w:rsid w:val="007E7EA4"/>
    <w:rsid w:val="007F0127"/>
    <w:rsid w:val="007F08C0"/>
    <w:rsid w:val="007F0E9C"/>
    <w:rsid w:val="007F1254"/>
    <w:rsid w:val="007F1282"/>
    <w:rsid w:val="007F1287"/>
    <w:rsid w:val="007F12F8"/>
    <w:rsid w:val="007F17CB"/>
    <w:rsid w:val="007F19B4"/>
    <w:rsid w:val="007F1B78"/>
    <w:rsid w:val="007F1F2B"/>
    <w:rsid w:val="007F245E"/>
    <w:rsid w:val="007F24D3"/>
    <w:rsid w:val="007F3E71"/>
    <w:rsid w:val="007F3E7D"/>
    <w:rsid w:val="007F4942"/>
    <w:rsid w:val="007F4DA8"/>
    <w:rsid w:val="007F500E"/>
    <w:rsid w:val="007F50F2"/>
    <w:rsid w:val="007F54F2"/>
    <w:rsid w:val="007F5612"/>
    <w:rsid w:val="007F570F"/>
    <w:rsid w:val="007F6682"/>
    <w:rsid w:val="007F69CD"/>
    <w:rsid w:val="007F6B0A"/>
    <w:rsid w:val="007F6E69"/>
    <w:rsid w:val="00800422"/>
    <w:rsid w:val="00800922"/>
    <w:rsid w:val="00800EB4"/>
    <w:rsid w:val="0080124A"/>
    <w:rsid w:val="008018CB"/>
    <w:rsid w:val="00801B1C"/>
    <w:rsid w:val="00801B4B"/>
    <w:rsid w:val="00801DA7"/>
    <w:rsid w:val="00801FE9"/>
    <w:rsid w:val="00802EC1"/>
    <w:rsid w:val="00803178"/>
    <w:rsid w:val="00803AB2"/>
    <w:rsid w:val="00803AB7"/>
    <w:rsid w:val="00803E22"/>
    <w:rsid w:val="008041D7"/>
    <w:rsid w:val="00804C0B"/>
    <w:rsid w:val="00805B07"/>
    <w:rsid w:val="008062BC"/>
    <w:rsid w:val="008067FB"/>
    <w:rsid w:val="00806CE9"/>
    <w:rsid w:val="00806D56"/>
    <w:rsid w:val="00806E27"/>
    <w:rsid w:val="0080712E"/>
    <w:rsid w:val="00807566"/>
    <w:rsid w:val="008078A7"/>
    <w:rsid w:val="00807FDC"/>
    <w:rsid w:val="008105E7"/>
    <w:rsid w:val="008124E6"/>
    <w:rsid w:val="00812633"/>
    <w:rsid w:val="00812A7B"/>
    <w:rsid w:val="00813101"/>
    <w:rsid w:val="00813470"/>
    <w:rsid w:val="008134B6"/>
    <w:rsid w:val="0081355C"/>
    <w:rsid w:val="00815153"/>
    <w:rsid w:val="008154A0"/>
    <w:rsid w:val="00815BC1"/>
    <w:rsid w:val="00816AFD"/>
    <w:rsid w:val="00816BD2"/>
    <w:rsid w:val="00816ED5"/>
    <w:rsid w:val="0082030B"/>
    <w:rsid w:val="008205A0"/>
    <w:rsid w:val="008212D1"/>
    <w:rsid w:val="00821448"/>
    <w:rsid w:val="00821605"/>
    <w:rsid w:val="00821D27"/>
    <w:rsid w:val="00821F04"/>
    <w:rsid w:val="0082269D"/>
    <w:rsid w:val="00822D27"/>
    <w:rsid w:val="00824F75"/>
    <w:rsid w:val="00824FF9"/>
    <w:rsid w:val="008257E2"/>
    <w:rsid w:val="00825A40"/>
    <w:rsid w:val="00825AE3"/>
    <w:rsid w:val="00825CA2"/>
    <w:rsid w:val="00826072"/>
    <w:rsid w:val="008260E7"/>
    <w:rsid w:val="0082687E"/>
    <w:rsid w:val="00826A2C"/>
    <w:rsid w:val="00827298"/>
    <w:rsid w:val="00827550"/>
    <w:rsid w:val="008277FA"/>
    <w:rsid w:val="00827CAA"/>
    <w:rsid w:val="008302C6"/>
    <w:rsid w:val="0083042C"/>
    <w:rsid w:val="00830479"/>
    <w:rsid w:val="0083126E"/>
    <w:rsid w:val="00831525"/>
    <w:rsid w:val="00831700"/>
    <w:rsid w:val="00832059"/>
    <w:rsid w:val="008321DC"/>
    <w:rsid w:val="008323B4"/>
    <w:rsid w:val="00832474"/>
    <w:rsid w:val="00832A7B"/>
    <w:rsid w:val="00832AB7"/>
    <w:rsid w:val="00834324"/>
    <w:rsid w:val="00835025"/>
    <w:rsid w:val="00835A9C"/>
    <w:rsid w:val="00836216"/>
    <w:rsid w:val="008365CC"/>
    <w:rsid w:val="00836C7A"/>
    <w:rsid w:val="008371F7"/>
    <w:rsid w:val="00837458"/>
    <w:rsid w:val="00840B56"/>
    <w:rsid w:val="008418A1"/>
    <w:rsid w:val="0084257C"/>
    <w:rsid w:val="00842D11"/>
    <w:rsid w:val="00843746"/>
    <w:rsid w:val="00843AEC"/>
    <w:rsid w:val="0084483E"/>
    <w:rsid w:val="008453CB"/>
    <w:rsid w:val="0084544A"/>
    <w:rsid w:val="0084555E"/>
    <w:rsid w:val="00845966"/>
    <w:rsid w:val="00845A0E"/>
    <w:rsid w:val="00845A4D"/>
    <w:rsid w:val="00845C03"/>
    <w:rsid w:val="00845EDA"/>
    <w:rsid w:val="008463A0"/>
    <w:rsid w:val="00846CEC"/>
    <w:rsid w:val="00846F2F"/>
    <w:rsid w:val="0084768A"/>
    <w:rsid w:val="00847E2F"/>
    <w:rsid w:val="00850E41"/>
    <w:rsid w:val="00851376"/>
    <w:rsid w:val="0085153E"/>
    <w:rsid w:val="00851BE8"/>
    <w:rsid w:val="00851C3E"/>
    <w:rsid w:val="00851E81"/>
    <w:rsid w:val="008521A9"/>
    <w:rsid w:val="00852D52"/>
    <w:rsid w:val="00853148"/>
    <w:rsid w:val="00854115"/>
    <w:rsid w:val="00854EC2"/>
    <w:rsid w:val="0085529E"/>
    <w:rsid w:val="008553A6"/>
    <w:rsid w:val="00855F6C"/>
    <w:rsid w:val="008562D5"/>
    <w:rsid w:val="00856449"/>
    <w:rsid w:val="0085649A"/>
    <w:rsid w:val="00856968"/>
    <w:rsid w:val="00857A8D"/>
    <w:rsid w:val="0086018D"/>
    <w:rsid w:val="00860E39"/>
    <w:rsid w:val="00861639"/>
    <w:rsid w:val="00861D5A"/>
    <w:rsid w:val="00862566"/>
    <w:rsid w:val="008628AB"/>
    <w:rsid w:val="00862B0C"/>
    <w:rsid w:val="00862E14"/>
    <w:rsid w:val="00863268"/>
    <w:rsid w:val="0086328A"/>
    <w:rsid w:val="00863527"/>
    <w:rsid w:val="00863698"/>
    <w:rsid w:val="008636DC"/>
    <w:rsid w:val="00864405"/>
    <w:rsid w:val="008644F1"/>
    <w:rsid w:val="00864C44"/>
    <w:rsid w:val="00864D32"/>
    <w:rsid w:val="0086556E"/>
    <w:rsid w:val="0086574A"/>
    <w:rsid w:val="00865CA2"/>
    <w:rsid w:val="00865D28"/>
    <w:rsid w:val="00865D41"/>
    <w:rsid w:val="00865E87"/>
    <w:rsid w:val="008662F5"/>
    <w:rsid w:val="0086659F"/>
    <w:rsid w:val="008672B5"/>
    <w:rsid w:val="00867934"/>
    <w:rsid w:val="00867D4F"/>
    <w:rsid w:val="008702B8"/>
    <w:rsid w:val="008703B7"/>
    <w:rsid w:val="00870759"/>
    <w:rsid w:val="0087097A"/>
    <w:rsid w:val="008709E2"/>
    <w:rsid w:val="0087101F"/>
    <w:rsid w:val="0087253B"/>
    <w:rsid w:val="0087260E"/>
    <w:rsid w:val="00872748"/>
    <w:rsid w:val="00872C84"/>
    <w:rsid w:val="00872EF9"/>
    <w:rsid w:val="00874520"/>
    <w:rsid w:val="0087476E"/>
    <w:rsid w:val="00874ACD"/>
    <w:rsid w:val="00874E70"/>
    <w:rsid w:val="008751E1"/>
    <w:rsid w:val="008752A3"/>
    <w:rsid w:val="008755A9"/>
    <w:rsid w:val="008757E9"/>
    <w:rsid w:val="00876037"/>
    <w:rsid w:val="00876FF9"/>
    <w:rsid w:val="0087768C"/>
    <w:rsid w:val="00877A9E"/>
    <w:rsid w:val="00877F2E"/>
    <w:rsid w:val="00880384"/>
    <w:rsid w:val="0088046F"/>
    <w:rsid w:val="00880A7B"/>
    <w:rsid w:val="00880DA1"/>
    <w:rsid w:val="008814CD"/>
    <w:rsid w:val="008816E8"/>
    <w:rsid w:val="00881835"/>
    <w:rsid w:val="008818D6"/>
    <w:rsid w:val="00881DED"/>
    <w:rsid w:val="008824A2"/>
    <w:rsid w:val="00883811"/>
    <w:rsid w:val="00883B1B"/>
    <w:rsid w:val="00883BBC"/>
    <w:rsid w:val="00883E54"/>
    <w:rsid w:val="00884135"/>
    <w:rsid w:val="00884E65"/>
    <w:rsid w:val="00885B43"/>
    <w:rsid w:val="00885C11"/>
    <w:rsid w:val="00885DFB"/>
    <w:rsid w:val="008860B7"/>
    <w:rsid w:val="0088640D"/>
    <w:rsid w:val="00886560"/>
    <w:rsid w:val="00890676"/>
    <w:rsid w:val="00890971"/>
    <w:rsid w:val="00890A26"/>
    <w:rsid w:val="00890BF0"/>
    <w:rsid w:val="00890C62"/>
    <w:rsid w:val="00891475"/>
    <w:rsid w:val="00891CE1"/>
    <w:rsid w:val="00891FBF"/>
    <w:rsid w:val="008921C1"/>
    <w:rsid w:val="00892A20"/>
    <w:rsid w:val="00892A33"/>
    <w:rsid w:val="00892A7C"/>
    <w:rsid w:val="00892D41"/>
    <w:rsid w:val="00892E02"/>
    <w:rsid w:val="00892E55"/>
    <w:rsid w:val="00893ABD"/>
    <w:rsid w:val="00893C1F"/>
    <w:rsid w:val="00894346"/>
    <w:rsid w:val="008943C6"/>
    <w:rsid w:val="0089453B"/>
    <w:rsid w:val="008949F6"/>
    <w:rsid w:val="0089535C"/>
    <w:rsid w:val="00895494"/>
    <w:rsid w:val="0089565A"/>
    <w:rsid w:val="00895904"/>
    <w:rsid w:val="00895C54"/>
    <w:rsid w:val="00896B77"/>
    <w:rsid w:val="00896E4A"/>
    <w:rsid w:val="00896FF5"/>
    <w:rsid w:val="008970BE"/>
    <w:rsid w:val="008972F0"/>
    <w:rsid w:val="008973E3"/>
    <w:rsid w:val="00897F10"/>
    <w:rsid w:val="008A01E6"/>
    <w:rsid w:val="008A0D6E"/>
    <w:rsid w:val="008A154B"/>
    <w:rsid w:val="008A19CB"/>
    <w:rsid w:val="008A1A4E"/>
    <w:rsid w:val="008A215B"/>
    <w:rsid w:val="008A236E"/>
    <w:rsid w:val="008A328F"/>
    <w:rsid w:val="008A37D1"/>
    <w:rsid w:val="008A4345"/>
    <w:rsid w:val="008A43A2"/>
    <w:rsid w:val="008A4DB6"/>
    <w:rsid w:val="008A55B9"/>
    <w:rsid w:val="008A6E6F"/>
    <w:rsid w:val="008A7502"/>
    <w:rsid w:val="008A75BD"/>
    <w:rsid w:val="008A762A"/>
    <w:rsid w:val="008A77BE"/>
    <w:rsid w:val="008A79D9"/>
    <w:rsid w:val="008A7D7F"/>
    <w:rsid w:val="008B0EB8"/>
    <w:rsid w:val="008B0F40"/>
    <w:rsid w:val="008B14FF"/>
    <w:rsid w:val="008B1F98"/>
    <w:rsid w:val="008B2403"/>
    <w:rsid w:val="008B272E"/>
    <w:rsid w:val="008B2923"/>
    <w:rsid w:val="008B2C20"/>
    <w:rsid w:val="008B30B2"/>
    <w:rsid w:val="008B37CE"/>
    <w:rsid w:val="008B391D"/>
    <w:rsid w:val="008B3A02"/>
    <w:rsid w:val="008B3DD9"/>
    <w:rsid w:val="008B3E0E"/>
    <w:rsid w:val="008B441F"/>
    <w:rsid w:val="008B5569"/>
    <w:rsid w:val="008B55BC"/>
    <w:rsid w:val="008B5BEE"/>
    <w:rsid w:val="008B5D45"/>
    <w:rsid w:val="008B6522"/>
    <w:rsid w:val="008B730D"/>
    <w:rsid w:val="008B7506"/>
    <w:rsid w:val="008B7725"/>
    <w:rsid w:val="008C00C6"/>
    <w:rsid w:val="008C0203"/>
    <w:rsid w:val="008C0417"/>
    <w:rsid w:val="008C056A"/>
    <w:rsid w:val="008C076B"/>
    <w:rsid w:val="008C149D"/>
    <w:rsid w:val="008C1530"/>
    <w:rsid w:val="008C2045"/>
    <w:rsid w:val="008C21D2"/>
    <w:rsid w:val="008C2706"/>
    <w:rsid w:val="008C3ABB"/>
    <w:rsid w:val="008C3B76"/>
    <w:rsid w:val="008C4C92"/>
    <w:rsid w:val="008C5BC1"/>
    <w:rsid w:val="008C5BFC"/>
    <w:rsid w:val="008C61A4"/>
    <w:rsid w:val="008C61B2"/>
    <w:rsid w:val="008C6338"/>
    <w:rsid w:val="008C675E"/>
    <w:rsid w:val="008C682E"/>
    <w:rsid w:val="008C7A3B"/>
    <w:rsid w:val="008D070E"/>
    <w:rsid w:val="008D0B69"/>
    <w:rsid w:val="008D0E93"/>
    <w:rsid w:val="008D1075"/>
    <w:rsid w:val="008D12D9"/>
    <w:rsid w:val="008D15EC"/>
    <w:rsid w:val="008D21C8"/>
    <w:rsid w:val="008D257A"/>
    <w:rsid w:val="008D2CAE"/>
    <w:rsid w:val="008D36A1"/>
    <w:rsid w:val="008D3ADB"/>
    <w:rsid w:val="008D3AE3"/>
    <w:rsid w:val="008D3D62"/>
    <w:rsid w:val="008D3DE9"/>
    <w:rsid w:val="008D46A2"/>
    <w:rsid w:val="008D4B6B"/>
    <w:rsid w:val="008D50D6"/>
    <w:rsid w:val="008D589E"/>
    <w:rsid w:val="008D6B38"/>
    <w:rsid w:val="008D6EA8"/>
    <w:rsid w:val="008D6F1E"/>
    <w:rsid w:val="008D738A"/>
    <w:rsid w:val="008D78E0"/>
    <w:rsid w:val="008D7C53"/>
    <w:rsid w:val="008D7F36"/>
    <w:rsid w:val="008E0B64"/>
    <w:rsid w:val="008E0C74"/>
    <w:rsid w:val="008E1688"/>
    <w:rsid w:val="008E17E1"/>
    <w:rsid w:val="008E2314"/>
    <w:rsid w:val="008E299C"/>
    <w:rsid w:val="008E29CC"/>
    <w:rsid w:val="008E29FD"/>
    <w:rsid w:val="008E3257"/>
    <w:rsid w:val="008E3667"/>
    <w:rsid w:val="008E3995"/>
    <w:rsid w:val="008E482B"/>
    <w:rsid w:val="008E49E6"/>
    <w:rsid w:val="008E4EBF"/>
    <w:rsid w:val="008E5552"/>
    <w:rsid w:val="008E584D"/>
    <w:rsid w:val="008E6344"/>
    <w:rsid w:val="008E661C"/>
    <w:rsid w:val="008E6E5D"/>
    <w:rsid w:val="008E72DD"/>
    <w:rsid w:val="008E7B7B"/>
    <w:rsid w:val="008E7F3E"/>
    <w:rsid w:val="008E7FDD"/>
    <w:rsid w:val="008F0DC6"/>
    <w:rsid w:val="008F2277"/>
    <w:rsid w:val="008F2330"/>
    <w:rsid w:val="008F27A1"/>
    <w:rsid w:val="008F2D62"/>
    <w:rsid w:val="008F2EBD"/>
    <w:rsid w:val="008F2F5A"/>
    <w:rsid w:val="008F38A6"/>
    <w:rsid w:val="008F4728"/>
    <w:rsid w:val="008F4911"/>
    <w:rsid w:val="008F4DA1"/>
    <w:rsid w:val="008F5117"/>
    <w:rsid w:val="008F513C"/>
    <w:rsid w:val="008F5194"/>
    <w:rsid w:val="008F598E"/>
    <w:rsid w:val="008F5993"/>
    <w:rsid w:val="008F5E0F"/>
    <w:rsid w:val="008F62FC"/>
    <w:rsid w:val="008F6534"/>
    <w:rsid w:val="008F7833"/>
    <w:rsid w:val="008F7A00"/>
    <w:rsid w:val="008F7C70"/>
    <w:rsid w:val="008F7D9D"/>
    <w:rsid w:val="008F7DFB"/>
    <w:rsid w:val="008F7EAB"/>
    <w:rsid w:val="00900330"/>
    <w:rsid w:val="009006CE"/>
    <w:rsid w:val="00900E8F"/>
    <w:rsid w:val="00901871"/>
    <w:rsid w:val="009018B7"/>
    <w:rsid w:val="0090277E"/>
    <w:rsid w:val="009027FC"/>
    <w:rsid w:val="00903208"/>
    <w:rsid w:val="0090365C"/>
    <w:rsid w:val="00903DE9"/>
    <w:rsid w:val="009048DA"/>
    <w:rsid w:val="00904B3C"/>
    <w:rsid w:val="00904D90"/>
    <w:rsid w:val="00905143"/>
    <w:rsid w:val="00905422"/>
    <w:rsid w:val="00905976"/>
    <w:rsid w:val="00905AA1"/>
    <w:rsid w:val="00905AD7"/>
    <w:rsid w:val="00906158"/>
    <w:rsid w:val="0090620D"/>
    <w:rsid w:val="0090700F"/>
    <w:rsid w:val="009070FD"/>
    <w:rsid w:val="009075D5"/>
    <w:rsid w:val="00907E5A"/>
    <w:rsid w:val="00910585"/>
    <w:rsid w:val="00910677"/>
    <w:rsid w:val="00910F32"/>
    <w:rsid w:val="00911DF3"/>
    <w:rsid w:val="00911F43"/>
    <w:rsid w:val="00912D51"/>
    <w:rsid w:val="00913909"/>
    <w:rsid w:val="0091414D"/>
    <w:rsid w:val="00914550"/>
    <w:rsid w:val="009145D3"/>
    <w:rsid w:val="00914B54"/>
    <w:rsid w:val="00914C7B"/>
    <w:rsid w:val="0091570C"/>
    <w:rsid w:val="009160E1"/>
    <w:rsid w:val="0091696A"/>
    <w:rsid w:val="00917594"/>
    <w:rsid w:val="00917F89"/>
    <w:rsid w:val="0092098F"/>
    <w:rsid w:val="00920AE9"/>
    <w:rsid w:val="00920F82"/>
    <w:rsid w:val="00921037"/>
    <w:rsid w:val="00921A3F"/>
    <w:rsid w:val="00921D3C"/>
    <w:rsid w:val="00922554"/>
    <w:rsid w:val="00922619"/>
    <w:rsid w:val="009226D8"/>
    <w:rsid w:val="00922E9C"/>
    <w:rsid w:val="00922FA4"/>
    <w:rsid w:val="009235CE"/>
    <w:rsid w:val="0092396E"/>
    <w:rsid w:val="0092532E"/>
    <w:rsid w:val="0092602E"/>
    <w:rsid w:val="00926573"/>
    <w:rsid w:val="00926B03"/>
    <w:rsid w:val="00926D54"/>
    <w:rsid w:val="0092716A"/>
    <w:rsid w:val="0093066C"/>
    <w:rsid w:val="009307AF"/>
    <w:rsid w:val="00930886"/>
    <w:rsid w:val="00930A32"/>
    <w:rsid w:val="0093100C"/>
    <w:rsid w:val="009310D0"/>
    <w:rsid w:val="0093277E"/>
    <w:rsid w:val="00933275"/>
    <w:rsid w:val="009333E0"/>
    <w:rsid w:val="009336A5"/>
    <w:rsid w:val="00933D75"/>
    <w:rsid w:val="009341EC"/>
    <w:rsid w:val="009341F3"/>
    <w:rsid w:val="00934D0A"/>
    <w:rsid w:val="00934D9A"/>
    <w:rsid w:val="00935460"/>
    <w:rsid w:val="00935640"/>
    <w:rsid w:val="00935990"/>
    <w:rsid w:val="00936261"/>
    <w:rsid w:val="009364FE"/>
    <w:rsid w:val="00936ED8"/>
    <w:rsid w:val="0093720F"/>
    <w:rsid w:val="009373DC"/>
    <w:rsid w:val="009401C8"/>
    <w:rsid w:val="009403B8"/>
    <w:rsid w:val="009409EC"/>
    <w:rsid w:val="009414B1"/>
    <w:rsid w:val="0094180F"/>
    <w:rsid w:val="009420BC"/>
    <w:rsid w:val="00943291"/>
    <w:rsid w:val="00943B76"/>
    <w:rsid w:val="0094508A"/>
    <w:rsid w:val="0094511C"/>
    <w:rsid w:val="00945586"/>
    <w:rsid w:val="00945F3D"/>
    <w:rsid w:val="0094640F"/>
    <w:rsid w:val="00946599"/>
    <w:rsid w:val="00946645"/>
    <w:rsid w:val="00946BF1"/>
    <w:rsid w:val="00946BFC"/>
    <w:rsid w:val="00946F4B"/>
    <w:rsid w:val="0094710E"/>
    <w:rsid w:val="009504D0"/>
    <w:rsid w:val="009507EF"/>
    <w:rsid w:val="00950E76"/>
    <w:rsid w:val="00950F54"/>
    <w:rsid w:val="0095103C"/>
    <w:rsid w:val="009510A5"/>
    <w:rsid w:val="009519C5"/>
    <w:rsid w:val="00951CCF"/>
    <w:rsid w:val="009520EF"/>
    <w:rsid w:val="009524C4"/>
    <w:rsid w:val="0095262B"/>
    <w:rsid w:val="00952D4A"/>
    <w:rsid w:val="00952F54"/>
    <w:rsid w:val="00953405"/>
    <w:rsid w:val="00953955"/>
    <w:rsid w:val="0095419C"/>
    <w:rsid w:val="009543B6"/>
    <w:rsid w:val="0095446B"/>
    <w:rsid w:val="00954982"/>
    <w:rsid w:val="00955C14"/>
    <w:rsid w:val="00956533"/>
    <w:rsid w:val="00956BAC"/>
    <w:rsid w:val="00956E82"/>
    <w:rsid w:val="009573DA"/>
    <w:rsid w:val="00957C51"/>
    <w:rsid w:val="00957D14"/>
    <w:rsid w:val="0096006B"/>
    <w:rsid w:val="0096056E"/>
    <w:rsid w:val="00960842"/>
    <w:rsid w:val="00960991"/>
    <w:rsid w:val="00960D2B"/>
    <w:rsid w:val="0096139A"/>
    <w:rsid w:val="009614B7"/>
    <w:rsid w:val="009616B5"/>
    <w:rsid w:val="009619FB"/>
    <w:rsid w:val="00961C32"/>
    <w:rsid w:val="00962717"/>
    <w:rsid w:val="00962DE7"/>
    <w:rsid w:val="00963018"/>
    <w:rsid w:val="0096304D"/>
    <w:rsid w:val="0096344D"/>
    <w:rsid w:val="00963643"/>
    <w:rsid w:val="009637A7"/>
    <w:rsid w:val="00963AF0"/>
    <w:rsid w:val="00964364"/>
    <w:rsid w:val="009646E8"/>
    <w:rsid w:val="009647A4"/>
    <w:rsid w:val="00964A30"/>
    <w:rsid w:val="00964CFC"/>
    <w:rsid w:val="00970503"/>
    <w:rsid w:val="00971518"/>
    <w:rsid w:val="009723D6"/>
    <w:rsid w:val="00972D6C"/>
    <w:rsid w:val="00972DA5"/>
    <w:rsid w:val="009730E3"/>
    <w:rsid w:val="00974A11"/>
    <w:rsid w:val="00975700"/>
    <w:rsid w:val="00975965"/>
    <w:rsid w:val="00975B0C"/>
    <w:rsid w:val="00976473"/>
    <w:rsid w:val="0097662B"/>
    <w:rsid w:val="00976CDA"/>
    <w:rsid w:val="009773DA"/>
    <w:rsid w:val="0098095C"/>
    <w:rsid w:val="00980D34"/>
    <w:rsid w:val="00980ECA"/>
    <w:rsid w:val="009818AD"/>
    <w:rsid w:val="00981B95"/>
    <w:rsid w:val="00982C66"/>
    <w:rsid w:val="00982D80"/>
    <w:rsid w:val="00983696"/>
    <w:rsid w:val="00983D34"/>
    <w:rsid w:val="00984188"/>
    <w:rsid w:val="009842F3"/>
    <w:rsid w:val="00984B59"/>
    <w:rsid w:val="00984C49"/>
    <w:rsid w:val="00984F9B"/>
    <w:rsid w:val="00984FC5"/>
    <w:rsid w:val="00985879"/>
    <w:rsid w:val="0098687E"/>
    <w:rsid w:val="00986ED6"/>
    <w:rsid w:val="00987152"/>
    <w:rsid w:val="009873C0"/>
    <w:rsid w:val="00987553"/>
    <w:rsid w:val="00987689"/>
    <w:rsid w:val="00987891"/>
    <w:rsid w:val="0098796F"/>
    <w:rsid w:val="009879EF"/>
    <w:rsid w:val="00987EE8"/>
    <w:rsid w:val="00987F1E"/>
    <w:rsid w:val="009905B0"/>
    <w:rsid w:val="009909EE"/>
    <w:rsid w:val="00990D93"/>
    <w:rsid w:val="009913FF"/>
    <w:rsid w:val="009920F0"/>
    <w:rsid w:val="009922F8"/>
    <w:rsid w:val="009933E5"/>
    <w:rsid w:val="009939C6"/>
    <w:rsid w:val="00993AD6"/>
    <w:rsid w:val="009944C1"/>
    <w:rsid w:val="009947CF"/>
    <w:rsid w:val="00995E7F"/>
    <w:rsid w:val="009964AA"/>
    <w:rsid w:val="0099670F"/>
    <w:rsid w:val="00996ACF"/>
    <w:rsid w:val="00997095"/>
    <w:rsid w:val="00997150"/>
    <w:rsid w:val="0099740B"/>
    <w:rsid w:val="009A008B"/>
    <w:rsid w:val="009A014F"/>
    <w:rsid w:val="009A01FD"/>
    <w:rsid w:val="009A1299"/>
    <w:rsid w:val="009A1C94"/>
    <w:rsid w:val="009A27E9"/>
    <w:rsid w:val="009A286F"/>
    <w:rsid w:val="009A2DB7"/>
    <w:rsid w:val="009A2EAE"/>
    <w:rsid w:val="009A3153"/>
    <w:rsid w:val="009A38B6"/>
    <w:rsid w:val="009A3BA3"/>
    <w:rsid w:val="009A3BBF"/>
    <w:rsid w:val="009A3F62"/>
    <w:rsid w:val="009A42BB"/>
    <w:rsid w:val="009A430F"/>
    <w:rsid w:val="009A435F"/>
    <w:rsid w:val="009A4E2B"/>
    <w:rsid w:val="009A6778"/>
    <w:rsid w:val="009A67CF"/>
    <w:rsid w:val="009A6BD8"/>
    <w:rsid w:val="009B00DE"/>
    <w:rsid w:val="009B035F"/>
    <w:rsid w:val="009B0553"/>
    <w:rsid w:val="009B0926"/>
    <w:rsid w:val="009B0A63"/>
    <w:rsid w:val="009B1272"/>
    <w:rsid w:val="009B1360"/>
    <w:rsid w:val="009B17A5"/>
    <w:rsid w:val="009B17C8"/>
    <w:rsid w:val="009B1C48"/>
    <w:rsid w:val="009B20F2"/>
    <w:rsid w:val="009B2B91"/>
    <w:rsid w:val="009B2D89"/>
    <w:rsid w:val="009B2F2B"/>
    <w:rsid w:val="009B38A7"/>
    <w:rsid w:val="009B3CE5"/>
    <w:rsid w:val="009B41EA"/>
    <w:rsid w:val="009B58E8"/>
    <w:rsid w:val="009B5F00"/>
    <w:rsid w:val="009B6FCC"/>
    <w:rsid w:val="009B7054"/>
    <w:rsid w:val="009B7387"/>
    <w:rsid w:val="009B7C1B"/>
    <w:rsid w:val="009C0DB2"/>
    <w:rsid w:val="009C158A"/>
    <w:rsid w:val="009C1B5F"/>
    <w:rsid w:val="009C24D8"/>
    <w:rsid w:val="009C282E"/>
    <w:rsid w:val="009C45CE"/>
    <w:rsid w:val="009C47D3"/>
    <w:rsid w:val="009C5BDA"/>
    <w:rsid w:val="009C5EE0"/>
    <w:rsid w:val="009C6C95"/>
    <w:rsid w:val="009C6E3C"/>
    <w:rsid w:val="009C7184"/>
    <w:rsid w:val="009C7463"/>
    <w:rsid w:val="009C7D97"/>
    <w:rsid w:val="009D0237"/>
    <w:rsid w:val="009D0CAC"/>
    <w:rsid w:val="009D0E66"/>
    <w:rsid w:val="009D149A"/>
    <w:rsid w:val="009D1949"/>
    <w:rsid w:val="009D1D26"/>
    <w:rsid w:val="009D2144"/>
    <w:rsid w:val="009D2CAB"/>
    <w:rsid w:val="009D2F18"/>
    <w:rsid w:val="009D2F48"/>
    <w:rsid w:val="009D303C"/>
    <w:rsid w:val="009D3195"/>
    <w:rsid w:val="009D32D0"/>
    <w:rsid w:val="009D4411"/>
    <w:rsid w:val="009D49D2"/>
    <w:rsid w:val="009D4B8B"/>
    <w:rsid w:val="009D4E30"/>
    <w:rsid w:val="009D5AAB"/>
    <w:rsid w:val="009D62D8"/>
    <w:rsid w:val="009D694E"/>
    <w:rsid w:val="009D6E81"/>
    <w:rsid w:val="009E0361"/>
    <w:rsid w:val="009E049C"/>
    <w:rsid w:val="009E055E"/>
    <w:rsid w:val="009E0FFD"/>
    <w:rsid w:val="009E1C86"/>
    <w:rsid w:val="009E2253"/>
    <w:rsid w:val="009E288A"/>
    <w:rsid w:val="009E2F8A"/>
    <w:rsid w:val="009E4B69"/>
    <w:rsid w:val="009E5162"/>
    <w:rsid w:val="009E5724"/>
    <w:rsid w:val="009E5C30"/>
    <w:rsid w:val="009E5E93"/>
    <w:rsid w:val="009E63B0"/>
    <w:rsid w:val="009E6C8D"/>
    <w:rsid w:val="009E6CD2"/>
    <w:rsid w:val="009E78FA"/>
    <w:rsid w:val="009E7D73"/>
    <w:rsid w:val="009F0D88"/>
    <w:rsid w:val="009F0EFE"/>
    <w:rsid w:val="009F0FED"/>
    <w:rsid w:val="009F106E"/>
    <w:rsid w:val="009F130E"/>
    <w:rsid w:val="009F26AF"/>
    <w:rsid w:val="009F3189"/>
    <w:rsid w:val="009F36A7"/>
    <w:rsid w:val="009F40CC"/>
    <w:rsid w:val="009F42DC"/>
    <w:rsid w:val="009F443B"/>
    <w:rsid w:val="009F4A14"/>
    <w:rsid w:val="009F4E88"/>
    <w:rsid w:val="009F507A"/>
    <w:rsid w:val="009F5B48"/>
    <w:rsid w:val="009F5BFD"/>
    <w:rsid w:val="009F5C97"/>
    <w:rsid w:val="009F5DF1"/>
    <w:rsid w:val="009F5E75"/>
    <w:rsid w:val="009F60B4"/>
    <w:rsid w:val="009F68FA"/>
    <w:rsid w:val="009F7281"/>
    <w:rsid w:val="009F7475"/>
    <w:rsid w:val="009F76FE"/>
    <w:rsid w:val="009F7C2F"/>
    <w:rsid w:val="00A00071"/>
    <w:rsid w:val="00A00309"/>
    <w:rsid w:val="00A012C9"/>
    <w:rsid w:val="00A013B5"/>
    <w:rsid w:val="00A01F1B"/>
    <w:rsid w:val="00A02027"/>
    <w:rsid w:val="00A02310"/>
    <w:rsid w:val="00A02591"/>
    <w:rsid w:val="00A02F16"/>
    <w:rsid w:val="00A03D91"/>
    <w:rsid w:val="00A03E9C"/>
    <w:rsid w:val="00A0435F"/>
    <w:rsid w:val="00A04361"/>
    <w:rsid w:val="00A047EE"/>
    <w:rsid w:val="00A05280"/>
    <w:rsid w:val="00A05CBE"/>
    <w:rsid w:val="00A0626A"/>
    <w:rsid w:val="00A067B5"/>
    <w:rsid w:val="00A078AB"/>
    <w:rsid w:val="00A078E7"/>
    <w:rsid w:val="00A10946"/>
    <w:rsid w:val="00A109A0"/>
    <w:rsid w:val="00A109DC"/>
    <w:rsid w:val="00A10E4E"/>
    <w:rsid w:val="00A114E7"/>
    <w:rsid w:val="00A1188A"/>
    <w:rsid w:val="00A1194B"/>
    <w:rsid w:val="00A11A36"/>
    <w:rsid w:val="00A11C9E"/>
    <w:rsid w:val="00A121A5"/>
    <w:rsid w:val="00A12730"/>
    <w:rsid w:val="00A1287A"/>
    <w:rsid w:val="00A12886"/>
    <w:rsid w:val="00A12E21"/>
    <w:rsid w:val="00A12EDA"/>
    <w:rsid w:val="00A1385B"/>
    <w:rsid w:val="00A13C61"/>
    <w:rsid w:val="00A16BF2"/>
    <w:rsid w:val="00A16C66"/>
    <w:rsid w:val="00A17683"/>
    <w:rsid w:val="00A17C91"/>
    <w:rsid w:val="00A20545"/>
    <w:rsid w:val="00A20552"/>
    <w:rsid w:val="00A208B3"/>
    <w:rsid w:val="00A20C9A"/>
    <w:rsid w:val="00A20DDD"/>
    <w:rsid w:val="00A20F31"/>
    <w:rsid w:val="00A21A4F"/>
    <w:rsid w:val="00A21A94"/>
    <w:rsid w:val="00A2313E"/>
    <w:rsid w:val="00A237C2"/>
    <w:rsid w:val="00A23C09"/>
    <w:rsid w:val="00A246DB"/>
    <w:rsid w:val="00A24AB9"/>
    <w:rsid w:val="00A24F74"/>
    <w:rsid w:val="00A25415"/>
    <w:rsid w:val="00A25537"/>
    <w:rsid w:val="00A25876"/>
    <w:rsid w:val="00A25A48"/>
    <w:rsid w:val="00A26146"/>
    <w:rsid w:val="00A26203"/>
    <w:rsid w:val="00A266D8"/>
    <w:rsid w:val="00A26D14"/>
    <w:rsid w:val="00A27395"/>
    <w:rsid w:val="00A27434"/>
    <w:rsid w:val="00A274D3"/>
    <w:rsid w:val="00A274F1"/>
    <w:rsid w:val="00A27C43"/>
    <w:rsid w:val="00A311FF"/>
    <w:rsid w:val="00A327DD"/>
    <w:rsid w:val="00A32A0C"/>
    <w:rsid w:val="00A32BD1"/>
    <w:rsid w:val="00A32CD2"/>
    <w:rsid w:val="00A32D0B"/>
    <w:rsid w:val="00A32E02"/>
    <w:rsid w:val="00A332FD"/>
    <w:rsid w:val="00A33818"/>
    <w:rsid w:val="00A33CF0"/>
    <w:rsid w:val="00A3445A"/>
    <w:rsid w:val="00A3495A"/>
    <w:rsid w:val="00A34D7F"/>
    <w:rsid w:val="00A35569"/>
    <w:rsid w:val="00A35638"/>
    <w:rsid w:val="00A35CBF"/>
    <w:rsid w:val="00A36548"/>
    <w:rsid w:val="00A3667D"/>
    <w:rsid w:val="00A36883"/>
    <w:rsid w:val="00A36D7A"/>
    <w:rsid w:val="00A37C0E"/>
    <w:rsid w:val="00A37F14"/>
    <w:rsid w:val="00A404B8"/>
    <w:rsid w:val="00A404BF"/>
    <w:rsid w:val="00A40F84"/>
    <w:rsid w:val="00A41147"/>
    <w:rsid w:val="00A41E30"/>
    <w:rsid w:val="00A421D9"/>
    <w:rsid w:val="00A425E4"/>
    <w:rsid w:val="00A42CC6"/>
    <w:rsid w:val="00A44610"/>
    <w:rsid w:val="00A450DE"/>
    <w:rsid w:val="00A45985"/>
    <w:rsid w:val="00A46099"/>
    <w:rsid w:val="00A46327"/>
    <w:rsid w:val="00A46401"/>
    <w:rsid w:val="00A46AFF"/>
    <w:rsid w:val="00A47277"/>
    <w:rsid w:val="00A4760B"/>
    <w:rsid w:val="00A47C5A"/>
    <w:rsid w:val="00A47F4B"/>
    <w:rsid w:val="00A5007E"/>
    <w:rsid w:val="00A508FA"/>
    <w:rsid w:val="00A50F53"/>
    <w:rsid w:val="00A513E3"/>
    <w:rsid w:val="00A519C6"/>
    <w:rsid w:val="00A51A91"/>
    <w:rsid w:val="00A524D2"/>
    <w:rsid w:val="00A5341B"/>
    <w:rsid w:val="00A539F6"/>
    <w:rsid w:val="00A543DE"/>
    <w:rsid w:val="00A54491"/>
    <w:rsid w:val="00A54927"/>
    <w:rsid w:val="00A54996"/>
    <w:rsid w:val="00A54DC9"/>
    <w:rsid w:val="00A54F4B"/>
    <w:rsid w:val="00A567CB"/>
    <w:rsid w:val="00A571A2"/>
    <w:rsid w:val="00A5782C"/>
    <w:rsid w:val="00A57F89"/>
    <w:rsid w:val="00A600DB"/>
    <w:rsid w:val="00A609A1"/>
    <w:rsid w:val="00A60FA2"/>
    <w:rsid w:val="00A61344"/>
    <w:rsid w:val="00A61699"/>
    <w:rsid w:val="00A61C23"/>
    <w:rsid w:val="00A61C74"/>
    <w:rsid w:val="00A6202B"/>
    <w:rsid w:val="00A62E1A"/>
    <w:rsid w:val="00A62EC6"/>
    <w:rsid w:val="00A635FF"/>
    <w:rsid w:val="00A6392E"/>
    <w:rsid w:val="00A63D95"/>
    <w:rsid w:val="00A63FB7"/>
    <w:rsid w:val="00A648CC"/>
    <w:rsid w:val="00A65A3E"/>
    <w:rsid w:val="00A6678F"/>
    <w:rsid w:val="00A675E5"/>
    <w:rsid w:val="00A701EF"/>
    <w:rsid w:val="00A707DA"/>
    <w:rsid w:val="00A708A4"/>
    <w:rsid w:val="00A70E49"/>
    <w:rsid w:val="00A71800"/>
    <w:rsid w:val="00A71885"/>
    <w:rsid w:val="00A7195F"/>
    <w:rsid w:val="00A71A39"/>
    <w:rsid w:val="00A72073"/>
    <w:rsid w:val="00A725DA"/>
    <w:rsid w:val="00A7331F"/>
    <w:rsid w:val="00A737BF"/>
    <w:rsid w:val="00A73BEC"/>
    <w:rsid w:val="00A746D5"/>
    <w:rsid w:val="00A746F6"/>
    <w:rsid w:val="00A74BC9"/>
    <w:rsid w:val="00A74E27"/>
    <w:rsid w:val="00A753C3"/>
    <w:rsid w:val="00A758AE"/>
    <w:rsid w:val="00A75A15"/>
    <w:rsid w:val="00A75BD7"/>
    <w:rsid w:val="00A7634A"/>
    <w:rsid w:val="00A7699C"/>
    <w:rsid w:val="00A80CA1"/>
    <w:rsid w:val="00A81185"/>
    <w:rsid w:val="00A818CE"/>
    <w:rsid w:val="00A822C1"/>
    <w:rsid w:val="00A834DA"/>
    <w:rsid w:val="00A83674"/>
    <w:rsid w:val="00A83A86"/>
    <w:rsid w:val="00A84111"/>
    <w:rsid w:val="00A8425C"/>
    <w:rsid w:val="00A84562"/>
    <w:rsid w:val="00A84A62"/>
    <w:rsid w:val="00A84BB6"/>
    <w:rsid w:val="00A84FD7"/>
    <w:rsid w:val="00A85321"/>
    <w:rsid w:val="00A863C5"/>
    <w:rsid w:val="00A86A34"/>
    <w:rsid w:val="00A90058"/>
    <w:rsid w:val="00A90D59"/>
    <w:rsid w:val="00A91FFD"/>
    <w:rsid w:val="00A92450"/>
    <w:rsid w:val="00A927C3"/>
    <w:rsid w:val="00A92F30"/>
    <w:rsid w:val="00A933E8"/>
    <w:rsid w:val="00A93493"/>
    <w:rsid w:val="00A93602"/>
    <w:rsid w:val="00A9373B"/>
    <w:rsid w:val="00A93E4F"/>
    <w:rsid w:val="00A942D5"/>
    <w:rsid w:val="00A944F3"/>
    <w:rsid w:val="00A947F2"/>
    <w:rsid w:val="00A94888"/>
    <w:rsid w:val="00A95020"/>
    <w:rsid w:val="00A950A1"/>
    <w:rsid w:val="00A9554D"/>
    <w:rsid w:val="00A95B0E"/>
    <w:rsid w:val="00A95B90"/>
    <w:rsid w:val="00A96372"/>
    <w:rsid w:val="00A966D7"/>
    <w:rsid w:val="00A96861"/>
    <w:rsid w:val="00A97606"/>
    <w:rsid w:val="00A97839"/>
    <w:rsid w:val="00A97D95"/>
    <w:rsid w:val="00AA0527"/>
    <w:rsid w:val="00AA0CD3"/>
    <w:rsid w:val="00AA157D"/>
    <w:rsid w:val="00AA169C"/>
    <w:rsid w:val="00AA1C53"/>
    <w:rsid w:val="00AA1E0C"/>
    <w:rsid w:val="00AA1F1C"/>
    <w:rsid w:val="00AA2A82"/>
    <w:rsid w:val="00AA2C64"/>
    <w:rsid w:val="00AA2C82"/>
    <w:rsid w:val="00AA2CA9"/>
    <w:rsid w:val="00AA2CAF"/>
    <w:rsid w:val="00AA3765"/>
    <w:rsid w:val="00AA3C05"/>
    <w:rsid w:val="00AA424E"/>
    <w:rsid w:val="00AA4630"/>
    <w:rsid w:val="00AA4E94"/>
    <w:rsid w:val="00AA5011"/>
    <w:rsid w:val="00AA581C"/>
    <w:rsid w:val="00AA5864"/>
    <w:rsid w:val="00AA6336"/>
    <w:rsid w:val="00AA6783"/>
    <w:rsid w:val="00AA69DE"/>
    <w:rsid w:val="00AA6AE5"/>
    <w:rsid w:val="00AA7A4A"/>
    <w:rsid w:val="00AA7ED6"/>
    <w:rsid w:val="00AB07E3"/>
    <w:rsid w:val="00AB084F"/>
    <w:rsid w:val="00AB08CA"/>
    <w:rsid w:val="00AB09B6"/>
    <w:rsid w:val="00AB09DF"/>
    <w:rsid w:val="00AB1349"/>
    <w:rsid w:val="00AB1BA4"/>
    <w:rsid w:val="00AB1E83"/>
    <w:rsid w:val="00AB318A"/>
    <w:rsid w:val="00AB35A5"/>
    <w:rsid w:val="00AB35B4"/>
    <w:rsid w:val="00AB38AA"/>
    <w:rsid w:val="00AB4386"/>
    <w:rsid w:val="00AB48A5"/>
    <w:rsid w:val="00AB4CD9"/>
    <w:rsid w:val="00AB5248"/>
    <w:rsid w:val="00AB531D"/>
    <w:rsid w:val="00AB5919"/>
    <w:rsid w:val="00AB5B7B"/>
    <w:rsid w:val="00AB6574"/>
    <w:rsid w:val="00AB680E"/>
    <w:rsid w:val="00AB6ACA"/>
    <w:rsid w:val="00AB76DB"/>
    <w:rsid w:val="00AB7712"/>
    <w:rsid w:val="00AB7D97"/>
    <w:rsid w:val="00AC034B"/>
    <w:rsid w:val="00AC110E"/>
    <w:rsid w:val="00AC1115"/>
    <w:rsid w:val="00AC1405"/>
    <w:rsid w:val="00AC1449"/>
    <w:rsid w:val="00AC153F"/>
    <w:rsid w:val="00AC1789"/>
    <w:rsid w:val="00AC1B05"/>
    <w:rsid w:val="00AC1FD0"/>
    <w:rsid w:val="00AC267D"/>
    <w:rsid w:val="00AC2B31"/>
    <w:rsid w:val="00AC306E"/>
    <w:rsid w:val="00AC3D8D"/>
    <w:rsid w:val="00AC408F"/>
    <w:rsid w:val="00AC409F"/>
    <w:rsid w:val="00AC44A3"/>
    <w:rsid w:val="00AC477C"/>
    <w:rsid w:val="00AC4D85"/>
    <w:rsid w:val="00AC507B"/>
    <w:rsid w:val="00AC50BD"/>
    <w:rsid w:val="00AC532D"/>
    <w:rsid w:val="00AC5DFF"/>
    <w:rsid w:val="00AC5F13"/>
    <w:rsid w:val="00AC71E9"/>
    <w:rsid w:val="00AD0152"/>
    <w:rsid w:val="00AD03B5"/>
    <w:rsid w:val="00AD0CF3"/>
    <w:rsid w:val="00AD111A"/>
    <w:rsid w:val="00AD1294"/>
    <w:rsid w:val="00AD22EC"/>
    <w:rsid w:val="00AD3159"/>
    <w:rsid w:val="00AD32EA"/>
    <w:rsid w:val="00AD37FB"/>
    <w:rsid w:val="00AD474A"/>
    <w:rsid w:val="00AD56E2"/>
    <w:rsid w:val="00AD603E"/>
    <w:rsid w:val="00AD67E0"/>
    <w:rsid w:val="00AD6C3E"/>
    <w:rsid w:val="00AD7498"/>
    <w:rsid w:val="00AE0963"/>
    <w:rsid w:val="00AE16E6"/>
    <w:rsid w:val="00AE1BA1"/>
    <w:rsid w:val="00AE302E"/>
    <w:rsid w:val="00AE3228"/>
    <w:rsid w:val="00AE3934"/>
    <w:rsid w:val="00AE3FF4"/>
    <w:rsid w:val="00AE4BBF"/>
    <w:rsid w:val="00AE4CDD"/>
    <w:rsid w:val="00AE63AC"/>
    <w:rsid w:val="00AE6D5F"/>
    <w:rsid w:val="00AE74CA"/>
    <w:rsid w:val="00AF0218"/>
    <w:rsid w:val="00AF0B98"/>
    <w:rsid w:val="00AF0D4F"/>
    <w:rsid w:val="00AF1285"/>
    <w:rsid w:val="00AF13CA"/>
    <w:rsid w:val="00AF1A7A"/>
    <w:rsid w:val="00AF26C2"/>
    <w:rsid w:val="00AF2E36"/>
    <w:rsid w:val="00AF40C5"/>
    <w:rsid w:val="00AF4293"/>
    <w:rsid w:val="00AF5212"/>
    <w:rsid w:val="00AF5EFC"/>
    <w:rsid w:val="00AF61BD"/>
    <w:rsid w:val="00AF6C9D"/>
    <w:rsid w:val="00B0041E"/>
    <w:rsid w:val="00B00861"/>
    <w:rsid w:val="00B008C7"/>
    <w:rsid w:val="00B00CD3"/>
    <w:rsid w:val="00B00DE6"/>
    <w:rsid w:val="00B0137B"/>
    <w:rsid w:val="00B013F2"/>
    <w:rsid w:val="00B0166C"/>
    <w:rsid w:val="00B01BCE"/>
    <w:rsid w:val="00B02EAE"/>
    <w:rsid w:val="00B033C5"/>
    <w:rsid w:val="00B0356B"/>
    <w:rsid w:val="00B03B75"/>
    <w:rsid w:val="00B03DE9"/>
    <w:rsid w:val="00B03E0B"/>
    <w:rsid w:val="00B03F6B"/>
    <w:rsid w:val="00B041E1"/>
    <w:rsid w:val="00B04525"/>
    <w:rsid w:val="00B04FBA"/>
    <w:rsid w:val="00B05A67"/>
    <w:rsid w:val="00B06143"/>
    <w:rsid w:val="00B06913"/>
    <w:rsid w:val="00B0707C"/>
    <w:rsid w:val="00B075B4"/>
    <w:rsid w:val="00B10220"/>
    <w:rsid w:val="00B10D43"/>
    <w:rsid w:val="00B10DDF"/>
    <w:rsid w:val="00B11312"/>
    <w:rsid w:val="00B119A8"/>
    <w:rsid w:val="00B11B07"/>
    <w:rsid w:val="00B12542"/>
    <w:rsid w:val="00B12A03"/>
    <w:rsid w:val="00B12AB9"/>
    <w:rsid w:val="00B12CA8"/>
    <w:rsid w:val="00B1351F"/>
    <w:rsid w:val="00B13793"/>
    <w:rsid w:val="00B13A6C"/>
    <w:rsid w:val="00B13CF2"/>
    <w:rsid w:val="00B13D66"/>
    <w:rsid w:val="00B1430C"/>
    <w:rsid w:val="00B151C1"/>
    <w:rsid w:val="00B15847"/>
    <w:rsid w:val="00B163A6"/>
    <w:rsid w:val="00B16841"/>
    <w:rsid w:val="00B16966"/>
    <w:rsid w:val="00B16A9C"/>
    <w:rsid w:val="00B170A3"/>
    <w:rsid w:val="00B170ED"/>
    <w:rsid w:val="00B1736A"/>
    <w:rsid w:val="00B1759A"/>
    <w:rsid w:val="00B17A72"/>
    <w:rsid w:val="00B17B78"/>
    <w:rsid w:val="00B17CA1"/>
    <w:rsid w:val="00B20427"/>
    <w:rsid w:val="00B212F2"/>
    <w:rsid w:val="00B21409"/>
    <w:rsid w:val="00B21427"/>
    <w:rsid w:val="00B223D0"/>
    <w:rsid w:val="00B224EE"/>
    <w:rsid w:val="00B226DD"/>
    <w:rsid w:val="00B2386E"/>
    <w:rsid w:val="00B23EA0"/>
    <w:rsid w:val="00B241D2"/>
    <w:rsid w:val="00B24355"/>
    <w:rsid w:val="00B248C1"/>
    <w:rsid w:val="00B24DA0"/>
    <w:rsid w:val="00B254DD"/>
    <w:rsid w:val="00B25786"/>
    <w:rsid w:val="00B25AC2"/>
    <w:rsid w:val="00B25DBB"/>
    <w:rsid w:val="00B2642D"/>
    <w:rsid w:val="00B26784"/>
    <w:rsid w:val="00B26E05"/>
    <w:rsid w:val="00B26F38"/>
    <w:rsid w:val="00B2716B"/>
    <w:rsid w:val="00B274FD"/>
    <w:rsid w:val="00B27CEF"/>
    <w:rsid w:val="00B30708"/>
    <w:rsid w:val="00B30808"/>
    <w:rsid w:val="00B30B43"/>
    <w:rsid w:val="00B30ED4"/>
    <w:rsid w:val="00B30FEE"/>
    <w:rsid w:val="00B30FFE"/>
    <w:rsid w:val="00B3120E"/>
    <w:rsid w:val="00B31222"/>
    <w:rsid w:val="00B31D46"/>
    <w:rsid w:val="00B3243A"/>
    <w:rsid w:val="00B326E7"/>
    <w:rsid w:val="00B3326B"/>
    <w:rsid w:val="00B3332F"/>
    <w:rsid w:val="00B33382"/>
    <w:rsid w:val="00B336C0"/>
    <w:rsid w:val="00B336F7"/>
    <w:rsid w:val="00B33868"/>
    <w:rsid w:val="00B33D55"/>
    <w:rsid w:val="00B34A16"/>
    <w:rsid w:val="00B34E77"/>
    <w:rsid w:val="00B357CE"/>
    <w:rsid w:val="00B358B9"/>
    <w:rsid w:val="00B35917"/>
    <w:rsid w:val="00B36623"/>
    <w:rsid w:val="00B36903"/>
    <w:rsid w:val="00B36D3C"/>
    <w:rsid w:val="00B36E38"/>
    <w:rsid w:val="00B36F3B"/>
    <w:rsid w:val="00B37107"/>
    <w:rsid w:val="00B37152"/>
    <w:rsid w:val="00B37386"/>
    <w:rsid w:val="00B37C54"/>
    <w:rsid w:val="00B37E90"/>
    <w:rsid w:val="00B40C1B"/>
    <w:rsid w:val="00B40F55"/>
    <w:rsid w:val="00B412E3"/>
    <w:rsid w:val="00B415A3"/>
    <w:rsid w:val="00B41730"/>
    <w:rsid w:val="00B4185A"/>
    <w:rsid w:val="00B420EC"/>
    <w:rsid w:val="00B4226D"/>
    <w:rsid w:val="00B42672"/>
    <w:rsid w:val="00B42A95"/>
    <w:rsid w:val="00B42C7F"/>
    <w:rsid w:val="00B431D4"/>
    <w:rsid w:val="00B436DB"/>
    <w:rsid w:val="00B4380D"/>
    <w:rsid w:val="00B4397A"/>
    <w:rsid w:val="00B439E2"/>
    <w:rsid w:val="00B4407C"/>
    <w:rsid w:val="00B442B6"/>
    <w:rsid w:val="00B44834"/>
    <w:rsid w:val="00B44D6C"/>
    <w:rsid w:val="00B4507E"/>
    <w:rsid w:val="00B4577E"/>
    <w:rsid w:val="00B459C2"/>
    <w:rsid w:val="00B45E86"/>
    <w:rsid w:val="00B46630"/>
    <w:rsid w:val="00B47253"/>
    <w:rsid w:val="00B473F2"/>
    <w:rsid w:val="00B476B6"/>
    <w:rsid w:val="00B478F1"/>
    <w:rsid w:val="00B47B16"/>
    <w:rsid w:val="00B47B71"/>
    <w:rsid w:val="00B47F1C"/>
    <w:rsid w:val="00B50323"/>
    <w:rsid w:val="00B5081A"/>
    <w:rsid w:val="00B5099D"/>
    <w:rsid w:val="00B50CAA"/>
    <w:rsid w:val="00B50EDE"/>
    <w:rsid w:val="00B52410"/>
    <w:rsid w:val="00B52907"/>
    <w:rsid w:val="00B543B0"/>
    <w:rsid w:val="00B543BF"/>
    <w:rsid w:val="00B54647"/>
    <w:rsid w:val="00B552E2"/>
    <w:rsid w:val="00B554C3"/>
    <w:rsid w:val="00B5587B"/>
    <w:rsid w:val="00B55CD1"/>
    <w:rsid w:val="00B56049"/>
    <w:rsid w:val="00B568C6"/>
    <w:rsid w:val="00B576FF"/>
    <w:rsid w:val="00B60791"/>
    <w:rsid w:val="00B60969"/>
    <w:rsid w:val="00B60DD9"/>
    <w:rsid w:val="00B612FD"/>
    <w:rsid w:val="00B614F8"/>
    <w:rsid w:val="00B61675"/>
    <w:rsid w:val="00B62512"/>
    <w:rsid w:val="00B62C15"/>
    <w:rsid w:val="00B62F38"/>
    <w:rsid w:val="00B63922"/>
    <w:rsid w:val="00B643E0"/>
    <w:rsid w:val="00B644D5"/>
    <w:rsid w:val="00B64EA7"/>
    <w:rsid w:val="00B65C4C"/>
    <w:rsid w:val="00B65F7F"/>
    <w:rsid w:val="00B65F8C"/>
    <w:rsid w:val="00B6600B"/>
    <w:rsid w:val="00B66879"/>
    <w:rsid w:val="00B66E9E"/>
    <w:rsid w:val="00B66F59"/>
    <w:rsid w:val="00B66FAB"/>
    <w:rsid w:val="00B67489"/>
    <w:rsid w:val="00B7055E"/>
    <w:rsid w:val="00B70786"/>
    <w:rsid w:val="00B7132A"/>
    <w:rsid w:val="00B71AAA"/>
    <w:rsid w:val="00B71F17"/>
    <w:rsid w:val="00B723D3"/>
    <w:rsid w:val="00B72415"/>
    <w:rsid w:val="00B72C20"/>
    <w:rsid w:val="00B7343D"/>
    <w:rsid w:val="00B73B30"/>
    <w:rsid w:val="00B74126"/>
    <w:rsid w:val="00B745A6"/>
    <w:rsid w:val="00B74633"/>
    <w:rsid w:val="00B74BED"/>
    <w:rsid w:val="00B7578D"/>
    <w:rsid w:val="00B757E0"/>
    <w:rsid w:val="00B75AC4"/>
    <w:rsid w:val="00B76A23"/>
    <w:rsid w:val="00B77068"/>
    <w:rsid w:val="00B77D4D"/>
    <w:rsid w:val="00B80462"/>
    <w:rsid w:val="00B80464"/>
    <w:rsid w:val="00B80536"/>
    <w:rsid w:val="00B8062F"/>
    <w:rsid w:val="00B81559"/>
    <w:rsid w:val="00B81A67"/>
    <w:rsid w:val="00B81CFB"/>
    <w:rsid w:val="00B81E7C"/>
    <w:rsid w:val="00B832FC"/>
    <w:rsid w:val="00B83322"/>
    <w:rsid w:val="00B84412"/>
    <w:rsid w:val="00B84802"/>
    <w:rsid w:val="00B84DCF"/>
    <w:rsid w:val="00B84FCD"/>
    <w:rsid w:val="00B85032"/>
    <w:rsid w:val="00B858DE"/>
    <w:rsid w:val="00B8600A"/>
    <w:rsid w:val="00B86EB5"/>
    <w:rsid w:val="00B8745D"/>
    <w:rsid w:val="00B87DE1"/>
    <w:rsid w:val="00B90C8A"/>
    <w:rsid w:val="00B9106D"/>
    <w:rsid w:val="00B91638"/>
    <w:rsid w:val="00B91DA8"/>
    <w:rsid w:val="00B921F3"/>
    <w:rsid w:val="00B92F67"/>
    <w:rsid w:val="00B93132"/>
    <w:rsid w:val="00B93526"/>
    <w:rsid w:val="00B93822"/>
    <w:rsid w:val="00B93B16"/>
    <w:rsid w:val="00B93F46"/>
    <w:rsid w:val="00B9537A"/>
    <w:rsid w:val="00B958BF"/>
    <w:rsid w:val="00B95A2B"/>
    <w:rsid w:val="00B95AE9"/>
    <w:rsid w:val="00B95DF4"/>
    <w:rsid w:val="00B95F0F"/>
    <w:rsid w:val="00B96484"/>
    <w:rsid w:val="00B964D1"/>
    <w:rsid w:val="00B96960"/>
    <w:rsid w:val="00B96BD9"/>
    <w:rsid w:val="00B96E55"/>
    <w:rsid w:val="00B96FA9"/>
    <w:rsid w:val="00B97637"/>
    <w:rsid w:val="00BA038C"/>
    <w:rsid w:val="00BA0590"/>
    <w:rsid w:val="00BA0CE9"/>
    <w:rsid w:val="00BA0D87"/>
    <w:rsid w:val="00BA2491"/>
    <w:rsid w:val="00BA2989"/>
    <w:rsid w:val="00BA2BEE"/>
    <w:rsid w:val="00BA322B"/>
    <w:rsid w:val="00BA3276"/>
    <w:rsid w:val="00BA32C7"/>
    <w:rsid w:val="00BA33C8"/>
    <w:rsid w:val="00BA4233"/>
    <w:rsid w:val="00BA5000"/>
    <w:rsid w:val="00BA5180"/>
    <w:rsid w:val="00BA52C6"/>
    <w:rsid w:val="00BA56B4"/>
    <w:rsid w:val="00BA57E0"/>
    <w:rsid w:val="00BA5A5C"/>
    <w:rsid w:val="00BA5DD6"/>
    <w:rsid w:val="00BA5F7B"/>
    <w:rsid w:val="00BA6DF9"/>
    <w:rsid w:val="00BA6F41"/>
    <w:rsid w:val="00BA7195"/>
    <w:rsid w:val="00BA7CD5"/>
    <w:rsid w:val="00BB12D2"/>
    <w:rsid w:val="00BB138C"/>
    <w:rsid w:val="00BB1729"/>
    <w:rsid w:val="00BB19E4"/>
    <w:rsid w:val="00BB1C1E"/>
    <w:rsid w:val="00BB23DE"/>
    <w:rsid w:val="00BB2DCD"/>
    <w:rsid w:val="00BB389F"/>
    <w:rsid w:val="00BB3A73"/>
    <w:rsid w:val="00BB3BB2"/>
    <w:rsid w:val="00BB3BE1"/>
    <w:rsid w:val="00BB440B"/>
    <w:rsid w:val="00BB4836"/>
    <w:rsid w:val="00BB4B1B"/>
    <w:rsid w:val="00BB5110"/>
    <w:rsid w:val="00BB53DE"/>
    <w:rsid w:val="00BB5990"/>
    <w:rsid w:val="00BB6AFA"/>
    <w:rsid w:val="00BB6DA8"/>
    <w:rsid w:val="00BB6E6F"/>
    <w:rsid w:val="00BB7198"/>
    <w:rsid w:val="00BB7C9E"/>
    <w:rsid w:val="00BC0236"/>
    <w:rsid w:val="00BC035F"/>
    <w:rsid w:val="00BC0B59"/>
    <w:rsid w:val="00BC1C56"/>
    <w:rsid w:val="00BC2328"/>
    <w:rsid w:val="00BC3586"/>
    <w:rsid w:val="00BC38C9"/>
    <w:rsid w:val="00BC3EE9"/>
    <w:rsid w:val="00BC4157"/>
    <w:rsid w:val="00BC4731"/>
    <w:rsid w:val="00BC4C2C"/>
    <w:rsid w:val="00BC4D28"/>
    <w:rsid w:val="00BC7179"/>
    <w:rsid w:val="00BC7529"/>
    <w:rsid w:val="00BC7582"/>
    <w:rsid w:val="00BC76A7"/>
    <w:rsid w:val="00BC7BAD"/>
    <w:rsid w:val="00BC7FF5"/>
    <w:rsid w:val="00BD09A5"/>
    <w:rsid w:val="00BD0A6C"/>
    <w:rsid w:val="00BD2532"/>
    <w:rsid w:val="00BD3215"/>
    <w:rsid w:val="00BD3D82"/>
    <w:rsid w:val="00BD3DFD"/>
    <w:rsid w:val="00BD3EE8"/>
    <w:rsid w:val="00BD4548"/>
    <w:rsid w:val="00BD45DA"/>
    <w:rsid w:val="00BD49FE"/>
    <w:rsid w:val="00BD53F2"/>
    <w:rsid w:val="00BD5B21"/>
    <w:rsid w:val="00BD600F"/>
    <w:rsid w:val="00BD67E5"/>
    <w:rsid w:val="00BD6C8D"/>
    <w:rsid w:val="00BD7A4E"/>
    <w:rsid w:val="00BE02B5"/>
    <w:rsid w:val="00BE0616"/>
    <w:rsid w:val="00BE0689"/>
    <w:rsid w:val="00BE0A16"/>
    <w:rsid w:val="00BE0A7F"/>
    <w:rsid w:val="00BE0A9F"/>
    <w:rsid w:val="00BE0C3E"/>
    <w:rsid w:val="00BE0F44"/>
    <w:rsid w:val="00BE103A"/>
    <w:rsid w:val="00BE12EC"/>
    <w:rsid w:val="00BE156B"/>
    <w:rsid w:val="00BE1795"/>
    <w:rsid w:val="00BE1A8F"/>
    <w:rsid w:val="00BE1AB7"/>
    <w:rsid w:val="00BE1CDF"/>
    <w:rsid w:val="00BE1E90"/>
    <w:rsid w:val="00BE2295"/>
    <w:rsid w:val="00BE294A"/>
    <w:rsid w:val="00BE2BAF"/>
    <w:rsid w:val="00BE451D"/>
    <w:rsid w:val="00BE47F9"/>
    <w:rsid w:val="00BE51A3"/>
    <w:rsid w:val="00BE536E"/>
    <w:rsid w:val="00BE5568"/>
    <w:rsid w:val="00BE5618"/>
    <w:rsid w:val="00BE5862"/>
    <w:rsid w:val="00BE5F0C"/>
    <w:rsid w:val="00BE621A"/>
    <w:rsid w:val="00BE6272"/>
    <w:rsid w:val="00BE6353"/>
    <w:rsid w:val="00BE695B"/>
    <w:rsid w:val="00BE6B6E"/>
    <w:rsid w:val="00BE6BAB"/>
    <w:rsid w:val="00BE6ECB"/>
    <w:rsid w:val="00BE7520"/>
    <w:rsid w:val="00BE7692"/>
    <w:rsid w:val="00BE7D04"/>
    <w:rsid w:val="00BE7D4E"/>
    <w:rsid w:val="00BE7F55"/>
    <w:rsid w:val="00BE7FC5"/>
    <w:rsid w:val="00BF052F"/>
    <w:rsid w:val="00BF078A"/>
    <w:rsid w:val="00BF12AF"/>
    <w:rsid w:val="00BF12F8"/>
    <w:rsid w:val="00BF173C"/>
    <w:rsid w:val="00BF18A2"/>
    <w:rsid w:val="00BF199E"/>
    <w:rsid w:val="00BF1D0A"/>
    <w:rsid w:val="00BF330C"/>
    <w:rsid w:val="00BF344E"/>
    <w:rsid w:val="00BF376D"/>
    <w:rsid w:val="00BF3E17"/>
    <w:rsid w:val="00BF41EE"/>
    <w:rsid w:val="00BF472D"/>
    <w:rsid w:val="00BF4B45"/>
    <w:rsid w:val="00BF4FFD"/>
    <w:rsid w:val="00BF540C"/>
    <w:rsid w:val="00BF5CEB"/>
    <w:rsid w:val="00BF6851"/>
    <w:rsid w:val="00BF710A"/>
    <w:rsid w:val="00BF73B1"/>
    <w:rsid w:val="00BF7805"/>
    <w:rsid w:val="00C009BA"/>
    <w:rsid w:val="00C00FAF"/>
    <w:rsid w:val="00C01A19"/>
    <w:rsid w:val="00C029E7"/>
    <w:rsid w:val="00C0357A"/>
    <w:rsid w:val="00C0357D"/>
    <w:rsid w:val="00C03BEE"/>
    <w:rsid w:val="00C03FF5"/>
    <w:rsid w:val="00C04466"/>
    <w:rsid w:val="00C0480E"/>
    <w:rsid w:val="00C04DBA"/>
    <w:rsid w:val="00C0561B"/>
    <w:rsid w:val="00C059B6"/>
    <w:rsid w:val="00C05DC6"/>
    <w:rsid w:val="00C05FA1"/>
    <w:rsid w:val="00C06066"/>
    <w:rsid w:val="00C06285"/>
    <w:rsid w:val="00C064AB"/>
    <w:rsid w:val="00C06A29"/>
    <w:rsid w:val="00C06F2F"/>
    <w:rsid w:val="00C072E8"/>
    <w:rsid w:val="00C07EAD"/>
    <w:rsid w:val="00C11399"/>
    <w:rsid w:val="00C114C6"/>
    <w:rsid w:val="00C13674"/>
    <w:rsid w:val="00C1385C"/>
    <w:rsid w:val="00C13AA2"/>
    <w:rsid w:val="00C13B25"/>
    <w:rsid w:val="00C13E23"/>
    <w:rsid w:val="00C142FE"/>
    <w:rsid w:val="00C1430C"/>
    <w:rsid w:val="00C1473B"/>
    <w:rsid w:val="00C15426"/>
    <w:rsid w:val="00C15D7E"/>
    <w:rsid w:val="00C1607E"/>
    <w:rsid w:val="00C16C2B"/>
    <w:rsid w:val="00C16CDD"/>
    <w:rsid w:val="00C16D11"/>
    <w:rsid w:val="00C16E77"/>
    <w:rsid w:val="00C17915"/>
    <w:rsid w:val="00C20080"/>
    <w:rsid w:val="00C205F1"/>
    <w:rsid w:val="00C2088C"/>
    <w:rsid w:val="00C20B85"/>
    <w:rsid w:val="00C20D36"/>
    <w:rsid w:val="00C216A0"/>
    <w:rsid w:val="00C221D4"/>
    <w:rsid w:val="00C228DF"/>
    <w:rsid w:val="00C22A3D"/>
    <w:rsid w:val="00C23596"/>
    <w:rsid w:val="00C236E9"/>
    <w:rsid w:val="00C23D16"/>
    <w:rsid w:val="00C23E01"/>
    <w:rsid w:val="00C243D0"/>
    <w:rsid w:val="00C24AB6"/>
    <w:rsid w:val="00C25A48"/>
    <w:rsid w:val="00C25CA7"/>
    <w:rsid w:val="00C25DF8"/>
    <w:rsid w:val="00C25F47"/>
    <w:rsid w:val="00C2652D"/>
    <w:rsid w:val="00C265CE"/>
    <w:rsid w:val="00C267EF"/>
    <w:rsid w:val="00C273AA"/>
    <w:rsid w:val="00C308CD"/>
    <w:rsid w:val="00C3131D"/>
    <w:rsid w:val="00C31A55"/>
    <w:rsid w:val="00C321AC"/>
    <w:rsid w:val="00C32D06"/>
    <w:rsid w:val="00C33AC9"/>
    <w:rsid w:val="00C33C9E"/>
    <w:rsid w:val="00C33D81"/>
    <w:rsid w:val="00C34297"/>
    <w:rsid w:val="00C349A2"/>
    <w:rsid w:val="00C35409"/>
    <w:rsid w:val="00C355FC"/>
    <w:rsid w:val="00C35D05"/>
    <w:rsid w:val="00C363D6"/>
    <w:rsid w:val="00C3655A"/>
    <w:rsid w:val="00C36859"/>
    <w:rsid w:val="00C3701A"/>
    <w:rsid w:val="00C374AE"/>
    <w:rsid w:val="00C379AA"/>
    <w:rsid w:val="00C400DD"/>
    <w:rsid w:val="00C404F5"/>
    <w:rsid w:val="00C404FA"/>
    <w:rsid w:val="00C4160E"/>
    <w:rsid w:val="00C41661"/>
    <w:rsid w:val="00C4193D"/>
    <w:rsid w:val="00C41CF0"/>
    <w:rsid w:val="00C42237"/>
    <w:rsid w:val="00C425A1"/>
    <w:rsid w:val="00C426F8"/>
    <w:rsid w:val="00C43158"/>
    <w:rsid w:val="00C438ED"/>
    <w:rsid w:val="00C44685"/>
    <w:rsid w:val="00C453AE"/>
    <w:rsid w:val="00C45846"/>
    <w:rsid w:val="00C45EE7"/>
    <w:rsid w:val="00C46120"/>
    <w:rsid w:val="00C462BC"/>
    <w:rsid w:val="00C464A8"/>
    <w:rsid w:val="00C464FA"/>
    <w:rsid w:val="00C472D8"/>
    <w:rsid w:val="00C472E7"/>
    <w:rsid w:val="00C47365"/>
    <w:rsid w:val="00C47446"/>
    <w:rsid w:val="00C5023F"/>
    <w:rsid w:val="00C50265"/>
    <w:rsid w:val="00C507D6"/>
    <w:rsid w:val="00C50EC7"/>
    <w:rsid w:val="00C52062"/>
    <w:rsid w:val="00C53A02"/>
    <w:rsid w:val="00C53D08"/>
    <w:rsid w:val="00C53E48"/>
    <w:rsid w:val="00C545AE"/>
    <w:rsid w:val="00C545E4"/>
    <w:rsid w:val="00C55052"/>
    <w:rsid w:val="00C5580E"/>
    <w:rsid w:val="00C55C16"/>
    <w:rsid w:val="00C55D3B"/>
    <w:rsid w:val="00C560E5"/>
    <w:rsid w:val="00C561E5"/>
    <w:rsid w:val="00C5670E"/>
    <w:rsid w:val="00C57BCF"/>
    <w:rsid w:val="00C57D2B"/>
    <w:rsid w:val="00C60FE1"/>
    <w:rsid w:val="00C61425"/>
    <w:rsid w:val="00C616EA"/>
    <w:rsid w:val="00C61D06"/>
    <w:rsid w:val="00C6287C"/>
    <w:rsid w:val="00C638EB"/>
    <w:rsid w:val="00C63CFA"/>
    <w:rsid w:val="00C63D64"/>
    <w:rsid w:val="00C643FE"/>
    <w:rsid w:val="00C646E0"/>
    <w:rsid w:val="00C64EE9"/>
    <w:rsid w:val="00C654F6"/>
    <w:rsid w:val="00C655FB"/>
    <w:rsid w:val="00C65D65"/>
    <w:rsid w:val="00C65E1D"/>
    <w:rsid w:val="00C66B7B"/>
    <w:rsid w:val="00C66C10"/>
    <w:rsid w:val="00C677CF"/>
    <w:rsid w:val="00C679C1"/>
    <w:rsid w:val="00C67BCE"/>
    <w:rsid w:val="00C67EAA"/>
    <w:rsid w:val="00C70634"/>
    <w:rsid w:val="00C709C3"/>
    <w:rsid w:val="00C71E0C"/>
    <w:rsid w:val="00C728CC"/>
    <w:rsid w:val="00C72D2B"/>
    <w:rsid w:val="00C73A47"/>
    <w:rsid w:val="00C73EA2"/>
    <w:rsid w:val="00C7478A"/>
    <w:rsid w:val="00C747AC"/>
    <w:rsid w:val="00C74D24"/>
    <w:rsid w:val="00C7503C"/>
    <w:rsid w:val="00C759E6"/>
    <w:rsid w:val="00C76011"/>
    <w:rsid w:val="00C76220"/>
    <w:rsid w:val="00C76BCB"/>
    <w:rsid w:val="00C76F79"/>
    <w:rsid w:val="00C778FB"/>
    <w:rsid w:val="00C77A0D"/>
    <w:rsid w:val="00C80C06"/>
    <w:rsid w:val="00C80F6F"/>
    <w:rsid w:val="00C80FD0"/>
    <w:rsid w:val="00C81536"/>
    <w:rsid w:val="00C815D2"/>
    <w:rsid w:val="00C817DE"/>
    <w:rsid w:val="00C817F6"/>
    <w:rsid w:val="00C820B8"/>
    <w:rsid w:val="00C82737"/>
    <w:rsid w:val="00C82B5B"/>
    <w:rsid w:val="00C82D8B"/>
    <w:rsid w:val="00C83A63"/>
    <w:rsid w:val="00C83C94"/>
    <w:rsid w:val="00C84375"/>
    <w:rsid w:val="00C84A42"/>
    <w:rsid w:val="00C84DE3"/>
    <w:rsid w:val="00C8511D"/>
    <w:rsid w:val="00C8592B"/>
    <w:rsid w:val="00C85AD1"/>
    <w:rsid w:val="00C862A4"/>
    <w:rsid w:val="00C86354"/>
    <w:rsid w:val="00C8651F"/>
    <w:rsid w:val="00C867FA"/>
    <w:rsid w:val="00C86CC3"/>
    <w:rsid w:val="00C8741C"/>
    <w:rsid w:val="00C8792A"/>
    <w:rsid w:val="00C87B41"/>
    <w:rsid w:val="00C9016A"/>
    <w:rsid w:val="00C903CC"/>
    <w:rsid w:val="00C907F3"/>
    <w:rsid w:val="00C91127"/>
    <w:rsid w:val="00C9175E"/>
    <w:rsid w:val="00C91854"/>
    <w:rsid w:val="00C92185"/>
    <w:rsid w:val="00C921E2"/>
    <w:rsid w:val="00C92328"/>
    <w:rsid w:val="00C934B3"/>
    <w:rsid w:val="00C946F6"/>
    <w:rsid w:val="00C94B57"/>
    <w:rsid w:val="00C94C95"/>
    <w:rsid w:val="00C94E1C"/>
    <w:rsid w:val="00C955A0"/>
    <w:rsid w:val="00C9562F"/>
    <w:rsid w:val="00C95897"/>
    <w:rsid w:val="00C960A2"/>
    <w:rsid w:val="00C96ECA"/>
    <w:rsid w:val="00C97187"/>
    <w:rsid w:val="00C977AF"/>
    <w:rsid w:val="00C97B93"/>
    <w:rsid w:val="00CA0D15"/>
    <w:rsid w:val="00CA0D56"/>
    <w:rsid w:val="00CA1CC1"/>
    <w:rsid w:val="00CA2121"/>
    <w:rsid w:val="00CA2200"/>
    <w:rsid w:val="00CA23AE"/>
    <w:rsid w:val="00CA241D"/>
    <w:rsid w:val="00CA288D"/>
    <w:rsid w:val="00CA28BD"/>
    <w:rsid w:val="00CA302A"/>
    <w:rsid w:val="00CA37F5"/>
    <w:rsid w:val="00CA5076"/>
    <w:rsid w:val="00CA557C"/>
    <w:rsid w:val="00CA5B68"/>
    <w:rsid w:val="00CA5B9D"/>
    <w:rsid w:val="00CA607F"/>
    <w:rsid w:val="00CA7105"/>
    <w:rsid w:val="00CA78CD"/>
    <w:rsid w:val="00CB07A2"/>
    <w:rsid w:val="00CB0804"/>
    <w:rsid w:val="00CB126D"/>
    <w:rsid w:val="00CB20FD"/>
    <w:rsid w:val="00CB2493"/>
    <w:rsid w:val="00CB2DFD"/>
    <w:rsid w:val="00CB3153"/>
    <w:rsid w:val="00CB5261"/>
    <w:rsid w:val="00CB52D5"/>
    <w:rsid w:val="00CB58D6"/>
    <w:rsid w:val="00CB609C"/>
    <w:rsid w:val="00CB6331"/>
    <w:rsid w:val="00CB63E2"/>
    <w:rsid w:val="00CB6C8C"/>
    <w:rsid w:val="00CB6C98"/>
    <w:rsid w:val="00CB6F87"/>
    <w:rsid w:val="00CB70AF"/>
    <w:rsid w:val="00CB7171"/>
    <w:rsid w:val="00CB7848"/>
    <w:rsid w:val="00CC03D9"/>
    <w:rsid w:val="00CC0E06"/>
    <w:rsid w:val="00CC0EF9"/>
    <w:rsid w:val="00CC1964"/>
    <w:rsid w:val="00CC1B5B"/>
    <w:rsid w:val="00CC1E31"/>
    <w:rsid w:val="00CC1F71"/>
    <w:rsid w:val="00CC21D4"/>
    <w:rsid w:val="00CC2289"/>
    <w:rsid w:val="00CC248D"/>
    <w:rsid w:val="00CC2781"/>
    <w:rsid w:val="00CC2A63"/>
    <w:rsid w:val="00CC2CD6"/>
    <w:rsid w:val="00CC3458"/>
    <w:rsid w:val="00CC34B5"/>
    <w:rsid w:val="00CC35D6"/>
    <w:rsid w:val="00CC3870"/>
    <w:rsid w:val="00CC3EBD"/>
    <w:rsid w:val="00CC4A82"/>
    <w:rsid w:val="00CC4DA1"/>
    <w:rsid w:val="00CC5A3C"/>
    <w:rsid w:val="00CC5B5C"/>
    <w:rsid w:val="00CC5C16"/>
    <w:rsid w:val="00CC60FB"/>
    <w:rsid w:val="00CC61EE"/>
    <w:rsid w:val="00CC6535"/>
    <w:rsid w:val="00CC6983"/>
    <w:rsid w:val="00CC6A22"/>
    <w:rsid w:val="00CC6EEB"/>
    <w:rsid w:val="00CC700A"/>
    <w:rsid w:val="00CD131C"/>
    <w:rsid w:val="00CD1894"/>
    <w:rsid w:val="00CD1D93"/>
    <w:rsid w:val="00CD1ED6"/>
    <w:rsid w:val="00CD295D"/>
    <w:rsid w:val="00CD34C3"/>
    <w:rsid w:val="00CD35D7"/>
    <w:rsid w:val="00CD37CA"/>
    <w:rsid w:val="00CD3D25"/>
    <w:rsid w:val="00CD3D94"/>
    <w:rsid w:val="00CD4178"/>
    <w:rsid w:val="00CD54AA"/>
    <w:rsid w:val="00CD6A05"/>
    <w:rsid w:val="00CD7755"/>
    <w:rsid w:val="00CD7883"/>
    <w:rsid w:val="00CE0476"/>
    <w:rsid w:val="00CE0731"/>
    <w:rsid w:val="00CE0EEE"/>
    <w:rsid w:val="00CE174D"/>
    <w:rsid w:val="00CE1C02"/>
    <w:rsid w:val="00CE20C5"/>
    <w:rsid w:val="00CE25EA"/>
    <w:rsid w:val="00CE2740"/>
    <w:rsid w:val="00CE2AB4"/>
    <w:rsid w:val="00CE2DDF"/>
    <w:rsid w:val="00CE2FDD"/>
    <w:rsid w:val="00CE30E6"/>
    <w:rsid w:val="00CE3222"/>
    <w:rsid w:val="00CE3954"/>
    <w:rsid w:val="00CE3C2A"/>
    <w:rsid w:val="00CE4449"/>
    <w:rsid w:val="00CE48E2"/>
    <w:rsid w:val="00CE48EE"/>
    <w:rsid w:val="00CE4978"/>
    <w:rsid w:val="00CE5242"/>
    <w:rsid w:val="00CE5F87"/>
    <w:rsid w:val="00CE6665"/>
    <w:rsid w:val="00CE67F2"/>
    <w:rsid w:val="00CE6A4C"/>
    <w:rsid w:val="00CF0072"/>
    <w:rsid w:val="00CF0233"/>
    <w:rsid w:val="00CF0A06"/>
    <w:rsid w:val="00CF0E34"/>
    <w:rsid w:val="00CF136D"/>
    <w:rsid w:val="00CF16F6"/>
    <w:rsid w:val="00CF1BB2"/>
    <w:rsid w:val="00CF2E5A"/>
    <w:rsid w:val="00CF36F3"/>
    <w:rsid w:val="00CF375D"/>
    <w:rsid w:val="00CF3C1D"/>
    <w:rsid w:val="00CF44C0"/>
    <w:rsid w:val="00CF45C1"/>
    <w:rsid w:val="00CF54AA"/>
    <w:rsid w:val="00CF5CEF"/>
    <w:rsid w:val="00CF66DD"/>
    <w:rsid w:val="00CF691D"/>
    <w:rsid w:val="00CF7151"/>
    <w:rsid w:val="00CF7367"/>
    <w:rsid w:val="00CF7D06"/>
    <w:rsid w:val="00D000E4"/>
    <w:rsid w:val="00D00C7B"/>
    <w:rsid w:val="00D010B6"/>
    <w:rsid w:val="00D0149E"/>
    <w:rsid w:val="00D021A3"/>
    <w:rsid w:val="00D028D0"/>
    <w:rsid w:val="00D02AE2"/>
    <w:rsid w:val="00D03332"/>
    <w:rsid w:val="00D0389C"/>
    <w:rsid w:val="00D0416D"/>
    <w:rsid w:val="00D04AEB"/>
    <w:rsid w:val="00D04ECE"/>
    <w:rsid w:val="00D051D7"/>
    <w:rsid w:val="00D0522D"/>
    <w:rsid w:val="00D05B21"/>
    <w:rsid w:val="00D05B84"/>
    <w:rsid w:val="00D05DEC"/>
    <w:rsid w:val="00D06052"/>
    <w:rsid w:val="00D061C9"/>
    <w:rsid w:val="00D06EE4"/>
    <w:rsid w:val="00D078D5"/>
    <w:rsid w:val="00D07A95"/>
    <w:rsid w:val="00D106DF"/>
    <w:rsid w:val="00D10F69"/>
    <w:rsid w:val="00D12043"/>
    <w:rsid w:val="00D120FC"/>
    <w:rsid w:val="00D1240E"/>
    <w:rsid w:val="00D124C5"/>
    <w:rsid w:val="00D12DAB"/>
    <w:rsid w:val="00D132B1"/>
    <w:rsid w:val="00D132F2"/>
    <w:rsid w:val="00D1364A"/>
    <w:rsid w:val="00D13DB3"/>
    <w:rsid w:val="00D14320"/>
    <w:rsid w:val="00D14A58"/>
    <w:rsid w:val="00D14C5B"/>
    <w:rsid w:val="00D1518F"/>
    <w:rsid w:val="00D15315"/>
    <w:rsid w:val="00D153A8"/>
    <w:rsid w:val="00D16052"/>
    <w:rsid w:val="00D164BE"/>
    <w:rsid w:val="00D16B9A"/>
    <w:rsid w:val="00D17121"/>
    <w:rsid w:val="00D17331"/>
    <w:rsid w:val="00D204A4"/>
    <w:rsid w:val="00D20F5F"/>
    <w:rsid w:val="00D21131"/>
    <w:rsid w:val="00D21188"/>
    <w:rsid w:val="00D21211"/>
    <w:rsid w:val="00D216FB"/>
    <w:rsid w:val="00D21BBD"/>
    <w:rsid w:val="00D22322"/>
    <w:rsid w:val="00D22359"/>
    <w:rsid w:val="00D2286C"/>
    <w:rsid w:val="00D22A9C"/>
    <w:rsid w:val="00D2336C"/>
    <w:rsid w:val="00D236EA"/>
    <w:rsid w:val="00D23B9E"/>
    <w:rsid w:val="00D23BE0"/>
    <w:rsid w:val="00D23C68"/>
    <w:rsid w:val="00D23EE1"/>
    <w:rsid w:val="00D241DA"/>
    <w:rsid w:val="00D244A1"/>
    <w:rsid w:val="00D252B8"/>
    <w:rsid w:val="00D25F10"/>
    <w:rsid w:val="00D267A1"/>
    <w:rsid w:val="00D27C39"/>
    <w:rsid w:val="00D27D14"/>
    <w:rsid w:val="00D30201"/>
    <w:rsid w:val="00D30A4E"/>
    <w:rsid w:val="00D30D27"/>
    <w:rsid w:val="00D3108A"/>
    <w:rsid w:val="00D31314"/>
    <w:rsid w:val="00D32310"/>
    <w:rsid w:val="00D32FFF"/>
    <w:rsid w:val="00D33483"/>
    <w:rsid w:val="00D334A3"/>
    <w:rsid w:val="00D334A9"/>
    <w:rsid w:val="00D337F0"/>
    <w:rsid w:val="00D33A0F"/>
    <w:rsid w:val="00D33B61"/>
    <w:rsid w:val="00D3418F"/>
    <w:rsid w:val="00D34AC2"/>
    <w:rsid w:val="00D34B35"/>
    <w:rsid w:val="00D358C4"/>
    <w:rsid w:val="00D3633F"/>
    <w:rsid w:val="00D3634D"/>
    <w:rsid w:val="00D367FA"/>
    <w:rsid w:val="00D36888"/>
    <w:rsid w:val="00D36C73"/>
    <w:rsid w:val="00D37896"/>
    <w:rsid w:val="00D37A1A"/>
    <w:rsid w:val="00D37DFB"/>
    <w:rsid w:val="00D40215"/>
    <w:rsid w:val="00D40252"/>
    <w:rsid w:val="00D407AB"/>
    <w:rsid w:val="00D4112E"/>
    <w:rsid w:val="00D41D14"/>
    <w:rsid w:val="00D42337"/>
    <w:rsid w:val="00D42D7F"/>
    <w:rsid w:val="00D42EAF"/>
    <w:rsid w:val="00D43318"/>
    <w:rsid w:val="00D4398E"/>
    <w:rsid w:val="00D43AEB"/>
    <w:rsid w:val="00D43E3B"/>
    <w:rsid w:val="00D440C5"/>
    <w:rsid w:val="00D44CE0"/>
    <w:rsid w:val="00D452CD"/>
    <w:rsid w:val="00D45D0F"/>
    <w:rsid w:val="00D45DB2"/>
    <w:rsid w:val="00D45DFB"/>
    <w:rsid w:val="00D45F5C"/>
    <w:rsid w:val="00D46034"/>
    <w:rsid w:val="00D46893"/>
    <w:rsid w:val="00D469FE"/>
    <w:rsid w:val="00D46B6F"/>
    <w:rsid w:val="00D47AD5"/>
    <w:rsid w:val="00D47B51"/>
    <w:rsid w:val="00D506CD"/>
    <w:rsid w:val="00D51271"/>
    <w:rsid w:val="00D5171B"/>
    <w:rsid w:val="00D5211F"/>
    <w:rsid w:val="00D52346"/>
    <w:rsid w:val="00D52433"/>
    <w:rsid w:val="00D529D3"/>
    <w:rsid w:val="00D52E5A"/>
    <w:rsid w:val="00D53150"/>
    <w:rsid w:val="00D539E2"/>
    <w:rsid w:val="00D53B1E"/>
    <w:rsid w:val="00D53E05"/>
    <w:rsid w:val="00D54119"/>
    <w:rsid w:val="00D54745"/>
    <w:rsid w:val="00D54835"/>
    <w:rsid w:val="00D548C3"/>
    <w:rsid w:val="00D54AA9"/>
    <w:rsid w:val="00D54E4F"/>
    <w:rsid w:val="00D54F82"/>
    <w:rsid w:val="00D55393"/>
    <w:rsid w:val="00D558B9"/>
    <w:rsid w:val="00D56122"/>
    <w:rsid w:val="00D56209"/>
    <w:rsid w:val="00D5680E"/>
    <w:rsid w:val="00D5689E"/>
    <w:rsid w:val="00D56DE3"/>
    <w:rsid w:val="00D61011"/>
    <w:rsid w:val="00D6136A"/>
    <w:rsid w:val="00D618E7"/>
    <w:rsid w:val="00D61C97"/>
    <w:rsid w:val="00D62100"/>
    <w:rsid w:val="00D621B6"/>
    <w:rsid w:val="00D625D1"/>
    <w:rsid w:val="00D627B6"/>
    <w:rsid w:val="00D6292C"/>
    <w:rsid w:val="00D631B0"/>
    <w:rsid w:val="00D6327B"/>
    <w:rsid w:val="00D638B0"/>
    <w:rsid w:val="00D63916"/>
    <w:rsid w:val="00D665C5"/>
    <w:rsid w:val="00D66D49"/>
    <w:rsid w:val="00D70239"/>
    <w:rsid w:val="00D70CEB"/>
    <w:rsid w:val="00D70FC4"/>
    <w:rsid w:val="00D71311"/>
    <w:rsid w:val="00D715D3"/>
    <w:rsid w:val="00D71D13"/>
    <w:rsid w:val="00D71D27"/>
    <w:rsid w:val="00D724D5"/>
    <w:rsid w:val="00D728BD"/>
    <w:rsid w:val="00D72E09"/>
    <w:rsid w:val="00D7457B"/>
    <w:rsid w:val="00D74AA1"/>
    <w:rsid w:val="00D74FC2"/>
    <w:rsid w:val="00D7516B"/>
    <w:rsid w:val="00D758DC"/>
    <w:rsid w:val="00D763EE"/>
    <w:rsid w:val="00D76D64"/>
    <w:rsid w:val="00D77312"/>
    <w:rsid w:val="00D77B31"/>
    <w:rsid w:val="00D80434"/>
    <w:rsid w:val="00D808B5"/>
    <w:rsid w:val="00D80D37"/>
    <w:rsid w:val="00D80F18"/>
    <w:rsid w:val="00D80F49"/>
    <w:rsid w:val="00D80F52"/>
    <w:rsid w:val="00D818AE"/>
    <w:rsid w:val="00D8201E"/>
    <w:rsid w:val="00D825AF"/>
    <w:rsid w:val="00D82B87"/>
    <w:rsid w:val="00D82CBA"/>
    <w:rsid w:val="00D82E1F"/>
    <w:rsid w:val="00D837FD"/>
    <w:rsid w:val="00D83864"/>
    <w:rsid w:val="00D845F1"/>
    <w:rsid w:val="00D846A1"/>
    <w:rsid w:val="00D849D3"/>
    <w:rsid w:val="00D84DD9"/>
    <w:rsid w:val="00D86374"/>
    <w:rsid w:val="00D8752E"/>
    <w:rsid w:val="00D87878"/>
    <w:rsid w:val="00D87EF6"/>
    <w:rsid w:val="00D90D33"/>
    <w:rsid w:val="00D91062"/>
    <w:rsid w:val="00D91A6F"/>
    <w:rsid w:val="00D92922"/>
    <w:rsid w:val="00D92D5C"/>
    <w:rsid w:val="00D9309B"/>
    <w:rsid w:val="00D933BD"/>
    <w:rsid w:val="00D934F1"/>
    <w:rsid w:val="00D944EB"/>
    <w:rsid w:val="00D94768"/>
    <w:rsid w:val="00D94A7E"/>
    <w:rsid w:val="00D956B1"/>
    <w:rsid w:val="00D9574C"/>
    <w:rsid w:val="00D958B9"/>
    <w:rsid w:val="00D95C03"/>
    <w:rsid w:val="00D95ED8"/>
    <w:rsid w:val="00D95EEC"/>
    <w:rsid w:val="00D95FB0"/>
    <w:rsid w:val="00D96D27"/>
    <w:rsid w:val="00D9723D"/>
    <w:rsid w:val="00D9773A"/>
    <w:rsid w:val="00DA01C8"/>
    <w:rsid w:val="00DA0C8A"/>
    <w:rsid w:val="00DA124F"/>
    <w:rsid w:val="00DA1453"/>
    <w:rsid w:val="00DA17C3"/>
    <w:rsid w:val="00DA2297"/>
    <w:rsid w:val="00DA2571"/>
    <w:rsid w:val="00DA2840"/>
    <w:rsid w:val="00DA2CB2"/>
    <w:rsid w:val="00DA2FEB"/>
    <w:rsid w:val="00DA44FC"/>
    <w:rsid w:val="00DA5888"/>
    <w:rsid w:val="00DA5A2F"/>
    <w:rsid w:val="00DA69A8"/>
    <w:rsid w:val="00DA7A4F"/>
    <w:rsid w:val="00DA7D0E"/>
    <w:rsid w:val="00DB065A"/>
    <w:rsid w:val="00DB0AA0"/>
    <w:rsid w:val="00DB127D"/>
    <w:rsid w:val="00DB13C2"/>
    <w:rsid w:val="00DB1AF1"/>
    <w:rsid w:val="00DB1C2C"/>
    <w:rsid w:val="00DB3360"/>
    <w:rsid w:val="00DB46E1"/>
    <w:rsid w:val="00DB59FB"/>
    <w:rsid w:val="00DB61C6"/>
    <w:rsid w:val="00DB64C8"/>
    <w:rsid w:val="00DB666B"/>
    <w:rsid w:val="00DB68C7"/>
    <w:rsid w:val="00DB6A18"/>
    <w:rsid w:val="00DB70BA"/>
    <w:rsid w:val="00DB7769"/>
    <w:rsid w:val="00DB79B2"/>
    <w:rsid w:val="00DC1387"/>
    <w:rsid w:val="00DC152E"/>
    <w:rsid w:val="00DC2733"/>
    <w:rsid w:val="00DC2D19"/>
    <w:rsid w:val="00DC2D2E"/>
    <w:rsid w:val="00DC2D54"/>
    <w:rsid w:val="00DC2FBE"/>
    <w:rsid w:val="00DC3616"/>
    <w:rsid w:val="00DC3D5D"/>
    <w:rsid w:val="00DC3FC8"/>
    <w:rsid w:val="00DC4424"/>
    <w:rsid w:val="00DC4ACE"/>
    <w:rsid w:val="00DC5913"/>
    <w:rsid w:val="00DC5A83"/>
    <w:rsid w:val="00DC6288"/>
    <w:rsid w:val="00DC6C60"/>
    <w:rsid w:val="00DC74DC"/>
    <w:rsid w:val="00DC7CD0"/>
    <w:rsid w:val="00DC7F95"/>
    <w:rsid w:val="00DD0C45"/>
    <w:rsid w:val="00DD0D17"/>
    <w:rsid w:val="00DD1344"/>
    <w:rsid w:val="00DD1C54"/>
    <w:rsid w:val="00DD26A6"/>
    <w:rsid w:val="00DD2E7A"/>
    <w:rsid w:val="00DD3731"/>
    <w:rsid w:val="00DD386E"/>
    <w:rsid w:val="00DD3C07"/>
    <w:rsid w:val="00DD3F8F"/>
    <w:rsid w:val="00DD44FC"/>
    <w:rsid w:val="00DD48B0"/>
    <w:rsid w:val="00DD4A8F"/>
    <w:rsid w:val="00DD4C72"/>
    <w:rsid w:val="00DD5B8C"/>
    <w:rsid w:val="00DD6269"/>
    <w:rsid w:val="00DD6793"/>
    <w:rsid w:val="00DD7CF1"/>
    <w:rsid w:val="00DE3915"/>
    <w:rsid w:val="00DE39B6"/>
    <w:rsid w:val="00DE463E"/>
    <w:rsid w:val="00DE47A3"/>
    <w:rsid w:val="00DE4C1B"/>
    <w:rsid w:val="00DE5D4E"/>
    <w:rsid w:val="00DE62DF"/>
    <w:rsid w:val="00DE6303"/>
    <w:rsid w:val="00DE7720"/>
    <w:rsid w:val="00DE776B"/>
    <w:rsid w:val="00DE796F"/>
    <w:rsid w:val="00DE7FB7"/>
    <w:rsid w:val="00DF04B7"/>
    <w:rsid w:val="00DF0D3E"/>
    <w:rsid w:val="00DF1198"/>
    <w:rsid w:val="00DF1473"/>
    <w:rsid w:val="00DF22AA"/>
    <w:rsid w:val="00DF30D4"/>
    <w:rsid w:val="00DF34BC"/>
    <w:rsid w:val="00DF359C"/>
    <w:rsid w:val="00DF3C2B"/>
    <w:rsid w:val="00DF3CC0"/>
    <w:rsid w:val="00DF40E5"/>
    <w:rsid w:val="00DF503E"/>
    <w:rsid w:val="00DF51A2"/>
    <w:rsid w:val="00DF575C"/>
    <w:rsid w:val="00DF5E4E"/>
    <w:rsid w:val="00DF638D"/>
    <w:rsid w:val="00DF64B8"/>
    <w:rsid w:val="00DF7726"/>
    <w:rsid w:val="00DF77A0"/>
    <w:rsid w:val="00DF7E2F"/>
    <w:rsid w:val="00E00777"/>
    <w:rsid w:val="00E007E3"/>
    <w:rsid w:val="00E00C95"/>
    <w:rsid w:val="00E0172C"/>
    <w:rsid w:val="00E02246"/>
    <w:rsid w:val="00E02883"/>
    <w:rsid w:val="00E0306F"/>
    <w:rsid w:val="00E03136"/>
    <w:rsid w:val="00E039D7"/>
    <w:rsid w:val="00E039E7"/>
    <w:rsid w:val="00E040FF"/>
    <w:rsid w:val="00E043B6"/>
    <w:rsid w:val="00E056D3"/>
    <w:rsid w:val="00E0573A"/>
    <w:rsid w:val="00E0574B"/>
    <w:rsid w:val="00E0613C"/>
    <w:rsid w:val="00E069A1"/>
    <w:rsid w:val="00E06BCE"/>
    <w:rsid w:val="00E06E65"/>
    <w:rsid w:val="00E07986"/>
    <w:rsid w:val="00E07C33"/>
    <w:rsid w:val="00E10815"/>
    <w:rsid w:val="00E10C2C"/>
    <w:rsid w:val="00E112C4"/>
    <w:rsid w:val="00E11753"/>
    <w:rsid w:val="00E11C34"/>
    <w:rsid w:val="00E11CE8"/>
    <w:rsid w:val="00E1285A"/>
    <w:rsid w:val="00E132CB"/>
    <w:rsid w:val="00E13B63"/>
    <w:rsid w:val="00E1402D"/>
    <w:rsid w:val="00E140A4"/>
    <w:rsid w:val="00E140B4"/>
    <w:rsid w:val="00E144F5"/>
    <w:rsid w:val="00E14BF3"/>
    <w:rsid w:val="00E1521C"/>
    <w:rsid w:val="00E1562F"/>
    <w:rsid w:val="00E158CD"/>
    <w:rsid w:val="00E15A75"/>
    <w:rsid w:val="00E16746"/>
    <w:rsid w:val="00E16CF9"/>
    <w:rsid w:val="00E17DC8"/>
    <w:rsid w:val="00E20317"/>
    <w:rsid w:val="00E20F3B"/>
    <w:rsid w:val="00E21F8D"/>
    <w:rsid w:val="00E22B9F"/>
    <w:rsid w:val="00E22F7E"/>
    <w:rsid w:val="00E23500"/>
    <w:rsid w:val="00E236BF"/>
    <w:rsid w:val="00E23A22"/>
    <w:rsid w:val="00E240CD"/>
    <w:rsid w:val="00E24434"/>
    <w:rsid w:val="00E246C1"/>
    <w:rsid w:val="00E24B2F"/>
    <w:rsid w:val="00E24CED"/>
    <w:rsid w:val="00E252C0"/>
    <w:rsid w:val="00E25631"/>
    <w:rsid w:val="00E2575D"/>
    <w:rsid w:val="00E2596D"/>
    <w:rsid w:val="00E25AA6"/>
    <w:rsid w:val="00E25C26"/>
    <w:rsid w:val="00E25F60"/>
    <w:rsid w:val="00E27319"/>
    <w:rsid w:val="00E3034E"/>
    <w:rsid w:val="00E3047F"/>
    <w:rsid w:val="00E30AC6"/>
    <w:rsid w:val="00E30BDE"/>
    <w:rsid w:val="00E30C4D"/>
    <w:rsid w:val="00E31A14"/>
    <w:rsid w:val="00E31D1C"/>
    <w:rsid w:val="00E3289B"/>
    <w:rsid w:val="00E3315B"/>
    <w:rsid w:val="00E332B4"/>
    <w:rsid w:val="00E33F90"/>
    <w:rsid w:val="00E350B6"/>
    <w:rsid w:val="00E35181"/>
    <w:rsid w:val="00E3569D"/>
    <w:rsid w:val="00E357AC"/>
    <w:rsid w:val="00E35B1C"/>
    <w:rsid w:val="00E35C14"/>
    <w:rsid w:val="00E35E8F"/>
    <w:rsid w:val="00E3625C"/>
    <w:rsid w:val="00E3646A"/>
    <w:rsid w:val="00E36AC1"/>
    <w:rsid w:val="00E36C04"/>
    <w:rsid w:val="00E37F83"/>
    <w:rsid w:val="00E400A9"/>
    <w:rsid w:val="00E404DF"/>
    <w:rsid w:val="00E404E9"/>
    <w:rsid w:val="00E41BA7"/>
    <w:rsid w:val="00E41BD0"/>
    <w:rsid w:val="00E42C79"/>
    <w:rsid w:val="00E430C3"/>
    <w:rsid w:val="00E436FD"/>
    <w:rsid w:val="00E43A7D"/>
    <w:rsid w:val="00E43F11"/>
    <w:rsid w:val="00E44664"/>
    <w:rsid w:val="00E447C5"/>
    <w:rsid w:val="00E44F8E"/>
    <w:rsid w:val="00E451E8"/>
    <w:rsid w:val="00E453C2"/>
    <w:rsid w:val="00E45B58"/>
    <w:rsid w:val="00E46485"/>
    <w:rsid w:val="00E46730"/>
    <w:rsid w:val="00E476C6"/>
    <w:rsid w:val="00E47CE1"/>
    <w:rsid w:val="00E508C9"/>
    <w:rsid w:val="00E51990"/>
    <w:rsid w:val="00E51E16"/>
    <w:rsid w:val="00E52C2C"/>
    <w:rsid w:val="00E52F1E"/>
    <w:rsid w:val="00E5319C"/>
    <w:rsid w:val="00E53770"/>
    <w:rsid w:val="00E54776"/>
    <w:rsid w:val="00E54802"/>
    <w:rsid w:val="00E54C3E"/>
    <w:rsid w:val="00E54C58"/>
    <w:rsid w:val="00E555C2"/>
    <w:rsid w:val="00E55DF0"/>
    <w:rsid w:val="00E5633B"/>
    <w:rsid w:val="00E56533"/>
    <w:rsid w:val="00E56FB7"/>
    <w:rsid w:val="00E5733D"/>
    <w:rsid w:val="00E57C16"/>
    <w:rsid w:val="00E57FD3"/>
    <w:rsid w:val="00E6045A"/>
    <w:rsid w:val="00E60584"/>
    <w:rsid w:val="00E60664"/>
    <w:rsid w:val="00E6129C"/>
    <w:rsid w:val="00E615FC"/>
    <w:rsid w:val="00E61FC3"/>
    <w:rsid w:val="00E62D5F"/>
    <w:rsid w:val="00E63080"/>
    <w:rsid w:val="00E63E12"/>
    <w:rsid w:val="00E63F6D"/>
    <w:rsid w:val="00E642B1"/>
    <w:rsid w:val="00E6466A"/>
    <w:rsid w:val="00E64BB6"/>
    <w:rsid w:val="00E64BC0"/>
    <w:rsid w:val="00E6505D"/>
    <w:rsid w:val="00E6567E"/>
    <w:rsid w:val="00E65F8C"/>
    <w:rsid w:val="00E66095"/>
    <w:rsid w:val="00E662E7"/>
    <w:rsid w:val="00E662E9"/>
    <w:rsid w:val="00E669D6"/>
    <w:rsid w:val="00E6712F"/>
    <w:rsid w:val="00E67285"/>
    <w:rsid w:val="00E67C46"/>
    <w:rsid w:val="00E70AF0"/>
    <w:rsid w:val="00E70E55"/>
    <w:rsid w:val="00E7181A"/>
    <w:rsid w:val="00E7380D"/>
    <w:rsid w:val="00E74240"/>
    <w:rsid w:val="00E74705"/>
    <w:rsid w:val="00E7492C"/>
    <w:rsid w:val="00E74D31"/>
    <w:rsid w:val="00E75F52"/>
    <w:rsid w:val="00E76110"/>
    <w:rsid w:val="00E764FE"/>
    <w:rsid w:val="00E76919"/>
    <w:rsid w:val="00E774F8"/>
    <w:rsid w:val="00E77805"/>
    <w:rsid w:val="00E77C14"/>
    <w:rsid w:val="00E8063E"/>
    <w:rsid w:val="00E80FC9"/>
    <w:rsid w:val="00E8141A"/>
    <w:rsid w:val="00E817B7"/>
    <w:rsid w:val="00E81D2E"/>
    <w:rsid w:val="00E81E36"/>
    <w:rsid w:val="00E81F5C"/>
    <w:rsid w:val="00E82038"/>
    <w:rsid w:val="00E82737"/>
    <w:rsid w:val="00E82AE7"/>
    <w:rsid w:val="00E82C08"/>
    <w:rsid w:val="00E83013"/>
    <w:rsid w:val="00E834A5"/>
    <w:rsid w:val="00E83842"/>
    <w:rsid w:val="00E8444E"/>
    <w:rsid w:val="00E84460"/>
    <w:rsid w:val="00E848B1"/>
    <w:rsid w:val="00E848E8"/>
    <w:rsid w:val="00E85501"/>
    <w:rsid w:val="00E8567E"/>
    <w:rsid w:val="00E85E70"/>
    <w:rsid w:val="00E86226"/>
    <w:rsid w:val="00E86AEB"/>
    <w:rsid w:val="00E87724"/>
    <w:rsid w:val="00E900C4"/>
    <w:rsid w:val="00E90337"/>
    <w:rsid w:val="00E914CF"/>
    <w:rsid w:val="00E91C25"/>
    <w:rsid w:val="00E91D22"/>
    <w:rsid w:val="00E91F85"/>
    <w:rsid w:val="00E9251B"/>
    <w:rsid w:val="00E92815"/>
    <w:rsid w:val="00E92A51"/>
    <w:rsid w:val="00E92AC4"/>
    <w:rsid w:val="00E932CD"/>
    <w:rsid w:val="00E9364B"/>
    <w:rsid w:val="00E93E59"/>
    <w:rsid w:val="00E948D7"/>
    <w:rsid w:val="00E94C32"/>
    <w:rsid w:val="00E952AD"/>
    <w:rsid w:val="00E952EF"/>
    <w:rsid w:val="00E9541A"/>
    <w:rsid w:val="00E9614A"/>
    <w:rsid w:val="00E9628A"/>
    <w:rsid w:val="00E9667A"/>
    <w:rsid w:val="00E9694F"/>
    <w:rsid w:val="00E97090"/>
    <w:rsid w:val="00E970A2"/>
    <w:rsid w:val="00EA0A40"/>
    <w:rsid w:val="00EA1268"/>
    <w:rsid w:val="00EA12B5"/>
    <w:rsid w:val="00EA192B"/>
    <w:rsid w:val="00EA2E48"/>
    <w:rsid w:val="00EA3483"/>
    <w:rsid w:val="00EA34EC"/>
    <w:rsid w:val="00EA3525"/>
    <w:rsid w:val="00EA39FE"/>
    <w:rsid w:val="00EA499B"/>
    <w:rsid w:val="00EA4BFF"/>
    <w:rsid w:val="00EA56DA"/>
    <w:rsid w:val="00EA5743"/>
    <w:rsid w:val="00EA59EC"/>
    <w:rsid w:val="00EA5A84"/>
    <w:rsid w:val="00EA5B4D"/>
    <w:rsid w:val="00EA6A8D"/>
    <w:rsid w:val="00EA7969"/>
    <w:rsid w:val="00EB0398"/>
    <w:rsid w:val="00EB0437"/>
    <w:rsid w:val="00EB0741"/>
    <w:rsid w:val="00EB0C3A"/>
    <w:rsid w:val="00EB0E13"/>
    <w:rsid w:val="00EB0FEC"/>
    <w:rsid w:val="00EB1CA9"/>
    <w:rsid w:val="00EB1D1B"/>
    <w:rsid w:val="00EB2105"/>
    <w:rsid w:val="00EB2821"/>
    <w:rsid w:val="00EB2FF7"/>
    <w:rsid w:val="00EB3946"/>
    <w:rsid w:val="00EB472E"/>
    <w:rsid w:val="00EB479C"/>
    <w:rsid w:val="00EB4B5F"/>
    <w:rsid w:val="00EB4C49"/>
    <w:rsid w:val="00EB5018"/>
    <w:rsid w:val="00EB53C2"/>
    <w:rsid w:val="00EB54FE"/>
    <w:rsid w:val="00EB5F40"/>
    <w:rsid w:val="00EB6185"/>
    <w:rsid w:val="00EB6484"/>
    <w:rsid w:val="00EB72CF"/>
    <w:rsid w:val="00EB77E7"/>
    <w:rsid w:val="00EB79C5"/>
    <w:rsid w:val="00EC01C4"/>
    <w:rsid w:val="00EC0381"/>
    <w:rsid w:val="00EC0BDA"/>
    <w:rsid w:val="00EC0C5B"/>
    <w:rsid w:val="00EC10DF"/>
    <w:rsid w:val="00EC126F"/>
    <w:rsid w:val="00EC1591"/>
    <w:rsid w:val="00EC1A45"/>
    <w:rsid w:val="00EC1A89"/>
    <w:rsid w:val="00EC222A"/>
    <w:rsid w:val="00EC2418"/>
    <w:rsid w:val="00EC24D5"/>
    <w:rsid w:val="00EC28E1"/>
    <w:rsid w:val="00EC2C13"/>
    <w:rsid w:val="00EC3480"/>
    <w:rsid w:val="00EC3527"/>
    <w:rsid w:val="00EC35A7"/>
    <w:rsid w:val="00EC3B85"/>
    <w:rsid w:val="00EC42F0"/>
    <w:rsid w:val="00EC4643"/>
    <w:rsid w:val="00EC507C"/>
    <w:rsid w:val="00EC50DB"/>
    <w:rsid w:val="00EC58C5"/>
    <w:rsid w:val="00EC5ABC"/>
    <w:rsid w:val="00EC60C3"/>
    <w:rsid w:val="00EC61D5"/>
    <w:rsid w:val="00EC6C19"/>
    <w:rsid w:val="00EC7647"/>
    <w:rsid w:val="00EC7A70"/>
    <w:rsid w:val="00EC7D17"/>
    <w:rsid w:val="00ED1257"/>
    <w:rsid w:val="00ED1822"/>
    <w:rsid w:val="00ED21BF"/>
    <w:rsid w:val="00ED27DF"/>
    <w:rsid w:val="00ED2927"/>
    <w:rsid w:val="00ED3C3C"/>
    <w:rsid w:val="00ED408B"/>
    <w:rsid w:val="00ED4C31"/>
    <w:rsid w:val="00ED5621"/>
    <w:rsid w:val="00ED645D"/>
    <w:rsid w:val="00ED657B"/>
    <w:rsid w:val="00ED662C"/>
    <w:rsid w:val="00ED66DA"/>
    <w:rsid w:val="00ED6994"/>
    <w:rsid w:val="00ED6B8B"/>
    <w:rsid w:val="00ED7168"/>
    <w:rsid w:val="00ED71F6"/>
    <w:rsid w:val="00ED755B"/>
    <w:rsid w:val="00EE041F"/>
    <w:rsid w:val="00EE0AA2"/>
    <w:rsid w:val="00EE0D59"/>
    <w:rsid w:val="00EE128E"/>
    <w:rsid w:val="00EE1B04"/>
    <w:rsid w:val="00EE1C4E"/>
    <w:rsid w:val="00EE23F2"/>
    <w:rsid w:val="00EE2D59"/>
    <w:rsid w:val="00EE30E8"/>
    <w:rsid w:val="00EE37F5"/>
    <w:rsid w:val="00EE3B21"/>
    <w:rsid w:val="00EE3B98"/>
    <w:rsid w:val="00EE462B"/>
    <w:rsid w:val="00EE4736"/>
    <w:rsid w:val="00EE494C"/>
    <w:rsid w:val="00EE4F92"/>
    <w:rsid w:val="00EE52B0"/>
    <w:rsid w:val="00EE5A2F"/>
    <w:rsid w:val="00EE5A8F"/>
    <w:rsid w:val="00EE5E0B"/>
    <w:rsid w:val="00EE5E8A"/>
    <w:rsid w:val="00EE651F"/>
    <w:rsid w:val="00EE656B"/>
    <w:rsid w:val="00EE6870"/>
    <w:rsid w:val="00EE6893"/>
    <w:rsid w:val="00EE6B2D"/>
    <w:rsid w:val="00EE6DEC"/>
    <w:rsid w:val="00EE6FAF"/>
    <w:rsid w:val="00EE7519"/>
    <w:rsid w:val="00EE7704"/>
    <w:rsid w:val="00EE775F"/>
    <w:rsid w:val="00EE7A03"/>
    <w:rsid w:val="00EE7C0E"/>
    <w:rsid w:val="00EF02DB"/>
    <w:rsid w:val="00EF15E7"/>
    <w:rsid w:val="00EF165E"/>
    <w:rsid w:val="00EF1C38"/>
    <w:rsid w:val="00EF1DE3"/>
    <w:rsid w:val="00EF2930"/>
    <w:rsid w:val="00EF3746"/>
    <w:rsid w:val="00EF3FC5"/>
    <w:rsid w:val="00EF4303"/>
    <w:rsid w:val="00EF4987"/>
    <w:rsid w:val="00EF4ED4"/>
    <w:rsid w:val="00EF52CA"/>
    <w:rsid w:val="00EF547F"/>
    <w:rsid w:val="00EF5547"/>
    <w:rsid w:val="00EF5649"/>
    <w:rsid w:val="00EF567A"/>
    <w:rsid w:val="00EF6112"/>
    <w:rsid w:val="00EF630F"/>
    <w:rsid w:val="00EF6C8A"/>
    <w:rsid w:val="00EF6C97"/>
    <w:rsid w:val="00EF6D81"/>
    <w:rsid w:val="00EF759C"/>
    <w:rsid w:val="00EF7B61"/>
    <w:rsid w:val="00F004BF"/>
    <w:rsid w:val="00F00B06"/>
    <w:rsid w:val="00F00B86"/>
    <w:rsid w:val="00F00FAF"/>
    <w:rsid w:val="00F01812"/>
    <w:rsid w:val="00F01F34"/>
    <w:rsid w:val="00F022F3"/>
    <w:rsid w:val="00F0285D"/>
    <w:rsid w:val="00F02E0F"/>
    <w:rsid w:val="00F0318C"/>
    <w:rsid w:val="00F03B02"/>
    <w:rsid w:val="00F04776"/>
    <w:rsid w:val="00F067C5"/>
    <w:rsid w:val="00F06B78"/>
    <w:rsid w:val="00F06D1C"/>
    <w:rsid w:val="00F0790C"/>
    <w:rsid w:val="00F07AE0"/>
    <w:rsid w:val="00F07E2A"/>
    <w:rsid w:val="00F07FF1"/>
    <w:rsid w:val="00F10839"/>
    <w:rsid w:val="00F10B72"/>
    <w:rsid w:val="00F10C07"/>
    <w:rsid w:val="00F110E9"/>
    <w:rsid w:val="00F115F7"/>
    <w:rsid w:val="00F11FFF"/>
    <w:rsid w:val="00F12033"/>
    <w:rsid w:val="00F1241F"/>
    <w:rsid w:val="00F127B3"/>
    <w:rsid w:val="00F12B4F"/>
    <w:rsid w:val="00F12C4F"/>
    <w:rsid w:val="00F12D7B"/>
    <w:rsid w:val="00F141B8"/>
    <w:rsid w:val="00F141F1"/>
    <w:rsid w:val="00F14609"/>
    <w:rsid w:val="00F16ADB"/>
    <w:rsid w:val="00F1719F"/>
    <w:rsid w:val="00F17329"/>
    <w:rsid w:val="00F174EA"/>
    <w:rsid w:val="00F17505"/>
    <w:rsid w:val="00F175F8"/>
    <w:rsid w:val="00F1790C"/>
    <w:rsid w:val="00F1792C"/>
    <w:rsid w:val="00F17B7B"/>
    <w:rsid w:val="00F17D55"/>
    <w:rsid w:val="00F17E50"/>
    <w:rsid w:val="00F2010B"/>
    <w:rsid w:val="00F21851"/>
    <w:rsid w:val="00F21F0F"/>
    <w:rsid w:val="00F2269C"/>
    <w:rsid w:val="00F22810"/>
    <w:rsid w:val="00F22EA7"/>
    <w:rsid w:val="00F22F87"/>
    <w:rsid w:val="00F2309E"/>
    <w:rsid w:val="00F231B5"/>
    <w:rsid w:val="00F2333B"/>
    <w:rsid w:val="00F24324"/>
    <w:rsid w:val="00F244E5"/>
    <w:rsid w:val="00F24501"/>
    <w:rsid w:val="00F24656"/>
    <w:rsid w:val="00F24BCB"/>
    <w:rsid w:val="00F24E6B"/>
    <w:rsid w:val="00F250B3"/>
    <w:rsid w:val="00F25D60"/>
    <w:rsid w:val="00F26042"/>
    <w:rsid w:val="00F26151"/>
    <w:rsid w:val="00F2629B"/>
    <w:rsid w:val="00F26604"/>
    <w:rsid w:val="00F26764"/>
    <w:rsid w:val="00F26ACB"/>
    <w:rsid w:val="00F2712B"/>
    <w:rsid w:val="00F301C2"/>
    <w:rsid w:val="00F30298"/>
    <w:rsid w:val="00F3035F"/>
    <w:rsid w:val="00F305AB"/>
    <w:rsid w:val="00F30922"/>
    <w:rsid w:val="00F30FEF"/>
    <w:rsid w:val="00F31109"/>
    <w:rsid w:val="00F31D34"/>
    <w:rsid w:val="00F325BE"/>
    <w:rsid w:val="00F329FF"/>
    <w:rsid w:val="00F33103"/>
    <w:rsid w:val="00F336FB"/>
    <w:rsid w:val="00F33DB6"/>
    <w:rsid w:val="00F33FBC"/>
    <w:rsid w:val="00F341F8"/>
    <w:rsid w:val="00F3469C"/>
    <w:rsid w:val="00F34B1B"/>
    <w:rsid w:val="00F34BC9"/>
    <w:rsid w:val="00F35322"/>
    <w:rsid w:val="00F3673D"/>
    <w:rsid w:val="00F377B2"/>
    <w:rsid w:val="00F377C4"/>
    <w:rsid w:val="00F40317"/>
    <w:rsid w:val="00F404EA"/>
    <w:rsid w:val="00F41DC1"/>
    <w:rsid w:val="00F42267"/>
    <w:rsid w:val="00F423FB"/>
    <w:rsid w:val="00F42B20"/>
    <w:rsid w:val="00F43170"/>
    <w:rsid w:val="00F443E8"/>
    <w:rsid w:val="00F449A3"/>
    <w:rsid w:val="00F45026"/>
    <w:rsid w:val="00F45B00"/>
    <w:rsid w:val="00F45DE1"/>
    <w:rsid w:val="00F47193"/>
    <w:rsid w:val="00F475C1"/>
    <w:rsid w:val="00F47B6B"/>
    <w:rsid w:val="00F511B7"/>
    <w:rsid w:val="00F5144B"/>
    <w:rsid w:val="00F51A54"/>
    <w:rsid w:val="00F52608"/>
    <w:rsid w:val="00F52A3E"/>
    <w:rsid w:val="00F52E4F"/>
    <w:rsid w:val="00F53499"/>
    <w:rsid w:val="00F53A84"/>
    <w:rsid w:val="00F540BA"/>
    <w:rsid w:val="00F54A37"/>
    <w:rsid w:val="00F54E15"/>
    <w:rsid w:val="00F553CA"/>
    <w:rsid w:val="00F55678"/>
    <w:rsid w:val="00F56C11"/>
    <w:rsid w:val="00F56E1B"/>
    <w:rsid w:val="00F57086"/>
    <w:rsid w:val="00F57171"/>
    <w:rsid w:val="00F579FB"/>
    <w:rsid w:val="00F6077B"/>
    <w:rsid w:val="00F6084D"/>
    <w:rsid w:val="00F6118A"/>
    <w:rsid w:val="00F61353"/>
    <w:rsid w:val="00F615DA"/>
    <w:rsid w:val="00F61DA0"/>
    <w:rsid w:val="00F6227E"/>
    <w:rsid w:val="00F62D80"/>
    <w:rsid w:val="00F63518"/>
    <w:rsid w:val="00F64096"/>
    <w:rsid w:val="00F64C23"/>
    <w:rsid w:val="00F66457"/>
    <w:rsid w:val="00F66DEA"/>
    <w:rsid w:val="00F66FC3"/>
    <w:rsid w:val="00F67038"/>
    <w:rsid w:val="00F67C74"/>
    <w:rsid w:val="00F70A39"/>
    <w:rsid w:val="00F70B3E"/>
    <w:rsid w:val="00F71303"/>
    <w:rsid w:val="00F71388"/>
    <w:rsid w:val="00F714E4"/>
    <w:rsid w:val="00F719AA"/>
    <w:rsid w:val="00F723FB"/>
    <w:rsid w:val="00F72560"/>
    <w:rsid w:val="00F72E93"/>
    <w:rsid w:val="00F72EDE"/>
    <w:rsid w:val="00F7304D"/>
    <w:rsid w:val="00F73A42"/>
    <w:rsid w:val="00F74042"/>
    <w:rsid w:val="00F7493E"/>
    <w:rsid w:val="00F7504F"/>
    <w:rsid w:val="00F750EB"/>
    <w:rsid w:val="00F75161"/>
    <w:rsid w:val="00F75473"/>
    <w:rsid w:val="00F75633"/>
    <w:rsid w:val="00F759DD"/>
    <w:rsid w:val="00F75B9A"/>
    <w:rsid w:val="00F76BFD"/>
    <w:rsid w:val="00F77262"/>
    <w:rsid w:val="00F7741B"/>
    <w:rsid w:val="00F77442"/>
    <w:rsid w:val="00F77784"/>
    <w:rsid w:val="00F77960"/>
    <w:rsid w:val="00F77EFB"/>
    <w:rsid w:val="00F80A15"/>
    <w:rsid w:val="00F80D3E"/>
    <w:rsid w:val="00F80F13"/>
    <w:rsid w:val="00F814FF"/>
    <w:rsid w:val="00F81764"/>
    <w:rsid w:val="00F819BC"/>
    <w:rsid w:val="00F81D78"/>
    <w:rsid w:val="00F825A8"/>
    <w:rsid w:val="00F82D4E"/>
    <w:rsid w:val="00F83627"/>
    <w:rsid w:val="00F8381F"/>
    <w:rsid w:val="00F83CF5"/>
    <w:rsid w:val="00F83E21"/>
    <w:rsid w:val="00F841FB"/>
    <w:rsid w:val="00F84BB1"/>
    <w:rsid w:val="00F85762"/>
    <w:rsid w:val="00F85785"/>
    <w:rsid w:val="00F86014"/>
    <w:rsid w:val="00F863E6"/>
    <w:rsid w:val="00F87558"/>
    <w:rsid w:val="00F87903"/>
    <w:rsid w:val="00F87A92"/>
    <w:rsid w:val="00F91563"/>
    <w:rsid w:val="00F9163A"/>
    <w:rsid w:val="00F91A3C"/>
    <w:rsid w:val="00F91F29"/>
    <w:rsid w:val="00F922C1"/>
    <w:rsid w:val="00F923D6"/>
    <w:rsid w:val="00F93440"/>
    <w:rsid w:val="00F94003"/>
    <w:rsid w:val="00F9420B"/>
    <w:rsid w:val="00F947A8"/>
    <w:rsid w:val="00F957B2"/>
    <w:rsid w:val="00F9608A"/>
    <w:rsid w:val="00F965CA"/>
    <w:rsid w:val="00F970F6"/>
    <w:rsid w:val="00F976CC"/>
    <w:rsid w:val="00F97EB8"/>
    <w:rsid w:val="00FA00A9"/>
    <w:rsid w:val="00FA083C"/>
    <w:rsid w:val="00FA136E"/>
    <w:rsid w:val="00FA1AD6"/>
    <w:rsid w:val="00FA20B4"/>
    <w:rsid w:val="00FA2C6E"/>
    <w:rsid w:val="00FA3649"/>
    <w:rsid w:val="00FA39CF"/>
    <w:rsid w:val="00FA3AF5"/>
    <w:rsid w:val="00FA47EE"/>
    <w:rsid w:val="00FA4829"/>
    <w:rsid w:val="00FA525E"/>
    <w:rsid w:val="00FA55F6"/>
    <w:rsid w:val="00FA65BB"/>
    <w:rsid w:val="00FA6804"/>
    <w:rsid w:val="00FA6F11"/>
    <w:rsid w:val="00FA7594"/>
    <w:rsid w:val="00FA7910"/>
    <w:rsid w:val="00FB02B1"/>
    <w:rsid w:val="00FB0338"/>
    <w:rsid w:val="00FB0871"/>
    <w:rsid w:val="00FB0A8F"/>
    <w:rsid w:val="00FB0EE4"/>
    <w:rsid w:val="00FB24C5"/>
    <w:rsid w:val="00FB2CF1"/>
    <w:rsid w:val="00FB2F5E"/>
    <w:rsid w:val="00FB35D5"/>
    <w:rsid w:val="00FB3868"/>
    <w:rsid w:val="00FB5B51"/>
    <w:rsid w:val="00FB65DA"/>
    <w:rsid w:val="00FB6C7D"/>
    <w:rsid w:val="00FB6DDA"/>
    <w:rsid w:val="00FB6E9D"/>
    <w:rsid w:val="00FB70DE"/>
    <w:rsid w:val="00FB71F6"/>
    <w:rsid w:val="00FB73D5"/>
    <w:rsid w:val="00FB75C7"/>
    <w:rsid w:val="00FB75E3"/>
    <w:rsid w:val="00FB7C28"/>
    <w:rsid w:val="00FB7D62"/>
    <w:rsid w:val="00FC02AE"/>
    <w:rsid w:val="00FC11D9"/>
    <w:rsid w:val="00FC12AA"/>
    <w:rsid w:val="00FC14A2"/>
    <w:rsid w:val="00FC1649"/>
    <w:rsid w:val="00FC18AE"/>
    <w:rsid w:val="00FC2E76"/>
    <w:rsid w:val="00FC398F"/>
    <w:rsid w:val="00FC3BE2"/>
    <w:rsid w:val="00FC4755"/>
    <w:rsid w:val="00FC4C60"/>
    <w:rsid w:val="00FC574F"/>
    <w:rsid w:val="00FC5C03"/>
    <w:rsid w:val="00FC60D2"/>
    <w:rsid w:val="00FC6765"/>
    <w:rsid w:val="00FC72ED"/>
    <w:rsid w:val="00FC7668"/>
    <w:rsid w:val="00FC771B"/>
    <w:rsid w:val="00FD1472"/>
    <w:rsid w:val="00FD14C3"/>
    <w:rsid w:val="00FD1E58"/>
    <w:rsid w:val="00FD2077"/>
    <w:rsid w:val="00FD2987"/>
    <w:rsid w:val="00FD2C7F"/>
    <w:rsid w:val="00FD33F2"/>
    <w:rsid w:val="00FD3E2A"/>
    <w:rsid w:val="00FD599F"/>
    <w:rsid w:val="00FD6122"/>
    <w:rsid w:val="00FD6269"/>
    <w:rsid w:val="00FD6406"/>
    <w:rsid w:val="00FD687C"/>
    <w:rsid w:val="00FD6885"/>
    <w:rsid w:val="00FD6BD8"/>
    <w:rsid w:val="00FD7791"/>
    <w:rsid w:val="00FD7F52"/>
    <w:rsid w:val="00FE08BE"/>
    <w:rsid w:val="00FE0A99"/>
    <w:rsid w:val="00FE0D5D"/>
    <w:rsid w:val="00FE1D88"/>
    <w:rsid w:val="00FE270E"/>
    <w:rsid w:val="00FE30A9"/>
    <w:rsid w:val="00FE3B8D"/>
    <w:rsid w:val="00FE3C87"/>
    <w:rsid w:val="00FE42EC"/>
    <w:rsid w:val="00FE4B76"/>
    <w:rsid w:val="00FE51AE"/>
    <w:rsid w:val="00FE57D3"/>
    <w:rsid w:val="00FE6308"/>
    <w:rsid w:val="00FE6562"/>
    <w:rsid w:val="00FE6BB1"/>
    <w:rsid w:val="00FE6C66"/>
    <w:rsid w:val="00FE6DC2"/>
    <w:rsid w:val="00FE6F77"/>
    <w:rsid w:val="00FE7DDD"/>
    <w:rsid w:val="00FE7F92"/>
    <w:rsid w:val="00FF0D67"/>
    <w:rsid w:val="00FF0D8D"/>
    <w:rsid w:val="00FF10D6"/>
    <w:rsid w:val="00FF17A7"/>
    <w:rsid w:val="00FF1FE6"/>
    <w:rsid w:val="00FF2045"/>
    <w:rsid w:val="00FF2A9B"/>
    <w:rsid w:val="00FF2B97"/>
    <w:rsid w:val="00FF332A"/>
    <w:rsid w:val="00FF4674"/>
    <w:rsid w:val="00FF4696"/>
    <w:rsid w:val="00FF4E6E"/>
    <w:rsid w:val="00FF5164"/>
    <w:rsid w:val="00FF5B78"/>
    <w:rsid w:val="00FF5EE0"/>
    <w:rsid w:val="00FF678E"/>
    <w:rsid w:val="00FF6DEA"/>
    <w:rsid w:val="00FF71E6"/>
    <w:rsid w:val="00FF751C"/>
    <w:rsid w:val="00FF793A"/>
    <w:rsid w:val="00FF7B8D"/>
    <w:rsid w:val="00FF7E0A"/>
    <w:rsid w:val="013E4434"/>
    <w:rsid w:val="014B5E87"/>
    <w:rsid w:val="0153033E"/>
    <w:rsid w:val="017240DE"/>
    <w:rsid w:val="018750D4"/>
    <w:rsid w:val="019C44DB"/>
    <w:rsid w:val="019F7A9F"/>
    <w:rsid w:val="01C91481"/>
    <w:rsid w:val="02037C1A"/>
    <w:rsid w:val="020D28B8"/>
    <w:rsid w:val="02253C76"/>
    <w:rsid w:val="02366A97"/>
    <w:rsid w:val="024349EB"/>
    <w:rsid w:val="02610CD9"/>
    <w:rsid w:val="02721A50"/>
    <w:rsid w:val="02A777E8"/>
    <w:rsid w:val="02B81FC4"/>
    <w:rsid w:val="02BA2DF1"/>
    <w:rsid w:val="02D42182"/>
    <w:rsid w:val="02ED69BD"/>
    <w:rsid w:val="02F71D3B"/>
    <w:rsid w:val="03001591"/>
    <w:rsid w:val="030559FB"/>
    <w:rsid w:val="031950C9"/>
    <w:rsid w:val="032D4760"/>
    <w:rsid w:val="0334092C"/>
    <w:rsid w:val="0341607E"/>
    <w:rsid w:val="036F3E2C"/>
    <w:rsid w:val="038A44CE"/>
    <w:rsid w:val="039B516B"/>
    <w:rsid w:val="03EE0393"/>
    <w:rsid w:val="04460CB5"/>
    <w:rsid w:val="045D5828"/>
    <w:rsid w:val="04895132"/>
    <w:rsid w:val="048D0E2D"/>
    <w:rsid w:val="04A46E78"/>
    <w:rsid w:val="04AB5FC1"/>
    <w:rsid w:val="04C35D04"/>
    <w:rsid w:val="04C865CE"/>
    <w:rsid w:val="04C9370B"/>
    <w:rsid w:val="04F723A3"/>
    <w:rsid w:val="051554AC"/>
    <w:rsid w:val="05445D91"/>
    <w:rsid w:val="05831C66"/>
    <w:rsid w:val="05B248D9"/>
    <w:rsid w:val="05B253F0"/>
    <w:rsid w:val="05B427F4"/>
    <w:rsid w:val="05F975F3"/>
    <w:rsid w:val="062B1687"/>
    <w:rsid w:val="063419BF"/>
    <w:rsid w:val="064F4EC1"/>
    <w:rsid w:val="06B74AF0"/>
    <w:rsid w:val="07071247"/>
    <w:rsid w:val="07375BAD"/>
    <w:rsid w:val="075B78C6"/>
    <w:rsid w:val="075D624D"/>
    <w:rsid w:val="078B3A51"/>
    <w:rsid w:val="07932A6F"/>
    <w:rsid w:val="07A25FBD"/>
    <w:rsid w:val="07D16002"/>
    <w:rsid w:val="07D96E0D"/>
    <w:rsid w:val="07E46960"/>
    <w:rsid w:val="07F43A9E"/>
    <w:rsid w:val="07FB7301"/>
    <w:rsid w:val="07FC2953"/>
    <w:rsid w:val="081A1097"/>
    <w:rsid w:val="08201928"/>
    <w:rsid w:val="083420ED"/>
    <w:rsid w:val="084C122A"/>
    <w:rsid w:val="084F33CB"/>
    <w:rsid w:val="0863290E"/>
    <w:rsid w:val="088E5DD3"/>
    <w:rsid w:val="08A7404B"/>
    <w:rsid w:val="08D544C6"/>
    <w:rsid w:val="090441B5"/>
    <w:rsid w:val="09096974"/>
    <w:rsid w:val="09504E34"/>
    <w:rsid w:val="09A848EB"/>
    <w:rsid w:val="0A3F5460"/>
    <w:rsid w:val="0A525132"/>
    <w:rsid w:val="0A9202AA"/>
    <w:rsid w:val="0AB26674"/>
    <w:rsid w:val="0AC223C8"/>
    <w:rsid w:val="0AC53CBF"/>
    <w:rsid w:val="0AD36970"/>
    <w:rsid w:val="0ADE0BF8"/>
    <w:rsid w:val="0B076673"/>
    <w:rsid w:val="0B1D330C"/>
    <w:rsid w:val="0B2C7B0D"/>
    <w:rsid w:val="0B2D1D57"/>
    <w:rsid w:val="0B564863"/>
    <w:rsid w:val="0B5C4FFD"/>
    <w:rsid w:val="0B6E554A"/>
    <w:rsid w:val="0B7A42BB"/>
    <w:rsid w:val="0B957346"/>
    <w:rsid w:val="0C0C2CE8"/>
    <w:rsid w:val="0C1B7C67"/>
    <w:rsid w:val="0C1F363C"/>
    <w:rsid w:val="0C590374"/>
    <w:rsid w:val="0D010EE5"/>
    <w:rsid w:val="0D1B6E69"/>
    <w:rsid w:val="0D280AF1"/>
    <w:rsid w:val="0D5978F1"/>
    <w:rsid w:val="0D7D32C5"/>
    <w:rsid w:val="0DA83630"/>
    <w:rsid w:val="0DD01EC9"/>
    <w:rsid w:val="0E005621"/>
    <w:rsid w:val="0E077194"/>
    <w:rsid w:val="0E5200CF"/>
    <w:rsid w:val="0E754DE2"/>
    <w:rsid w:val="0E79259F"/>
    <w:rsid w:val="0ECB1901"/>
    <w:rsid w:val="0F0B4FBA"/>
    <w:rsid w:val="0F487B2D"/>
    <w:rsid w:val="0FA87A47"/>
    <w:rsid w:val="0FB32491"/>
    <w:rsid w:val="0FCF3CC8"/>
    <w:rsid w:val="10051FE1"/>
    <w:rsid w:val="10426772"/>
    <w:rsid w:val="10AD7440"/>
    <w:rsid w:val="10B03830"/>
    <w:rsid w:val="10FA66D8"/>
    <w:rsid w:val="10FE240F"/>
    <w:rsid w:val="11456018"/>
    <w:rsid w:val="116577BB"/>
    <w:rsid w:val="118E501C"/>
    <w:rsid w:val="123947E6"/>
    <w:rsid w:val="124978C7"/>
    <w:rsid w:val="125B0AB0"/>
    <w:rsid w:val="1264785B"/>
    <w:rsid w:val="12652847"/>
    <w:rsid w:val="12681B13"/>
    <w:rsid w:val="12A737A5"/>
    <w:rsid w:val="12B7114A"/>
    <w:rsid w:val="12B86131"/>
    <w:rsid w:val="12E60488"/>
    <w:rsid w:val="13421CB9"/>
    <w:rsid w:val="135D0D4A"/>
    <w:rsid w:val="13613055"/>
    <w:rsid w:val="1361462A"/>
    <w:rsid w:val="13751AFF"/>
    <w:rsid w:val="138104CC"/>
    <w:rsid w:val="13873A19"/>
    <w:rsid w:val="138E4380"/>
    <w:rsid w:val="139C4B62"/>
    <w:rsid w:val="13C56453"/>
    <w:rsid w:val="13D07957"/>
    <w:rsid w:val="13EF13A5"/>
    <w:rsid w:val="13F47103"/>
    <w:rsid w:val="140212F1"/>
    <w:rsid w:val="14176B73"/>
    <w:rsid w:val="141C595C"/>
    <w:rsid w:val="14231B23"/>
    <w:rsid w:val="14321986"/>
    <w:rsid w:val="144C22E7"/>
    <w:rsid w:val="148A18CE"/>
    <w:rsid w:val="14AC763B"/>
    <w:rsid w:val="14CC3A6C"/>
    <w:rsid w:val="14E82BDD"/>
    <w:rsid w:val="14EC2D73"/>
    <w:rsid w:val="14F80136"/>
    <w:rsid w:val="15010B75"/>
    <w:rsid w:val="15015A4D"/>
    <w:rsid w:val="15075199"/>
    <w:rsid w:val="1539492F"/>
    <w:rsid w:val="155A2999"/>
    <w:rsid w:val="15625D44"/>
    <w:rsid w:val="15A15172"/>
    <w:rsid w:val="15B50D11"/>
    <w:rsid w:val="15BE196D"/>
    <w:rsid w:val="15DB2CB9"/>
    <w:rsid w:val="15E1412C"/>
    <w:rsid w:val="15ED42E7"/>
    <w:rsid w:val="15F41D72"/>
    <w:rsid w:val="15FF5807"/>
    <w:rsid w:val="160442F0"/>
    <w:rsid w:val="16066BA1"/>
    <w:rsid w:val="16286384"/>
    <w:rsid w:val="163C0E2C"/>
    <w:rsid w:val="164E6A70"/>
    <w:rsid w:val="165A30F7"/>
    <w:rsid w:val="16AA1EDB"/>
    <w:rsid w:val="1716227E"/>
    <w:rsid w:val="174B21A3"/>
    <w:rsid w:val="17581769"/>
    <w:rsid w:val="17A21B21"/>
    <w:rsid w:val="17BB15A7"/>
    <w:rsid w:val="17C2660F"/>
    <w:rsid w:val="17FB411A"/>
    <w:rsid w:val="18394FDD"/>
    <w:rsid w:val="183D6EA7"/>
    <w:rsid w:val="184963BF"/>
    <w:rsid w:val="18867055"/>
    <w:rsid w:val="18A02642"/>
    <w:rsid w:val="18A63096"/>
    <w:rsid w:val="18BD6434"/>
    <w:rsid w:val="18DD40DB"/>
    <w:rsid w:val="18E956C7"/>
    <w:rsid w:val="18FF4316"/>
    <w:rsid w:val="19021F09"/>
    <w:rsid w:val="192D4982"/>
    <w:rsid w:val="193A6D2F"/>
    <w:rsid w:val="19404D4D"/>
    <w:rsid w:val="19593CDE"/>
    <w:rsid w:val="19A5651A"/>
    <w:rsid w:val="19BC4503"/>
    <w:rsid w:val="19C207DC"/>
    <w:rsid w:val="1A157586"/>
    <w:rsid w:val="1A2242E0"/>
    <w:rsid w:val="1A8134B5"/>
    <w:rsid w:val="1AEF7142"/>
    <w:rsid w:val="1B1F46F8"/>
    <w:rsid w:val="1B735787"/>
    <w:rsid w:val="1B7E7CEF"/>
    <w:rsid w:val="1B934F22"/>
    <w:rsid w:val="1BA77A2C"/>
    <w:rsid w:val="1BD07E2A"/>
    <w:rsid w:val="1BF43439"/>
    <w:rsid w:val="1BF80E62"/>
    <w:rsid w:val="1BF81957"/>
    <w:rsid w:val="1C2A0D30"/>
    <w:rsid w:val="1C4F52EF"/>
    <w:rsid w:val="1C6568C1"/>
    <w:rsid w:val="1C747460"/>
    <w:rsid w:val="1CA21E28"/>
    <w:rsid w:val="1CBB6AFE"/>
    <w:rsid w:val="1CCC53D5"/>
    <w:rsid w:val="1CE25C42"/>
    <w:rsid w:val="1CE25E93"/>
    <w:rsid w:val="1CE35AE8"/>
    <w:rsid w:val="1CF8763C"/>
    <w:rsid w:val="1D4C172C"/>
    <w:rsid w:val="1D556936"/>
    <w:rsid w:val="1D8F408F"/>
    <w:rsid w:val="1DA82F09"/>
    <w:rsid w:val="1DAF3843"/>
    <w:rsid w:val="1DC13951"/>
    <w:rsid w:val="1DC84810"/>
    <w:rsid w:val="1DF5097B"/>
    <w:rsid w:val="1DF66C55"/>
    <w:rsid w:val="1E214A6A"/>
    <w:rsid w:val="1E2B6D02"/>
    <w:rsid w:val="1E39511B"/>
    <w:rsid w:val="1E96279D"/>
    <w:rsid w:val="1EA528FE"/>
    <w:rsid w:val="1F0873AE"/>
    <w:rsid w:val="1F1C7B64"/>
    <w:rsid w:val="1F7730B6"/>
    <w:rsid w:val="1F812440"/>
    <w:rsid w:val="1F83152E"/>
    <w:rsid w:val="1F9E45C4"/>
    <w:rsid w:val="1FB536A4"/>
    <w:rsid w:val="1FF14334"/>
    <w:rsid w:val="2000093B"/>
    <w:rsid w:val="200D26A3"/>
    <w:rsid w:val="20331B4E"/>
    <w:rsid w:val="204560DD"/>
    <w:rsid w:val="20460148"/>
    <w:rsid w:val="20635C94"/>
    <w:rsid w:val="20745325"/>
    <w:rsid w:val="208E0BFC"/>
    <w:rsid w:val="20E24FCC"/>
    <w:rsid w:val="20FA1B9B"/>
    <w:rsid w:val="20FA2891"/>
    <w:rsid w:val="21C137AE"/>
    <w:rsid w:val="21C46C8E"/>
    <w:rsid w:val="21CC7BA5"/>
    <w:rsid w:val="21D31097"/>
    <w:rsid w:val="22032E04"/>
    <w:rsid w:val="22266AF2"/>
    <w:rsid w:val="22367DAF"/>
    <w:rsid w:val="22493A57"/>
    <w:rsid w:val="225964AB"/>
    <w:rsid w:val="228C25B5"/>
    <w:rsid w:val="22941DA2"/>
    <w:rsid w:val="22BF65CD"/>
    <w:rsid w:val="22CD6380"/>
    <w:rsid w:val="230C54BB"/>
    <w:rsid w:val="231F5A1C"/>
    <w:rsid w:val="235E64BE"/>
    <w:rsid w:val="2364787B"/>
    <w:rsid w:val="237819DA"/>
    <w:rsid w:val="237E3E67"/>
    <w:rsid w:val="237E6430"/>
    <w:rsid w:val="23B87C1E"/>
    <w:rsid w:val="23C6274B"/>
    <w:rsid w:val="23F2362B"/>
    <w:rsid w:val="23F535B6"/>
    <w:rsid w:val="23FA1B55"/>
    <w:rsid w:val="24254CA2"/>
    <w:rsid w:val="24256C9F"/>
    <w:rsid w:val="244040CC"/>
    <w:rsid w:val="245A28EE"/>
    <w:rsid w:val="248352BD"/>
    <w:rsid w:val="249A7BA7"/>
    <w:rsid w:val="24CF6FCD"/>
    <w:rsid w:val="24EE5761"/>
    <w:rsid w:val="25205A7B"/>
    <w:rsid w:val="25814174"/>
    <w:rsid w:val="259276FA"/>
    <w:rsid w:val="25B84835"/>
    <w:rsid w:val="25B863BF"/>
    <w:rsid w:val="25C6559E"/>
    <w:rsid w:val="25D96C2A"/>
    <w:rsid w:val="25DD630E"/>
    <w:rsid w:val="25DF783C"/>
    <w:rsid w:val="25E43FBB"/>
    <w:rsid w:val="26445799"/>
    <w:rsid w:val="26963D4E"/>
    <w:rsid w:val="269D3E1E"/>
    <w:rsid w:val="26A85D28"/>
    <w:rsid w:val="26AF4335"/>
    <w:rsid w:val="26BA3FAA"/>
    <w:rsid w:val="26BB5274"/>
    <w:rsid w:val="26BC71FD"/>
    <w:rsid w:val="26CB6C74"/>
    <w:rsid w:val="274150FF"/>
    <w:rsid w:val="27416E84"/>
    <w:rsid w:val="278173E6"/>
    <w:rsid w:val="279D7857"/>
    <w:rsid w:val="281047B0"/>
    <w:rsid w:val="28387DAA"/>
    <w:rsid w:val="2865049F"/>
    <w:rsid w:val="287C56BE"/>
    <w:rsid w:val="287F6F5C"/>
    <w:rsid w:val="28B36475"/>
    <w:rsid w:val="28C77C05"/>
    <w:rsid w:val="28EA2113"/>
    <w:rsid w:val="28EF1A4E"/>
    <w:rsid w:val="28FE21EF"/>
    <w:rsid w:val="29246478"/>
    <w:rsid w:val="295D729E"/>
    <w:rsid w:val="2967011C"/>
    <w:rsid w:val="297D320D"/>
    <w:rsid w:val="29AF6733"/>
    <w:rsid w:val="29B844D4"/>
    <w:rsid w:val="29C5280B"/>
    <w:rsid w:val="29E835CB"/>
    <w:rsid w:val="29EC6CC6"/>
    <w:rsid w:val="2A0A581C"/>
    <w:rsid w:val="2A302AD3"/>
    <w:rsid w:val="2A45126A"/>
    <w:rsid w:val="2A805C18"/>
    <w:rsid w:val="2A841AEF"/>
    <w:rsid w:val="2A871382"/>
    <w:rsid w:val="2A8F2B59"/>
    <w:rsid w:val="2A9F114D"/>
    <w:rsid w:val="2AB53A33"/>
    <w:rsid w:val="2ABC6DCF"/>
    <w:rsid w:val="2B1469AC"/>
    <w:rsid w:val="2B3D7387"/>
    <w:rsid w:val="2B512B50"/>
    <w:rsid w:val="2B637C80"/>
    <w:rsid w:val="2B7275BC"/>
    <w:rsid w:val="2B77579A"/>
    <w:rsid w:val="2BD72F9E"/>
    <w:rsid w:val="2BE8299E"/>
    <w:rsid w:val="2C0003B4"/>
    <w:rsid w:val="2C0C0B07"/>
    <w:rsid w:val="2C2B6B59"/>
    <w:rsid w:val="2C3156D7"/>
    <w:rsid w:val="2C3B13EC"/>
    <w:rsid w:val="2C4502D2"/>
    <w:rsid w:val="2C69561A"/>
    <w:rsid w:val="2C6E1E85"/>
    <w:rsid w:val="2C6E3570"/>
    <w:rsid w:val="2C8202CA"/>
    <w:rsid w:val="2C8718A5"/>
    <w:rsid w:val="2C8E1573"/>
    <w:rsid w:val="2CAB423A"/>
    <w:rsid w:val="2CE96740"/>
    <w:rsid w:val="2CFF241A"/>
    <w:rsid w:val="2D0068BE"/>
    <w:rsid w:val="2D053BC8"/>
    <w:rsid w:val="2D1D679F"/>
    <w:rsid w:val="2D331C18"/>
    <w:rsid w:val="2D680D8E"/>
    <w:rsid w:val="2DAF2325"/>
    <w:rsid w:val="2DB077FD"/>
    <w:rsid w:val="2DB94CBF"/>
    <w:rsid w:val="2DC24AFC"/>
    <w:rsid w:val="2DCF7045"/>
    <w:rsid w:val="2E0512F4"/>
    <w:rsid w:val="2E1A575D"/>
    <w:rsid w:val="2E2D07BE"/>
    <w:rsid w:val="2E521CDD"/>
    <w:rsid w:val="2E932C27"/>
    <w:rsid w:val="2EB8596B"/>
    <w:rsid w:val="2F044993"/>
    <w:rsid w:val="2F326AD7"/>
    <w:rsid w:val="2F4061A1"/>
    <w:rsid w:val="2F5613CC"/>
    <w:rsid w:val="2F77273B"/>
    <w:rsid w:val="2F8705DD"/>
    <w:rsid w:val="2FA8561A"/>
    <w:rsid w:val="2FA9679D"/>
    <w:rsid w:val="2FC647D1"/>
    <w:rsid w:val="30180696"/>
    <w:rsid w:val="30261B58"/>
    <w:rsid w:val="303C5FFF"/>
    <w:rsid w:val="30433499"/>
    <w:rsid w:val="305C505F"/>
    <w:rsid w:val="307B50AC"/>
    <w:rsid w:val="307F3F9D"/>
    <w:rsid w:val="30AB55C2"/>
    <w:rsid w:val="30C66276"/>
    <w:rsid w:val="30E20088"/>
    <w:rsid w:val="30E262DA"/>
    <w:rsid w:val="30E67B79"/>
    <w:rsid w:val="31091AB9"/>
    <w:rsid w:val="310C1238"/>
    <w:rsid w:val="311F68A6"/>
    <w:rsid w:val="316A07AA"/>
    <w:rsid w:val="31721BA9"/>
    <w:rsid w:val="31B94027"/>
    <w:rsid w:val="31DF43F7"/>
    <w:rsid w:val="32002EBC"/>
    <w:rsid w:val="32096C5E"/>
    <w:rsid w:val="32220A03"/>
    <w:rsid w:val="322D7C0F"/>
    <w:rsid w:val="323F10FE"/>
    <w:rsid w:val="32423701"/>
    <w:rsid w:val="32584AA6"/>
    <w:rsid w:val="326028DB"/>
    <w:rsid w:val="32713DBA"/>
    <w:rsid w:val="327C07F4"/>
    <w:rsid w:val="327F1917"/>
    <w:rsid w:val="329D11DD"/>
    <w:rsid w:val="32F32A21"/>
    <w:rsid w:val="33001B13"/>
    <w:rsid w:val="331812CD"/>
    <w:rsid w:val="3347690B"/>
    <w:rsid w:val="33497B0A"/>
    <w:rsid w:val="334C0F02"/>
    <w:rsid w:val="33843679"/>
    <w:rsid w:val="33992591"/>
    <w:rsid w:val="33A4628F"/>
    <w:rsid w:val="33B85659"/>
    <w:rsid w:val="33BF38B7"/>
    <w:rsid w:val="341F5FF3"/>
    <w:rsid w:val="342A00EA"/>
    <w:rsid w:val="34337579"/>
    <w:rsid w:val="344F1ED9"/>
    <w:rsid w:val="346017D8"/>
    <w:rsid w:val="349357BA"/>
    <w:rsid w:val="34A1580B"/>
    <w:rsid w:val="34A800E1"/>
    <w:rsid w:val="34A940DB"/>
    <w:rsid w:val="34AB35B3"/>
    <w:rsid w:val="34BF790B"/>
    <w:rsid w:val="34F211E2"/>
    <w:rsid w:val="34F27F8B"/>
    <w:rsid w:val="350A124D"/>
    <w:rsid w:val="350B11E7"/>
    <w:rsid w:val="350B5E00"/>
    <w:rsid w:val="35174982"/>
    <w:rsid w:val="351C6E87"/>
    <w:rsid w:val="35280A1F"/>
    <w:rsid w:val="355C665B"/>
    <w:rsid w:val="35717C54"/>
    <w:rsid w:val="357C6CFE"/>
    <w:rsid w:val="35A720BA"/>
    <w:rsid w:val="35B5458F"/>
    <w:rsid w:val="35C4696A"/>
    <w:rsid w:val="361F51B7"/>
    <w:rsid w:val="3626102A"/>
    <w:rsid w:val="364614CE"/>
    <w:rsid w:val="36536868"/>
    <w:rsid w:val="366D475E"/>
    <w:rsid w:val="36826596"/>
    <w:rsid w:val="368D0B71"/>
    <w:rsid w:val="36905626"/>
    <w:rsid w:val="36A10CBC"/>
    <w:rsid w:val="36A438FD"/>
    <w:rsid w:val="36D80A96"/>
    <w:rsid w:val="36F3056E"/>
    <w:rsid w:val="370E3762"/>
    <w:rsid w:val="37566658"/>
    <w:rsid w:val="375F3375"/>
    <w:rsid w:val="377B62F9"/>
    <w:rsid w:val="37A10C9D"/>
    <w:rsid w:val="37B3452D"/>
    <w:rsid w:val="37BB6725"/>
    <w:rsid w:val="37DD4400"/>
    <w:rsid w:val="380F427A"/>
    <w:rsid w:val="38221BFD"/>
    <w:rsid w:val="38235421"/>
    <w:rsid w:val="38433B03"/>
    <w:rsid w:val="384823AA"/>
    <w:rsid w:val="38CB102B"/>
    <w:rsid w:val="38FC2FEA"/>
    <w:rsid w:val="390F63FC"/>
    <w:rsid w:val="392E6886"/>
    <w:rsid w:val="394A0EC1"/>
    <w:rsid w:val="39533B6F"/>
    <w:rsid w:val="395B2A2A"/>
    <w:rsid w:val="396C0FCC"/>
    <w:rsid w:val="39913ECB"/>
    <w:rsid w:val="39C600D4"/>
    <w:rsid w:val="3A175247"/>
    <w:rsid w:val="3A2E1533"/>
    <w:rsid w:val="3A4F525A"/>
    <w:rsid w:val="3A6F55D8"/>
    <w:rsid w:val="3A791E17"/>
    <w:rsid w:val="3A8C0190"/>
    <w:rsid w:val="3AA36E5C"/>
    <w:rsid w:val="3AAC3D94"/>
    <w:rsid w:val="3AAD0149"/>
    <w:rsid w:val="3ADD2EB4"/>
    <w:rsid w:val="3B15681A"/>
    <w:rsid w:val="3B5D684D"/>
    <w:rsid w:val="3B77023E"/>
    <w:rsid w:val="3B7A2E1C"/>
    <w:rsid w:val="3B820A8F"/>
    <w:rsid w:val="3BA542B3"/>
    <w:rsid w:val="3BB43835"/>
    <w:rsid w:val="3BF6614D"/>
    <w:rsid w:val="3C1115C5"/>
    <w:rsid w:val="3C255FE3"/>
    <w:rsid w:val="3C5502A8"/>
    <w:rsid w:val="3C7C3A87"/>
    <w:rsid w:val="3C9C1BBB"/>
    <w:rsid w:val="3CAF79B9"/>
    <w:rsid w:val="3CB23D9B"/>
    <w:rsid w:val="3CBA1090"/>
    <w:rsid w:val="3CBB20A9"/>
    <w:rsid w:val="3CBE1ADE"/>
    <w:rsid w:val="3CC52D38"/>
    <w:rsid w:val="3CE654F0"/>
    <w:rsid w:val="3D032F14"/>
    <w:rsid w:val="3D2106A9"/>
    <w:rsid w:val="3D3C65FE"/>
    <w:rsid w:val="3D5E7496"/>
    <w:rsid w:val="3D787793"/>
    <w:rsid w:val="3D804358"/>
    <w:rsid w:val="3D921BB8"/>
    <w:rsid w:val="3D9D5ACE"/>
    <w:rsid w:val="3DDB743C"/>
    <w:rsid w:val="3DFE2F4C"/>
    <w:rsid w:val="3E3F6B1A"/>
    <w:rsid w:val="3E486242"/>
    <w:rsid w:val="3E4D56DB"/>
    <w:rsid w:val="3E6E5194"/>
    <w:rsid w:val="3E823CCF"/>
    <w:rsid w:val="3E843601"/>
    <w:rsid w:val="3EB40492"/>
    <w:rsid w:val="3EBC4150"/>
    <w:rsid w:val="3ECC7D8D"/>
    <w:rsid w:val="3EF06066"/>
    <w:rsid w:val="3EF1140E"/>
    <w:rsid w:val="3F966C0E"/>
    <w:rsid w:val="3FC012F3"/>
    <w:rsid w:val="3FC90727"/>
    <w:rsid w:val="40294D41"/>
    <w:rsid w:val="40582203"/>
    <w:rsid w:val="4061520A"/>
    <w:rsid w:val="4066629A"/>
    <w:rsid w:val="409E741C"/>
    <w:rsid w:val="40D8232D"/>
    <w:rsid w:val="40EB11DB"/>
    <w:rsid w:val="40FB0327"/>
    <w:rsid w:val="41184622"/>
    <w:rsid w:val="41933C7D"/>
    <w:rsid w:val="41A31311"/>
    <w:rsid w:val="41A339E2"/>
    <w:rsid w:val="41F12885"/>
    <w:rsid w:val="422570A8"/>
    <w:rsid w:val="42785B78"/>
    <w:rsid w:val="428B67D2"/>
    <w:rsid w:val="428D79E1"/>
    <w:rsid w:val="42957651"/>
    <w:rsid w:val="42A95617"/>
    <w:rsid w:val="42C337F2"/>
    <w:rsid w:val="42CF714A"/>
    <w:rsid w:val="43354997"/>
    <w:rsid w:val="436C12F8"/>
    <w:rsid w:val="43C610ED"/>
    <w:rsid w:val="440A4EFD"/>
    <w:rsid w:val="44654E01"/>
    <w:rsid w:val="447C1299"/>
    <w:rsid w:val="44C54972"/>
    <w:rsid w:val="44E52F1F"/>
    <w:rsid w:val="44E64D18"/>
    <w:rsid w:val="44EC5B01"/>
    <w:rsid w:val="4531459F"/>
    <w:rsid w:val="45350C77"/>
    <w:rsid w:val="45434221"/>
    <w:rsid w:val="454A2BCA"/>
    <w:rsid w:val="4559420D"/>
    <w:rsid w:val="4574354D"/>
    <w:rsid w:val="457A16C6"/>
    <w:rsid w:val="459F4C0B"/>
    <w:rsid w:val="45C23304"/>
    <w:rsid w:val="45CD1B48"/>
    <w:rsid w:val="45CF2E79"/>
    <w:rsid w:val="45FC3543"/>
    <w:rsid w:val="46501EB3"/>
    <w:rsid w:val="465C419A"/>
    <w:rsid w:val="466435C2"/>
    <w:rsid w:val="468F07F7"/>
    <w:rsid w:val="47172158"/>
    <w:rsid w:val="47173A8D"/>
    <w:rsid w:val="4726197E"/>
    <w:rsid w:val="474176AF"/>
    <w:rsid w:val="47514601"/>
    <w:rsid w:val="479870DC"/>
    <w:rsid w:val="47A23B45"/>
    <w:rsid w:val="47AF5537"/>
    <w:rsid w:val="47B77A42"/>
    <w:rsid w:val="47E0161D"/>
    <w:rsid w:val="47E86132"/>
    <w:rsid w:val="48030160"/>
    <w:rsid w:val="48331EF0"/>
    <w:rsid w:val="48505F99"/>
    <w:rsid w:val="48785928"/>
    <w:rsid w:val="48957B2C"/>
    <w:rsid w:val="48A01056"/>
    <w:rsid w:val="48B15C5C"/>
    <w:rsid w:val="48EA10A2"/>
    <w:rsid w:val="49277E71"/>
    <w:rsid w:val="493279A7"/>
    <w:rsid w:val="49523B1A"/>
    <w:rsid w:val="495E4B1E"/>
    <w:rsid w:val="49695393"/>
    <w:rsid w:val="49721F56"/>
    <w:rsid w:val="498B66EB"/>
    <w:rsid w:val="49A16738"/>
    <w:rsid w:val="49B46523"/>
    <w:rsid w:val="49CC2A1E"/>
    <w:rsid w:val="49DE604E"/>
    <w:rsid w:val="4A07512C"/>
    <w:rsid w:val="4A083129"/>
    <w:rsid w:val="4A0D0F7F"/>
    <w:rsid w:val="4A3E5330"/>
    <w:rsid w:val="4A4756D4"/>
    <w:rsid w:val="4A825B3E"/>
    <w:rsid w:val="4A8665BD"/>
    <w:rsid w:val="4AAB4F26"/>
    <w:rsid w:val="4AC25554"/>
    <w:rsid w:val="4AC44A80"/>
    <w:rsid w:val="4AC972BC"/>
    <w:rsid w:val="4AD62A7A"/>
    <w:rsid w:val="4B0B4954"/>
    <w:rsid w:val="4B162AAE"/>
    <w:rsid w:val="4B69654F"/>
    <w:rsid w:val="4B6B0F4E"/>
    <w:rsid w:val="4B8E56C3"/>
    <w:rsid w:val="4B920BD1"/>
    <w:rsid w:val="4B950AEB"/>
    <w:rsid w:val="4BBA5227"/>
    <w:rsid w:val="4BBC6BA7"/>
    <w:rsid w:val="4BCB075A"/>
    <w:rsid w:val="4BE331DB"/>
    <w:rsid w:val="4C01419C"/>
    <w:rsid w:val="4C06155E"/>
    <w:rsid w:val="4C136D28"/>
    <w:rsid w:val="4C1517D4"/>
    <w:rsid w:val="4C3954F1"/>
    <w:rsid w:val="4C7F5A8B"/>
    <w:rsid w:val="4C9B3B4E"/>
    <w:rsid w:val="4CEF3BF2"/>
    <w:rsid w:val="4D2C33F2"/>
    <w:rsid w:val="4D6C7D7F"/>
    <w:rsid w:val="4DBD6EB9"/>
    <w:rsid w:val="4DC86B2C"/>
    <w:rsid w:val="4DE72E3F"/>
    <w:rsid w:val="4DFB55DB"/>
    <w:rsid w:val="4DFD50B1"/>
    <w:rsid w:val="4E2234FC"/>
    <w:rsid w:val="4E243AAC"/>
    <w:rsid w:val="4E327823"/>
    <w:rsid w:val="4E4D63C9"/>
    <w:rsid w:val="4E6473B0"/>
    <w:rsid w:val="4E6B10BB"/>
    <w:rsid w:val="4E9B4A22"/>
    <w:rsid w:val="4EAA1384"/>
    <w:rsid w:val="4EB175C0"/>
    <w:rsid w:val="4EB87D5A"/>
    <w:rsid w:val="4EE10599"/>
    <w:rsid w:val="4EE95E1B"/>
    <w:rsid w:val="4EFE2407"/>
    <w:rsid w:val="4F3D47EF"/>
    <w:rsid w:val="4F427227"/>
    <w:rsid w:val="4F68007B"/>
    <w:rsid w:val="4F9021AC"/>
    <w:rsid w:val="4FAA1380"/>
    <w:rsid w:val="4FBB7FCB"/>
    <w:rsid w:val="4FBF2916"/>
    <w:rsid w:val="4FCD77E7"/>
    <w:rsid w:val="4FCE7F03"/>
    <w:rsid w:val="4FF04A37"/>
    <w:rsid w:val="50106452"/>
    <w:rsid w:val="5012113E"/>
    <w:rsid w:val="5072696E"/>
    <w:rsid w:val="508B7505"/>
    <w:rsid w:val="50C05085"/>
    <w:rsid w:val="50D10EAB"/>
    <w:rsid w:val="50D3612E"/>
    <w:rsid w:val="511E595C"/>
    <w:rsid w:val="514D52D8"/>
    <w:rsid w:val="516E6D31"/>
    <w:rsid w:val="519D19B5"/>
    <w:rsid w:val="51BD44CE"/>
    <w:rsid w:val="51C877BA"/>
    <w:rsid w:val="51E725DD"/>
    <w:rsid w:val="51F15F26"/>
    <w:rsid w:val="52176364"/>
    <w:rsid w:val="52374280"/>
    <w:rsid w:val="52516B29"/>
    <w:rsid w:val="5253098E"/>
    <w:rsid w:val="52654B4D"/>
    <w:rsid w:val="527B62CC"/>
    <w:rsid w:val="52C10C1D"/>
    <w:rsid w:val="52D73DA7"/>
    <w:rsid w:val="52EC506B"/>
    <w:rsid w:val="52F67F66"/>
    <w:rsid w:val="53395DD6"/>
    <w:rsid w:val="53400FDD"/>
    <w:rsid w:val="534977A0"/>
    <w:rsid w:val="534D2C73"/>
    <w:rsid w:val="53687BEB"/>
    <w:rsid w:val="536D4E93"/>
    <w:rsid w:val="53AA7E84"/>
    <w:rsid w:val="53DB153C"/>
    <w:rsid w:val="53E47AE7"/>
    <w:rsid w:val="53E63E49"/>
    <w:rsid w:val="53F76CA3"/>
    <w:rsid w:val="5407699A"/>
    <w:rsid w:val="54256AAC"/>
    <w:rsid w:val="54372316"/>
    <w:rsid w:val="543E5FDC"/>
    <w:rsid w:val="54414F42"/>
    <w:rsid w:val="549C661D"/>
    <w:rsid w:val="54A5345E"/>
    <w:rsid w:val="54A66E00"/>
    <w:rsid w:val="54D6252A"/>
    <w:rsid w:val="54DE4F25"/>
    <w:rsid w:val="55011EAA"/>
    <w:rsid w:val="55261D66"/>
    <w:rsid w:val="55374200"/>
    <w:rsid w:val="554D2290"/>
    <w:rsid w:val="559639D2"/>
    <w:rsid w:val="561356B8"/>
    <w:rsid w:val="56453850"/>
    <w:rsid w:val="5675326A"/>
    <w:rsid w:val="56B42CD8"/>
    <w:rsid w:val="56BD4180"/>
    <w:rsid w:val="56C540E1"/>
    <w:rsid w:val="57064221"/>
    <w:rsid w:val="5720346F"/>
    <w:rsid w:val="57284198"/>
    <w:rsid w:val="57B13A5E"/>
    <w:rsid w:val="57C71C02"/>
    <w:rsid w:val="57E44562"/>
    <w:rsid w:val="57E6630B"/>
    <w:rsid w:val="57EA6626"/>
    <w:rsid w:val="57F435DE"/>
    <w:rsid w:val="58000155"/>
    <w:rsid w:val="58267D05"/>
    <w:rsid w:val="58376A76"/>
    <w:rsid w:val="58442CF1"/>
    <w:rsid w:val="58591694"/>
    <w:rsid w:val="589253C5"/>
    <w:rsid w:val="589A10C5"/>
    <w:rsid w:val="589D0BB5"/>
    <w:rsid w:val="589F75B8"/>
    <w:rsid w:val="58BF0B2C"/>
    <w:rsid w:val="58FA1B64"/>
    <w:rsid w:val="591E751A"/>
    <w:rsid w:val="59205A6E"/>
    <w:rsid w:val="598B6C97"/>
    <w:rsid w:val="59D620C4"/>
    <w:rsid w:val="59FA5A04"/>
    <w:rsid w:val="5A0805BE"/>
    <w:rsid w:val="5A3F1B53"/>
    <w:rsid w:val="5A4F1A8F"/>
    <w:rsid w:val="5A551120"/>
    <w:rsid w:val="5A746A55"/>
    <w:rsid w:val="5A7757AE"/>
    <w:rsid w:val="5ADA6983"/>
    <w:rsid w:val="5ADD171E"/>
    <w:rsid w:val="5AE149A0"/>
    <w:rsid w:val="5AFF158F"/>
    <w:rsid w:val="5B027A9F"/>
    <w:rsid w:val="5B1D5168"/>
    <w:rsid w:val="5B3F3A4C"/>
    <w:rsid w:val="5B516EB2"/>
    <w:rsid w:val="5B5B514F"/>
    <w:rsid w:val="5B6A48DF"/>
    <w:rsid w:val="5B7A748E"/>
    <w:rsid w:val="5B8629AE"/>
    <w:rsid w:val="5B9B762E"/>
    <w:rsid w:val="5BA915BB"/>
    <w:rsid w:val="5BC433D0"/>
    <w:rsid w:val="5BC546AB"/>
    <w:rsid w:val="5C022AC2"/>
    <w:rsid w:val="5C295359"/>
    <w:rsid w:val="5C5B500F"/>
    <w:rsid w:val="5C675832"/>
    <w:rsid w:val="5C7032CF"/>
    <w:rsid w:val="5CBE6F44"/>
    <w:rsid w:val="5CD813AD"/>
    <w:rsid w:val="5CD9002B"/>
    <w:rsid w:val="5CDA7789"/>
    <w:rsid w:val="5D006909"/>
    <w:rsid w:val="5D0C7E1A"/>
    <w:rsid w:val="5D3B722D"/>
    <w:rsid w:val="5D3D401B"/>
    <w:rsid w:val="5D9C4B2B"/>
    <w:rsid w:val="5DBB3FB7"/>
    <w:rsid w:val="5DF16F38"/>
    <w:rsid w:val="5E313720"/>
    <w:rsid w:val="5E7E05C7"/>
    <w:rsid w:val="5E9202BA"/>
    <w:rsid w:val="5EC04759"/>
    <w:rsid w:val="5ECE0005"/>
    <w:rsid w:val="5ED75AA4"/>
    <w:rsid w:val="5EF36A09"/>
    <w:rsid w:val="5EFF4A51"/>
    <w:rsid w:val="5F291DFF"/>
    <w:rsid w:val="5F3202A9"/>
    <w:rsid w:val="5F63341C"/>
    <w:rsid w:val="5F673263"/>
    <w:rsid w:val="5FAD424F"/>
    <w:rsid w:val="5FB07420"/>
    <w:rsid w:val="5FD50BDC"/>
    <w:rsid w:val="5FD70C95"/>
    <w:rsid w:val="5FFC08B7"/>
    <w:rsid w:val="600F05EB"/>
    <w:rsid w:val="601B2706"/>
    <w:rsid w:val="60270D3F"/>
    <w:rsid w:val="604A6D42"/>
    <w:rsid w:val="606D2B9B"/>
    <w:rsid w:val="60716BAF"/>
    <w:rsid w:val="60995615"/>
    <w:rsid w:val="60DA6170"/>
    <w:rsid w:val="60DD3BAB"/>
    <w:rsid w:val="60E26D4F"/>
    <w:rsid w:val="61117C33"/>
    <w:rsid w:val="614B2B29"/>
    <w:rsid w:val="616B40B4"/>
    <w:rsid w:val="6190342B"/>
    <w:rsid w:val="61A0332D"/>
    <w:rsid w:val="62417439"/>
    <w:rsid w:val="62693E86"/>
    <w:rsid w:val="62744735"/>
    <w:rsid w:val="62854B94"/>
    <w:rsid w:val="629D0B4E"/>
    <w:rsid w:val="62A661B5"/>
    <w:rsid w:val="62D2297F"/>
    <w:rsid w:val="62D83D07"/>
    <w:rsid w:val="62DE11CD"/>
    <w:rsid w:val="62FB2DEF"/>
    <w:rsid w:val="630D5472"/>
    <w:rsid w:val="63316D36"/>
    <w:rsid w:val="633737E6"/>
    <w:rsid w:val="634A3CC6"/>
    <w:rsid w:val="63754B07"/>
    <w:rsid w:val="639B5F7E"/>
    <w:rsid w:val="63A64809"/>
    <w:rsid w:val="63A6563B"/>
    <w:rsid w:val="63A97BDC"/>
    <w:rsid w:val="63BE65AF"/>
    <w:rsid w:val="63DE5BDF"/>
    <w:rsid w:val="63ED770B"/>
    <w:rsid w:val="63F200B4"/>
    <w:rsid w:val="64040ED7"/>
    <w:rsid w:val="642C6FDF"/>
    <w:rsid w:val="64AA2D1C"/>
    <w:rsid w:val="64B643F5"/>
    <w:rsid w:val="64E64CD9"/>
    <w:rsid w:val="64FC2C96"/>
    <w:rsid w:val="65143FAD"/>
    <w:rsid w:val="65506D75"/>
    <w:rsid w:val="65507AC7"/>
    <w:rsid w:val="657C27DC"/>
    <w:rsid w:val="65F1422D"/>
    <w:rsid w:val="660C5D19"/>
    <w:rsid w:val="665B1CD3"/>
    <w:rsid w:val="66756591"/>
    <w:rsid w:val="668D793D"/>
    <w:rsid w:val="66994788"/>
    <w:rsid w:val="66A4124A"/>
    <w:rsid w:val="66B17110"/>
    <w:rsid w:val="66FA1121"/>
    <w:rsid w:val="67262FEA"/>
    <w:rsid w:val="672F50CE"/>
    <w:rsid w:val="673421A1"/>
    <w:rsid w:val="67401089"/>
    <w:rsid w:val="677202BF"/>
    <w:rsid w:val="67760466"/>
    <w:rsid w:val="67A72D76"/>
    <w:rsid w:val="67BC417D"/>
    <w:rsid w:val="67E83C27"/>
    <w:rsid w:val="68262200"/>
    <w:rsid w:val="68350126"/>
    <w:rsid w:val="684E12D8"/>
    <w:rsid w:val="688C5AD2"/>
    <w:rsid w:val="68930186"/>
    <w:rsid w:val="68F16ADF"/>
    <w:rsid w:val="69073BE6"/>
    <w:rsid w:val="69240ED3"/>
    <w:rsid w:val="694351B0"/>
    <w:rsid w:val="69530E9A"/>
    <w:rsid w:val="69A2427D"/>
    <w:rsid w:val="69B61A2D"/>
    <w:rsid w:val="69C6509B"/>
    <w:rsid w:val="69CE49CA"/>
    <w:rsid w:val="69D4450C"/>
    <w:rsid w:val="69D77C23"/>
    <w:rsid w:val="6A0E213E"/>
    <w:rsid w:val="6A1D3DD1"/>
    <w:rsid w:val="6A6812B5"/>
    <w:rsid w:val="6AB1177D"/>
    <w:rsid w:val="6B04321A"/>
    <w:rsid w:val="6B145005"/>
    <w:rsid w:val="6B2018FE"/>
    <w:rsid w:val="6B493F14"/>
    <w:rsid w:val="6B8C6F93"/>
    <w:rsid w:val="6B926872"/>
    <w:rsid w:val="6B9A75DB"/>
    <w:rsid w:val="6BA8175B"/>
    <w:rsid w:val="6BE01F09"/>
    <w:rsid w:val="6BEA5393"/>
    <w:rsid w:val="6BF24A65"/>
    <w:rsid w:val="6BF6440D"/>
    <w:rsid w:val="6C4D6722"/>
    <w:rsid w:val="6C756BFF"/>
    <w:rsid w:val="6C792A11"/>
    <w:rsid w:val="6CC72C00"/>
    <w:rsid w:val="6CE73398"/>
    <w:rsid w:val="6D12455B"/>
    <w:rsid w:val="6D1531BD"/>
    <w:rsid w:val="6D207912"/>
    <w:rsid w:val="6D2B26D1"/>
    <w:rsid w:val="6D2D0302"/>
    <w:rsid w:val="6D3B4D0E"/>
    <w:rsid w:val="6D5538CD"/>
    <w:rsid w:val="6D583155"/>
    <w:rsid w:val="6D703C6B"/>
    <w:rsid w:val="6D7F73F4"/>
    <w:rsid w:val="6E0B12F7"/>
    <w:rsid w:val="6E3E1CA2"/>
    <w:rsid w:val="6E4267EB"/>
    <w:rsid w:val="6E461785"/>
    <w:rsid w:val="6E4B071F"/>
    <w:rsid w:val="6EBC1F56"/>
    <w:rsid w:val="6ECC356C"/>
    <w:rsid w:val="6EFC38E0"/>
    <w:rsid w:val="6F2A1868"/>
    <w:rsid w:val="6F3C3575"/>
    <w:rsid w:val="6F4D791E"/>
    <w:rsid w:val="6FD458E8"/>
    <w:rsid w:val="6FEB67AD"/>
    <w:rsid w:val="700A3C33"/>
    <w:rsid w:val="7079630F"/>
    <w:rsid w:val="709B37D5"/>
    <w:rsid w:val="70A41B48"/>
    <w:rsid w:val="70B108CA"/>
    <w:rsid w:val="70B16E88"/>
    <w:rsid w:val="710E2001"/>
    <w:rsid w:val="7112004E"/>
    <w:rsid w:val="712137D5"/>
    <w:rsid w:val="715173C6"/>
    <w:rsid w:val="71587BF8"/>
    <w:rsid w:val="71627726"/>
    <w:rsid w:val="71876B22"/>
    <w:rsid w:val="71C66832"/>
    <w:rsid w:val="71D2194D"/>
    <w:rsid w:val="71F075F2"/>
    <w:rsid w:val="71F07BFE"/>
    <w:rsid w:val="725C5280"/>
    <w:rsid w:val="727823DC"/>
    <w:rsid w:val="727918F3"/>
    <w:rsid w:val="72873CCA"/>
    <w:rsid w:val="72952BD1"/>
    <w:rsid w:val="72B42364"/>
    <w:rsid w:val="72CF77F9"/>
    <w:rsid w:val="731D2D5A"/>
    <w:rsid w:val="73234BE6"/>
    <w:rsid w:val="734062B2"/>
    <w:rsid w:val="734463A5"/>
    <w:rsid w:val="734923E1"/>
    <w:rsid w:val="736D18DD"/>
    <w:rsid w:val="73AE47C0"/>
    <w:rsid w:val="73CC2623"/>
    <w:rsid w:val="73CD1B8A"/>
    <w:rsid w:val="746E5488"/>
    <w:rsid w:val="74861C87"/>
    <w:rsid w:val="748F0DBA"/>
    <w:rsid w:val="74AE49A9"/>
    <w:rsid w:val="74B53533"/>
    <w:rsid w:val="74BF5CE3"/>
    <w:rsid w:val="74D57400"/>
    <w:rsid w:val="74ED1AFB"/>
    <w:rsid w:val="74ED4733"/>
    <w:rsid w:val="74EF5E10"/>
    <w:rsid w:val="74F630F3"/>
    <w:rsid w:val="75300E3A"/>
    <w:rsid w:val="75562A41"/>
    <w:rsid w:val="75AD2CAB"/>
    <w:rsid w:val="75C206CE"/>
    <w:rsid w:val="75C63E75"/>
    <w:rsid w:val="75DB4288"/>
    <w:rsid w:val="75DF0A95"/>
    <w:rsid w:val="75F7099C"/>
    <w:rsid w:val="76045978"/>
    <w:rsid w:val="762075D5"/>
    <w:rsid w:val="762732B0"/>
    <w:rsid w:val="76492932"/>
    <w:rsid w:val="765B7C11"/>
    <w:rsid w:val="76777CD8"/>
    <w:rsid w:val="76911902"/>
    <w:rsid w:val="76914F7D"/>
    <w:rsid w:val="7693567A"/>
    <w:rsid w:val="769F0613"/>
    <w:rsid w:val="76CF09BC"/>
    <w:rsid w:val="76FF34A7"/>
    <w:rsid w:val="77255E83"/>
    <w:rsid w:val="7759428F"/>
    <w:rsid w:val="77760580"/>
    <w:rsid w:val="777E745A"/>
    <w:rsid w:val="77A24B7F"/>
    <w:rsid w:val="77B0302E"/>
    <w:rsid w:val="77BC27DC"/>
    <w:rsid w:val="77EB6DF0"/>
    <w:rsid w:val="78032DF4"/>
    <w:rsid w:val="78177BE5"/>
    <w:rsid w:val="781D16AC"/>
    <w:rsid w:val="781D3E9B"/>
    <w:rsid w:val="78246944"/>
    <w:rsid w:val="782567A5"/>
    <w:rsid w:val="78506C91"/>
    <w:rsid w:val="785125C6"/>
    <w:rsid w:val="78831316"/>
    <w:rsid w:val="789A4674"/>
    <w:rsid w:val="78C05EF8"/>
    <w:rsid w:val="78CA3B23"/>
    <w:rsid w:val="7909107D"/>
    <w:rsid w:val="790C14B3"/>
    <w:rsid w:val="792425B9"/>
    <w:rsid w:val="79282069"/>
    <w:rsid w:val="79415E38"/>
    <w:rsid w:val="794A5D98"/>
    <w:rsid w:val="796700CE"/>
    <w:rsid w:val="797E309D"/>
    <w:rsid w:val="79A100AE"/>
    <w:rsid w:val="79AF030B"/>
    <w:rsid w:val="7A753860"/>
    <w:rsid w:val="7A842222"/>
    <w:rsid w:val="7A8C2B0C"/>
    <w:rsid w:val="7ABE4C8F"/>
    <w:rsid w:val="7AF94AD7"/>
    <w:rsid w:val="7B0136D8"/>
    <w:rsid w:val="7B0457FD"/>
    <w:rsid w:val="7B0D58A9"/>
    <w:rsid w:val="7B206BD1"/>
    <w:rsid w:val="7B2127B7"/>
    <w:rsid w:val="7B565034"/>
    <w:rsid w:val="7B5C3511"/>
    <w:rsid w:val="7B7817EE"/>
    <w:rsid w:val="7BA01F50"/>
    <w:rsid w:val="7BA0444D"/>
    <w:rsid w:val="7BA05B82"/>
    <w:rsid w:val="7BB71EBD"/>
    <w:rsid w:val="7BDB78F5"/>
    <w:rsid w:val="7C231680"/>
    <w:rsid w:val="7C362E56"/>
    <w:rsid w:val="7C472B99"/>
    <w:rsid w:val="7C9061B7"/>
    <w:rsid w:val="7CA43D7A"/>
    <w:rsid w:val="7CB73744"/>
    <w:rsid w:val="7CC42491"/>
    <w:rsid w:val="7CDA122F"/>
    <w:rsid w:val="7D0111DB"/>
    <w:rsid w:val="7D14065F"/>
    <w:rsid w:val="7D1E3461"/>
    <w:rsid w:val="7D611082"/>
    <w:rsid w:val="7DA64DCE"/>
    <w:rsid w:val="7DD57A1C"/>
    <w:rsid w:val="7DE5369E"/>
    <w:rsid w:val="7E094473"/>
    <w:rsid w:val="7E1B3E2A"/>
    <w:rsid w:val="7E221091"/>
    <w:rsid w:val="7E25246F"/>
    <w:rsid w:val="7E372D8F"/>
    <w:rsid w:val="7E4A7D2B"/>
    <w:rsid w:val="7E747F9D"/>
    <w:rsid w:val="7E7F49C4"/>
    <w:rsid w:val="7E9D2A62"/>
    <w:rsid w:val="7EC44BB4"/>
    <w:rsid w:val="7EE77C46"/>
    <w:rsid w:val="7EF86055"/>
    <w:rsid w:val="7F3157BC"/>
    <w:rsid w:val="7F422C7B"/>
    <w:rsid w:val="7F5D6825"/>
    <w:rsid w:val="7F8A0633"/>
    <w:rsid w:val="7F8E1186"/>
    <w:rsid w:val="7F8F624E"/>
    <w:rsid w:val="7FED76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99"/>
    <w:autoRedefine/>
    <w:qFormat/>
    <w:uiPriority w:val="0"/>
    <w:pPr>
      <w:keepNext/>
      <w:keepLines/>
      <w:spacing w:before="340" w:after="330" w:line="578" w:lineRule="auto"/>
      <w:jc w:val="center"/>
      <w:outlineLvl w:val="0"/>
    </w:pPr>
    <w:rPr>
      <w:b/>
      <w:bCs/>
      <w:kern w:val="44"/>
      <w:sz w:val="32"/>
      <w:szCs w:val="44"/>
    </w:rPr>
  </w:style>
  <w:style w:type="paragraph" w:styleId="3">
    <w:name w:val="heading 2"/>
    <w:basedOn w:val="1"/>
    <w:next w:val="1"/>
    <w:link w:val="67"/>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68"/>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81"/>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78"/>
    <w:autoRedefine/>
    <w:qFormat/>
    <w:uiPriority w:val="0"/>
    <w:pPr>
      <w:keepNext/>
      <w:keepLines/>
      <w:tabs>
        <w:tab w:val="left" w:pos="992"/>
      </w:tabs>
      <w:spacing w:before="280" w:after="290" w:line="372" w:lineRule="auto"/>
      <w:ind w:left="992" w:hanging="992"/>
      <w:outlineLvl w:val="4"/>
    </w:pPr>
    <w:rPr>
      <w:b/>
      <w:bCs/>
      <w:sz w:val="28"/>
      <w:szCs w:val="28"/>
    </w:rPr>
  </w:style>
  <w:style w:type="paragraph" w:styleId="7">
    <w:name w:val="heading 6"/>
    <w:basedOn w:val="1"/>
    <w:next w:val="1"/>
    <w:autoRedefine/>
    <w:semiHidden/>
    <w:unhideWhenUsed/>
    <w:qFormat/>
    <w:uiPriority w:val="0"/>
    <w:pPr>
      <w:keepNext/>
      <w:keepLines/>
      <w:numPr>
        <w:ilvl w:val="5"/>
        <w:numId w:val="1"/>
      </w:numPr>
      <w:spacing w:before="240" w:after="64" w:line="317" w:lineRule="auto"/>
      <w:ind w:left="1151" w:hanging="1151"/>
      <w:outlineLvl w:val="5"/>
    </w:pPr>
    <w:rPr>
      <w:rFonts w:ascii="Arial" w:hAnsi="Arial" w:eastAsia="黑体"/>
      <w:b/>
      <w:sz w:val="24"/>
    </w:rPr>
  </w:style>
  <w:style w:type="paragraph" w:styleId="8">
    <w:name w:val="heading 7"/>
    <w:basedOn w:val="1"/>
    <w:next w:val="1"/>
    <w:autoRedefine/>
    <w:semiHidden/>
    <w:unhideWhenUsed/>
    <w:qFormat/>
    <w:uiPriority w:val="0"/>
    <w:pPr>
      <w:keepNext/>
      <w:keepLines/>
      <w:numPr>
        <w:ilvl w:val="6"/>
        <w:numId w:val="1"/>
      </w:numPr>
      <w:spacing w:before="240" w:after="64" w:line="317" w:lineRule="auto"/>
      <w:ind w:left="1296" w:hanging="1296"/>
      <w:outlineLvl w:val="6"/>
    </w:pPr>
    <w:rPr>
      <w:b/>
      <w:sz w:val="24"/>
    </w:rPr>
  </w:style>
  <w:style w:type="paragraph" w:styleId="9">
    <w:name w:val="heading 8"/>
    <w:basedOn w:val="1"/>
    <w:next w:val="1"/>
    <w:autoRedefine/>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character" w:default="1" w:styleId="50">
    <w:name w:val="Default Paragraph Font"/>
    <w:autoRedefine/>
    <w:semiHidden/>
    <w:unhideWhenUsed/>
    <w:qFormat/>
    <w:uiPriority w:val="1"/>
  </w:style>
  <w:style w:type="table" w:default="1" w:styleId="48">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0">
    <w:name w:val="toc 7"/>
    <w:basedOn w:val="1"/>
    <w:next w:val="1"/>
    <w:autoRedefine/>
    <w:unhideWhenUsed/>
    <w:qFormat/>
    <w:uiPriority w:val="39"/>
    <w:pPr>
      <w:ind w:left="2520" w:leftChars="1200"/>
    </w:pPr>
    <w:rPr>
      <w:rFonts w:ascii="Calibri" w:hAnsi="Calibri"/>
      <w:szCs w:val="22"/>
    </w:rPr>
  </w:style>
  <w:style w:type="paragraph" w:styleId="11">
    <w:name w:val="List Number"/>
    <w:basedOn w:val="1"/>
    <w:autoRedefine/>
    <w:qFormat/>
    <w:uiPriority w:val="0"/>
    <w:pPr>
      <w:widowControl/>
      <w:tabs>
        <w:tab w:val="left" w:pos="454"/>
        <w:tab w:val="left" w:pos="720"/>
      </w:tabs>
      <w:spacing w:afterLines="50"/>
      <w:ind w:left="454" w:hanging="284"/>
      <w:jc w:val="left"/>
    </w:pPr>
    <w:rPr>
      <w:kern w:val="0"/>
      <w:sz w:val="24"/>
      <w:szCs w:val="20"/>
    </w:rPr>
  </w:style>
  <w:style w:type="paragraph" w:styleId="12">
    <w:name w:val="Normal Indent"/>
    <w:basedOn w:val="1"/>
    <w:next w:val="1"/>
    <w:link w:val="72"/>
    <w:autoRedefine/>
    <w:qFormat/>
    <w:uiPriority w:val="0"/>
    <w:pPr>
      <w:ind w:firstLine="420"/>
    </w:pPr>
    <w:rPr>
      <w:szCs w:val="20"/>
    </w:rPr>
  </w:style>
  <w:style w:type="paragraph" w:styleId="13">
    <w:name w:val="caption"/>
    <w:basedOn w:val="1"/>
    <w:next w:val="1"/>
    <w:autoRedefine/>
    <w:qFormat/>
    <w:uiPriority w:val="0"/>
    <w:pPr>
      <w:spacing w:before="152" w:after="160"/>
    </w:pPr>
    <w:rPr>
      <w:rFonts w:ascii="Arial" w:hAnsi="Arial" w:eastAsia="黑体" w:cs="Arial"/>
      <w:sz w:val="20"/>
      <w:szCs w:val="20"/>
    </w:rPr>
  </w:style>
  <w:style w:type="paragraph" w:styleId="14">
    <w:name w:val="Document Map"/>
    <w:basedOn w:val="1"/>
    <w:link w:val="76"/>
    <w:autoRedefine/>
    <w:qFormat/>
    <w:uiPriority w:val="0"/>
    <w:pPr>
      <w:shd w:val="clear" w:color="auto" w:fill="000080"/>
    </w:pPr>
  </w:style>
  <w:style w:type="paragraph" w:styleId="15">
    <w:name w:val="annotation text"/>
    <w:basedOn w:val="1"/>
    <w:link w:val="126"/>
    <w:autoRedefine/>
    <w:qFormat/>
    <w:uiPriority w:val="0"/>
    <w:pPr>
      <w:keepNext w:val="0"/>
      <w:keepLines w:val="0"/>
      <w:widowControl w:val="0"/>
      <w:suppressLineNumbers w:val="0"/>
      <w:spacing w:before="0" w:beforeAutospacing="0" w:after="0" w:afterAutospacing="0"/>
      <w:ind w:left="0" w:right="0"/>
      <w:jc w:val="left"/>
    </w:pPr>
    <w:rPr>
      <w:rFonts w:hint="default" w:ascii="Times New Roman" w:hAnsi="Times New Roman" w:cs="Times New Roman"/>
      <w:kern w:val="2"/>
      <w:sz w:val="21"/>
      <w:szCs w:val="21"/>
      <w:lang w:val="en-US" w:eastAsia="zh-CN" w:bidi="ar"/>
    </w:rPr>
  </w:style>
  <w:style w:type="paragraph" w:styleId="16">
    <w:name w:val="Body Text 3"/>
    <w:basedOn w:val="1"/>
    <w:link w:val="105"/>
    <w:autoRedefine/>
    <w:qFormat/>
    <w:uiPriority w:val="0"/>
    <w:pPr>
      <w:snapToGrid w:val="0"/>
      <w:spacing w:before="50" w:after="50"/>
    </w:pPr>
    <w:rPr>
      <w:rFonts w:hAnsi="宋体" w:eastAsia="仿宋_GB2312"/>
      <w:b/>
      <w:bCs/>
      <w:sz w:val="24"/>
      <w:szCs w:val="20"/>
    </w:rPr>
  </w:style>
  <w:style w:type="paragraph" w:styleId="17">
    <w:name w:val="Body Text"/>
    <w:basedOn w:val="1"/>
    <w:link w:val="132"/>
    <w:autoRedefine/>
    <w:qFormat/>
    <w:uiPriority w:val="0"/>
    <w:pPr>
      <w:spacing w:after="120"/>
    </w:pPr>
    <w:rPr>
      <w:sz w:val="28"/>
    </w:rPr>
  </w:style>
  <w:style w:type="paragraph" w:styleId="18">
    <w:name w:val="Body Text Indent"/>
    <w:basedOn w:val="1"/>
    <w:next w:val="19"/>
    <w:link w:val="120"/>
    <w:autoRedefine/>
    <w:qFormat/>
    <w:uiPriority w:val="0"/>
    <w:pPr>
      <w:spacing w:line="200" w:lineRule="exact"/>
      <w:ind w:firstLine="301"/>
    </w:pPr>
    <w:rPr>
      <w:rFonts w:ascii="宋体" w:hAnsi="Courier New"/>
      <w:spacing w:val="-4"/>
      <w:sz w:val="18"/>
      <w:szCs w:val="20"/>
    </w:rPr>
  </w:style>
  <w:style w:type="paragraph" w:styleId="19">
    <w:name w:val="envelope return"/>
    <w:basedOn w:val="1"/>
    <w:autoRedefine/>
    <w:qFormat/>
    <w:uiPriority w:val="0"/>
    <w:pPr>
      <w:snapToGrid w:val="0"/>
    </w:pPr>
    <w:rPr>
      <w:rFonts w:ascii="Arial" w:hAnsi="Arial" w:cs="Arial"/>
    </w:rPr>
  </w:style>
  <w:style w:type="paragraph" w:styleId="20">
    <w:name w:val="List Number 3"/>
    <w:basedOn w:val="1"/>
    <w:autoRedefine/>
    <w:qFormat/>
    <w:uiPriority w:val="0"/>
    <w:pPr>
      <w:tabs>
        <w:tab w:val="left" w:pos="1200"/>
        <w:tab w:val="left" w:pos="1390"/>
      </w:tabs>
      <w:ind w:left="1390" w:hanging="360"/>
    </w:pPr>
  </w:style>
  <w:style w:type="paragraph" w:styleId="21">
    <w:name w:val="List 2"/>
    <w:basedOn w:val="1"/>
    <w:autoRedefine/>
    <w:qFormat/>
    <w:uiPriority w:val="0"/>
    <w:pPr>
      <w:ind w:left="100" w:leftChars="200" w:hanging="200" w:hangingChars="200"/>
    </w:pPr>
    <w:rPr>
      <w:sz w:val="28"/>
    </w:rPr>
  </w:style>
  <w:style w:type="paragraph" w:styleId="22">
    <w:name w:val="Block Text"/>
    <w:basedOn w:val="1"/>
    <w:autoRedefine/>
    <w:qFormat/>
    <w:uiPriority w:val="0"/>
    <w:pPr>
      <w:autoSpaceDE w:val="0"/>
      <w:autoSpaceDN w:val="0"/>
      <w:adjustRightInd w:val="0"/>
      <w:spacing w:line="500" w:lineRule="exact"/>
      <w:ind w:left="391" w:right="246"/>
    </w:pPr>
    <w:rPr>
      <w:rFonts w:ascii="仿宋_GB2312" w:eastAsia="仿宋_GB2312"/>
      <w:kern w:val="0"/>
    </w:rPr>
  </w:style>
  <w:style w:type="paragraph" w:styleId="23">
    <w:name w:val="toc 5"/>
    <w:basedOn w:val="1"/>
    <w:next w:val="1"/>
    <w:autoRedefine/>
    <w:unhideWhenUsed/>
    <w:qFormat/>
    <w:uiPriority w:val="39"/>
    <w:pPr>
      <w:ind w:left="1680" w:leftChars="800"/>
    </w:pPr>
    <w:rPr>
      <w:rFonts w:ascii="Calibri" w:hAnsi="Calibri"/>
      <w:szCs w:val="22"/>
    </w:rPr>
  </w:style>
  <w:style w:type="paragraph" w:styleId="24">
    <w:name w:val="toc 3"/>
    <w:basedOn w:val="1"/>
    <w:next w:val="1"/>
    <w:autoRedefine/>
    <w:qFormat/>
    <w:uiPriority w:val="39"/>
    <w:pPr>
      <w:ind w:left="840" w:leftChars="400"/>
    </w:pPr>
  </w:style>
  <w:style w:type="paragraph" w:styleId="25">
    <w:name w:val="Plain Text"/>
    <w:basedOn w:val="1"/>
    <w:link w:val="86"/>
    <w:autoRedefine/>
    <w:qFormat/>
    <w:uiPriority w:val="0"/>
    <w:pPr>
      <w:spacing w:beforeLines="50" w:afterLines="50" w:line="400" w:lineRule="exact"/>
    </w:pPr>
    <w:rPr>
      <w:rFonts w:ascii="宋体" w:hAnsi="Courier New"/>
      <w:sz w:val="24"/>
    </w:rPr>
  </w:style>
  <w:style w:type="paragraph" w:styleId="26">
    <w:name w:val="toc 8"/>
    <w:basedOn w:val="1"/>
    <w:next w:val="1"/>
    <w:autoRedefine/>
    <w:unhideWhenUsed/>
    <w:qFormat/>
    <w:uiPriority w:val="39"/>
    <w:pPr>
      <w:ind w:left="2940" w:leftChars="1400"/>
    </w:pPr>
    <w:rPr>
      <w:rFonts w:ascii="Calibri" w:hAnsi="Calibri"/>
      <w:szCs w:val="22"/>
    </w:rPr>
  </w:style>
  <w:style w:type="paragraph" w:styleId="27">
    <w:name w:val="Date"/>
    <w:basedOn w:val="1"/>
    <w:next w:val="1"/>
    <w:link w:val="109"/>
    <w:autoRedefine/>
    <w:qFormat/>
    <w:uiPriority w:val="0"/>
    <w:pPr>
      <w:ind w:left="2500" w:leftChars="2500"/>
    </w:pPr>
    <w:rPr>
      <w:rFonts w:eastAsia="楷体_GB2312"/>
      <w:sz w:val="32"/>
      <w:szCs w:val="20"/>
    </w:rPr>
  </w:style>
  <w:style w:type="paragraph" w:styleId="28">
    <w:name w:val="Body Text Indent 2"/>
    <w:basedOn w:val="1"/>
    <w:link w:val="121"/>
    <w:autoRedefine/>
    <w:qFormat/>
    <w:uiPriority w:val="0"/>
    <w:pPr>
      <w:snapToGrid w:val="0"/>
      <w:ind w:firstLine="542" w:firstLineChars="225"/>
    </w:pPr>
    <w:rPr>
      <w:rFonts w:ascii="仿宋_GB2312" w:hAnsi="宋体"/>
      <w:b/>
      <w:bCs/>
      <w:color w:val="000000"/>
      <w:sz w:val="24"/>
    </w:rPr>
  </w:style>
  <w:style w:type="paragraph" w:styleId="29">
    <w:name w:val="Balloon Text"/>
    <w:basedOn w:val="1"/>
    <w:link w:val="138"/>
    <w:autoRedefine/>
    <w:qFormat/>
    <w:uiPriority w:val="99"/>
    <w:rPr>
      <w:sz w:val="18"/>
      <w:szCs w:val="18"/>
    </w:rPr>
  </w:style>
  <w:style w:type="paragraph" w:styleId="30">
    <w:name w:val="footer"/>
    <w:basedOn w:val="1"/>
    <w:link w:val="130"/>
    <w:autoRedefine/>
    <w:qFormat/>
    <w:uiPriority w:val="0"/>
    <w:pPr>
      <w:tabs>
        <w:tab w:val="center" w:pos="4153"/>
        <w:tab w:val="right" w:pos="8306"/>
      </w:tabs>
      <w:snapToGrid w:val="0"/>
      <w:jc w:val="left"/>
    </w:pPr>
    <w:rPr>
      <w:rFonts w:eastAsia="黑体"/>
      <w:snapToGrid w:val="0"/>
      <w:kern w:val="0"/>
      <w:sz w:val="18"/>
      <w:szCs w:val="18"/>
    </w:rPr>
  </w:style>
  <w:style w:type="paragraph" w:styleId="31">
    <w:name w:val="header"/>
    <w:basedOn w:val="1"/>
    <w:link w:val="112"/>
    <w:autoRedefine/>
    <w:qFormat/>
    <w:uiPriority w:val="0"/>
    <w:pPr>
      <w:pBdr>
        <w:bottom w:val="single" w:color="auto" w:sz="6" w:space="1"/>
      </w:pBdr>
      <w:tabs>
        <w:tab w:val="center" w:pos="4153"/>
        <w:tab w:val="right" w:pos="8306"/>
      </w:tabs>
      <w:snapToGrid w:val="0"/>
      <w:jc w:val="center"/>
    </w:pPr>
    <w:rPr>
      <w:rFonts w:eastAsia="仿宋_GB2312"/>
      <w:sz w:val="18"/>
      <w:szCs w:val="20"/>
    </w:rPr>
  </w:style>
  <w:style w:type="paragraph" w:styleId="32">
    <w:name w:val="toc 1"/>
    <w:basedOn w:val="1"/>
    <w:next w:val="1"/>
    <w:autoRedefine/>
    <w:qFormat/>
    <w:uiPriority w:val="39"/>
  </w:style>
  <w:style w:type="paragraph" w:styleId="33">
    <w:name w:val="toc 4"/>
    <w:basedOn w:val="1"/>
    <w:next w:val="1"/>
    <w:autoRedefine/>
    <w:unhideWhenUsed/>
    <w:qFormat/>
    <w:uiPriority w:val="39"/>
    <w:pPr>
      <w:ind w:left="1260" w:leftChars="600"/>
    </w:pPr>
    <w:rPr>
      <w:rFonts w:ascii="Calibri" w:hAnsi="Calibri"/>
      <w:szCs w:val="22"/>
    </w:rPr>
  </w:style>
  <w:style w:type="paragraph" w:styleId="34">
    <w:name w:val="Subtitle"/>
    <w:basedOn w:val="1"/>
    <w:next w:val="1"/>
    <w:autoRedefine/>
    <w:qFormat/>
    <w:uiPriority w:val="11"/>
    <w:pPr>
      <w:spacing w:before="240" w:after="60" w:line="312" w:lineRule="auto"/>
      <w:jc w:val="center"/>
      <w:outlineLvl w:val="1"/>
    </w:pPr>
    <w:rPr>
      <w:rFonts w:ascii="Calibri" w:hAnsi="Calibri"/>
      <w:b/>
      <w:bCs/>
      <w:kern w:val="28"/>
      <w:sz w:val="32"/>
      <w:szCs w:val="32"/>
    </w:rPr>
  </w:style>
  <w:style w:type="paragraph" w:styleId="35">
    <w:name w:val="List"/>
    <w:basedOn w:val="1"/>
    <w:autoRedefine/>
    <w:qFormat/>
    <w:uiPriority w:val="0"/>
    <w:pPr>
      <w:ind w:left="200" w:hanging="200" w:hangingChars="200"/>
    </w:pPr>
    <w:rPr>
      <w:sz w:val="28"/>
    </w:rPr>
  </w:style>
  <w:style w:type="paragraph" w:styleId="36">
    <w:name w:val="toc 6"/>
    <w:basedOn w:val="1"/>
    <w:next w:val="1"/>
    <w:autoRedefine/>
    <w:unhideWhenUsed/>
    <w:qFormat/>
    <w:uiPriority w:val="39"/>
    <w:pPr>
      <w:ind w:left="2100" w:leftChars="1000"/>
    </w:pPr>
    <w:rPr>
      <w:rFonts w:ascii="Calibri" w:hAnsi="Calibri"/>
      <w:szCs w:val="22"/>
    </w:rPr>
  </w:style>
  <w:style w:type="paragraph" w:styleId="37">
    <w:name w:val="Body Text Indent 3"/>
    <w:basedOn w:val="1"/>
    <w:link w:val="128"/>
    <w:autoRedefine/>
    <w:qFormat/>
    <w:uiPriority w:val="0"/>
    <w:pPr>
      <w:snapToGrid w:val="0"/>
      <w:ind w:firstLine="480" w:firstLineChars="200"/>
      <w:jc w:val="left"/>
    </w:pPr>
    <w:rPr>
      <w:rFonts w:ascii="仿宋_GB2312" w:hAnsi="宋体" w:eastAsia="仿宋_GB2312"/>
      <w:color w:val="000000"/>
      <w:sz w:val="24"/>
    </w:rPr>
  </w:style>
  <w:style w:type="paragraph" w:styleId="38">
    <w:name w:val="toc 2"/>
    <w:basedOn w:val="1"/>
    <w:next w:val="1"/>
    <w:autoRedefine/>
    <w:qFormat/>
    <w:uiPriority w:val="39"/>
    <w:pPr>
      <w:ind w:left="420" w:leftChars="200"/>
    </w:pPr>
  </w:style>
  <w:style w:type="paragraph" w:styleId="39">
    <w:name w:val="toc 9"/>
    <w:basedOn w:val="1"/>
    <w:next w:val="1"/>
    <w:autoRedefine/>
    <w:unhideWhenUsed/>
    <w:qFormat/>
    <w:uiPriority w:val="39"/>
    <w:pPr>
      <w:ind w:left="3360" w:leftChars="1600"/>
    </w:pPr>
    <w:rPr>
      <w:rFonts w:ascii="Calibri" w:hAnsi="Calibri"/>
      <w:szCs w:val="22"/>
    </w:rPr>
  </w:style>
  <w:style w:type="paragraph" w:styleId="40">
    <w:name w:val="Body Text 2"/>
    <w:basedOn w:val="1"/>
    <w:link w:val="134"/>
    <w:autoRedefine/>
    <w:qFormat/>
    <w:uiPriority w:val="0"/>
    <w:pPr>
      <w:widowControl/>
      <w:snapToGrid w:val="0"/>
      <w:spacing w:before="50" w:afterLines="50" w:line="400" w:lineRule="exact"/>
      <w:jc w:val="left"/>
    </w:pPr>
    <w:rPr>
      <w:rFonts w:ascii="宋体" w:hAnsi="宋体"/>
      <w:color w:val="000000"/>
      <w:sz w:val="24"/>
    </w:rPr>
  </w:style>
  <w:style w:type="paragraph" w:styleId="41">
    <w:name w:val="HTML Preformatted"/>
    <w:basedOn w:val="1"/>
    <w:link w:val="11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paragraph" w:styleId="42">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43">
    <w:name w:val="Title"/>
    <w:basedOn w:val="1"/>
    <w:next w:val="1"/>
    <w:link w:val="140"/>
    <w:autoRedefine/>
    <w:qFormat/>
    <w:uiPriority w:val="0"/>
    <w:pPr>
      <w:widowControl/>
      <w:pBdr>
        <w:top w:val="single" w:color="A7BFDE" w:sz="8" w:space="10"/>
        <w:bottom w:val="single" w:color="9BBB59" w:sz="24" w:space="15"/>
      </w:pBdr>
      <w:jc w:val="center"/>
    </w:pPr>
    <w:rPr>
      <w:rFonts w:ascii="Cambria" w:hAnsi="Cambria"/>
      <w:i/>
      <w:iCs/>
      <w:color w:val="243F60"/>
      <w:kern w:val="0"/>
      <w:sz w:val="60"/>
      <w:szCs w:val="60"/>
      <w:lang w:eastAsia="en-US" w:bidi="en-US"/>
    </w:rPr>
  </w:style>
  <w:style w:type="paragraph" w:styleId="44">
    <w:name w:val="annotation subject"/>
    <w:basedOn w:val="15"/>
    <w:next w:val="15"/>
    <w:link w:val="94"/>
    <w:autoRedefine/>
    <w:qFormat/>
    <w:uiPriority w:val="0"/>
    <w:rPr>
      <w:b/>
      <w:bCs/>
    </w:rPr>
  </w:style>
  <w:style w:type="paragraph" w:styleId="45">
    <w:name w:val="Body Text First Indent"/>
    <w:basedOn w:val="17"/>
    <w:next w:val="36"/>
    <w:link w:val="139"/>
    <w:autoRedefine/>
    <w:qFormat/>
    <w:uiPriority w:val="0"/>
    <w:pPr>
      <w:ind w:firstLine="420" w:firstLineChars="100"/>
    </w:pPr>
    <w:rPr>
      <w:sz w:val="21"/>
    </w:rPr>
  </w:style>
  <w:style w:type="paragraph" w:styleId="46">
    <w:name w:val="Body Text First Indent 2"/>
    <w:basedOn w:val="18"/>
    <w:next w:val="47"/>
    <w:link w:val="133"/>
    <w:autoRedefine/>
    <w:qFormat/>
    <w:uiPriority w:val="0"/>
    <w:pPr>
      <w:spacing w:after="120" w:line="240" w:lineRule="auto"/>
      <w:ind w:left="420" w:leftChars="200" w:firstLine="420" w:firstLineChars="200"/>
    </w:pPr>
    <w:rPr>
      <w:sz w:val="21"/>
      <w:szCs w:val="24"/>
    </w:rPr>
  </w:style>
  <w:style w:type="paragraph" w:customStyle="1" w:styleId="47">
    <w:name w:val="xl53"/>
    <w:basedOn w:val="1"/>
    <w:next w:val="1"/>
    <w:autoRedefine/>
    <w:qFormat/>
    <w:uiPriority w:val="99"/>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table" w:styleId="49">
    <w:name w:val="Table Grid"/>
    <w:basedOn w:val="48"/>
    <w:autoRedefine/>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51">
    <w:name w:val="Strong"/>
    <w:autoRedefine/>
    <w:qFormat/>
    <w:uiPriority w:val="0"/>
    <w:rPr>
      <w:b/>
      <w:bCs/>
    </w:rPr>
  </w:style>
  <w:style w:type="character" w:styleId="52">
    <w:name w:val="page number"/>
    <w:basedOn w:val="50"/>
    <w:autoRedefine/>
    <w:qFormat/>
    <w:uiPriority w:val="0"/>
  </w:style>
  <w:style w:type="character" w:styleId="53">
    <w:name w:val="FollowedHyperlink"/>
    <w:basedOn w:val="50"/>
    <w:autoRedefine/>
    <w:qFormat/>
    <w:uiPriority w:val="0"/>
    <w:rPr>
      <w:color w:val="0088CC"/>
      <w:u w:val="none"/>
    </w:rPr>
  </w:style>
  <w:style w:type="character" w:styleId="54">
    <w:name w:val="Emphasis"/>
    <w:autoRedefine/>
    <w:qFormat/>
    <w:uiPriority w:val="0"/>
    <w:rPr>
      <w:i/>
      <w:iCs/>
    </w:rPr>
  </w:style>
  <w:style w:type="character" w:styleId="55">
    <w:name w:val="HTML Definition"/>
    <w:basedOn w:val="50"/>
    <w:autoRedefine/>
    <w:qFormat/>
    <w:uiPriority w:val="0"/>
  </w:style>
  <w:style w:type="character" w:styleId="56">
    <w:name w:val="HTML Typewriter"/>
    <w:basedOn w:val="50"/>
    <w:autoRedefine/>
    <w:qFormat/>
    <w:uiPriority w:val="0"/>
    <w:rPr>
      <w:rFonts w:hint="default" w:ascii="monospace" w:hAnsi="monospace" w:eastAsia="monospace" w:cs="monospace"/>
      <w:sz w:val="20"/>
    </w:rPr>
  </w:style>
  <w:style w:type="character" w:styleId="57">
    <w:name w:val="HTML Acronym"/>
    <w:basedOn w:val="50"/>
    <w:autoRedefine/>
    <w:qFormat/>
    <w:uiPriority w:val="0"/>
  </w:style>
  <w:style w:type="character" w:styleId="58">
    <w:name w:val="HTML Variable"/>
    <w:basedOn w:val="50"/>
    <w:autoRedefine/>
    <w:qFormat/>
    <w:uiPriority w:val="0"/>
  </w:style>
  <w:style w:type="character" w:styleId="59">
    <w:name w:val="Hyperlink"/>
    <w:basedOn w:val="50"/>
    <w:autoRedefine/>
    <w:qFormat/>
    <w:uiPriority w:val="99"/>
    <w:rPr>
      <w:color w:val="0088CC"/>
      <w:u w:val="none"/>
    </w:rPr>
  </w:style>
  <w:style w:type="character" w:styleId="60">
    <w:name w:val="HTML Code"/>
    <w:basedOn w:val="50"/>
    <w:autoRedefine/>
    <w:qFormat/>
    <w:uiPriority w:val="0"/>
    <w:rPr>
      <w:rFonts w:hint="default" w:ascii="monospace" w:hAnsi="monospace" w:eastAsia="monospace" w:cs="monospace"/>
      <w:sz w:val="20"/>
    </w:rPr>
  </w:style>
  <w:style w:type="character" w:styleId="61">
    <w:name w:val="annotation reference"/>
    <w:autoRedefine/>
    <w:qFormat/>
    <w:uiPriority w:val="0"/>
    <w:rPr>
      <w:sz w:val="21"/>
      <w:szCs w:val="21"/>
    </w:rPr>
  </w:style>
  <w:style w:type="character" w:styleId="62">
    <w:name w:val="HTML Cite"/>
    <w:basedOn w:val="50"/>
    <w:autoRedefine/>
    <w:qFormat/>
    <w:uiPriority w:val="0"/>
  </w:style>
  <w:style w:type="character" w:styleId="63">
    <w:name w:val="HTML Keyboard"/>
    <w:basedOn w:val="50"/>
    <w:autoRedefine/>
    <w:qFormat/>
    <w:uiPriority w:val="0"/>
    <w:rPr>
      <w:rFonts w:ascii="monospace" w:hAnsi="monospace" w:eastAsia="monospace" w:cs="monospace"/>
      <w:sz w:val="20"/>
    </w:rPr>
  </w:style>
  <w:style w:type="character" w:styleId="64">
    <w:name w:val="HTML Sample"/>
    <w:basedOn w:val="50"/>
    <w:autoRedefine/>
    <w:qFormat/>
    <w:uiPriority w:val="0"/>
    <w:rPr>
      <w:rFonts w:hint="default" w:ascii="monospace" w:hAnsi="monospace" w:eastAsia="monospace" w:cs="monospace"/>
    </w:rPr>
  </w:style>
  <w:style w:type="paragraph" w:customStyle="1" w:styleId="65">
    <w:name w:val="样式3"/>
    <w:basedOn w:val="1"/>
    <w:next w:val="45"/>
    <w:autoRedefine/>
    <w:qFormat/>
    <w:uiPriority w:val="0"/>
    <w:rPr>
      <w:rFonts w:hint="eastAsia" w:ascii="Times New Roman" w:hAnsi="Times New Roman"/>
      <w:sz w:val="24"/>
    </w:rPr>
  </w:style>
  <w:style w:type="paragraph" w:customStyle="1" w:styleId="66">
    <w:name w:val="BZ_正文"/>
    <w:basedOn w:val="1"/>
    <w:next w:val="1"/>
    <w:autoRedefine/>
    <w:qFormat/>
    <w:uiPriority w:val="0"/>
    <w:pPr>
      <w:widowControl/>
      <w:spacing w:line="360" w:lineRule="auto"/>
      <w:ind w:firstLine="200" w:firstLineChars="200"/>
    </w:pPr>
    <w:rPr>
      <w:rFonts w:ascii="Calibri" w:hAnsi="Calibri"/>
      <w:kern w:val="0"/>
      <w:sz w:val="22"/>
      <w:szCs w:val="22"/>
    </w:rPr>
  </w:style>
  <w:style w:type="character" w:customStyle="1" w:styleId="67">
    <w:name w:val="标题 2 Char"/>
    <w:link w:val="3"/>
    <w:autoRedefine/>
    <w:qFormat/>
    <w:uiPriority w:val="0"/>
    <w:rPr>
      <w:rFonts w:ascii="Arial" w:hAnsi="Arial" w:eastAsia="黑体"/>
      <w:b/>
      <w:bCs/>
      <w:kern w:val="2"/>
      <w:sz w:val="32"/>
      <w:szCs w:val="32"/>
    </w:rPr>
  </w:style>
  <w:style w:type="character" w:customStyle="1" w:styleId="68">
    <w:name w:val="标题 3 Char"/>
    <w:link w:val="4"/>
    <w:autoRedefine/>
    <w:qFormat/>
    <w:uiPriority w:val="0"/>
    <w:rPr>
      <w:b/>
      <w:bCs/>
      <w:kern w:val="2"/>
      <w:sz w:val="32"/>
      <w:szCs w:val="32"/>
    </w:rPr>
  </w:style>
  <w:style w:type="character" w:customStyle="1" w:styleId="69">
    <w:name w:val="apple-converted-space"/>
    <w:basedOn w:val="50"/>
    <w:autoRedefine/>
    <w:qFormat/>
    <w:uiPriority w:val="0"/>
  </w:style>
  <w:style w:type="character" w:customStyle="1" w:styleId="70">
    <w:name w:val="样式1 Char"/>
    <w:link w:val="71"/>
    <w:autoRedefine/>
    <w:qFormat/>
    <w:uiPriority w:val="0"/>
    <w:rPr>
      <w:rFonts w:ascii="宋体" w:hAnsi="宋体"/>
      <w:kern w:val="2"/>
      <w:sz w:val="21"/>
      <w:szCs w:val="21"/>
    </w:rPr>
  </w:style>
  <w:style w:type="paragraph" w:customStyle="1" w:styleId="71">
    <w:name w:val="样式1"/>
    <w:basedOn w:val="1"/>
    <w:link w:val="70"/>
    <w:autoRedefine/>
    <w:qFormat/>
    <w:uiPriority w:val="0"/>
    <w:pPr>
      <w:snapToGrid w:val="0"/>
      <w:spacing w:line="400" w:lineRule="atLeast"/>
      <w:ind w:firstLine="200" w:firstLineChars="200"/>
    </w:pPr>
    <w:rPr>
      <w:rFonts w:ascii="宋体" w:hAnsi="宋体"/>
      <w:szCs w:val="21"/>
    </w:rPr>
  </w:style>
  <w:style w:type="character" w:customStyle="1" w:styleId="72">
    <w:name w:val="正文缩进 Char"/>
    <w:link w:val="12"/>
    <w:autoRedefine/>
    <w:qFormat/>
    <w:uiPriority w:val="0"/>
    <w:rPr>
      <w:rFonts w:eastAsia="宋体"/>
      <w:kern w:val="2"/>
      <w:sz w:val="21"/>
      <w:lang w:val="en-US" w:eastAsia="zh-CN" w:bidi="ar-SA"/>
    </w:rPr>
  </w:style>
  <w:style w:type="character" w:customStyle="1" w:styleId="73">
    <w:name w:val="纯文本 字符"/>
    <w:autoRedefine/>
    <w:qFormat/>
    <w:uiPriority w:val="0"/>
    <w:rPr>
      <w:rFonts w:ascii="宋体" w:hAnsi="Courier New" w:eastAsia="宋体"/>
      <w:kern w:val="2"/>
      <w:sz w:val="24"/>
      <w:szCs w:val="24"/>
      <w:lang w:val="en-US" w:eastAsia="zh-CN" w:bidi="ar-SA"/>
    </w:rPr>
  </w:style>
  <w:style w:type="character" w:customStyle="1" w:styleId="74">
    <w:name w:val="Char Char11"/>
    <w:autoRedefine/>
    <w:qFormat/>
    <w:uiPriority w:val="0"/>
    <w:rPr>
      <w:rFonts w:ascii="宋体" w:hAnsi="Courier New" w:eastAsia="楷体_GB2312"/>
      <w:kern w:val="2"/>
      <w:sz w:val="26"/>
      <w:lang w:val="en-US" w:eastAsia="zh-CN" w:bidi="ar-SA"/>
    </w:rPr>
  </w:style>
  <w:style w:type="character" w:customStyle="1" w:styleId="75">
    <w:name w:val="con"/>
    <w:basedOn w:val="50"/>
    <w:autoRedefine/>
    <w:qFormat/>
    <w:uiPriority w:val="0"/>
  </w:style>
  <w:style w:type="character" w:customStyle="1" w:styleId="76">
    <w:name w:val="文档结构图 Char"/>
    <w:link w:val="14"/>
    <w:autoRedefine/>
    <w:qFormat/>
    <w:uiPriority w:val="0"/>
    <w:rPr>
      <w:kern w:val="2"/>
      <w:sz w:val="21"/>
      <w:szCs w:val="24"/>
      <w:shd w:val="clear" w:color="auto" w:fill="000080"/>
    </w:rPr>
  </w:style>
  <w:style w:type="character" w:customStyle="1" w:styleId="77">
    <w:name w:val="批注框文本 Char1"/>
    <w:autoRedefine/>
    <w:semiHidden/>
    <w:qFormat/>
    <w:uiPriority w:val="99"/>
    <w:rPr>
      <w:rFonts w:ascii="Times New Roman" w:hAnsi="Times New Roman" w:eastAsia="宋体" w:cs="Times New Roman"/>
      <w:sz w:val="18"/>
      <w:szCs w:val="18"/>
    </w:rPr>
  </w:style>
  <w:style w:type="character" w:customStyle="1" w:styleId="78">
    <w:name w:val="标题 5 Char"/>
    <w:link w:val="6"/>
    <w:autoRedefine/>
    <w:qFormat/>
    <w:uiPriority w:val="0"/>
    <w:rPr>
      <w:b/>
      <w:bCs/>
      <w:kern w:val="2"/>
      <w:sz w:val="28"/>
      <w:szCs w:val="28"/>
    </w:rPr>
  </w:style>
  <w:style w:type="character" w:customStyle="1" w:styleId="79">
    <w:name w:val="正文样式1 Char"/>
    <w:link w:val="80"/>
    <w:autoRedefine/>
    <w:qFormat/>
    <w:locked/>
    <w:uiPriority w:val="0"/>
    <w:rPr>
      <w:rFonts w:ascii="宋体" w:hAnsi="宋体" w:eastAsia="仿宋"/>
      <w:sz w:val="28"/>
      <w:szCs w:val="24"/>
    </w:rPr>
  </w:style>
  <w:style w:type="paragraph" w:customStyle="1" w:styleId="80">
    <w:name w:val="正文样式1"/>
    <w:basedOn w:val="1"/>
    <w:link w:val="79"/>
    <w:autoRedefine/>
    <w:qFormat/>
    <w:uiPriority w:val="0"/>
    <w:pPr>
      <w:spacing w:line="360" w:lineRule="auto"/>
      <w:ind w:firstLine="200" w:firstLineChars="200"/>
      <w:jc w:val="left"/>
    </w:pPr>
    <w:rPr>
      <w:rFonts w:ascii="宋体" w:hAnsi="宋体" w:eastAsia="仿宋"/>
      <w:kern w:val="0"/>
      <w:sz w:val="28"/>
    </w:rPr>
  </w:style>
  <w:style w:type="character" w:customStyle="1" w:styleId="81">
    <w:name w:val="标题 4 Char"/>
    <w:link w:val="5"/>
    <w:autoRedefine/>
    <w:qFormat/>
    <w:uiPriority w:val="0"/>
    <w:rPr>
      <w:rFonts w:ascii="Arial" w:hAnsi="Arial" w:eastAsia="黑体"/>
      <w:b/>
      <w:bCs/>
      <w:kern w:val="2"/>
      <w:sz w:val="28"/>
      <w:szCs w:val="28"/>
    </w:rPr>
  </w:style>
  <w:style w:type="character" w:customStyle="1" w:styleId="82">
    <w:name w:val="列表段落 字符"/>
    <w:link w:val="83"/>
    <w:autoRedefine/>
    <w:qFormat/>
    <w:locked/>
    <w:uiPriority w:val="0"/>
    <w:rPr>
      <w:rFonts w:ascii="Calibri" w:hAnsi="Calibri"/>
      <w:kern w:val="2"/>
      <w:sz w:val="24"/>
      <w:szCs w:val="22"/>
    </w:rPr>
  </w:style>
  <w:style w:type="paragraph" w:customStyle="1" w:styleId="83">
    <w:name w:val="_Style 203"/>
    <w:basedOn w:val="1"/>
    <w:next w:val="84"/>
    <w:link w:val="82"/>
    <w:autoRedefine/>
    <w:qFormat/>
    <w:uiPriority w:val="34"/>
    <w:pPr>
      <w:spacing w:line="360" w:lineRule="auto"/>
      <w:ind w:firstLine="420" w:firstLineChars="200"/>
    </w:pPr>
    <w:rPr>
      <w:rFonts w:ascii="Calibri" w:hAnsi="Calibri"/>
      <w:sz w:val="24"/>
      <w:szCs w:val="22"/>
    </w:rPr>
  </w:style>
  <w:style w:type="paragraph" w:styleId="84">
    <w:name w:val="List Paragraph"/>
    <w:basedOn w:val="1"/>
    <w:link w:val="85"/>
    <w:autoRedefine/>
    <w:qFormat/>
    <w:uiPriority w:val="0"/>
    <w:pPr>
      <w:spacing w:line="360" w:lineRule="auto"/>
      <w:ind w:firstLine="420" w:firstLineChars="200"/>
    </w:pPr>
    <w:rPr>
      <w:rFonts w:ascii="Calibri" w:hAnsi="Calibri"/>
      <w:sz w:val="24"/>
      <w:szCs w:val="22"/>
    </w:rPr>
  </w:style>
  <w:style w:type="character" w:customStyle="1" w:styleId="85">
    <w:name w:val="列出段落 Char"/>
    <w:link w:val="84"/>
    <w:autoRedefine/>
    <w:qFormat/>
    <w:locked/>
    <w:uiPriority w:val="34"/>
    <w:rPr>
      <w:rFonts w:ascii="Calibri" w:hAnsi="Calibri"/>
      <w:kern w:val="2"/>
      <w:sz w:val="24"/>
      <w:szCs w:val="22"/>
    </w:rPr>
  </w:style>
  <w:style w:type="character" w:customStyle="1" w:styleId="86">
    <w:name w:val="纯文本 Char"/>
    <w:link w:val="25"/>
    <w:autoRedefine/>
    <w:qFormat/>
    <w:uiPriority w:val="0"/>
    <w:rPr>
      <w:rFonts w:ascii="宋体" w:hAnsi="Courier New" w:eastAsia="宋体"/>
      <w:kern w:val="2"/>
      <w:sz w:val="24"/>
      <w:szCs w:val="24"/>
      <w:lang w:val="en-US" w:eastAsia="zh-CN" w:bidi="ar-SA"/>
    </w:rPr>
  </w:style>
  <w:style w:type="character" w:customStyle="1" w:styleId="87">
    <w:name w:val="font11"/>
    <w:autoRedefine/>
    <w:qFormat/>
    <w:uiPriority w:val="0"/>
    <w:rPr>
      <w:rFonts w:hint="eastAsia" w:ascii="宋体" w:hAnsi="宋体" w:eastAsia="宋体" w:cs="宋体"/>
      <w:color w:val="000000"/>
      <w:sz w:val="20"/>
      <w:szCs w:val="20"/>
      <w:u w:val="none"/>
    </w:rPr>
  </w:style>
  <w:style w:type="character" w:customStyle="1" w:styleId="88">
    <w:name w:val="正文样式 Char Char"/>
    <w:link w:val="89"/>
    <w:autoRedefine/>
    <w:qFormat/>
    <w:uiPriority w:val="0"/>
    <w:rPr>
      <w:rFonts w:cs="Lucida Sans"/>
      <w:kern w:val="2"/>
      <w:sz w:val="24"/>
      <w:szCs w:val="24"/>
    </w:rPr>
  </w:style>
  <w:style w:type="paragraph" w:customStyle="1" w:styleId="89">
    <w:name w:val="正文样式"/>
    <w:basedOn w:val="1"/>
    <w:link w:val="88"/>
    <w:autoRedefine/>
    <w:qFormat/>
    <w:uiPriority w:val="0"/>
    <w:pPr>
      <w:spacing w:line="360" w:lineRule="auto"/>
      <w:ind w:firstLine="200" w:firstLineChars="200"/>
    </w:pPr>
    <w:rPr>
      <w:sz w:val="24"/>
    </w:rPr>
  </w:style>
  <w:style w:type="character" w:customStyle="1" w:styleId="90">
    <w:name w:val="批注文字 Char1"/>
    <w:autoRedefine/>
    <w:qFormat/>
    <w:uiPriority w:val="0"/>
    <w:rPr>
      <w:rFonts w:ascii="Times New Roman" w:hAnsi="Times New Roman" w:eastAsia="宋体" w:cs="Times New Roman"/>
      <w:szCs w:val="20"/>
    </w:rPr>
  </w:style>
  <w:style w:type="character" w:customStyle="1" w:styleId="91">
    <w:name w:val="font81"/>
    <w:autoRedefine/>
    <w:qFormat/>
    <w:uiPriority w:val="0"/>
    <w:rPr>
      <w:rFonts w:hint="eastAsia" w:ascii="宋体" w:hAnsi="宋体" w:eastAsia="宋体"/>
      <w:b/>
      <w:bCs/>
      <w:color w:val="000000"/>
      <w:sz w:val="32"/>
      <w:szCs w:val="32"/>
      <w:u w:val="none"/>
    </w:rPr>
  </w:style>
  <w:style w:type="character" w:customStyle="1" w:styleId="92">
    <w:name w:val="纯文本 Char2"/>
    <w:autoRedefine/>
    <w:qFormat/>
    <w:uiPriority w:val="0"/>
    <w:rPr>
      <w:rFonts w:ascii="宋体" w:hAnsi="Courier New" w:eastAsia="宋体"/>
      <w:kern w:val="2"/>
      <w:sz w:val="24"/>
      <w:szCs w:val="24"/>
      <w:lang w:val="en-US" w:eastAsia="zh-CN" w:bidi="ar-SA"/>
    </w:rPr>
  </w:style>
  <w:style w:type="character" w:customStyle="1" w:styleId="93">
    <w:name w:val="正文缩进 字符"/>
    <w:autoRedefine/>
    <w:qFormat/>
    <w:uiPriority w:val="0"/>
    <w:rPr>
      <w:rFonts w:eastAsia="宋体"/>
      <w:kern w:val="2"/>
      <w:sz w:val="21"/>
      <w:lang w:val="en-US" w:eastAsia="zh-CN" w:bidi="ar-SA"/>
    </w:rPr>
  </w:style>
  <w:style w:type="character" w:customStyle="1" w:styleId="94">
    <w:name w:val="批注主题 Char"/>
    <w:link w:val="44"/>
    <w:autoRedefine/>
    <w:qFormat/>
    <w:uiPriority w:val="0"/>
    <w:rPr>
      <w:b/>
      <w:bCs/>
      <w:kern w:val="2"/>
      <w:sz w:val="21"/>
      <w:szCs w:val="24"/>
    </w:rPr>
  </w:style>
  <w:style w:type="character" w:customStyle="1" w:styleId="95">
    <w:name w:val="font21"/>
    <w:autoRedefine/>
    <w:qFormat/>
    <w:uiPriority w:val="0"/>
    <w:rPr>
      <w:rFonts w:hint="eastAsia" w:ascii="宋体" w:hAnsi="宋体" w:eastAsia="宋体"/>
      <w:color w:val="000000"/>
      <w:sz w:val="24"/>
      <w:szCs w:val="24"/>
      <w:u w:val="none"/>
    </w:rPr>
  </w:style>
  <w:style w:type="character" w:customStyle="1" w:styleId="96">
    <w:name w:val="font41"/>
    <w:autoRedefine/>
    <w:qFormat/>
    <w:uiPriority w:val="0"/>
    <w:rPr>
      <w:rFonts w:ascii="Calibri" w:hAnsi="Calibri" w:cs="Calibri"/>
      <w:color w:val="000000"/>
      <w:sz w:val="22"/>
      <w:szCs w:val="22"/>
      <w:u w:val="none"/>
    </w:rPr>
  </w:style>
  <w:style w:type="character" w:customStyle="1" w:styleId="97">
    <w:name w:val="彩色列表 - 强调文字颜色 1 Char"/>
    <w:link w:val="98"/>
    <w:autoRedefine/>
    <w:qFormat/>
    <w:locked/>
    <w:uiPriority w:val="34"/>
    <w:rPr>
      <w:rFonts w:ascii="Calibri" w:hAnsi="Calibri"/>
      <w:kern w:val="2"/>
      <w:sz w:val="24"/>
      <w:szCs w:val="22"/>
    </w:rPr>
  </w:style>
  <w:style w:type="paragraph" w:customStyle="1" w:styleId="98">
    <w:name w:val="彩色列表 - 强调文字颜色 11"/>
    <w:basedOn w:val="1"/>
    <w:link w:val="97"/>
    <w:autoRedefine/>
    <w:qFormat/>
    <w:uiPriority w:val="34"/>
    <w:pPr>
      <w:spacing w:line="360" w:lineRule="auto"/>
      <w:ind w:firstLine="420" w:firstLineChars="200"/>
    </w:pPr>
    <w:rPr>
      <w:rFonts w:ascii="Calibri" w:hAnsi="Calibri"/>
      <w:sz w:val="24"/>
      <w:szCs w:val="22"/>
    </w:rPr>
  </w:style>
  <w:style w:type="character" w:customStyle="1" w:styleId="99">
    <w:name w:val="标题 1 Char"/>
    <w:link w:val="2"/>
    <w:autoRedefine/>
    <w:qFormat/>
    <w:locked/>
    <w:uiPriority w:val="99"/>
    <w:rPr>
      <w:b/>
      <w:bCs/>
      <w:kern w:val="44"/>
      <w:sz w:val="32"/>
      <w:szCs w:val="44"/>
    </w:rPr>
  </w:style>
  <w:style w:type="character" w:customStyle="1" w:styleId="100">
    <w:name w:val="Header Char"/>
    <w:autoRedefine/>
    <w:qFormat/>
    <w:locked/>
    <w:uiPriority w:val="0"/>
    <w:rPr>
      <w:rFonts w:cs="Times New Roman"/>
      <w:kern w:val="2"/>
      <w:sz w:val="18"/>
      <w:szCs w:val="18"/>
    </w:rPr>
  </w:style>
  <w:style w:type="character" w:customStyle="1" w:styleId="101">
    <w:name w:val="批注文字 Char2"/>
    <w:autoRedefine/>
    <w:qFormat/>
    <w:uiPriority w:val="0"/>
    <w:rPr>
      <w:kern w:val="2"/>
      <w:sz w:val="21"/>
      <w:szCs w:val="24"/>
    </w:rPr>
  </w:style>
  <w:style w:type="character" w:customStyle="1" w:styleId="102">
    <w:name w:val="正文文本 字符"/>
    <w:autoRedefine/>
    <w:qFormat/>
    <w:uiPriority w:val="0"/>
    <w:rPr>
      <w:kern w:val="2"/>
      <w:sz w:val="28"/>
      <w:szCs w:val="24"/>
    </w:rPr>
  </w:style>
  <w:style w:type="character" w:customStyle="1" w:styleId="103">
    <w:name w:val="内容 Char Char"/>
    <w:link w:val="104"/>
    <w:autoRedefine/>
    <w:qFormat/>
    <w:uiPriority w:val="0"/>
    <w:rPr>
      <w:rFonts w:ascii="Calibri" w:hAnsi="Calibri"/>
      <w:kern w:val="2"/>
      <w:sz w:val="24"/>
      <w:szCs w:val="28"/>
    </w:rPr>
  </w:style>
  <w:style w:type="paragraph" w:customStyle="1" w:styleId="104">
    <w:name w:val="内容"/>
    <w:basedOn w:val="1"/>
    <w:link w:val="103"/>
    <w:autoRedefine/>
    <w:qFormat/>
    <w:uiPriority w:val="0"/>
    <w:pPr>
      <w:spacing w:line="360" w:lineRule="auto"/>
      <w:ind w:firstLine="200" w:firstLineChars="200"/>
    </w:pPr>
    <w:rPr>
      <w:rFonts w:ascii="Calibri" w:hAnsi="Calibri"/>
      <w:sz w:val="24"/>
      <w:szCs w:val="28"/>
    </w:rPr>
  </w:style>
  <w:style w:type="character" w:customStyle="1" w:styleId="105">
    <w:name w:val="正文文本 3 Char"/>
    <w:link w:val="16"/>
    <w:autoRedefine/>
    <w:qFormat/>
    <w:uiPriority w:val="0"/>
    <w:rPr>
      <w:rFonts w:hAnsi="宋体" w:eastAsia="仿宋_GB2312"/>
      <w:b/>
      <w:bCs/>
      <w:kern w:val="2"/>
      <w:sz w:val="24"/>
    </w:rPr>
  </w:style>
  <w:style w:type="character" w:customStyle="1" w:styleId="106">
    <w:name w:val="列出段落 Char1"/>
    <w:autoRedefine/>
    <w:qFormat/>
    <w:locked/>
    <w:uiPriority w:val="34"/>
    <w:rPr>
      <w:rFonts w:ascii="Calibri" w:hAnsi="Calibri"/>
      <w:kern w:val="2"/>
      <w:sz w:val="24"/>
      <w:szCs w:val="22"/>
    </w:rPr>
  </w:style>
  <w:style w:type="character" w:customStyle="1" w:styleId="107">
    <w:name w:val="列表1 Char Char"/>
    <w:link w:val="108"/>
    <w:autoRedefine/>
    <w:qFormat/>
    <w:locked/>
    <w:uiPriority w:val="0"/>
    <w:rPr>
      <w:kern w:val="2"/>
      <w:sz w:val="21"/>
      <w:szCs w:val="24"/>
    </w:rPr>
  </w:style>
  <w:style w:type="paragraph" w:customStyle="1" w:styleId="108">
    <w:name w:val="列表1"/>
    <w:basedOn w:val="1"/>
    <w:next w:val="1"/>
    <w:link w:val="107"/>
    <w:autoRedefine/>
    <w:qFormat/>
    <w:uiPriority w:val="0"/>
    <w:pPr>
      <w:spacing w:before="120" w:after="120"/>
      <w:ind w:left="840" w:hanging="420"/>
    </w:pPr>
  </w:style>
  <w:style w:type="character" w:customStyle="1" w:styleId="109">
    <w:name w:val="日期 Char"/>
    <w:link w:val="27"/>
    <w:autoRedefine/>
    <w:qFormat/>
    <w:uiPriority w:val="0"/>
    <w:rPr>
      <w:rFonts w:eastAsia="楷体_GB2312"/>
      <w:kern w:val="2"/>
      <w:sz w:val="32"/>
    </w:rPr>
  </w:style>
  <w:style w:type="character" w:customStyle="1" w:styleId="110">
    <w:name w:val="纯文本 字符1"/>
    <w:autoRedefine/>
    <w:qFormat/>
    <w:uiPriority w:val="0"/>
    <w:rPr>
      <w:rFonts w:ascii="宋体" w:hAnsi="Courier New" w:eastAsia="宋体"/>
      <w:kern w:val="2"/>
      <w:sz w:val="24"/>
      <w:szCs w:val="24"/>
      <w:lang w:val="en-US" w:eastAsia="zh-CN" w:bidi="ar-SA"/>
    </w:rPr>
  </w:style>
  <w:style w:type="character" w:customStyle="1" w:styleId="111">
    <w:name w:val="页脚 Char1"/>
    <w:autoRedefine/>
    <w:semiHidden/>
    <w:qFormat/>
    <w:uiPriority w:val="99"/>
    <w:rPr>
      <w:rFonts w:ascii="Times New Roman" w:hAnsi="Times New Roman" w:eastAsia="宋体" w:cs="Times New Roman"/>
      <w:sz w:val="18"/>
      <w:szCs w:val="18"/>
    </w:rPr>
  </w:style>
  <w:style w:type="character" w:customStyle="1" w:styleId="112">
    <w:name w:val="页眉 Char"/>
    <w:link w:val="31"/>
    <w:autoRedefine/>
    <w:qFormat/>
    <w:uiPriority w:val="0"/>
    <w:rPr>
      <w:rFonts w:eastAsia="仿宋_GB2312"/>
      <w:kern w:val="2"/>
      <w:sz w:val="18"/>
    </w:rPr>
  </w:style>
  <w:style w:type="character" w:customStyle="1" w:styleId="113">
    <w:name w:val="HTML 预设格式 Char"/>
    <w:link w:val="41"/>
    <w:autoRedefine/>
    <w:qFormat/>
    <w:uiPriority w:val="0"/>
    <w:rPr>
      <w:rFonts w:ascii="Arial" w:hAnsi="Arial" w:cs="Arial"/>
      <w:sz w:val="21"/>
      <w:szCs w:val="21"/>
    </w:rPr>
  </w:style>
  <w:style w:type="character" w:customStyle="1" w:styleId="114">
    <w:name w:val="标准正文格式 Char Char"/>
    <w:link w:val="115"/>
    <w:autoRedefine/>
    <w:qFormat/>
    <w:uiPriority w:val="0"/>
    <w:rPr>
      <w:rFonts w:ascii="宋体" w:eastAsia="仿宋_GB2312" w:cs="宋体"/>
      <w:color w:val="000000"/>
      <w:sz w:val="24"/>
      <w:lang w:val="en-US" w:eastAsia="zh-CN" w:bidi="ar-SA"/>
    </w:rPr>
  </w:style>
  <w:style w:type="paragraph" w:customStyle="1" w:styleId="115">
    <w:name w:val="标准正文格式"/>
    <w:basedOn w:val="1"/>
    <w:link w:val="114"/>
    <w:autoRedefine/>
    <w:qFormat/>
    <w:uiPriority w:val="0"/>
    <w:pPr>
      <w:widowControl/>
      <w:adjustRightInd w:val="0"/>
      <w:spacing w:before="60" w:after="120" w:line="360" w:lineRule="auto"/>
      <w:ind w:firstLine="200" w:firstLineChars="200"/>
      <w:textAlignment w:val="baseline"/>
    </w:pPr>
    <w:rPr>
      <w:rFonts w:ascii="宋体" w:eastAsia="仿宋_GB2312" w:cs="宋体"/>
      <w:color w:val="000000"/>
      <w:kern w:val="0"/>
      <w:sz w:val="24"/>
      <w:szCs w:val="20"/>
    </w:rPr>
  </w:style>
  <w:style w:type="character" w:customStyle="1" w:styleId="116">
    <w:name w:val="font51"/>
    <w:autoRedefine/>
    <w:qFormat/>
    <w:uiPriority w:val="0"/>
    <w:rPr>
      <w:rFonts w:hint="eastAsia" w:ascii="宋体" w:hAnsi="宋体" w:eastAsia="宋体" w:cs="宋体"/>
      <w:color w:val="000000"/>
      <w:sz w:val="24"/>
      <w:szCs w:val="24"/>
      <w:u w:val="none"/>
    </w:rPr>
  </w:style>
  <w:style w:type="character" w:customStyle="1" w:styleId="117">
    <w:name w:val="模板正文 Char Char"/>
    <w:link w:val="118"/>
    <w:autoRedefine/>
    <w:qFormat/>
    <w:uiPriority w:val="0"/>
    <w:rPr>
      <w:kern w:val="2"/>
      <w:sz w:val="24"/>
      <w:szCs w:val="21"/>
    </w:rPr>
  </w:style>
  <w:style w:type="paragraph" w:customStyle="1" w:styleId="118">
    <w:name w:val="模板正文"/>
    <w:basedOn w:val="1"/>
    <w:link w:val="117"/>
    <w:autoRedefine/>
    <w:qFormat/>
    <w:uiPriority w:val="0"/>
    <w:pPr>
      <w:wordWrap w:val="0"/>
      <w:spacing w:line="360" w:lineRule="auto"/>
      <w:ind w:firstLine="200" w:firstLineChars="200"/>
    </w:pPr>
    <w:rPr>
      <w:sz w:val="24"/>
      <w:szCs w:val="21"/>
    </w:rPr>
  </w:style>
  <w:style w:type="character" w:customStyle="1" w:styleId="119">
    <w:name w:val="批注主题 Char1"/>
    <w:autoRedefine/>
    <w:qFormat/>
    <w:uiPriority w:val="0"/>
    <w:rPr>
      <w:b/>
      <w:bCs/>
      <w:kern w:val="2"/>
      <w:sz w:val="21"/>
      <w:szCs w:val="24"/>
    </w:rPr>
  </w:style>
  <w:style w:type="character" w:customStyle="1" w:styleId="120">
    <w:name w:val="正文文本缩进 Char"/>
    <w:link w:val="18"/>
    <w:autoRedefine/>
    <w:qFormat/>
    <w:uiPriority w:val="0"/>
    <w:rPr>
      <w:rFonts w:ascii="宋体" w:hAnsi="Courier New"/>
      <w:spacing w:val="-4"/>
      <w:kern w:val="2"/>
      <w:sz w:val="18"/>
    </w:rPr>
  </w:style>
  <w:style w:type="character" w:customStyle="1" w:styleId="121">
    <w:name w:val="正文文本缩进 2 Char"/>
    <w:link w:val="28"/>
    <w:autoRedefine/>
    <w:qFormat/>
    <w:uiPriority w:val="0"/>
    <w:rPr>
      <w:rFonts w:ascii="仿宋_GB2312" w:hAnsi="宋体" w:cs="Arial"/>
      <w:b/>
      <w:bCs/>
      <w:color w:val="000000"/>
      <w:kern w:val="2"/>
      <w:sz w:val="24"/>
      <w:szCs w:val="24"/>
    </w:rPr>
  </w:style>
  <w:style w:type="character" w:customStyle="1" w:styleId="122">
    <w:name w:val="Char Char"/>
    <w:autoRedefine/>
    <w:qFormat/>
    <w:uiPriority w:val="0"/>
    <w:rPr>
      <w:rFonts w:ascii="宋体" w:hAnsi="Courier New" w:eastAsia="楷体_GB2312"/>
      <w:kern w:val="2"/>
      <w:sz w:val="26"/>
      <w:lang w:val="en-US" w:eastAsia="zh-CN" w:bidi="ar-SA"/>
    </w:rPr>
  </w:style>
  <w:style w:type="character" w:customStyle="1" w:styleId="123">
    <w:name w:val="列出段落 字符"/>
    <w:link w:val="124"/>
    <w:autoRedefine/>
    <w:qFormat/>
    <w:uiPriority w:val="34"/>
    <w:rPr>
      <w:rFonts w:eastAsia="微软雅黑"/>
      <w:sz w:val="24"/>
    </w:rPr>
  </w:style>
  <w:style w:type="paragraph" w:customStyle="1" w:styleId="124">
    <w:name w:val="列出段落12"/>
    <w:basedOn w:val="1"/>
    <w:link w:val="123"/>
    <w:autoRedefine/>
    <w:qFormat/>
    <w:uiPriority w:val="34"/>
    <w:pPr>
      <w:ind w:firstLine="420" w:firstLineChars="200"/>
    </w:pPr>
    <w:rPr>
      <w:rFonts w:eastAsia="微软雅黑"/>
      <w:kern w:val="0"/>
      <w:sz w:val="24"/>
      <w:szCs w:val="20"/>
    </w:rPr>
  </w:style>
  <w:style w:type="character" w:customStyle="1" w:styleId="125">
    <w:name w:val="标题 1 Char Char"/>
    <w:autoRedefine/>
    <w:qFormat/>
    <w:uiPriority w:val="0"/>
    <w:rPr>
      <w:rFonts w:eastAsia="宋体"/>
      <w:b/>
      <w:spacing w:val="-2"/>
      <w:sz w:val="24"/>
      <w:lang w:val="en-US" w:eastAsia="zh-CN" w:bidi="ar-SA"/>
    </w:rPr>
  </w:style>
  <w:style w:type="character" w:customStyle="1" w:styleId="126">
    <w:name w:val="批注文字 Char"/>
    <w:link w:val="15"/>
    <w:autoRedefine/>
    <w:qFormat/>
    <w:uiPriority w:val="0"/>
    <w:rPr>
      <w:kern w:val="2"/>
      <w:sz w:val="21"/>
      <w:szCs w:val="24"/>
    </w:rPr>
  </w:style>
  <w:style w:type="character" w:customStyle="1" w:styleId="127">
    <w:name w:val="Char Char1"/>
    <w:autoRedefine/>
    <w:qFormat/>
    <w:uiPriority w:val="0"/>
    <w:rPr>
      <w:rFonts w:ascii="宋体" w:hAnsi="Courier New" w:eastAsia="宋体"/>
      <w:kern w:val="2"/>
      <w:sz w:val="24"/>
      <w:szCs w:val="24"/>
      <w:lang w:val="en-US" w:eastAsia="zh-CN" w:bidi="ar-SA"/>
    </w:rPr>
  </w:style>
  <w:style w:type="character" w:customStyle="1" w:styleId="128">
    <w:name w:val="正文文本缩进 3 Char"/>
    <w:link w:val="37"/>
    <w:autoRedefine/>
    <w:qFormat/>
    <w:uiPriority w:val="0"/>
    <w:rPr>
      <w:rFonts w:ascii="仿宋_GB2312" w:hAnsi="宋体" w:eastAsia="仿宋_GB2312"/>
      <w:color w:val="000000"/>
      <w:kern w:val="2"/>
      <w:sz w:val="24"/>
      <w:szCs w:val="24"/>
    </w:rPr>
  </w:style>
  <w:style w:type="character" w:customStyle="1" w:styleId="129">
    <w:name w:val="font01"/>
    <w:autoRedefine/>
    <w:qFormat/>
    <w:uiPriority w:val="0"/>
    <w:rPr>
      <w:rFonts w:hint="eastAsia" w:ascii="宋体" w:hAnsi="宋体" w:eastAsia="宋体"/>
      <w:color w:val="000000"/>
      <w:sz w:val="24"/>
      <w:szCs w:val="24"/>
      <w:u w:val="none"/>
    </w:rPr>
  </w:style>
  <w:style w:type="character" w:customStyle="1" w:styleId="130">
    <w:name w:val="页脚 Char"/>
    <w:link w:val="30"/>
    <w:autoRedefine/>
    <w:qFormat/>
    <w:locked/>
    <w:uiPriority w:val="0"/>
    <w:rPr>
      <w:rFonts w:eastAsia="黑体"/>
      <w:snapToGrid w:val="0"/>
      <w:sz w:val="18"/>
      <w:szCs w:val="18"/>
    </w:rPr>
  </w:style>
  <w:style w:type="character" w:customStyle="1" w:styleId="131">
    <w:name w:val="font61"/>
    <w:autoRedefine/>
    <w:qFormat/>
    <w:uiPriority w:val="0"/>
    <w:rPr>
      <w:rFonts w:hint="eastAsia" w:ascii="宋体" w:hAnsi="宋体" w:eastAsia="宋体"/>
      <w:b/>
      <w:bCs/>
      <w:color w:val="000000"/>
      <w:sz w:val="32"/>
      <w:szCs w:val="32"/>
      <w:u w:val="none"/>
    </w:rPr>
  </w:style>
  <w:style w:type="character" w:customStyle="1" w:styleId="132">
    <w:name w:val="正文文本 Char"/>
    <w:link w:val="17"/>
    <w:autoRedefine/>
    <w:qFormat/>
    <w:uiPriority w:val="0"/>
    <w:rPr>
      <w:kern w:val="2"/>
      <w:sz w:val="28"/>
      <w:szCs w:val="24"/>
    </w:rPr>
  </w:style>
  <w:style w:type="character" w:customStyle="1" w:styleId="133">
    <w:name w:val="正文首行缩进 2 Char"/>
    <w:link w:val="46"/>
    <w:autoRedefine/>
    <w:qFormat/>
    <w:uiPriority w:val="0"/>
    <w:rPr>
      <w:rFonts w:ascii="宋体" w:hAnsi="Courier New"/>
      <w:spacing w:val="-4"/>
      <w:kern w:val="2"/>
      <w:sz w:val="21"/>
      <w:szCs w:val="24"/>
    </w:rPr>
  </w:style>
  <w:style w:type="character" w:customStyle="1" w:styleId="134">
    <w:name w:val="正文文本 2 Char"/>
    <w:link w:val="40"/>
    <w:autoRedefine/>
    <w:qFormat/>
    <w:uiPriority w:val="0"/>
    <w:rPr>
      <w:rFonts w:ascii="宋体" w:hAnsi="宋体"/>
      <w:color w:val="000000"/>
      <w:kern w:val="2"/>
      <w:sz w:val="24"/>
      <w:szCs w:val="24"/>
    </w:rPr>
  </w:style>
  <w:style w:type="character" w:customStyle="1" w:styleId="135">
    <w:name w:val="unnamed1"/>
    <w:basedOn w:val="50"/>
    <w:autoRedefine/>
    <w:qFormat/>
    <w:uiPriority w:val="0"/>
  </w:style>
  <w:style w:type="character" w:customStyle="1" w:styleId="136">
    <w:name w:val="普通文字 Char Char1"/>
    <w:autoRedefine/>
    <w:qFormat/>
    <w:uiPriority w:val="0"/>
    <w:rPr>
      <w:rFonts w:ascii="宋体" w:hAnsi="Courier New" w:eastAsia="宋体"/>
      <w:kern w:val="2"/>
      <w:sz w:val="24"/>
      <w:szCs w:val="24"/>
      <w:lang w:val="en-US" w:eastAsia="zh-CN" w:bidi="ar-SA"/>
    </w:rPr>
  </w:style>
  <w:style w:type="character" w:customStyle="1" w:styleId="137">
    <w:name w:val="纯文本 Char1"/>
    <w:autoRedefine/>
    <w:qFormat/>
    <w:uiPriority w:val="0"/>
    <w:rPr>
      <w:rFonts w:ascii="宋体" w:hAnsi="Courier New" w:eastAsia="宋体" w:cs="Courier New"/>
      <w:szCs w:val="21"/>
    </w:rPr>
  </w:style>
  <w:style w:type="character" w:customStyle="1" w:styleId="138">
    <w:name w:val="批注框文本 Char"/>
    <w:link w:val="29"/>
    <w:autoRedefine/>
    <w:qFormat/>
    <w:locked/>
    <w:uiPriority w:val="99"/>
    <w:rPr>
      <w:kern w:val="2"/>
      <w:sz w:val="18"/>
      <w:szCs w:val="18"/>
    </w:rPr>
  </w:style>
  <w:style w:type="character" w:customStyle="1" w:styleId="139">
    <w:name w:val="正文首行缩进 Char"/>
    <w:basedOn w:val="132"/>
    <w:link w:val="45"/>
    <w:autoRedefine/>
    <w:qFormat/>
    <w:uiPriority w:val="0"/>
  </w:style>
  <w:style w:type="character" w:customStyle="1" w:styleId="140">
    <w:name w:val="标题 Char"/>
    <w:link w:val="43"/>
    <w:autoRedefine/>
    <w:qFormat/>
    <w:uiPriority w:val="0"/>
    <w:rPr>
      <w:rFonts w:ascii="Cambria" w:hAnsi="Cambria"/>
      <w:i/>
      <w:iCs/>
      <w:color w:val="243F60"/>
      <w:sz w:val="60"/>
      <w:szCs w:val="60"/>
      <w:lang w:eastAsia="en-US" w:bidi="en-US"/>
    </w:rPr>
  </w:style>
  <w:style w:type="paragraph" w:customStyle="1" w:styleId="141">
    <w:name w:val="xl212"/>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142">
    <w:name w:val="Char111"/>
    <w:basedOn w:val="2"/>
    <w:autoRedefine/>
    <w:qFormat/>
    <w:uiPriority w:val="0"/>
    <w:pPr>
      <w:adjustRightInd w:val="0"/>
      <w:snapToGrid w:val="0"/>
      <w:spacing w:before="240" w:after="240" w:line="348" w:lineRule="auto"/>
    </w:pPr>
  </w:style>
  <w:style w:type="paragraph" w:customStyle="1" w:styleId="143">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144">
    <w:name w:val="纯文本1"/>
    <w:basedOn w:val="1"/>
    <w:autoRedefine/>
    <w:qFormat/>
    <w:uiPriority w:val="0"/>
    <w:pPr>
      <w:adjustRightInd w:val="0"/>
      <w:textAlignment w:val="baseline"/>
    </w:pPr>
    <w:rPr>
      <w:rFonts w:ascii="宋体" w:hAnsi="Courier New" w:eastAsia="楷体_GB2312"/>
      <w:sz w:val="26"/>
      <w:szCs w:val="20"/>
    </w:rPr>
  </w:style>
  <w:style w:type="paragraph" w:customStyle="1" w:styleId="145">
    <w:name w:val="xl2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kern w:val="0"/>
      <w:sz w:val="18"/>
      <w:szCs w:val="18"/>
    </w:rPr>
  </w:style>
  <w:style w:type="paragraph" w:customStyle="1" w:styleId="146">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47">
    <w:name w:val="xl21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48">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49">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50">
    <w:name w:val="xl1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151">
    <w:name w:val="xl1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kern w:val="0"/>
      <w:sz w:val="18"/>
      <w:szCs w:val="18"/>
    </w:rPr>
  </w:style>
  <w:style w:type="paragraph" w:customStyle="1" w:styleId="152">
    <w:name w:val="xl207"/>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b/>
      <w:bCs/>
      <w:kern w:val="0"/>
      <w:sz w:val="18"/>
      <w:szCs w:val="18"/>
    </w:rPr>
  </w:style>
  <w:style w:type="paragraph" w:customStyle="1" w:styleId="153">
    <w:name w:val="xl1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154">
    <w:name w:val="默认段落字体 Para Char Char Char Char Char Char Char Char Char1 Char Char Char Char"/>
    <w:basedOn w:val="1"/>
    <w:autoRedefine/>
    <w:qFormat/>
    <w:uiPriority w:val="0"/>
    <w:rPr>
      <w:rFonts w:ascii="Tahoma" w:hAnsi="Tahoma"/>
      <w:sz w:val="24"/>
      <w:szCs w:val="20"/>
    </w:rPr>
  </w:style>
  <w:style w:type="paragraph" w:customStyle="1" w:styleId="155">
    <w:name w:val="Default"/>
    <w:autoRedefine/>
    <w:qFormat/>
    <w:uiPriority w:val="0"/>
    <w:pPr>
      <w:widowControl w:val="0"/>
      <w:autoSpaceDE w:val="0"/>
      <w:autoSpaceDN w:val="0"/>
      <w:adjustRightInd w:val="0"/>
      <w:spacing w:before="120" w:after="120"/>
    </w:pPr>
    <w:rPr>
      <w:rFonts w:ascii="宋体" w:hAnsi="Times New Roman" w:eastAsia="宋体" w:cs="宋体"/>
      <w:color w:val="000000"/>
      <w:sz w:val="24"/>
      <w:szCs w:val="24"/>
      <w:lang w:val="en-US" w:eastAsia="zh-CN" w:bidi="ar-SA"/>
    </w:rPr>
  </w:style>
  <w:style w:type="paragraph" w:customStyle="1" w:styleId="156">
    <w:name w:val="xl20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kern w:val="0"/>
      <w:sz w:val="18"/>
      <w:szCs w:val="18"/>
    </w:rPr>
  </w:style>
  <w:style w:type="paragraph" w:customStyle="1" w:styleId="157">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58">
    <w:name w:val="xl1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59">
    <w:name w:val="xl1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160">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61">
    <w:name w:val="纯文本2"/>
    <w:basedOn w:val="1"/>
    <w:autoRedefine/>
    <w:qFormat/>
    <w:uiPriority w:val="0"/>
    <w:pPr>
      <w:adjustRightInd w:val="0"/>
      <w:textAlignment w:val="baseline"/>
    </w:pPr>
    <w:rPr>
      <w:rFonts w:ascii="宋体" w:hAnsi="Courier New" w:eastAsia="楷体_GB2312"/>
      <w:sz w:val="26"/>
      <w:szCs w:val="20"/>
    </w:rPr>
  </w:style>
  <w:style w:type="paragraph" w:customStyle="1" w:styleId="162">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3">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4">
    <w:name w:val="1 Char Char Char Char"/>
    <w:basedOn w:val="1"/>
    <w:autoRedefine/>
    <w:qFormat/>
    <w:uiPriority w:val="0"/>
    <w:rPr>
      <w:rFonts w:ascii="Tahoma" w:hAnsi="Tahoma"/>
      <w:sz w:val="24"/>
      <w:szCs w:val="20"/>
    </w:rPr>
  </w:style>
  <w:style w:type="paragraph" w:customStyle="1" w:styleId="165">
    <w:name w:val="f1"/>
    <w:basedOn w:val="1"/>
    <w:autoRedefine/>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66">
    <w:name w:val="xl208"/>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cs="宋体"/>
      <w:b/>
      <w:bCs/>
      <w:kern w:val="0"/>
      <w:sz w:val="18"/>
      <w:szCs w:val="18"/>
    </w:rPr>
  </w:style>
  <w:style w:type="paragraph" w:customStyle="1" w:styleId="167">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168">
    <w:name w:val="列出段落11"/>
    <w:basedOn w:val="1"/>
    <w:autoRedefine/>
    <w:qFormat/>
    <w:uiPriority w:val="34"/>
    <w:pPr>
      <w:ind w:firstLine="420" w:firstLineChars="200"/>
    </w:pPr>
  </w:style>
  <w:style w:type="paragraph" w:customStyle="1" w:styleId="169">
    <w:name w:val="xl1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70">
    <w:name w:val="表内文字"/>
    <w:basedOn w:val="1"/>
    <w:autoRedefine/>
    <w:qFormat/>
    <w:uiPriority w:val="0"/>
    <w:pPr>
      <w:tabs>
        <w:tab w:val="left" w:pos="1418"/>
      </w:tabs>
      <w:spacing w:line="360" w:lineRule="auto"/>
      <w:jc w:val="center"/>
    </w:pPr>
    <w:rPr>
      <w:rFonts w:ascii="仿宋_GB2312" w:eastAsia="仿宋_GB2312"/>
      <w:spacing w:val="-20"/>
      <w:kern w:val="0"/>
      <w:sz w:val="24"/>
    </w:rPr>
  </w:style>
  <w:style w:type="paragraph" w:customStyle="1" w:styleId="17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172">
    <w:name w:val="_Style 1"/>
    <w:basedOn w:val="1"/>
    <w:autoRedefine/>
    <w:qFormat/>
    <w:uiPriority w:val="34"/>
    <w:pPr>
      <w:spacing w:line="360" w:lineRule="auto"/>
      <w:ind w:firstLine="420" w:firstLineChars="200"/>
    </w:pPr>
    <w:rPr>
      <w:rFonts w:ascii="Calibri" w:hAnsi="Calibri"/>
      <w:sz w:val="24"/>
      <w:szCs w:val="22"/>
    </w:rPr>
  </w:style>
  <w:style w:type="paragraph" w:customStyle="1" w:styleId="173">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74">
    <w:name w:val="xl21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75">
    <w:name w:val="font7"/>
    <w:basedOn w:val="1"/>
    <w:autoRedefine/>
    <w:qFormat/>
    <w:uiPriority w:val="0"/>
    <w:pPr>
      <w:widowControl/>
      <w:spacing w:before="100" w:beforeAutospacing="1" w:after="100" w:afterAutospacing="1"/>
      <w:jc w:val="left"/>
    </w:pPr>
    <w:rPr>
      <w:kern w:val="0"/>
      <w:sz w:val="20"/>
      <w:szCs w:val="20"/>
    </w:rPr>
  </w:style>
  <w:style w:type="paragraph" w:customStyle="1" w:styleId="176">
    <w:name w:val="论文正文"/>
    <w:basedOn w:val="1"/>
    <w:autoRedefine/>
    <w:qFormat/>
    <w:uiPriority w:val="0"/>
    <w:pPr>
      <w:spacing w:line="300" w:lineRule="auto"/>
      <w:ind w:firstLine="480"/>
    </w:pPr>
    <w:rPr>
      <w:rFonts w:ascii="宋体"/>
      <w:kern w:val="0"/>
      <w:sz w:val="24"/>
      <w:szCs w:val="20"/>
    </w:rPr>
  </w:style>
  <w:style w:type="paragraph" w:customStyle="1" w:styleId="177">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78">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18"/>
      <w:szCs w:val="18"/>
    </w:rPr>
  </w:style>
  <w:style w:type="paragraph" w:customStyle="1" w:styleId="179">
    <w:name w:val="默认段落字体 Para Char Char Char Char Char Char Char Char Char Char Char Char Char"/>
    <w:basedOn w:val="14"/>
    <w:autoRedefine/>
    <w:qFormat/>
    <w:uiPriority w:val="0"/>
    <w:rPr>
      <w:rFonts w:ascii="Tahoma" w:hAnsi="Tahoma" w:cs="Tahoma"/>
      <w:sz w:val="24"/>
    </w:rPr>
  </w:style>
  <w:style w:type="paragraph" w:customStyle="1" w:styleId="180">
    <w:name w:val="Char"/>
    <w:basedOn w:val="1"/>
    <w:autoRedefine/>
    <w:qFormat/>
    <w:uiPriority w:val="0"/>
    <w:pPr>
      <w:tabs>
        <w:tab w:val="left" w:pos="360"/>
      </w:tabs>
    </w:pPr>
  </w:style>
  <w:style w:type="paragraph" w:customStyle="1" w:styleId="181">
    <w:name w:val="xl216"/>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82">
    <w:name w:val="Char Char Char Char Char Char Char Char Char Char Char Char Char Char Char Char Char Char Char Char Char Char Char Char Char Char Char Char Char Char Char Char Char"/>
    <w:basedOn w:val="1"/>
    <w:autoRedefine/>
    <w:qFormat/>
    <w:uiPriority w:val="0"/>
    <w:pPr>
      <w:widowControl/>
      <w:spacing w:after="160" w:line="240" w:lineRule="exact"/>
      <w:jc w:val="left"/>
    </w:pPr>
    <w:rPr>
      <w:szCs w:val="20"/>
    </w:rPr>
  </w:style>
  <w:style w:type="paragraph" w:customStyle="1" w:styleId="183">
    <w:name w:val="xl1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4">
    <w:name w:val="样式正文"/>
    <w:basedOn w:val="1"/>
    <w:autoRedefine/>
    <w:qFormat/>
    <w:uiPriority w:val="0"/>
    <w:pPr>
      <w:spacing w:line="360" w:lineRule="auto"/>
      <w:ind w:firstLine="200" w:firstLineChars="200"/>
    </w:pPr>
    <w:rPr>
      <w:rFonts w:ascii="等线" w:hAnsi="等线" w:eastAsia="等线"/>
      <w:sz w:val="24"/>
      <w:szCs w:val="22"/>
    </w:rPr>
  </w:style>
  <w:style w:type="paragraph" w:customStyle="1" w:styleId="185">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186">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187">
    <w:name w:val="xl20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kern w:val="0"/>
      <w:sz w:val="18"/>
      <w:szCs w:val="18"/>
    </w:rPr>
  </w:style>
  <w:style w:type="paragraph" w:customStyle="1" w:styleId="188">
    <w:name w:val="xl199"/>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kern w:val="0"/>
      <w:sz w:val="18"/>
      <w:szCs w:val="18"/>
    </w:rPr>
  </w:style>
  <w:style w:type="paragraph" w:customStyle="1" w:styleId="189">
    <w:name w:val="正文21"/>
    <w:basedOn w:val="1"/>
    <w:autoRedefine/>
    <w:qFormat/>
    <w:uiPriority w:val="0"/>
    <w:pPr>
      <w:widowControl/>
      <w:spacing w:after="160" w:line="360" w:lineRule="auto"/>
      <w:ind w:firstLine="200" w:firstLineChars="200"/>
      <w:jc w:val="left"/>
    </w:pPr>
    <w:rPr>
      <w:rFonts w:ascii="Verdana" w:hAnsi="Verdana" w:eastAsia="黑体"/>
      <w:kern w:val="0"/>
      <w:lang w:eastAsia="en-US"/>
    </w:rPr>
  </w:style>
  <w:style w:type="paragraph" w:customStyle="1" w:styleId="190">
    <w:name w:val="Char Char1 Char Char Char Char Char Char"/>
    <w:basedOn w:val="1"/>
    <w:autoRedefine/>
    <w:qFormat/>
    <w:uiPriority w:val="0"/>
    <w:pPr>
      <w:widowControl/>
      <w:adjustRightInd w:val="0"/>
      <w:snapToGrid w:val="0"/>
      <w:spacing w:beforeLines="25" w:afterLines="25" w:line="240" w:lineRule="exact"/>
      <w:ind w:firstLine="560" w:firstLineChars="192"/>
      <w:jc w:val="left"/>
    </w:pPr>
    <w:rPr>
      <w:rFonts w:ascii="宋体" w:hAnsi="宋体"/>
      <w:kern w:val="0"/>
      <w:sz w:val="28"/>
      <w:szCs w:val="28"/>
      <w:lang w:eastAsia="en-US"/>
    </w:rPr>
  </w:style>
  <w:style w:type="paragraph" w:customStyle="1" w:styleId="191">
    <w:name w:val="默认段落字体 Para Char Char Char Char"/>
    <w:basedOn w:val="1"/>
    <w:autoRedefine/>
    <w:qFormat/>
    <w:uiPriority w:val="0"/>
  </w:style>
  <w:style w:type="paragraph" w:customStyle="1" w:styleId="192">
    <w:name w:val="正文2"/>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93">
    <w:name w:val="style1"/>
    <w:basedOn w:val="1"/>
    <w:autoRedefine/>
    <w:qFormat/>
    <w:uiPriority w:val="0"/>
    <w:pPr>
      <w:widowControl/>
      <w:spacing w:before="100" w:beforeAutospacing="1" w:after="100" w:afterAutospacing="1"/>
      <w:jc w:val="left"/>
    </w:pPr>
    <w:rPr>
      <w:rFonts w:ascii="宋体" w:hAnsi="宋体"/>
      <w:b/>
      <w:bCs/>
      <w:kern w:val="0"/>
      <w:sz w:val="27"/>
      <w:szCs w:val="27"/>
    </w:rPr>
  </w:style>
  <w:style w:type="paragraph" w:customStyle="1" w:styleId="194">
    <w:name w:val="1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95">
    <w:name w:val="样式 首行缩进:  0 字符"/>
    <w:basedOn w:val="1"/>
    <w:autoRedefine/>
    <w:qFormat/>
    <w:uiPriority w:val="0"/>
  </w:style>
  <w:style w:type="paragraph" w:customStyle="1" w:styleId="196">
    <w:name w:val="xl1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7">
    <w:name w:val="xl145"/>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98">
    <w:name w:val="Char Char12"/>
    <w:basedOn w:val="1"/>
    <w:autoRedefine/>
    <w:qFormat/>
    <w:uiPriority w:val="0"/>
    <w:rPr>
      <w:szCs w:val="21"/>
    </w:rPr>
  </w:style>
  <w:style w:type="paragraph" w:customStyle="1" w:styleId="199">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00">
    <w:name w:val="xl1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18"/>
      <w:szCs w:val="18"/>
    </w:rPr>
  </w:style>
  <w:style w:type="paragraph" w:customStyle="1" w:styleId="201">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02">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203">
    <w:name w:val="Char Char Char Char Char Char Char1"/>
    <w:basedOn w:val="1"/>
    <w:autoRedefine/>
    <w:qFormat/>
    <w:uiPriority w:val="0"/>
    <w:rPr>
      <w:szCs w:val="21"/>
    </w:rPr>
  </w:style>
  <w:style w:type="paragraph" w:customStyle="1" w:styleId="204">
    <w:name w:val="Char Char Char Char Char Char Char Char 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5">
    <w:name w:val="reader-word-layer reader-word-s1-2"/>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06">
    <w:name w:val="xl1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20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08">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9">
    <w:name w:val="正文－恩普"/>
    <w:basedOn w:val="12"/>
    <w:autoRedefine/>
    <w:qFormat/>
    <w:uiPriority w:val="0"/>
    <w:pPr>
      <w:widowControl/>
      <w:spacing w:line="360" w:lineRule="auto"/>
      <w:ind w:firstLine="480" w:firstLineChars="200"/>
      <w:jc w:val="left"/>
    </w:pPr>
    <w:rPr>
      <w:kern w:val="0"/>
      <w:sz w:val="24"/>
    </w:rPr>
  </w:style>
  <w:style w:type="paragraph" w:customStyle="1" w:styleId="210">
    <w:name w:val="xl1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211">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12">
    <w:name w:val="列出段落1"/>
    <w:basedOn w:val="1"/>
    <w:autoRedefine/>
    <w:qFormat/>
    <w:uiPriority w:val="34"/>
    <w:pPr>
      <w:ind w:firstLine="420" w:firstLineChars="200"/>
    </w:pPr>
    <w:rPr>
      <w:rFonts w:ascii="Calibri" w:hAnsi="Calibri" w:eastAsia="PMingLiU"/>
      <w:szCs w:val="22"/>
    </w:rPr>
  </w:style>
  <w:style w:type="paragraph" w:customStyle="1" w:styleId="213">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214">
    <w:name w:val="Char2"/>
    <w:basedOn w:val="2"/>
    <w:autoRedefine/>
    <w:qFormat/>
    <w:uiPriority w:val="0"/>
    <w:pPr>
      <w:adjustRightInd w:val="0"/>
      <w:snapToGrid w:val="0"/>
      <w:spacing w:before="240" w:after="240" w:line="348" w:lineRule="auto"/>
    </w:pPr>
  </w:style>
  <w:style w:type="paragraph" w:customStyle="1" w:styleId="215">
    <w:name w:val="4h4bulletblbbh4firstsubheadingsect1234refhea"/>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16">
    <w:name w:val="xl20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kern w:val="0"/>
      <w:sz w:val="18"/>
      <w:szCs w:val="18"/>
    </w:rPr>
  </w:style>
  <w:style w:type="paragraph" w:customStyle="1" w:styleId="217">
    <w:name w:val="段"/>
    <w:next w:val="1"/>
    <w:autoRedefine/>
    <w:qFormat/>
    <w:uiPriority w:val="0"/>
    <w:pPr>
      <w:autoSpaceDE w:val="0"/>
      <w:autoSpaceDN w:val="0"/>
      <w:ind w:firstLine="200" w:firstLineChars="200"/>
      <w:jc w:val="both"/>
    </w:pPr>
    <w:rPr>
      <w:rFonts w:ascii="宋体" w:hAnsi="宋体" w:eastAsia="宋体" w:cs="Lucida Sans"/>
      <w:sz w:val="21"/>
      <w:lang w:val="en-US" w:eastAsia="zh-CN" w:bidi="ar-SA"/>
    </w:rPr>
  </w:style>
  <w:style w:type="paragraph" w:customStyle="1" w:styleId="218">
    <w:name w:val="纯文本11"/>
    <w:basedOn w:val="1"/>
    <w:autoRedefine/>
    <w:qFormat/>
    <w:uiPriority w:val="0"/>
    <w:pPr>
      <w:adjustRightInd w:val="0"/>
      <w:textAlignment w:val="baseline"/>
    </w:pPr>
    <w:rPr>
      <w:rFonts w:ascii="宋体" w:hAnsi="Courier New" w:eastAsia="楷体_GB2312"/>
      <w:sz w:val="26"/>
      <w:szCs w:val="20"/>
    </w:rPr>
  </w:style>
  <w:style w:type="paragraph" w:customStyle="1" w:styleId="219">
    <w:name w:val="_Style 54"/>
    <w:basedOn w:val="1"/>
    <w:autoRedefine/>
    <w:qFormat/>
    <w:uiPriority w:val="34"/>
    <w:pPr>
      <w:adjustRightInd w:val="0"/>
      <w:snapToGrid w:val="0"/>
      <w:spacing w:line="360" w:lineRule="auto"/>
      <w:ind w:firstLine="420" w:firstLineChars="200"/>
    </w:pPr>
    <w:rPr>
      <w:sz w:val="24"/>
    </w:rPr>
  </w:style>
  <w:style w:type="paragraph" w:customStyle="1" w:styleId="220">
    <w:name w:val="xl211"/>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221">
    <w:name w:val="xl1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22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18"/>
      <w:szCs w:val="18"/>
    </w:rPr>
  </w:style>
  <w:style w:type="paragraph" w:customStyle="1" w:styleId="223">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4">
    <w:name w:val="WPS Plain"/>
    <w:autoRedefine/>
    <w:qFormat/>
    <w:uiPriority w:val="0"/>
    <w:rPr>
      <w:rFonts w:ascii="Times New Roman" w:hAnsi="Times New Roman" w:eastAsia="宋体" w:cs="Times New Roman"/>
      <w:lang w:val="en-US" w:eastAsia="zh-CN" w:bidi="ar-SA"/>
    </w:rPr>
  </w:style>
  <w:style w:type="paragraph" w:customStyle="1" w:styleId="225">
    <w:name w:val="font5"/>
    <w:basedOn w:val="1"/>
    <w:autoRedefine/>
    <w:qFormat/>
    <w:uiPriority w:val="0"/>
    <w:pPr>
      <w:widowControl/>
      <w:spacing w:before="100" w:beforeAutospacing="1" w:after="100" w:afterAutospacing="1"/>
      <w:jc w:val="left"/>
    </w:pPr>
    <w:rPr>
      <w:rFonts w:ascii="新宋体" w:hAnsi="新宋体" w:eastAsia="新宋体" w:cs="宋体"/>
      <w:kern w:val="0"/>
      <w:sz w:val="18"/>
      <w:szCs w:val="18"/>
    </w:rPr>
  </w:style>
  <w:style w:type="paragraph" w:customStyle="1" w:styleId="226">
    <w:name w:val="Char14"/>
    <w:basedOn w:val="1"/>
    <w:autoRedefine/>
    <w:qFormat/>
    <w:uiPriority w:val="0"/>
    <w:pPr>
      <w:tabs>
        <w:tab w:val="left" w:pos="432"/>
      </w:tabs>
      <w:ind w:left="432" w:hanging="432"/>
    </w:pPr>
    <w:rPr>
      <w:rFonts w:ascii="Tahoma" w:hAnsi="Tahoma"/>
      <w:sz w:val="24"/>
      <w:szCs w:val="20"/>
    </w:rPr>
  </w:style>
  <w:style w:type="paragraph" w:customStyle="1" w:styleId="227">
    <w:name w:val="xl1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2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29">
    <w:name w:val="Char1"/>
    <w:basedOn w:val="1"/>
    <w:autoRedefine/>
    <w:qFormat/>
    <w:uiPriority w:val="0"/>
    <w:pPr>
      <w:spacing w:line="380" w:lineRule="exact"/>
      <w:ind w:firstLine="361" w:firstLineChars="150"/>
    </w:pPr>
    <w:rPr>
      <w:rFonts w:ascii="宋体" w:hAnsi="宋体"/>
      <w:b/>
      <w:sz w:val="24"/>
    </w:rPr>
  </w:style>
  <w:style w:type="paragraph" w:customStyle="1" w:styleId="230">
    <w:name w:val="Plain Text1"/>
    <w:basedOn w:val="1"/>
    <w:autoRedefine/>
    <w:qFormat/>
    <w:uiPriority w:val="0"/>
    <w:pPr>
      <w:adjustRightInd w:val="0"/>
      <w:textAlignment w:val="baseline"/>
    </w:pPr>
    <w:rPr>
      <w:rFonts w:ascii="宋体" w:hAnsi="Courier New" w:eastAsia="楷体_GB2312"/>
      <w:sz w:val="26"/>
      <w:szCs w:val="20"/>
    </w:rPr>
  </w:style>
  <w:style w:type="paragraph" w:customStyle="1" w:styleId="231">
    <w:name w:val="Char13"/>
    <w:basedOn w:val="1"/>
    <w:autoRedefine/>
    <w:qFormat/>
    <w:uiPriority w:val="0"/>
    <w:pPr>
      <w:spacing w:line="380" w:lineRule="exact"/>
      <w:ind w:firstLine="361" w:firstLineChars="150"/>
    </w:pPr>
    <w:rPr>
      <w:rFonts w:ascii="宋体" w:hAnsi="宋体"/>
      <w:b/>
      <w:sz w:val="24"/>
    </w:rPr>
  </w:style>
  <w:style w:type="paragraph" w:customStyle="1" w:styleId="232">
    <w:name w:val="纯文本4"/>
    <w:basedOn w:val="1"/>
    <w:autoRedefine/>
    <w:qFormat/>
    <w:uiPriority w:val="0"/>
    <w:pPr>
      <w:adjustRightInd w:val="0"/>
      <w:textAlignment w:val="baseline"/>
    </w:pPr>
    <w:rPr>
      <w:rFonts w:ascii="宋体" w:hAnsi="Courier New" w:eastAsia="楷体_GB2312"/>
      <w:sz w:val="26"/>
      <w:szCs w:val="20"/>
    </w:rPr>
  </w:style>
  <w:style w:type="paragraph" w:customStyle="1" w:styleId="233">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34">
    <w:name w:val="封面第一行"/>
    <w:basedOn w:val="1"/>
    <w:autoRedefine/>
    <w:qFormat/>
    <w:uiPriority w:val="0"/>
    <w:pPr>
      <w:spacing w:line="360" w:lineRule="auto"/>
      <w:jc w:val="center"/>
    </w:pPr>
    <w:rPr>
      <w:rFonts w:ascii="黑体" w:hAnsi="宋体" w:eastAsia="黑体" w:cs="宋体"/>
      <w:sz w:val="56"/>
      <w:szCs w:val="20"/>
    </w:rPr>
  </w:style>
  <w:style w:type="paragraph" w:customStyle="1" w:styleId="235">
    <w:name w:val="Char Char Char Char Char Char1 Char Char Char Char"/>
    <w:basedOn w:val="1"/>
    <w:autoRedefine/>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236">
    <w:name w:val="xl1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7">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38">
    <w:name w:val="默认段落字体 Para Char Char Char Char Char Char Char Char Char1 Char Char Char Char Char Char Char"/>
    <w:basedOn w:val="14"/>
    <w:autoRedefine/>
    <w:qFormat/>
    <w:uiPriority w:val="0"/>
  </w:style>
  <w:style w:type="paragraph" w:customStyle="1" w:styleId="239">
    <w:name w:val="xl1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000000"/>
      <w:kern w:val="0"/>
      <w:sz w:val="20"/>
      <w:szCs w:val="20"/>
    </w:rPr>
  </w:style>
  <w:style w:type="paragraph" w:customStyle="1" w:styleId="240">
    <w:name w:val="xl1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241">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42">
    <w:name w:val="Char12"/>
    <w:basedOn w:val="1"/>
    <w:autoRedefine/>
    <w:qFormat/>
    <w:uiPriority w:val="0"/>
    <w:pPr>
      <w:spacing w:line="380" w:lineRule="exact"/>
      <w:ind w:firstLine="361" w:firstLineChars="150"/>
    </w:pPr>
    <w:rPr>
      <w:rFonts w:ascii="宋体" w:hAnsi="宋体"/>
      <w:b/>
      <w:sz w:val="24"/>
    </w:rPr>
  </w:style>
  <w:style w:type="paragraph" w:customStyle="1" w:styleId="243">
    <w:name w:val="Char Char Char Char Char Char"/>
    <w:basedOn w:val="1"/>
    <w:autoRedefine/>
    <w:qFormat/>
    <w:uiPriority w:val="0"/>
    <w:pPr>
      <w:widowControl/>
      <w:spacing w:after="160" w:line="240" w:lineRule="exact"/>
      <w:jc w:val="left"/>
    </w:pPr>
    <w:rPr>
      <w:kern w:val="0"/>
      <w:szCs w:val="20"/>
    </w:rPr>
  </w:style>
  <w:style w:type="paragraph" w:customStyle="1" w:styleId="244">
    <w:name w:val="正文段"/>
    <w:basedOn w:val="1"/>
    <w:autoRedefine/>
    <w:qFormat/>
    <w:uiPriority w:val="0"/>
    <w:pPr>
      <w:widowControl/>
      <w:snapToGrid w:val="0"/>
      <w:spacing w:afterLines="50"/>
      <w:ind w:firstLine="200" w:firstLineChars="200"/>
    </w:pPr>
    <w:rPr>
      <w:kern w:val="0"/>
      <w:sz w:val="24"/>
      <w:szCs w:val="20"/>
    </w:rPr>
  </w:style>
  <w:style w:type="paragraph" w:customStyle="1" w:styleId="245">
    <w:name w:val="正文表标题"/>
    <w:next w:val="217"/>
    <w:autoRedefine/>
    <w:qFormat/>
    <w:uiPriority w:val="0"/>
    <w:pPr>
      <w:tabs>
        <w:tab w:val="left" w:pos="1440"/>
      </w:tabs>
      <w:ind w:left="872" w:hanging="390"/>
      <w:jc w:val="center"/>
    </w:pPr>
    <w:rPr>
      <w:rFonts w:ascii="黑体" w:hAnsi="Times New Roman" w:eastAsia="黑体" w:cs="Times New Roman"/>
      <w:sz w:val="21"/>
      <w:lang w:val="en-US" w:eastAsia="zh-CN" w:bidi="ar-SA"/>
    </w:rPr>
  </w:style>
  <w:style w:type="paragraph" w:customStyle="1" w:styleId="246">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7">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8">
    <w:name w:val="xl25"/>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249">
    <w:name w:val="正文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50">
    <w:name w:val="xl14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textAlignment w:val="center"/>
    </w:pPr>
    <w:rPr>
      <w:rFonts w:ascii="宋体" w:hAnsi="宋体" w:cs="宋体"/>
      <w:b/>
      <w:bCs/>
      <w:kern w:val="0"/>
      <w:sz w:val="18"/>
      <w:szCs w:val="18"/>
    </w:rPr>
  </w:style>
  <w:style w:type="paragraph" w:customStyle="1" w:styleId="251">
    <w:name w:val="Char Char Char Char Char Char2"/>
    <w:basedOn w:val="1"/>
    <w:autoRedefine/>
    <w:qFormat/>
    <w:uiPriority w:val="0"/>
    <w:pPr>
      <w:widowControl/>
      <w:spacing w:after="160" w:line="240" w:lineRule="exact"/>
      <w:jc w:val="left"/>
    </w:pPr>
    <w:rPr>
      <w:kern w:val="0"/>
      <w:szCs w:val="20"/>
    </w:rPr>
  </w:style>
  <w:style w:type="paragraph" w:customStyle="1" w:styleId="252">
    <w:name w:val="Table Paragraph"/>
    <w:basedOn w:val="1"/>
    <w:autoRedefine/>
    <w:qFormat/>
    <w:uiPriority w:val="1"/>
    <w:pPr>
      <w:jc w:val="left"/>
    </w:pPr>
    <w:rPr>
      <w:rFonts w:ascii="宋体" w:hAnsi="宋体" w:cs="宋体"/>
      <w:kern w:val="0"/>
      <w:sz w:val="22"/>
      <w:szCs w:val="22"/>
      <w:lang w:eastAsia="en-US"/>
    </w:rPr>
  </w:style>
  <w:style w:type="paragraph" w:customStyle="1" w:styleId="253">
    <w:name w:val="xl1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列出段落2"/>
    <w:basedOn w:val="1"/>
    <w:autoRedefine/>
    <w:unhideWhenUsed/>
    <w:qFormat/>
    <w:uiPriority w:val="99"/>
    <w:pPr>
      <w:ind w:firstLine="420" w:firstLineChars="200"/>
    </w:pPr>
    <w:rPr>
      <w:rFonts w:ascii="Calibri" w:hAnsi="Calibri"/>
      <w:szCs w:val="22"/>
    </w:rPr>
  </w:style>
  <w:style w:type="paragraph" w:customStyle="1" w:styleId="255">
    <w:name w:val="Char Char Char Char Char Char Char Char Char Char Char Char1 Char"/>
    <w:basedOn w:val="14"/>
    <w:autoRedefine/>
    <w:qFormat/>
    <w:uiPriority w:val="0"/>
    <w:rPr>
      <w:rFonts w:ascii="Tahoma" w:hAnsi="Tahoma"/>
      <w:sz w:val="24"/>
    </w:rPr>
  </w:style>
  <w:style w:type="paragraph" w:customStyle="1" w:styleId="256">
    <w:name w:val="xl1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7">
    <w:name w:val="Char Char Char Char Char Char Char"/>
    <w:basedOn w:val="1"/>
    <w:autoRedefine/>
    <w:qFormat/>
    <w:uiPriority w:val="0"/>
    <w:rPr>
      <w:szCs w:val="21"/>
    </w:rPr>
  </w:style>
  <w:style w:type="paragraph" w:customStyle="1" w:styleId="258">
    <w:name w:val="xl21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18"/>
      <w:szCs w:val="18"/>
    </w:rPr>
  </w:style>
  <w:style w:type="paragraph" w:customStyle="1" w:styleId="259">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60">
    <w:name w:val="Char11"/>
    <w:basedOn w:val="1"/>
    <w:autoRedefine/>
    <w:qFormat/>
    <w:uiPriority w:val="0"/>
    <w:rPr>
      <w:rFonts w:ascii="仿宋_GB2312" w:eastAsia="仿宋_GB2312"/>
      <w:b/>
      <w:sz w:val="32"/>
      <w:szCs w:val="32"/>
    </w:rPr>
  </w:style>
  <w:style w:type="paragraph" w:customStyle="1" w:styleId="261">
    <w:name w:val="xl203"/>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62">
    <w:name w:val="xl20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63">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64">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265">
    <w:name w:val="msolistparagraph"/>
    <w:basedOn w:val="1"/>
    <w:autoRedefine/>
    <w:qFormat/>
    <w:uiPriority w:val="0"/>
    <w:pPr>
      <w:spacing w:line="360" w:lineRule="auto"/>
      <w:ind w:firstLine="420" w:firstLineChars="200"/>
    </w:pPr>
    <w:rPr>
      <w:rFonts w:ascii="Calibri" w:hAnsi="Calibri"/>
      <w:sz w:val="24"/>
      <w:szCs w:val="22"/>
    </w:rPr>
  </w:style>
  <w:style w:type="paragraph" w:customStyle="1" w:styleId="266">
    <w:name w:val="_Style 2"/>
    <w:basedOn w:val="1"/>
    <w:autoRedefine/>
    <w:qFormat/>
    <w:uiPriority w:val="0"/>
    <w:pPr>
      <w:adjustRightInd w:val="0"/>
      <w:snapToGrid w:val="0"/>
      <w:spacing w:line="360" w:lineRule="auto"/>
      <w:ind w:firstLine="420" w:firstLineChars="200"/>
    </w:pPr>
    <w:rPr>
      <w:sz w:val="24"/>
    </w:rPr>
  </w:style>
  <w:style w:type="paragraph" w:customStyle="1" w:styleId="267">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268">
    <w:name w:val="xl1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69">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270">
    <w:name w:val="Char Char121"/>
    <w:basedOn w:val="1"/>
    <w:autoRedefine/>
    <w:qFormat/>
    <w:uiPriority w:val="0"/>
    <w:rPr>
      <w:szCs w:val="21"/>
    </w:rPr>
  </w:style>
  <w:style w:type="paragraph" w:customStyle="1" w:styleId="27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18"/>
      <w:szCs w:val="18"/>
    </w:rPr>
  </w:style>
  <w:style w:type="paragraph" w:customStyle="1" w:styleId="272">
    <w:name w:val="xl20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18"/>
      <w:szCs w:val="18"/>
    </w:rPr>
  </w:style>
  <w:style w:type="paragraph" w:customStyle="1" w:styleId="273">
    <w:name w:val="xl1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18"/>
      <w:szCs w:val="18"/>
    </w:rPr>
  </w:style>
  <w:style w:type="paragraph" w:customStyle="1" w:styleId="274">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5">
    <w:name w:val="Char Char Char Char Char Char1"/>
    <w:basedOn w:val="1"/>
    <w:autoRedefine/>
    <w:qFormat/>
    <w:uiPriority w:val="0"/>
    <w:pPr>
      <w:ind w:firstLine="200" w:firstLineChars="200"/>
    </w:pPr>
  </w:style>
  <w:style w:type="paragraph" w:customStyle="1" w:styleId="276">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xl1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278">
    <w:name w:val="纯文本3"/>
    <w:basedOn w:val="1"/>
    <w:autoRedefine/>
    <w:qFormat/>
    <w:uiPriority w:val="0"/>
    <w:pPr>
      <w:adjustRightInd w:val="0"/>
      <w:textAlignment w:val="baseline"/>
    </w:pPr>
    <w:rPr>
      <w:rFonts w:ascii="宋体" w:hAnsi="Courier New" w:eastAsia="楷体_GB2312"/>
      <w:sz w:val="26"/>
      <w:szCs w:val="20"/>
    </w:rPr>
  </w:style>
  <w:style w:type="paragraph" w:customStyle="1" w:styleId="279">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80">
    <w:name w:val="xl202"/>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81">
    <w:name w:val="xl1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2">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kern w:val="0"/>
      <w:sz w:val="18"/>
      <w:szCs w:val="18"/>
    </w:rPr>
  </w:style>
  <w:style w:type="paragraph" w:customStyle="1" w:styleId="283">
    <w:name w:val="Char Char Char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84">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285">
    <w:name w:val="正文1"/>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86">
    <w:name w:val="彩色列表 - 着色 11"/>
    <w:basedOn w:val="1"/>
    <w:autoRedefine/>
    <w:qFormat/>
    <w:uiPriority w:val="34"/>
    <w:pPr>
      <w:ind w:firstLine="420" w:firstLineChars="200"/>
    </w:pPr>
    <w:rPr>
      <w:rFonts w:ascii="Calibri" w:hAnsi="Calibri"/>
      <w:szCs w:val="22"/>
    </w:rPr>
  </w:style>
  <w:style w:type="paragraph" w:customStyle="1" w:styleId="287">
    <w:name w:val="样式 3节标题 + 段前: 0.5 行 段后: 0.5 行"/>
    <w:basedOn w:val="1"/>
    <w:autoRedefine/>
    <w:qFormat/>
    <w:uiPriority w:val="0"/>
    <w:pPr>
      <w:spacing w:beforeLines="50" w:afterLines="50"/>
      <w:outlineLvl w:val="2"/>
    </w:pPr>
    <w:rPr>
      <w:rFonts w:ascii="楷体_GB2312" w:hAnsi="楷体_GB2312" w:eastAsia="楷体_GB2312" w:cs="宋体"/>
      <w:b/>
      <w:bCs/>
      <w:color w:val="000000"/>
      <w:kern w:val="44"/>
      <w:sz w:val="30"/>
      <w:szCs w:val="30"/>
    </w:rPr>
  </w:style>
  <w:style w:type="paragraph" w:customStyle="1" w:styleId="288">
    <w:name w:val="目录标题"/>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89">
    <w:name w:val="xl1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18"/>
      <w:szCs w:val="18"/>
    </w:rPr>
  </w:style>
  <w:style w:type="paragraph" w:customStyle="1" w:styleId="290">
    <w:name w:val="Char3"/>
    <w:basedOn w:val="1"/>
    <w:autoRedefine/>
    <w:qFormat/>
    <w:uiPriority w:val="0"/>
    <w:pPr>
      <w:tabs>
        <w:tab w:val="left" w:pos="432"/>
      </w:tabs>
      <w:ind w:left="432" w:hanging="432"/>
    </w:pPr>
    <w:rPr>
      <w:rFonts w:ascii="Tahoma" w:hAnsi="Tahoma"/>
      <w:sz w:val="24"/>
      <w:szCs w:val="20"/>
    </w:rPr>
  </w:style>
  <w:style w:type="paragraph" w:customStyle="1" w:styleId="291">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92">
    <w:name w:val="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93">
    <w:name w:val="xl21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24"/>
    </w:rPr>
  </w:style>
  <w:style w:type="character" w:customStyle="1" w:styleId="294">
    <w:name w:val="标题 1 Char1"/>
    <w:autoRedefine/>
    <w:qFormat/>
    <w:locked/>
    <w:uiPriority w:val="99"/>
    <w:rPr>
      <w:b/>
      <w:bCs/>
      <w:kern w:val="44"/>
      <w:sz w:val="32"/>
      <w:szCs w:val="44"/>
    </w:rPr>
  </w:style>
  <w:style w:type="character" w:customStyle="1" w:styleId="295">
    <w:name w:val="font31"/>
    <w:autoRedefine/>
    <w:qFormat/>
    <w:uiPriority w:val="0"/>
    <w:rPr>
      <w:rFonts w:hint="eastAsia" w:ascii="宋体" w:hAnsi="宋体" w:eastAsia="宋体" w:cs="宋体"/>
      <w:color w:val="000000"/>
      <w:sz w:val="21"/>
      <w:szCs w:val="21"/>
      <w:u w:val="none"/>
    </w:rPr>
  </w:style>
  <w:style w:type="paragraph" w:customStyle="1" w:styleId="296">
    <w:name w:val="列出段落3"/>
    <w:basedOn w:val="1"/>
    <w:autoRedefine/>
    <w:qFormat/>
    <w:uiPriority w:val="0"/>
    <w:pPr>
      <w:ind w:firstLine="420" w:firstLineChars="200"/>
    </w:pPr>
    <w:rPr>
      <w:rFonts w:ascii="Calibri" w:hAnsi="Calibri" w:eastAsia="PMingLiU"/>
      <w:szCs w:val="22"/>
    </w:rPr>
  </w:style>
  <w:style w:type="character" w:customStyle="1" w:styleId="297">
    <w:name w:val="表格样式 字符"/>
    <w:link w:val="298"/>
    <w:autoRedefine/>
    <w:qFormat/>
    <w:uiPriority w:val="0"/>
    <w:rPr>
      <w:rFonts w:ascii="仿宋" w:hAnsi="仿宋" w:eastAsia="仿宋"/>
      <w:kern w:val="2"/>
      <w:sz w:val="21"/>
      <w:szCs w:val="21"/>
      <w:lang w:val="zh-TW" w:eastAsia="zh-TW"/>
    </w:rPr>
  </w:style>
  <w:style w:type="paragraph" w:customStyle="1" w:styleId="298">
    <w:name w:val="表格样式"/>
    <w:basedOn w:val="1"/>
    <w:link w:val="297"/>
    <w:autoRedefine/>
    <w:qFormat/>
    <w:uiPriority w:val="0"/>
    <w:pPr>
      <w:spacing w:line="360" w:lineRule="auto"/>
      <w:jc w:val="center"/>
    </w:pPr>
    <w:rPr>
      <w:rFonts w:ascii="仿宋" w:hAnsi="仿宋" w:eastAsia="仿宋"/>
      <w:szCs w:val="21"/>
      <w:lang w:val="zh-TW" w:eastAsia="zh-TW"/>
    </w:rPr>
  </w:style>
  <w:style w:type="character" w:customStyle="1" w:styleId="299">
    <w:name w:val="10"/>
    <w:basedOn w:val="50"/>
    <w:autoRedefine/>
    <w:qFormat/>
    <w:uiPriority w:val="0"/>
    <w:rPr>
      <w:rFonts w:hint="default" w:ascii="Times New Roman" w:hAnsi="Times New Roman" w:cs="Times New Roman"/>
    </w:rPr>
  </w:style>
  <w:style w:type="character" w:customStyle="1" w:styleId="300">
    <w:name w:val="15"/>
    <w:basedOn w:val="50"/>
    <w:autoRedefine/>
    <w:qFormat/>
    <w:uiPriority w:val="0"/>
    <w:rPr>
      <w:rFonts w:hint="default" w:ascii="Times New Roman" w:hAnsi="Times New Roman" w:cs="Times New Roman"/>
    </w:rPr>
  </w:style>
  <w:style w:type="paragraph" w:customStyle="1" w:styleId="301">
    <w:name w:val="说明"/>
    <w:autoRedefine/>
    <w:qFormat/>
    <w:uiPriority w:val="0"/>
    <w:pPr>
      <w:tabs>
        <w:tab w:val="left" w:pos="1150"/>
      </w:tabs>
    </w:pPr>
    <w:rPr>
      <w:rFonts w:ascii="Helvetica Neue" w:hAnsi="Helvetica Neue" w:eastAsia="Arial Unicode MS" w:cs="Arial Unicode MS"/>
      <w:b/>
      <w:bCs/>
      <w:caps/>
      <w:color w:val="000000"/>
      <w:lang w:val="en-US" w:eastAsia="zh-CN" w:bidi="ar-SA"/>
    </w:rPr>
  </w:style>
  <w:style w:type="paragraph" w:customStyle="1" w:styleId="302">
    <w:name w:val="列出段落"/>
    <w:basedOn w:val="1"/>
    <w:autoRedefine/>
    <w:qFormat/>
    <w:uiPriority w:val="0"/>
    <w:pPr>
      <w:keepNext w:val="0"/>
      <w:keepLines w:val="0"/>
      <w:widowControl w:val="0"/>
      <w:suppressLineNumbers w:val="0"/>
      <w:spacing w:before="0" w:beforeAutospacing="0" w:after="0" w:afterAutospacing="0" w:line="360" w:lineRule="auto"/>
      <w:ind w:left="0" w:right="0" w:firstLine="420" w:firstLineChars="200"/>
      <w:jc w:val="both"/>
    </w:pPr>
    <w:rPr>
      <w:rFonts w:hint="default" w:ascii="Calibri" w:hAnsi="Calibri" w:cs="Calibri"/>
      <w:kern w:val="2"/>
      <w:sz w:val="24"/>
      <w:szCs w:val="24"/>
      <w:lang w:val="en-US" w:eastAsia="zh-CN" w:bidi="ar"/>
    </w:rPr>
  </w:style>
  <w:style w:type="paragraph" w:customStyle="1" w:styleId="303">
    <w:name w:val="列表段落1"/>
    <w:basedOn w:val="1"/>
    <w:autoRedefine/>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cs="Calibri"/>
      <w:kern w:val="2"/>
      <w:sz w:val="21"/>
      <w:szCs w:val="21"/>
      <w:lang w:val="en-US" w:eastAsia="zh-CN" w:bidi="ar"/>
    </w:rPr>
  </w:style>
  <w:style w:type="paragraph" w:customStyle="1" w:styleId="304">
    <w:name w:val="样式2"/>
    <w:basedOn w:val="1"/>
    <w:next w:val="285"/>
    <w:autoRedefine/>
    <w:qFormat/>
    <w:uiPriority w:val="0"/>
    <w:rPr>
      <w:rFonts w:hint="eastAsia" w:ascii="Times New Roman" w:hAnsi="Times New Roman"/>
      <w:sz w:val="28"/>
    </w:rPr>
  </w:style>
  <w:style w:type="paragraph" w:customStyle="1" w:styleId="305">
    <w:name w:val="正文首行缩进1"/>
    <w:basedOn w:val="17"/>
    <w:autoRedefine/>
    <w:qFormat/>
    <w:uiPriority w:val="0"/>
    <w:pPr>
      <w:ind w:firstLine="200" w:firstLineChars="200"/>
    </w:pPr>
    <w:rPr>
      <w:rFonts w:eastAsia="仿宋_GB2312"/>
      <w:sz w:val="28"/>
      <w:szCs w:val="24"/>
    </w:rPr>
  </w:style>
  <w:style w:type="character" w:customStyle="1" w:styleId="306">
    <w:name w:val="font71"/>
    <w:basedOn w:val="50"/>
    <w:qFormat/>
    <w:uiPriority w:val="0"/>
    <w:rPr>
      <w:rFonts w:hint="eastAsia" w:ascii="宋体" w:hAnsi="宋体" w:eastAsia="宋体" w:cs="宋体"/>
      <w:color w:val="FF0000"/>
      <w:sz w:val="20"/>
      <w:szCs w:val="20"/>
      <w:u w:val="none"/>
    </w:rPr>
  </w:style>
  <w:style w:type="character" w:customStyle="1" w:styleId="307">
    <w:name w:val="font101"/>
    <w:basedOn w:val="50"/>
    <w:qFormat/>
    <w:uiPriority w:val="0"/>
    <w:rPr>
      <w:rFonts w:hint="eastAsia" w:ascii="宋体" w:hAnsi="宋体" w:eastAsia="宋体" w:cs="宋体"/>
      <w:color w:val="000000"/>
      <w:sz w:val="20"/>
      <w:szCs w:val="20"/>
      <w:u w:val="none"/>
    </w:rPr>
  </w:style>
  <w:style w:type="character" w:customStyle="1" w:styleId="308">
    <w:name w:val="font131"/>
    <w:basedOn w:val="50"/>
    <w:qFormat/>
    <w:uiPriority w:val="0"/>
    <w:rPr>
      <w:rFonts w:hint="eastAsia" w:ascii="宋体" w:hAnsi="宋体" w:eastAsia="宋体" w:cs="宋体"/>
      <w:b/>
      <w:bCs/>
      <w:color w:val="FF0000"/>
      <w:sz w:val="20"/>
      <w:szCs w:val="20"/>
      <w:u w:val="none"/>
    </w:rPr>
  </w:style>
  <w:style w:type="character" w:customStyle="1" w:styleId="309">
    <w:name w:val="font142"/>
    <w:basedOn w:val="50"/>
    <w:qFormat/>
    <w:uiPriority w:val="0"/>
    <w:rPr>
      <w:rFonts w:ascii="等线" w:hAnsi="等线" w:eastAsia="等线" w:cs="等线"/>
      <w:color w:val="333399"/>
      <w:sz w:val="20"/>
      <w:szCs w:val="20"/>
      <w:u w:val="none"/>
    </w:rPr>
  </w:style>
  <w:style w:type="character" w:customStyle="1" w:styleId="310">
    <w:name w:val="font151"/>
    <w:basedOn w:val="50"/>
    <w:qFormat/>
    <w:uiPriority w:val="0"/>
    <w:rPr>
      <w:rFonts w:hint="eastAsia" w:ascii="等线" w:hAnsi="等线" w:eastAsia="等线" w:cs="等线"/>
      <w:color w:val="333399"/>
      <w:sz w:val="20"/>
      <w:szCs w:val="20"/>
      <w:u w:val="none"/>
    </w:rPr>
  </w:style>
  <w:style w:type="character" w:customStyle="1" w:styleId="311">
    <w:name w:val="font161"/>
    <w:basedOn w:val="50"/>
    <w:qFormat/>
    <w:uiPriority w:val="0"/>
    <w:rPr>
      <w:rFonts w:hint="eastAsia" w:ascii="等线" w:hAnsi="等线" w:eastAsia="等线" w:cs="等线"/>
      <w:color w:val="FF0000"/>
      <w:sz w:val="20"/>
      <w:szCs w:val="20"/>
      <w:u w:val="none"/>
    </w:rPr>
  </w:style>
  <w:style w:type="character" w:customStyle="1" w:styleId="312">
    <w:name w:val="font171"/>
    <w:basedOn w:val="50"/>
    <w:qFormat/>
    <w:uiPriority w:val="0"/>
    <w:rPr>
      <w:rFonts w:hint="eastAsia" w:ascii="宋体" w:hAnsi="宋体" w:eastAsia="宋体" w:cs="宋体"/>
      <w:color w:val="FF0000"/>
      <w:sz w:val="20"/>
      <w:szCs w:val="20"/>
      <w:u w:val="none"/>
    </w:rPr>
  </w:style>
  <w:style w:type="character" w:customStyle="1" w:styleId="313">
    <w:name w:val="font181"/>
    <w:basedOn w:val="50"/>
    <w:qFormat/>
    <w:uiPriority w:val="0"/>
    <w:rPr>
      <w:rFonts w:hint="eastAsia" w:ascii="宋体" w:hAnsi="宋体" w:eastAsia="宋体" w:cs="宋体"/>
      <w:color w:val="333399"/>
      <w:sz w:val="20"/>
      <w:szCs w:val="20"/>
      <w:u w:val="none"/>
    </w:rPr>
  </w:style>
  <w:style w:type="character" w:customStyle="1" w:styleId="314">
    <w:name w:val="font191"/>
    <w:basedOn w:val="50"/>
    <w:qFormat/>
    <w:uiPriority w:val="0"/>
    <w:rPr>
      <w:rFonts w:hint="eastAsia" w:ascii="宋体" w:hAnsi="宋体" w:eastAsia="宋体" w:cs="宋体"/>
      <w:b/>
      <w:bCs/>
      <w:color w:val="FF0000"/>
      <w:sz w:val="20"/>
      <w:szCs w:val="20"/>
      <w:u w:val="none"/>
    </w:rPr>
  </w:style>
  <w:style w:type="character" w:customStyle="1" w:styleId="315">
    <w:name w:val="font201"/>
    <w:basedOn w:val="50"/>
    <w:qFormat/>
    <w:uiPriority w:val="0"/>
    <w:rPr>
      <w:rFonts w:ascii="等线 Light" w:hAnsi="等线 Light" w:eastAsia="等线 Light" w:cs="等线 Light"/>
      <w:color w:val="FF0000"/>
      <w:sz w:val="20"/>
      <w:szCs w:val="20"/>
      <w:u w:val="none"/>
    </w:rPr>
  </w:style>
  <w:style w:type="character" w:customStyle="1" w:styleId="316">
    <w:name w:val="font212"/>
    <w:basedOn w:val="50"/>
    <w:qFormat/>
    <w:uiPriority w:val="0"/>
    <w:rPr>
      <w:rFonts w:hint="eastAsia" w:ascii="宋体" w:hAnsi="宋体" w:eastAsia="宋体" w:cs="宋体"/>
      <w:color w:val="333399"/>
      <w:sz w:val="20"/>
      <w:szCs w:val="20"/>
      <w:u w:val="none"/>
    </w:rPr>
  </w:style>
  <w:style w:type="character" w:customStyle="1" w:styleId="317">
    <w:name w:val="font141"/>
    <w:basedOn w:val="50"/>
    <w:qFormat/>
    <w:uiPriority w:val="0"/>
    <w:rPr>
      <w:rFonts w:ascii="等线" w:hAnsi="等线" w:eastAsia="等线" w:cs="等线"/>
      <w:color w:val="333399"/>
      <w:sz w:val="20"/>
      <w:szCs w:val="20"/>
      <w:u w:val="none"/>
    </w:rPr>
  </w:style>
  <w:style w:type="character" w:customStyle="1" w:styleId="318">
    <w:name w:val="font112"/>
    <w:basedOn w:val="50"/>
    <w:qFormat/>
    <w:uiPriority w:val="0"/>
    <w:rPr>
      <w:rFonts w:hint="eastAsia" w:ascii="宋体" w:hAnsi="宋体" w:eastAsia="宋体" w:cs="宋体"/>
      <w:b/>
      <w:bCs/>
      <w:color w:val="FF0000"/>
      <w:sz w:val="20"/>
      <w:szCs w:val="20"/>
      <w:u w:val="none"/>
    </w:rPr>
  </w:style>
  <w:style w:type="character" w:customStyle="1" w:styleId="319">
    <w:name w:val="font121"/>
    <w:basedOn w:val="50"/>
    <w:qFormat/>
    <w:uiPriority w:val="0"/>
    <w:rPr>
      <w:rFonts w:ascii="等线" w:hAnsi="等线" w:eastAsia="等线" w:cs="等线"/>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青鸟杭办</Company>
  <Pages>62</Pages>
  <Words>8893</Words>
  <Characters>9658</Characters>
  <Lines>1</Lines>
  <Paragraphs>1</Paragraphs>
  <TotalTime>5</TotalTime>
  <ScaleCrop>false</ScaleCrop>
  <LinksUpToDate>false</LinksUpToDate>
  <CharactersWithSpaces>9707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2021-10-18T14:49:00Z</dcterms:created>
  <dc:creator>黄旭明</dc:creator>
  <cp:lastModifiedBy>37.2℃</cp:lastModifiedBy>
  <cp:lastPrinted>2023-08-17T14:27:00Z</cp:lastPrinted>
  <dcterms:modified xsi:type="dcterms:W3CDTF">2025-02-17T08:23:51Z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8CB9E6EBA4A546B9A4B85180E29F466C_13</vt:lpwstr>
  </property>
  <property fmtid="{D5CDD505-2E9C-101B-9397-08002B2CF9AE}" pid="4" name="KSOTemplateDocerSaveRecord">
    <vt:lpwstr>eyJoZGlkIjoiYTI0N2Q1ZjExZTI5YzU2ZjM4MTBlN2U3M2E3NzM5ZGIiLCJ1c2VySWQiOiI2OTE0MTU0MTkifQ==</vt:lpwstr>
  </property>
</Properties>
</file>