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color w:val="auto"/>
          <w:highlight w:val="none"/>
        </w:rPr>
      </w:pPr>
      <w:bookmarkStart w:id="0" w:name="_Toc381081805"/>
      <w:bookmarkStart w:id="1" w:name="_Toc380429933"/>
    </w:p>
    <w:p>
      <w:pPr>
        <w:spacing w:beforeLines="50"/>
        <w:jc w:val="center"/>
        <w:rPr>
          <w:rFonts w:hint="eastAsia" w:ascii="宋体" w:hAnsi="宋体" w:eastAsia="宋体" w:cs="宋体"/>
          <w:b/>
          <w:bCs w:val="0"/>
          <w:color w:val="auto"/>
          <w:spacing w:val="-20"/>
          <w:sz w:val="52"/>
          <w:szCs w:val="52"/>
          <w:highlight w:val="none"/>
        </w:rPr>
      </w:pPr>
      <w:r>
        <w:rPr>
          <w:rFonts w:hint="eastAsia" w:ascii="宋体" w:hAnsi="宋体" w:eastAsia="宋体" w:cs="宋体"/>
          <w:b/>
          <w:bCs w:val="0"/>
          <w:color w:val="auto"/>
          <w:spacing w:val="-20"/>
          <w:sz w:val="52"/>
          <w:szCs w:val="52"/>
          <w:highlight w:val="none"/>
          <w:lang w:eastAsia="zh-CN"/>
        </w:rPr>
        <w:t>2025-2026年平湖市政府投资项目</w:t>
      </w:r>
      <w:r>
        <w:rPr>
          <w:rFonts w:hint="eastAsia" w:ascii="宋体" w:hAnsi="宋体" w:eastAsia="宋体" w:cs="宋体"/>
          <w:b/>
          <w:bCs w:val="0"/>
          <w:color w:val="auto"/>
          <w:spacing w:val="-20"/>
          <w:sz w:val="52"/>
          <w:szCs w:val="52"/>
          <w:highlight w:val="none"/>
        </w:rPr>
        <w:t>工程造价咨询服务框架协议采购</w:t>
      </w:r>
    </w:p>
    <w:p>
      <w:pPr>
        <w:spacing w:beforeLines="50"/>
        <w:rPr>
          <w:rFonts w:asciiTheme="majorEastAsia" w:hAnsiTheme="majorEastAsia" w:eastAsiaTheme="majorEastAsia" w:cstheme="majorEastAsia"/>
          <w:b/>
          <w:color w:val="auto"/>
          <w:sz w:val="48"/>
          <w:szCs w:val="48"/>
          <w:highlight w:val="none"/>
        </w:rPr>
      </w:pPr>
    </w:p>
    <w:p>
      <w:pPr>
        <w:spacing w:beforeLines="50"/>
        <w:jc w:val="center"/>
        <w:rPr>
          <w:rFonts w:asciiTheme="majorEastAsia" w:hAnsiTheme="majorEastAsia" w:eastAsiaTheme="majorEastAsia" w:cstheme="majorEastAsia"/>
          <w:b/>
          <w:color w:val="auto"/>
          <w:sz w:val="48"/>
          <w:szCs w:val="48"/>
          <w:highlight w:val="none"/>
        </w:rPr>
      </w:pPr>
    </w:p>
    <w:p>
      <w:pPr>
        <w:spacing w:beforeLines="5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征集文件</w:t>
      </w:r>
      <w:bookmarkStart w:id="92" w:name="_GoBack"/>
      <w:bookmarkEnd w:id="92"/>
    </w:p>
    <w:p>
      <w:pPr>
        <w:snapToGrid w:val="0"/>
        <w:spacing w:beforeLines="50" w:line="360" w:lineRule="auto"/>
        <w:rPr>
          <w:rFonts w:asciiTheme="majorEastAsia" w:hAnsiTheme="majorEastAsia" w:eastAsiaTheme="majorEastAsia" w:cstheme="majorEastAsia"/>
          <w:color w:val="auto"/>
          <w:sz w:val="30"/>
          <w:szCs w:val="72"/>
          <w:highlight w:val="none"/>
        </w:rPr>
      </w:pPr>
    </w:p>
    <w:p>
      <w:pPr>
        <w:pStyle w:val="17"/>
        <w:snapToGrid w:val="0"/>
        <w:spacing w:before="156" w:after="156" w:line="360" w:lineRule="auto"/>
        <w:jc w:val="left"/>
        <w:rPr>
          <w:rFonts w:asciiTheme="majorEastAsia" w:hAnsiTheme="majorEastAsia" w:eastAsiaTheme="majorEastAsia" w:cstheme="majorEastAsia"/>
          <w:b/>
          <w:bCs/>
          <w:color w:val="auto"/>
          <w:w w:val="95"/>
          <w:sz w:val="30"/>
          <w:szCs w:val="30"/>
          <w:highlight w:val="none"/>
        </w:rPr>
      </w:pPr>
    </w:p>
    <w:p>
      <w:pPr>
        <w:rPr>
          <w:rFonts w:asciiTheme="majorEastAsia" w:hAnsiTheme="majorEastAsia" w:eastAsiaTheme="majorEastAsia" w:cstheme="majorEastAsia"/>
          <w:color w:val="auto"/>
          <w:highlight w:val="none"/>
        </w:rPr>
      </w:pPr>
    </w:p>
    <w:p>
      <w:pPr>
        <w:pStyle w:val="4"/>
        <w:rPr>
          <w:rFonts w:asciiTheme="majorEastAsia" w:hAnsiTheme="majorEastAsia" w:eastAsiaTheme="majorEastAsia" w:cstheme="majorEastAsia"/>
          <w:color w:val="auto"/>
          <w:highlight w:val="none"/>
        </w:rPr>
      </w:pPr>
    </w:p>
    <w:p>
      <w:pPr>
        <w:spacing w:line="360" w:lineRule="auto"/>
        <w:jc w:val="left"/>
        <w:rPr>
          <w:rFonts w:hint="eastAsia" w:asciiTheme="majorEastAsia" w:hAnsiTheme="majorEastAsia" w:eastAsiaTheme="majorEastAsia" w:cstheme="majorEastAsia"/>
          <w:b/>
          <w:color w:val="auto"/>
          <w:sz w:val="30"/>
          <w:szCs w:val="30"/>
          <w:highlight w:val="none"/>
          <w:lang w:eastAsia="zh-CN"/>
        </w:rPr>
      </w:pPr>
      <w:r>
        <w:rPr>
          <w:rFonts w:hint="eastAsia" w:asciiTheme="majorEastAsia" w:hAnsiTheme="majorEastAsia" w:eastAsiaTheme="majorEastAsia" w:cstheme="majorEastAsia"/>
          <w:b/>
          <w:color w:val="auto"/>
          <w:sz w:val="30"/>
          <w:szCs w:val="30"/>
          <w:highlight w:val="none"/>
        </w:rPr>
        <w:t>项目编号：</w:t>
      </w:r>
      <w:r>
        <w:rPr>
          <w:rFonts w:hint="eastAsia" w:asciiTheme="majorEastAsia" w:hAnsiTheme="majorEastAsia" w:eastAsiaTheme="majorEastAsia" w:cstheme="majorEastAsia"/>
          <w:b/>
          <w:color w:val="auto"/>
          <w:sz w:val="30"/>
          <w:szCs w:val="30"/>
          <w:highlight w:val="none"/>
          <w:lang w:eastAsia="zh-CN"/>
        </w:rPr>
        <w:t>平政采招2024-38</w:t>
      </w:r>
    </w:p>
    <w:p>
      <w:pPr>
        <w:spacing w:line="360" w:lineRule="auto"/>
        <w:jc w:val="left"/>
        <w:rPr>
          <w:rFonts w:asciiTheme="majorEastAsia" w:hAnsiTheme="majorEastAsia" w:eastAsiaTheme="majorEastAsia" w:cstheme="majorEastAsia"/>
          <w:b/>
          <w:color w:val="auto"/>
          <w:sz w:val="30"/>
          <w:szCs w:val="30"/>
          <w:highlight w:val="none"/>
        </w:rPr>
      </w:pPr>
      <w:r>
        <w:rPr>
          <w:rFonts w:hint="eastAsia" w:asciiTheme="majorEastAsia" w:hAnsiTheme="majorEastAsia" w:eastAsiaTheme="majorEastAsia" w:cstheme="majorEastAsia"/>
          <w:b/>
          <w:color w:val="auto"/>
          <w:sz w:val="30"/>
          <w:szCs w:val="30"/>
          <w:highlight w:val="none"/>
        </w:rPr>
        <w:t>项目名称：</w:t>
      </w:r>
      <w:r>
        <w:rPr>
          <w:rFonts w:hint="eastAsia" w:asciiTheme="majorEastAsia" w:hAnsiTheme="majorEastAsia" w:eastAsiaTheme="majorEastAsia" w:cstheme="majorEastAsia"/>
          <w:b/>
          <w:color w:val="auto"/>
          <w:sz w:val="30"/>
          <w:szCs w:val="30"/>
          <w:highlight w:val="none"/>
          <w:lang w:eastAsia="zh-CN"/>
        </w:rPr>
        <w:t>2025-2026年平湖市政府投资项目工程造价咨询服务封闭式框架协议采购</w:t>
      </w:r>
    </w:p>
    <w:p>
      <w:pPr>
        <w:spacing w:line="360" w:lineRule="auto"/>
        <w:jc w:val="left"/>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0"/>
          <w:szCs w:val="30"/>
          <w:highlight w:val="none"/>
          <w:lang w:eastAsia="zh-CN"/>
        </w:rPr>
        <w:t>征集人（</w:t>
      </w:r>
      <w:r>
        <w:rPr>
          <w:rFonts w:hint="eastAsia" w:asciiTheme="majorEastAsia" w:hAnsiTheme="majorEastAsia" w:eastAsiaTheme="majorEastAsia" w:cstheme="majorEastAsia"/>
          <w:b/>
          <w:color w:val="auto"/>
          <w:sz w:val="30"/>
          <w:szCs w:val="30"/>
          <w:highlight w:val="none"/>
        </w:rPr>
        <w:t>集中采购机构</w:t>
      </w:r>
      <w:r>
        <w:rPr>
          <w:rFonts w:hint="eastAsia" w:asciiTheme="majorEastAsia" w:hAnsiTheme="majorEastAsia" w:eastAsiaTheme="majorEastAsia" w:cstheme="majorEastAsia"/>
          <w:b/>
          <w:color w:val="auto"/>
          <w:sz w:val="30"/>
          <w:szCs w:val="30"/>
          <w:highlight w:val="none"/>
          <w:lang w:eastAsia="zh-CN"/>
        </w:rPr>
        <w:t>）</w:t>
      </w:r>
      <w:r>
        <w:rPr>
          <w:rFonts w:hint="eastAsia" w:asciiTheme="majorEastAsia" w:hAnsiTheme="majorEastAsia" w:eastAsiaTheme="majorEastAsia" w:cstheme="majorEastAsia"/>
          <w:b/>
          <w:color w:val="auto"/>
          <w:sz w:val="30"/>
          <w:szCs w:val="30"/>
          <w:highlight w:val="none"/>
        </w:rPr>
        <w:t>：平湖市公共资源交易中心</w:t>
      </w:r>
    </w:p>
    <w:p>
      <w:pPr>
        <w:pStyle w:val="17"/>
        <w:snapToGrid w:val="0"/>
        <w:spacing w:before="156" w:after="156" w:line="240" w:lineRule="auto"/>
        <w:ind w:firstLine="613"/>
        <w:jc w:val="left"/>
        <w:rPr>
          <w:rFonts w:asciiTheme="majorEastAsia" w:hAnsiTheme="majorEastAsia" w:eastAsiaTheme="majorEastAsia" w:cstheme="majorEastAsia"/>
          <w:b/>
          <w:bCs/>
          <w:color w:val="auto"/>
          <w:w w:val="95"/>
          <w:sz w:val="32"/>
          <w:szCs w:val="32"/>
          <w:highlight w:val="none"/>
        </w:rPr>
      </w:pPr>
    </w:p>
    <w:p>
      <w:pPr>
        <w:pStyle w:val="17"/>
        <w:snapToGrid w:val="0"/>
        <w:spacing w:before="156" w:after="156" w:line="240" w:lineRule="auto"/>
        <w:ind w:firstLine="613"/>
        <w:jc w:val="left"/>
        <w:rPr>
          <w:rFonts w:asciiTheme="majorEastAsia" w:hAnsiTheme="majorEastAsia" w:eastAsiaTheme="majorEastAsia" w:cstheme="majorEastAsia"/>
          <w:b/>
          <w:bCs/>
          <w:color w:val="auto"/>
          <w:w w:val="95"/>
          <w:sz w:val="32"/>
          <w:szCs w:val="32"/>
          <w:highlight w:val="none"/>
        </w:rPr>
      </w:pPr>
    </w:p>
    <w:p>
      <w:pPr>
        <w:pStyle w:val="17"/>
        <w:spacing w:before="156" w:after="156" w:line="600" w:lineRule="exact"/>
        <w:jc w:val="center"/>
        <w:rPr>
          <w:rFonts w:hint="eastAsia" w:asciiTheme="majorEastAsia" w:hAnsiTheme="majorEastAsia" w:eastAsiaTheme="majorEastAsia" w:cstheme="majorEastAsia"/>
          <w:b/>
          <w:bCs/>
          <w:color w:val="auto"/>
          <w:w w:val="95"/>
          <w:sz w:val="32"/>
          <w:szCs w:val="32"/>
          <w:highlight w:val="none"/>
          <w:lang w:eastAsia="zh-CN"/>
        </w:rPr>
      </w:pPr>
      <w:r>
        <w:rPr>
          <w:rFonts w:hint="eastAsia" w:asciiTheme="majorEastAsia" w:hAnsiTheme="majorEastAsia" w:eastAsiaTheme="majorEastAsia" w:cstheme="majorEastAsia"/>
          <w:b/>
          <w:bCs/>
          <w:color w:val="auto"/>
          <w:w w:val="95"/>
          <w:sz w:val="32"/>
          <w:szCs w:val="32"/>
          <w:highlight w:val="none"/>
        </w:rPr>
        <w:t xml:space="preserve"> 　　　　　　　　　</w:t>
      </w:r>
      <w:r>
        <w:rPr>
          <w:rFonts w:hint="eastAsia" w:asciiTheme="majorEastAsia" w:hAnsiTheme="majorEastAsia" w:eastAsiaTheme="majorEastAsia" w:cstheme="majorEastAsia"/>
          <w:b/>
          <w:bCs/>
          <w:color w:val="auto"/>
          <w:w w:val="95"/>
          <w:sz w:val="32"/>
          <w:szCs w:val="32"/>
          <w:highlight w:val="none"/>
          <w:lang w:eastAsia="zh-CN"/>
        </w:rPr>
        <w:t>2024年</w:t>
      </w:r>
      <w:r>
        <w:rPr>
          <w:rFonts w:hint="eastAsia" w:asciiTheme="majorEastAsia" w:hAnsiTheme="majorEastAsia" w:eastAsiaTheme="majorEastAsia" w:cstheme="majorEastAsia"/>
          <w:b/>
          <w:bCs/>
          <w:color w:val="auto"/>
          <w:w w:val="95"/>
          <w:sz w:val="32"/>
          <w:szCs w:val="32"/>
          <w:highlight w:val="none"/>
          <w:lang w:val="en-US" w:eastAsia="zh-CN"/>
        </w:rPr>
        <w:t>11</w:t>
      </w:r>
      <w:r>
        <w:rPr>
          <w:rFonts w:hint="eastAsia" w:asciiTheme="majorEastAsia" w:hAnsiTheme="majorEastAsia" w:eastAsiaTheme="majorEastAsia" w:cstheme="majorEastAsia"/>
          <w:b/>
          <w:bCs/>
          <w:color w:val="auto"/>
          <w:w w:val="95"/>
          <w:sz w:val="32"/>
          <w:szCs w:val="32"/>
          <w:highlight w:val="none"/>
          <w:lang w:eastAsia="zh-CN"/>
        </w:rPr>
        <w:t>月</w:t>
      </w:r>
      <w:r>
        <w:rPr>
          <w:rFonts w:hint="eastAsia" w:asciiTheme="majorEastAsia" w:hAnsiTheme="majorEastAsia" w:eastAsiaTheme="majorEastAsia" w:cstheme="majorEastAsia"/>
          <w:b/>
          <w:bCs/>
          <w:color w:val="auto"/>
          <w:w w:val="95"/>
          <w:sz w:val="32"/>
          <w:szCs w:val="32"/>
          <w:highlight w:val="none"/>
          <w:lang w:val="en-US" w:eastAsia="zh-CN"/>
        </w:rPr>
        <w:t>27</w:t>
      </w:r>
      <w:r>
        <w:rPr>
          <w:rFonts w:hint="eastAsia" w:asciiTheme="majorEastAsia" w:hAnsiTheme="majorEastAsia" w:eastAsiaTheme="majorEastAsia" w:cstheme="majorEastAsia"/>
          <w:b/>
          <w:bCs/>
          <w:color w:val="auto"/>
          <w:w w:val="95"/>
          <w:sz w:val="32"/>
          <w:szCs w:val="32"/>
          <w:highlight w:val="none"/>
          <w:lang w:eastAsia="zh-CN"/>
        </w:rPr>
        <w:t>日</w:t>
      </w:r>
    </w:p>
    <w:p>
      <w:pPr>
        <w:pStyle w:val="17"/>
        <w:spacing w:before="156" w:after="156" w:line="600" w:lineRule="exact"/>
        <w:jc w:val="center"/>
        <w:rPr>
          <w:rFonts w:hint="eastAsia" w:asciiTheme="majorEastAsia" w:hAnsiTheme="majorEastAsia" w:eastAsiaTheme="majorEastAsia" w:cstheme="majorEastAsia"/>
          <w:b/>
          <w:color w:val="auto"/>
          <w:sz w:val="52"/>
          <w:szCs w:val="52"/>
          <w:highlight w:val="none"/>
        </w:rPr>
      </w:pPr>
    </w:p>
    <w:p>
      <w:pPr>
        <w:rPr>
          <w:rFonts w:hint="eastAsia"/>
          <w:color w:val="auto"/>
          <w:highlight w:val="none"/>
        </w:rPr>
      </w:pPr>
    </w:p>
    <w:p>
      <w:pPr>
        <w:pStyle w:val="14"/>
        <w:rPr>
          <w:color w:val="auto"/>
          <w:highlight w:val="none"/>
        </w:rPr>
      </w:pPr>
    </w:p>
    <w:p>
      <w:pPr>
        <w:pStyle w:val="17"/>
        <w:spacing w:beforeLines="100" w:afterLines="100" w:line="600" w:lineRule="exact"/>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目    录</w:t>
      </w:r>
    </w:p>
    <w:p>
      <w:pPr>
        <w:pStyle w:val="17"/>
        <w:spacing w:beforeLines="100" w:afterLines="100" w:line="600" w:lineRule="exact"/>
        <w:jc w:val="center"/>
        <w:rPr>
          <w:rFonts w:hint="eastAsia" w:ascii="宋体" w:hAnsi="宋体" w:eastAsia="宋体" w:cs="宋体"/>
          <w:b/>
          <w:bCs w:val="0"/>
          <w:color w:val="auto"/>
          <w:sz w:val="28"/>
          <w:szCs w:val="28"/>
          <w:highlight w:val="none"/>
        </w:rPr>
      </w:pPr>
    </w:p>
    <w:p>
      <w:pPr>
        <w:pStyle w:val="23"/>
        <w:tabs>
          <w:tab w:val="right" w:leader="dot" w:pos="8834"/>
        </w:tabs>
        <w:spacing w:line="480" w:lineRule="auto"/>
        <w:rPr>
          <w:b/>
          <w:color w:val="auto"/>
          <w:sz w:val="28"/>
          <w:szCs w:val="28"/>
          <w:highlight w:val="none"/>
          <w:u w:val="none"/>
        </w:rPr>
      </w:pPr>
      <w:r>
        <w:rPr>
          <w:color w:val="auto"/>
          <w:highlight w:val="none"/>
          <w:u w:val="none"/>
        </w:rPr>
        <w:fldChar w:fldCharType="begin"/>
      </w:r>
      <w:r>
        <w:rPr>
          <w:color w:val="auto"/>
          <w:highlight w:val="none"/>
          <w:u w:val="none"/>
        </w:rPr>
        <w:instrText xml:space="preserve"> HYPERLINK \l "_Toc406402981" </w:instrText>
      </w:r>
      <w:r>
        <w:rPr>
          <w:color w:val="auto"/>
          <w:highlight w:val="none"/>
          <w:u w:val="none"/>
        </w:rPr>
        <w:fldChar w:fldCharType="separate"/>
      </w:r>
      <w:r>
        <w:rPr>
          <w:rStyle w:val="32"/>
          <w:rFonts w:hint="eastAsia"/>
          <w:b/>
          <w:color w:val="auto"/>
          <w:sz w:val="28"/>
          <w:szCs w:val="28"/>
          <w:highlight w:val="none"/>
          <w:u w:val="none"/>
        </w:rPr>
        <w:t>第一章</w:t>
      </w:r>
      <w:r>
        <w:rPr>
          <w:rStyle w:val="32"/>
          <w:b/>
          <w:color w:val="auto"/>
          <w:sz w:val="28"/>
          <w:szCs w:val="28"/>
          <w:highlight w:val="none"/>
          <w:u w:val="none"/>
        </w:rPr>
        <w:t xml:space="preserve">  </w:t>
      </w:r>
      <w:r>
        <w:rPr>
          <w:rStyle w:val="32"/>
          <w:rFonts w:hint="eastAsia"/>
          <w:b/>
          <w:color w:val="auto"/>
          <w:sz w:val="28"/>
          <w:szCs w:val="28"/>
          <w:highlight w:val="none"/>
          <w:u w:val="none"/>
        </w:rPr>
        <w:t>框架协议采购公告</w:t>
      </w:r>
      <w:r>
        <w:rPr>
          <w:b/>
          <w:color w:val="auto"/>
          <w:sz w:val="28"/>
          <w:szCs w:val="28"/>
          <w:highlight w:val="none"/>
          <w:u w:val="none"/>
        </w:rPr>
        <w:tab/>
      </w:r>
      <w:r>
        <w:rPr>
          <w:rFonts w:hint="eastAsia"/>
          <w:b/>
          <w:color w:val="auto"/>
          <w:sz w:val="28"/>
          <w:szCs w:val="28"/>
          <w:highlight w:val="none"/>
          <w:u w:val="none"/>
        </w:rPr>
        <w:t>3</w:t>
      </w:r>
      <w:r>
        <w:rPr>
          <w:rFonts w:hint="eastAsia"/>
          <w:b/>
          <w:color w:val="auto"/>
          <w:sz w:val="28"/>
          <w:szCs w:val="28"/>
          <w:highlight w:val="none"/>
          <w:u w:val="none"/>
        </w:rPr>
        <w:fldChar w:fldCharType="end"/>
      </w:r>
    </w:p>
    <w:p>
      <w:pPr>
        <w:pStyle w:val="23"/>
        <w:tabs>
          <w:tab w:val="right" w:leader="dot" w:pos="8834"/>
        </w:tabs>
        <w:spacing w:line="480" w:lineRule="auto"/>
        <w:rPr>
          <w:rFonts w:hint="eastAsia" w:eastAsia="宋体"/>
          <w:b/>
          <w:color w:val="auto"/>
          <w:sz w:val="28"/>
          <w:szCs w:val="28"/>
          <w:highlight w:val="none"/>
          <w:u w:val="none"/>
          <w:lang w:val="en-US" w:eastAsia="zh-CN"/>
        </w:rPr>
      </w:pPr>
      <w:r>
        <w:rPr>
          <w:color w:val="auto"/>
          <w:highlight w:val="none"/>
          <w:u w:val="none"/>
        </w:rPr>
        <w:fldChar w:fldCharType="begin"/>
      </w:r>
      <w:r>
        <w:rPr>
          <w:color w:val="auto"/>
          <w:highlight w:val="none"/>
          <w:u w:val="none"/>
        </w:rPr>
        <w:instrText xml:space="preserve"> HYPERLINK \l "_Toc406402982" </w:instrText>
      </w:r>
      <w:r>
        <w:rPr>
          <w:color w:val="auto"/>
          <w:highlight w:val="none"/>
          <w:u w:val="none"/>
        </w:rPr>
        <w:fldChar w:fldCharType="separate"/>
      </w:r>
      <w:r>
        <w:rPr>
          <w:rStyle w:val="32"/>
          <w:rFonts w:hint="eastAsia"/>
          <w:b/>
          <w:color w:val="auto"/>
          <w:sz w:val="28"/>
          <w:szCs w:val="28"/>
          <w:highlight w:val="none"/>
          <w:u w:val="none"/>
        </w:rPr>
        <w:t>第二章</w:t>
      </w:r>
      <w:r>
        <w:rPr>
          <w:rStyle w:val="32"/>
          <w:b/>
          <w:color w:val="auto"/>
          <w:sz w:val="28"/>
          <w:szCs w:val="28"/>
          <w:highlight w:val="none"/>
          <w:u w:val="none"/>
        </w:rPr>
        <w:t xml:space="preserve">  </w:t>
      </w:r>
      <w:r>
        <w:rPr>
          <w:rStyle w:val="32"/>
          <w:rFonts w:hint="eastAsia"/>
          <w:b/>
          <w:color w:val="auto"/>
          <w:sz w:val="28"/>
          <w:szCs w:val="28"/>
          <w:highlight w:val="none"/>
          <w:u w:val="none"/>
        </w:rPr>
        <w:t>框架协议采购需求</w:t>
      </w:r>
      <w:r>
        <w:rPr>
          <w:b/>
          <w:color w:val="auto"/>
          <w:sz w:val="28"/>
          <w:szCs w:val="28"/>
          <w:highlight w:val="none"/>
          <w:u w:val="none"/>
        </w:rPr>
        <w:tab/>
      </w:r>
      <w:r>
        <w:rPr>
          <w:rFonts w:hint="eastAsia"/>
          <w:b/>
          <w:color w:val="auto"/>
          <w:sz w:val="28"/>
          <w:szCs w:val="28"/>
          <w:highlight w:val="none"/>
          <w:u w:val="none"/>
          <w:lang w:val="en-US" w:eastAsia="zh-CN"/>
        </w:rPr>
        <w:t>7</w:t>
      </w:r>
      <w:r>
        <w:rPr>
          <w:rFonts w:hint="eastAsia"/>
          <w:b/>
          <w:color w:val="auto"/>
          <w:sz w:val="28"/>
          <w:szCs w:val="28"/>
          <w:highlight w:val="none"/>
          <w:u w:val="none"/>
        </w:rPr>
        <w:fldChar w:fldCharType="end"/>
      </w:r>
    </w:p>
    <w:p>
      <w:pPr>
        <w:pStyle w:val="23"/>
        <w:tabs>
          <w:tab w:val="right" w:leader="dot" w:pos="8834"/>
        </w:tabs>
        <w:spacing w:line="480" w:lineRule="auto"/>
        <w:rPr>
          <w:rFonts w:hint="default" w:eastAsia="宋体"/>
          <w:b/>
          <w:color w:val="auto"/>
          <w:sz w:val="28"/>
          <w:szCs w:val="28"/>
          <w:highlight w:val="none"/>
          <w:u w:val="none"/>
          <w:lang w:val="en-US" w:eastAsia="zh-CN"/>
        </w:rPr>
      </w:pPr>
      <w:r>
        <w:rPr>
          <w:color w:val="auto"/>
          <w:highlight w:val="none"/>
          <w:u w:val="none"/>
        </w:rPr>
        <w:fldChar w:fldCharType="begin"/>
      </w:r>
      <w:r>
        <w:rPr>
          <w:color w:val="auto"/>
          <w:highlight w:val="none"/>
          <w:u w:val="none"/>
        </w:rPr>
        <w:instrText xml:space="preserve"> HYPERLINK \l "_Toc406402986" </w:instrText>
      </w:r>
      <w:r>
        <w:rPr>
          <w:color w:val="auto"/>
          <w:highlight w:val="none"/>
          <w:u w:val="none"/>
        </w:rPr>
        <w:fldChar w:fldCharType="separate"/>
      </w:r>
      <w:r>
        <w:rPr>
          <w:rStyle w:val="32"/>
          <w:rFonts w:hint="eastAsia"/>
          <w:b/>
          <w:color w:val="auto"/>
          <w:sz w:val="28"/>
          <w:szCs w:val="28"/>
          <w:highlight w:val="none"/>
          <w:u w:val="none"/>
        </w:rPr>
        <w:t>第三章</w:t>
      </w:r>
      <w:r>
        <w:rPr>
          <w:rStyle w:val="32"/>
          <w:b/>
          <w:color w:val="auto"/>
          <w:sz w:val="28"/>
          <w:szCs w:val="28"/>
          <w:highlight w:val="none"/>
          <w:u w:val="none"/>
        </w:rPr>
        <w:t xml:space="preserve">  </w:t>
      </w:r>
      <w:r>
        <w:rPr>
          <w:rStyle w:val="32"/>
          <w:rFonts w:hint="eastAsia"/>
          <w:b/>
          <w:color w:val="auto"/>
          <w:sz w:val="28"/>
          <w:szCs w:val="28"/>
          <w:highlight w:val="none"/>
          <w:u w:val="none"/>
        </w:rPr>
        <w:t>供应商须知</w:t>
      </w:r>
      <w:r>
        <w:rPr>
          <w:b/>
          <w:color w:val="auto"/>
          <w:sz w:val="28"/>
          <w:szCs w:val="28"/>
          <w:highlight w:val="none"/>
          <w:u w:val="none"/>
        </w:rPr>
        <w:tab/>
      </w:r>
      <w:r>
        <w:rPr>
          <w:b/>
          <w:color w:val="auto"/>
          <w:sz w:val="28"/>
          <w:szCs w:val="28"/>
          <w:highlight w:val="none"/>
          <w:u w:val="none"/>
        </w:rPr>
        <w:fldChar w:fldCharType="end"/>
      </w:r>
      <w:r>
        <w:rPr>
          <w:rFonts w:hint="eastAsia"/>
          <w:b/>
          <w:color w:val="auto"/>
          <w:sz w:val="28"/>
          <w:szCs w:val="28"/>
          <w:highlight w:val="none"/>
          <w:u w:val="none"/>
          <w:lang w:val="en-US" w:eastAsia="zh-CN"/>
        </w:rPr>
        <w:t>14</w:t>
      </w:r>
    </w:p>
    <w:p>
      <w:pPr>
        <w:pStyle w:val="23"/>
        <w:tabs>
          <w:tab w:val="right" w:leader="dot" w:pos="8834"/>
        </w:tabs>
        <w:spacing w:line="480" w:lineRule="auto"/>
        <w:rPr>
          <w:rFonts w:hint="default" w:eastAsia="宋体"/>
          <w:b/>
          <w:color w:val="auto"/>
          <w:sz w:val="28"/>
          <w:szCs w:val="28"/>
          <w:highlight w:val="none"/>
          <w:u w:val="none"/>
          <w:lang w:val="en-US" w:eastAsia="zh-CN"/>
        </w:rPr>
      </w:pPr>
      <w:r>
        <w:rPr>
          <w:color w:val="auto"/>
          <w:highlight w:val="none"/>
          <w:u w:val="none"/>
        </w:rPr>
        <w:fldChar w:fldCharType="begin"/>
      </w:r>
      <w:r>
        <w:rPr>
          <w:color w:val="auto"/>
          <w:highlight w:val="none"/>
          <w:u w:val="none"/>
        </w:rPr>
        <w:instrText xml:space="preserve"> HYPERLINK \l "_Toc406402996" </w:instrText>
      </w:r>
      <w:r>
        <w:rPr>
          <w:color w:val="auto"/>
          <w:highlight w:val="none"/>
          <w:u w:val="none"/>
        </w:rPr>
        <w:fldChar w:fldCharType="separate"/>
      </w:r>
      <w:r>
        <w:rPr>
          <w:rStyle w:val="32"/>
          <w:rFonts w:hint="eastAsia"/>
          <w:b/>
          <w:color w:val="auto"/>
          <w:sz w:val="28"/>
          <w:szCs w:val="28"/>
          <w:highlight w:val="none"/>
          <w:u w:val="none"/>
        </w:rPr>
        <w:t xml:space="preserve">第四章 </w:t>
      </w:r>
      <w:r>
        <w:rPr>
          <w:rStyle w:val="32"/>
          <w:b/>
          <w:color w:val="auto"/>
          <w:sz w:val="28"/>
          <w:szCs w:val="28"/>
          <w:highlight w:val="none"/>
          <w:u w:val="none"/>
        </w:rPr>
        <w:t xml:space="preserve"> </w:t>
      </w:r>
      <w:r>
        <w:rPr>
          <w:rStyle w:val="32"/>
          <w:rFonts w:hint="eastAsia"/>
          <w:b/>
          <w:color w:val="auto"/>
          <w:sz w:val="28"/>
          <w:szCs w:val="28"/>
          <w:highlight w:val="none"/>
          <w:u w:val="none"/>
        </w:rPr>
        <w:t>评标办法及评分标准</w:t>
      </w:r>
      <w:r>
        <w:rPr>
          <w:b/>
          <w:color w:val="auto"/>
          <w:sz w:val="28"/>
          <w:szCs w:val="28"/>
          <w:highlight w:val="none"/>
          <w:u w:val="none"/>
        </w:rPr>
        <w:tab/>
      </w:r>
      <w:r>
        <w:rPr>
          <w:b/>
          <w:color w:val="auto"/>
          <w:sz w:val="28"/>
          <w:szCs w:val="28"/>
          <w:highlight w:val="none"/>
          <w:u w:val="none"/>
        </w:rPr>
        <w:fldChar w:fldCharType="end"/>
      </w:r>
      <w:r>
        <w:rPr>
          <w:rFonts w:hint="eastAsia"/>
          <w:b/>
          <w:color w:val="auto"/>
          <w:sz w:val="28"/>
          <w:szCs w:val="28"/>
          <w:highlight w:val="none"/>
          <w:u w:val="none"/>
          <w:lang w:val="en-US" w:eastAsia="zh-CN"/>
        </w:rPr>
        <w:t>28</w:t>
      </w:r>
    </w:p>
    <w:p>
      <w:pPr>
        <w:pStyle w:val="23"/>
        <w:tabs>
          <w:tab w:val="right" w:leader="dot" w:pos="8834"/>
        </w:tabs>
        <w:spacing w:line="480" w:lineRule="auto"/>
        <w:rPr>
          <w:rFonts w:hint="default" w:eastAsia="宋体"/>
          <w:b/>
          <w:color w:val="auto"/>
          <w:sz w:val="28"/>
          <w:szCs w:val="28"/>
          <w:highlight w:val="none"/>
          <w:u w:val="none"/>
          <w:lang w:val="en-US" w:eastAsia="zh-CN"/>
        </w:rPr>
      </w:pPr>
      <w:r>
        <w:rPr>
          <w:color w:val="auto"/>
          <w:highlight w:val="none"/>
          <w:u w:val="none"/>
        </w:rPr>
        <w:fldChar w:fldCharType="begin"/>
      </w:r>
      <w:r>
        <w:rPr>
          <w:color w:val="auto"/>
          <w:highlight w:val="none"/>
          <w:u w:val="none"/>
        </w:rPr>
        <w:instrText xml:space="preserve"> HYPERLINK \l "_Toc406402998" </w:instrText>
      </w:r>
      <w:r>
        <w:rPr>
          <w:color w:val="auto"/>
          <w:highlight w:val="none"/>
          <w:u w:val="none"/>
        </w:rPr>
        <w:fldChar w:fldCharType="separate"/>
      </w:r>
      <w:r>
        <w:rPr>
          <w:rStyle w:val="32"/>
          <w:rFonts w:hint="eastAsia"/>
          <w:b/>
          <w:color w:val="auto"/>
          <w:sz w:val="28"/>
          <w:szCs w:val="28"/>
          <w:highlight w:val="none"/>
          <w:u w:val="none"/>
        </w:rPr>
        <w:t>第五章</w:t>
      </w:r>
      <w:r>
        <w:rPr>
          <w:rStyle w:val="32"/>
          <w:b/>
          <w:color w:val="auto"/>
          <w:sz w:val="28"/>
          <w:szCs w:val="28"/>
          <w:highlight w:val="none"/>
          <w:u w:val="none"/>
        </w:rPr>
        <w:t xml:space="preserve">  </w:t>
      </w:r>
      <w:bookmarkStart w:id="2" w:name="_Hlt497308213"/>
      <w:bookmarkStart w:id="3" w:name="_Hlt497308212"/>
      <w:r>
        <w:rPr>
          <w:rStyle w:val="32"/>
          <w:rFonts w:hint="eastAsia"/>
          <w:b/>
          <w:color w:val="auto"/>
          <w:sz w:val="28"/>
          <w:szCs w:val="28"/>
          <w:highlight w:val="none"/>
          <w:u w:val="none"/>
        </w:rPr>
        <w:t>框架协议主要条款</w:t>
      </w:r>
      <w:r>
        <w:rPr>
          <w:b/>
          <w:color w:val="auto"/>
          <w:sz w:val="28"/>
          <w:szCs w:val="28"/>
          <w:highlight w:val="none"/>
          <w:u w:val="none"/>
        </w:rPr>
        <w:tab/>
      </w:r>
      <w:bookmarkEnd w:id="2"/>
      <w:bookmarkEnd w:id="3"/>
      <w:r>
        <w:rPr>
          <w:b/>
          <w:color w:val="auto"/>
          <w:sz w:val="28"/>
          <w:szCs w:val="28"/>
          <w:highlight w:val="none"/>
          <w:u w:val="none"/>
        </w:rPr>
        <w:fldChar w:fldCharType="end"/>
      </w:r>
      <w:r>
        <w:rPr>
          <w:rFonts w:hint="eastAsia"/>
          <w:b/>
          <w:color w:val="auto"/>
          <w:sz w:val="28"/>
          <w:szCs w:val="28"/>
          <w:highlight w:val="none"/>
          <w:u w:val="none"/>
          <w:lang w:val="en-US" w:eastAsia="zh-CN"/>
        </w:rPr>
        <w:t>32</w:t>
      </w:r>
    </w:p>
    <w:p>
      <w:pPr>
        <w:pStyle w:val="23"/>
        <w:tabs>
          <w:tab w:val="right" w:leader="dot" w:pos="8834"/>
        </w:tabs>
        <w:spacing w:line="480" w:lineRule="auto"/>
        <w:rPr>
          <w:rFonts w:hint="default" w:eastAsia="宋体"/>
          <w:b/>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"_Toc406403000" </w:instrText>
      </w:r>
      <w:r>
        <w:rPr>
          <w:color w:val="auto"/>
          <w:highlight w:val="none"/>
          <w:u w:val="none"/>
        </w:rPr>
        <w:fldChar w:fldCharType="separate"/>
      </w:r>
      <w:r>
        <w:rPr>
          <w:rStyle w:val="32"/>
          <w:rFonts w:hint="eastAsia"/>
          <w:b/>
          <w:color w:val="auto"/>
          <w:sz w:val="28"/>
          <w:szCs w:val="28"/>
          <w:highlight w:val="none"/>
          <w:u w:val="none"/>
        </w:rPr>
        <w:t>第六章　响应文件格式</w:t>
      </w:r>
      <w:r>
        <w:rPr>
          <w:b/>
          <w:color w:val="auto"/>
          <w:sz w:val="28"/>
          <w:szCs w:val="28"/>
          <w:highlight w:val="none"/>
          <w:u w:val="none"/>
        </w:rPr>
        <w:tab/>
      </w:r>
      <w:r>
        <w:rPr>
          <w:b/>
          <w:color w:val="auto"/>
          <w:sz w:val="28"/>
          <w:szCs w:val="28"/>
          <w:highlight w:val="none"/>
          <w:u w:val="none"/>
        </w:rPr>
        <w:fldChar w:fldCharType="end"/>
      </w:r>
      <w:r>
        <w:rPr>
          <w:rFonts w:hint="eastAsia"/>
          <w:b/>
          <w:color w:val="auto"/>
          <w:sz w:val="28"/>
          <w:szCs w:val="28"/>
          <w:highlight w:val="none"/>
          <w:u w:val="none"/>
          <w:lang w:val="en-US" w:eastAsia="zh-CN"/>
        </w:rPr>
        <w:t>40</w:t>
      </w:r>
    </w:p>
    <w:p>
      <w:pPr>
        <w:pStyle w:val="17"/>
        <w:keepNext w:val="0"/>
        <w:keepLines w:val="0"/>
        <w:pageBreakBefore w:val="0"/>
        <w:widowControl w:val="0"/>
        <w:kinsoku/>
        <w:wordWrap/>
        <w:overflowPunct/>
        <w:topLinePunct w:val="0"/>
        <w:autoSpaceDE/>
        <w:autoSpaceDN/>
        <w:bidi w:val="0"/>
        <w:adjustRightInd/>
        <w:snapToGrid/>
        <w:spacing w:before="156" w:after="156" w:line="480" w:lineRule="auto"/>
        <w:textAlignment w:val="auto"/>
        <w:rPr>
          <w:rFonts w:hint="eastAsia" w:ascii="宋体" w:hAnsi="宋体" w:eastAsia="宋体" w:cs="宋体"/>
          <w:b w:val="0"/>
          <w:bCs/>
          <w:color w:val="auto"/>
          <w:sz w:val="28"/>
          <w:szCs w:val="28"/>
          <w:highlight w:val="none"/>
          <w:u w:val="single"/>
        </w:rPr>
      </w:pPr>
    </w:p>
    <w:p>
      <w:pPr>
        <w:rPr>
          <w:rFonts w:asciiTheme="majorEastAsia" w:hAnsiTheme="majorEastAsia" w:eastAsiaTheme="majorEastAsia" w:cstheme="majorEastAsia"/>
          <w:color w:val="auto"/>
          <w:szCs w:val="32"/>
          <w:highlight w:val="none"/>
        </w:rPr>
      </w:pPr>
    </w:p>
    <w:p>
      <w:pPr>
        <w:pStyle w:val="4"/>
        <w:rPr>
          <w:rFonts w:asciiTheme="majorEastAsia" w:hAnsiTheme="majorEastAsia" w:eastAsiaTheme="majorEastAsia" w:cstheme="majorEastAsia"/>
          <w:color w:val="auto"/>
          <w:szCs w:val="32"/>
          <w:highlight w:val="none"/>
        </w:rPr>
      </w:pPr>
    </w:p>
    <w:p>
      <w:pPr>
        <w:rPr>
          <w:color w:val="auto"/>
          <w:highlight w:val="none"/>
        </w:rPr>
      </w:pPr>
    </w:p>
    <w:p>
      <w:pPr>
        <w:pStyle w:val="14"/>
        <w:rPr>
          <w:color w:val="auto"/>
          <w:highlight w:val="none"/>
        </w:rPr>
      </w:pPr>
    </w:p>
    <w:p>
      <w:pPr>
        <w:pStyle w:val="15"/>
        <w:ind w:left="480" w:firstLine="404"/>
        <w:rPr>
          <w:color w:val="auto"/>
          <w:highlight w:val="none"/>
        </w:rPr>
      </w:pPr>
    </w:p>
    <w:p>
      <w:pPr>
        <w:pStyle w:val="15"/>
        <w:ind w:left="480" w:firstLine="404"/>
        <w:rPr>
          <w:color w:val="auto"/>
          <w:highlight w:val="none"/>
        </w:rPr>
      </w:pPr>
    </w:p>
    <w:p>
      <w:pPr>
        <w:rPr>
          <w:rFonts w:asciiTheme="majorEastAsia" w:hAnsiTheme="majorEastAsia" w:eastAsiaTheme="majorEastAsia" w:cstheme="majorEastAsia"/>
          <w:color w:val="auto"/>
          <w:highlight w:val="none"/>
        </w:rPr>
      </w:pPr>
    </w:p>
    <w:p>
      <w:pPr>
        <w:rPr>
          <w:rFonts w:asciiTheme="majorEastAsia" w:hAnsiTheme="majorEastAsia" w:eastAsiaTheme="majorEastAsia" w:cstheme="majorEastAsia"/>
          <w:color w:val="auto"/>
          <w:highlight w:val="none"/>
        </w:rPr>
      </w:pPr>
    </w:p>
    <w:p>
      <w:pPr>
        <w:rPr>
          <w:rFonts w:asciiTheme="majorEastAsia" w:hAnsiTheme="majorEastAsia" w:eastAsiaTheme="majorEastAsia" w:cstheme="majorEastAsia"/>
          <w:color w:val="auto"/>
          <w:highlight w:val="none"/>
        </w:rPr>
      </w:pPr>
    </w:p>
    <w:p>
      <w:pPr>
        <w:pStyle w:val="14"/>
        <w:rPr>
          <w:rFonts w:asciiTheme="majorEastAsia" w:hAnsiTheme="majorEastAsia" w:eastAsiaTheme="majorEastAsia" w:cstheme="majorEastAsia"/>
          <w:color w:val="auto"/>
          <w:highlight w:val="none"/>
        </w:rPr>
      </w:pPr>
    </w:p>
    <w:p>
      <w:pPr>
        <w:pStyle w:val="15"/>
        <w:ind w:left="480" w:firstLine="404"/>
        <w:rPr>
          <w:rFonts w:asciiTheme="majorEastAsia" w:hAnsiTheme="majorEastAsia" w:eastAsiaTheme="majorEastAsia" w:cstheme="majorEastAsia"/>
          <w:color w:val="auto"/>
          <w:highlight w:val="none"/>
        </w:rPr>
      </w:pPr>
    </w:p>
    <w:p>
      <w:pPr>
        <w:pStyle w:val="15"/>
        <w:ind w:left="480" w:firstLine="404"/>
        <w:rPr>
          <w:rFonts w:asciiTheme="majorEastAsia" w:hAnsiTheme="majorEastAsia" w:eastAsiaTheme="majorEastAsia" w:cstheme="majorEastAsia"/>
          <w:color w:val="auto"/>
          <w:highlight w:val="none"/>
        </w:rPr>
      </w:pPr>
    </w:p>
    <w:p>
      <w:pPr>
        <w:pStyle w:val="15"/>
        <w:ind w:left="480" w:firstLine="404"/>
        <w:rPr>
          <w:rFonts w:asciiTheme="majorEastAsia" w:hAnsiTheme="majorEastAsia" w:eastAsiaTheme="majorEastAsia" w:cstheme="majorEastAsia"/>
          <w:color w:val="auto"/>
          <w:highlight w:val="none"/>
        </w:rPr>
      </w:pPr>
    </w:p>
    <w:p>
      <w:pPr>
        <w:pStyle w:val="15"/>
        <w:ind w:left="480" w:firstLine="404"/>
        <w:rPr>
          <w:rFonts w:asciiTheme="majorEastAsia" w:hAnsiTheme="majorEastAsia" w:eastAsiaTheme="majorEastAsia" w:cstheme="majorEastAsia"/>
          <w:color w:val="auto"/>
          <w:highlight w:val="none"/>
        </w:rPr>
      </w:pPr>
    </w:p>
    <w:p>
      <w:pPr>
        <w:pStyle w:val="4"/>
        <w:spacing w:line="480" w:lineRule="auto"/>
        <w:rPr>
          <w:rFonts w:hint="eastAsia" w:asciiTheme="majorEastAsia" w:hAnsiTheme="majorEastAsia" w:eastAsiaTheme="majorEastAsia" w:cstheme="majorEastAsia"/>
          <w:color w:val="auto"/>
          <w:sz w:val="32"/>
          <w:highlight w:val="none"/>
        </w:rPr>
        <w:sectPr>
          <w:footerReference r:id="rId3" w:type="default"/>
          <w:pgSz w:w="11849" w:h="16781"/>
          <w:pgMar w:top="1440" w:right="1797" w:bottom="1440" w:left="1797" w:header="851" w:footer="850" w:gutter="0"/>
          <w:pgBorders>
            <w:top w:val="none" w:sz="0" w:space="0"/>
            <w:left w:val="none" w:sz="0" w:space="0"/>
            <w:bottom w:val="none" w:sz="0" w:space="0"/>
            <w:right w:val="none" w:sz="0" w:space="0"/>
          </w:pgBorders>
          <w:cols w:space="720" w:num="1"/>
          <w:docGrid w:linePitch="312" w:charSpace="0"/>
        </w:sectPr>
      </w:pPr>
      <w:bookmarkStart w:id="4" w:name="_Toc1308133736"/>
    </w:p>
    <w:p>
      <w:pPr>
        <w:pStyle w:val="4"/>
        <w:spacing w:line="480" w:lineRule="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32"/>
          <w:highlight w:val="none"/>
        </w:rPr>
        <w:t>第一章  框架协议采购公告</w:t>
      </w:r>
      <w:bookmarkEnd w:id="4"/>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5" w:name="_Toc439666950"/>
      <w:r>
        <w:rPr>
          <w:rFonts w:hint="eastAsia" w:ascii="宋体" w:hAnsi="宋体" w:eastAsia="宋体" w:cs="宋体"/>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2025-2026年平湖市政府投资项目工程造价咨询服务封闭式框架协议采购</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浙江政府采购网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"http://zfcg.czt.zj.gov.cn"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rPr>
        <w:t>http://zfcg.czt.zj.gov.cn</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）获取征集文件，并于</w:t>
      </w:r>
      <w:r>
        <w:rPr>
          <w:rFonts w:hint="eastAsia" w:ascii="宋体" w:hAnsi="宋体" w:cs="宋体"/>
          <w:color w:val="auto"/>
          <w:sz w:val="24"/>
          <w:szCs w:val="24"/>
          <w:highlight w:val="none"/>
          <w:u w:val="single"/>
          <w:lang w:eastAsia="zh-CN"/>
        </w:rPr>
        <w:t>2024年12月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rPr>
        <w:t>9：</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北京时间）前递交响应文件</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平政采招2024-38</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2025-2026年平湖市政府投资项目工程造价咨询服务封闭式框架协议采购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采购需求：平湖市政府投资项目服务费在分散采购招标限额（30万）以下的概算审核、预算审核、竣工结算审核服务，国有公司投资项目工程造价咨询参照执行</w:t>
      </w:r>
      <w:r>
        <w:rPr>
          <w:rFonts w:hint="eastAsia" w:ascii="宋体" w:hAnsi="宋体" w:eastAsia="宋体" w:cs="宋体"/>
          <w:bCs/>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服务期限：服务期限为二年，合同签订之日起至2026年12月31日。</w:t>
      </w:r>
    </w:p>
    <w:p>
      <w:pPr>
        <w:pageBreakBefore w:val="0"/>
        <w:kinsoku/>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bookmarkStart w:id="6" w:name="_Toc35393791"/>
      <w:bookmarkStart w:id="7" w:name="_Toc28359080"/>
      <w:bookmarkStart w:id="8" w:name="_Toc35393622"/>
      <w:bookmarkStart w:id="9" w:name="_Toc28359003"/>
      <w:r>
        <w:rPr>
          <w:rFonts w:hint="eastAsia" w:ascii="宋体" w:hAnsi="宋体" w:eastAsia="宋体" w:cs="宋体"/>
          <w:color w:val="auto"/>
          <w:sz w:val="24"/>
          <w:szCs w:val="24"/>
          <w:highlight w:val="none"/>
        </w:rPr>
        <w:t>本项目不接受联合体投标。</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10" w:name="_Toc28359081"/>
      <w:bookmarkStart w:id="11" w:name="_Toc28359004"/>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符合浙财采监【2013】24号《关于规范政府采购供应商资格设定及资格审查的通知》第六条规定,且未被“信用中国”（www.creditchina.gov.cn）、中国政府采购网（www.ccgp.gov.cn/search/cr/）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eastAsia="zh-CN"/>
        </w:rPr>
        <w:t>：本项目专门面向中小企业采购，监狱企业或残疾人福利企业参加政府采购活动的，视为中小企业；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15"/>
        <w:pageBreakBefore w:val="0"/>
        <w:widowControl w:val="0"/>
        <w:kinsoku/>
        <w:wordWrap/>
        <w:overflowPunct/>
        <w:topLinePunct w:val="0"/>
        <w:autoSpaceDE/>
        <w:autoSpaceDN/>
        <w:bidi w:val="0"/>
        <w:adjustRightInd/>
        <w:snapToGrid/>
        <w:spacing w:line="360" w:lineRule="auto"/>
        <w:ind w:left="0" w:leftChars="0" w:firstLine="464"/>
        <w:textAlignment w:val="auto"/>
        <w:rPr>
          <w:rFonts w:hint="eastAsia" w:ascii="宋体" w:hAnsi="宋体" w:eastAsia="宋体" w:cs="宋体"/>
          <w:color w:val="auto"/>
          <w:sz w:val="24"/>
          <w:szCs w:val="24"/>
          <w:highlight w:val="none"/>
        </w:rPr>
      </w:pPr>
      <w:r>
        <w:rPr>
          <w:rFonts w:hint="eastAsia"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.本项目不接受分公司（分支机构）直接申请。</w:t>
      </w:r>
      <w:bookmarkStart w:id="12" w:name="_Toc35393623"/>
      <w:bookmarkStart w:id="13" w:name="_Toc35393792"/>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w:t>
      </w:r>
      <w:bookmarkEnd w:id="10"/>
      <w:bookmarkEnd w:id="11"/>
      <w:bookmarkEnd w:id="12"/>
      <w:bookmarkEnd w:id="13"/>
      <w:r>
        <w:rPr>
          <w:rFonts w:hint="eastAsia" w:ascii="宋体" w:hAnsi="宋体" w:eastAsia="宋体" w:cs="宋体"/>
          <w:color w:val="auto"/>
          <w:sz w:val="24"/>
          <w:szCs w:val="24"/>
          <w:highlight w:val="none"/>
        </w:rPr>
        <w:t>征集文件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i/>
          <w:color w:val="auto"/>
          <w:sz w:val="24"/>
          <w:szCs w:val="24"/>
          <w:highlight w:val="none"/>
        </w:rPr>
        <w:t>公告发布之日起到投标截止时间</w:t>
      </w:r>
      <w:r>
        <w:rPr>
          <w:rFonts w:hint="eastAsia" w:ascii="宋体" w:hAnsi="宋体" w:eastAsia="宋体" w:cs="宋体"/>
          <w:i/>
          <w:iCs/>
          <w:color w:val="auto"/>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地点（网址）：政采云平台（https://www.zcygov.cn/）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方式：使用账号登录或者使用CA登录政采云平台；进入“项目采购”应用，在获取</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菜单中选择项目，获取</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注册账号--点击“商家入驻”，进行政府采购供应商资料填写；申领CA数字证书--申领流程详见“浙江政府采购网-下载专区-电子交易客户端-CA驱动和申领流程”。）首次使用的供应商需要在“系统管理”-“权限管理”中打开对应功能权限。公告页面附件</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可以下载，仅供浏览使用。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售价：免费。</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4" w:name="_Toc28359005"/>
      <w:bookmarkStart w:id="15" w:name="_Toc28359082"/>
      <w:bookmarkStart w:id="16" w:name="_Toc35393624"/>
      <w:bookmarkStart w:id="17" w:name="_Toc35393793"/>
      <w:r>
        <w:rPr>
          <w:rFonts w:hint="eastAsia" w:ascii="宋体" w:hAnsi="宋体" w:eastAsia="宋体" w:cs="宋体"/>
          <w:color w:val="auto"/>
          <w:sz w:val="24"/>
          <w:szCs w:val="24"/>
          <w:highlight w:val="none"/>
        </w:rPr>
        <w:t>四、提交</w:t>
      </w:r>
      <w:bookmarkEnd w:id="14"/>
      <w:bookmarkEnd w:id="15"/>
      <w:r>
        <w:rPr>
          <w:rFonts w:hint="eastAsia" w:ascii="宋体" w:hAnsi="宋体" w:eastAsia="宋体" w:cs="宋体"/>
          <w:color w:val="auto"/>
          <w:sz w:val="24"/>
          <w:szCs w:val="24"/>
          <w:highlight w:val="none"/>
        </w:rPr>
        <w:t>响应文件截止时间、开标时间和地点</w:t>
      </w:r>
      <w:bookmarkEnd w:id="16"/>
      <w:bookmarkEnd w:id="17"/>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18" w:name="_Toc28359084"/>
      <w:bookmarkStart w:id="19" w:name="_Toc35393625"/>
      <w:bookmarkStart w:id="20" w:name="_Toc35393794"/>
      <w:bookmarkStart w:id="21" w:name="_Toc28359007"/>
      <w:r>
        <w:rPr>
          <w:rFonts w:hint="eastAsia" w:ascii="宋体" w:hAnsi="宋体" w:eastAsia="宋体" w:cs="宋体"/>
          <w:b/>
          <w:color w:val="auto"/>
          <w:sz w:val="24"/>
          <w:szCs w:val="24"/>
          <w:highlight w:val="none"/>
        </w:rPr>
        <w:t>提交</w:t>
      </w:r>
      <w:r>
        <w:rPr>
          <w:rFonts w:hint="eastAsia" w:ascii="宋体" w:hAnsi="宋体" w:cs="宋体"/>
          <w:b/>
          <w:color w:val="auto"/>
          <w:sz w:val="24"/>
          <w:szCs w:val="24"/>
          <w:highlight w:val="none"/>
          <w:lang w:eastAsia="zh-CN"/>
        </w:rPr>
        <w:t>响应文件</w:t>
      </w:r>
      <w:r>
        <w:rPr>
          <w:rFonts w:hint="eastAsia" w:ascii="宋体" w:hAnsi="宋体" w:eastAsia="宋体" w:cs="宋体"/>
          <w:b/>
          <w:color w:val="auto"/>
          <w:sz w:val="24"/>
          <w:szCs w:val="24"/>
          <w:highlight w:val="none"/>
        </w:rPr>
        <w:t>截止时间：</w:t>
      </w:r>
      <w:r>
        <w:rPr>
          <w:rFonts w:hint="eastAsia" w:ascii="宋体" w:hAnsi="宋体" w:cs="宋体"/>
          <w:color w:val="auto"/>
          <w:sz w:val="24"/>
          <w:szCs w:val="24"/>
          <w:highlight w:val="none"/>
          <w:u w:val="none"/>
          <w:lang w:eastAsia="zh-CN"/>
        </w:rPr>
        <w:t>2024年12月</w:t>
      </w:r>
      <w:r>
        <w:rPr>
          <w:rFonts w:hint="eastAsia" w:ascii="宋体" w:hAnsi="宋体" w:cs="宋体"/>
          <w:color w:val="auto"/>
          <w:sz w:val="24"/>
          <w:szCs w:val="24"/>
          <w:highlight w:val="none"/>
          <w:u w:val="none"/>
          <w:lang w:val="en-US" w:eastAsia="zh-CN"/>
        </w:rPr>
        <w:t>19</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rPr>
        <w:t>9点</w:t>
      </w:r>
      <w:r>
        <w:rPr>
          <w:rFonts w:hint="eastAsia" w:ascii="宋体" w:hAnsi="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0分</w:t>
      </w:r>
      <w:r>
        <w:rPr>
          <w:rFonts w:hint="eastAsia" w:ascii="宋体" w:hAnsi="宋体" w:eastAsia="宋体" w:cs="宋体"/>
          <w:color w:val="auto"/>
          <w:sz w:val="24"/>
          <w:szCs w:val="24"/>
          <w:highlight w:val="none"/>
        </w:rPr>
        <w:t>（北京时间）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color w:val="auto"/>
          <w:sz w:val="24"/>
          <w:szCs w:val="24"/>
          <w:highlight w:val="none"/>
          <w:lang w:eastAsia="zh-CN"/>
        </w:rPr>
        <w:t>投标地点：</w:t>
      </w:r>
      <w:r>
        <w:rPr>
          <w:rFonts w:hint="eastAsia" w:ascii="宋体" w:hAnsi="宋体" w:eastAsia="宋体" w:cs="宋体"/>
          <w:b w:val="0"/>
          <w:bCs/>
          <w:color w:val="auto"/>
          <w:sz w:val="24"/>
          <w:szCs w:val="24"/>
          <w:highlight w:val="none"/>
          <w:lang w:eastAsia="zh-CN"/>
        </w:rPr>
        <w:t>政采云平台</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开标时间：</w:t>
      </w:r>
      <w:r>
        <w:rPr>
          <w:rFonts w:hint="eastAsia" w:ascii="宋体" w:hAnsi="宋体" w:cs="宋体"/>
          <w:color w:val="auto"/>
          <w:sz w:val="24"/>
          <w:szCs w:val="24"/>
          <w:highlight w:val="none"/>
          <w:u w:val="none"/>
          <w:lang w:eastAsia="zh-CN"/>
        </w:rPr>
        <w:t>2024年12月</w:t>
      </w:r>
      <w:r>
        <w:rPr>
          <w:rFonts w:hint="eastAsia" w:ascii="宋体" w:hAnsi="宋体" w:cs="宋体"/>
          <w:color w:val="auto"/>
          <w:sz w:val="24"/>
          <w:szCs w:val="24"/>
          <w:highlight w:val="none"/>
          <w:u w:val="none"/>
          <w:lang w:val="en-US" w:eastAsia="zh-CN"/>
        </w:rPr>
        <w:t>19</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rPr>
        <w:t>9点</w:t>
      </w:r>
      <w:r>
        <w:rPr>
          <w:rFonts w:hint="eastAsia" w:ascii="宋体" w:hAnsi="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0分</w:t>
      </w:r>
    </w:p>
    <w:p>
      <w:pPr>
        <w:pStyle w:val="2"/>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w:t>
      </w:r>
      <w:r>
        <w:rPr>
          <w:rFonts w:hint="eastAsia" w:ascii="宋体" w:hAnsi="宋体" w:eastAsia="宋体" w:cs="宋体"/>
          <w:b w:val="0"/>
          <w:bCs w:val="0"/>
          <w:color w:val="auto"/>
          <w:sz w:val="24"/>
          <w:szCs w:val="24"/>
          <w:highlight w:val="none"/>
        </w:rPr>
        <w:t>平湖市行政服务中心三楼平湖市公共资源交易中心315室</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bookmarkEnd w:id="18"/>
      <w:bookmarkEnd w:id="19"/>
      <w:bookmarkEnd w:id="20"/>
      <w:bookmarkEnd w:id="2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22" w:name="_Toc35393795"/>
      <w:bookmarkStart w:id="23" w:name="_Toc35393626"/>
      <w:r>
        <w:rPr>
          <w:rFonts w:hint="eastAsia" w:ascii="宋体" w:hAnsi="宋体" w:eastAsia="宋体" w:cs="宋体"/>
          <w:color w:val="auto"/>
          <w:sz w:val="24"/>
          <w:szCs w:val="24"/>
          <w:highlight w:val="none"/>
        </w:rPr>
        <w:t>六、其他补充事宜</w:t>
      </w:r>
      <w:bookmarkEnd w:id="22"/>
      <w:bookmarkEnd w:id="23"/>
    </w:p>
    <w:p>
      <w:pPr>
        <w:pStyle w:val="3"/>
        <w:ind w:firstLine="480"/>
        <w:rPr>
          <w:rFonts w:hint="eastAsia" w:asciiTheme="minorEastAsia" w:hAnsiTheme="minorEastAsia" w:eastAsiaTheme="minorEastAsia" w:cstheme="minorEastAsia"/>
          <w:color w:val="auto"/>
          <w:szCs w:val="24"/>
          <w:highlight w:val="none"/>
          <w:shd w:val="clear" w:color="auto" w:fill="FFFFFF"/>
        </w:rPr>
      </w:pPr>
      <w:bookmarkStart w:id="24" w:name="_Toc28359085"/>
      <w:bookmarkStart w:id="25" w:name="_Toc28359008"/>
      <w:bookmarkStart w:id="26" w:name="_Toc35393796"/>
      <w:bookmarkStart w:id="27" w:name="_Toc35393627"/>
      <w:r>
        <w:rPr>
          <w:rFonts w:hint="eastAsia" w:asciiTheme="minorEastAsia" w:hAnsiTheme="minorEastAsia" w:eastAsiaTheme="minorEastAsia" w:cstheme="minorEastAsia"/>
          <w:color w:val="auto"/>
          <w:szCs w:val="24"/>
          <w:highlight w:val="none"/>
          <w:shd w:val="clear" w:color="auto" w:fill="FFFFFF"/>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Theme="minorEastAsia" w:hAnsiTheme="minorEastAsia" w:eastAsiaTheme="minorEastAsia" w:cstheme="minorEastAsia"/>
          <w:color w:val="auto"/>
          <w:szCs w:val="24"/>
          <w:highlight w:val="none"/>
          <w:shd w:val="clear" w:color="auto" w:fill="FFFFFF"/>
        </w:rPr>
        <w:t>2.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本项目按照《浙江省财政厅关于印发浙江省政府采购项电子交易管理暂行办法的通知》实行电子交易。</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文件制作注意事项</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1.1供应商将政采云电子交易客户端下载、安装完成后，可通过账号密码或CA登录客户端进行</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文件制作。</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注：供应商先要申领CA，拿到CA后需要在政采云平台进行绑定，CA相关操作可参考CA驱动和申领流程。完成CA数字证书办理在资料齐全的情况下预计7个工作日左右，建议供应商获取</w:t>
      </w:r>
      <w:r>
        <w:rPr>
          <w:rFonts w:hint="eastAsia" w:ascii="宋体" w:hAnsi="宋体" w:cs="宋体"/>
          <w:bCs/>
          <w:color w:val="auto"/>
          <w:sz w:val="24"/>
          <w:szCs w:val="24"/>
          <w:highlight w:val="none"/>
          <w:lang w:eastAsia="zh-CN"/>
        </w:rPr>
        <w:t>征集文件</w:t>
      </w:r>
      <w:r>
        <w:rPr>
          <w:rFonts w:hint="eastAsia" w:ascii="宋体" w:hAnsi="宋体" w:eastAsia="宋体" w:cs="宋体"/>
          <w:bCs/>
          <w:color w:val="auto"/>
          <w:sz w:val="24"/>
          <w:szCs w:val="24"/>
          <w:highlight w:val="none"/>
        </w:rPr>
        <w:t>后立即办理。</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1.2 CA驱动和申领流程</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https://zfcg.czt.zj.gov.cn/bidClientTemplate/2019-05-27/12945.html    </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注：CA证书遗失补办、延期、解锁、质保等业务可以在联连客户端上进行操作；使用政采云投标客户端时，建议使用windows7以上且64位的操作系统。</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1.3 CA证书办理操作视频</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https://service.zcygov.cn/#/knowledges/UgcbC3EBiyELHE-opz1b/EWqqyXEByNnJ3A2CPyDI</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1.4 CA绑定登录操作视频</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https://service.zcygov.cn/#/knowledges/UgcbC3EBiyELHE-opz1b/nAkmyXEBiyELHE-o-983</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1.5浙江省“项目采购电子交易系统/不见面开评审”学习专题：https://edu.zcygov.cn/luban/e-biding</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文件提交注意事项</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本项目实行电子投标。</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应按照本项目</w:t>
      </w:r>
      <w:r>
        <w:rPr>
          <w:rFonts w:hint="eastAsia" w:ascii="宋体" w:hAnsi="宋体" w:eastAsia="宋体" w:cs="宋体"/>
          <w:bCs/>
          <w:color w:val="auto"/>
          <w:sz w:val="24"/>
          <w:szCs w:val="24"/>
          <w:highlight w:val="none"/>
          <w:lang w:eastAsia="zh-CN"/>
        </w:rPr>
        <w:t>征集</w:t>
      </w:r>
      <w:r>
        <w:rPr>
          <w:rFonts w:hint="eastAsia" w:ascii="宋体" w:hAnsi="宋体" w:eastAsia="宋体" w:cs="宋体"/>
          <w:bCs/>
          <w:color w:val="auto"/>
          <w:sz w:val="24"/>
          <w:szCs w:val="24"/>
          <w:highlight w:val="none"/>
        </w:rPr>
        <w:t>文件和电子交易平台的要求编制、加密，并应当在投标截止时间前在规定电子交易平台完成传输递交，投标截止时间后送达的</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文件，将被电子交易平台拒收。</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为确保采购项目顺利实施，避免因解密失败导致投标方投标无效，投标方可在</w:t>
      </w:r>
      <w:r>
        <w:rPr>
          <w:rFonts w:hint="eastAsia" w:ascii="宋体" w:hAnsi="宋体" w:cs="宋体"/>
          <w:bCs/>
          <w:color w:val="auto"/>
          <w:sz w:val="24"/>
          <w:szCs w:val="24"/>
          <w:highlight w:val="none"/>
          <w:lang w:eastAsia="zh-CN"/>
        </w:rPr>
        <w:t>2024年12月</w:t>
      </w:r>
      <w:r>
        <w:rPr>
          <w:rFonts w:hint="eastAsia" w:ascii="宋体" w:hAnsi="宋体" w:cs="宋体"/>
          <w:bCs/>
          <w:color w:val="auto"/>
          <w:sz w:val="24"/>
          <w:szCs w:val="24"/>
          <w:highlight w:val="none"/>
          <w:lang w:val="en-US" w:eastAsia="zh-CN"/>
        </w:rPr>
        <w:t>19</w:t>
      </w:r>
      <w:r>
        <w:rPr>
          <w:rFonts w:hint="eastAsia" w:ascii="宋体" w:hAnsi="宋体" w:cs="宋体"/>
          <w:bCs/>
          <w:color w:val="auto"/>
          <w:sz w:val="24"/>
          <w:szCs w:val="24"/>
          <w:highlight w:val="none"/>
          <w:lang w:eastAsia="zh-CN"/>
        </w:rPr>
        <w:t>日</w:t>
      </w:r>
      <w:r>
        <w:rPr>
          <w:rFonts w:hint="eastAsia" w:ascii="宋体" w:hAnsi="宋体" w:eastAsia="宋体" w:cs="宋体"/>
          <w:bCs/>
          <w:color w:val="auto"/>
          <w:sz w:val="24"/>
          <w:szCs w:val="24"/>
          <w:highlight w:val="none"/>
        </w:rPr>
        <w:t>上午9</w:t>
      </w:r>
      <w:r>
        <w:rPr>
          <w:rFonts w:hint="eastAsia" w:ascii="宋体" w:hAnsi="宋体" w:eastAsia="宋体" w:cs="宋体"/>
          <w:bCs/>
          <w:color w:val="auto"/>
          <w:sz w:val="24"/>
          <w:szCs w:val="24"/>
          <w:highlight w:val="none"/>
          <w:lang w:eastAsia="zh-CN"/>
        </w:rPr>
        <w:t>点</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0分前将在政采云平台上最后生成的具备电子签章的备份电子标文件装袋密封后邮寄或直接送达至平湖市公共资源交易中心（包裹外包装上应当用不褪色墨水笔注明</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名称、项目名称以及法定代表人或其委托代理人签名，</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应当确保U盘能够打开运行并正常使用）（送达地址：浙江省嘉兴市平湖市行政服务中心，收件人：吴倩芸，联系电话：0573-85631736），如在开标过程中出现解密失败情况，以备份文件作为替代投</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文件，如</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未按照规定时间及要求提供有效备份文件，同时政采云上</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文件解密失败的，将导致投标无效。</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.惠企政策</w:t>
      </w:r>
    </w:p>
    <w:p>
      <w:pPr>
        <w:pStyle w:val="3"/>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本采购项目，中标单位与</w:t>
      </w:r>
      <w:r>
        <w:rPr>
          <w:rFonts w:hint="eastAsia" w:ascii="宋体" w:hAnsi="宋体" w:cs="宋体"/>
          <w:bCs/>
          <w:color w:val="auto"/>
          <w:sz w:val="24"/>
          <w:szCs w:val="24"/>
          <w:highlight w:val="none"/>
          <w:lang w:eastAsia="zh-CN"/>
        </w:rPr>
        <w:t>征集人</w:t>
      </w:r>
      <w:r>
        <w:rPr>
          <w:rFonts w:hint="eastAsia" w:ascii="宋体" w:hAnsi="宋体" w:eastAsia="宋体" w:cs="宋体"/>
          <w:bCs/>
          <w:color w:val="auto"/>
          <w:sz w:val="24"/>
          <w:szCs w:val="24"/>
          <w:highlight w:val="none"/>
        </w:rPr>
        <w:t>签订的政府采购合同适用于平湖市政府采购贷款政策，简称“政采贷”，具体内容可参阅各银行政府采购贷款流程：https://jxszwsjb.jiaxing.gov.cn/art/2020/5/14/art_1229743922_103946.html</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bookmarkEnd w:id="24"/>
      <w:bookmarkEnd w:id="25"/>
      <w:bookmarkEnd w:id="26"/>
      <w:bookmarkEnd w:id="27"/>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1.征集人信息</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称：平湖市公共资源交易中心</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地址：平湖市</w:t>
      </w:r>
      <w:r>
        <w:rPr>
          <w:rFonts w:hint="eastAsia" w:ascii="宋体" w:hAnsi="宋体" w:cs="宋体"/>
          <w:color w:val="auto"/>
          <w:sz w:val="24"/>
          <w:szCs w:val="24"/>
          <w:highlight w:val="none"/>
          <w:lang w:eastAsia="zh-CN"/>
        </w:rPr>
        <w:t>政务</w:t>
      </w:r>
      <w:r>
        <w:rPr>
          <w:rFonts w:hint="eastAsia" w:ascii="宋体" w:hAnsi="宋体" w:eastAsia="宋体" w:cs="宋体"/>
          <w:color w:val="auto"/>
          <w:sz w:val="24"/>
          <w:szCs w:val="24"/>
          <w:highlight w:val="none"/>
        </w:rPr>
        <w:t>服务中心三楼</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传真：057</w:t>
      </w:r>
      <w:r>
        <w:rPr>
          <w:rFonts w:hint="eastAsia" w:ascii="宋体" w:hAnsi="宋体" w:eastAsia="宋体" w:cs="宋体"/>
          <w:color w:val="auto"/>
          <w:sz w:val="24"/>
          <w:szCs w:val="24"/>
          <w:highlight w:val="none"/>
          <w:lang w:val="en-US" w:eastAsia="zh-CN"/>
        </w:rPr>
        <w:t>3-85631737</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lang w:eastAsia="zh-CN"/>
        </w:rPr>
        <w:t>吴倩芸</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项目联系方式（询问）：</w:t>
      </w:r>
      <w:r>
        <w:rPr>
          <w:rFonts w:hint="eastAsia" w:ascii="宋体" w:hAnsi="宋体" w:eastAsia="宋体" w:cs="宋体"/>
          <w:color w:val="auto"/>
          <w:sz w:val="24"/>
          <w:szCs w:val="24"/>
          <w:highlight w:val="none"/>
          <w:lang w:val="en-US" w:eastAsia="zh-CN"/>
        </w:rPr>
        <w:t>0573-85631736</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质疑联系人：于金成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质疑联系方式：0573-85631720</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.同级政府采购监督管理部门</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名称：平湖市财政局政府采购监管科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地址：平湖市望湖路318号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：陆先生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监督投诉电话：0573-85013033</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若对项目采购电子交易系统操作有疑问，可登录政采云（https://www.zcygov.cn/），点击右侧咨询小采，获取采小蜜智能服务管家帮助，或拨打政采云服务热线</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CA问题联系电话（人工）：汇信CA 400-888-4636；天谷CA 400-087-8198。</w:t>
      </w:r>
    </w:p>
    <w:p>
      <w:pPr>
        <w:pageBreakBefore w:val="0"/>
        <w:widowControl w:val="0"/>
        <w:kinsoku/>
        <w:wordWrap/>
        <w:overflowPunct/>
        <w:topLinePunct w:val="0"/>
        <w:autoSpaceDE/>
        <w:autoSpaceDN/>
        <w:bidi w:val="0"/>
        <w:adjustRightInd/>
        <w:snapToGrid/>
        <w:spacing w:line="360" w:lineRule="auto"/>
        <w:ind w:right="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8" w:name="_Toc1256940247"/>
    </w:p>
    <w:p>
      <w:pPr>
        <w:pageBreakBefore w:val="0"/>
        <w:widowControl w:val="0"/>
        <w:kinsoku/>
        <w:wordWrap/>
        <w:overflowPunct/>
        <w:topLinePunct w:val="0"/>
        <w:autoSpaceDE/>
        <w:autoSpaceDN/>
        <w:bidi w:val="0"/>
        <w:adjustRightInd/>
        <w:snapToGrid/>
        <w:spacing w:line="360" w:lineRule="auto"/>
        <w:ind w:right="480"/>
        <w:jc w:val="center"/>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360" w:lineRule="auto"/>
        <w:ind w:right="480"/>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 xml:space="preserve">第二章 </w:t>
      </w:r>
      <w:r>
        <w:rPr>
          <w:rFonts w:hint="eastAsia" w:ascii="黑体" w:hAnsi="黑体" w:eastAsia="黑体" w:cs="黑体"/>
          <w:b/>
          <w:bCs/>
          <w:color w:val="auto"/>
          <w:sz w:val="32"/>
          <w:szCs w:val="32"/>
          <w:highlight w:val="none"/>
        </w:rPr>
        <w:t>框架协议采购需求</w:t>
      </w:r>
      <w:bookmarkEnd w:id="28"/>
    </w:p>
    <w:p>
      <w:pPr>
        <w:pStyle w:val="2"/>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bookmarkStart w:id="29" w:name="_Toc291450145"/>
      <w:bookmarkStart w:id="30" w:name="_Toc155322445"/>
      <w:r>
        <w:rPr>
          <w:rFonts w:hint="eastAsia" w:ascii="宋体" w:hAnsi="宋体" w:eastAsia="宋体" w:cs="宋体"/>
          <w:color w:val="auto"/>
          <w:sz w:val="24"/>
          <w:szCs w:val="24"/>
          <w:highlight w:val="none"/>
        </w:rPr>
        <w:t>一、</w:t>
      </w:r>
      <w:bookmarkEnd w:id="29"/>
      <w:bookmarkEnd w:id="30"/>
      <w:r>
        <w:rPr>
          <w:rFonts w:hint="eastAsia" w:ascii="宋体" w:hAnsi="宋体" w:eastAsia="宋体" w:cs="宋体"/>
          <w:color w:val="auto"/>
          <w:sz w:val="24"/>
          <w:szCs w:val="24"/>
          <w:highlight w:val="none"/>
        </w:rPr>
        <w:t>本次框架协议采购适用范围及第一阶段入围数量</w:t>
      </w:r>
    </w:p>
    <w:p>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适用</w:t>
      </w:r>
      <w:r>
        <w:rPr>
          <w:rFonts w:hint="eastAsia" w:ascii="宋体" w:hAnsi="宋体" w:eastAsia="宋体" w:cs="宋体"/>
          <w:b/>
          <w:bCs/>
          <w:color w:val="auto"/>
          <w:sz w:val="24"/>
          <w:szCs w:val="24"/>
          <w:highlight w:val="none"/>
        </w:rPr>
        <w:t>范围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平湖市政府投资项目服务费在分散采购招标限额（30万）以下的概算审核、预算审核、竣工结算审核服务，国有公司投资项目工程造价咨询参照执行。</w:t>
      </w:r>
    </w:p>
    <w:p>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Cs/>
          <w:color w:val="auto"/>
          <w:sz w:val="24"/>
          <w:szCs w:val="24"/>
          <w:highlight w:val="none"/>
          <w:lang w:val="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入围数量：</w:t>
      </w:r>
      <w:r>
        <w:rPr>
          <w:rFonts w:hint="eastAsia" w:ascii="宋体" w:hAnsi="宋体" w:eastAsia="宋体" w:cs="宋体"/>
          <w:bCs/>
          <w:color w:val="auto"/>
          <w:sz w:val="24"/>
          <w:szCs w:val="24"/>
          <w:highlight w:val="none"/>
        </w:rPr>
        <w:t>提交响应文件且符合资格条件、实质性要求的供应商20家（不含）以上，按照质量评分从高到低排序，推荐前16家为入围供应商；提交响应文件及符合资格条件、实质性要求的供应商20家（含）以下，按20%比例淘汰（如遇淘汰数值为小数的，取大值整数，例如淘汰4.2家，取淘汰5家）后推荐为入围供应商。</w:t>
      </w:r>
      <w:r>
        <w:rPr>
          <w:rFonts w:hint="eastAsia" w:ascii="宋体" w:hAnsi="宋体"/>
          <w:b/>
          <w:bCs/>
          <w:highlight w:val="none"/>
        </w:rPr>
        <w:t>特别说明：本次入围的供应商不保证实际业务量。</w:t>
      </w:r>
    </w:p>
    <w:p>
      <w:pPr>
        <w:pStyle w:val="2"/>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bookmarkStart w:id="31" w:name="_Toc155322447"/>
      <w:bookmarkStart w:id="32" w:name="_Toc291450147"/>
      <w:r>
        <w:rPr>
          <w:rFonts w:hint="eastAsia" w:ascii="宋体" w:hAnsi="宋体" w:eastAsia="宋体" w:cs="宋体"/>
          <w:color w:val="auto"/>
          <w:sz w:val="24"/>
          <w:szCs w:val="24"/>
          <w:highlight w:val="none"/>
        </w:rPr>
        <w:t>二、供应商服务基本要求</w:t>
      </w:r>
    </w:p>
    <w:p>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（一）服务要求</w:t>
      </w:r>
    </w:p>
    <w:p>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1.人员要求</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针对本项目，供应商必须组建专业工作团队。</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拟派团队负责人1人，必须具有十年及以上的造价从业经历（从国家级造价注册的初始注册之日起算），在供应商处具有造价工作经历（提供响应截止时间前3个月的社会保险参保证明，出具时参保单位须与响应供应商一致，如参保单位为响应供应商总公司［或分公司］或响应供应商母公司［或子公司］，均予以认可；无社保的退休人员须提供与响应供应商签订的劳动合同，并具备相关专业的注册一级造价工程师证书（造价工程师需注册在供应商处）。</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（2）拟派团队组成员（不含团队负责人）</w:t>
      </w:r>
      <w:r>
        <w:rPr>
          <w:rFonts w:hint="eastAsia" w:ascii="宋体" w:hAnsi="宋体"/>
          <w:color w:val="auto"/>
          <w:highlight w:val="none"/>
          <w:lang w:val="en-US" w:eastAsia="zh-CN"/>
        </w:rPr>
        <w:t>6</w:t>
      </w:r>
      <w:r>
        <w:rPr>
          <w:rFonts w:hint="eastAsia" w:ascii="宋体" w:hAnsi="宋体"/>
          <w:color w:val="auto"/>
          <w:highlight w:val="none"/>
          <w:lang w:val="zh-CN"/>
        </w:rPr>
        <w:t>至</w:t>
      </w:r>
      <w:r>
        <w:rPr>
          <w:rFonts w:hint="eastAsia" w:ascii="宋体" w:hAnsi="宋体"/>
          <w:color w:val="auto"/>
          <w:highlight w:val="none"/>
          <w:lang w:val="en-US" w:eastAsia="zh-CN"/>
        </w:rPr>
        <w:t>8</w:t>
      </w:r>
      <w:r>
        <w:rPr>
          <w:rFonts w:hint="eastAsia" w:ascii="宋体" w:hAnsi="宋体"/>
          <w:color w:val="auto"/>
          <w:highlight w:val="none"/>
          <w:lang w:val="zh-CN"/>
        </w:rPr>
        <w:t>人(拟派团队组成员配备不得低于</w:t>
      </w:r>
      <w:r>
        <w:rPr>
          <w:rFonts w:hint="eastAsia" w:ascii="宋体" w:hAnsi="宋体"/>
          <w:color w:val="auto"/>
          <w:highlight w:val="none"/>
          <w:lang w:val="en-US" w:eastAsia="zh-CN"/>
        </w:rPr>
        <w:t>6</w:t>
      </w:r>
      <w:r>
        <w:rPr>
          <w:rFonts w:hint="eastAsia" w:ascii="宋体" w:hAnsi="宋体"/>
          <w:color w:val="auto"/>
          <w:highlight w:val="none"/>
        </w:rPr>
        <w:t>人，不得</w:t>
      </w:r>
      <w:r>
        <w:rPr>
          <w:rFonts w:hint="eastAsia" w:ascii="宋体" w:hAnsi="宋体"/>
          <w:color w:val="auto"/>
          <w:highlight w:val="none"/>
          <w:lang w:val="zh-CN"/>
        </w:rPr>
        <w:t>超过</w:t>
      </w:r>
      <w:r>
        <w:rPr>
          <w:rFonts w:hint="eastAsia" w:ascii="宋体" w:hAnsi="宋体"/>
          <w:color w:val="auto"/>
          <w:highlight w:val="none"/>
          <w:lang w:val="en-US" w:eastAsia="zh-CN"/>
        </w:rPr>
        <w:t>8</w:t>
      </w:r>
      <w:r>
        <w:rPr>
          <w:rFonts w:hint="eastAsia" w:ascii="宋体" w:hAnsi="宋体"/>
          <w:color w:val="auto"/>
          <w:highlight w:val="none"/>
          <w:lang w:val="zh-CN"/>
        </w:rPr>
        <w:t>人)，在供应商处具有造价工作经历（提供响应截止时间前3个月的社会保险参保证明，出具时参保单位须与响应供应商一致，</w:t>
      </w:r>
      <w:r>
        <w:rPr>
          <w:rFonts w:hint="eastAsia" w:ascii="宋体" w:hAnsi="宋体" w:eastAsia="宋体" w:cs="宋体"/>
          <w:color w:val="auto"/>
          <w:sz w:val="24"/>
          <w:szCs w:val="24"/>
          <w:highlight w:val="none"/>
          <w:lang w:val="zh-CN"/>
        </w:rPr>
        <w:t>如参保单位为响应供应商总公司［或分公司］或响应供应商母公司［或子公司］，均予以认可；无社保的退休人员须提供与响应供应商签订的劳动合同，并提供具备相关专业的注册二级造价工程师及以上证书（造价工程师需注册在供应商处）；</w:t>
      </w:r>
      <w:r>
        <w:rPr>
          <w:rFonts w:hint="eastAsia" w:ascii="宋体" w:hAnsi="宋体" w:eastAsia="宋体" w:cs="宋体"/>
          <w:b/>
          <w:color w:val="auto"/>
          <w:sz w:val="24"/>
          <w:szCs w:val="24"/>
          <w:highlight w:val="none"/>
          <w:lang w:val="zh-CN"/>
        </w:rPr>
        <w:t>拟派团队组成员相关专业须包含：土木建筑、交通运输、水利和安装四个专业(专业认定时项目组成员中每人只取一个专业计算)。</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（3）团队组成员一旦确定，服务期内人员原则不得变更，如需变更需经过市财政审核通过备案。</w:t>
      </w:r>
    </w:p>
    <w:p>
      <w:pPr>
        <w:pageBreakBefore w:val="0"/>
        <w:widowControl w:val="0"/>
        <w:kinsoku/>
        <w:wordWrap/>
        <w:overflowPunct/>
        <w:topLinePunct w:val="0"/>
        <w:bidi w:val="0"/>
        <w:snapToGrid/>
        <w:spacing w:line="360" w:lineRule="auto"/>
        <w:ind w:firstLine="422" w:firstLineChars="200"/>
        <w:jc w:val="left"/>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r>
        <w:rPr>
          <w:rFonts w:hint="eastAsia" w:ascii="宋体" w:hAnsi="宋体" w:eastAsia="宋体" w:cs="宋体"/>
          <w:b/>
          <w:bCs/>
          <w:color w:val="auto"/>
          <w:sz w:val="21"/>
          <w:szCs w:val="21"/>
          <w:highlight w:val="none"/>
        </w:rPr>
        <w:t>中华人民共和国交通运输部颁发的甲级公路工程造价员资格证书视同一级，乙级公路工程造价员资格证书视同二级，中华人民共和国交通运输部颁发的水运工程造价师资格证书视同一级；中国水利工程协会颁布或水利部注册颁发的水利工程造价工程师资格证书视同一级；建设部原注册造价工程师视同为一级，其专业的认定需提供资格证书予以证明。</w:t>
      </w:r>
    </w:p>
    <w:p>
      <w:pPr>
        <w:pageBreakBefore w:val="0"/>
        <w:widowControl w:val="0"/>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2.业务要求：</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)概算审核:</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①审核内容：</w:t>
      </w:r>
      <w:r>
        <w:rPr>
          <w:rFonts w:hint="eastAsia" w:ascii="宋体" w:hAnsi="宋体" w:eastAsia="宋体" w:cs="宋体"/>
          <w:color w:val="auto"/>
          <w:sz w:val="24"/>
          <w:szCs w:val="24"/>
          <w:highlight w:val="none"/>
          <w:lang w:val="en-US" w:eastAsia="zh-CN"/>
        </w:rPr>
        <w:t>对设计单位提供初步设计图纸进行</w:t>
      </w:r>
      <w:r>
        <w:rPr>
          <w:rFonts w:hint="eastAsia" w:ascii="宋体" w:hAnsi="宋体" w:eastAsia="宋体" w:cs="宋体"/>
          <w:color w:val="auto"/>
          <w:sz w:val="24"/>
          <w:szCs w:val="24"/>
          <w:highlight w:val="none"/>
        </w:rPr>
        <w:t>工程量计算、</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算定额的选用与组价、取费及材料价格的确定</w:t>
      </w:r>
      <w:r>
        <w:rPr>
          <w:rFonts w:hint="eastAsia" w:ascii="宋体" w:hAnsi="宋体" w:eastAsia="宋体" w:cs="宋体"/>
          <w:color w:val="auto"/>
          <w:sz w:val="24"/>
          <w:szCs w:val="24"/>
          <w:highlight w:val="none"/>
          <w:lang w:val="en-US" w:eastAsia="zh-CN"/>
        </w:rPr>
        <w:t>等内容进行评审，评审成果中需要提供相关计算底稿等内容</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②审核时限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对于总投资在5000万以内的项目，概算审核初稿出具时间要在7个工作日内；对于总投资在5000万以上（含）的项目，概算审核初稿出具时间要在10个工作日内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后续根据初步设计会审情况与复核意见</w:t>
      </w:r>
      <w:r>
        <w:rPr>
          <w:rFonts w:hint="eastAsia" w:ascii="宋体" w:hAnsi="宋体" w:eastAsia="宋体" w:cs="宋体"/>
          <w:color w:val="auto"/>
          <w:sz w:val="24"/>
          <w:szCs w:val="24"/>
          <w:highlight w:val="none"/>
        </w:rPr>
        <w:t>在5个工作日内出具项目审核报告。</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(2)预算审核:</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①审核内容：</w:t>
      </w:r>
      <w:r>
        <w:rPr>
          <w:rFonts w:hint="eastAsia" w:ascii="宋体" w:hAnsi="宋体" w:eastAsia="宋体" w:cs="宋体"/>
          <w:color w:val="auto"/>
          <w:sz w:val="24"/>
          <w:szCs w:val="24"/>
          <w:highlight w:val="none"/>
          <w:lang w:val="en-US" w:eastAsia="zh-CN"/>
        </w:rPr>
        <w:t>对设计单位提供施工图设计图纸进行</w:t>
      </w:r>
      <w:r>
        <w:rPr>
          <w:rFonts w:hint="eastAsia" w:ascii="宋体" w:hAnsi="宋体" w:eastAsia="宋体" w:cs="宋体"/>
          <w:color w:val="auto"/>
          <w:sz w:val="24"/>
          <w:szCs w:val="24"/>
          <w:highlight w:val="none"/>
        </w:rPr>
        <w:t>工程量计算、预算定额的选用与组价、取费及材料价格的确定</w:t>
      </w:r>
      <w:r>
        <w:rPr>
          <w:rFonts w:hint="eastAsia" w:ascii="宋体" w:hAnsi="宋体" w:eastAsia="宋体" w:cs="宋体"/>
          <w:color w:val="auto"/>
          <w:sz w:val="24"/>
          <w:szCs w:val="24"/>
          <w:highlight w:val="none"/>
          <w:lang w:val="en-US" w:eastAsia="zh-CN"/>
        </w:rPr>
        <w:t>等内容进行评审，必须对项目重新建模套算，严禁根据编制单位提供的底稿简单套换定额</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②审核时限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对于总投资在5000万以内的项目，概算审核初稿出具时间要在7个工作日内；对于总投资在5000万以上（含）的项目，概算审核初稿出具时间要在10个工作日内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后续根据复核意见</w:t>
      </w:r>
      <w:r>
        <w:rPr>
          <w:rFonts w:hint="eastAsia" w:ascii="宋体" w:hAnsi="宋体" w:eastAsia="宋体" w:cs="宋体"/>
          <w:color w:val="auto"/>
          <w:sz w:val="24"/>
          <w:szCs w:val="24"/>
          <w:highlight w:val="none"/>
        </w:rPr>
        <w:t>在5个工作日内出具项目审核报告。</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)竣工结算审核服务:</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①审核内容：工程量计算、预算定额的选用与组价、取费及材料价格的确定、工程变更签证的认定及调整等评审，并出具完整竣工结算审核报告；合同约定其他审核内容。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②审核时限：根据项目评审委托合同约定的工作期限完成项目审核工作，并出具相应的审核报告及归档工作。从接到竣工结算报告和完整的竣工结算资料起，送审价500万元以下20</w:t>
      </w:r>
      <w:r>
        <w:rPr>
          <w:rFonts w:hint="eastAsia" w:ascii="宋体" w:hAnsi="宋体" w:eastAsia="宋体" w:cs="宋体"/>
          <w:color w:val="auto"/>
          <w:sz w:val="24"/>
          <w:szCs w:val="24"/>
          <w:highlight w:val="none"/>
          <w:lang w:eastAsia="zh-CN"/>
        </w:rPr>
        <w:t>工作日</w:t>
      </w:r>
      <w:r>
        <w:rPr>
          <w:rFonts w:hint="eastAsia" w:ascii="宋体" w:hAnsi="宋体" w:eastAsia="宋体" w:cs="宋体"/>
          <w:color w:val="auto"/>
          <w:sz w:val="24"/>
          <w:szCs w:val="24"/>
          <w:highlight w:val="none"/>
        </w:rPr>
        <w:t>、500万元-2000万元30</w:t>
      </w:r>
      <w:r>
        <w:rPr>
          <w:rFonts w:hint="eastAsia" w:ascii="宋体" w:hAnsi="宋体" w:eastAsia="宋体" w:cs="宋体"/>
          <w:color w:val="auto"/>
          <w:sz w:val="24"/>
          <w:szCs w:val="24"/>
          <w:highlight w:val="none"/>
          <w:lang w:eastAsia="zh-CN"/>
        </w:rPr>
        <w:t>工作日</w:t>
      </w:r>
      <w:r>
        <w:rPr>
          <w:rFonts w:hint="eastAsia" w:ascii="宋体" w:hAnsi="宋体" w:eastAsia="宋体" w:cs="宋体"/>
          <w:color w:val="auto"/>
          <w:sz w:val="24"/>
          <w:szCs w:val="24"/>
          <w:highlight w:val="none"/>
        </w:rPr>
        <w:t>、2000万</w:t>
      </w:r>
      <w:r>
        <w:rPr>
          <w:rFonts w:hint="eastAsia" w:ascii="宋体" w:hAnsi="宋体" w:eastAsia="宋体" w:cs="宋体"/>
          <w:color w:val="auto"/>
          <w:kern w:val="0"/>
          <w:sz w:val="24"/>
          <w:szCs w:val="24"/>
          <w:highlight w:val="none"/>
        </w:rPr>
        <w:t>元-5000万元4</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工作</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、5000万元以上</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工作日</w:t>
      </w:r>
      <w:r>
        <w:rPr>
          <w:rFonts w:hint="eastAsia" w:ascii="宋体" w:hAnsi="宋体" w:eastAsia="宋体" w:cs="宋体"/>
          <w:color w:val="auto"/>
          <w:sz w:val="24"/>
          <w:szCs w:val="24"/>
          <w:highlight w:val="none"/>
        </w:rPr>
        <w:t>内提出评审初步报告。确有特殊原因不能</w:t>
      </w:r>
      <w:r>
        <w:rPr>
          <w:rFonts w:hint="eastAsia" w:ascii="宋体" w:hAnsi="宋体" w:eastAsia="宋体" w:cs="宋体"/>
          <w:color w:val="auto"/>
          <w:kern w:val="0"/>
          <w:sz w:val="24"/>
          <w:szCs w:val="24"/>
          <w:highlight w:val="none"/>
        </w:rPr>
        <w:t>审结</w:t>
      </w:r>
      <w:r>
        <w:rPr>
          <w:rFonts w:hint="eastAsia" w:ascii="宋体" w:hAnsi="宋体" w:eastAsia="宋体" w:cs="宋体"/>
          <w:color w:val="auto"/>
          <w:sz w:val="24"/>
          <w:szCs w:val="24"/>
          <w:highlight w:val="none"/>
        </w:rPr>
        <w:t>而要求延期的，入围供应商需向业务委托人提供书面情况说明，经同意后方可延长审核期限。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③审核质量：结算审核误差率不得超过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（二）服务标准</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1.自觉遵守有关规定，严格执行政府投资项目工程造价咨询服务、廉政纪律和职业道德，保守工程资料数据的秘密，并承诺在签订合同时签订保密协议。</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征集人的有关规定和要求实施政府投资项目工程造价咨询服务，接受征集人的指导、监督和管理，同时按征集人的质量和进度要求及时提供结果以及与服务事项相关的资料。按征集人规定的格式、要求起草有关文书和其他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3.独立完成审核工作，不得以任何形式将项目审核任务再委托给其他机构，并同意对承担相关业务的质量向社会公示。</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4.接受征集人对项目质量的审查考核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具体考核</w:t>
      </w: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lang w:val="en-US" w:eastAsia="zh-CN"/>
        </w:rPr>
        <w:t>平财评审（202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号文件及后续考核相关文件要求</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lang w:val="en-US" w:eastAsia="zh-CN"/>
        </w:rPr>
        <w:t>项目业主</w:t>
      </w:r>
      <w:r>
        <w:rPr>
          <w:rFonts w:hint="eastAsia" w:ascii="宋体" w:hAnsi="宋体" w:eastAsia="宋体" w:cs="宋体"/>
          <w:color w:val="auto"/>
          <w:sz w:val="24"/>
          <w:szCs w:val="24"/>
          <w:highlight w:val="none"/>
        </w:rPr>
        <w:t>及相关部门对项目质量的审查考核</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四、审核费用最高限价及结算方式</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审核费用</w:t>
      </w:r>
      <w:r>
        <w:rPr>
          <w:rFonts w:hint="eastAsia" w:ascii="宋体" w:hAnsi="宋体" w:eastAsia="宋体" w:cs="宋体"/>
          <w:color w:val="auto"/>
          <w:sz w:val="24"/>
          <w:szCs w:val="24"/>
          <w:highlight w:val="none"/>
          <w:lang w:val="en-US" w:eastAsia="zh-CN"/>
        </w:rPr>
        <w:t>采用费率方式报价，本项目设置最高限价为《平湖市政府投资项目工程造价咨询服务收费标准》设定的限价的</w:t>
      </w:r>
      <w:r>
        <w:rPr>
          <w:rFonts w:hint="eastAsia" w:ascii="宋体" w:hAnsi="宋体" w:cs="宋体"/>
          <w:b/>
          <w:bCs/>
          <w:color w:val="auto"/>
          <w:sz w:val="24"/>
          <w:szCs w:val="24"/>
          <w:highlight w:val="none"/>
          <w:lang w:val="en-US" w:eastAsia="zh-CN"/>
        </w:rPr>
        <w:t>99.99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，供应商在最高限价的基础上报投标优惠率（即按照招标文件规定收费标准的百分比计费）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具体见下表）：</w:t>
      </w:r>
    </w:p>
    <w:tbl>
      <w:tblPr>
        <w:tblStyle w:val="28"/>
        <w:tblW w:w="8821"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67"/>
        <w:gridCol w:w="1083"/>
        <w:gridCol w:w="867"/>
        <w:gridCol w:w="864"/>
        <w:gridCol w:w="870"/>
        <w:gridCol w:w="870"/>
        <w:gridCol w:w="90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27"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取费</w:t>
            </w:r>
          </w:p>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取费基数</w:t>
            </w:r>
          </w:p>
        </w:tc>
        <w:tc>
          <w:tcPr>
            <w:tcW w:w="611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ind w:left="1602"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分档累进计费标准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627"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100万元（含）以内</w:t>
            </w:r>
          </w:p>
        </w:tc>
        <w:tc>
          <w:tcPr>
            <w:tcW w:w="86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500万元（含）</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以内</w:t>
            </w:r>
          </w:p>
        </w:tc>
        <w:tc>
          <w:tcPr>
            <w:tcW w:w="8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1000（含）</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8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1000- 2000（含）</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2000- 5000（含）</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8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10000（含）</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8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10000万元</w:t>
            </w:r>
          </w:p>
          <w:p>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结算审</w:t>
            </w:r>
          </w:p>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核</w:t>
            </w:r>
          </w:p>
        </w:tc>
        <w:tc>
          <w:tcPr>
            <w:tcW w:w="86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基本收费</w:t>
            </w:r>
          </w:p>
        </w:tc>
        <w:tc>
          <w:tcPr>
            <w:tcW w:w="108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送审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造价</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1.</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w:t>
            </w:r>
          </w:p>
        </w:tc>
        <w:tc>
          <w:tcPr>
            <w:tcW w:w="8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1.</w:t>
            </w:r>
            <w:r>
              <w:rPr>
                <w:rFonts w:hint="eastAsia" w:ascii="宋体" w:hAnsi="宋体" w:cs="宋体"/>
                <w:b/>
                <w:bCs/>
                <w:i w:val="0"/>
                <w:iCs w:val="0"/>
                <w:color w:val="auto"/>
                <w:kern w:val="0"/>
                <w:sz w:val="21"/>
                <w:szCs w:val="21"/>
                <w:highlight w:val="none"/>
                <w:u w:val="none"/>
                <w:lang w:val="en-US" w:eastAsia="zh-CN" w:bidi="ar"/>
              </w:rPr>
              <w:t>25</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cs="宋体"/>
                <w:b/>
                <w:bCs/>
                <w:i w:val="0"/>
                <w:iCs w:val="0"/>
                <w:color w:val="auto"/>
                <w:kern w:val="0"/>
                <w:sz w:val="21"/>
                <w:szCs w:val="21"/>
                <w:highlight w:val="none"/>
                <w:u w:val="none"/>
                <w:lang w:val="en-US" w:eastAsia="zh-CN" w:bidi="ar"/>
              </w:rPr>
              <w:t>1.1</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cs="宋体"/>
                <w:b/>
                <w:bCs/>
                <w:i w:val="0"/>
                <w:iCs w:val="0"/>
                <w:color w:val="auto"/>
                <w:kern w:val="0"/>
                <w:sz w:val="21"/>
                <w:szCs w:val="21"/>
                <w:highlight w:val="none"/>
                <w:u w:val="none"/>
                <w:lang w:val="en-US" w:eastAsia="zh-CN" w:bidi="ar"/>
              </w:rPr>
              <w:t>0.95</w:t>
            </w:r>
            <w:r>
              <w:rPr>
                <w:rFonts w:hint="eastAsia" w:ascii="宋体" w:hAnsi="宋体" w:eastAsia="宋体" w:cs="宋体"/>
                <w:b/>
                <w:bCs/>
                <w:i w:val="0"/>
                <w:iCs w:val="0"/>
                <w:color w:val="auto"/>
                <w:kern w:val="0"/>
                <w:sz w:val="21"/>
                <w:szCs w:val="21"/>
                <w:highlight w:val="none"/>
                <w:u w:val="none"/>
                <w:lang w:val="en-US" w:eastAsia="zh-CN" w:bidi="ar"/>
              </w:rPr>
              <w:t>‰</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8</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65</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tc>
        <w:tc>
          <w:tcPr>
            <w:tcW w:w="86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核减追加费</w:t>
            </w:r>
          </w:p>
        </w:tc>
        <w:tc>
          <w:tcPr>
            <w:tcW w:w="108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净</w:t>
            </w:r>
            <w:r>
              <w:rPr>
                <w:rFonts w:hint="eastAsia" w:ascii="宋体" w:hAnsi="宋体" w:eastAsia="宋体" w:cs="宋体"/>
                <w:b/>
                <w:color w:val="auto"/>
                <w:sz w:val="24"/>
                <w:szCs w:val="24"/>
                <w:highlight w:val="none"/>
              </w:rPr>
              <w:t>核减额</w:t>
            </w:r>
          </w:p>
        </w:tc>
        <w:tc>
          <w:tcPr>
            <w:tcW w:w="6111"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2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概算审核</w:t>
            </w:r>
          </w:p>
        </w:tc>
        <w:tc>
          <w:tcPr>
            <w:tcW w:w="108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概算</w:t>
            </w:r>
            <w:r>
              <w:rPr>
                <w:rFonts w:hint="eastAsia" w:ascii="宋体" w:hAnsi="宋体" w:eastAsia="宋体" w:cs="宋体"/>
                <w:b/>
                <w:color w:val="auto"/>
                <w:sz w:val="24"/>
                <w:szCs w:val="24"/>
                <w:highlight w:val="none"/>
                <w:lang w:val="en-US" w:eastAsia="zh-CN"/>
              </w:rPr>
              <w:t>计费金额</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68</w:t>
            </w:r>
            <w:r>
              <w:rPr>
                <w:rFonts w:hint="eastAsia" w:ascii="宋体" w:hAnsi="宋体" w:eastAsia="宋体" w:cs="宋体"/>
                <w:b/>
                <w:bCs/>
                <w:i w:val="0"/>
                <w:iCs w:val="0"/>
                <w:color w:val="auto"/>
                <w:kern w:val="0"/>
                <w:sz w:val="21"/>
                <w:szCs w:val="21"/>
                <w:highlight w:val="none"/>
                <w:u w:val="none"/>
                <w:lang w:val="en-US" w:eastAsia="zh-CN" w:bidi="ar"/>
              </w:rPr>
              <w:t>‰</w:t>
            </w:r>
          </w:p>
        </w:tc>
        <w:tc>
          <w:tcPr>
            <w:tcW w:w="8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52</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44</w:t>
            </w:r>
            <w:r>
              <w:rPr>
                <w:rFonts w:hint="eastAsia" w:ascii="宋体" w:hAnsi="宋体" w:eastAsia="宋体" w:cs="宋体"/>
                <w:b/>
                <w:bCs/>
                <w:i w:val="0"/>
                <w:iCs w:val="0"/>
                <w:color w:val="auto"/>
                <w:kern w:val="0"/>
                <w:sz w:val="21"/>
                <w:szCs w:val="21"/>
                <w:highlight w:val="none"/>
                <w:u w:val="none"/>
                <w:lang w:val="en-US" w:eastAsia="zh-CN" w:bidi="ar"/>
              </w:rPr>
              <w:t>‰</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36</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32</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62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预算审核</w:t>
            </w:r>
          </w:p>
        </w:tc>
        <w:tc>
          <w:tcPr>
            <w:tcW w:w="108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送审价</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68</w:t>
            </w:r>
            <w:r>
              <w:rPr>
                <w:rFonts w:hint="eastAsia" w:ascii="宋体" w:hAnsi="宋体" w:eastAsia="宋体" w:cs="宋体"/>
                <w:b/>
                <w:bCs/>
                <w:i w:val="0"/>
                <w:iCs w:val="0"/>
                <w:color w:val="auto"/>
                <w:kern w:val="0"/>
                <w:sz w:val="21"/>
                <w:szCs w:val="21"/>
                <w:highlight w:val="none"/>
                <w:u w:val="none"/>
                <w:lang w:val="en-US" w:eastAsia="zh-CN" w:bidi="ar"/>
              </w:rPr>
              <w:t>‰</w:t>
            </w:r>
          </w:p>
        </w:tc>
        <w:tc>
          <w:tcPr>
            <w:tcW w:w="8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52</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44</w:t>
            </w:r>
            <w:r>
              <w:rPr>
                <w:rFonts w:hint="eastAsia" w:ascii="宋体" w:hAnsi="宋体" w:eastAsia="宋体" w:cs="宋体"/>
                <w:b/>
                <w:bCs/>
                <w:i w:val="0"/>
                <w:iCs w:val="0"/>
                <w:color w:val="auto"/>
                <w:kern w:val="0"/>
                <w:sz w:val="21"/>
                <w:szCs w:val="21"/>
                <w:highlight w:val="none"/>
                <w:u w:val="none"/>
                <w:lang w:val="en-US" w:eastAsia="zh-CN" w:bidi="ar"/>
              </w:rPr>
              <w:t>‰</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0.3</w:t>
            </w:r>
            <w:r>
              <w:rPr>
                <w:rFonts w:hint="eastAsia" w:ascii="宋体" w:hAnsi="宋体" w:cs="宋体"/>
                <w:b/>
                <w:bCs/>
                <w:i w:val="0"/>
                <w:iCs w:val="0"/>
                <w:color w:val="auto"/>
                <w:kern w:val="0"/>
                <w:sz w:val="21"/>
                <w:szCs w:val="21"/>
                <w:highlight w:val="none"/>
                <w:u w:val="none"/>
                <w:lang w:val="en-US" w:eastAsia="zh-CN" w:bidi="ar"/>
              </w:rPr>
              <w:t>6</w:t>
            </w:r>
            <w:r>
              <w:rPr>
                <w:rFonts w:hint="eastAsia" w:ascii="宋体" w:hAnsi="宋体" w:eastAsia="宋体" w:cs="宋体"/>
                <w:b/>
                <w:bCs/>
                <w:i w:val="0"/>
                <w:iCs w:val="0"/>
                <w:color w:val="auto"/>
                <w:kern w:val="0"/>
                <w:sz w:val="21"/>
                <w:szCs w:val="21"/>
                <w:highlight w:val="none"/>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32</w:t>
            </w:r>
            <w:r>
              <w:rPr>
                <w:rFonts w:hint="eastAsia" w:ascii="宋体" w:hAnsi="宋体" w:eastAsia="宋体" w:cs="宋体"/>
                <w:b/>
                <w:bCs/>
                <w:i w:val="0"/>
                <w:iCs w:val="0"/>
                <w:color w:val="auto"/>
                <w:kern w:val="0"/>
                <w:sz w:val="21"/>
                <w:szCs w:val="21"/>
                <w:highlight w:val="none"/>
                <w:u w:val="none"/>
                <w:lang w:val="en-US" w:eastAsia="zh-CN" w:bidi="ar"/>
              </w:rPr>
              <w:t>‰</w:t>
            </w:r>
          </w:p>
        </w:tc>
      </w:tr>
    </w:tbl>
    <w:p>
      <w:pPr>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说明：</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结算审核收费中核减追加费计费基础为净核减金额</w:t>
      </w:r>
      <w:r>
        <w:rPr>
          <w:rFonts w:hint="eastAsia" w:ascii="宋体" w:hAnsi="宋体" w:eastAsia="宋体" w:cs="宋体"/>
          <w:color w:val="auto"/>
          <w:kern w:val="0"/>
          <w:sz w:val="24"/>
          <w:szCs w:val="24"/>
          <w:highlight w:val="none"/>
        </w:rPr>
        <w:t>超过送审造价5%幅度以外的核减额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追加费公式如下：</w:t>
      </w: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rPr>
        <w:t>=（B-A*5%）*5%（A-送审造价、B-核减额、</w:t>
      </w: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rPr>
        <w:t>-追加费）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B-核减额不包括项目创杯奖励、标化工地、绿化项目维护不达标等情况暂扣的金额</w:t>
      </w:r>
      <w:r>
        <w:rPr>
          <w:rFonts w:hint="eastAsia" w:ascii="宋体" w:hAnsi="宋体" w:eastAsia="宋体" w:cs="宋体"/>
          <w:color w:val="auto"/>
          <w:kern w:val="0"/>
          <w:sz w:val="24"/>
          <w:szCs w:val="24"/>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结算审核送审金额以施工单位提交，业主单位确认后的结算送审价为准，后续如有施工单位补送资料，涉及到结算送审价增加的，可以依据施工单位提交结算时的送审承诺收取追加送审费，</w:t>
      </w:r>
      <w:r>
        <w:rPr>
          <w:rFonts w:hint="eastAsia" w:ascii="宋体" w:hAnsi="宋体" w:eastAsia="宋体" w:cs="宋体"/>
          <w:color w:val="auto"/>
          <w:kern w:val="0"/>
          <w:sz w:val="24"/>
          <w:szCs w:val="24"/>
          <w:highlight w:val="none"/>
        </w:rPr>
        <w:t>追加</w:t>
      </w:r>
      <w:r>
        <w:rPr>
          <w:rFonts w:hint="eastAsia" w:ascii="宋体" w:hAnsi="宋体" w:eastAsia="宋体" w:cs="宋体"/>
          <w:color w:val="auto"/>
          <w:kern w:val="0"/>
          <w:sz w:val="24"/>
          <w:szCs w:val="24"/>
          <w:highlight w:val="none"/>
          <w:lang w:val="en-US" w:eastAsia="zh-CN"/>
        </w:rPr>
        <w:t>送审</w:t>
      </w:r>
      <w:r>
        <w:rPr>
          <w:rFonts w:hint="eastAsia" w:ascii="宋体" w:hAnsi="宋体" w:eastAsia="宋体" w:cs="宋体"/>
          <w:color w:val="auto"/>
          <w:kern w:val="0"/>
          <w:sz w:val="24"/>
          <w:szCs w:val="24"/>
          <w:highlight w:val="none"/>
        </w:rPr>
        <w:t>费公式如下：</w:t>
      </w: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追加送审费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补送部分增加的送审价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对于追加送审部分不再收取核减追加费；</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概算审核中计费金额以设计单位送审的概算金额为基础，但不包括项目送审土地费、建设期贷款利息；</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)每件咨询服务合同按上述计算基本收费不足2000元的，送审总造价10万元（含）以上的按2000元计</w:t>
      </w:r>
      <w:r>
        <w:rPr>
          <w:rFonts w:hint="eastAsia" w:ascii="宋体" w:hAnsi="宋体" w:eastAsia="宋体" w:cs="宋体"/>
          <w:color w:val="auto"/>
          <w:kern w:val="0"/>
          <w:sz w:val="24"/>
          <w:szCs w:val="24"/>
          <w:highlight w:val="none"/>
          <w:lang w:eastAsia="zh-CN"/>
        </w:rPr>
        <w:t>收</w:t>
      </w:r>
      <w:r>
        <w:rPr>
          <w:rFonts w:hint="eastAsia" w:ascii="宋体" w:hAnsi="宋体" w:eastAsia="宋体" w:cs="宋体"/>
          <w:color w:val="auto"/>
          <w:kern w:val="0"/>
          <w:sz w:val="24"/>
          <w:szCs w:val="24"/>
          <w:highlight w:val="none"/>
        </w:rPr>
        <w:t>，送审总造价10万元以下的按1000元计</w:t>
      </w:r>
      <w:r>
        <w:rPr>
          <w:rFonts w:hint="eastAsia" w:ascii="宋体" w:hAnsi="宋体" w:eastAsia="宋体" w:cs="宋体"/>
          <w:color w:val="auto"/>
          <w:kern w:val="0"/>
          <w:sz w:val="24"/>
          <w:szCs w:val="24"/>
          <w:highlight w:val="none"/>
          <w:lang w:eastAsia="zh-CN"/>
        </w:rPr>
        <w:t>收</w:t>
      </w:r>
      <w:r>
        <w:rPr>
          <w:rFonts w:hint="eastAsia" w:ascii="宋体" w:hAnsi="宋体" w:eastAsia="宋体" w:cs="宋体"/>
          <w:color w:val="auto"/>
          <w:kern w:val="0"/>
          <w:sz w:val="24"/>
          <w:szCs w:val="24"/>
          <w:highlight w:val="none"/>
        </w:rPr>
        <w:t>。</w:t>
      </w:r>
    </w:p>
    <w:p>
      <w:pPr>
        <w:pStyle w:val="2"/>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Cs w:val="0"/>
          <w:color w:val="auto"/>
          <w:sz w:val="24"/>
          <w:szCs w:val="24"/>
          <w:highlight w:val="none"/>
        </w:rPr>
        <w:t>技术资料</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（一）入围供应商应按征集文件及合同规定的时间向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、项目委托人提供有关资料。</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（二）没有</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、项目委托人事先书面同意，入围供应商不得将由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、项目委托人提供的有关合同或任何合同条文、规格、计划、图纸、样品或资料等提供给与履行本合同无关的任何其他人。即使向履行本合同有关人员提供，也应注意保密并限于履行合同的必需范围。</w:t>
      </w:r>
    </w:p>
    <w:p>
      <w:pPr>
        <w:pStyle w:val="2"/>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Cs w:val="0"/>
          <w:color w:val="auto"/>
          <w:sz w:val="24"/>
          <w:szCs w:val="24"/>
          <w:highlight w:val="none"/>
        </w:rPr>
        <w:t>相关要求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（一）各入围供应商造价咨询业务范围按国家相关文件执行。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（二）各入围供应商应配合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平湖市财政局对</w:t>
      </w:r>
      <w:r>
        <w:rPr>
          <w:rFonts w:hint="eastAsia" w:ascii="宋体" w:hAnsi="宋体" w:eastAsia="宋体" w:cs="宋体"/>
          <w:color w:val="auto"/>
          <w:sz w:val="24"/>
          <w:szCs w:val="24"/>
          <w:highlight w:val="none"/>
        </w:rPr>
        <w:t>投资项目竣工结算审核、概算、预算的管理。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（三）各入围供应商承接的具体业务项目，由项目委托人根据本单位工程造价咨询项目委托工作流程选择咨询单位后另行签订书面委托合同。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（四）</w:t>
      </w:r>
      <w:r>
        <w:rPr>
          <w:rFonts w:hint="eastAsia" w:ascii="宋体" w:hAnsi="宋体" w:eastAsia="宋体" w:cs="宋体"/>
          <w:bCs/>
          <w:color w:val="auto"/>
          <w:sz w:val="24"/>
          <w:szCs w:val="24"/>
          <w:highlight w:val="none"/>
          <w:u w:val="single"/>
        </w:rPr>
        <w:t>各入围供应商须遵守</w:t>
      </w:r>
      <w:r>
        <w:rPr>
          <w:rFonts w:hint="eastAsia" w:ascii="宋体" w:hAnsi="宋体" w:cs="宋体"/>
          <w:bCs/>
          <w:color w:val="auto"/>
          <w:sz w:val="24"/>
          <w:szCs w:val="24"/>
          <w:highlight w:val="none"/>
          <w:u w:val="single"/>
          <w:lang w:eastAsia="zh-CN"/>
        </w:rPr>
        <w:t>采购人</w:t>
      </w:r>
      <w:r>
        <w:rPr>
          <w:rFonts w:hint="eastAsia" w:ascii="宋体" w:hAnsi="宋体" w:eastAsia="宋体" w:cs="宋体"/>
          <w:bCs/>
          <w:color w:val="auto"/>
          <w:sz w:val="24"/>
          <w:szCs w:val="24"/>
          <w:highlight w:val="none"/>
          <w:u w:val="single"/>
        </w:rPr>
        <w:t>制定的各项管理制度。为遏制挂靠现象，各入围供应商必须遵守以下规定，否则须按期进行整改，整改后仍不符合要求的，</w:t>
      </w:r>
      <w:r>
        <w:rPr>
          <w:rFonts w:hint="eastAsia" w:ascii="宋体" w:hAnsi="宋体" w:cs="宋体"/>
          <w:color w:val="auto"/>
          <w:sz w:val="24"/>
          <w:szCs w:val="24"/>
          <w:highlight w:val="none"/>
          <w:u w:val="single"/>
          <w:lang w:eastAsia="zh-CN"/>
        </w:rPr>
        <w:t>采购人</w:t>
      </w:r>
      <w:r>
        <w:rPr>
          <w:rFonts w:hint="eastAsia" w:ascii="宋体" w:hAnsi="宋体" w:eastAsia="宋体" w:cs="宋体"/>
          <w:bCs/>
          <w:color w:val="auto"/>
          <w:sz w:val="24"/>
          <w:szCs w:val="24"/>
          <w:highlight w:val="none"/>
          <w:u w:val="single"/>
        </w:rPr>
        <w:t>将与入围供应商单方解除</w:t>
      </w:r>
      <w:r>
        <w:rPr>
          <w:rFonts w:hint="eastAsia" w:ascii="宋体" w:hAnsi="宋体" w:cs="宋体"/>
          <w:bCs/>
          <w:color w:val="auto"/>
          <w:sz w:val="24"/>
          <w:szCs w:val="24"/>
          <w:highlight w:val="none"/>
          <w:u w:val="single"/>
          <w:lang w:eastAsia="zh-CN"/>
        </w:rPr>
        <w:t>封闭式框架协议</w:t>
      </w:r>
      <w:r>
        <w:rPr>
          <w:rFonts w:hint="eastAsia" w:ascii="宋体" w:hAnsi="宋体" w:eastAsia="宋体" w:cs="宋体"/>
          <w:bCs/>
          <w:color w:val="auto"/>
          <w:sz w:val="24"/>
          <w:szCs w:val="24"/>
          <w:highlight w:val="none"/>
          <w:u w:val="single"/>
        </w:rPr>
        <w:t>并清退，并且</w:t>
      </w:r>
      <w:r>
        <w:rPr>
          <w:rFonts w:hint="eastAsia" w:ascii="宋体" w:hAnsi="宋体" w:cs="宋体"/>
          <w:color w:val="auto"/>
          <w:sz w:val="24"/>
          <w:szCs w:val="24"/>
          <w:highlight w:val="none"/>
          <w:u w:val="single"/>
          <w:lang w:eastAsia="zh-CN"/>
        </w:rPr>
        <w:t>采购人</w:t>
      </w:r>
      <w:r>
        <w:rPr>
          <w:rFonts w:hint="eastAsia" w:ascii="宋体" w:hAnsi="宋体" w:eastAsia="宋体" w:cs="宋体"/>
          <w:bCs/>
          <w:color w:val="auto"/>
          <w:sz w:val="24"/>
          <w:szCs w:val="24"/>
          <w:highlight w:val="none"/>
          <w:u w:val="single"/>
        </w:rPr>
        <w:t>有权根据相关文件规定上报监管部门将违规供应商列入政府采购不良行为记录名单：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1.所有须加盖公章的协议、表格、文本等资料必须加盖与响应时相同的单位公章，其他（如办事处、分公司、项目章、业务专用章等）均不予认可。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2.拟派团队负责人须按时参加</w:t>
      </w:r>
      <w:r>
        <w:rPr>
          <w:rFonts w:hint="eastAsia" w:ascii="宋体" w:hAnsi="宋体" w:cs="宋体"/>
          <w:color w:val="auto"/>
          <w:sz w:val="24"/>
          <w:szCs w:val="24"/>
          <w:highlight w:val="none"/>
          <w:u w:val="single"/>
          <w:lang w:eastAsia="zh-CN"/>
        </w:rPr>
        <w:t>采购人</w:t>
      </w:r>
      <w:r>
        <w:rPr>
          <w:rFonts w:hint="eastAsia" w:ascii="宋体" w:hAnsi="宋体" w:eastAsia="宋体" w:cs="宋体"/>
          <w:bCs/>
          <w:color w:val="auto"/>
          <w:sz w:val="24"/>
          <w:szCs w:val="24"/>
          <w:highlight w:val="none"/>
          <w:u w:val="single"/>
        </w:rPr>
        <w:t>和相关部门组织的会议、培训等。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3.各入围供应商须按照征集文件确定的分配原则承接业务，不得拒绝承接分配的业务。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.各入围供应商须按照</w:t>
      </w:r>
      <w:r>
        <w:rPr>
          <w:rFonts w:hint="eastAsia" w:ascii="宋体" w:hAnsi="宋体" w:eastAsia="宋体" w:cs="宋体"/>
          <w:bCs/>
          <w:color w:val="auto"/>
          <w:sz w:val="24"/>
          <w:szCs w:val="24"/>
          <w:highlight w:val="none"/>
          <w:u w:val="single"/>
          <w:lang w:val="en-US" w:eastAsia="zh-CN"/>
        </w:rPr>
        <w:t>所提供的人员名单目录</w:t>
      </w:r>
      <w:r>
        <w:rPr>
          <w:rFonts w:hint="eastAsia" w:ascii="宋体" w:hAnsi="宋体" w:eastAsia="宋体" w:cs="宋体"/>
          <w:bCs/>
          <w:color w:val="auto"/>
          <w:sz w:val="24"/>
          <w:szCs w:val="24"/>
          <w:highlight w:val="none"/>
          <w:u w:val="single"/>
        </w:rPr>
        <w:t>承接业务，</w:t>
      </w:r>
      <w:r>
        <w:rPr>
          <w:rFonts w:hint="eastAsia" w:ascii="宋体" w:hAnsi="宋体" w:eastAsia="宋体" w:cs="宋体"/>
          <w:bCs/>
          <w:color w:val="auto"/>
          <w:sz w:val="24"/>
          <w:szCs w:val="24"/>
          <w:highlight w:val="none"/>
          <w:u w:val="single"/>
          <w:lang w:val="en-US" w:eastAsia="zh-CN"/>
        </w:rPr>
        <w:t>每个项目负责人必须为目录中成员，参与每次评审工作时至少保证一名持证人员到场</w:t>
      </w:r>
      <w:r>
        <w:rPr>
          <w:rFonts w:hint="eastAsia" w:ascii="宋体" w:hAnsi="宋体" w:eastAsia="宋体" w:cs="宋体"/>
          <w:bCs/>
          <w:color w:val="auto"/>
          <w:sz w:val="24"/>
          <w:szCs w:val="24"/>
          <w:highlight w:val="none"/>
          <w:u w:val="single"/>
        </w:rPr>
        <w:t>。</w:t>
      </w:r>
    </w:p>
    <w:p>
      <w:pPr>
        <w:pStyle w:val="2"/>
        <w:spacing w:line="360" w:lineRule="auto"/>
        <w:ind w:firstLine="482" w:firstLineChars="200"/>
        <w:rPr>
          <w:rFonts w:ascii="宋体" w:hAnsi="宋体" w:cs="宋体"/>
          <w:szCs w:val="24"/>
          <w:highlight w:val="none"/>
        </w:rPr>
      </w:pPr>
      <w:r>
        <w:rPr>
          <w:rFonts w:hint="eastAsia" w:ascii="宋体" w:hAnsi="宋体" w:cs="宋体"/>
          <w:szCs w:val="24"/>
          <w:highlight w:val="none"/>
          <w:lang w:eastAsia="zh-CN"/>
        </w:rPr>
        <w:t>七</w:t>
      </w:r>
      <w:r>
        <w:rPr>
          <w:rFonts w:hint="eastAsia" w:ascii="宋体" w:hAnsi="宋体" w:cs="宋体"/>
          <w:szCs w:val="24"/>
          <w:highlight w:val="none"/>
        </w:rPr>
        <w:t>、采购类型</w:t>
      </w:r>
    </w:p>
    <w:p>
      <w:pPr>
        <w:spacing w:line="360" w:lineRule="auto"/>
        <w:ind w:firstLine="480" w:firstLineChars="200"/>
        <w:rPr>
          <w:rFonts w:ascii="宋体" w:hAnsi="宋体"/>
          <w:highlight w:val="none"/>
        </w:rPr>
      </w:pPr>
      <w:r>
        <w:rPr>
          <w:rFonts w:hint="eastAsia" w:ascii="宋体" w:hAnsi="宋体"/>
          <w:highlight w:val="none"/>
        </w:rPr>
        <w:t>封闭式框架协议</w:t>
      </w:r>
    </w:p>
    <w:p>
      <w:pPr>
        <w:pStyle w:val="2"/>
        <w:spacing w:line="360" w:lineRule="auto"/>
        <w:ind w:firstLine="482" w:firstLineChars="200"/>
        <w:rPr>
          <w:rFonts w:ascii="宋体" w:hAnsi="宋体" w:cs="宋体"/>
          <w:szCs w:val="24"/>
          <w:highlight w:val="none"/>
        </w:rPr>
      </w:pPr>
      <w:r>
        <w:rPr>
          <w:rFonts w:hint="eastAsia" w:ascii="宋体" w:hAnsi="宋体" w:cs="宋体"/>
          <w:szCs w:val="24"/>
          <w:highlight w:val="none"/>
          <w:lang w:eastAsia="zh-CN"/>
        </w:rPr>
        <w:t>八</w:t>
      </w:r>
      <w:r>
        <w:rPr>
          <w:rFonts w:hint="eastAsia" w:ascii="宋体" w:hAnsi="宋体" w:cs="宋体"/>
          <w:szCs w:val="24"/>
          <w:highlight w:val="none"/>
        </w:rPr>
        <w:t>、交易机制</w:t>
      </w:r>
    </w:p>
    <w:p>
      <w:pPr>
        <w:pStyle w:val="3"/>
        <w:ind w:firstLine="482"/>
        <w:rPr>
          <w:rFonts w:ascii="宋体" w:hAnsi="宋体" w:cs="宋体"/>
          <w:b/>
          <w:bCs/>
          <w:szCs w:val="24"/>
          <w:highlight w:val="none"/>
        </w:rPr>
      </w:pPr>
      <w:r>
        <w:rPr>
          <w:rFonts w:hint="eastAsia" w:ascii="宋体" w:hAnsi="宋体" w:cs="宋体"/>
          <w:b/>
          <w:bCs/>
          <w:szCs w:val="24"/>
          <w:highlight w:val="none"/>
        </w:rPr>
        <w:t>（一）框架协议期限</w:t>
      </w:r>
    </w:p>
    <w:p>
      <w:pPr>
        <w:pStyle w:val="2"/>
        <w:spacing w:line="360" w:lineRule="auto"/>
        <w:ind w:firstLine="480" w:firstLineChars="200"/>
        <w:rPr>
          <w:rFonts w:ascii="宋体" w:hAnsi="宋体" w:cs="宋体"/>
          <w:b w:val="0"/>
          <w:bCs w:val="0"/>
          <w:szCs w:val="24"/>
          <w:highlight w:val="none"/>
        </w:rPr>
      </w:pPr>
      <w:r>
        <w:rPr>
          <w:rFonts w:hint="eastAsia" w:ascii="宋体" w:hAnsi="宋体" w:cs="宋体"/>
          <w:b w:val="0"/>
          <w:bCs w:val="0"/>
          <w:szCs w:val="24"/>
          <w:highlight w:val="none"/>
        </w:rPr>
        <w:t>合同签订之日起至2026年12月31日。</w:t>
      </w:r>
    </w:p>
    <w:p>
      <w:pPr>
        <w:pStyle w:val="2"/>
        <w:spacing w:line="360" w:lineRule="auto"/>
        <w:ind w:firstLine="482" w:firstLineChars="200"/>
        <w:rPr>
          <w:rFonts w:ascii="宋体" w:hAnsi="宋体" w:cs="宋体"/>
          <w:szCs w:val="24"/>
          <w:highlight w:val="none"/>
        </w:rPr>
      </w:pPr>
      <w:r>
        <w:rPr>
          <w:rFonts w:hint="eastAsia" w:ascii="宋体" w:hAnsi="宋体" w:cs="宋体"/>
          <w:szCs w:val="24"/>
          <w:highlight w:val="none"/>
        </w:rPr>
        <w:t>（二）结算与费用支付</w:t>
      </w:r>
    </w:p>
    <w:p>
      <w:pPr>
        <w:pStyle w:val="13"/>
        <w:spacing w:line="360" w:lineRule="auto"/>
        <w:ind w:firstLine="480" w:firstLineChars="200"/>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1.供应商报价为以上标准的基础上报统一折扣率（优惠率）作为入围价格。本次入围价格为最高限价，采购单位可以与入围供应商商定低于入围价格的具体项目成交单价。</w:t>
      </w:r>
    </w:p>
    <w:p>
      <w:pPr>
        <w:pStyle w:val="13"/>
        <w:spacing w:line="360" w:lineRule="auto"/>
        <w:ind w:firstLine="480" w:firstLineChars="200"/>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2.概算审核费、预算审核费、结算审核基本费，由项目业主单位支付；</w:t>
      </w:r>
    </w:p>
    <w:p>
      <w:pPr>
        <w:pStyle w:val="13"/>
        <w:spacing w:line="360" w:lineRule="auto"/>
        <w:ind w:firstLine="480" w:firstLineChars="200"/>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3.竣工结算项目的净核减追加费由施工单位承担。</w:t>
      </w:r>
    </w:p>
    <w:p>
      <w:pPr>
        <w:keepNext/>
        <w:keepLines/>
        <w:numPr>
          <w:ilvl w:val="0"/>
          <w:numId w:val="0"/>
        </w:numPr>
        <w:spacing w:line="360" w:lineRule="auto"/>
        <w:ind w:firstLine="482" w:firstLineChars="200"/>
        <w:jc w:val="left"/>
        <w:outlineLvl w:val="1"/>
        <w:rPr>
          <w:rFonts w:ascii="宋体" w:hAnsi="宋体"/>
          <w:b/>
          <w:bCs/>
          <w:kern w:val="0"/>
          <w:highlight w:val="none"/>
        </w:rPr>
      </w:pPr>
      <w:r>
        <w:rPr>
          <w:rFonts w:hint="eastAsia" w:ascii="宋体" w:hAnsi="宋体"/>
          <w:b/>
          <w:bCs/>
          <w:kern w:val="0"/>
          <w:highlight w:val="none"/>
          <w:lang w:eastAsia="zh-CN"/>
        </w:rPr>
        <w:t>（三）</w:t>
      </w:r>
      <w:r>
        <w:rPr>
          <w:rFonts w:hint="eastAsia" w:ascii="宋体" w:hAnsi="宋体"/>
          <w:b/>
          <w:bCs/>
          <w:kern w:val="0"/>
          <w:highlight w:val="none"/>
        </w:rPr>
        <w:t xml:space="preserve">供应商第一阶段成交方式 </w:t>
      </w:r>
    </w:p>
    <w:p>
      <w:pPr>
        <w:keepNext/>
        <w:keepLines/>
        <w:spacing w:line="360" w:lineRule="auto"/>
        <w:ind w:firstLine="480" w:firstLineChars="200"/>
        <w:jc w:val="left"/>
        <w:outlineLvl w:val="1"/>
        <w:rPr>
          <w:rFonts w:ascii="宋体" w:hAnsi="宋体"/>
          <w:bCs/>
          <w:highlight w:val="none"/>
        </w:rPr>
      </w:pPr>
      <w:r>
        <w:rPr>
          <w:rFonts w:hint="eastAsia" w:ascii="宋体" w:hAnsi="宋体"/>
          <w:bCs/>
          <w:highlight w:val="none"/>
        </w:rPr>
        <w:t>质量优先法，详见第四章。</w:t>
      </w:r>
    </w:p>
    <w:p>
      <w:pPr>
        <w:keepNext/>
        <w:keepLines/>
        <w:spacing w:line="360" w:lineRule="auto"/>
        <w:ind w:firstLine="482" w:firstLineChars="200"/>
        <w:jc w:val="left"/>
        <w:outlineLvl w:val="1"/>
        <w:rPr>
          <w:rFonts w:ascii="宋体" w:hAnsi="宋体"/>
          <w:b/>
          <w:bCs/>
          <w:kern w:val="0"/>
          <w:highlight w:val="none"/>
        </w:rPr>
      </w:pPr>
      <w:r>
        <w:rPr>
          <w:rFonts w:hint="eastAsia" w:ascii="宋体" w:hAnsi="宋体"/>
          <w:b/>
          <w:bCs/>
          <w:kern w:val="0"/>
          <w:highlight w:val="none"/>
        </w:rPr>
        <w:t>（四）供应商第二阶段成交方式</w:t>
      </w:r>
    </w:p>
    <w:p>
      <w:pPr>
        <w:pStyle w:val="2"/>
        <w:spacing w:line="360" w:lineRule="auto"/>
        <w:ind w:firstLine="480" w:firstLineChars="200"/>
        <w:rPr>
          <w:rFonts w:hint="eastAsia" w:ascii="宋体" w:hAnsi="宋体" w:eastAsia="宋体" w:cs="宋体"/>
          <w:b w:val="0"/>
          <w:kern w:val="2"/>
          <w:szCs w:val="24"/>
          <w:highlight w:val="none"/>
        </w:rPr>
      </w:pPr>
      <w:r>
        <w:rPr>
          <w:rFonts w:hint="eastAsia" w:ascii="宋体" w:hAnsi="宋体" w:eastAsia="宋体" w:cs="宋体"/>
          <w:b w:val="0"/>
          <w:kern w:val="2"/>
          <w:szCs w:val="24"/>
          <w:highlight w:val="none"/>
        </w:rPr>
        <w:t>直接选定，指由采购人或者服务对象依据入围产品价格、质量以及服务便利性、用户评价等因素，从第一阶段入围供应商中直接选定。</w:t>
      </w:r>
    </w:p>
    <w:p>
      <w:pPr>
        <w:pStyle w:val="27"/>
        <w:numPr>
          <w:ilvl w:val="0"/>
          <w:numId w:val="0"/>
        </w:numPr>
        <w:shd w:val="clear" w:color="auto" w:fill="FFFFFF"/>
        <w:spacing w:before="150" w:beforeAutospacing="0" w:after="0" w:afterAutospacing="0" w:line="360" w:lineRule="auto"/>
        <w:ind w:firstLine="482" w:firstLineChars="200"/>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（五）信息变更和维护</w:t>
      </w:r>
    </w:p>
    <w:p>
      <w:pPr>
        <w:pStyle w:val="2"/>
        <w:spacing w:line="360" w:lineRule="auto"/>
        <w:ind w:firstLine="480" w:firstLineChars="200"/>
        <w:rPr>
          <w:rFonts w:hint="eastAsia" w:ascii="宋体" w:hAnsi="宋体" w:eastAsia="宋体" w:cs="宋体"/>
          <w:b w:val="0"/>
          <w:kern w:val="2"/>
          <w:szCs w:val="24"/>
          <w:highlight w:val="none"/>
        </w:rPr>
      </w:pPr>
      <w:r>
        <w:rPr>
          <w:rFonts w:hint="eastAsia" w:ascii="宋体" w:hAnsi="宋体" w:eastAsia="宋体" w:cs="宋体"/>
          <w:b w:val="0"/>
          <w:kern w:val="2"/>
          <w:szCs w:val="24"/>
          <w:highlight w:val="none"/>
        </w:rPr>
        <w:t>协议期内供应商相关信息变化的，应主动进行信息变更和维护，并及时告知征集人。</w:t>
      </w:r>
    </w:p>
    <w:p>
      <w:pPr>
        <w:pStyle w:val="3"/>
        <w:numPr>
          <w:ilvl w:val="0"/>
          <w:numId w:val="0"/>
        </w:numPr>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（六）</w:t>
      </w:r>
      <w:r>
        <w:rPr>
          <w:rFonts w:hint="eastAsia" w:ascii="宋体" w:hAnsi="宋体" w:eastAsia="宋体" w:cs="宋体"/>
          <w:b/>
          <w:bCs w:val="0"/>
          <w:color w:val="auto"/>
          <w:sz w:val="24"/>
          <w:szCs w:val="24"/>
          <w:highlight w:val="none"/>
        </w:rPr>
        <w:t>考核要求</w:t>
      </w:r>
    </w:p>
    <w:p>
      <w:pPr>
        <w:pStyle w:val="3"/>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组织，按《平湖市财政局政府投资项目中介机构考核办法》（平财评审[2023]31号）等文件要求进行评审质量考核。</w:t>
      </w:r>
    </w:p>
    <w:p>
      <w:pPr>
        <w:pStyle w:val="2"/>
        <w:spacing w:line="360" w:lineRule="auto"/>
        <w:ind w:firstLine="482" w:firstLineChars="200"/>
        <w:rPr>
          <w:rFonts w:hint="eastAsia" w:ascii="宋体" w:hAnsi="宋体" w:eastAsia="宋体" w:cs="宋体"/>
          <w:bCs w:val="0"/>
          <w:kern w:val="2"/>
          <w:szCs w:val="24"/>
          <w:highlight w:val="none"/>
          <w:lang w:eastAsia="zh-CN"/>
        </w:rPr>
      </w:pPr>
      <w:r>
        <w:rPr>
          <w:rFonts w:hint="eastAsia" w:ascii="宋体" w:hAnsi="宋体" w:cs="宋体"/>
          <w:bCs w:val="0"/>
          <w:kern w:val="2"/>
          <w:szCs w:val="24"/>
          <w:highlight w:val="none"/>
        </w:rPr>
        <w:t>（</w:t>
      </w:r>
      <w:r>
        <w:rPr>
          <w:rFonts w:hint="eastAsia" w:ascii="宋体" w:hAnsi="宋体" w:cs="宋体"/>
          <w:bCs w:val="0"/>
          <w:kern w:val="2"/>
          <w:szCs w:val="24"/>
          <w:highlight w:val="none"/>
          <w:lang w:eastAsia="zh-CN"/>
        </w:rPr>
        <w:t>七</w:t>
      </w:r>
      <w:r>
        <w:rPr>
          <w:rFonts w:hint="eastAsia" w:ascii="宋体" w:hAnsi="宋体" w:cs="宋体"/>
          <w:bCs w:val="0"/>
          <w:kern w:val="2"/>
          <w:szCs w:val="24"/>
          <w:highlight w:val="none"/>
        </w:rPr>
        <w:t>）</w:t>
      </w:r>
      <w:r>
        <w:rPr>
          <w:rFonts w:hint="eastAsia" w:ascii="宋体" w:hAnsi="宋体" w:cs="宋体"/>
          <w:bCs w:val="0"/>
          <w:kern w:val="2"/>
          <w:szCs w:val="24"/>
          <w:highlight w:val="none"/>
          <w:lang w:eastAsia="zh-CN"/>
        </w:rPr>
        <w:t>责任认定</w:t>
      </w:r>
    </w:p>
    <w:p>
      <w:pPr>
        <w:pStyle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在服务期内，因</w:t>
      </w:r>
      <w:r>
        <w:rPr>
          <w:rFonts w:hint="eastAsia" w:ascii="宋体" w:hAnsi="宋体" w:cs="宋体"/>
          <w:color w:val="auto"/>
          <w:sz w:val="24"/>
          <w:szCs w:val="24"/>
          <w:highlight w:val="none"/>
          <w:lang w:eastAsia="zh-CN"/>
        </w:rPr>
        <w:t>入围</w:t>
      </w:r>
      <w:r>
        <w:rPr>
          <w:rFonts w:hint="eastAsia" w:ascii="宋体" w:hAnsi="宋体" w:eastAsia="宋体" w:cs="宋体"/>
          <w:color w:val="auto"/>
          <w:sz w:val="24"/>
          <w:szCs w:val="24"/>
          <w:highlight w:val="none"/>
        </w:rPr>
        <w:t>供应商原因，未能完全履行服务承诺，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有权追究成交供应商的责任。</w:t>
      </w:r>
    </w:p>
    <w:p>
      <w:pPr>
        <w:pStyle w:val="27"/>
        <w:shd w:val="clear" w:color="auto" w:fill="FFFFFF"/>
        <w:spacing w:before="150" w:beforeAutospacing="0" w:after="0" w:afterAutospacing="0" w:line="360" w:lineRule="auto"/>
        <w:ind w:firstLine="482" w:firstLineChars="200"/>
        <w:rPr>
          <w:rFonts w:hint="eastAsia" w:ascii="宋体" w:hAnsi="宋体" w:eastAsia="宋体" w:cs="宋体"/>
          <w:b/>
          <w:bCs/>
          <w:kern w:val="2"/>
          <w:highlight w:val="none"/>
          <w:lang w:val="en-US" w:eastAsia="zh-CN"/>
        </w:rPr>
      </w:pPr>
      <w:r>
        <w:rPr>
          <w:rFonts w:hint="eastAsia" w:ascii="宋体" w:hAnsi="宋体" w:eastAsia="宋体" w:cs="宋体"/>
          <w:b/>
          <w:bCs/>
          <w:kern w:val="2"/>
          <w:highlight w:val="none"/>
          <w:lang w:val="en-US" w:eastAsia="zh-CN"/>
        </w:rPr>
        <w:t>（八）用户反馈和评价机制</w:t>
      </w:r>
    </w:p>
    <w:p>
      <w:pPr>
        <w:pStyle w:val="2"/>
        <w:spacing w:line="360" w:lineRule="auto"/>
        <w:ind w:firstLine="480" w:firstLineChars="200"/>
        <w:rPr>
          <w:rFonts w:hint="eastAsia" w:ascii="宋体" w:hAnsi="宋体" w:eastAsia="宋体" w:cs="宋体"/>
          <w:b w:val="0"/>
          <w:kern w:val="2"/>
          <w:szCs w:val="24"/>
          <w:highlight w:val="none"/>
        </w:rPr>
      </w:pPr>
      <w:r>
        <w:rPr>
          <w:rFonts w:hint="eastAsia" w:cs="宋体"/>
          <w:b w:val="0"/>
          <w:bCs w:val="0"/>
          <w:highlight w:val="none"/>
        </w:rPr>
        <w:t>根据《政府采购框架协议采购方式管理暂行办法》、《浙江省财政厅关于简化供应商信息登记和试行供应商诚信管理的通知》等相关规定，在网上采购系统中设</w:t>
      </w:r>
      <w:r>
        <w:rPr>
          <w:rFonts w:hint="eastAsia" w:ascii="宋体" w:hAnsi="宋体" w:eastAsia="宋体" w:cs="宋体"/>
          <w:b w:val="0"/>
          <w:kern w:val="2"/>
          <w:szCs w:val="24"/>
          <w:highlight w:val="none"/>
        </w:rPr>
        <w:t>置相应考核指标，接受采购人和服务对象对入围供应商履行框架协议和采购合同情况的反馈与评价，并将用户反馈和评价情况向采购人和服务对象公开，作为第二阶段直接选定成交供应商的参考。</w:t>
      </w:r>
    </w:p>
    <w:p>
      <w:pPr>
        <w:pStyle w:val="2"/>
        <w:spacing w:line="360" w:lineRule="auto"/>
        <w:ind w:firstLine="480" w:firstLineChars="200"/>
        <w:rPr>
          <w:rFonts w:hint="eastAsia" w:ascii="宋体" w:hAnsi="宋体" w:eastAsia="宋体" w:cs="宋体"/>
          <w:b w:val="0"/>
          <w:kern w:val="2"/>
          <w:szCs w:val="24"/>
          <w:highlight w:val="none"/>
        </w:rPr>
      </w:pPr>
      <w:r>
        <w:rPr>
          <w:rFonts w:hint="eastAsia" w:ascii="宋体" w:hAnsi="宋体" w:eastAsia="宋体" w:cs="宋体"/>
          <w:b w:val="0"/>
          <w:kern w:val="2"/>
          <w:szCs w:val="24"/>
          <w:highlight w:val="none"/>
        </w:rPr>
        <w:t>采购人认为供应商未按约定履行的，可向监管部门提交投诉申请，核实后取消供应商入围资格。</w:t>
      </w:r>
    </w:p>
    <w:p>
      <w:pPr>
        <w:pStyle w:val="27"/>
        <w:numPr>
          <w:ilvl w:val="0"/>
          <w:numId w:val="2"/>
        </w:numPr>
        <w:shd w:val="clear" w:color="auto" w:fill="FFFFFF"/>
        <w:spacing w:before="150" w:beforeAutospacing="0" w:after="0" w:afterAutospacing="0" w:line="360" w:lineRule="auto"/>
        <w:ind w:firstLine="482" w:firstLineChars="200"/>
        <w:rPr>
          <w:rFonts w:hint="eastAsia" w:cs="宋体"/>
          <w:b/>
          <w:bCs/>
          <w:kern w:val="2"/>
          <w:highlight w:val="none"/>
        </w:rPr>
      </w:pPr>
      <w:r>
        <w:rPr>
          <w:rFonts w:hint="eastAsia" w:cs="宋体"/>
          <w:b/>
          <w:bCs/>
          <w:kern w:val="2"/>
          <w:highlight w:val="none"/>
        </w:rPr>
        <w:t>入围供应商的清退和补充规则</w:t>
      </w:r>
    </w:p>
    <w:p>
      <w:pPr>
        <w:pStyle w:val="27"/>
        <w:numPr>
          <w:ilvl w:val="0"/>
          <w:numId w:val="0"/>
        </w:numPr>
        <w:shd w:val="clear" w:color="auto" w:fill="FFFFFF"/>
        <w:spacing w:before="150" w:beforeAutospacing="0" w:after="0" w:afterAutospacing="0" w:line="360" w:lineRule="auto"/>
        <w:ind w:firstLine="480" w:firstLineChars="200"/>
        <w:rPr>
          <w:rFonts w:ascii="宋体" w:hAnsi="宋体" w:cs="宋体"/>
          <w:b w:val="0"/>
          <w:kern w:val="2"/>
          <w:szCs w:val="24"/>
          <w:highlight w:val="none"/>
        </w:rPr>
      </w:pPr>
      <w:r>
        <w:rPr>
          <w:rFonts w:hint="eastAsia" w:ascii="宋体" w:hAnsi="宋体" w:cs="宋体"/>
          <w:b w:val="0"/>
          <w:kern w:val="2"/>
          <w:szCs w:val="24"/>
          <w:highlight w:val="none"/>
        </w:rPr>
        <w:t>1.政府采购监管部门、集中采购机构将不定期对入围供应商的履约情况进行检查，发现入围供应商违反政府采购相关规定、未按照协议约定和承诺以及其他违法违规行为的，政府采购监管部门、集中采购机构将依据相关规定予以处理，征集人也将提前解除框架协议。</w:t>
      </w:r>
    </w:p>
    <w:p>
      <w:pPr>
        <w:pStyle w:val="2"/>
        <w:spacing w:line="360" w:lineRule="auto"/>
        <w:ind w:firstLine="480" w:firstLineChars="200"/>
        <w:rPr>
          <w:rFonts w:ascii="宋体" w:hAnsi="宋体" w:cs="宋体"/>
          <w:b w:val="0"/>
          <w:kern w:val="2"/>
          <w:szCs w:val="24"/>
          <w:highlight w:val="none"/>
        </w:rPr>
      </w:pPr>
      <w:r>
        <w:rPr>
          <w:rFonts w:hint="eastAsia" w:ascii="宋体" w:hAnsi="宋体" w:cs="宋体"/>
          <w:b w:val="0"/>
          <w:kern w:val="2"/>
          <w:szCs w:val="24"/>
          <w:highlight w:val="none"/>
        </w:rPr>
        <w:t>2.采购人如反映入围供应商有违反政府采购相关规定、未按照协议约定和承诺以及其他违法违规行为的，政府采购监管部门、集中采购机构将重点约谈入围供应商，如入围供应商无法提供合理解释或拒不改正的，政府采购监管部门、集中采购机构将依据相关规定予以处理，征集人也将提前解除框架协议。</w:t>
      </w:r>
    </w:p>
    <w:p>
      <w:pPr>
        <w:pStyle w:val="2"/>
        <w:spacing w:line="360" w:lineRule="auto"/>
        <w:ind w:firstLine="482" w:firstLineChars="200"/>
        <w:rPr>
          <w:rFonts w:ascii="宋体" w:hAnsi="宋体" w:cs="宋体"/>
          <w:bCs w:val="0"/>
          <w:kern w:val="2"/>
          <w:szCs w:val="24"/>
          <w:highlight w:val="none"/>
        </w:rPr>
      </w:pPr>
      <w:r>
        <w:rPr>
          <w:rFonts w:hint="eastAsia" w:ascii="宋体" w:hAnsi="宋体" w:cs="宋体"/>
          <w:bCs w:val="0"/>
          <w:kern w:val="2"/>
          <w:szCs w:val="24"/>
          <w:highlight w:val="none"/>
        </w:rPr>
        <w:t>（</w:t>
      </w:r>
      <w:r>
        <w:rPr>
          <w:rFonts w:hint="eastAsia" w:ascii="宋体" w:hAnsi="宋体" w:cs="宋体"/>
          <w:bCs w:val="0"/>
          <w:kern w:val="2"/>
          <w:szCs w:val="24"/>
          <w:highlight w:val="none"/>
          <w:lang w:eastAsia="zh-CN"/>
        </w:rPr>
        <w:t>十</w:t>
      </w:r>
      <w:r>
        <w:rPr>
          <w:rFonts w:hint="eastAsia" w:ascii="宋体" w:hAnsi="宋体" w:cs="宋体"/>
          <w:bCs w:val="0"/>
          <w:kern w:val="2"/>
          <w:szCs w:val="24"/>
          <w:highlight w:val="none"/>
        </w:rPr>
        <w:t>）履约管理</w:t>
      </w:r>
    </w:p>
    <w:p>
      <w:pPr>
        <w:spacing w:line="360" w:lineRule="auto"/>
        <w:ind w:firstLine="480" w:firstLineChars="200"/>
        <w:rPr>
          <w:rFonts w:ascii="宋体" w:hAnsi="宋体"/>
          <w:bCs/>
          <w:highlight w:val="none"/>
        </w:rPr>
      </w:pPr>
      <w:r>
        <w:rPr>
          <w:rFonts w:hint="eastAsia" w:ascii="宋体" w:hAnsi="宋体"/>
          <w:bCs/>
          <w:highlight w:val="none"/>
          <w:lang w:val="zh-CN"/>
        </w:rPr>
        <w:t>本轮框架协议采购履约管理措施：包括对第二阶段价格、产品和服务质量的管理，对第二阶段确定成交供应商的管理，协调框架协议履行中的纠纷、供应商清退等。</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lang w:val="zh-CN"/>
        </w:rPr>
        <w:t>入围供应商有下列情形之一，尚未签订框架协议的，取消其入围资格；已经签订框架协议的，解除与其签订的框架协议：</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rPr>
        <w:t>1、</w:t>
      </w:r>
      <w:r>
        <w:rPr>
          <w:rFonts w:hint="eastAsia" w:cs="宋体"/>
          <w:bCs/>
          <w:kern w:val="2"/>
          <w:highlight w:val="none"/>
          <w:lang w:val="zh-CN"/>
        </w:rPr>
        <w:t>恶意串通谋取入围或者合同成交的；</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rPr>
        <w:t>2、</w:t>
      </w:r>
      <w:r>
        <w:rPr>
          <w:rFonts w:hint="eastAsia" w:cs="宋体"/>
          <w:bCs/>
          <w:kern w:val="2"/>
          <w:highlight w:val="none"/>
          <w:lang w:val="zh-CN"/>
        </w:rPr>
        <w:t>提供虚假材料谋取入围或者合同成交的；</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rPr>
        <w:t>3、</w:t>
      </w:r>
      <w:r>
        <w:rPr>
          <w:rFonts w:hint="eastAsia" w:cs="宋体"/>
          <w:bCs/>
          <w:kern w:val="2"/>
          <w:highlight w:val="none"/>
          <w:lang w:val="zh-CN"/>
        </w:rPr>
        <w:t>无正当理由拒不接受合同授予的；</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rPr>
        <w:t>4、</w:t>
      </w:r>
      <w:r>
        <w:rPr>
          <w:rFonts w:hint="eastAsia" w:cs="宋体"/>
          <w:bCs/>
          <w:kern w:val="2"/>
          <w:highlight w:val="none"/>
          <w:lang w:val="zh-CN"/>
        </w:rPr>
        <w:t>不履行合同义务或者履行合同义务不符合约定，经征集人请求履行后仍不履行或者仍未按约定履行的；</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rPr>
        <w:t>5、</w:t>
      </w:r>
      <w:r>
        <w:rPr>
          <w:rFonts w:hint="eastAsia" w:cs="宋体"/>
          <w:bCs/>
          <w:kern w:val="2"/>
          <w:highlight w:val="none"/>
          <w:lang w:val="zh-CN"/>
        </w:rPr>
        <w:t>框架协议有效期内，因违法行为被禁止或限制参加政府采购活动的；</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rPr>
        <w:t>6、</w:t>
      </w:r>
      <w:r>
        <w:rPr>
          <w:rFonts w:hint="eastAsia" w:cs="宋体"/>
          <w:bCs/>
          <w:kern w:val="2"/>
          <w:highlight w:val="none"/>
          <w:lang w:val="zh-CN"/>
        </w:rPr>
        <w:t>框架协议约定的其他情形。</w:t>
      </w:r>
    </w:p>
    <w:p>
      <w:pPr>
        <w:pStyle w:val="27"/>
        <w:shd w:val="clear" w:color="auto" w:fill="FFFFFF"/>
        <w:spacing w:before="0" w:beforeAutospacing="0" w:after="0" w:afterAutospacing="0" w:line="360" w:lineRule="auto"/>
        <w:ind w:firstLine="420"/>
        <w:jc w:val="both"/>
        <w:rPr>
          <w:rFonts w:cs="宋体"/>
          <w:bCs/>
          <w:kern w:val="2"/>
          <w:highlight w:val="none"/>
          <w:lang w:val="zh-CN"/>
        </w:rPr>
      </w:pPr>
      <w:r>
        <w:rPr>
          <w:rFonts w:hint="eastAsia" w:cs="宋体"/>
          <w:bCs/>
          <w:kern w:val="2"/>
          <w:highlight w:val="none"/>
          <w:lang w:val="zh-CN"/>
        </w:rPr>
        <w:t>有以上情形之一的，以及无正当理由放弃封闭式框架协议入围资格或者退出封闭框架协议的，由政府采购相关部门依照政府采购法等有关法律、行政法规追究法律责任。</w:t>
      </w:r>
    </w:p>
    <w:p>
      <w:pPr>
        <w:pStyle w:val="2"/>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Cs/>
          <w:highlight w:val="none"/>
          <w:lang w:val="zh-CN"/>
        </w:rPr>
      </w:pPr>
      <w:r>
        <w:rPr>
          <w:rFonts w:hint="eastAsia" w:ascii="宋体" w:hAnsi="宋体"/>
          <w:bCs/>
          <w:highlight w:val="none"/>
          <w:lang w:val="zh-CN"/>
        </w:rPr>
        <w:t>被取消入围资格或者被解除框架协议的供应商不得参加同一封闭式框架协议补充。</w:t>
      </w:r>
    </w:p>
    <w:p>
      <w:pPr>
        <w:pStyle w:val="3"/>
        <w:rPr>
          <w:rFonts w:hint="eastAsia" w:eastAsia="宋体"/>
          <w:highlight w:val="none"/>
          <w:lang w:eastAsia="zh-CN"/>
        </w:rPr>
      </w:pPr>
    </w:p>
    <w:p>
      <w:pPr>
        <w:pStyle w:val="3"/>
        <w:rPr>
          <w:rFonts w:hint="eastAsia" w:eastAsia="宋体"/>
          <w:highlight w:val="none"/>
          <w:lang w:eastAsia="zh-CN"/>
        </w:rPr>
      </w:pPr>
    </w:p>
    <w:p>
      <w:pPr>
        <w:pStyle w:val="3"/>
        <w:rPr>
          <w:rFonts w:hint="eastAsia" w:eastAsia="宋体"/>
          <w:highlight w:val="none"/>
          <w:lang w:eastAsia="zh-CN"/>
        </w:rPr>
      </w:pPr>
    </w:p>
    <w:p>
      <w:pPr>
        <w:pStyle w:val="3"/>
        <w:rPr>
          <w:rFonts w:hint="eastAsia" w:eastAsia="宋体"/>
          <w:highlight w:val="none"/>
          <w:lang w:eastAsia="zh-CN"/>
        </w:rPr>
      </w:pPr>
    </w:p>
    <w:p>
      <w:pPr>
        <w:pStyle w:val="3"/>
        <w:rPr>
          <w:rFonts w:hint="eastAsia" w:eastAsia="宋体"/>
          <w:highlight w:val="none"/>
          <w:lang w:eastAsia="zh-CN"/>
        </w:rPr>
      </w:pPr>
    </w:p>
    <w:p>
      <w:pPr>
        <w:pStyle w:val="3"/>
        <w:rPr>
          <w:rFonts w:hint="eastAsia" w:eastAsia="宋体"/>
          <w:highlight w:val="none"/>
          <w:lang w:eastAsia="zh-CN"/>
        </w:rPr>
      </w:pPr>
    </w:p>
    <w:p>
      <w:pPr>
        <w:pStyle w:val="3"/>
        <w:rPr>
          <w:rFonts w:hint="eastAsia" w:eastAsia="宋体"/>
          <w:highlight w:val="none"/>
          <w:lang w:eastAsia="zh-CN"/>
        </w:rPr>
      </w:pPr>
    </w:p>
    <w:p>
      <w:pPr>
        <w:pStyle w:val="3"/>
        <w:rPr>
          <w:rFonts w:hint="eastAsia" w:eastAsia="宋体"/>
          <w:highlight w:val="none"/>
          <w:lang w:eastAsia="zh-CN"/>
        </w:rPr>
      </w:pPr>
    </w:p>
    <w:bookmarkEnd w:id="31"/>
    <w:bookmarkEnd w:id="32"/>
    <w:p>
      <w:pPr>
        <w:pStyle w:val="27"/>
        <w:numPr>
          <w:ilvl w:val="0"/>
          <w:numId w:val="3"/>
        </w:numPr>
        <w:spacing w:beforeAutospacing="0" w:afterAutospacing="0" w:line="360" w:lineRule="auto"/>
        <w:ind w:firstLine="480"/>
        <w:jc w:val="center"/>
        <w:rPr>
          <w:rFonts w:hint="eastAsia" w:ascii="黑体" w:hAnsi="黑体" w:eastAsia="黑体" w:cs="黑体"/>
          <w:b/>
          <w:bCs/>
          <w:color w:val="auto"/>
          <w:sz w:val="32"/>
          <w:szCs w:val="32"/>
          <w:highlight w:val="none"/>
        </w:rPr>
      </w:pPr>
      <w:bookmarkStart w:id="33" w:name="_Toc548118524"/>
      <w:bookmarkStart w:id="34" w:name="_Toc82873328"/>
      <w:bookmarkStart w:id="35" w:name="_Toc485648402"/>
      <w:bookmarkStart w:id="36" w:name="_Toc211745569"/>
      <w:bookmarkStart w:id="37" w:name="_Toc82338245"/>
      <w:r>
        <w:rPr>
          <w:rFonts w:hint="eastAsia" w:ascii="黑体" w:hAnsi="黑体" w:eastAsia="黑体" w:cs="黑体"/>
          <w:b/>
          <w:bCs/>
          <w:color w:val="auto"/>
          <w:sz w:val="32"/>
          <w:szCs w:val="32"/>
          <w:highlight w:val="none"/>
        </w:rPr>
        <w:t>供应商须知</w:t>
      </w:r>
      <w:bookmarkEnd w:id="33"/>
    </w:p>
    <w:p>
      <w:pPr>
        <w:snapToGrid w:val="0"/>
        <w:spacing w:before="240" w:beforeLines="100" w:line="360" w:lineRule="auto"/>
        <w:jc w:val="center"/>
        <w:rPr>
          <w:rFonts w:ascii="宋体" w:hAnsi="宋体"/>
          <w:b/>
          <w:color w:val="auto"/>
          <w:sz w:val="24"/>
          <w:highlight w:val="none"/>
        </w:rPr>
      </w:pPr>
      <w:r>
        <w:rPr>
          <w:rFonts w:ascii="宋体" w:hAnsi="宋体"/>
          <w:b/>
          <w:color w:val="auto"/>
          <w:sz w:val="24"/>
          <w:highlight w:val="none"/>
        </w:rPr>
        <w:t>前附表</w:t>
      </w:r>
    </w:p>
    <w:tbl>
      <w:tblPr>
        <w:tblStyle w:val="28"/>
        <w:tblW w:w="9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88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序号</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1</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olor w:val="auto"/>
                <w:sz w:val="24"/>
                <w:highlight w:val="none"/>
                <w:lang w:eastAsia="zh-CN"/>
              </w:rPr>
            </w:pPr>
            <w:r>
              <w:rPr>
                <w:rFonts w:ascii="宋体" w:hAnsi="宋体"/>
                <w:b/>
                <w:color w:val="auto"/>
                <w:sz w:val="24"/>
                <w:highlight w:val="none"/>
              </w:rPr>
              <w:t>项目名称：</w:t>
            </w:r>
            <w:r>
              <w:rPr>
                <w:rFonts w:hint="eastAsia" w:ascii="宋体" w:hAnsi="宋体"/>
                <w:bCs/>
                <w:color w:val="auto"/>
                <w:sz w:val="24"/>
                <w:highlight w:val="none"/>
                <w:lang w:eastAsia="zh-CN"/>
              </w:rPr>
              <w:t>2025-2026年平湖市政府投资项目工程造价咨询服务封闭式框架协议采购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2</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olor w:val="auto"/>
                <w:sz w:val="24"/>
                <w:highlight w:val="none"/>
                <w:lang w:eastAsia="zh-CN"/>
              </w:rPr>
            </w:pPr>
            <w:r>
              <w:rPr>
                <w:rFonts w:ascii="宋体" w:hAnsi="宋体"/>
                <w:b/>
                <w:bCs/>
                <w:color w:val="auto"/>
                <w:sz w:val="24"/>
                <w:highlight w:val="none"/>
              </w:rPr>
              <w:t>采购内容</w:t>
            </w:r>
            <w:r>
              <w:rPr>
                <w:rFonts w:hint="eastAsia" w:ascii="宋体" w:hAnsi="宋体"/>
                <w:b/>
                <w:bCs/>
                <w:color w:val="auto"/>
                <w:sz w:val="24"/>
                <w:highlight w:val="none"/>
              </w:rPr>
              <w:t>：</w:t>
            </w:r>
            <w:r>
              <w:rPr>
                <w:rFonts w:hint="eastAsia" w:ascii="宋体" w:hAnsi="宋体"/>
                <w:color w:val="auto"/>
                <w:sz w:val="24"/>
                <w:highlight w:val="none"/>
              </w:rPr>
              <w:t>平湖市政府投资项目服务费在分散采购招标限额（30万）以下的概算审核、预算审核及竣工结算审核服务，国有公司投资项目工程造价咨询参照执行。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ascii="宋体" w:hAnsi="宋体"/>
                <w:color w:val="auto"/>
                <w:sz w:val="24"/>
                <w:highlight w:val="none"/>
              </w:rPr>
              <w:t>3</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投标报价及费用：</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eastAsia="宋体" w:cs="宋体"/>
                <w:color w:val="auto"/>
                <w:kern w:val="2"/>
                <w:sz w:val="24"/>
                <w:szCs w:val="24"/>
                <w:highlight w:val="none"/>
              </w:rPr>
              <w:t>本项目报价采用</w:t>
            </w:r>
            <w:r>
              <w:rPr>
                <w:rFonts w:hint="eastAsia" w:ascii="宋体" w:hAnsi="宋体" w:eastAsia="宋体" w:cs="宋体"/>
                <w:color w:val="auto"/>
                <w:kern w:val="2"/>
                <w:sz w:val="24"/>
                <w:szCs w:val="24"/>
                <w:highlight w:val="none"/>
                <w:lang w:eastAsia="zh-CN"/>
              </w:rPr>
              <w:t>优惠率方式</w:t>
            </w:r>
            <w:r>
              <w:rPr>
                <w:rFonts w:hint="eastAsia" w:ascii="宋体" w:hAnsi="宋体" w:eastAsia="宋体" w:cs="宋体"/>
                <w:color w:val="auto"/>
                <w:kern w:val="2"/>
                <w:sz w:val="24"/>
                <w:szCs w:val="24"/>
                <w:highlight w:val="none"/>
              </w:rPr>
              <w:t>，响应时提供《报价</w:t>
            </w:r>
            <w:r>
              <w:rPr>
                <w:rFonts w:hint="eastAsia" w:ascii="宋体" w:hAnsi="宋体" w:eastAsia="宋体" w:cs="宋体"/>
                <w:color w:val="auto"/>
                <w:kern w:val="2"/>
                <w:sz w:val="24"/>
                <w:szCs w:val="24"/>
                <w:highlight w:val="none"/>
                <w:lang w:eastAsia="zh-CN"/>
              </w:rPr>
              <w:t>一览表</w:t>
            </w:r>
            <w:r>
              <w:rPr>
                <w:rFonts w:hint="eastAsia" w:ascii="宋体" w:hAnsi="宋体" w:eastAsia="宋体" w:cs="宋体"/>
                <w:color w:val="auto"/>
                <w:kern w:val="2"/>
                <w:sz w:val="24"/>
                <w:szCs w:val="24"/>
                <w:highlight w:val="none"/>
              </w:rPr>
              <w:t>》。本项目设置最高限价为《</w:t>
            </w:r>
            <w:r>
              <w:rPr>
                <w:rFonts w:hint="eastAsia" w:ascii="宋体" w:hAnsi="宋体" w:eastAsia="宋体" w:cs="宋体"/>
                <w:color w:val="auto"/>
                <w:kern w:val="2"/>
                <w:sz w:val="24"/>
                <w:szCs w:val="24"/>
                <w:highlight w:val="none"/>
                <w:lang w:eastAsia="zh-CN"/>
              </w:rPr>
              <w:t>平湖</w:t>
            </w:r>
            <w:r>
              <w:rPr>
                <w:rFonts w:hint="eastAsia" w:ascii="宋体" w:hAnsi="宋体" w:eastAsia="宋体" w:cs="宋体"/>
                <w:color w:val="auto"/>
                <w:kern w:val="2"/>
                <w:sz w:val="24"/>
                <w:szCs w:val="24"/>
                <w:highlight w:val="none"/>
              </w:rPr>
              <w:t>市政府投资项目工程造价咨询服务收费标准》设定的限价的</w:t>
            </w:r>
            <w:r>
              <w:rPr>
                <w:rFonts w:hint="eastAsia" w:ascii="宋体" w:hAnsi="宋体" w:cs="宋体"/>
                <w:b/>
                <w:bCs/>
                <w:color w:val="auto"/>
                <w:kern w:val="2"/>
                <w:sz w:val="24"/>
                <w:szCs w:val="24"/>
                <w:highlight w:val="none"/>
                <w:lang w:val="en-US" w:eastAsia="zh-CN"/>
              </w:rPr>
              <w:t>99.99</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rPr>
              <w:t>，供应商在最高限价的基础上报投标优惠率（即按照招标文件规定收费标准的百分比计费）</w:t>
            </w:r>
            <w:r>
              <w:rPr>
                <w:rFonts w:hint="eastAsia" w:ascii="宋体" w:hAnsi="宋体"/>
                <w:color w:val="auto"/>
                <w:sz w:val="24"/>
                <w:highlight w:val="none"/>
              </w:rPr>
              <w:t>；</w:t>
            </w:r>
          </w:p>
          <w:p>
            <w:pPr>
              <w:snapToGrid w:val="0"/>
              <w:spacing w:line="360" w:lineRule="auto"/>
              <w:rPr>
                <w:rFonts w:ascii="宋体" w:hAnsi="宋体"/>
                <w:color w:val="auto"/>
                <w:sz w:val="24"/>
                <w:highlight w:val="none"/>
              </w:rPr>
            </w:pPr>
            <w:r>
              <w:rPr>
                <w:rFonts w:hint="eastAsia" w:ascii="宋体" w:hAnsi="宋体"/>
                <w:color w:val="auto"/>
                <w:sz w:val="24"/>
                <w:highlight w:val="none"/>
              </w:rPr>
              <w:t>2.不论响应结果如何，供应商均应自行承担所有与响应有关的全部费用。提醒：验收（考核）时检测费、专家费等验收所产生的合理费用由征集人承担，不包含在投标总价中，若由供应商原因造成的验收（考核）不合格所产生的费用，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auto"/>
                <w:sz w:val="24"/>
                <w:highlight w:val="none"/>
              </w:rPr>
            </w:pPr>
            <w:r>
              <w:rPr>
                <w:rFonts w:ascii="宋体" w:hAnsi="宋体"/>
                <w:b/>
                <w:color w:val="auto"/>
                <w:sz w:val="24"/>
                <w:highlight w:val="none"/>
              </w:rPr>
              <w:t>投标保证金：</w:t>
            </w:r>
            <w:r>
              <w:rPr>
                <w:rFonts w:hint="eastAsia" w:ascii="宋体" w:hAnsi="宋体"/>
                <w:color w:val="auto"/>
                <w:sz w:val="24"/>
                <w:highlight w:val="none"/>
              </w:rPr>
              <w:t>0元</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仿宋_GB2312"/>
                <w:b/>
                <w:color w:val="auto"/>
                <w:sz w:val="24"/>
                <w:highlight w:val="none"/>
              </w:rPr>
            </w:pPr>
            <w:r>
              <w:rPr>
                <w:rFonts w:hint="eastAsia" w:ascii="宋体" w:hAnsi="宋体"/>
                <w:b/>
                <w:bCs/>
                <w:color w:val="auto"/>
                <w:sz w:val="24"/>
                <w:highlight w:val="none"/>
              </w:rPr>
              <w:t>答疑与澄清：</w:t>
            </w:r>
            <w:r>
              <w:rPr>
                <w:rFonts w:hint="eastAsia" w:ascii="宋体" w:hAnsi="宋体"/>
                <w:color w:val="auto"/>
                <w:sz w:val="24"/>
                <w:highlight w:val="none"/>
                <w:lang w:eastAsia="zh-CN"/>
              </w:rPr>
              <w:t>供应商</w:t>
            </w:r>
            <w:r>
              <w:rPr>
                <w:rFonts w:hint="eastAsia" w:ascii="宋体" w:hAnsi="宋体"/>
                <w:color w:val="auto"/>
                <w:sz w:val="24"/>
                <w:highlight w:val="none"/>
              </w:rPr>
              <w:t>应认真阅读本</w:t>
            </w:r>
            <w:r>
              <w:rPr>
                <w:rFonts w:hint="eastAsia" w:ascii="宋体" w:hAnsi="宋体"/>
                <w:color w:val="auto"/>
                <w:sz w:val="24"/>
                <w:highlight w:val="none"/>
                <w:lang w:eastAsia="zh-CN"/>
              </w:rPr>
              <w:t>征集</w:t>
            </w:r>
            <w:r>
              <w:rPr>
                <w:rFonts w:hint="eastAsia" w:ascii="宋体" w:hAnsi="宋体"/>
                <w:color w:val="auto"/>
                <w:sz w:val="24"/>
                <w:highlight w:val="none"/>
              </w:rPr>
              <w:t>文件，发现其中有误或有不合理要求的，供应商可在获取</w:t>
            </w:r>
            <w:r>
              <w:rPr>
                <w:rFonts w:hint="eastAsia" w:ascii="宋体" w:hAnsi="宋体"/>
                <w:color w:val="auto"/>
                <w:sz w:val="24"/>
                <w:highlight w:val="none"/>
                <w:lang w:eastAsia="zh-CN"/>
              </w:rPr>
              <w:t>征集</w:t>
            </w:r>
            <w:r>
              <w:rPr>
                <w:rFonts w:hint="eastAsia" w:ascii="宋体" w:hAnsi="宋体"/>
                <w:color w:val="auto"/>
                <w:sz w:val="24"/>
                <w:highlight w:val="none"/>
              </w:rPr>
              <w:t>文件之日或者</w:t>
            </w:r>
            <w:r>
              <w:rPr>
                <w:rFonts w:hint="eastAsia" w:ascii="宋体" w:hAnsi="宋体"/>
                <w:color w:val="auto"/>
                <w:sz w:val="24"/>
                <w:highlight w:val="none"/>
                <w:lang w:eastAsia="zh-CN"/>
              </w:rPr>
              <w:t>征集</w:t>
            </w:r>
            <w:r>
              <w:rPr>
                <w:rFonts w:hint="eastAsia" w:ascii="宋体" w:hAnsi="宋体"/>
                <w:color w:val="auto"/>
                <w:sz w:val="24"/>
                <w:highlight w:val="none"/>
              </w:rPr>
              <w:t>文件公告期限届满之日（公告期限届满后获取</w:t>
            </w:r>
            <w:r>
              <w:rPr>
                <w:rFonts w:hint="eastAsia" w:ascii="宋体" w:hAnsi="宋体"/>
                <w:color w:val="auto"/>
                <w:sz w:val="24"/>
                <w:highlight w:val="none"/>
                <w:lang w:eastAsia="zh-CN"/>
              </w:rPr>
              <w:t>征集</w:t>
            </w:r>
            <w:r>
              <w:rPr>
                <w:rFonts w:hint="eastAsia" w:ascii="宋体" w:hAnsi="宋体"/>
                <w:color w:val="auto"/>
                <w:sz w:val="24"/>
                <w:highlight w:val="none"/>
              </w:rPr>
              <w:t>文件的，以公告期限届满之日为准）起7个工作日内以书面形式向招标人</w:t>
            </w:r>
            <w:r>
              <w:rPr>
                <w:rFonts w:hint="eastAsia" w:ascii="宋体" w:hAnsi="宋体" w:eastAsia="宋体" w:cs="宋体"/>
                <w:color w:val="auto"/>
                <w:sz w:val="24"/>
                <w:szCs w:val="24"/>
                <w:highlight w:val="none"/>
              </w:rPr>
              <w:t>一次性</w:t>
            </w:r>
            <w:r>
              <w:rPr>
                <w:rFonts w:hint="eastAsia" w:ascii="宋体" w:hAnsi="宋体"/>
                <w:color w:val="auto"/>
                <w:sz w:val="24"/>
                <w:highlight w:val="none"/>
              </w:rPr>
              <w:t>提出。采购代理机构对已发出的</w:t>
            </w:r>
            <w:r>
              <w:rPr>
                <w:rFonts w:hint="eastAsia" w:ascii="宋体" w:hAnsi="宋体"/>
                <w:color w:val="auto"/>
                <w:sz w:val="24"/>
                <w:highlight w:val="none"/>
                <w:lang w:eastAsia="zh-CN"/>
              </w:rPr>
              <w:t>征集文件</w:t>
            </w:r>
            <w:r>
              <w:rPr>
                <w:rFonts w:hint="eastAsia" w:ascii="宋体" w:hAnsi="宋体"/>
                <w:color w:val="auto"/>
                <w:sz w:val="24"/>
                <w:highlight w:val="none"/>
              </w:rPr>
              <w:t>进行必要澄清、答复、修改或补充的，应当在</w:t>
            </w:r>
            <w:r>
              <w:rPr>
                <w:rFonts w:hint="eastAsia" w:ascii="宋体" w:hAnsi="宋体"/>
                <w:color w:val="auto"/>
                <w:sz w:val="24"/>
                <w:highlight w:val="none"/>
                <w:lang w:eastAsia="zh-CN"/>
              </w:rPr>
              <w:t>征集文件</w:t>
            </w:r>
            <w:r>
              <w:rPr>
                <w:rFonts w:hint="eastAsia" w:ascii="宋体" w:hAnsi="宋体"/>
                <w:color w:val="auto"/>
                <w:sz w:val="24"/>
                <w:highlight w:val="none"/>
              </w:rPr>
              <w:t>要求提交</w:t>
            </w:r>
            <w:r>
              <w:rPr>
                <w:rFonts w:hint="eastAsia" w:ascii="宋体" w:hAnsi="宋体"/>
                <w:color w:val="auto"/>
                <w:sz w:val="24"/>
                <w:highlight w:val="none"/>
                <w:lang w:eastAsia="zh-CN"/>
              </w:rPr>
              <w:t>响应文件</w:t>
            </w:r>
            <w:r>
              <w:rPr>
                <w:rFonts w:hint="eastAsia" w:ascii="宋体" w:hAnsi="宋体"/>
                <w:color w:val="auto"/>
                <w:sz w:val="24"/>
                <w:highlight w:val="none"/>
              </w:rPr>
              <w:t>截止时间十五日前，在</w:t>
            </w:r>
            <w:r>
              <w:rPr>
                <w:rFonts w:hint="eastAsia" w:ascii="宋体" w:hAnsi="宋体"/>
                <w:color w:val="auto"/>
                <w:sz w:val="24"/>
                <w:highlight w:val="none"/>
                <w:lang w:eastAsia="zh-CN"/>
              </w:rPr>
              <w:t>浙江政府采购网(https://zfcg.czt.zj.gov.cn/)</w:t>
            </w:r>
            <w:r>
              <w:rPr>
                <w:rFonts w:hint="eastAsia" w:ascii="宋体" w:hAnsi="宋体"/>
                <w:color w:val="auto"/>
                <w:sz w:val="24"/>
                <w:highlight w:val="none"/>
              </w:rPr>
              <w:t>和</w:t>
            </w:r>
            <w:r>
              <w:rPr>
                <w:rFonts w:hint="eastAsia" w:ascii="宋体" w:hAnsi="宋体"/>
                <w:color w:val="auto"/>
                <w:sz w:val="24"/>
                <w:highlight w:val="none"/>
                <w:lang w:eastAsia="zh-CN"/>
              </w:rPr>
              <w:t>平湖市公共资源交易中心网（http://jxszwsjb.jiaxing.gov.cn/col/col1229743843/index.html）</w:t>
            </w:r>
            <w:r>
              <w:rPr>
                <w:rFonts w:hint="eastAsia" w:ascii="宋体" w:hAnsi="宋体"/>
                <w:color w:val="auto"/>
                <w:sz w:val="24"/>
                <w:highlight w:val="none"/>
              </w:rPr>
              <w:t>上发布更正公告，请</w:t>
            </w:r>
            <w:r>
              <w:rPr>
                <w:rFonts w:hint="eastAsia" w:ascii="宋体" w:hAnsi="宋体"/>
                <w:color w:val="auto"/>
                <w:sz w:val="24"/>
                <w:highlight w:val="none"/>
                <w:lang w:eastAsia="zh-CN"/>
              </w:rPr>
              <w:t>供应商</w:t>
            </w:r>
            <w:r>
              <w:rPr>
                <w:rFonts w:hint="eastAsia" w:ascii="宋体" w:hAnsi="宋体"/>
                <w:color w:val="auto"/>
                <w:sz w:val="24"/>
                <w:highlight w:val="none"/>
              </w:rPr>
              <w:t>在投标截止前及时关注。</w:t>
            </w:r>
            <w:r>
              <w:rPr>
                <w:rFonts w:hint="eastAsia" w:ascii="宋体" w:hAnsi="宋体"/>
                <w:color w:val="auto"/>
                <w:sz w:val="24"/>
                <w:highlight w:val="none"/>
                <w:lang w:eastAsia="zh-CN"/>
              </w:rPr>
              <w:t>征集</w:t>
            </w:r>
            <w:r>
              <w:rPr>
                <w:rFonts w:hint="eastAsia" w:ascii="宋体" w:hAnsi="宋体"/>
                <w:color w:val="auto"/>
                <w:sz w:val="24"/>
                <w:highlight w:val="none"/>
              </w:rPr>
              <w:t>文件要澄清、答复、修改或补充，一经在上述媒体发布，即视所有</w:t>
            </w:r>
            <w:r>
              <w:rPr>
                <w:rFonts w:hint="eastAsia" w:ascii="宋体" w:hAnsi="宋体"/>
                <w:color w:val="auto"/>
                <w:sz w:val="24"/>
                <w:highlight w:val="none"/>
                <w:lang w:eastAsia="zh-CN"/>
              </w:rPr>
              <w:t>供应商</w:t>
            </w:r>
            <w:r>
              <w:rPr>
                <w:rFonts w:hint="eastAsia" w:ascii="宋体" w:hAnsi="宋体"/>
                <w:color w:val="auto"/>
                <w:sz w:val="24"/>
                <w:highlight w:val="none"/>
              </w:rPr>
              <w:t>都已经收到相关文件。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88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auto"/>
                <w:sz w:val="24"/>
                <w:highlight w:val="none"/>
              </w:rPr>
            </w:pPr>
            <w:r>
              <w:rPr>
                <w:rFonts w:hint="eastAsia" w:ascii="宋体" w:hAnsi="宋体"/>
                <w:b/>
                <w:color w:val="auto"/>
                <w:sz w:val="24"/>
                <w:highlight w:val="none"/>
                <w:lang w:eastAsia="zh-CN"/>
              </w:rPr>
              <w:t>响应</w:t>
            </w:r>
            <w:r>
              <w:rPr>
                <w:rFonts w:ascii="宋体" w:hAnsi="宋体"/>
                <w:b/>
                <w:color w:val="auto"/>
                <w:sz w:val="24"/>
                <w:highlight w:val="none"/>
              </w:rPr>
              <w:t>文件组成：</w:t>
            </w:r>
          </w:p>
          <w:p>
            <w:pPr>
              <w:spacing w:line="360" w:lineRule="auto"/>
              <w:rPr>
                <w:rFonts w:ascii="宋体" w:hAnsi="宋体"/>
                <w:b/>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份数：本项目实行网上投标，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于“政采云”上提供电子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886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b/>
                <w:color w:val="auto"/>
                <w:sz w:val="24"/>
                <w:highlight w:val="none"/>
              </w:rPr>
            </w:pPr>
            <w:r>
              <w:rPr>
                <w:rFonts w:hint="eastAsia" w:ascii="宋体" w:hAnsi="宋体" w:cs="宋体"/>
                <w:b/>
                <w:bCs/>
                <w:color w:val="auto"/>
                <w:sz w:val="24"/>
                <w:highlight w:val="none"/>
              </w:rPr>
              <w:t>上传电子</w:t>
            </w:r>
            <w:r>
              <w:rPr>
                <w:rFonts w:hint="eastAsia" w:ascii="宋体" w:hAnsi="宋体" w:cs="宋体"/>
                <w:b/>
                <w:bCs/>
                <w:color w:val="auto"/>
                <w:sz w:val="24"/>
                <w:highlight w:val="none"/>
                <w:lang w:eastAsia="zh-CN"/>
              </w:rPr>
              <w:t>响应</w:t>
            </w:r>
            <w:r>
              <w:rPr>
                <w:rFonts w:hint="eastAsia" w:ascii="宋体" w:hAnsi="宋体" w:cs="宋体"/>
                <w:b/>
                <w:bCs/>
                <w:color w:val="auto"/>
                <w:sz w:val="24"/>
                <w:highlight w:val="none"/>
              </w:rPr>
              <w:t>文件时间</w:t>
            </w:r>
            <w:r>
              <w:rPr>
                <w:rFonts w:hint="eastAsia" w:ascii="宋体" w:hAnsi="宋体" w:cs="宋体"/>
                <w:color w:val="auto"/>
                <w:sz w:val="24"/>
                <w:highlight w:val="none"/>
              </w:rPr>
              <w:t>：</w:t>
            </w:r>
            <w:r>
              <w:rPr>
                <w:rFonts w:hint="eastAsia" w:ascii="宋体" w:hAnsi="宋体" w:cs="宋体"/>
                <w:color w:val="auto"/>
                <w:sz w:val="24"/>
                <w:highlight w:val="none"/>
                <w:lang w:eastAsia="zh-CN"/>
              </w:rPr>
              <w:t>2024年12月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lang w:eastAsia="zh-CN"/>
              </w:rPr>
              <w:t>日</w:t>
            </w:r>
            <w:r>
              <w:rPr>
                <w:rFonts w:hint="eastAsia" w:ascii="宋体" w:hAnsi="宋体" w:cs="宋体"/>
                <w:color w:val="auto"/>
                <w:sz w:val="24"/>
                <w:highlight w:val="none"/>
              </w:rPr>
              <w:t>上午9：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0前在“政采云”上自行加密上传电子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，逾期上传或未按要求上传的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文件将予以拒收。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8</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auto"/>
                <w:sz w:val="24"/>
                <w:highlight w:val="none"/>
              </w:rPr>
            </w:pPr>
            <w:r>
              <w:rPr>
                <w:rFonts w:ascii="宋体" w:hAnsi="宋体"/>
                <w:b/>
                <w:color w:val="auto"/>
                <w:sz w:val="24"/>
                <w:highlight w:val="none"/>
              </w:rPr>
              <w:t>评标办法及评分标准：</w:t>
            </w:r>
            <w:r>
              <w:rPr>
                <w:rFonts w:ascii="宋体" w:hAnsi="宋体"/>
                <w:color w:val="auto"/>
                <w:sz w:val="24"/>
                <w:highlight w:val="none"/>
              </w:rPr>
              <w:t>详见第四章。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886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b/>
                <w:color w:val="auto"/>
                <w:sz w:val="24"/>
                <w:highlight w:val="none"/>
              </w:rPr>
              <w:t>信用记录：</w:t>
            </w:r>
            <w:r>
              <w:rPr>
                <w:rFonts w:hint="eastAsia" w:ascii="宋体" w:hAnsi="宋体"/>
                <w:color w:val="auto"/>
                <w:sz w:val="24"/>
                <w:highlight w:val="none"/>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中小企业划分标准所属行业（具体根据《中小企业划型标准规定》执行）：</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采购标的：工程造价咨询，所属行业：租赁和商务服务业。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olor w:val="auto"/>
                <w:sz w:val="24"/>
                <w:highlight w:val="none"/>
              </w:rPr>
            </w:pPr>
            <w:r>
              <w:rPr>
                <w:rFonts w:hint="eastAsia" w:ascii="宋体" w:hAnsi="宋体"/>
                <w:b/>
                <w:color w:val="auto"/>
                <w:sz w:val="24"/>
                <w:highlight w:val="none"/>
              </w:rPr>
              <w:t>中小企业预留份额情况：</w:t>
            </w:r>
            <w:r>
              <w:rPr>
                <w:rFonts w:hint="eastAsia" w:ascii="宋体" w:hAnsi="宋体"/>
                <w:color w:val="auto"/>
                <w:sz w:val="24"/>
                <w:highlight w:val="none"/>
              </w:rPr>
              <w:t>根据《政府采购促进中小企业发展管理办法》财库〔2020〕46号文件的规定，本项目</w:t>
            </w:r>
            <w:r>
              <w:rPr>
                <w:rFonts w:hint="eastAsia" w:ascii="宋体" w:hAnsi="宋体"/>
                <w:color w:val="auto"/>
                <w:sz w:val="24"/>
                <w:highlight w:val="none"/>
                <w:u w:val="single"/>
              </w:rPr>
              <w:t xml:space="preserve"> 是 </w:t>
            </w:r>
            <w:r>
              <w:rPr>
                <w:rFonts w:hint="eastAsia" w:ascii="宋体" w:hAnsi="宋体"/>
                <w:color w:val="auto"/>
                <w:sz w:val="24"/>
                <w:highlight w:val="none"/>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小微企业有关政策：</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2.投标人按照《关于印发中小企业划型标准规定的通知》（工信部联企业〔2011〕300号）的所属行业规定为中型、小型、微型企业，在投标文件须提供《中小企业声明函》（见附件）；</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3.残疾人福利性单位参加采购活动，视为中小企业，享受中小企业政策扶持，应满足财库[2017]141号文件第一条的规定，并在投标文件中提供《残疾人福利性单位声明函》（见附件）。</w:t>
            </w:r>
          </w:p>
          <w:p>
            <w:pPr>
              <w:snapToGrid w:val="0"/>
              <w:spacing w:line="360" w:lineRule="auto"/>
              <w:rPr>
                <w:rFonts w:hint="eastAsia" w:ascii="宋体" w:hAnsi="宋体"/>
                <w:color w:val="auto"/>
                <w:sz w:val="24"/>
                <w:highlight w:val="none"/>
              </w:rPr>
            </w:pPr>
            <w:r>
              <w:rPr>
                <w:rFonts w:hint="eastAsia" w:ascii="宋体" w:hAnsi="宋体" w:cs="宋体"/>
                <w:color w:val="auto"/>
                <w:sz w:val="24"/>
                <w:highlight w:val="none"/>
              </w:rPr>
              <w:t>4.监狱企业参加采购活动，视为中小企业，享受中小企业政策扶持，在投标文件中提供由省级以上监狱管理局、戒毒管理局（含新疆生产建设兵团）出具的属于监狱企业的证明文件（格式自拟）。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lang w:eastAsia="zh-CN"/>
              </w:rPr>
            </w:pPr>
            <w:r>
              <w:rPr>
                <w:rFonts w:hint="eastAsia" w:ascii="宋体" w:hAnsi="宋体"/>
                <w:b/>
                <w:highlight w:val="none"/>
              </w:rPr>
              <w:t>评审结果公告及入围通知书</w:t>
            </w:r>
            <w:r>
              <w:rPr>
                <w:rFonts w:hint="eastAsia" w:ascii="宋体" w:hAnsi="宋体"/>
                <w:b/>
                <w:highlight w:val="none"/>
                <w:lang w:eastAsia="zh-CN"/>
              </w:rPr>
              <w:t>：</w:t>
            </w:r>
            <w:r>
              <w:rPr>
                <w:rFonts w:hint="eastAsia" w:ascii="宋体" w:hAnsi="宋体"/>
                <w:highlight w:val="none"/>
              </w:rPr>
              <w:t>评审结束后2个工作日内，评审结果公告于浙江政府采购网(http://www.zjzfcg.gov.cn/new/)。</w:t>
            </w:r>
            <w:r>
              <w:rPr>
                <w:rFonts w:hint="eastAsia" w:ascii="宋体" w:hAnsi="宋体"/>
                <w:kern w:val="0"/>
                <w:highlight w:val="none"/>
              </w:rPr>
              <w:t>入围公告期限为1个工作日。在公告入围结果的同时，征集人在政采云系统向入围供应商发出入围通知书。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886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b/>
                <w:color w:val="auto"/>
                <w:sz w:val="24"/>
                <w:highlight w:val="none"/>
                <w:lang w:eastAsia="zh-CN"/>
              </w:rPr>
            </w:pPr>
            <w:r>
              <w:rPr>
                <w:rFonts w:hint="eastAsia" w:ascii="宋体" w:hAnsi="宋体"/>
                <w:b/>
                <w:highlight w:val="none"/>
              </w:rPr>
              <w:t>框架协议签订时间</w:t>
            </w:r>
            <w:r>
              <w:rPr>
                <w:rFonts w:hint="eastAsia" w:ascii="宋体" w:hAnsi="宋体"/>
                <w:b/>
                <w:highlight w:val="none"/>
                <w:lang w:eastAsia="zh-CN"/>
              </w:rPr>
              <w:t>：</w:t>
            </w:r>
            <w:r>
              <w:rPr>
                <w:rFonts w:hint="eastAsia" w:ascii="宋体" w:hAnsi="宋体"/>
                <w:highlight w:val="none"/>
              </w:rPr>
              <w:t>入围通知书发出后30日内，</w:t>
            </w:r>
            <w:r>
              <w:rPr>
                <w:rFonts w:hint="eastAsia" w:ascii="宋体" w:hAnsi="宋体"/>
                <w:kern w:val="0"/>
                <w:highlight w:val="none"/>
              </w:rPr>
              <w:t>并在框架协议签订后7个工作日内，将框架协议副本报本级财政部门备案。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15</w:t>
            </w:r>
          </w:p>
        </w:tc>
        <w:tc>
          <w:tcPr>
            <w:tcW w:w="886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b/>
                <w:color w:val="auto"/>
                <w:sz w:val="24"/>
                <w:highlight w:val="none"/>
                <w:lang w:eastAsia="zh-CN"/>
              </w:rPr>
            </w:pPr>
            <w:r>
              <w:rPr>
                <w:rFonts w:hint="eastAsia" w:ascii="宋体" w:hAnsi="宋体"/>
                <w:b/>
                <w:highlight w:val="none"/>
              </w:rPr>
              <w:t>入围信息公告</w:t>
            </w:r>
            <w:r>
              <w:rPr>
                <w:rFonts w:hint="eastAsia" w:ascii="宋体" w:hAnsi="宋体"/>
                <w:b/>
                <w:highlight w:val="none"/>
                <w:lang w:eastAsia="zh-CN"/>
              </w:rPr>
              <w:t>：</w:t>
            </w:r>
            <w:r>
              <w:rPr>
                <w:rFonts w:hint="eastAsia" w:ascii="宋体" w:hAnsi="宋体"/>
                <w:highlight w:val="none"/>
              </w:rPr>
              <w:t>本项目在框架协议签订后3个工作日内，入围信息公告于浙江政府采购网(http://www.zjzfcg.gov.cn/new/)。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6</w:t>
            </w:r>
          </w:p>
        </w:tc>
        <w:tc>
          <w:tcPr>
            <w:tcW w:w="8866" w:type="dxa"/>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宋体" w:hAnsi="宋体"/>
                <w:b/>
                <w:color w:val="auto"/>
                <w:highlight w:val="none"/>
              </w:rPr>
            </w:pPr>
            <w:r>
              <w:rPr>
                <w:rFonts w:hint="eastAsia" w:ascii="宋体" w:hAnsi="宋体"/>
                <w:b/>
                <w:color w:val="auto"/>
                <w:highlight w:val="none"/>
              </w:rPr>
              <w:t>付款方式：</w:t>
            </w:r>
          </w:p>
          <w:p>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1.供应商报价为以上标准的基础上报统一折扣率（优惠率）作为入围价格。本次入围价格为最高限价，采购单位可以与入围供应商商定低于入围价格的具体项目成交单价。</w:t>
            </w:r>
          </w:p>
          <w:p>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2.概算审核费、预算审核费、结算审核基本费，由项目业主单位支付；</w:t>
            </w:r>
          </w:p>
          <w:p>
            <w:pPr>
              <w:snapToGrid w:val="0"/>
              <w:spacing w:line="360" w:lineRule="auto"/>
              <w:rPr>
                <w:rFonts w:ascii="宋体" w:hAnsi="宋体"/>
                <w:b/>
                <w:bCs/>
                <w:color w:val="auto"/>
                <w:highlight w:val="none"/>
              </w:rPr>
            </w:pPr>
            <w:r>
              <w:rPr>
                <w:rFonts w:hint="eastAsia" w:ascii="宋体" w:hAnsi="宋体" w:eastAsia="宋体" w:cs="宋体"/>
                <w:color w:val="auto"/>
                <w:sz w:val="24"/>
                <w:highlight w:val="none"/>
                <w:lang w:val="en-US" w:eastAsia="zh-CN"/>
              </w:rPr>
              <w:t>3.竣工结算项目的净核减追加费由施工单位承担。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olor w:val="auto"/>
                <w:sz w:val="24"/>
                <w:highlight w:val="none"/>
                <w:lang w:val="en-US" w:eastAsia="zh-CN"/>
              </w:rPr>
              <w:t>17</w:t>
            </w:r>
          </w:p>
        </w:tc>
        <w:tc>
          <w:tcPr>
            <w:tcW w:w="8866" w:type="dxa"/>
            <w:tcBorders>
              <w:top w:val="single" w:color="auto" w:sz="4" w:space="0"/>
              <w:left w:val="single" w:color="auto" w:sz="4" w:space="0"/>
              <w:bottom w:val="single" w:color="auto" w:sz="4" w:space="0"/>
              <w:right w:val="single" w:color="auto" w:sz="4" w:space="0"/>
            </w:tcBorders>
            <w:vAlign w:val="center"/>
          </w:tcPr>
          <w:p>
            <w:pPr>
              <w:pStyle w:val="3"/>
              <w:ind w:left="0" w:leftChars="0" w:firstLine="0" w:firstLineChars="0"/>
              <w:rPr>
                <w:rFonts w:ascii="宋体" w:hAnsi="宋体"/>
                <w:b/>
                <w:color w:val="auto"/>
                <w:sz w:val="24"/>
                <w:highlight w:val="none"/>
              </w:rPr>
            </w:pPr>
            <w:r>
              <w:rPr>
                <w:rFonts w:hint="eastAsia" w:ascii="宋体" w:hAnsi="宋体" w:cs="宋体"/>
                <w:b/>
                <w:bCs/>
                <w:szCs w:val="24"/>
                <w:highlight w:val="none"/>
              </w:rPr>
              <w:t>框架协议期限</w:t>
            </w:r>
            <w:r>
              <w:rPr>
                <w:rFonts w:hint="eastAsia" w:ascii="宋体" w:hAnsi="宋体" w:cs="宋体"/>
                <w:b/>
                <w:bCs/>
                <w:szCs w:val="24"/>
                <w:highlight w:val="none"/>
                <w:lang w:eastAsia="zh-CN"/>
              </w:rPr>
              <w:t>：</w:t>
            </w:r>
            <w:r>
              <w:rPr>
                <w:rFonts w:hint="eastAsia" w:ascii="宋体" w:hAnsi="宋体" w:cs="宋体"/>
                <w:b w:val="0"/>
                <w:bCs w:val="0"/>
                <w:szCs w:val="24"/>
                <w:highlight w:val="none"/>
              </w:rPr>
              <w:t>合同签订之日起至2026年12月31日</w:t>
            </w:r>
            <w:r>
              <w:rPr>
                <w:rFonts w:hint="eastAsia" w:ascii="宋体" w:hAnsi="宋体" w:cs="宋体"/>
                <w:color w:val="auto"/>
                <w:sz w:val="24"/>
                <w:highlight w:val="none"/>
                <w:lang w:eastAsia="zh-Han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auto"/>
                <w:sz w:val="24"/>
                <w:highlight w:val="none"/>
              </w:rPr>
            </w:pPr>
            <w:r>
              <w:rPr>
                <w:rFonts w:hint="eastAsia" w:ascii="宋体" w:hAnsi="宋体"/>
                <w:b/>
                <w:color w:val="auto"/>
                <w:sz w:val="24"/>
                <w:highlight w:val="none"/>
                <w:lang w:eastAsia="zh-CN"/>
              </w:rPr>
              <w:t>响应文件</w:t>
            </w:r>
            <w:r>
              <w:rPr>
                <w:rFonts w:ascii="宋体" w:hAnsi="宋体"/>
                <w:b/>
                <w:color w:val="auto"/>
                <w:sz w:val="24"/>
                <w:highlight w:val="none"/>
              </w:rPr>
              <w:t>有效期：</w:t>
            </w:r>
            <w:r>
              <w:rPr>
                <w:rFonts w:hint="eastAsia" w:ascii="宋体" w:hAnsi="宋体"/>
                <w:color w:val="auto"/>
                <w:sz w:val="24"/>
                <w:highlight w:val="none"/>
                <w:u w:val="single"/>
              </w:rPr>
              <w:t xml:space="preserve"> 90 </w:t>
            </w:r>
            <w:r>
              <w:rPr>
                <w:rFonts w:ascii="宋体" w:hAnsi="宋体"/>
                <w:color w:val="auto"/>
                <w:sz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88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color w:val="auto"/>
                <w:sz w:val="24"/>
                <w:highlight w:val="none"/>
              </w:rPr>
            </w:pPr>
            <w:r>
              <w:rPr>
                <w:rFonts w:ascii="宋体" w:hAnsi="宋体"/>
                <w:b/>
                <w:color w:val="auto"/>
                <w:sz w:val="24"/>
                <w:highlight w:val="none"/>
              </w:rPr>
              <w:t>解释：</w:t>
            </w:r>
            <w:r>
              <w:rPr>
                <w:rFonts w:ascii="宋体" w:hAnsi="宋体"/>
                <w:color w:val="auto"/>
                <w:sz w:val="24"/>
                <w:highlight w:val="none"/>
              </w:rPr>
              <w:t>本</w:t>
            </w:r>
            <w:r>
              <w:rPr>
                <w:rFonts w:hint="eastAsia" w:ascii="宋体" w:hAnsi="宋体"/>
                <w:color w:val="auto"/>
                <w:sz w:val="24"/>
                <w:highlight w:val="none"/>
                <w:lang w:eastAsia="zh-CN"/>
              </w:rPr>
              <w:t>征集</w:t>
            </w:r>
            <w:r>
              <w:rPr>
                <w:rFonts w:ascii="宋体" w:hAnsi="宋体"/>
                <w:color w:val="auto"/>
                <w:sz w:val="24"/>
                <w:highlight w:val="none"/>
              </w:rPr>
              <w:t>文件的解释权属于</w:t>
            </w:r>
            <w:r>
              <w:rPr>
                <w:rFonts w:hint="eastAsia" w:ascii="宋体" w:hAnsi="宋体"/>
                <w:color w:val="auto"/>
                <w:sz w:val="24"/>
                <w:highlight w:val="none"/>
              </w:rPr>
              <w:t>征集人</w:t>
            </w:r>
            <w:r>
              <w:rPr>
                <w:rFonts w:ascii="宋体" w:hAnsi="宋体"/>
                <w:color w:val="auto"/>
                <w:sz w:val="24"/>
                <w:highlight w:val="none"/>
              </w:rPr>
              <w:t>。</w:t>
            </w:r>
          </w:p>
        </w:tc>
      </w:tr>
    </w:tbl>
    <w:p>
      <w:pPr>
        <w:pStyle w:val="2"/>
        <w:jc w:val="center"/>
        <w:rPr>
          <w:rFonts w:asciiTheme="majorEastAsia" w:hAnsiTheme="majorEastAsia" w:eastAsiaTheme="majorEastAsia" w:cstheme="majorEastAsia"/>
          <w:color w:val="auto"/>
          <w:sz w:val="28"/>
          <w:szCs w:val="36"/>
          <w:highlight w:val="none"/>
        </w:rPr>
      </w:pPr>
      <w:bookmarkStart w:id="38" w:name="_Toc380429945"/>
      <w:bookmarkStart w:id="39" w:name="_Toc384730989"/>
      <w:bookmarkStart w:id="40" w:name="_Toc439666965"/>
      <w:r>
        <w:rPr>
          <w:rFonts w:hint="eastAsia" w:asciiTheme="majorEastAsia" w:hAnsiTheme="majorEastAsia" w:eastAsiaTheme="majorEastAsia" w:cstheme="majorEastAsia"/>
          <w:color w:val="auto"/>
          <w:sz w:val="28"/>
          <w:szCs w:val="36"/>
          <w:highlight w:val="none"/>
        </w:rPr>
        <w:t>一、总则</w:t>
      </w:r>
    </w:p>
    <w:p>
      <w:pPr>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outlineLvl w:val="2"/>
        <w:rPr>
          <w:rFonts w:hint="eastAsia" w:ascii="宋体" w:hAnsi="宋体" w:eastAsia="宋体" w:cs="宋体"/>
          <w:b/>
          <w:color w:val="auto"/>
          <w:sz w:val="24"/>
          <w:szCs w:val="24"/>
          <w:highlight w:val="none"/>
        </w:rPr>
      </w:pPr>
      <w:bookmarkStart w:id="41" w:name="_Toc397670919"/>
      <w:bookmarkStart w:id="42" w:name="_Toc397670948"/>
      <w:r>
        <w:rPr>
          <w:rFonts w:hint="eastAsia" w:ascii="宋体" w:hAnsi="宋体" w:eastAsia="宋体" w:cs="宋体"/>
          <w:b/>
          <w:color w:val="auto"/>
          <w:sz w:val="24"/>
          <w:szCs w:val="24"/>
          <w:highlight w:val="none"/>
        </w:rPr>
        <w:t>（一）适用范围</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本征集文件适用于该项目的征集、响应、评标、定标、考核、合同履约、付款等行为（法律、法规另有规定的，从其规定）。</w:t>
      </w:r>
    </w:p>
    <w:p>
      <w:pPr>
        <w:keepNext w:val="0"/>
        <w:keepLines w:val="0"/>
        <w:pageBreakBefore w:val="0"/>
        <w:widowControl w:val="0"/>
        <w:kinsoku/>
        <w:wordWrap/>
        <w:overflowPunct/>
        <w:topLinePunct w:val="0"/>
        <w:autoSpaceDE/>
        <w:autoSpaceDN/>
        <w:bidi w:val="0"/>
        <w:snapToGrid w:val="0"/>
        <w:spacing w:line="360" w:lineRule="auto"/>
        <w:ind w:firstLine="354" w:firstLineChars="147"/>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（二）定义</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1.“征集人”系指</w:t>
      </w:r>
      <w:r>
        <w:rPr>
          <w:rFonts w:hint="eastAsia" w:ascii="宋体" w:hAnsi="宋体" w:cs="宋体"/>
          <w:color w:val="auto"/>
          <w:sz w:val="24"/>
          <w:szCs w:val="24"/>
          <w:highlight w:val="none"/>
          <w:lang w:eastAsia="zh-CN"/>
        </w:rPr>
        <w:t>平湖市公共资源交易中心</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2.“采购人”指</w:t>
      </w:r>
      <w:r>
        <w:rPr>
          <w:rFonts w:hint="eastAsia" w:ascii="宋体" w:hAnsi="宋体" w:cs="宋体"/>
          <w:color w:val="auto"/>
          <w:sz w:val="24"/>
          <w:szCs w:val="24"/>
          <w:highlight w:val="none"/>
          <w:lang w:eastAsia="zh-CN"/>
        </w:rPr>
        <w:t>平湖</w:t>
      </w:r>
      <w:r>
        <w:rPr>
          <w:rFonts w:hint="eastAsia" w:ascii="宋体" w:hAnsi="宋体" w:eastAsia="宋体" w:cs="宋体"/>
          <w:color w:val="auto"/>
          <w:sz w:val="24"/>
          <w:szCs w:val="24"/>
          <w:highlight w:val="none"/>
        </w:rPr>
        <w:t>市财政局、</w:t>
      </w:r>
      <w:r>
        <w:rPr>
          <w:rFonts w:hint="eastAsia" w:ascii="宋体" w:hAnsi="宋体" w:cs="宋体"/>
          <w:color w:val="auto"/>
          <w:sz w:val="24"/>
          <w:szCs w:val="24"/>
          <w:highlight w:val="none"/>
          <w:lang w:eastAsia="zh-CN"/>
        </w:rPr>
        <w:t>平湖</w:t>
      </w:r>
      <w:r>
        <w:rPr>
          <w:rFonts w:hint="eastAsia" w:ascii="宋体" w:hAnsi="宋体" w:eastAsia="宋体" w:cs="宋体"/>
          <w:color w:val="auto"/>
          <w:sz w:val="24"/>
          <w:szCs w:val="24"/>
          <w:highlight w:val="none"/>
        </w:rPr>
        <w:t>市审计局和全市政府投资项目业主单位等服务对象。</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3.“供应商”系指向征集人提交响应文件的法人、其他组织或者自然人。</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4.“负责人”系指法人企业的法定负责人，或其他组织为法律、行政法规规定代表单位行使职权的主要负责人，或自然人本人。</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5.“产品”系指供应商按征集文件规定，须向征集人提供的一切设备、保险、税金、备品备件、工具、手册及其他有关技术资料和材料。</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6.“服务”系指征集文件规定供应商须承担的劳务以及其他类似的义务。</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7.“项目”系指供应商按征集文件规定向征集人提供的产品和服务。</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8.“书面形式”包括信函、传真、电报等。</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9.“电子签名”系指数据电文中以电子形式所含、所附用于识别签名人身份并表明签名人认可其中内容的数据；“公章”系指单位法定名称章。</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10.“电子交易平台”是指本项目政府采购活动所依托的政府采购云平台（https://www.zcygov.cn/）。</w:t>
      </w:r>
    </w:p>
    <w:p>
      <w:pPr>
        <w:keepNext w:val="0"/>
        <w:keepLines w:val="0"/>
        <w:pageBreakBefore w:val="0"/>
        <w:widowControl w:val="0"/>
        <w:kinsoku/>
        <w:wordWrap/>
        <w:overflowPunct/>
        <w:topLinePunct w:val="0"/>
        <w:autoSpaceDE/>
        <w:autoSpaceDN/>
        <w:bidi w:val="0"/>
        <w:snapToGrid w:val="0"/>
        <w:spacing w:line="360" w:lineRule="auto"/>
        <w:ind w:left="240" w:leftChars="10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11.“▲”系指实质性要求条款，不满足实行性要求条款的响应文件无效。</w:t>
      </w:r>
    </w:p>
    <w:bookmarkEnd w:id="41"/>
    <w:bookmarkEnd w:id="42"/>
    <w:p>
      <w:pPr>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outlineLvl w:val="2"/>
        <w:rPr>
          <w:rFonts w:hint="eastAsia" w:ascii="宋体" w:hAnsi="宋体" w:eastAsia="宋体" w:cs="宋体"/>
          <w:b/>
          <w:color w:val="auto"/>
          <w:sz w:val="24"/>
          <w:szCs w:val="24"/>
          <w:highlight w:val="none"/>
        </w:rPr>
      </w:pPr>
      <w:bookmarkStart w:id="43" w:name="_Toc397670949"/>
      <w:bookmarkStart w:id="44" w:name="_Toc397670920"/>
      <w:r>
        <w:rPr>
          <w:rFonts w:hint="eastAsia" w:ascii="宋体" w:hAnsi="宋体" w:eastAsia="宋体" w:cs="宋体"/>
          <w:b/>
          <w:color w:val="auto"/>
          <w:sz w:val="24"/>
          <w:szCs w:val="24"/>
          <w:highlight w:val="none"/>
        </w:rPr>
        <w:t>（三）采购方式</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w:t>
      </w:r>
      <w:r>
        <w:rPr>
          <w:rFonts w:hint="eastAsia" w:ascii="宋体" w:hAnsi="宋体" w:cs="宋体"/>
          <w:color w:val="auto"/>
          <w:sz w:val="24"/>
          <w:szCs w:val="24"/>
          <w:highlight w:val="none"/>
          <w:lang w:eastAsia="zh-CN"/>
        </w:rPr>
        <w:t>封闭式</w:t>
      </w:r>
      <w:r>
        <w:rPr>
          <w:rFonts w:hint="eastAsia" w:ascii="宋体" w:hAnsi="宋体" w:eastAsia="宋体" w:cs="宋体"/>
          <w:color w:val="auto"/>
          <w:sz w:val="24"/>
          <w:szCs w:val="24"/>
          <w:highlight w:val="none"/>
        </w:rPr>
        <w:t>框架协议方式进行。</w:t>
      </w:r>
    </w:p>
    <w:bookmarkEnd w:id="43"/>
    <w:bookmarkEnd w:id="44"/>
    <w:p>
      <w:pPr>
        <w:keepNext w:val="0"/>
        <w:keepLines w:val="0"/>
        <w:pageBreakBefore w:val="0"/>
        <w:widowControl w:val="0"/>
        <w:kinsoku/>
        <w:wordWrap/>
        <w:overflowPunct/>
        <w:topLinePunct w:val="0"/>
        <w:autoSpaceDE/>
        <w:autoSpaceDN/>
        <w:bidi w:val="0"/>
        <w:snapToGrid w:val="0"/>
        <w:spacing w:beforeLines="50" w:line="360" w:lineRule="auto"/>
        <w:ind w:firstLine="472" w:firstLineChars="196"/>
        <w:jc w:val="left"/>
        <w:textAlignment w:val="auto"/>
        <w:outlineLvl w:val="2"/>
        <w:rPr>
          <w:rFonts w:hint="eastAsia" w:ascii="宋体" w:hAnsi="宋体" w:eastAsia="宋体" w:cs="宋体"/>
          <w:b/>
          <w:color w:val="auto"/>
          <w:sz w:val="24"/>
          <w:szCs w:val="24"/>
          <w:highlight w:val="none"/>
        </w:rPr>
      </w:pPr>
      <w:bookmarkStart w:id="45" w:name="_Toc397670921"/>
      <w:bookmarkStart w:id="46" w:name="_Toc397670950"/>
      <w:r>
        <w:rPr>
          <w:rFonts w:hint="eastAsia" w:ascii="宋体" w:hAnsi="宋体" w:eastAsia="宋体" w:cs="宋体"/>
          <w:b/>
          <w:color w:val="auto"/>
          <w:sz w:val="24"/>
          <w:szCs w:val="24"/>
          <w:highlight w:val="none"/>
        </w:rPr>
        <w:t>（四）响应费用</w:t>
      </w:r>
      <w:bookmarkEnd w:id="45"/>
      <w:bookmarkEnd w:id="46"/>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不论响应结果如何，供应商均应自行承担所有与响应有关的全部费用（征集文件有相反规定除外）。</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（六）联合体投标</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
          <w:color w:val="auto"/>
          <w:kern w:val="0"/>
          <w:sz w:val="24"/>
          <w:szCs w:val="24"/>
          <w:highlight w:val="none"/>
        </w:rPr>
        <w:t>转包与分包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1.本项目不允许转包。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2.本项目不可以分包。</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（八）是否允许采购进口产品</w:t>
      </w:r>
    </w:p>
    <w:p>
      <w:pPr>
        <w:keepNext w:val="0"/>
        <w:keepLines w:val="0"/>
        <w:pageBreakBefore w:val="0"/>
        <w:widowControl w:val="0"/>
        <w:kinsoku/>
        <w:wordWrap/>
        <w:overflowPunct/>
        <w:topLinePunct w:val="0"/>
        <w:autoSpaceDE/>
        <w:autoSpaceDN/>
        <w:bidi w:val="0"/>
        <w:snapToGrid w:val="0"/>
        <w:spacing w:line="360" w:lineRule="auto"/>
        <w:ind w:firstLine="470" w:firstLineChars="196"/>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本项目不允许采购进口产品</w:t>
      </w:r>
    </w:p>
    <w:p>
      <w:pPr>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）特别说明：</w:t>
      </w:r>
    </w:p>
    <w:p>
      <w:pPr>
        <w:pStyle w:val="17"/>
        <w:keepNext w:val="0"/>
        <w:keepLines w:val="0"/>
        <w:pageBreakBefore w:val="0"/>
        <w:widowControl w:val="0"/>
        <w:kinsoku/>
        <w:wordWrap/>
        <w:overflowPunct/>
        <w:topLinePunct w:val="0"/>
        <w:autoSpaceDE/>
        <w:autoSpaceDN/>
        <w:bidi w:val="0"/>
        <w:snapToGrid w:val="0"/>
        <w:spacing w:before="120" w:after="120" w:line="360" w:lineRule="auto"/>
        <w:ind w:left="2" w:leftChars="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1.供应商响应所使用的资格、信誉、荣誉、业绩与企业认证必须为本法人所拥有。供应商响应所使用的采购项目实施人员必须为本法人员工（或必须为本法人或控股供应商正式员工）。</w:t>
      </w:r>
    </w:p>
    <w:p>
      <w:pPr>
        <w:pStyle w:val="17"/>
        <w:keepNext w:val="0"/>
        <w:keepLines w:val="0"/>
        <w:pageBreakBefore w:val="0"/>
        <w:widowControl w:val="0"/>
        <w:kinsoku/>
        <w:wordWrap/>
        <w:overflowPunct/>
        <w:topLinePunct w:val="0"/>
        <w:autoSpaceDE/>
        <w:autoSpaceDN/>
        <w:bidi w:val="0"/>
        <w:snapToGrid w:val="0"/>
        <w:spacing w:before="120" w:after="120" w:line="360" w:lineRule="auto"/>
        <w:ind w:left="2" w:leftChars="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2.供应商应仔细阅读征集文件的所有内容，按照征集文件的要求提交响应文件，并对所提供的全部资料的真实性承担法律责任。</w:t>
      </w:r>
    </w:p>
    <w:p>
      <w:pPr>
        <w:pStyle w:val="17"/>
        <w:keepNext w:val="0"/>
        <w:keepLines w:val="0"/>
        <w:pageBreakBefore w:val="0"/>
        <w:widowControl w:val="0"/>
        <w:kinsoku/>
        <w:wordWrap/>
        <w:overflowPunct/>
        <w:topLinePunct w:val="0"/>
        <w:autoSpaceDE/>
        <w:autoSpaceDN/>
        <w:bidi w:val="0"/>
        <w:snapToGrid w:val="0"/>
        <w:spacing w:before="120" w:after="120" w:line="360" w:lineRule="auto"/>
        <w:ind w:left="2" w:leftChars="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在征集活动中提供任何虚假材料，其响应无效，并报监管部门查处；入围后发现的，入围供应商须依照《中华人民共和国消费者权益保护法》第49条之规定双倍赔偿征集人，且民事赔偿并不免除违法供应商的行政与刑事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（七）质疑和投诉</w:t>
      </w:r>
    </w:p>
    <w:p>
      <w:pPr>
        <w:pStyle w:val="46"/>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sz w:val="24"/>
          <w:szCs w:val="24"/>
          <w:highlight w:val="none"/>
        </w:rPr>
      </w:pPr>
      <w:bookmarkStart w:id="47" w:name="_Toc406402987"/>
      <w:bookmarkStart w:id="48" w:name="_Toc532218224"/>
      <w:bookmarkStart w:id="49" w:name="_Toc406402943"/>
      <w:r>
        <w:rPr>
          <w:rFonts w:hint="eastAsia" w:ascii="宋体" w:hAnsi="宋体" w:eastAsia="宋体" w:cs="宋体"/>
          <w:color w:val="auto"/>
          <w:sz w:val="24"/>
          <w:szCs w:val="24"/>
          <w:highlight w:val="none"/>
        </w:rPr>
        <w:t>根据《中华人民共和国政府采购法》、《中华人民共和国政府采购法实施条例》《财政部关于加强政府采购供应商投诉受理审查工作的通知》(财库〔2007〕1号)、《政府采购质疑和投诉办法》（第94号令）和《浙江省政府采购供应商质疑处理办法》（浙财采监[2012]18号）等规定，政府采购供应商可以依法提起质疑和投诉。</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1.供应商询问</w:t>
      </w:r>
    </w:p>
    <w:p>
      <w:pPr>
        <w:pStyle w:val="46"/>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供应商对政府采购活动事项有疑问的，可以向招标</w:t>
      </w:r>
      <w:r>
        <w:rPr>
          <w:rFonts w:hint="eastAsia" w:ascii="宋体" w:hAnsi="宋体" w:cs="宋体"/>
          <w:color w:val="auto"/>
          <w:sz w:val="24"/>
          <w:szCs w:val="24"/>
          <w:highlight w:val="none"/>
          <w:lang w:eastAsia="zh-CN"/>
        </w:rPr>
        <w:t>征集人</w:t>
      </w:r>
      <w:r>
        <w:rPr>
          <w:rFonts w:hint="eastAsia" w:ascii="宋体" w:hAnsi="宋体" w:eastAsia="宋体" w:cs="宋体"/>
          <w:color w:val="auto"/>
          <w:sz w:val="24"/>
          <w:szCs w:val="24"/>
          <w:highlight w:val="none"/>
        </w:rPr>
        <w:t>提出询问，招标</w:t>
      </w:r>
      <w:r>
        <w:rPr>
          <w:rFonts w:hint="eastAsia" w:ascii="宋体" w:hAnsi="宋体" w:cs="宋体"/>
          <w:color w:val="auto"/>
          <w:sz w:val="24"/>
          <w:szCs w:val="24"/>
          <w:highlight w:val="none"/>
          <w:lang w:eastAsia="zh-CN"/>
        </w:rPr>
        <w:t>征集人</w:t>
      </w:r>
      <w:r>
        <w:rPr>
          <w:rFonts w:hint="eastAsia" w:ascii="宋体" w:hAnsi="宋体" w:eastAsia="宋体" w:cs="宋体"/>
          <w:color w:val="auto"/>
          <w:sz w:val="24"/>
          <w:szCs w:val="24"/>
          <w:highlight w:val="none"/>
        </w:rPr>
        <w:t>应当及时做出答复，但答复的内容不得涉及商业秘密。</w:t>
      </w:r>
    </w:p>
    <w:p>
      <w:pPr>
        <w:pStyle w:val="17"/>
        <w:keepNext w:val="0"/>
        <w:keepLines w:val="0"/>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2.供应商质疑</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质疑：供应商可在获取</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之日或者</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公告期限届满之日（公告期限届满后获取</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的，以公告期限届满之日为准）起7个工作日内发起；采购结果质疑：投标（响应）供应商可在采购结果公告期限届满之日起7个工作日内发起。</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2.2质疑应当以书面形式提出，格式见《政府采购质疑和投诉办法》（财政部令第94号）附件范本，下载网址：浙江政府采购网(</w:t>
      </w:r>
      <w:r>
        <w:rPr>
          <w:rFonts w:hint="eastAsia" w:ascii="宋体" w:hAnsi="宋体" w:eastAsia="宋体" w:cs="宋体"/>
          <w:bCs/>
          <w:color w:val="auto"/>
          <w:sz w:val="24"/>
          <w:szCs w:val="24"/>
          <w:highlight w:val="none"/>
        </w:rPr>
        <w:t>网</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"http://zfcg.czt.zj.gov.cn" </w:instrText>
      </w:r>
      <w:r>
        <w:rPr>
          <w:rFonts w:hint="eastAsia" w:ascii="宋体" w:hAnsi="宋体" w:eastAsia="宋体" w:cs="宋体"/>
          <w:color w:val="auto"/>
          <w:sz w:val="24"/>
          <w:szCs w:val="24"/>
          <w:highlight w:val="none"/>
          <w:u w:val="none"/>
        </w:rPr>
        <w:fldChar w:fldCharType="separate"/>
      </w:r>
      <w:r>
        <w:rPr>
          <w:rStyle w:val="32"/>
          <w:rFonts w:hint="eastAsia" w:ascii="宋体" w:hAnsi="宋体" w:eastAsia="宋体" w:cs="宋体"/>
          <w:color w:val="auto"/>
          <w:sz w:val="24"/>
          <w:szCs w:val="24"/>
          <w:highlight w:val="none"/>
          <w:u w:val="none"/>
        </w:rPr>
        <w:t>http://zfcg.czt.zj.gov.cn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)，位置：“首页-下载专区-质疑投诉模板”。供应商提出质疑应当提交质疑函和必要的证明材料。质疑函应当包括下列内容：</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a供应商的姓名或者名称、地址、邮编、联系人及联系电话；</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b质疑项目的名称、编号；</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c具体、明确的质疑事项和与质疑事项相关的请求；</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d事实依据；</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e必要的法律依据；</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f提出质疑的日期。</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质疑函不符合《政府采购质疑和投诉办法》相关规定的，应在规定期限内补齐的，招标方自收到补齐材料之日起受理；逾期未补齐的，按自动撤回质疑处理。</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3.供应商投诉</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w:t>
      </w:r>
      <w:r>
        <w:rPr>
          <w:rFonts w:hint="eastAsia" w:ascii="宋体" w:hAnsi="宋体" w:cs="宋体"/>
          <w:color w:val="auto"/>
          <w:sz w:val="24"/>
          <w:szCs w:val="24"/>
          <w:highlight w:val="none"/>
          <w:lang w:eastAsia="zh-CN"/>
        </w:rPr>
        <w:t>征集人</w:t>
      </w:r>
      <w:r>
        <w:rPr>
          <w:rFonts w:hint="eastAsia" w:ascii="宋体" w:hAnsi="宋体" w:eastAsia="宋体" w:cs="宋体"/>
          <w:color w:val="auto"/>
          <w:sz w:val="24"/>
          <w:szCs w:val="24"/>
          <w:highlight w:val="none"/>
        </w:rPr>
        <w:t>的质疑答复不满意或者招标</w:t>
      </w:r>
      <w:r>
        <w:rPr>
          <w:rFonts w:hint="eastAsia" w:ascii="宋体" w:hAnsi="宋体" w:cs="宋体"/>
          <w:color w:val="auto"/>
          <w:sz w:val="24"/>
          <w:szCs w:val="24"/>
          <w:highlight w:val="none"/>
          <w:lang w:eastAsia="zh-CN"/>
        </w:rPr>
        <w:t>征集人</w:t>
      </w:r>
      <w:r>
        <w:rPr>
          <w:rFonts w:hint="eastAsia" w:ascii="宋体" w:hAnsi="宋体" w:eastAsia="宋体" w:cs="宋体"/>
          <w:color w:val="auto"/>
          <w:sz w:val="24"/>
          <w:szCs w:val="24"/>
          <w:highlight w:val="none"/>
        </w:rPr>
        <w:t>未在规定时间内做出答复的，可以在答复期满后十五个工作日内向同级政府采购监督管理部门投诉。</w:t>
      </w:r>
    </w:p>
    <w:p>
      <w:pPr>
        <w:pStyle w:val="46"/>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4.供应商质疑、投诉应当有明确的请求和必要的证明材料。供应商投诉的事项不得超出已质疑事项的范围。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ascii="宋体" w:hAnsi="宋体"/>
          <w:color w:val="auto"/>
          <w:sz w:val="24"/>
          <w:highlight w:val="none"/>
        </w:rPr>
        <w:t>质疑受理地点：</w:t>
      </w:r>
      <w:r>
        <w:rPr>
          <w:rFonts w:hint="eastAsia" w:ascii="宋体" w:hAnsi="宋体"/>
          <w:color w:val="auto"/>
          <w:sz w:val="24"/>
          <w:highlight w:val="none"/>
        </w:rPr>
        <w:t>平湖市</w:t>
      </w:r>
      <w:r>
        <w:rPr>
          <w:rFonts w:ascii="宋体" w:hAnsi="宋体"/>
          <w:color w:val="auto"/>
          <w:sz w:val="24"/>
          <w:highlight w:val="none"/>
        </w:rPr>
        <w:t>公共资源交易中心；联系人：</w:t>
      </w:r>
      <w:r>
        <w:rPr>
          <w:rFonts w:hint="eastAsia" w:ascii="宋体" w:hAnsi="宋体"/>
          <w:color w:val="auto"/>
          <w:sz w:val="24"/>
          <w:highlight w:val="none"/>
          <w:u w:val="single"/>
        </w:rPr>
        <w:t>于金成</w:t>
      </w:r>
      <w:r>
        <w:rPr>
          <w:rFonts w:ascii="宋体" w:hAnsi="宋体"/>
          <w:color w:val="auto"/>
          <w:sz w:val="24"/>
          <w:highlight w:val="none"/>
        </w:rPr>
        <w:t>；联系电话：</w:t>
      </w:r>
      <w:r>
        <w:rPr>
          <w:rFonts w:hint="eastAsia" w:ascii="宋体" w:hAnsi="宋体"/>
          <w:color w:val="auto"/>
          <w:sz w:val="24"/>
          <w:highlight w:val="none"/>
          <w:u w:val="single"/>
        </w:rPr>
        <w:t>0573-85631720</w:t>
      </w:r>
      <w:r>
        <w:rPr>
          <w:rFonts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ascii="宋体" w:hAnsi="宋体"/>
          <w:color w:val="auto"/>
          <w:sz w:val="24"/>
          <w:highlight w:val="none"/>
        </w:rPr>
        <w:t>投诉受理地点：</w:t>
      </w:r>
      <w:r>
        <w:rPr>
          <w:rFonts w:hint="eastAsia" w:ascii="宋体" w:hAnsi="宋体"/>
          <w:color w:val="auto"/>
          <w:sz w:val="24"/>
          <w:highlight w:val="none"/>
        </w:rPr>
        <w:t>平湖市</w:t>
      </w:r>
      <w:r>
        <w:rPr>
          <w:rFonts w:ascii="宋体" w:hAnsi="宋体"/>
          <w:color w:val="auto"/>
          <w:sz w:val="24"/>
          <w:highlight w:val="none"/>
        </w:rPr>
        <w:t>财政局；联系人：</w:t>
      </w:r>
      <w:r>
        <w:rPr>
          <w:rFonts w:hint="eastAsia" w:ascii="宋体" w:hAnsi="宋体"/>
          <w:color w:val="auto"/>
          <w:sz w:val="24"/>
          <w:highlight w:val="none"/>
          <w:u w:val="single"/>
        </w:rPr>
        <w:t>陆先生</w:t>
      </w:r>
      <w:r>
        <w:rPr>
          <w:rFonts w:ascii="宋体" w:hAnsi="宋体"/>
          <w:color w:val="auto"/>
          <w:sz w:val="24"/>
          <w:highlight w:val="none"/>
        </w:rPr>
        <w:t>；联系电话：</w:t>
      </w:r>
      <w:r>
        <w:rPr>
          <w:rFonts w:hint="eastAsia" w:ascii="宋体" w:hAnsi="宋体"/>
          <w:color w:val="auto"/>
          <w:sz w:val="24"/>
          <w:highlight w:val="none"/>
          <w:u w:val="single"/>
        </w:rPr>
        <w:t xml:space="preserve">0573-85013033 </w:t>
      </w:r>
      <w:r>
        <w:rPr>
          <w:rFonts w:ascii="宋体" w:hAnsi="宋体"/>
          <w:color w:val="auto"/>
          <w:sz w:val="24"/>
          <w:highlight w:val="none"/>
        </w:rPr>
        <w:t>。</w:t>
      </w:r>
    </w:p>
    <w:bookmarkEnd w:id="47"/>
    <w:bookmarkEnd w:id="48"/>
    <w:bookmarkEnd w:id="49"/>
    <w:p>
      <w:pPr>
        <w:pStyle w:val="17"/>
        <w:keepNext w:val="0"/>
        <w:keepLines w:val="0"/>
        <w:pageBreakBefore w:val="0"/>
        <w:widowControl w:val="0"/>
        <w:kinsoku/>
        <w:wordWrap/>
        <w:overflowPunct/>
        <w:topLinePunct w:val="0"/>
        <w:autoSpaceDE/>
        <w:autoSpaceDN/>
        <w:bidi w:val="0"/>
        <w:snapToGrid w:val="0"/>
        <w:spacing w:beforeLines="0" w:afterLines="0"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二、征集文件</w:t>
      </w:r>
    </w:p>
    <w:p>
      <w:pPr>
        <w:pStyle w:val="17"/>
        <w:keepNext w:val="0"/>
        <w:keepLines w:val="0"/>
        <w:pageBreakBefore w:val="0"/>
        <w:widowControl w:val="0"/>
        <w:kinsoku/>
        <w:wordWrap/>
        <w:overflowPunct/>
        <w:topLinePunct w:val="0"/>
        <w:autoSpaceDE/>
        <w:autoSpaceDN/>
        <w:bidi w:val="0"/>
        <w:snapToGrid w:val="0"/>
        <w:spacing w:beforeLines="0" w:afterLines="0"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征集文件</w:t>
      </w:r>
      <w:r>
        <w:rPr>
          <w:rFonts w:hint="eastAsia" w:ascii="宋体" w:hAnsi="宋体" w:eastAsia="宋体" w:cs="宋体"/>
          <w:b/>
          <w:color w:val="auto"/>
          <w:sz w:val="24"/>
          <w:szCs w:val="24"/>
          <w:highlight w:val="none"/>
        </w:rPr>
        <w:t>的构成</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目录所列的全部内容及在招标过程中发出的修正和补充文件组成。</w:t>
      </w:r>
    </w:p>
    <w:p>
      <w:pPr>
        <w:pageBreakBefore w:val="0"/>
        <w:widowControl w:val="0"/>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的风险</w:t>
      </w:r>
    </w:p>
    <w:p>
      <w:pPr>
        <w:pStyle w:val="26"/>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w:t>
      </w:r>
      <w:r>
        <w:rPr>
          <w:rFonts w:hint="eastAsia" w:asci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要求提供全部资料，或者</w:t>
      </w:r>
      <w:r>
        <w:rPr>
          <w:rFonts w:hint="eastAsia" w:asci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没有对</w:t>
      </w:r>
      <w:r>
        <w:rPr>
          <w:rFonts w:hint="eastAsia" w:ascii="宋体" w:eastAsia="宋体" w:cs="宋体"/>
          <w:color w:val="auto"/>
          <w:sz w:val="24"/>
          <w:szCs w:val="24"/>
          <w:highlight w:val="none"/>
          <w:lang w:eastAsia="zh-CN"/>
        </w:rPr>
        <w:t>征集文件</w:t>
      </w:r>
      <w:r>
        <w:rPr>
          <w:rFonts w:hint="eastAsia" w:ascii="宋体" w:hAnsi="宋体" w:eastAsia="宋体" w:cs="宋体"/>
          <w:color w:val="auto"/>
          <w:sz w:val="24"/>
          <w:szCs w:val="24"/>
          <w:highlight w:val="none"/>
        </w:rPr>
        <w:t>在各方面做出实质性响应是</w:t>
      </w:r>
      <w:r>
        <w:rPr>
          <w:rFonts w:hint="eastAsia" w:asci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的风险，并可能导致其投标无效。</w:t>
      </w:r>
    </w:p>
    <w:p>
      <w:pPr>
        <w:pStyle w:val="7"/>
        <w:pageBreakBefore w:val="0"/>
        <w:widowControl w:val="0"/>
        <w:numPr>
          <w:ilvl w:val="0"/>
          <w:numId w:val="0"/>
        </w:numPr>
        <w:tabs>
          <w:tab w:val="left" w:pos="454"/>
          <w:tab w:val="left" w:pos="720"/>
          <w:tab w:val="left" w:pos="900"/>
          <w:tab w:val="clear" w:pos="360"/>
        </w:tabs>
        <w:kinsoku/>
        <w:wordWrap/>
        <w:overflowPunct/>
        <w:topLinePunct w:val="0"/>
        <w:autoSpaceDE/>
        <w:autoSpaceDN/>
        <w:bidi w:val="0"/>
        <w:snapToGrid w:val="0"/>
        <w:spacing w:line="360" w:lineRule="auto"/>
        <w:ind w:left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征集文件</w:t>
      </w:r>
      <w:r>
        <w:rPr>
          <w:rFonts w:hint="eastAsia" w:ascii="宋体" w:hAnsi="宋体" w:eastAsia="宋体" w:cs="宋体"/>
          <w:b/>
          <w:color w:val="auto"/>
          <w:sz w:val="24"/>
          <w:szCs w:val="24"/>
          <w:highlight w:val="none"/>
        </w:rPr>
        <w:t xml:space="preserve">的澄清与修改 </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应认真阅读本</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，发现其中有误或有不合理要求的</w:t>
      </w:r>
      <w:r>
        <w:rPr>
          <w:rFonts w:hint="eastAsia" w:hAnsi="宋体" w:cs="宋体"/>
          <w:color w:val="auto"/>
          <w:sz w:val="24"/>
          <w:szCs w:val="24"/>
          <w:highlight w:val="none"/>
          <w:lang w:eastAsia="zh-CN"/>
        </w:rPr>
        <w:t>，供应商可在获取征集文件之日或者征集文件公告期限届满之日（公告期限届满后获取征集文件的，以公告期限届满之日为准）起7个工作日内以书面形式向招标人</w:t>
      </w:r>
      <w:r>
        <w:rPr>
          <w:rFonts w:hint="eastAsia" w:ascii="宋体" w:hAnsi="宋体" w:eastAsia="宋体" w:cs="宋体"/>
          <w:color w:val="auto"/>
          <w:sz w:val="24"/>
          <w:szCs w:val="24"/>
          <w:highlight w:val="none"/>
        </w:rPr>
        <w:t>一次性提出</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采购代理机构对已发出的</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进行必要澄清、答复、修改或补充的，应当在</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要求提交</w:t>
      </w:r>
      <w:r>
        <w:rPr>
          <w:rFonts w:hint="eastAsia"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截止时间十五日前，在浙江政府采购网(</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"http://zfcg.czt.zj.gov.cn" </w:instrText>
      </w:r>
      <w:r>
        <w:rPr>
          <w:rFonts w:hint="eastAsia" w:ascii="宋体" w:hAnsi="宋体" w:eastAsia="宋体" w:cs="宋体"/>
          <w:color w:val="auto"/>
          <w:sz w:val="24"/>
          <w:szCs w:val="24"/>
          <w:highlight w:val="none"/>
          <w:u w:val="none"/>
        </w:rPr>
        <w:fldChar w:fldCharType="separate"/>
      </w:r>
      <w:r>
        <w:rPr>
          <w:rStyle w:val="32"/>
          <w:rFonts w:hint="eastAsia" w:ascii="宋体" w:hAnsi="宋体" w:eastAsia="宋体" w:cs="宋体"/>
          <w:color w:val="auto"/>
          <w:sz w:val="24"/>
          <w:szCs w:val="24"/>
          <w:highlight w:val="none"/>
          <w:u w:val="none"/>
        </w:rPr>
        <w:t>http://zfcg.czt.zj.gov.cn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)和平湖市公共资源交易中心网（http://jxszwsjb.jiaxing.gov.cn/col/col1229743843/index.html）上发布更正公告，请</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在投标截止前及时关注。</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的澄清、答复、修改或补充，一经在上述媒体发布，即视所有</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都已经收到相关文件。                                                                                                                   </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2.采购代理机构必须以书面形式答复</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要求澄清的问题，并将不包含问题来源的答复书面通知所有获取</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；除书面答复以外的其他澄清方式及澄清内容均无效。</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澄清、答复、修改、补充的内容为</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的组成部分。当</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与</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的答复、澄清、修改、补充通知就同一内容的表述不一致时，以最后发出的书面文件为准。</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的澄清、答复、修改或补充都应该通过本代理机构以法定形式发布，</w:t>
      </w:r>
      <w:r>
        <w:rPr>
          <w:rFonts w:hint="eastAsia" w:hAnsi="宋体" w:cs="宋体"/>
          <w:color w:val="auto"/>
          <w:sz w:val="24"/>
          <w:szCs w:val="24"/>
          <w:highlight w:val="none"/>
          <w:lang w:eastAsia="zh-CN"/>
        </w:rPr>
        <w:t>征集人</w:t>
      </w:r>
      <w:r>
        <w:rPr>
          <w:rFonts w:hint="eastAsia" w:ascii="宋体" w:hAnsi="宋体" w:eastAsia="宋体" w:cs="宋体"/>
          <w:color w:val="auto"/>
          <w:sz w:val="24"/>
          <w:szCs w:val="24"/>
          <w:highlight w:val="none"/>
        </w:rPr>
        <w:t>非通过本机构，不得擅自澄清、答复、修改或补充</w:t>
      </w:r>
      <w:r>
        <w:rPr>
          <w:rFonts w:hint="eastAsia" w:hAnsi="宋体" w:cs="宋体"/>
          <w:color w:val="auto"/>
          <w:sz w:val="24"/>
          <w:szCs w:val="24"/>
          <w:highlight w:val="none"/>
          <w:lang w:eastAsia="zh-CN"/>
        </w:rPr>
        <w:t>征集文件</w:t>
      </w:r>
      <w:r>
        <w:rPr>
          <w:rFonts w:hint="eastAsia" w:ascii="宋体" w:hAnsi="宋体" w:eastAsia="宋体" w:cs="宋体"/>
          <w:color w:val="auto"/>
          <w:sz w:val="24"/>
          <w:szCs w:val="24"/>
          <w:highlight w:val="none"/>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kern w:val="2"/>
          <w:sz w:val="24"/>
          <w:szCs w:val="24"/>
          <w:highlight w:val="none"/>
          <w:lang w:val="en-US" w:eastAsia="zh-CN" w:bidi="ar-SA"/>
        </w:rPr>
        <w:t>三、响应文件的编制</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本项目所涉响应文件格式请详见第六章，未给出的格式请自拟。   </w:t>
      </w:r>
    </w:p>
    <w:p>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注：电子响应文件按政采云平台供应商电子招投标操作指南及本征集文件规定的格式和顺序编制电子响应文件并进行关联。建议根据征集文件合格供应商的资格要求、响应文件的编制及评分标准等内容一一关联。</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路径：浙江省“项目采购电子交易系统/不见面开评审”学习专题-操作指南-供应商，网址：</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https://service.zcygov.cn/#/knowledges/mes9OIIBHIbaMkgReWWa/u_gERIMBHIbaMkgRDWA2?keyword=%E6%A1%86%E6%9E%B6%E5%8D%8F%E8%AE%AE</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总体要求：</w:t>
      </w:r>
    </w:p>
    <w:p>
      <w:pPr>
        <w:spacing w:line="360" w:lineRule="auto"/>
        <w:ind w:firstLine="480" w:firstLineChars="200"/>
        <w:rPr>
          <w:rFonts w:ascii="宋体" w:hAnsi="宋体"/>
          <w:highlight w:val="none"/>
        </w:rPr>
      </w:pPr>
      <w:r>
        <w:rPr>
          <w:rFonts w:hint="eastAsia" w:ascii="宋体" w:hAnsi="宋体"/>
          <w:highlight w:val="none"/>
        </w:rPr>
        <w:t xml:space="preserve">1.供应商应仔细阅读征集文件的所有内容，按本文件的要求提供响应文件，并保证所提供的全部资料的真实性，以使其响应文件对征集文件作出实质性响应，否则，响应文件可能视为无效响应文件。 </w:t>
      </w:r>
    </w:p>
    <w:p>
      <w:pPr>
        <w:spacing w:line="360" w:lineRule="auto"/>
        <w:ind w:firstLine="480" w:firstLineChars="200"/>
        <w:rPr>
          <w:rFonts w:ascii="宋体" w:hAnsi="宋体"/>
          <w:highlight w:val="none"/>
        </w:rPr>
      </w:pPr>
      <w:r>
        <w:rPr>
          <w:rFonts w:hint="eastAsia" w:ascii="宋体" w:hAnsi="宋体"/>
          <w:highlight w:val="none"/>
        </w:rPr>
        <w:t>2.响应文件及供应商与采购有关的来往通知，函件和文件均应使用中文。</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highlight w:val="none"/>
        </w:rPr>
        <w:t>3.供应商应按本文件中提供的文件格式、内容和要求制作响应文件</w:t>
      </w:r>
      <w:r>
        <w:rPr>
          <w:rFonts w:hint="eastAsia" w:ascii="宋体" w:hAnsi="宋体"/>
          <w:b/>
          <w:highlight w:val="none"/>
        </w:rPr>
        <w:t>。</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在电子</w:t>
      </w:r>
      <w:r>
        <w:rPr>
          <w:rFonts w:hint="eastAsia" w:ascii="宋体" w:hAnsi="宋体" w:cs="宋体"/>
          <w:b/>
          <w:color w:val="auto"/>
          <w:sz w:val="24"/>
          <w:szCs w:val="24"/>
          <w:highlight w:val="none"/>
          <w:lang w:eastAsia="zh-CN"/>
        </w:rPr>
        <w:t>响应文件</w:t>
      </w:r>
      <w:r>
        <w:rPr>
          <w:rFonts w:hint="eastAsia" w:ascii="宋体" w:hAnsi="宋体" w:eastAsia="宋体" w:cs="宋体"/>
          <w:b/>
          <w:color w:val="auto"/>
          <w:sz w:val="24"/>
          <w:szCs w:val="24"/>
          <w:highlight w:val="none"/>
        </w:rPr>
        <w:t>中所有需要加盖公章的均采用CA签章。</w:t>
      </w:r>
    </w:p>
    <w:p>
      <w:pPr>
        <w:pageBreakBefore w:val="0"/>
        <w:widowControl w:val="0"/>
        <w:kinsoku/>
        <w:wordWrap/>
        <w:overflowPunct/>
        <w:topLinePunct w:val="0"/>
        <w:autoSpaceDE/>
        <w:autoSpaceDN/>
        <w:bidi w:val="0"/>
        <w:snapToGrid w:val="0"/>
        <w:spacing w:line="360" w:lineRule="auto"/>
        <w:ind w:firstLine="482" w:firstLineChars="200"/>
        <w:jc w:val="left"/>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的组成</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由资格文件、商务技术文件、报价文件组成。</w:t>
      </w:r>
    </w:p>
    <w:p>
      <w:pPr>
        <w:pStyle w:val="17"/>
        <w:pageBreakBefore w:val="0"/>
        <w:widowControl w:val="0"/>
        <w:kinsoku/>
        <w:wordWrap/>
        <w:overflowPunct/>
        <w:topLinePunct w:val="0"/>
        <w:autoSpaceDE/>
        <w:autoSpaceDN/>
        <w:bidi w:val="0"/>
        <w:snapToGrid w:val="0"/>
        <w:spacing w:beforeLines="0" w:afterLines="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1.资格文件：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（1）投标声明书（格式见附件）；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（2）法定代表人有效身份证件复印件或者法定代表人授权委托书（复印件，格式见附件）；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（3）企业（法人）营业执照复印件；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（4）符合参加政府采购活动应当具备的一般条件的承诺函（格式见附件）；</w:t>
      </w:r>
    </w:p>
    <w:p>
      <w:pPr>
        <w:spacing w:line="360" w:lineRule="auto"/>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（5）中小企业声明函等承诺函（格式见附件）</w:t>
      </w:r>
      <w:r>
        <w:rPr>
          <w:rFonts w:hint="eastAsia" w:ascii="宋体" w:hAnsi="宋体"/>
          <w:color w:val="auto"/>
          <w:kern w:val="0"/>
          <w:sz w:val="24"/>
          <w:highlight w:val="none"/>
          <w:lang w:eastAsia="zh-CN"/>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）落实政府采购政策需满足的资格要求。                     </w:t>
      </w:r>
    </w:p>
    <w:p>
      <w:pPr>
        <w:pStyle w:val="17"/>
        <w:pageBreakBefore w:val="0"/>
        <w:widowControl w:val="0"/>
        <w:kinsoku/>
        <w:wordWrap/>
        <w:overflowPunct/>
        <w:topLinePunct w:val="0"/>
        <w:autoSpaceDE/>
        <w:autoSpaceDN/>
        <w:bidi w:val="0"/>
        <w:snapToGrid w:val="0"/>
        <w:spacing w:beforeLines="0" w:afterLines="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2.商务技术文件: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基本情况介绍（格式见附件）；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）诚信承诺书</w:t>
      </w:r>
      <w:r>
        <w:rPr>
          <w:rFonts w:hint="eastAsia" w:ascii="宋体" w:hAnsi="宋体" w:eastAsia="宋体" w:cs="宋体"/>
          <w:color w:val="auto"/>
          <w:sz w:val="24"/>
          <w:szCs w:val="24"/>
          <w:highlight w:val="none"/>
        </w:rPr>
        <w:t>（格式见附件）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（3）所有荣誉证书、资质文件等（复印件）；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商务响应表（格式见附件）；                                                                                                                                                                                                                                                                                                                                                                                                                                                                                                                                                                                                                                                                                                                                                                                                                                                                                                                                                                                                                                                                                                                                                                                                                                                                                                                                                                                                                                                                                                                                                                                                                                                                                                                                                                                                                                                                                                                                                                                                                                                                                                                                                                                                                                                                                                                                                                                                                                                                                                                                                                                                                                                                                                                                                                                                                                                                                                                                                                                                                                                                                                                                                                                                                                                                                                                                                                                                                                                                                                                                                                                                                                                                                                                                                                                                                                                                                                                                                                                                                                                                                                                                                                                                   </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）拟派团队</w:t>
      </w:r>
      <w:r>
        <w:rPr>
          <w:rFonts w:hint="eastAsia" w:hAnsi="宋体" w:cs="宋体"/>
          <w:color w:val="auto"/>
          <w:sz w:val="24"/>
          <w:szCs w:val="24"/>
          <w:highlight w:val="none"/>
          <w:lang w:val="zh-CN"/>
        </w:rPr>
        <w:t>负责人简历表</w:t>
      </w:r>
      <w:r>
        <w:rPr>
          <w:rFonts w:hint="eastAsia" w:ascii="宋体" w:hAnsi="宋体" w:eastAsia="宋体" w:cs="宋体"/>
          <w:color w:val="auto"/>
          <w:sz w:val="24"/>
          <w:szCs w:val="24"/>
          <w:highlight w:val="none"/>
          <w:lang w:val="zh-CN"/>
        </w:rPr>
        <w:t>（格式见附件）；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）拟派</w:t>
      </w:r>
      <w:r>
        <w:rPr>
          <w:rFonts w:hint="eastAsia" w:hAnsi="宋体" w:cs="宋体"/>
          <w:color w:val="auto"/>
          <w:sz w:val="24"/>
          <w:szCs w:val="24"/>
          <w:highlight w:val="none"/>
          <w:lang w:val="zh-CN"/>
        </w:rPr>
        <w:t>项目</w:t>
      </w:r>
      <w:r>
        <w:rPr>
          <w:rFonts w:hint="eastAsia" w:ascii="宋体" w:hAnsi="宋体" w:eastAsia="宋体" w:cs="宋体"/>
          <w:color w:val="auto"/>
          <w:sz w:val="24"/>
          <w:szCs w:val="24"/>
          <w:highlight w:val="none"/>
          <w:lang w:val="zh-CN"/>
        </w:rPr>
        <w:t>团队</w:t>
      </w:r>
      <w:r>
        <w:rPr>
          <w:rFonts w:hint="eastAsia" w:hAnsi="宋体" w:cs="宋体"/>
          <w:color w:val="auto"/>
          <w:sz w:val="24"/>
          <w:szCs w:val="24"/>
          <w:highlight w:val="none"/>
          <w:lang w:val="zh-CN"/>
        </w:rPr>
        <w:t>组成员基本情况表</w:t>
      </w:r>
      <w:r>
        <w:rPr>
          <w:rFonts w:hint="eastAsia" w:ascii="宋体" w:hAnsi="宋体" w:eastAsia="宋体" w:cs="宋体"/>
          <w:color w:val="auto"/>
          <w:sz w:val="24"/>
          <w:szCs w:val="24"/>
          <w:highlight w:val="none"/>
          <w:lang w:val="zh-CN"/>
        </w:rPr>
        <w:t>（格式见附件）；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）拟派</w:t>
      </w:r>
      <w:r>
        <w:rPr>
          <w:rFonts w:hint="eastAsia" w:hAnsi="宋体" w:cs="宋体"/>
          <w:color w:val="auto"/>
          <w:sz w:val="24"/>
          <w:szCs w:val="24"/>
          <w:highlight w:val="none"/>
          <w:lang w:val="zh-CN"/>
        </w:rPr>
        <w:t>项目</w:t>
      </w:r>
      <w:r>
        <w:rPr>
          <w:rFonts w:hint="eastAsia" w:ascii="宋体" w:hAnsi="宋体" w:eastAsia="宋体" w:cs="宋体"/>
          <w:color w:val="auto"/>
          <w:sz w:val="24"/>
          <w:szCs w:val="24"/>
          <w:highlight w:val="none"/>
          <w:lang w:val="zh-CN"/>
        </w:rPr>
        <w:t>团队</w:t>
      </w:r>
      <w:r>
        <w:rPr>
          <w:rFonts w:hint="eastAsia" w:hAnsi="宋体" w:cs="宋体"/>
          <w:color w:val="auto"/>
          <w:sz w:val="24"/>
          <w:szCs w:val="24"/>
          <w:highlight w:val="none"/>
          <w:lang w:val="zh-CN"/>
        </w:rPr>
        <w:t>组成员工作经验一览表</w:t>
      </w:r>
      <w:r>
        <w:rPr>
          <w:rFonts w:hint="eastAsia" w:ascii="宋体" w:hAnsi="宋体" w:eastAsia="宋体" w:cs="宋体"/>
          <w:color w:val="auto"/>
          <w:sz w:val="24"/>
          <w:szCs w:val="24"/>
          <w:highlight w:val="none"/>
          <w:lang w:val="zh-CN"/>
        </w:rPr>
        <w:t>（格式见附件）；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）审核方案；</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）审核服务质量控制措施；</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）审核服务进度控制机制</w:t>
      </w:r>
      <w:r>
        <w:rPr>
          <w:rFonts w:hint="eastAsia" w:hAnsi="宋体" w:cs="宋体"/>
          <w:color w:val="auto"/>
          <w:sz w:val="24"/>
          <w:szCs w:val="24"/>
          <w:highlight w:val="none"/>
          <w:lang w:val="zh-CN"/>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 xml:space="preserve">）审核服务实施方案； </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hAnsi="宋体" w:cs="宋体"/>
          <w:color w:val="auto"/>
          <w:sz w:val="24"/>
          <w:szCs w:val="24"/>
          <w:highlight w:val="none"/>
          <w:lang w:val="zh-CN"/>
        </w:rPr>
      </w:pPr>
      <w:r>
        <w:rPr>
          <w:rFonts w:hint="eastAsia" w:hAnsi="宋体" w:cs="宋体"/>
          <w:color w:val="auto"/>
          <w:sz w:val="24"/>
          <w:szCs w:val="24"/>
          <w:highlight w:val="none"/>
          <w:lang w:val="zh-CN"/>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val="zh-CN"/>
        </w:rPr>
        <w:t>）应急预案；</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hAnsi="宋体" w:cs="宋体"/>
          <w:color w:val="auto"/>
          <w:sz w:val="24"/>
          <w:szCs w:val="24"/>
          <w:highlight w:val="none"/>
          <w:lang w:val="zh-CN" w:eastAsia="zh-CN"/>
        </w:rPr>
      </w:pPr>
      <w:r>
        <w:rPr>
          <w:rFonts w:hint="eastAsia" w:hAnsi="宋体" w:cs="宋体"/>
          <w:color w:val="auto"/>
          <w:sz w:val="24"/>
          <w:szCs w:val="24"/>
          <w:highlight w:val="none"/>
          <w:lang w:val="zh-CN" w:eastAsia="zh-CN"/>
        </w:rPr>
        <w:t>（</w:t>
      </w:r>
      <w:r>
        <w:rPr>
          <w:rFonts w:hint="eastAsia" w:hAnsi="宋体" w:cs="宋体"/>
          <w:color w:val="auto"/>
          <w:sz w:val="24"/>
          <w:szCs w:val="24"/>
          <w:highlight w:val="none"/>
          <w:lang w:val="en-US" w:eastAsia="zh-CN"/>
        </w:rPr>
        <w:t>13</w:t>
      </w:r>
      <w:r>
        <w:rPr>
          <w:rFonts w:hint="eastAsia" w:hAnsi="宋体" w:cs="宋体"/>
          <w:color w:val="auto"/>
          <w:sz w:val="24"/>
          <w:szCs w:val="24"/>
          <w:highlight w:val="none"/>
          <w:lang w:val="zh-CN" w:eastAsia="zh-CN"/>
        </w:rPr>
        <w:t>）服务能力；</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hAnsi="宋体" w:cs="宋体"/>
          <w:color w:val="auto"/>
          <w:sz w:val="24"/>
          <w:szCs w:val="24"/>
          <w:highlight w:val="none"/>
          <w:lang w:val="zh-CN" w:eastAsia="zh-CN"/>
        </w:rPr>
      </w:pPr>
      <w:r>
        <w:rPr>
          <w:rFonts w:hint="eastAsia" w:hAnsi="宋体" w:cs="宋体"/>
          <w:color w:val="auto"/>
          <w:sz w:val="24"/>
          <w:szCs w:val="24"/>
          <w:highlight w:val="none"/>
          <w:lang w:val="zh-CN" w:eastAsia="zh-CN"/>
        </w:rPr>
        <w:t>（</w:t>
      </w:r>
      <w:r>
        <w:rPr>
          <w:rFonts w:hint="eastAsia" w:hAnsi="宋体" w:cs="宋体"/>
          <w:color w:val="auto"/>
          <w:sz w:val="24"/>
          <w:szCs w:val="24"/>
          <w:highlight w:val="none"/>
          <w:lang w:val="en-US" w:eastAsia="zh-CN"/>
        </w:rPr>
        <w:t>14</w:t>
      </w:r>
      <w:r>
        <w:rPr>
          <w:rFonts w:hint="eastAsia"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响应时间</w:t>
      </w:r>
      <w:r>
        <w:rPr>
          <w:rFonts w:hint="eastAsia" w:hAnsi="宋体" w:cs="宋体"/>
          <w:color w:val="auto"/>
          <w:sz w:val="24"/>
          <w:szCs w:val="24"/>
          <w:highlight w:val="none"/>
          <w:lang w:val="zh-CN"/>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hAnsi="宋体" w:cs="宋体"/>
          <w:color w:val="auto"/>
          <w:sz w:val="24"/>
          <w:szCs w:val="24"/>
          <w:highlight w:val="none"/>
          <w:lang w:val="zh-CN"/>
        </w:rPr>
      </w:pPr>
      <w:r>
        <w:rPr>
          <w:rFonts w:hint="eastAsia" w:hAnsi="宋体" w:cs="宋体"/>
          <w:color w:val="auto"/>
          <w:sz w:val="24"/>
          <w:szCs w:val="24"/>
          <w:highlight w:val="none"/>
          <w:lang w:val="zh-CN"/>
        </w:rPr>
        <w:t>（1</w:t>
      </w:r>
      <w:r>
        <w:rPr>
          <w:rFonts w:hint="eastAsia" w:hAnsi="宋体" w:cs="宋体"/>
          <w:color w:val="auto"/>
          <w:sz w:val="24"/>
          <w:szCs w:val="24"/>
          <w:highlight w:val="none"/>
          <w:lang w:val="en-US" w:eastAsia="zh-CN"/>
        </w:rPr>
        <w:t>5</w:t>
      </w:r>
      <w:r>
        <w:rPr>
          <w:rFonts w:hint="eastAsia" w:hAnsi="宋体" w:cs="宋体"/>
          <w:color w:val="auto"/>
          <w:sz w:val="24"/>
          <w:szCs w:val="24"/>
          <w:highlight w:val="none"/>
          <w:lang w:val="zh-CN"/>
        </w:rPr>
        <w:t>）</w:t>
      </w:r>
      <w:r>
        <w:rPr>
          <w:rFonts w:hint="eastAsia" w:ascii="宋体" w:hAnsi="宋体" w:eastAsia="宋体" w:cs="宋体"/>
          <w:color w:val="auto"/>
          <w:sz w:val="24"/>
          <w:szCs w:val="24"/>
          <w:highlight w:val="none"/>
          <w:lang w:val="zh-CN"/>
        </w:rPr>
        <w:t>廉政措施</w:t>
      </w:r>
      <w:r>
        <w:rPr>
          <w:rFonts w:hint="eastAsia" w:hAnsi="宋体" w:cs="宋体"/>
          <w:color w:val="auto"/>
          <w:sz w:val="24"/>
          <w:szCs w:val="24"/>
          <w:highlight w:val="none"/>
          <w:lang w:val="zh-CN"/>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zh-CN"/>
        </w:rPr>
        <w:t>保密制度</w:t>
      </w:r>
      <w:r>
        <w:rPr>
          <w:rFonts w:hint="eastAsia" w:ascii="宋体" w:hAnsi="宋体" w:eastAsia="宋体" w:cs="宋体"/>
          <w:color w:val="auto"/>
          <w:sz w:val="24"/>
          <w:szCs w:val="24"/>
          <w:highlight w:val="none"/>
          <w:lang w:val="zh-CN"/>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zh-CN"/>
        </w:rPr>
        <w:t>）</w:t>
      </w:r>
      <w:r>
        <w:rPr>
          <w:rFonts w:hint="eastAsia" w:hAnsi="宋体" w:cs="宋体"/>
          <w:color w:val="auto"/>
          <w:sz w:val="24"/>
          <w:szCs w:val="24"/>
          <w:highlight w:val="none"/>
          <w:lang w:val="zh-CN"/>
        </w:rPr>
        <w:t>合理化建议</w:t>
      </w:r>
      <w:r>
        <w:rPr>
          <w:rFonts w:hint="eastAsia" w:ascii="宋体" w:hAnsi="宋体" w:eastAsia="宋体" w:cs="宋体"/>
          <w:color w:val="auto"/>
          <w:sz w:val="24"/>
          <w:szCs w:val="24"/>
          <w:highlight w:val="none"/>
          <w:lang w:val="zh-CN"/>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）承诺误差率</w:t>
      </w:r>
      <w:r>
        <w:rPr>
          <w:rFonts w:hint="eastAsia" w:ascii="宋体" w:hAnsi="宋体" w:eastAsia="宋体" w:cs="宋体"/>
          <w:color w:val="auto"/>
          <w:sz w:val="24"/>
          <w:szCs w:val="24"/>
          <w:highlight w:val="none"/>
        </w:rPr>
        <w:t>；</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认为需要的其他商务技术文件或说明。</w:t>
      </w:r>
    </w:p>
    <w:p>
      <w:pPr>
        <w:pStyle w:val="17"/>
        <w:pageBreakBefore w:val="0"/>
        <w:widowControl w:val="0"/>
        <w:kinsoku/>
        <w:wordWrap/>
        <w:overflowPunct/>
        <w:topLinePunct w:val="0"/>
        <w:autoSpaceDE/>
        <w:autoSpaceDN/>
        <w:bidi w:val="0"/>
        <w:snapToGrid w:val="0"/>
        <w:spacing w:beforeLines="0" w:afterLines="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3.投标报价文件：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（1）投标函（格式见附件）； </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w:t>
      </w:r>
      <w:r>
        <w:rPr>
          <w:rFonts w:hint="eastAsia" w:hAnsi="宋体" w:cs="宋体"/>
          <w:color w:val="auto"/>
          <w:sz w:val="24"/>
          <w:szCs w:val="24"/>
          <w:highlight w:val="none"/>
          <w:lang w:eastAsia="zh-CN"/>
        </w:rPr>
        <w:t>一览表</w:t>
      </w:r>
      <w:r>
        <w:rPr>
          <w:rFonts w:hint="eastAsia" w:ascii="宋体" w:hAnsi="宋体" w:eastAsia="宋体" w:cs="宋体"/>
          <w:color w:val="auto"/>
          <w:sz w:val="24"/>
          <w:szCs w:val="24"/>
          <w:highlight w:val="none"/>
        </w:rPr>
        <w:t>（格式见附件）；</w:t>
      </w:r>
    </w:p>
    <w:p>
      <w:pPr>
        <w:pStyle w:val="17"/>
        <w:pageBreakBefore w:val="0"/>
        <w:widowControl w:val="0"/>
        <w:kinsoku/>
        <w:wordWrap/>
        <w:overflowPunct/>
        <w:topLinePunct w:val="0"/>
        <w:autoSpaceDE/>
        <w:autoSpaceDN/>
        <w:bidi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针对报价需要说明的其他文件和说明。</w:t>
      </w:r>
    </w:p>
    <w:p>
      <w:pPr>
        <w:pageBreakBefore w:val="0"/>
        <w:widowControl w:val="0"/>
        <w:kinsoku/>
        <w:wordWrap/>
        <w:overflowPunct/>
        <w:topLinePunct w:val="0"/>
        <w:autoSpaceDE/>
        <w:autoSpaceDN/>
        <w:bidi w:val="0"/>
        <w:snapToGrid w:val="0"/>
        <w:spacing w:line="360" w:lineRule="auto"/>
        <w:ind w:firstLine="480" w:firstLineChars="200"/>
        <w:jc w:val="left"/>
        <w:textAlignment w:val="auto"/>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投标声明书、法定代表人授权委托书、投标函、</w:t>
      </w:r>
      <w:r>
        <w:rPr>
          <w:rFonts w:hint="eastAsia" w:ascii="宋体" w:hAnsi="宋体" w:cs="宋体"/>
          <w:b/>
          <w:color w:val="auto"/>
          <w:sz w:val="24"/>
          <w:szCs w:val="24"/>
          <w:highlight w:val="none"/>
          <w:lang w:eastAsia="zh-CN"/>
        </w:rPr>
        <w:t>报价</w:t>
      </w:r>
      <w:r>
        <w:rPr>
          <w:rFonts w:hint="eastAsia" w:ascii="宋体" w:hAnsi="宋体" w:eastAsia="宋体" w:cs="宋体"/>
          <w:b/>
          <w:color w:val="auto"/>
          <w:sz w:val="24"/>
          <w:szCs w:val="24"/>
          <w:highlight w:val="none"/>
        </w:rPr>
        <w:t>一览表必须由法定代表人或委托代理人签名（或签章）并加盖单位公章。</w:t>
      </w:r>
    </w:p>
    <w:bookmarkEnd w:id="38"/>
    <w:bookmarkEnd w:id="39"/>
    <w:bookmarkEnd w:id="40"/>
    <w:p>
      <w:pPr>
        <w:snapToGrid w:val="0"/>
        <w:spacing w:line="360" w:lineRule="auto"/>
        <w:ind w:firstLine="472" w:firstLineChars="196"/>
        <w:jc w:val="left"/>
        <w:outlineLvl w:val="2"/>
        <w:rPr>
          <w:rFonts w:ascii="宋体" w:hAnsi="宋体"/>
          <w:b/>
          <w:highlight w:val="none"/>
        </w:rPr>
      </w:pPr>
      <w:r>
        <w:rPr>
          <w:rFonts w:hint="eastAsia" w:ascii="宋体" w:hAnsi="宋体"/>
          <w:b/>
          <w:highlight w:val="none"/>
        </w:rPr>
        <w:t>（二）</w:t>
      </w:r>
      <w:r>
        <w:rPr>
          <w:rFonts w:hint="eastAsia" w:ascii="宋体" w:hAnsi="宋体"/>
          <w:b/>
          <w:bCs/>
          <w:highlight w:val="none"/>
        </w:rPr>
        <w:t>响应文件的编制</w:t>
      </w:r>
    </w:p>
    <w:p>
      <w:pPr>
        <w:snapToGrid w:val="0"/>
        <w:spacing w:line="360" w:lineRule="auto"/>
        <w:ind w:firstLine="480" w:firstLineChars="200"/>
        <w:rPr>
          <w:rFonts w:ascii="宋体" w:hAnsi="宋体"/>
          <w:highlight w:val="none"/>
        </w:rPr>
      </w:pPr>
      <w:r>
        <w:rPr>
          <w:rFonts w:hint="eastAsia" w:ascii="宋体" w:hAnsi="宋体"/>
          <w:highlight w:val="none"/>
          <w:lang w:val="zh-CN"/>
        </w:rPr>
        <w:t>1响应文件分为资格文件、商务技术文件、报价文件三部分。各供应商在编制响应文件时请按照征集文件规定的格式进行，混乱的编排导致响应文件被误读或评审小组查找不到有效文件是供应商的风险。</w:t>
      </w:r>
    </w:p>
    <w:p>
      <w:pPr>
        <w:snapToGrid w:val="0"/>
        <w:spacing w:line="360" w:lineRule="auto"/>
        <w:ind w:firstLine="480" w:firstLineChars="200"/>
        <w:rPr>
          <w:rFonts w:ascii="宋体" w:hAnsi="宋体"/>
          <w:highlight w:val="none"/>
          <w:lang w:val="zh-CN"/>
        </w:rPr>
      </w:pPr>
      <w:r>
        <w:rPr>
          <w:rFonts w:hint="eastAsia" w:ascii="宋体" w:hAnsi="宋体"/>
          <w:highlight w:val="none"/>
          <w:lang w:val="zh-CN"/>
        </w:rPr>
        <w:t>2供应商进行电子响应应安装客户端软件—“政采云电子交易客户端”，并按照征集文件和电子交易平台的要求编制并加密响应文件。供应商未按规定加密的响应文件，电子交易平台将拒收并提示。</w:t>
      </w:r>
    </w:p>
    <w:p>
      <w:pPr>
        <w:snapToGrid w:val="0"/>
        <w:spacing w:line="360" w:lineRule="auto"/>
        <w:ind w:firstLine="480" w:firstLineChars="200"/>
        <w:rPr>
          <w:rFonts w:ascii="宋体" w:hAnsi="宋体"/>
          <w:highlight w:val="none"/>
          <w:lang w:val="zh-CN"/>
        </w:rPr>
      </w:pPr>
      <w:r>
        <w:rPr>
          <w:rFonts w:hint="eastAsia" w:ascii="宋体" w:hAnsi="宋体"/>
          <w:highlight w:val="none"/>
          <w:lang w:val="zh-CN"/>
        </w:rPr>
        <w:t>3使用“政采云电子交易客户端”需要提前申领CA数字证书，申领流程请自行前往“浙江政府采购网-下载专区-电子交易客户端-CA驱动和申领流程”进行查阅。</w:t>
      </w:r>
    </w:p>
    <w:p>
      <w:pPr>
        <w:snapToGrid w:val="0"/>
        <w:spacing w:line="360" w:lineRule="auto"/>
        <w:ind w:firstLine="480" w:firstLineChars="200"/>
        <w:rPr>
          <w:rFonts w:ascii="宋体" w:hAnsi="宋体"/>
          <w:highlight w:val="none"/>
        </w:rPr>
      </w:pPr>
      <w:r>
        <w:rPr>
          <w:rFonts w:hint="eastAsia" w:ascii="宋体" w:hAnsi="宋体"/>
          <w:highlight w:val="none"/>
        </w:rPr>
        <w:t>4响应文件按照征集文件要求进行签署、盖章。</w:t>
      </w:r>
    </w:p>
    <w:p>
      <w:pPr>
        <w:snapToGrid w:val="0"/>
        <w:spacing w:line="360" w:lineRule="auto"/>
        <w:ind w:firstLine="480" w:firstLineChars="200"/>
        <w:rPr>
          <w:rFonts w:ascii="宋体" w:hAnsi="宋体"/>
          <w:highlight w:val="none"/>
        </w:rPr>
      </w:pPr>
      <w:r>
        <w:rPr>
          <w:rFonts w:hint="eastAsia" w:ascii="宋体" w:hAnsi="宋体"/>
          <w:highlight w:val="none"/>
        </w:rPr>
        <w:t>5为确保网上操作合法、有效和安全，供应商应当在响应截止时间前完成在“政府采购云平台”的身份认证，确保在电子响应过程中能够对相关数据电文进行加密和使用电子签名。</w:t>
      </w:r>
    </w:p>
    <w:p>
      <w:pPr>
        <w:snapToGrid w:val="0"/>
        <w:spacing w:line="360" w:lineRule="auto"/>
        <w:ind w:firstLine="480" w:firstLineChars="200"/>
        <w:rPr>
          <w:rFonts w:ascii="宋体" w:hAnsi="宋体"/>
          <w:highlight w:val="none"/>
        </w:rPr>
      </w:pPr>
      <w:r>
        <w:rPr>
          <w:rFonts w:hint="eastAsia" w:ascii="宋体" w:hAnsi="宋体"/>
          <w:highlight w:val="none"/>
        </w:rPr>
        <w:t>6征集文件对响应文件签署、盖章的要求适用于电子签名。</w:t>
      </w:r>
    </w:p>
    <w:p>
      <w:pPr>
        <w:snapToGrid w:val="0"/>
        <w:spacing w:line="360" w:lineRule="auto"/>
        <w:ind w:firstLine="472" w:firstLineChars="196"/>
        <w:jc w:val="left"/>
        <w:outlineLvl w:val="2"/>
        <w:rPr>
          <w:rFonts w:ascii="宋体" w:hAnsi="宋体"/>
          <w:b/>
          <w:highlight w:val="none"/>
        </w:rPr>
      </w:pPr>
      <w:bookmarkStart w:id="50" w:name="_Toc402963117"/>
      <w:bookmarkStart w:id="51" w:name="_Toc532218227"/>
      <w:bookmarkStart w:id="52" w:name="_Toc406402990"/>
      <w:bookmarkStart w:id="53" w:name="_Toc406402946"/>
      <w:bookmarkStart w:id="54" w:name="_Toc385854146"/>
      <w:bookmarkStart w:id="55" w:name="_Toc385854100"/>
      <w:bookmarkStart w:id="56" w:name="_Toc402963084"/>
      <w:r>
        <w:rPr>
          <w:rFonts w:hint="eastAsia" w:ascii="宋体" w:hAnsi="宋体"/>
          <w:b/>
          <w:highlight w:val="none"/>
        </w:rPr>
        <w:t>（三）响应文件的语言及计量</w:t>
      </w:r>
      <w:bookmarkEnd w:id="50"/>
      <w:bookmarkEnd w:id="51"/>
      <w:bookmarkEnd w:id="52"/>
      <w:bookmarkEnd w:id="53"/>
      <w:bookmarkEnd w:id="54"/>
      <w:bookmarkEnd w:id="55"/>
      <w:bookmarkEnd w:id="56"/>
    </w:p>
    <w:p>
      <w:pPr>
        <w:snapToGrid w:val="0"/>
        <w:spacing w:line="360" w:lineRule="auto"/>
        <w:ind w:firstLine="480" w:firstLineChars="200"/>
        <w:jc w:val="left"/>
        <w:rPr>
          <w:rFonts w:ascii="宋体" w:hAnsi="宋体"/>
          <w:highlight w:val="none"/>
        </w:rPr>
      </w:pPr>
      <w:r>
        <w:rPr>
          <w:rFonts w:hint="eastAsia" w:ascii="宋体" w:hAnsi="宋体"/>
          <w:highlight w:val="none"/>
        </w:rPr>
        <w:t>1．响应文件以及征集人就有关征集事宜的所有来往函电，均应以中文汉语书写。除签名、盖章、专用名称等特殊情形外，以中文汉语以外的文字表述的响应文件视同未提供。</w:t>
      </w:r>
    </w:p>
    <w:p>
      <w:pPr>
        <w:snapToGrid w:val="0"/>
        <w:spacing w:line="360" w:lineRule="auto"/>
        <w:ind w:firstLine="480" w:firstLineChars="200"/>
        <w:jc w:val="left"/>
        <w:rPr>
          <w:rFonts w:ascii="宋体" w:hAnsi="宋体"/>
          <w:highlight w:val="none"/>
        </w:rPr>
      </w:pPr>
      <w:r>
        <w:rPr>
          <w:rFonts w:hint="eastAsia" w:ascii="宋体" w:hAnsi="宋体"/>
          <w:highlight w:val="none"/>
        </w:rPr>
        <w:t>2．响应计量单位，征集文件已有明确规定的，使用征集文件规定的计量单位；征集文件没有规定的，应采用中华人民共和国法定计量单位（货币单位：人民币元），否则视同未响应。</w:t>
      </w:r>
    </w:p>
    <w:p>
      <w:pPr>
        <w:pStyle w:val="35"/>
        <w:spacing w:before="0"/>
        <w:ind w:firstLine="482"/>
        <w:rPr>
          <w:rFonts w:ascii="宋体" w:hAnsi="宋体"/>
          <w:b/>
          <w:szCs w:val="24"/>
          <w:highlight w:val="none"/>
        </w:rPr>
      </w:pPr>
      <w:r>
        <w:rPr>
          <w:rFonts w:hint="eastAsia" w:ascii="宋体" w:hAnsi="宋体"/>
          <w:b/>
          <w:szCs w:val="24"/>
          <w:highlight w:val="none"/>
        </w:rPr>
        <w:t>（四）响应文件的提交、补充、修改、撤回</w:t>
      </w:r>
    </w:p>
    <w:p>
      <w:pPr>
        <w:snapToGrid w:val="0"/>
        <w:spacing w:line="360" w:lineRule="auto"/>
        <w:ind w:firstLine="480" w:firstLineChars="200"/>
        <w:jc w:val="left"/>
        <w:rPr>
          <w:rFonts w:ascii="宋体" w:hAnsi="宋体"/>
          <w:highlight w:val="none"/>
        </w:rPr>
      </w:pPr>
      <w:r>
        <w:rPr>
          <w:rFonts w:hint="eastAsia" w:ascii="宋体" w:hAnsi="宋体"/>
          <w:highlight w:val="none"/>
        </w:rPr>
        <w:t>1.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pPr>
        <w:snapToGrid w:val="0"/>
        <w:spacing w:line="360" w:lineRule="auto"/>
        <w:ind w:firstLine="480" w:firstLineChars="200"/>
        <w:jc w:val="left"/>
        <w:rPr>
          <w:rFonts w:ascii="宋体" w:hAnsi="宋体"/>
          <w:highlight w:val="none"/>
        </w:rPr>
      </w:pPr>
      <w:r>
        <w:rPr>
          <w:rFonts w:hint="eastAsia" w:ascii="宋体" w:hAnsi="宋体"/>
          <w:highlight w:val="none"/>
        </w:rPr>
        <w:t>2.电子交易平台收到响应文件，将妥善保存并即时向供应商发出确认回执通知。在响应截止时间前，除供应商补充、修改或者撤回响应文件外，任何单位和个人不得解密或提取响应文件。</w:t>
      </w:r>
    </w:p>
    <w:p>
      <w:pPr>
        <w:snapToGrid w:val="0"/>
        <w:spacing w:line="360" w:lineRule="auto"/>
        <w:ind w:firstLine="480" w:firstLineChars="200"/>
        <w:jc w:val="left"/>
        <w:rPr>
          <w:rFonts w:ascii="宋体" w:hAnsi="宋体"/>
          <w:highlight w:val="none"/>
        </w:rPr>
      </w:pPr>
      <w:r>
        <w:rPr>
          <w:rFonts w:hint="eastAsia" w:ascii="宋体" w:hAnsi="宋体"/>
          <w:highlight w:val="none"/>
        </w:rPr>
        <w:t>3.征集人可以视情况延长响应文件提交的截止时间。在上述情况下，采购机构与供应商以前在响应截止期方面的全部权利、责任和义务，将适用于延长至新的响应截止期。</w:t>
      </w:r>
    </w:p>
    <w:p>
      <w:pPr>
        <w:snapToGrid w:val="0"/>
        <w:spacing w:line="360" w:lineRule="auto"/>
        <w:ind w:firstLine="472" w:firstLineChars="196"/>
        <w:jc w:val="left"/>
        <w:outlineLvl w:val="2"/>
        <w:rPr>
          <w:rFonts w:ascii="宋体" w:hAnsi="宋体"/>
          <w:b/>
          <w:highlight w:val="none"/>
        </w:rPr>
      </w:pPr>
      <w:bookmarkStart w:id="57" w:name="_Toc385854101"/>
      <w:bookmarkStart w:id="58" w:name="_Toc402963085"/>
      <w:bookmarkStart w:id="59" w:name="_Toc406402991"/>
      <w:bookmarkStart w:id="60" w:name="_Toc385854147"/>
      <w:bookmarkStart w:id="61" w:name="_Toc532218228"/>
      <w:bookmarkStart w:id="62" w:name="_Toc406402947"/>
      <w:bookmarkStart w:id="63" w:name="_Toc402963118"/>
      <w:r>
        <w:rPr>
          <w:rFonts w:hint="eastAsia" w:ascii="宋体" w:hAnsi="宋体"/>
          <w:b/>
          <w:highlight w:val="none"/>
        </w:rPr>
        <w:t>（五）</w:t>
      </w:r>
      <w:bookmarkEnd w:id="57"/>
      <w:bookmarkEnd w:id="58"/>
      <w:bookmarkEnd w:id="59"/>
      <w:bookmarkEnd w:id="60"/>
      <w:bookmarkEnd w:id="61"/>
      <w:bookmarkEnd w:id="62"/>
      <w:bookmarkEnd w:id="63"/>
      <w:r>
        <w:rPr>
          <w:rFonts w:hint="eastAsia" w:ascii="宋体" w:hAnsi="宋体"/>
          <w:b/>
          <w:highlight w:val="none"/>
        </w:rPr>
        <w:t>响应报价</w:t>
      </w:r>
    </w:p>
    <w:p>
      <w:pPr>
        <w:pageBreakBefore w:val="0"/>
        <w:widowControl w:val="0"/>
        <w:kinsoku/>
        <w:wordWrap/>
        <w:overflowPunct/>
        <w:topLinePunct w:val="0"/>
        <w:autoSpaceDE/>
        <w:autoSpaceDN/>
        <w:bidi w:val="0"/>
        <w:snapToGrid w:val="0"/>
        <w:spacing w:line="360" w:lineRule="auto"/>
        <w:ind w:firstLine="480" w:firstLineChars="200"/>
        <w:jc w:val="left"/>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1.投标报价应按</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中相关附表格式填写。</w:t>
      </w:r>
    </w:p>
    <w:p>
      <w:pPr>
        <w:tabs>
          <w:tab w:val="left" w:pos="525"/>
        </w:tabs>
        <w:snapToGrid w:val="0"/>
        <w:spacing w:line="360" w:lineRule="auto"/>
        <w:ind w:firstLine="480" w:firstLineChars="200"/>
        <w:jc w:val="left"/>
        <w:rPr>
          <w:rFonts w:ascii="宋体" w:hAnsi="宋体"/>
          <w:highlight w:val="none"/>
        </w:rPr>
      </w:pPr>
      <w:r>
        <w:rPr>
          <w:rFonts w:hint="eastAsia" w:ascii="宋体" w:hAnsi="宋体" w:eastAsia="宋体" w:cs="宋体"/>
          <w:color w:val="auto"/>
          <w:sz w:val="24"/>
          <w:szCs w:val="24"/>
          <w:highlight w:val="none"/>
        </w:rPr>
        <w:t>2.本次征集的报价采用优惠率，响应时提供《报价一览表》。审核费用包含所有的人工费、管理费、材料费等完成该服务的所有含税审核基本费用（食宿、交通等全部费用由入围供应商自理）。</w:t>
      </w:r>
    </w:p>
    <w:p>
      <w:pPr>
        <w:snapToGrid w:val="0"/>
        <w:spacing w:line="360" w:lineRule="auto"/>
        <w:ind w:firstLine="472" w:firstLineChars="196"/>
        <w:jc w:val="left"/>
        <w:outlineLvl w:val="2"/>
        <w:rPr>
          <w:rFonts w:ascii="宋体" w:hAnsi="宋体"/>
          <w:b/>
          <w:highlight w:val="none"/>
        </w:rPr>
      </w:pPr>
      <w:r>
        <w:rPr>
          <w:rFonts w:hint="eastAsia" w:ascii="宋体" w:hAnsi="宋体"/>
          <w:b/>
          <w:highlight w:val="none"/>
        </w:rPr>
        <w:t>（六）响应文件的有效期</w:t>
      </w:r>
    </w:p>
    <w:p>
      <w:pPr>
        <w:pStyle w:val="7"/>
        <w:numPr>
          <w:ilvl w:val="0"/>
          <w:numId w:val="0"/>
        </w:numPr>
        <w:tabs>
          <w:tab w:val="left" w:pos="720"/>
        </w:tabs>
        <w:snapToGrid w:val="0"/>
        <w:spacing w:after="120" w:line="360" w:lineRule="auto"/>
        <w:ind w:left="480" w:leftChars="200"/>
        <w:rPr>
          <w:rFonts w:ascii="宋体" w:hAnsi="宋体"/>
          <w:highlight w:val="none"/>
        </w:rPr>
      </w:pPr>
      <w:r>
        <w:rPr>
          <w:rFonts w:hint="eastAsia" w:ascii="宋体" w:hAnsi="宋体"/>
          <w:highlight w:val="none"/>
        </w:rPr>
        <w:t>1.自响应截止日起</w:t>
      </w:r>
      <w:r>
        <w:rPr>
          <w:rFonts w:hint="eastAsia" w:ascii="宋体" w:hAnsi="宋体"/>
          <w:highlight w:val="none"/>
          <w:u w:val="single"/>
        </w:rPr>
        <w:t>90</w:t>
      </w:r>
      <w:r>
        <w:rPr>
          <w:rFonts w:hint="eastAsia" w:ascii="宋体" w:hAnsi="宋体"/>
          <w:highlight w:val="none"/>
        </w:rPr>
        <w:t>天响应文件应保持有效。有效期不足的响应文件将被拒绝。</w:t>
      </w:r>
    </w:p>
    <w:p>
      <w:pPr>
        <w:pStyle w:val="7"/>
        <w:numPr>
          <w:ilvl w:val="0"/>
          <w:numId w:val="0"/>
        </w:numPr>
        <w:tabs>
          <w:tab w:val="left" w:pos="720"/>
        </w:tabs>
        <w:snapToGrid w:val="0"/>
        <w:spacing w:after="120" w:line="360" w:lineRule="auto"/>
        <w:ind w:firstLine="480" w:firstLineChars="200"/>
        <w:rPr>
          <w:rFonts w:ascii="宋体" w:hAnsi="宋体"/>
          <w:highlight w:val="none"/>
        </w:rPr>
      </w:pPr>
      <w:r>
        <w:rPr>
          <w:rFonts w:hint="eastAsia" w:ascii="宋体" w:hAnsi="宋体"/>
          <w:highlight w:val="none"/>
        </w:rPr>
        <w:t>2.在特殊情况下，征集人可与供应商协商延长响应文件的有效期，这种要求和答复均以书面形式进行。</w:t>
      </w:r>
    </w:p>
    <w:p>
      <w:pPr>
        <w:pStyle w:val="7"/>
        <w:numPr>
          <w:ilvl w:val="0"/>
          <w:numId w:val="0"/>
        </w:numPr>
        <w:tabs>
          <w:tab w:val="left" w:pos="720"/>
        </w:tabs>
        <w:snapToGrid w:val="0"/>
        <w:spacing w:after="120" w:line="360" w:lineRule="auto"/>
        <w:ind w:firstLine="480" w:firstLineChars="200"/>
        <w:rPr>
          <w:rFonts w:ascii="宋体" w:hAnsi="宋体"/>
          <w:highlight w:val="none"/>
        </w:rPr>
      </w:pPr>
      <w:bookmarkStart w:id="64" w:name="_Toc402963120"/>
      <w:bookmarkStart w:id="65" w:name="_Toc406402949"/>
      <w:bookmarkStart w:id="66" w:name="_Toc385854149"/>
      <w:bookmarkStart w:id="67" w:name="_Toc406402993"/>
      <w:bookmarkStart w:id="68" w:name="_Toc385854103"/>
      <w:bookmarkStart w:id="69" w:name="_Toc532218229"/>
      <w:bookmarkStart w:id="70" w:name="_Toc402963087"/>
      <w:r>
        <w:rPr>
          <w:rFonts w:hint="eastAsia" w:ascii="宋体" w:hAnsi="宋体"/>
          <w:highlight w:val="none"/>
        </w:rPr>
        <w:t>3.入围供应商的响应文件自开标之日起至合同履行完毕止均应保持有效。</w:t>
      </w:r>
      <w:bookmarkEnd w:id="64"/>
      <w:bookmarkEnd w:id="65"/>
      <w:bookmarkEnd w:id="66"/>
      <w:bookmarkEnd w:id="67"/>
      <w:bookmarkEnd w:id="68"/>
      <w:bookmarkEnd w:id="69"/>
      <w:bookmarkEnd w:id="70"/>
    </w:p>
    <w:p>
      <w:pPr>
        <w:pStyle w:val="35"/>
        <w:spacing w:before="0"/>
        <w:ind w:firstLine="480"/>
        <w:rPr>
          <w:rFonts w:ascii="宋体" w:hAnsi="宋体"/>
          <w:szCs w:val="24"/>
          <w:highlight w:val="none"/>
        </w:rPr>
      </w:pPr>
      <w:r>
        <w:rPr>
          <w:rFonts w:hint="eastAsia" w:ascii="宋体" w:hAnsi="宋体"/>
          <w:szCs w:val="24"/>
          <w:highlight w:val="none"/>
        </w:rPr>
        <w:t>4.在原定响应有效期满之前，如果出现特殊情况，采购机构可以以书面形式通知供应商延长响应有效期。供应商同意延长的，不得要求或被允许修改其响应文件，供应商拒绝延长的，其响应无效。</w:t>
      </w:r>
    </w:p>
    <w:p>
      <w:pPr>
        <w:snapToGrid w:val="0"/>
        <w:spacing w:line="360" w:lineRule="auto"/>
        <w:ind w:firstLine="482" w:firstLineChars="200"/>
        <w:jc w:val="left"/>
        <w:outlineLvl w:val="2"/>
        <w:rPr>
          <w:rFonts w:ascii="宋体" w:hAnsi="宋体"/>
          <w:b/>
          <w:highlight w:val="none"/>
        </w:rPr>
      </w:pPr>
      <w:r>
        <w:rPr>
          <w:rFonts w:hint="eastAsia" w:ascii="宋体" w:hAnsi="宋体"/>
          <w:b/>
          <w:highlight w:val="none"/>
        </w:rPr>
        <w:t>（七）响应无效的情形</w:t>
      </w:r>
    </w:p>
    <w:p>
      <w:pPr>
        <w:snapToGrid w:val="0"/>
        <w:spacing w:line="360" w:lineRule="auto"/>
        <w:ind w:firstLine="482" w:firstLineChars="200"/>
        <w:rPr>
          <w:rFonts w:ascii="宋体" w:hAnsi="宋体"/>
          <w:b/>
          <w:highlight w:val="none"/>
        </w:rPr>
      </w:pPr>
      <w:r>
        <w:rPr>
          <w:rFonts w:hint="eastAsia" w:ascii="宋体" w:hAnsi="宋体"/>
          <w:b/>
          <w:highlight w:val="none"/>
        </w:rPr>
        <w:t>1.电子响应文件解密失败的，且未在规定时间内提交有效备份响应文件的。</w:t>
      </w:r>
    </w:p>
    <w:p>
      <w:pPr>
        <w:snapToGrid w:val="0"/>
        <w:spacing w:line="360" w:lineRule="auto"/>
        <w:ind w:firstLine="482" w:firstLineChars="200"/>
        <w:rPr>
          <w:rFonts w:ascii="宋体" w:hAnsi="宋体"/>
          <w:highlight w:val="none"/>
        </w:rPr>
      </w:pPr>
      <w:r>
        <w:rPr>
          <w:rFonts w:hint="eastAsia" w:ascii="宋体" w:hAnsi="宋体"/>
          <w:b/>
          <w:highlight w:val="none"/>
        </w:rPr>
        <w:t>2.仅提交备份响应文件，没有在电子交易平台传输递交响应文件的。</w:t>
      </w:r>
    </w:p>
    <w:p>
      <w:pPr>
        <w:snapToGrid w:val="0"/>
        <w:spacing w:line="360" w:lineRule="auto"/>
        <w:ind w:firstLine="472" w:firstLineChars="196"/>
        <w:rPr>
          <w:rFonts w:ascii="宋体" w:hAnsi="宋体"/>
          <w:b/>
          <w:highlight w:val="none"/>
        </w:rPr>
      </w:pPr>
      <w:r>
        <w:rPr>
          <w:rFonts w:hint="eastAsia" w:ascii="宋体" w:hAnsi="宋体"/>
          <w:b/>
          <w:highlight w:val="none"/>
        </w:rPr>
        <w:t>3.没有通过资格审查的，响应文件将被视为无效。</w:t>
      </w:r>
    </w:p>
    <w:p>
      <w:pPr>
        <w:keepNext w:val="0"/>
        <w:keepLines w:val="0"/>
        <w:pageBreakBefore w:val="0"/>
        <w:widowControl w:val="0"/>
        <w:kinsoku/>
        <w:wordWrap w:val="0"/>
        <w:overflowPunct/>
        <w:topLinePunct w:val="0"/>
        <w:autoSpaceDE/>
        <w:autoSpaceDN/>
        <w:bidi w:val="0"/>
        <w:adjustRightInd/>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.在符合性审查和商务</w:t>
      </w:r>
      <w:r>
        <w:rPr>
          <w:rFonts w:hint="eastAsia" w:ascii="宋体" w:hAnsi="宋体" w:eastAsia="宋体" w:cs="宋体"/>
          <w:b/>
          <w:bCs/>
          <w:color w:val="auto"/>
          <w:sz w:val="24"/>
          <w:szCs w:val="24"/>
          <w:highlight w:val="none"/>
          <w:lang w:eastAsia="zh-CN"/>
        </w:rPr>
        <w:t>资信技术</w:t>
      </w:r>
      <w:r>
        <w:rPr>
          <w:rFonts w:hint="eastAsia" w:ascii="宋体" w:hAnsi="宋体" w:eastAsia="宋体" w:cs="宋体"/>
          <w:b/>
          <w:bCs/>
          <w:color w:val="auto"/>
          <w:sz w:val="24"/>
          <w:szCs w:val="24"/>
          <w:highlight w:val="none"/>
        </w:rPr>
        <w:t>评审时，如发现下列情形之一的，响应文件将被视为无效：</w:t>
      </w:r>
    </w:p>
    <w:p>
      <w:pPr>
        <w:keepNext w:val="0"/>
        <w:keepLines w:val="0"/>
        <w:pageBreakBefore w:val="0"/>
        <w:widowControl w:val="0"/>
        <w:kinsoku/>
        <w:wordWrap w:val="0"/>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电子响应文件未按规定要求提供电子签章的。</w:t>
      </w:r>
    </w:p>
    <w:p>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（2）未按要求对资格文件进行承诺，或虚假承诺的。</w:t>
      </w:r>
    </w:p>
    <w:p>
      <w:pPr>
        <w:keepNext w:val="0"/>
        <w:keepLines w:val="0"/>
        <w:pageBreakBefore w:val="0"/>
        <w:widowControl w:val="0"/>
        <w:kinsoku/>
        <w:wordWrap w:val="0"/>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（3）未</w:t>
      </w:r>
      <w:r>
        <w:rPr>
          <w:rFonts w:hint="eastAsia" w:ascii="宋体" w:hAnsi="宋体" w:eastAsia="宋体" w:cs="宋体"/>
          <w:bCs/>
          <w:color w:val="auto"/>
          <w:kern w:val="0"/>
          <w:sz w:val="24"/>
          <w:szCs w:val="24"/>
          <w:highlight w:val="none"/>
        </w:rPr>
        <w:t>提供法定代表人授权委托书、投标函或者填写项目不齐全的。</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54" w:firstLineChars="196"/>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（4）响应文件格式不规范、项目不齐全或者内容虚假的。</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54" w:firstLineChars="196"/>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rPr>
        <w:t>5）</w:t>
      </w:r>
      <w:r>
        <w:rPr>
          <w:rFonts w:hint="eastAsia" w:ascii="宋体" w:hAnsi="宋体" w:eastAsia="宋体" w:cs="宋体"/>
          <w:color w:val="auto"/>
          <w:sz w:val="24"/>
          <w:szCs w:val="24"/>
          <w:highlight w:val="none"/>
        </w:rPr>
        <w:t>响应文件的实质性内容未使用中文表述、意思表述不明确、前后矛盾或者使用计量单位不符合征集文件要求的（经评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委员会认定并允许其当场更正的笔误除外）。</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54" w:firstLineChars="196"/>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highlight w:val="none"/>
        </w:rPr>
        <w:t>响应有效期、服务承诺等商务条款不能满足征集文件要求的。</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54"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（7）未实质性响应征集文件要求或者响应文件有征集人不能接受的附加条件的。</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54"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（8）不符合本征集文件中的实质性要求条款。</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57"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.在报价评审时，如发现下列情形之一的，响应文件将被视为无效：</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64"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lang w:eastAsia="zh-CN"/>
        </w:rPr>
        <w:t>）供应商的报价文件有串通投标情形的；</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64"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没有按照要求提供《</w:t>
      </w:r>
      <w:r>
        <w:rPr>
          <w:rFonts w:hint="eastAsia" w:ascii="宋体" w:hAnsi="宋体" w:eastAsia="宋体" w:cs="宋体"/>
          <w:snapToGrid w:val="0"/>
          <w:color w:val="auto"/>
          <w:sz w:val="24"/>
          <w:szCs w:val="24"/>
          <w:highlight w:val="none"/>
          <w:lang w:eastAsia="zh-CN"/>
        </w:rPr>
        <w:t>报价一览表</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64" w:firstLineChars="2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eastAsia="zh-CN"/>
        </w:rPr>
        <w:t>）报价文件未按征集文件规定要求进行签字或盖章的；</w:t>
      </w:r>
    </w:p>
    <w:p>
      <w:pPr>
        <w:pStyle w:val="14"/>
        <w:keepNext w:val="0"/>
        <w:keepLines w:val="0"/>
        <w:pageBreakBefore w:val="0"/>
        <w:widowControl w:val="0"/>
        <w:kinsoku/>
        <w:wordWrap w:val="0"/>
        <w:overflowPunct/>
        <w:topLinePunct w:val="0"/>
        <w:autoSpaceDE/>
        <w:autoSpaceDN/>
        <w:bidi w:val="0"/>
        <w:adjustRightInd/>
        <w:snapToGrid w:val="0"/>
        <w:spacing w:line="360" w:lineRule="auto"/>
        <w:ind w:firstLine="464"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eastAsia="zh-CN"/>
        </w:rPr>
        <w:t xml:space="preserve">）供应商报价超过最高限价的。 </w:t>
      </w:r>
    </w:p>
    <w:p>
      <w:pPr>
        <w:spacing w:line="360" w:lineRule="auto"/>
        <w:ind w:firstLine="482" w:firstLineChars="200"/>
        <w:rPr>
          <w:rFonts w:ascii="宋体" w:hAnsi="宋体"/>
          <w:highlight w:val="none"/>
        </w:rPr>
      </w:pPr>
      <w:r>
        <w:rPr>
          <w:rFonts w:hint="eastAsia" w:ascii="宋体" w:hAnsi="宋体"/>
          <w:b/>
          <w:bCs/>
          <w:highlight w:val="none"/>
        </w:rPr>
        <w:t>6.供应商有恶意串通、妨碍其他供应商的竞争行为、损害征集人或者其他供应商的合法权益情形的，响应文件将被视为无效</w:t>
      </w:r>
      <w:r>
        <w:rPr>
          <w:rFonts w:hint="eastAsia" w:ascii="宋体" w:hAnsi="宋体"/>
          <w:kern w:val="0"/>
          <w:highlight w:val="none"/>
        </w:rPr>
        <w:t>。</w:t>
      </w:r>
    </w:p>
    <w:p>
      <w:pPr>
        <w:pStyle w:val="14"/>
        <w:snapToGrid w:val="0"/>
        <w:spacing w:line="360" w:lineRule="auto"/>
        <w:ind w:firstLine="457" w:firstLineChars="196"/>
        <w:rPr>
          <w:rFonts w:hAnsi="宋体" w:cs="宋体"/>
          <w:sz w:val="24"/>
          <w:szCs w:val="24"/>
          <w:highlight w:val="none"/>
        </w:rPr>
      </w:pPr>
      <w:r>
        <w:rPr>
          <w:rFonts w:hint="eastAsia" w:hAnsi="宋体" w:cs="宋体"/>
          <w:b/>
          <w:bCs/>
          <w:sz w:val="24"/>
          <w:szCs w:val="24"/>
          <w:highlight w:val="none"/>
        </w:rPr>
        <w:t>7.法律、法规、规章（适用本市的）及省级以上规范性文件（适用本市的）规定的其他无效情形。</w:t>
      </w:r>
    </w:p>
    <w:p>
      <w:pPr>
        <w:pStyle w:val="14"/>
        <w:snapToGrid w:val="0"/>
        <w:spacing w:line="360" w:lineRule="auto"/>
        <w:ind w:firstLine="466" w:firstLineChars="200"/>
        <w:rPr>
          <w:rFonts w:hAnsi="宋体" w:cs="宋体"/>
          <w:b/>
          <w:sz w:val="24"/>
          <w:szCs w:val="24"/>
          <w:highlight w:val="none"/>
        </w:rPr>
      </w:pPr>
      <w:r>
        <w:rPr>
          <w:rFonts w:hint="eastAsia" w:hAnsi="宋体" w:cs="宋体"/>
          <w:b/>
          <w:sz w:val="24"/>
          <w:szCs w:val="24"/>
          <w:highlight w:val="none"/>
        </w:rPr>
        <w:t>8.被拒绝的响应文件为无效。</w:t>
      </w:r>
    </w:p>
    <w:p>
      <w:pPr>
        <w:pStyle w:val="14"/>
        <w:snapToGrid w:val="0"/>
        <w:spacing w:line="360" w:lineRule="auto"/>
        <w:ind w:firstLine="466" w:firstLineChars="200"/>
        <w:rPr>
          <w:rFonts w:hAnsi="宋体" w:cs="宋体"/>
          <w:b/>
          <w:sz w:val="24"/>
          <w:szCs w:val="24"/>
          <w:highlight w:val="none"/>
        </w:rPr>
      </w:pPr>
      <w:r>
        <w:rPr>
          <w:rFonts w:hint="eastAsia" w:hAnsi="宋体" w:cs="宋体"/>
          <w:b/>
          <w:sz w:val="24"/>
          <w:szCs w:val="24"/>
          <w:highlight w:val="none"/>
        </w:rPr>
        <w:t>（八）废标的情形</w:t>
      </w:r>
    </w:p>
    <w:p>
      <w:pPr>
        <w:pStyle w:val="14"/>
        <w:snapToGrid w:val="0"/>
        <w:spacing w:line="360" w:lineRule="auto"/>
        <w:ind w:firstLine="464" w:firstLineChars="200"/>
        <w:rPr>
          <w:rFonts w:hAnsi="宋体" w:cs="宋体"/>
          <w:sz w:val="24"/>
          <w:szCs w:val="24"/>
          <w:highlight w:val="none"/>
        </w:rPr>
      </w:pPr>
      <w:r>
        <w:rPr>
          <w:rFonts w:hint="eastAsia" w:hAnsi="宋体" w:cs="宋体"/>
          <w:sz w:val="24"/>
          <w:szCs w:val="24"/>
          <w:highlight w:val="none"/>
        </w:rPr>
        <w:t>根据《中华人民共和国政府采购法》第三十六条之规定，在采购中，出现下列情形之一的，应予废标：</w:t>
      </w:r>
    </w:p>
    <w:p>
      <w:pPr>
        <w:pStyle w:val="14"/>
        <w:snapToGrid w:val="0"/>
        <w:spacing w:line="360" w:lineRule="auto"/>
        <w:ind w:firstLine="464" w:firstLineChars="200"/>
        <w:rPr>
          <w:rFonts w:hAnsi="宋体" w:cs="宋体"/>
          <w:sz w:val="24"/>
          <w:szCs w:val="24"/>
          <w:highlight w:val="none"/>
        </w:rPr>
      </w:pPr>
      <w:r>
        <w:rPr>
          <w:rFonts w:hint="eastAsia" w:hAnsi="宋体" w:cs="宋体"/>
          <w:sz w:val="24"/>
          <w:szCs w:val="24"/>
          <w:highlight w:val="none"/>
        </w:rPr>
        <w:t>1.出现影响采购公正的违法、违规行为的；</w:t>
      </w:r>
    </w:p>
    <w:p>
      <w:pPr>
        <w:pStyle w:val="14"/>
        <w:snapToGrid w:val="0"/>
        <w:spacing w:line="360" w:lineRule="auto"/>
        <w:ind w:firstLine="464" w:firstLineChars="200"/>
        <w:rPr>
          <w:rFonts w:hAnsi="宋体" w:cs="宋体"/>
          <w:sz w:val="24"/>
          <w:szCs w:val="24"/>
          <w:highlight w:val="none"/>
        </w:rPr>
      </w:pPr>
      <w:r>
        <w:rPr>
          <w:rFonts w:hint="eastAsia" w:hAnsi="宋体" w:cs="宋体"/>
          <w:sz w:val="24"/>
          <w:szCs w:val="24"/>
          <w:highlight w:val="none"/>
        </w:rPr>
        <w:t>2.因重大变故，采购任务取消的。</w:t>
      </w:r>
    </w:p>
    <w:p>
      <w:pPr>
        <w:pStyle w:val="14"/>
        <w:snapToGrid w:val="0"/>
        <w:spacing w:line="360" w:lineRule="auto"/>
        <w:ind w:firstLine="464" w:firstLineChars="200"/>
        <w:rPr>
          <w:rFonts w:hAnsi="宋体" w:cs="宋体"/>
          <w:sz w:val="24"/>
          <w:szCs w:val="24"/>
          <w:highlight w:val="none"/>
        </w:rPr>
      </w:pPr>
      <w:r>
        <w:rPr>
          <w:rFonts w:hint="eastAsia" w:hAnsi="宋体" w:cs="宋体"/>
          <w:sz w:val="24"/>
          <w:szCs w:val="24"/>
          <w:highlight w:val="none"/>
        </w:rPr>
        <w:t>废标后，采购机构应当将废标理由通知所有供应商。</w:t>
      </w:r>
    </w:p>
    <w:p>
      <w:pPr>
        <w:pStyle w:val="14"/>
        <w:snapToGrid w:val="0"/>
        <w:spacing w:line="360" w:lineRule="auto"/>
        <w:ind w:firstLine="46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四、开标</w:t>
      </w:r>
    </w:p>
    <w:p>
      <w:pPr>
        <w:pStyle w:val="14"/>
        <w:snapToGrid w:val="0"/>
        <w:spacing w:line="360" w:lineRule="auto"/>
        <w:ind w:firstLine="454" w:firstLineChars="196"/>
        <w:rPr>
          <w:rFonts w:hAnsi="宋体" w:cs="宋体"/>
          <w:sz w:val="24"/>
          <w:szCs w:val="24"/>
          <w:highlight w:val="none"/>
        </w:rPr>
      </w:pPr>
      <w:r>
        <w:rPr>
          <w:rFonts w:hint="eastAsia" w:hAnsi="宋体" w:cs="宋体"/>
          <w:sz w:val="24"/>
          <w:szCs w:val="24"/>
          <w:highlight w:val="none"/>
        </w:rPr>
        <w:t>1.本项目实行电子开评审，供应商无需到开标现场，但须准时在线参加，直至评审结束。</w:t>
      </w:r>
    </w:p>
    <w:p>
      <w:pPr>
        <w:pStyle w:val="14"/>
        <w:snapToGrid w:val="0"/>
        <w:spacing w:line="360" w:lineRule="auto"/>
        <w:ind w:firstLine="454" w:firstLineChars="196"/>
        <w:rPr>
          <w:rFonts w:hAnsi="宋体" w:cs="宋体"/>
          <w:sz w:val="24"/>
          <w:szCs w:val="24"/>
          <w:highlight w:val="none"/>
        </w:rPr>
      </w:pPr>
      <w:r>
        <w:rPr>
          <w:rFonts w:hint="eastAsia" w:hAnsi="宋体" w:cs="宋体"/>
          <w:sz w:val="24"/>
          <w:szCs w:val="24"/>
          <w:highlight w:val="none"/>
        </w:rPr>
        <w:t>2.响应截止时间后的半小时内，由各供应商自行对电子响应文件进行解密请各供应商务必在规定时间内完成电子响应文件的解密工作。</w:t>
      </w:r>
    </w:p>
    <w:p>
      <w:pPr>
        <w:pStyle w:val="14"/>
        <w:snapToGrid w:val="0"/>
        <w:spacing w:line="360" w:lineRule="auto"/>
        <w:ind w:firstLine="454" w:firstLineChars="196"/>
        <w:rPr>
          <w:rFonts w:hAnsi="宋体" w:cs="宋体"/>
          <w:sz w:val="24"/>
          <w:szCs w:val="24"/>
          <w:highlight w:val="none"/>
        </w:rPr>
      </w:pPr>
      <w:r>
        <w:rPr>
          <w:rFonts w:hint="eastAsia" w:hAnsi="宋体" w:cs="宋体"/>
          <w:sz w:val="24"/>
          <w:szCs w:val="24"/>
          <w:highlight w:val="none"/>
        </w:rPr>
        <w:t>3.响应文件未按时解密，供应商提供了备份响应文件的，以备份响应文件作为依据，否则视为响应文件撤回。响应文件已按时解密的，备份响应文件自动失效。</w:t>
      </w:r>
    </w:p>
    <w:p>
      <w:pPr>
        <w:pStyle w:val="14"/>
        <w:snapToGrid w:val="0"/>
        <w:spacing w:line="360" w:lineRule="auto"/>
        <w:ind w:firstLine="46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五、评审</w:t>
      </w:r>
    </w:p>
    <w:p>
      <w:pPr>
        <w:pStyle w:val="14"/>
        <w:snapToGrid w:val="0"/>
        <w:spacing w:line="360" w:lineRule="auto"/>
        <w:ind w:firstLine="46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（一）组建评审小组</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评审小组由政府采购评审专家</w:t>
      </w:r>
      <w:r>
        <w:rPr>
          <w:rFonts w:hint="eastAsia" w:ascii="宋体" w:hAnsi="宋体"/>
          <w:kern w:val="0"/>
          <w:highlight w:val="none"/>
          <w:u w:val="single"/>
          <w:lang w:val="en-US" w:eastAsia="zh-CN"/>
        </w:rPr>
        <w:t>7</w:t>
      </w:r>
      <w:r>
        <w:rPr>
          <w:rFonts w:hint="eastAsia" w:ascii="宋体" w:hAnsi="宋体"/>
          <w:kern w:val="0"/>
          <w:highlight w:val="none"/>
          <w:u w:val="single"/>
        </w:rPr>
        <w:t>人</w:t>
      </w:r>
      <w:r>
        <w:rPr>
          <w:rFonts w:hint="eastAsia" w:ascii="宋体" w:hAnsi="宋体"/>
          <w:kern w:val="0"/>
          <w:highlight w:val="none"/>
        </w:rPr>
        <w:t>组成。</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评审小组负责具体评审事务，并独立履行下列职责：</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1.审查、评价响应文件是否符合征集文件的商务、技术等实质性要求。</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2.要求供应商对响应文件有关事项做出澄清或者说明。</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3.对响应文件进行比较和评价。</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4.确定入围供应商名单，以及根据征集人委托直接确定入围供应商。</w:t>
      </w:r>
    </w:p>
    <w:p>
      <w:pPr>
        <w:widowControl/>
        <w:shd w:val="clear" w:color="auto" w:fill="FFFFFF"/>
        <w:spacing w:line="360" w:lineRule="auto"/>
        <w:ind w:firstLine="480" w:firstLineChars="200"/>
        <w:jc w:val="left"/>
        <w:rPr>
          <w:rFonts w:ascii="宋体" w:hAnsi="宋体"/>
          <w:kern w:val="0"/>
          <w:highlight w:val="none"/>
        </w:rPr>
      </w:pPr>
      <w:r>
        <w:rPr>
          <w:rFonts w:hint="eastAsia" w:ascii="宋体" w:hAnsi="宋体"/>
          <w:kern w:val="0"/>
          <w:highlight w:val="none"/>
        </w:rPr>
        <w:t>5.向征集人或者有关部门报告评审中发现的违法行为。</w:t>
      </w:r>
    </w:p>
    <w:p>
      <w:pPr>
        <w:pStyle w:val="14"/>
        <w:snapToGrid w:val="0"/>
        <w:spacing w:line="360" w:lineRule="auto"/>
        <w:ind w:firstLine="46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除征集人代表、评审现场组织人员外，其他工作人员以及与评审工作无关的人员不得进入评审现场。</w:t>
      </w:r>
    </w:p>
    <w:p>
      <w:pPr>
        <w:pStyle w:val="14"/>
        <w:snapToGrid w:val="0"/>
        <w:spacing w:line="360" w:lineRule="auto"/>
        <w:ind w:firstLine="46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（二）评审的方式</w:t>
      </w:r>
    </w:p>
    <w:p>
      <w:pPr>
        <w:pStyle w:val="17"/>
        <w:snapToGrid w:val="0"/>
        <w:spacing w:before="120" w:after="120" w:line="360" w:lineRule="auto"/>
        <w:ind w:left="787" w:leftChars="228" w:hanging="240" w:hangingChars="100"/>
        <w:rPr>
          <w:rFonts w:hAnsi="宋体" w:cs="宋体"/>
          <w:highlight w:val="none"/>
        </w:rPr>
      </w:pPr>
      <w:r>
        <w:rPr>
          <w:rFonts w:hint="eastAsia" w:hAnsi="宋体" w:cs="宋体"/>
          <w:highlight w:val="none"/>
        </w:rPr>
        <w:t>本项目采用不公开方式评审，评审的依据为征集文件和响应文件。</w:t>
      </w:r>
    </w:p>
    <w:p>
      <w:pPr>
        <w:pStyle w:val="14"/>
        <w:snapToGrid w:val="0"/>
        <w:spacing w:line="360" w:lineRule="auto"/>
        <w:ind w:firstLine="46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pStyle w:val="17"/>
        <w:snapToGrid w:val="0"/>
        <w:spacing w:before="120" w:after="120"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hAnsi="宋体" w:cs="宋体"/>
          <w:bCs/>
          <w:highlight w:val="none"/>
        </w:rPr>
        <w:t>征集人可以在评审前说明项目背景和采购需求，说明内容不得含有歧视性、倾向性意见，不得超出征集文件所述范围。说明应当提交书面材料，并随征集文件</w:t>
      </w:r>
      <w:r>
        <w:rPr>
          <w:rFonts w:hint="eastAsia" w:ascii="宋体" w:hAnsi="宋体" w:eastAsia="宋体" w:cs="宋体"/>
          <w:bCs/>
          <w:kern w:val="2"/>
          <w:sz w:val="24"/>
          <w:szCs w:val="24"/>
          <w:highlight w:val="none"/>
          <w:lang w:val="en-US" w:eastAsia="zh-CN" w:bidi="ar-SA"/>
        </w:rPr>
        <w:t>一并存档。</w:t>
      </w:r>
    </w:p>
    <w:p>
      <w:pPr>
        <w:pStyle w:val="14"/>
        <w:snapToGrid w:val="0"/>
        <w:spacing w:line="360" w:lineRule="auto"/>
        <w:ind w:firstLine="466" w:firstLineChars="200"/>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1.形式审查</w:t>
      </w:r>
    </w:p>
    <w:p>
      <w:pPr>
        <w:snapToGrid w:val="0"/>
        <w:spacing w:line="360" w:lineRule="auto"/>
        <w:ind w:firstLine="480" w:firstLineChars="200"/>
        <w:rPr>
          <w:rFonts w:ascii="宋体" w:hAnsi="宋体"/>
          <w:bCs/>
          <w:highlight w:val="none"/>
        </w:rPr>
      </w:pPr>
      <w:r>
        <w:rPr>
          <w:rFonts w:hint="eastAsia" w:ascii="宋体" w:hAnsi="宋体"/>
          <w:bCs/>
          <w:highlight w:val="none"/>
        </w:rPr>
        <w:t>1.1形式审查包括资格审查（除符合性审查以外的关于供应商资格条件等内容）和符合性审查，即对供应商的资格和响应文件的完整性、合法性等进行审查。响应文件形式审查未通过的供应商，其响应文件将不再评审。</w:t>
      </w:r>
    </w:p>
    <w:p>
      <w:pPr>
        <w:snapToGrid w:val="0"/>
        <w:spacing w:line="360" w:lineRule="auto"/>
        <w:ind w:firstLine="480" w:firstLineChars="200"/>
        <w:rPr>
          <w:rFonts w:ascii="宋体" w:hAnsi="宋体"/>
          <w:bCs/>
          <w:highlight w:val="none"/>
        </w:rPr>
      </w:pPr>
      <w:r>
        <w:rPr>
          <w:rFonts w:hint="eastAsia" w:ascii="宋体" w:hAnsi="宋体"/>
          <w:bCs/>
          <w:highlight w:val="none"/>
        </w:rPr>
        <w:t>1.2信用信息查询</w:t>
      </w:r>
    </w:p>
    <w:p>
      <w:pPr>
        <w:snapToGrid w:val="0"/>
        <w:spacing w:line="360" w:lineRule="auto"/>
        <w:ind w:firstLine="480" w:firstLineChars="200"/>
        <w:rPr>
          <w:rFonts w:ascii="宋体" w:hAnsi="宋体"/>
          <w:bCs/>
          <w:highlight w:val="none"/>
        </w:rPr>
      </w:pPr>
      <w:r>
        <w:rPr>
          <w:rFonts w:hint="eastAsia" w:ascii="宋体" w:hAnsi="宋体"/>
          <w:bCs/>
          <w:highlight w:val="none"/>
        </w:rPr>
        <w:t>1.2.1信用信息查询渠道及截止时间：征集人将通过“信用中国”网站(www.creditchina.gov.cn)、中国政府采购网(www.ccgp.gov.cn)渠道查询供应商响应截止时间当天的信用记录。</w:t>
      </w:r>
    </w:p>
    <w:p>
      <w:pPr>
        <w:snapToGrid w:val="0"/>
        <w:spacing w:line="360" w:lineRule="auto"/>
        <w:ind w:firstLine="480" w:firstLineChars="200"/>
        <w:rPr>
          <w:rFonts w:ascii="宋体" w:hAnsi="宋体"/>
          <w:bCs/>
          <w:highlight w:val="none"/>
        </w:rPr>
      </w:pPr>
      <w:r>
        <w:rPr>
          <w:rFonts w:hint="eastAsia" w:ascii="宋体" w:hAnsi="宋体"/>
          <w:bCs/>
          <w:highlight w:val="none"/>
        </w:rPr>
        <w:t>1.2.2信用信息查询记录和证据留存的具体方式：现场查询的供应商的信用记录、查询结果经确认后将与征集文件一起存档。</w:t>
      </w:r>
    </w:p>
    <w:p>
      <w:pPr>
        <w:snapToGrid w:val="0"/>
        <w:spacing w:line="360" w:lineRule="auto"/>
        <w:ind w:firstLine="480" w:firstLineChars="200"/>
        <w:rPr>
          <w:rFonts w:ascii="宋体" w:hAnsi="宋体"/>
          <w:highlight w:val="none"/>
        </w:rPr>
      </w:pPr>
      <w:r>
        <w:rPr>
          <w:rFonts w:hint="eastAsia" w:ascii="宋体" w:hAnsi="宋体"/>
          <w:bCs/>
          <w:highlight w:val="none"/>
        </w:rPr>
        <w:t>1.2.3信用信息的使用规则：经查询列入失信被执行人名单、重大税收违法案件当事人名单、政府采购严重违法失信行为记录名单的供应商将被拒绝参与政府采购活动。</w:t>
      </w:r>
    </w:p>
    <w:p>
      <w:pPr>
        <w:snapToGrid w:val="0"/>
        <w:spacing w:line="360" w:lineRule="auto"/>
        <w:ind w:firstLine="472" w:firstLineChars="196"/>
        <w:rPr>
          <w:rFonts w:ascii="宋体" w:hAnsi="宋体"/>
          <w:b/>
          <w:bCs/>
          <w:highlight w:val="none"/>
        </w:rPr>
      </w:pPr>
      <w:r>
        <w:rPr>
          <w:rFonts w:hint="eastAsia" w:ascii="宋体" w:hAnsi="宋体"/>
          <w:b/>
          <w:bCs/>
          <w:highlight w:val="none"/>
        </w:rPr>
        <w:t>2.实质审查</w:t>
      </w:r>
    </w:p>
    <w:p>
      <w:pPr>
        <w:snapToGrid w:val="0"/>
        <w:spacing w:line="360" w:lineRule="auto"/>
        <w:ind w:firstLine="480" w:firstLineChars="200"/>
        <w:rPr>
          <w:rFonts w:ascii="宋体" w:hAnsi="宋体"/>
          <w:highlight w:val="none"/>
        </w:rPr>
      </w:pPr>
      <w:r>
        <w:rPr>
          <w:rFonts w:hint="eastAsia" w:ascii="宋体" w:hAnsi="宋体"/>
          <w:highlight w:val="none"/>
        </w:rPr>
        <w:t>2.1评审小组审查响应文件的实质性内容是否符合征集文件的实质性要求。</w:t>
      </w:r>
    </w:p>
    <w:p>
      <w:pPr>
        <w:snapToGrid w:val="0"/>
        <w:spacing w:line="360" w:lineRule="auto"/>
        <w:ind w:firstLine="480" w:firstLineChars="200"/>
        <w:rPr>
          <w:rFonts w:ascii="宋体" w:hAnsi="宋体"/>
          <w:highlight w:val="none"/>
        </w:rPr>
      </w:pPr>
      <w:r>
        <w:rPr>
          <w:rFonts w:hint="eastAsia" w:ascii="宋体" w:hAnsi="宋体"/>
          <w:highlight w:val="none"/>
        </w:rPr>
        <w:t>2.2评审小组将根据供应商的响应文件进行审查、核对，如有疑问，将对供应商进行询标，供应商要向评审小组澄清有关问题，并最终以书面形式进行答复。</w:t>
      </w:r>
    </w:p>
    <w:p>
      <w:pPr>
        <w:snapToGrid w:val="0"/>
        <w:spacing w:line="360" w:lineRule="auto"/>
        <w:ind w:firstLine="480" w:firstLineChars="200"/>
        <w:rPr>
          <w:rFonts w:ascii="宋体" w:hAnsi="宋体"/>
          <w:highlight w:val="none"/>
        </w:rPr>
      </w:pPr>
      <w:r>
        <w:rPr>
          <w:rFonts w:hint="eastAsia" w:ascii="宋体" w:hAnsi="宋体"/>
          <w:highlight w:val="none"/>
        </w:rPr>
        <w:t>询标时，供应商代表未到场或者拒绝澄清或者澄清的内容改变了响应文件的实质性内容的，评审小组有权对该响应文件做出不利于供应商的评判。</w:t>
      </w:r>
    </w:p>
    <w:p>
      <w:pPr>
        <w:snapToGrid w:val="0"/>
        <w:spacing w:line="360" w:lineRule="auto"/>
        <w:ind w:firstLine="480" w:firstLineChars="200"/>
        <w:rPr>
          <w:rFonts w:ascii="宋体" w:hAnsi="宋体"/>
          <w:strike/>
          <w:highlight w:val="none"/>
        </w:rPr>
      </w:pPr>
      <w:r>
        <w:rPr>
          <w:rFonts w:hint="eastAsia" w:ascii="宋体" w:hAnsi="宋体"/>
          <w:kern w:val="0"/>
          <w:highlight w:val="none"/>
        </w:rPr>
        <w:t>2.3</w:t>
      </w:r>
      <w:r>
        <w:rPr>
          <w:rFonts w:hint="eastAsia" w:ascii="宋体" w:hAnsi="宋体"/>
          <w:highlight w:val="none"/>
        </w:rPr>
        <w:t>评审小组各成员应当独立对每个供应商的商务和技术文件进行评价，并汇总商务技术得分情况。</w:t>
      </w:r>
    </w:p>
    <w:p>
      <w:pPr>
        <w:pStyle w:val="2"/>
        <w:spacing w:line="360" w:lineRule="auto"/>
        <w:ind w:firstLine="482" w:firstLineChars="200"/>
        <w:rPr>
          <w:rFonts w:ascii="宋体" w:hAnsi="宋体" w:cs="宋体"/>
          <w:kern w:val="2"/>
          <w:szCs w:val="24"/>
          <w:highlight w:val="none"/>
        </w:rPr>
      </w:pPr>
      <w:r>
        <w:rPr>
          <w:rFonts w:hint="eastAsia" w:ascii="宋体" w:hAnsi="宋体" w:cs="宋体"/>
          <w:kern w:val="2"/>
          <w:szCs w:val="24"/>
          <w:highlight w:val="none"/>
        </w:rPr>
        <w:t>3.报价审查</w:t>
      </w:r>
    </w:p>
    <w:p>
      <w:pPr>
        <w:snapToGrid w:val="0"/>
        <w:spacing w:line="360" w:lineRule="auto"/>
        <w:ind w:firstLine="480" w:firstLineChars="200"/>
        <w:rPr>
          <w:rFonts w:ascii="宋体" w:hAnsi="宋体"/>
          <w:highlight w:val="none"/>
        </w:rPr>
      </w:pPr>
      <w:r>
        <w:rPr>
          <w:rFonts w:hint="eastAsia" w:ascii="宋体" w:hAnsi="宋体"/>
          <w:highlight w:val="none"/>
        </w:rPr>
        <w:t>本项目报价采用优惠率，评审时须审查《</w:t>
      </w:r>
      <w:r>
        <w:rPr>
          <w:rFonts w:hint="eastAsia" w:ascii="宋体" w:hAnsi="宋体"/>
          <w:highlight w:val="none"/>
          <w:lang w:eastAsia="zh-CN"/>
        </w:rPr>
        <w:t>报价一览表</w:t>
      </w:r>
      <w:r>
        <w:rPr>
          <w:rFonts w:hint="eastAsia" w:ascii="宋体" w:hAnsi="宋体"/>
          <w:highlight w:val="none"/>
        </w:rPr>
        <w:t>》。</w:t>
      </w:r>
    </w:p>
    <w:p>
      <w:pPr>
        <w:pStyle w:val="2"/>
        <w:spacing w:line="360" w:lineRule="auto"/>
        <w:ind w:firstLine="482" w:firstLineChars="200"/>
        <w:rPr>
          <w:rFonts w:ascii="宋体" w:hAnsi="宋体" w:cs="宋体"/>
          <w:kern w:val="2"/>
          <w:szCs w:val="24"/>
          <w:highlight w:val="none"/>
        </w:rPr>
      </w:pPr>
      <w:r>
        <w:rPr>
          <w:rFonts w:hint="eastAsia" w:ascii="宋体" w:hAnsi="宋体" w:cs="宋体"/>
          <w:kern w:val="2"/>
          <w:szCs w:val="24"/>
          <w:highlight w:val="none"/>
        </w:rPr>
        <w:t>4.比较和推荐</w:t>
      </w:r>
    </w:p>
    <w:p>
      <w:pPr>
        <w:snapToGrid w:val="0"/>
        <w:spacing w:line="360" w:lineRule="auto"/>
        <w:ind w:firstLine="480" w:firstLineChars="200"/>
        <w:rPr>
          <w:rFonts w:ascii="宋体" w:hAnsi="宋体"/>
          <w:kern w:val="0"/>
          <w:highlight w:val="none"/>
        </w:rPr>
      </w:pPr>
      <w:r>
        <w:rPr>
          <w:rFonts w:hint="eastAsia" w:ascii="宋体" w:hAnsi="宋体"/>
          <w:highlight w:val="none"/>
        </w:rPr>
        <w:t>评审小组按评审原则推荐入围供应商同时起草评审报告。</w:t>
      </w:r>
    </w:p>
    <w:p>
      <w:pPr>
        <w:snapToGrid w:val="0"/>
        <w:spacing w:line="360" w:lineRule="auto"/>
        <w:ind w:firstLine="482" w:firstLineChars="200"/>
        <w:rPr>
          <w:rFonts w:ascii="宋体" w:hAnsi="宋体"/>
          <w:b/>
          <w:highlight w:val="none"/>
        </w:rPr>
      </w:pPr>
      <w:r>
        <w:rPr>
          <w:rFonts w:hint="eastAsia" w:ascii="宋体" w:hAnsi="宋体"/>
          <w:b/>
          <w:highlight w:val="none"/>
        </w:rPr>
        <w:t>（四）澄清问题的形式</w:t>
      </w:r>
    </w:p>
    <w:p>
      <w:pPr>
        <w:snapToGrid w:val="0"/>
        <w:spacing w:line="360" w:lineRule="auto"/>
        <w:ind w:firstLine="480" w:firstLineChars="200"/>
        <w:rPr>
          <w:rFonts w:ascii="宋体" w:hAnsi="宋体"/>
          <w:highlight w:val="none"/>
        </w:rPr>
      </w:pPr>
      <w:r>
        <w:rPr>
          <w:rFonts w:hint="eastAsia" w:ascii="宋体" w:hAnsi="宋体"/>
          <w:highlight w:val="none"/>
        </w:rPr>
        <w:t>对响应文件中含义不明确、同类问题表述不一致或者有明显文字和计算错误的内容，评审小组可要求供应商作出必要的澄清、说明或者纠正。</w:t>
      </w:r>
    </w:p>
    <w:p>
      <w:pPr>
        <w:snapToGrid w:val="0"/>
        <w:spacing w:line="360" w:lineRule="auto"/>
        <w:ind w:firstLine="480" w:firstLineChars="200"/>
        <w:rPr>
          <w:rFonts w:ascii="宋体" w:hAnsi="宋体"/>
          <w:highlight w:val="none"/>
        </w:rPr>
      </w:pPr>
      <w:r>
        <w:rPr>
          <w:rFonts w:hint="eastAsia" w:ascii="宋体" w:hAnsi="宋体"/>
          <w:highlight w:val="none"/>
        </w:rPr>
        <w:t>1.评审小组可以在“政采云”平台在线询标或其他有效形式要求供应商对同一份响应文件含义不明确或同类问题表述不一致的内容（征集文件其他地方有规定处理方法的除外）作必要的澄清或说明。供应商应采用在线回复在10分钟内进行澄清或说明，但不得超出响应文件的范围或改变响应文件的实质性内容。凡属于评审小组在评审中发现的计算错误并进行核实的修改不在此列。</w:t>
      </w:r>
    </w:p>
    <w:p>
      <w:pPr>
        <w:snapToGrid w:val="0"/>
        <w:spacing w:line="360" w:lineRule="auto"/>
        <w:ind w:firstLine="480" w:firstLineChars="200"/>
        <w:rPr>
          <w:rFonts w:ascii="宋体" w:hAnsi="宋体"/>
          <w:highlight w:val="none"/>
        </w:rPr>
      </w:pPr>
      <w:r>
        <w:rPr>
          <w:rFonts w:hint="eastAsia" w:ascii="宋体" w:hAnsi="宋体"/>
          <w:highlight w:val="none"/>
        </w:rPr>
        <w:t>2.如果供应商代表拒绝或未按评审小组要求在规定时间内作出在线回复且无其他有效回复方式的，评审小组可以对其作出不利判定。</w:t>
      </w:r>
    </w:p>
    <w:p>
      <w:pPr>
        <w:snapToGrid w:val="0"/>
        <w:spacing w:line="360" w:lineRule="auto"/>
        <w:ind w:firstLine="482" w:firstLineChars="200"/>
        <w:rPr>
          <w:rFonts w:hint="eastAsia" w:ascii="宋体" w:hAnsi="宋体" w:eastAsia="宋体" w:cs="宋体"/>
          <w:b/>
          <w:highlight w:val="none"/>
        </w:rPr>
      </w:pPr>
      <w:r>
        <w:rPr>
          <w:rFonts w:hint="eastAsia" w:ascii="宋体" w:hAnsi="宋体" w:eastAsia="宋体" w:cs="宋体"/>
          <w:b/>
          <w:highlight w:val="none"/>
        </w:rPr>
        <w:t>（五）评审原则和评审办法</w:t>
      </w:r>
    </w:p>
    <w:p>
      <w:pPr>
        <w:pStyle w:val="17"/>
        <w:snapToGrid w:val="0"/>
        <w:spacing w:before="120" w:after="120" w:line="360" w:lineRule="auto"/>
        <w:ind w:firstLine="480" w:firstLineChars="200"/>
        <w:rPr>
          <w:rFonts w:hAnsi="宋体" w:cs="宋体"/>
          <w:highlight w:val="none"/>
        </w:rPr>
      </w:pPr>
      <w:r>
        <w:rPr>
          <w:rFonts w:hint="eastAsia" w:hAnsi="宋体" w:cs="宋体"/>
          <w:highlight w:val="none"/>
        </w:rPr>
        <w:t>1.评审原则。评审小组必须公平、公正、客观，不带任何倾向性和启发性；不得向外界透露任何与评审有关的内容；任何单位和个人不得干扰、影响评审的正常进行；评审小组及有关工作人员不得私下与供应商接触。</w:t>
      </w:r>
    </w:p>
    <w:p>
      <w:pPr>
        <w:pStyle w:val="17"/>
        <w:snapToGrid w:val="0"/>
        <w:spacing w:before="120" w:after="120" w:line="360" w:lineRule="auto"/>
        <w:ind w:firstLine="480" w:firstLineChars="200"/>
        <w:rPr>
          <w:rFonts w:hAnsi="宋体" w:cs="宋体"/>
          <w:highlight w:val="none"/>
        </w:rPr>
      </w:pPr>
      <w:r>
        <w:rPr>
          <w:rFonts w:hint="eastAsia" w:hAnsi="宋体" w:cs="宋体"/>
          <w:highlight w:val="none"/>
        </w:rPr>
        <w:t>2.评审办法。本项目评审办法是质量优先法，具体评审内容及评分标准等详见《第四章：评审办法及标准》。</w:t>
      </w:r>
    </w:p>
    <w:p>
      <w:pPr>
        <w:snapToGrid w:val="0"/>
        <w:spacing w:line="360" w:lineRule="auto"/>
        <w:ind w:firstLine="482" w:firstLineChars="200"/>
        <w:rPr>
          <w:rFonts w:hint="eastAsia" w:ascii="宋体" w:hAnsi="宋体" w:eastAsia="宋体" w:cs="宋体"/>
          <w:b/>
          <w:highlight w:val="none"/>
        </w:rPr>
      </w:pPr>
      <w:r>
        <w:rPr>
          <w:rFonts w:hint="eastAsia" w:ascii="宋体" w:hAnsi="宋体" w:eastAsia="宋体" w:cs="宋体"/>
          <w:b/>
          <w:highlight w:val="none"/>
        </w:rPr>
        <w:t>（六）评审过程的监控</w:t>
      </w:r>
    </w:p>
    <w:p>
      <w:pPr>
        <w:pStyle w:val="17"/>
        <w:snapToGrid w:val="0"/>
        <w:spacing w:before="120" w:after="120" w:line="360" w:lineRule="auto"/>
        <w:ind w:firstLine="480" w:firstLineChars="200"/>
        <w:rPr>
          <w:rFonts w:hAnsi="宋体" w:cs="宋体"/>
          <w:highlight w:val="none"/>
        </w:rPr>
      </w:pPr>
      <w:r>
        <w:rPr>
          <w:rFonts w:hint="eastAsia" w:hAnsi="宋体" w:cs="宋体"/>
          <w:highlight w:val="none"/>
        </w:rPr>
        <w:t>本项目评审过程实行全程录音、录像监控。供应商在评审过程中所进行的试图影响评审结果的不公正活动，可能导致其响应被拒绝。</w:t>
      </w:r>
    </w:p>
    <w:p>
      <w:pPr>
        <w:snapToGrid w:val="0"/>
        <w:spacing w:line="360" w:lineRule="auto"/>
        <w:ind w:firstLine="482" w:firstLineChars="200"/>
        <w:rPr>
          <w:rFonts w:hint="eastAsia" w:ascii="宋体" w:hAnsi="宋体" w:eastAsia="宋体" w:cs="宋体"/>
          <w:b/>
          <w:highlight w:val="none"/>
        </w:rPr>
      </w:pPr>
      <w:r>
        <w:rPr>
          <w:rFonts w:hint="eastAsia" w:ascii="宋体" w:hAnsi="宋体" w:eastAsia="宋体" w:cs="宋体"/>
          <w:b/>
          <w:highlight w:val="none"/>
        </w:rPr>
        <w:t>六、入围结果</w:t>
      </w:r>
    </w:p>
    <w:p>
      <w:pPr>
        <w:spacing w:line="360" w:lineRule="auto"/>
        <w:ind w:firstLine="480" w:firstLineChars="200"/>
        <w:rPr>
          <w:rFonts w:ascii="宋体" w:hAnsi="宋体"/>
          <w:highlight w:val="none"/>
        </w:rPr>
      </w:pPr>
      <w:r>
        <w:rPr>
          <w:rFonts w:hint="eastAsia" w:ascii="宋体" w:hAnsi="宋体"/>
          <w:highlight w:val="none"/>
        </w:rPr>
        <w:t>1.征集人在政采云系统向入围供应商发出入围通知书，入围通知书发出后30日内，并在框架协议签订后7个工作日内，将框架协议副本报本级财政部门备案。框架协议不得对征集文件确定的事项以及入围供应商的响应文件作实质性修改。</w:t>
      </w:r>
    </w:p>
    <w:p>
      <w:pPr>
        <w:snapToGrid w:val="0"/>
        <w:spacing w:line="360" w:lineRule="auto"/>
        <w:ind w:firstLine="480" w:firstLineChars="200"/>
        <w:rPr>
          <w:rFonts w:ascii="宋体" w:hAnsi="宋体"/>
          <w:highlight w:val="none"/>
        </w:rPr>
      </w:pPr>
      <w:r>
        <w:rPr>
          <w:rFonts w:hint="eastAsia" w:ascii="宋体" w:hAnsi="宋体"/>
          <w:highlight w:val="none"/>
        </w:rPr>
        <w:t>2.本项目在框架协议签订后3个工作日内，入围信息公告于浙江政府采购网(http://www.zjzfcg.gov.cn/new/)。</w:t>
      </w:r>
    </w:p>
    <w:p>
      <w:pPr>
        <w:snapToGrid w:val="0"/>
        <w:spacing w:line="360" w:lineRule="auto"/>
        <w:ind w:firstLine="480" w:firstLineChars="200"/>
        <w:rPr>
          <w:rFonts w:ascii="宋体" w:hAnsi="宋体"/>
          <w:highlight w:val="none"/>
        </w:rPr>
      </w:pPr>
      <w:r>
        <w:rPr>
          <w:rFonts w:hint="eastAsia" w:ascii="宋体" w:hAnsi="宋体"/>
          <w:highlight w:val="none"/>
        </w:rPr>
        <w:t>3.入围供应商拖延、拒签合同的，将被取消入围资格，并报监督管理部门依法处理。</w:t>
      </w:r>
    </w:p>
    <w:p>
      <w:pPr>
        <w:snapToGrid w:val="0"/>
        <w:spacing w:line="360" w:lineRule="auto"/>
        <w:ind w:firstLine="482" w:firstLineChars="200"/>
        <w:rPr>
          <w:rFonts w:hint="eastAsia" w:ascii="宋体" w:hAnsi="宋体" w:eastAsia="宋体" w:cs="宋体"/>
          <w:b/>
          <w:highlight w:val="none"/>
        </w:rPr>
      </w:pPr>
      <w:r>
        <w:rPr>
          <w:rFonts w:hint="eastAsia" w:ascii="宋体" w:hAnsi="宋体" w:eastAsia="宋体" w:cs="宋体"/>
          <w:b/>
          <w:highlight w:val="none"/>
        </w:rPr>
        <w:t>七、验收（考核）</w:t>
      </w:r>
    </w:p>
    <w:p>
      <w:pPr>
        <w:snapToGrid w:val="0"/>
        <w:spacing w:line="360" w:lineRule="auto"/>
        <w:ind w:firstLine="480" w:firstLineChars="200"/>
        <w:rPr>
          <w:rFonts w:ascii="宋体" w:hAnsi="宋体"/>
          <w:highlight w:val="none"/>
        </w:rPr>
      </w:pPr>
      <w:r>
        <w:rPr>
          <w:rFonts w:hint="eastAsia" w:ascii="宋体" w:hAnsi="宋体"/>
          <w:highlight w:val="none"/>
        </w:rPr>
        <w:t>1.征集人组织对供应商履约的验收（考核）。大型或者复杂的政府采购项目，应当邀请国家认可的质量检测机构参加验收（考核）工作。验收（考核）方成员应当在验收书上签字，并承担相应的法律责任。如果发现与合同中要求不符，供应商须承担由此发生的一切损失和费用，并接受相应的处理。</w:t>
      </w:r>
    </w:p>
    <w:p>
      <w:pPr>
        <w:snapToGrid w:val="0"/>
        <w:spacing w:line="360" w:lineRule="auto"/>
        <w:ind w:firstLine="480" w:firstLineChars="200"/>
        <w:rPr>
          <w:rFonts w:ascii="宋体" w:hAnsi="宋体"/>
          <w:highlight w:val="none"/>
        </w:rPr>
      </w:pPr>
      <w:r>
        <w:rPr>
          <w:rFonts w:hint="eastAsia" w:ascii="宋体" w:hAnsi="宋体"/>
          <w:highlight w:val="none"/>
        </w:rPr>
        <w:t>2.征集人可以邀请参加本项目的其他供应商或者第三方机构参与验收（考核）。参与验收（考核）的供应商或者第三方机构的意见作为验收（考核）书的参考资料一并存档。</w:t>
      </w:r>
    </w:p>
    <w:p>
      <w:pPr>
        <w:snapToGrid w:val="0"/>
        <w:spacing w:line="360" w:lineRule="auto"/>
        <w:ind w:firstLine="480" w:firstLineChars="200"/>
        <w:rPr>
          <w:rFonts w:ascii="宋体" w:hAnsi="宋体"/>
          <w:highlight w:val="none"/>
        </w:rPr>
      </w:pPr>
      <w:r>
        <w:rPr>
          <w:rFonts w:hint="eastAsia" w:ascii="宋体" w:hAnsi="宋体"/>
          <w:highlight w:val="none"/>
        </w:rPr>
        <w:t>3.严格按照采购合同开展履约验收（考核）。征集人成立验收（考核）小组，按照采购合同的约定对供应商履约情况进行验收（考核）。验收（考核）时，按照采购合同的约定对每一项技术、服务、安全标准的履约情况进行确认。验收（考核）结束后，应当出具验收书，列明各项标准的验收（考核）情况及项目总体评价，由验收（考核）双方共同签署。验收（考核）结果与采购合同约定的资金支付及履约保证金返还条件挂钩。履约验收（考核）的各项资料应当存档备查。</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sectPr>
          <w:footerReference r:id="rId4" w:type="default"/>
          <w:pgSz w:w="11849" w:h="16781"/>
          <w:pgMar w:top="1440" w:right="1797" w:bottom="1440" w:left="1797" w:header="851" w:footer="850" w:gutter="0"/>
          <w:pgBorders>
            <w:top w:val="none" w:sz="0" w:space="0"/>
            <w:left w:val="none" w:sz="0" w:space="0"/>
            <w:bottom w:val="none" w:sz="0" w:space="0"/>
            <w:right w:val="none" w:sz="0" w:space="0"/>
          </w:pgBorders>
          <w:pgNumType w:fmt="numberInDash" w:start="3"/>
          <w:cols w:space="720" w:num="1"/>
          <w:docGrid w:linePitch="312" w:charSpace="0"/>
        </w:sectPr>
      </w:pPr>
      <w:r>
        <w:rPr>
          <w:rFonts w:hint="eastAsia" w:ascii="宋体" w:hAnsi="宋体"/>
          <w:highlight w:val="none"/>
        </w:rPr>
        <w:t>4.验收（考核）合格的项目，业务委托人将根据采购合同的约定及时向供应商支付采购资金、退还履约保证金。验收（考核）不合格的项目，征集人将依法及时处理。采购合同的履行、违约责任和解决争议的方式等适用《中华人民共和国民法典》。供应商在履约过程中有政府采购法律法规规定的违法违规情形的，征集人应当及时报告本级财政部</w:t>
      </w:r>
      <w:bookmarkStart w:id="71" w:name="_Hlt75236290"/>
      <w:bookmarkEnd w:id="71"/>
      <w:bookmarkStart w:id="72" w:name="_Hlt68403820"/>
      <w:bookmarkEnd w:id="72"/>
      <w:bookmarkStart w:id="73" w:name="_Hlt74730295"/>
      <w:bookmarkEnd w:id="73"/>
      <w:bookmarkStart w:id="74" w:name="_Hlt68072998"/>
      <w:bookmarkEnd w:id="74"/>
      <w:bookmarkStart w:id="75" w:name="_Hlt74707468"/>
      <w:bookmarkEnd w:id="75"/>
      <w:bookmarkStart w:id="76" w:name="_Hlt74714665"/>
      <w:bookmarkEnd w:id="76"/>
      <w:bookmarkStart w:id="77" w:name="_Hlt75236011"/>
      <w:bookmarkEnd w:id="77"/>
      <w:bookmarkStart w:id="78" w:name="_Hlt68072990"/>
      <w:bookmarkEnd w:id="78"/>
      <w:bookmarkStart w:id="79" w:name="_Hlt68057669"/>
      <w:bookmarkEnd w:id="79"/>
      <w:bookmarkStart w:id="80" w:name="_Hlt74729768"/>
      <w:bookmarkEnd w:id="80"/>
      <w:bookmarkStart w:id="81" w:name="_Hlt68073093"/>
      <w:bookmarkEnd w:id="81"/>
      <w:bookmarkStart w:id="82" w:name="_Hlt75236101"/>
      <w:bookmarkEnd w:id="82"/>
      <w:r>
        <w:rPr>
          <w:rFonts w:hint="eastAsia" w:ascii="宋体" w:hAnsi="宋体"/>
          <w:highlight w:val="none"/>
        </w:rPr>
        <w:t>部门</w:t>
      </w:r>
      <w:r>
        <w:rPr>
          <w:rFonts w:hint="eastAsia" w:ascii="宋体" w:hAnsi="宋体" w:eastAsia="宋体" w:cs="宋体"/>
          <w:color w:val="auto"/>
          <w:sz w:val="24"/>
          <w:szCs w:val="24"/>
          <w:highlight w:val="none"/>
        </w:rPr>
        <w:t>。</w:t>
      </w:r>
    </w:p>
    <w:p>
      <w:pPr>
        <w:pStyle w:val="4"/>
        <w:snapToGrid w:val="0"/>
        <w:spacing w:line="300" w:lineRule="auto"/>
        <w:rPr>
          <w:rFonts w:hint="eastAsia" w:ascii="黑体" w:hAnsi="黑体" w:eastAsia="黑体" w:cs="黑体"/>
          <w:color w:val="auto"/>
          <w:sz w:val="32"/>
          <w:szCs w:val="32"/>
          <w:highlight w:val="none"/>
        </w:rPr>
      </w:pPr>
      <w:bookmarkStart w:id="83" w:name="_Toc35352908"/>
      <w:r>
        <w:rPr>
          <w:rFonts w:hint="eastAsia" w:ascii="黑体" w:hAnsi="黑体" w:eastAsia="黑体" w:cs="黑体"/>
          <w:color w:val="auto"/>
          <w:sz w:val="32"/>
          <w:szCs w:val="32"/>
          <w:highlight w:val="none"/>
        </w:rPr>
        <w:t>第四章 评标办法及标准</w:t>
      </w:r>
      <w:bookmarkEnd w:id="8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为公正、公平、科学地选择入围供应商，根据中华人民共和国财政部令第 110 号《政府采购框架协议采购方式管理暂行办法》、《中华人民共和国政府采购法》等有关法律法规的规定，并结合本项目的实际，制定本办法</w:t>
      </w:r>
      <w:r>
        <w:rPr>
          <w:rFonts w:ascii="宋体" w:hAnsi="宋体"/>
          <w:color w:val="auto"/>
          <w:sz w:val="24"/>
          <w:highlight w:val="none"/>
        </w:rPr>
        <w:t>。</w:t>
      </w:r>
    </w:p>
    <w:p>
      <w:pPr>
        <w:spacing w:beforeLines="50" w:afterLines="50" w:line="360" w:lineRule="auto"/>
        <w:ind w:firstLine="420"/>
        <w:rPr>
          <w:rFonts w:asciiTheme="majorEastAsia" w:hAnsiTheme="majorEastAsia" w:eastAsiaTheme="majorEastAsia" w:cstheme="majorEastAsia"/>
          <w:color w:val="auto"/>
          <w:highlight w:val="none"/>
        </w:rPr>
      </w:pPr>
      <w:r>
        <w:rPr>
          <w:rFonts w:ascii="宋体" w:hAnsi="宋体"/>
          <w:color w:val="auto"/>
          <w:sz w:val="24"/>
          <w:highlight w:val="none"/>
        </w:rPr>
        <w:t>本办法适用于</w:t>
      </w:r>
      <w:r>
        <w:rPr>
          <w:rFonts w:hint="eastAsia" w:ascii="宋体" w:hAnsi="宋体"/>
          <w:bCs/>
          <w:color w:val="auto"/>
          <w:sz w:val="24"/>
          <w:highlight w:val="none"/>
          <w:u w:val="single"/>
        </w:rPr>
        <w:t>（</w:t>
      </w:r>
      <w:r>
        <w:rPr>
          <w:rFonts w:hint="eastAsia" w:ascii="宋体" w:hAnsi="宋体"/>
          <w:bCs/>
          <w:color w:val="auto"/>
          <w:sz w:val="24"/>
          <w:highlight w:val="none"/>
          <w:u w:val="single"/>
          <w:lang w:eastAsia="zh-CN"/>
        </w:rPr>
        <w:t>平政采招2024-38</w:t>
      </w:r>
      <w:r>
        <w:rPr>
          <w:rFonts w:hint="eastAsia" w:ascii="宋体" w:hAnsi="宋体"/>
          <w:bCs/>
          <w:color w:val="auto"/>
          <w:sz w:val="24"/>
          <w:highlight w:val="none"/>
          <w:u w:val="single"/>
        </w:rPr>
        <w:t xml:space="preserve">） </w:t>
      </w:r>
      <w:r>
        <w:rPr>
          <w:rFonts w:ascii="宋体" w:hAnsi="宋体"/>
          <w:bCs/>
          <w:color w:val="auto"/>
          <w:sz w:val="24"/>
          <w:highlight w:val="none"/>
        </w:rPr>
        <w:t>采购项目的评标。</w:t>
      </w:r>
    </w:p>
    <w:p>
      <w:pPr>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一、总则</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根据中华人民共和国财政部令第 110 号《政府采购框架协议采购方式管理暂行办法》，确定第一阶段入围供应商的评审方法为质量优先法，确定第二阶段成交供应商的方式为直接选定方式。</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w:t>
      </w:r>
      <w:r>
        <w:rPr>
          <w:rFonts w:hint="eastAsia" w:ascii="宋体" w:hAnsi="宋体" w:eastAsia="宋体" w:cs="宋体"/>
          <w:color w:val="auto"/>
          <w:sz w:val="24"/>
          <w:szCs w:val="24"/>
          <w:highlight w:val="none"/>
          <w:lang w:eastAsia="zh-CN"/>
        </w:rPr>
        <w:t>质量优先</w:t>
      </w:r>
      <w:r>
        <w:rPr>
          <w:rFonts w:hint="eastAsia" w:ascii="宋体" w:hAnsi="宋体" w:eastAsia="宋体" w:cs="宋体"/>
          <w:color w:val="auto"/>
          <w:sz w:val="24"/>
          <w:szCs w:val="24"/>
          <w:highlight w:val="none"/>
        </w:rPr>
        <w:t>法。总分为100分。质量优先法是指对满足采购需求且响应报价不超过最高限制单价的货物、服务进行质量综合评分，按照质量评分从高到低排序，根据征集文件规定的淘汰率或者入围供应商数量上限，确定入围供应商的评审方法。</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提交响应文件且符合资格条件、实质性要求的供应商</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家（不含）以上，按照质量评分从高到低排序，推荐前</w:t>
      </w: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家为入围供应商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提交响应文件</w:t>
      </w:r>
      <w:r>
        <w:rPr>
          <w:rFonts w:hint="eastAsia" w:ascii="宋体" w:hAnsi="宋体" w:eastAsia="宋体" w:cs="宋体"/>
          <w:b w:val="0"/>
          <w:bCs w:val="0"/>
          <w:color w:val="auto"/>
          <w:sz w:val="24"/>
          <w:szCs w:val="24"/>
          <w:highlight w:val="none"/>
          <w:lang w:eastAsia="zh-CN"/>
        </w:rPr>
        <w:t>且</w:t>
      </w:r>
      <w:r>
        <w:rPr>
          <w:rFonts w:hint="eastAsia" w:ascii="宋体" w:hAnsi="宋体" w:eastAsia="宋体" w:cs="宋体"/>
          <w:b w:val="0"/>
          <w:bCs w:val="0"/>
          <w:color w:val="auto"/>
          <w:sz w:val="24"/>
          <w:szCs w:val="24"/>
          <w:highlight w:val="none"/>
        </w:rPr>
        <w:t>符合资格条件、实质性要求的供应商</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家（含）以下，按20%比例淘汰（如遇淘汰数值为小数的，取大值整数，例如淘汰4.2家，取淘汰5家）后推荐为入围供应商。</w:t>
      </w:r>
      <w:r>
        <w:rPr>
          <w:rFonts w:hint="eastAsia" w:ascii="宋体" w:hAnsi="宋体" w:eastAsia="宋体" w:cs="宋体"/>
          <w:color w:val="auto"/>
          <w:sz w:val="24"/>
          <w:szCs w:val="24"/>
          <w:highlight w:val="none"/>
          <w:lang w:val="en-US" w:eastAsia="zh-CN"/>
        </w:rPr>
        <w:t>评分过程中采用四舍五入法，并保留小数2位。</w:t>
      </w:r>
    </w:p>
    <w:p>
      <w:pPr>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中标候选资格按质量综合得分由高到低顺序排列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得分相同的，按技术得分总分由高到低顺序排列，技术得分总分相同的</w:t>
      </w:r>
      <w:r>
        <w:rPr>
          <w:rFonts w:hint="eastAsia" w:ascii="宋体" w:hAnsi="宋体" w:eastAsia="宋体" w:cs="宋体"/>
          <w:b/>
          <w:bCs/>
          <w:color w:val="auto"/>
          <w:sz w:val="24"/>
          <w:szCs w:val="24"/>
          <w:highlight w:val="none"/>
          <w:lang w:eastAsia="zh-CN"/>
        </w:rPr>
        <w:t>，按</w:t>
      </w:r>
      <w:r>
        <w:rPr>
          <w:rFonts w:hint="eastAsia" w:ascii="宋体" w:hAnsi="宋体" w:eastAsia="宋体" w:cs="宋体"/>
          <w:b/>
          <w:bCs/>
          <w:color w:val="auto"/>
          <w:sz w:val="24"/>
          <w:szCs w:val="24"/>
          <w:highlight w:val="none"/>
        </w:rPr>
        <w:t>团队负责人</w:t>
      </w:r>
      <w:r>
        <w:rPr>
          <w:rFonts w:hint="eastAsia" w:ascii="宋体" w:hAnsi="宋体" w:eastAsia="宋体" w:cs="宋体"/>
          <w:b/>
          <w:bCs/>
          <w:color w:val="auto"/>
          <w:sz w:val="24"/>
          <w:szCs w:val="24"/>
          <w:highlight w:val="none"/>
          <w:lang w:val="en-US" w:eastAsia="zh-CN"/>
        </w:rPr>
        <w:t>一级</w:t>
      </w:r>
      <w:r>
        <w:rPr>
          <w:rFonts w:hint="eastAsia" w:ascii="宋体" w:hAnsi="宋体" w:eastAsia="宋体" w:cs="宋体"/>
          <w:b/>
          <w:bCs/>
          <w:color w:val="auto"/>
          <w:sz w:val="24"/>
          <w:szCs w:val="24"/>
          <w:highlight w:val="none"/>
        </w:rPr>
        <w:t>造价</w:t>
      </w:r>
      <w:r>
        <w:rPr>
          <w:rFonts w:hint="eastAsia" w:ascii="宋体" w:hAnsi="宋体" w:eastAsia="宋体" w:cs="宋体"/>
          <w:b/>
          <w:bCs/>
          <w:color w:val="auto"/>
          <w:sz w:val="24"/>
          <w:szCs w:val="24"/>
          <w:highlight w:val="none"/>
          <w:lang w:val="en-US" w:eastAsia="zh-CN"/>
        </w:rPr>
        <w:t>工程师</w:t>
      </w:r>
      <w:r>
        <w:rPr>
          <w:rFonts w:hint="eastAsia" w:ascii="宋体" w:hAnsi="宋体" w:eastAsia="宋体" w:cs="宋体"/>
          <w:b/>
          <w:bCs/>
          <w:color w:val="auto"/>
          <w:sz w:val="24"/>
          <w:szCs w:val="24"/>
          <w:highlight w:val="none"/>
        </w:rPr>
        <w:t>初始注册时间早的入围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团队负责人</w:t>
      </w:r>
      <w:r>
        <w:rPr>
          <w:rFonts w:hint="eastAsia" w:ascii="宋体" w:hAnsi="宋体" w:eastAsia="宋体" w:cs="宋体"/>
          <w:b/>
          <w:bCs/>
          <w:color w:val="auto"/>
          <w:sz w:val="24"/>
          <w:szCs w:val="24"/>
          <w:highlight w:val="none"/>
          <w:lang w:val="en-US" w:eastAsia="zh-CN"/>
        </w:rPr>
        <w:t>一级</w:t>
      </w:r>
      <w:r>
        <w:rPr>
          <w:rFonts w:hint="eastAsia" w:ascii="宋体" w:hAnsi="宋体" w:eastAsia="宋体" w:cs="宋体"/>
          <w:b/>
          <w:bCs/>
          <w:color w:val="auto"/>
          <w:sz w:val="24"/>
          <w:szCs w:val="24"/>
          <w:highlight w:val="none"/>
        </w:rPr>
        <w:t>造价</w:t>
      </w:r>
      <w:r>
        <w:rPr>
          <w:rFonts w:hint="eastAsia" w:ascii="宋体" w:hAnsi="宋体" w:eastAsia="宋体" w:cs="宋体"/>
          <w:b/>
          <w:bCs/>
          <w:color w:val="auto"/>
          <w:sz w:val="24"/>
          <w:szCs w:val="24"/>
          <w:highlight w:val="none"/>
          <w:lang w:val="en-US" w:eastAsia="zh-CN"/>
        </w:rPr>
        <w:t>工程师</w:t>
      </w:r>
      <w:r>
        <w:rPr>
          <w:rFonts w:hint="eastAsia" w:ascii="宋体" w:hAnsi="宋体" w:eastAsia="宋体" w:cs="宋体"/>
          <w:b/>
          <w:bCs/>
          <w:color w:val="auto"/>
          <w:sz w:val="24"/>
          <w:szCs w:val="24"/>
          <w:highlight w:val="none"/>
        </w:rPr>
        <w:t>初始注册时间</w:t>
      </w:r>
      <w:r>
        <w:rPr>
          <w:rFonts w:hint="eastAsia" w:ascii="宋体" w:hAnsi="宋体" w:eastAsia="宋体" w:cs="宋体"/>
          <w:b/>
          <w:bCs/>
          <w:color w:val="auto"/>
          <w:sz w:val="24"/>
          <w:szCs w:val="24"/>
          <w:highlight w:val="none"/>
          <w:lang w:val="en-US" w:eastAsia="zh-CN"/>
        </w:rPr>
        <w:t>相同的，</w:t>
      </w:r>
      <w:r>
        <w:rPr>
          <w:rFonts w:hint="eastAsia" w:ascii="宋体" w:hAnsi="宋体" w:eastAsia="宋体" w:cs="宋体"/>
          <w:b/>
          <w:bCs/>
          <w:color w:val="auto"/>
          <w:sz w:val="24"/>
          <w:szCs w:val="24"/>
          <w:highlight w:val="none"/>
        </w:rPr>
        <w:t>则团队负责人年龄小的入围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以身份证为准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仍不能分出前后的，以电子响应文件解密先后顺序确定。</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供应商评标综合得分=技术分+</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资信及其他分</w:t>
      </w:r>
    </w:p>
    <w:p>
      <w:pPr>
        <w:keepNext w:val="0"/>
        <w:keepLines w:val="0"/>
        <w:pageBreakBefore w:val="0"/>
        <w:kinsoku/>
        <w:wordWrap/>
        <w:overflowPunct/>
        <w:topLinePunct w:val="0"/>
        <w:autoSpaceDE/>
        <w:autoSpaceDN/>
        <w:bidi w:val="0"/>
        <w:adjustRightInd/>
        <w:snapToGrid/>
        <w:spacing w:beforeLines="50" w:afterLines="50" w:line="360" w:lineRule="auto"/>
        <w:ind w:firstLine="482" w:firstLineChars="200"/>
        <w:textAlignment w:val="auto"/>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二、评标内容及标准</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690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33" w:type="pct"/>
            <w:shd w:val="clear" w:color="auto" w:fill="FFFFFF"/>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3471" w:type="pct"/>
            <w:shd w:val="clear" w:color="auto" w:fill="FFFFFF"/>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595" w:type="pct"/>
            <w:shd w:val="clear" w:color="auto" w:fill="FFFFFF"/>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000" w:type="pct"/>
            <w:gridSpan w:val="3"/>
            <w:vAlign w:val="center"/>
          </w:tcPr>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技术分（</w:t>
            </w:r>
            <w:r>
              <w:rPr>
                <w:rFonts w:hint="eastAsia" w:ascii="宋体" w:hAnsi="宋体" w:cs="宋体"/>
                <w:b/>
                <w:bCs/>
                <w:color w:val="auto"/>
                <w:sz w:val="24"/>
                <w:highlight w:val="none"/>
                <w:lang w:val="en-US" w:eastAsia="zh-CN"/>
              </w:rPr>
              <w:t>95</w:t>
            </w:r>
            <w:r>
              <w:rPr>
                <w:rFonts w:hint="eastAsia" w:ascii="宋体" w:hAnsi="宋体" w:cs="宋体"/>
                <w:b/>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拟派团队负责人配置</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eastAsia="宋体" w:cs="宋体"/>
                <w:highlight w:val="none"/>
              </w:rPr>
              <w:t>拟派团队负责人同时具备高级工程师和注册造价师资质的得5分；同时具备工程师证书和注册造价师资质，得2分；不具备的得0分。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拟派团队组成员配置</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拟派团队组成员中要求各专业（土木建筑、交通运输、水利和安装）配置齐全，少一个专业扣2分。拟派团队组成员每人只取一个专业计分，以供应商注明的为准，注明多个专业的按照第一个专业计分，本项最高得8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拟派团队组成员专业</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拟派团队组成员具有注册一级造价工程师证书的，每人得2分；具有注册二级造价工程师证书的，每人得1分，拟派团队组成员每人只取一个证书计分，以供应商注明的为准。本条最高得12分。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拟派团队组成员经验</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拟派团队人员在2021年6月30日（以审核报告出具时间为准）至今完成过政府投资或国资投资项目工作经验，作为项目主编主审的每一个得2分，同一人相同专业不重复得分，每人最高得4分；作为项目参与者每一个得1分，同一人相同专业不重复得分，每人最高得2分。专业分建筑、安装、市政、园林绿化、公路、水利。本项最高得16分。注：①响应文件中须提供清晰可辨的合同扫描件、工程结算（概算、预算）审核报告（主审须盖一级注册造价师资格章，参与成员须盖二级及以上注册造价师资格章）。②安装专业项目经验，必须是以安装专业为主承揽的项目成果报告，例如以土建为主的房屋建筑工程中的安装经验则不得分。③这里的项目主编主审是指成果项目报告中项目负责人</w:t>
            </w:r>
            <w:r>
              <w:rPr>
                <w:rFonts w:hint="eastAsia" w:ascii="宋体" w:hAnsi="宋体" w:cs="宋体"/>
                <w:color w:val="auto"/>
                <w:sz w:val="24"/>
                <w:highlight w:val="none"/>
                <w:lang w:eastAsia="zh-CN"/>
              </w:rPr>
              <w:t>。</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审核方案</w:t>
            </w:r>
          </w:p>
        </w:tc>
        <w:tc>
          <w:tcPr>
            <w:tcW w:w="347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根据供应商提供的竣工结算审核方案</w:t>
            </w:r>
            <w:r>
              <w:rPr>
                <w:rFonts w:hint="eastAsia" w:ascii="宋体" w:hAnsi="宋体" w:eastAsia="宋体" w:cs="宋体"/>
                <w:color w:val="auto"/>
                <w:sz w:val="24"/>
                <w:highlight w:val="none"/>
                <w:lang w:eastAsia="zh-CN"/>
              </w:rPr>
              <w:t>进行</w:t>
            </w:r>
            <w:r>
              <w:rPr>
                <w:rFonts w:hint="eastAsia" w:ascii="宋体" w:hAnsi="宋体" w:eastAsia="宋体" w:cs="宋体"/>
                <w:color w:val="auto"/>
                <w:sz w:val="24"/>
                <w:highlight w:val="none"/>
              </w:rPr>
              <w:t>打分，得0-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根据供应商提供的概算工作审核方案</w:t>
            </w:r>
            <w:r>
              <w:rPr>
                <w:rFonts w:hint="eastAsia" w:ascii="宋体" w:hAnsi="宋体" w:eastAsia="宋体" w:cs="宋体"/>
                <w:color w:val="auto"/>
                <w:sz w:val="24"/>
                <w:highlight w:val="none"/>
                <w:lang w:eastAsia="zh-CN"/>
              </w:rPr>
              <w:t>进行</w:t>
            </w:r>
            <w:r>
              <w:rPr>
                <w:rFonts w:hint="eastAsia" w:ascii="宋体" w:hAnsi="宋体" w:eastAsia="宋体" w:cs="宋体"/>
                <w:color w:val="auto"/>
                <w:sz w:val="24"/>
                <w:highlight w:val="none"/>
              </w:rPr>
              <w:t>打分，得0-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根据供应商提供的预算工作审核方案</w:t>
            </w:r>
            <w:r>
              <w:rPr>
                <w:rFonts w:hint="eastAsia" w:ascii="宋体" w:hAnsi="宋体" w:eastAsia="宋体" w:cs="宋体"/>
                <w:color w:val="auto"/>
                <w:sz w:val="24"/>
                <w:highlight w:val="none"/>
                <w:lang w:eastAsia="zh-CN"/>
              </w:rPr>
              <w:t>进行</w:t>
            </w:r>
            <w:r>
              <w:rPr>
                <w:rFonts w:hint="eastAsia" w:ascii="宋体" w:hAnsi="宋体" w:eastAsia="宋体" w:cs="宋体"/>
                <w:color w:val="auto"/>
                <w:sz w:val="24"/>
                <w:highlight w:val="none"/>
              </w:rPr>
              <w:t>打分，得0-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审核服务质量控制措施</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根据供应商提供审核服务质量控制措施的重点与难点、可行性、实用性及合理性等内容</w:t>
            </w:r>
            <w:r>
              <w:rPr>
                <w:rFonts w:hint="eastAsia" w:ascii="宋体" w:hAnsi="宋体" w:cs="宋体"/>
                <w:color w:val="auto"/>
                <w:sz w:val="24"/>
                <w:highlight w:val="none"/>
                <w:lang w:eastAsia="zh-CN"/>
              </w:rPr>
              <w:t>进行</w:t>
            </w:r>
            <w:r>
              <w:rPr>
                <w:rFonts w:hint="eastAsia" w:ascii="宋体" w:hAnsi="宋体" w:cs="宋体"/>
                <w:color w:val="auto"/>
                <w:sz w:val="24"/>
                <w:highlight w:val="none"/>
              </w:rPr>
              <w:t>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审核服务进度控制机制</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针对政府投资审核项目的进度要求建立进度控制机制</w:t>
            </w:r>
            <w:r>
              <w:rPr>
                <w:rFonts w:hint="eastAsia" w:ascii="宋体" w:hAnsi="宋体" w:cs="宋体"/>
                <w:color w:val="auto"/>
                <w:sz w:val="24"/>
                <w:highlight w:val="none"/>
                <w:lang w:eastAsia="zh-CN"/>
              </w:rPr>
              <w:t>进行</w:t>
            </w:r>
            <w:r>
              <w:rPr>
                <w:rFonts w:hint="eastAsia" w:ascii="宋体" w:hAnsi="宋体" w:cs="宋体"/>
                <w:color w:val="auto"/>
                <w:sz w:val="24"/>
                <w:highlight w:val="none"/>
              </w:rPr>
              <w:t>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审核服务实施方案</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供应商根据项目审核的进度要求、审核质量、审核报告要求制定合理的实施方案，根据实施方案的针对性、可行性、创新性、实用性等内容</w:t>
            </w:r>
            <w:r>
              <w:rPr>
                <w:rFonts w:hint="eastAsia" w:ascii="宋体" w:hAnsi="宋体" w:cs="宋体"/>
                <w:color w:val="auto"/>
                <w:sz w:val="24"/>
                <w:highlight w:val="none"/>
                <w:lang w:eastAsia="zh-CN"/>
              </w:rPr>
              <w:t>进行</w:t>
            </w:r>
            <w:r>
              <w:rPr>
                <w:rFonts w:hint="eastAsia" w:ascii="宋体" w:hAnsi="宋体" w:cs="宋体"/>
                <w:color w:val="auto"/>
                <w:sz w:val="24"/>
                <w:highlight w:val="none"/>
              </w:rPr>
              <w:t>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应急预案</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根据供应商制定应对各种特殊情况下确保高标准履行合同的应急预案</w:t>
            </w:r>
            <w:r>
              <w:rPr>
                <w:rFonts w:hint="eastAsia" w:ascii="宋体" w:hAnsi="宋体" w:cs="宋体"/>
                <w:color w:val="auto"/>
                <w:sz w:val="24"/>
                <w:highlight w:val="none"/>
                <w:lang w:eastAsia="zh-CN"/>
              </w:rPr>
              <w:t>进行</w:t>
            </w:r>
            <w:r>
              <w:rPr>
                <w:rFonts w:hint="eastAsia" w:ascii="宋体" w:hAnsi="宋体" w:cs="宋体"/>
                <w:color w:val="auto"/>
                <w:sz w:val="24"/>
                <w:highlight w:val="none"/>
              </w:rPr>
              <w:t>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服务能力</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根据供应商提供的对本地项目工程结算审核、概预算审核有关政策的了解，审核人员分配情况等内容进行打分。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 w:val="24"/>
                <w:highlight w:val="none"/>
              </w:rPr>
            </w:pPr>
            <w:r>
              <w:rPr>
                <w:rFonts w:hint="eastAsia"/>
                <w:highlight w:val="none"/>
              </w:rPr>
              <w:t>响应时间</w:t>
            </w:r>
          </w:p>
        </w:tc>
        <w:tc>
          <w:tcPr>
            <w:tcW w:w="3471" w:type="pct"/>
            <w:vAlign w:val="center"/>
          </w:tcPr>
          <w:p>
            <w:pPr>
              <w:keepNext w:val="0"/>
              <w:keepLines w:val="0"/>
              <w:pageBreakBefore w:val="0"/>
              <w:tabs>
                <w:tab w:val="left" w:pos="3893"/>
              </w:tabs>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项目审核期间相关问题与委托人的沟通方案、项目审核人员到位及时性等内容进行打分。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廉政措施</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对审核人员廉洁方面的控制及采取的措施</w:t>
            </w:r>
            <w:r>
              <w:rPr>
                <w:rFonts w:hint="eastAsia" w:ascii="宋体" w:hAnsi="宋体" w:cs="宋体"/>
                <w:color w:val="auto"/>
                <w:sz w:val="24"/>
                <w:highlight w:val="none"/>
                <w:lang w:eastAsia="zh-CN"/>
              </w:rPr>
              <w:t>。</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保密制度</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0"/>
                <w:sz w:val="24"/>
                <w:szCs w:val="24"/>
                <w:highlight w:val="none"/>
              </w:rPr>
              <w:t>根据供应商针对本项目制订保密制度进行</w:t>
            </w:r>
            <w:r>
              <w:rPr>
                <w:rFonts w:hint="eastAsia" w:ascii="宋体" w:hAnsi="宋体" w:eastAsia="宋体" w:cs="宋体"/>
                <w:kern w:val="0"/>
                <w:sz w:val="24"/>
                <w:szCs w:val="24"/>
                <w:highlight w:val="none"/>
                <w:lang w:eastAsia="zh-CN"/>
              </w:rPr>
              <w:t>打分。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highlight w:val="none"/>
              </w:rPr>
            </w:pPr>
            <w:r>
              <w:rPr>
                <w:rFonts w:hint="eastAsia" w:ascii="宋体" w:hAnsi="宋体" w:cs="宋体"/>
                <w:color w:val="auto"/>
                <w:sz w:val="24"/>
                <w:highlight w:val="none"/>
              </w:rPr>
              <w:t>合理化建议</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宋体"/>
                <w:color w:val="auto"/>
                <w:sz w:val="24"/>
                <w:highlight w:val="none"/>
              </w:rPr>
            </w:pPr>
            <w:r>
              <w:rPr>
                <w:rFonts w:hint="eastAsia" w:ascii="宋体" w:hAnsi="宋体" w:cs="宋体"/>
                <w:color w:val="auto"/>
                <w:sz w:val="24"/>
                <w:highlight w:val="none"/>
              </w:rPr>
              <w:t>针对政府投资项目竣工结算审核业务特点提出合理化建议，科学严谨、系统完整，且具可操作性的经专家组评审每一条得1分，最高得3分。</w:t>
            </w:r>
          </w:p>
        </w:tc>
        <w:tc>
          <w:tcPr>
            <w:tcW w:w="595" w:type="pct"/>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00" w:type="pct"/>
            <w:gridSpan w:val="3"/>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color w:val="auto"/>
                <w:sz w:val="24"/>
                <w:highlight w:val="none"/>
              </w:rPr>
            </w:pPr>
            <w:r>
              <w:rPr>
                <w:rFonts w:hint="eastAsia" w:ascii="宋体" w:hAnsi="宋体" w:cs="宋体"/>
                <w:b/>
                <w:bCs/>
                <w:color w:val="auto"/>
                <w:sz w:val="24"/>
                <w:highlight w:val="none"/>
              </w:rPr>
              <w:t>商务资信及其他分（</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分</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33"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承诺误差率</w:t>
            </w:r>
          </w:p>
        </w:tc>
        <w:tc>
          <w:tcPr>
            <w:tcW w:w="3471" w:type="pct"/>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承诺审核误差率在2%（含）以内的得</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分，承诺审价误差率在2%-3%的得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分，不承诺或超过3%（不含）的不得分。</w:t>
            </w:r>
          </w:p>
        </w:tc>
        <w:tc>
          <w:tcPr>
            <w:tcW w:w="595" w:type="pct"/>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1、上述评分表中，涉及拟派</w:t>
      </w:r>
      <w:r>
        <w:rPr>
          <w:rFonts w:hint="eastAsia" w:ascii="宋体" w:hAnsi="宋体" w:cs="宋体"/>
          <w:b w:val="0"/>
          <w:bCs/>
          <w:color w:val="auto"/>
          <w:sz w:val="21"/>
          <w:szCs w:val="21"/>
          <w:highlight w:val="none"/>
          <w:lang w:eastAsia="zh-CN"/>
        </w:rPr>
        <w:t>团队组成员</w:t>
      </w:r>
      <w:r>
        <w:rPr>
          <w:rFonts w:hint="eastAsia" w:ascii="宋体" w:hAnsi="宋体" w:eastAsia="宋体" w:cs="宋体"/>
          <w:b w:val="0"/>
          <w:bCs/>
          <w:color w:val="auto"/>
          <w:sz w:val="21"/>
          <w:szCs w:val="21"/>
          <w:highlight w:val="none"/>
        </w:rPr>
        <w:t>资格证明材料，要求如下：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中华人民共和国交通运输部颁发的甲级公路工程造价员资格证书视同一级，乙级公路工程造价员资格证书视同二级，中华人民共和国交通运输部颁发的水运工程造价师资格证书视同一级；中国水利工程协会颁布或水利部注册颁发的水利工程造价工程师资格证书视同一级；建设部原注册造价工程师视同为一级，其专业的认定需提供其专业的认定需提供资格证书予以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1.2.所有证书必须真实、合规，在有效期内。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1.3.响应文件中须提供清晰可辨的证书彩色扫描件、身份证彩色扫描件（正反面）。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1.4.如供应商提供的证书扫描件因模糊不清而造成评标委员会在评审时做出对供应商不利的评审由供应商自行承担。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1.5.项目组所有人员均须提相关人员与</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的劳动关系，以响应截止时间前3个月的社会保险或退休人员返聘合同为准。出具时参保单位与响应供应商一致，如参保单位为响应供应商总公司（或分公司）或响应供应商母公司（或子公司），均予以认可。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1.6.造价工程师（一级、二级、甲级、乙级注册资质）已注册未领证或因换证、年审、变更等原因无法提供注册证书原件扫描件的，须提供相应的资格证书原件扫描件及造价工程师注册管理系统的打印件。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2、涉及拟派</w:t>
      </w:r>
      <w:r>
        <w:rPr>
          <w:rFonts w:hint="eastAsia" w:ascii="宋体" w:hAnsi="宋体" w:cs="宋体"/>
          <w:b w:val="0"/>
          <w:bCs/>
          <w:color w:val="auto"/>
          <w:sz w:val="21"/>
          <w:szCs w:val="21"/>
          <w:highlight w:val="none"/>
          <w:lang w:eastAsia="zh-CN"/>
        </w:rPr>
        <w:t>团队组成员</w:t>
      </w:r>
      <w:r>
        <w:rPr>
          <w:rFonts w:hint="eastAsia" w:ascii="宋体" w:hAnsi="宋体" w:eastAsia="宋体" w:cs="宋体"/>
          <w:b w:val="0"/>
          <w:bCs/>
          <w:color w:val="auto"/>
          <w:sz w:val="21"/>
          <w:szCs w:val="21"/>
          <w:highlight w:val="none"/>
        </w:rPr>
        <w:t>经验证明材料，要求如下：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2.1.响应文件中须提供清晰可辨的合同扫描件、成果文件扫描件。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2.2.如拟派团队人员在其他单位工作期间的项目经验，须提供同期在其他单位的社保证明。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2.3.如供应商提供的合同扫描件因模糊不清而造成评标委员会在评审时做出对供应商不利的评审由供应商自行承担。</w:t>
      </w:r>
    </w:p>
    <w:p>
      <w:pPr>
        <w:pStyle w:val="2"/>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p>
      <w:pPr>
        <w:pStyle w:val="3"/>
        <w:rPr>
          <w:rFonts w:hint="eastAsia" w:ascii="宋体" w:hAnsi="宋体" w:eastAsia="宋体" w:cs="宋体"/>
          <w:b w:val="0"/>
          <w:bCs/>
          <w:color w:val="auto"/>
          <w:sz w:val="21"/>
          <w:szCs w:val="21"/>
          <w:highlight w:val="none"/>
        </w:rPr>
      </w:pPr>
    </w:p>
    <w:bookmarkEnd w:id="0"/>
    <w:bookmarkEnd w:id="1"/>
    <w:bookmarkEnd w:id="5"/>
    <w:bookmarkEnd w:id="34"/>
    <w:bookmarkEnd w:id="35"/>
    <w:bookmarkEnd w:id="36"/>
    <w:bookmarkEnd w:id="37"/>
    <w:p>
      <w:pPr>
        <w:pStyle w:val="4"/>
        <w:jc w:val="center"/>
        <w:rPr>
          <w:rFonts w:hint="eastAsia" w:ascii="黑体" w:hAnsi="黑体" w:eastAsia="黑体" w:cs="黑体"/>
          <w:color w:val="auto"/>
          <w:sz w:val="24"/>
          <w:szCs w:val="24"/>
          <w:highlight w:val="none"/>
        </w:rPr>
      </w:pPr>
      <w:bookmarkStart w:id="84" w:name="_Toc455"/>
      <w:bookmarkStart w:id="85" w:name="_Toc979480569"/>
      <w:bookmarkStart w:id="86" w:name="_Toc12032"/>
      <w:r>
        <w:rPr>
          <w:rFonts w:hint="eastAsia" w:ascii="黑体" w:hAnsi="黑体" w:eastAsia="黑体" w:cs="黑体"/>
          <w:color w:val="auto"/>
          <w:sz w:val="32"/>
          <w:szCs w:val="32"/>
          <w:highlight w:val="none"/>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框架协议主要条款</w:t>
      </w:r>
      <w:bookmarkEnd w:id="84"/>
      <w:bookmarkEnd w:id="85"/>
      <w:bookmarkEnd w:id="86"/>
    </w:p>
    <w:p>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eastAsia" w:ascii="宋体" w:hAnsi="宋体" w:eastAsia="宋体" w:cs="宋体"/>
          <w:color w:val="auto"/>
          <w:highlight w:val="none"/>
        </w:rPr>
      </w:pPr>
      <w:r>
        <w:rPr>
          <w:rFonts w:hint="eastAsia" w:asciiTheme="majorEastAsia" w:hAnsiTheme="majorEastAsia" w:eastAsiaTheme="majorEastAsia" w:cstheme="majorEastAsia"/>
          <w:color w:val="auto"/>
          <w:highlight w:val="none"/>
        </w:rPr>
        <w:t>（</w:t>
      </w:r>
      <w:r>
        <w:rPr>
          <w:rFonts w:hint="eastAsia" w:ascii="宋体" w:hAnsi="宋体" w:eastAsia="宋体" w:cs="宋体"/>
          <w:color w:val="auto"/>
          <w:highlight w:val="none"/>
        </w:rPr>
        <w:t>此稿为框架协议样本，最终定稿待双方协商后商定）</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default" w:hAnsi="宋体" w:eastAsia="宋体" w:cs="宋体"/>
          <w:sz w:val="24"/>
          <w:highlight w:val="none"/>
          <w:lang w:val="en-US" w:eastAsia="zh-CN"/>
        </w:rPr>
      </w:pPr>
      <w:r>
        <w:rPr>
          <w:rFonts w:hint="eastAsia" w:hAnsi="宋体" w:cs="宋体"/>
          <w:sz w:val="24"/>
          <w:highlight w:val="none"/>
        </w:rPr>
        <w:t>项目编号：</w:t>
      </w:r>
      <w:r>
        <w:rPr>
          <w:rFonts w:hint="eastAsia" w:hAnsi="宋体" w:cs="宋体"/>
          <w:sz w:val="24"/>
          <w:highlight w:val="none"/>
          <w:lang w:eastAsia="zh-CN"/>
        </w:rPr>
        <w:t>平政采招202</w:t>
      </w:r>
      <w:r>
        <w:rPr>
          <w:rFonts w:hint="eastAsia" w:hAnsi="宋体" w:cs="宋体"/>
          <w:sz w:val="24"/>
          <w:highlight w:val="none"/>
          <w:lang w:val="en-US" w:eastAsia="zh-CN"/>
        </w:rPr>
        <w:t>4-38</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项目名称：2025-2026年平湖市政府投资项目工程造价咨询服务封闭式框架协议采购</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征集人（甲方）：平湖市公共资源交易中心</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供应商（乙方）：</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根据“2025-2026年平湖市政府投资项目工程造价咨询服务封闭式框架协议采购”（项目编号：</w:t>
      </w:r>
      <w:r>
        <w:rPr>
          <w:rFonts w:hint="eastAsia" w:hAnsi="宋体" w:cs="宋体"/>
          <w:sz w:val="24"/>
          <w:highlight w:val="none"/>
          <w:lang w:eastAsia="zh-CN"/>
        </w:rPr>
        <w:t>平政采招202</w:t>
      </w:r>
      <w:r>
        <w:rPr>
          <w:rFonts w:hint="eastAsia" w:hAnsi="宋体" w:cs="宋体"/>
          <w:sz w:val="24"/>
          <w:highlight w:val="none"/>
          <w:lang w:val="en-US" w:eastAsia="zh-CN"/>
        </w:rPr>
        <w:t>4-38</w:t>
      </w:r>
      <w:r>
        <w:rPr>
          <w:rFonts w:hint="eastAsia" w:hAnsi="宋体" w:cs="宋体"/>
          <w:sz w:val="24"/>
          <w:highlight w:val="none"/>
        </w:rPr>
        <w:t>）要求、审核结果和《中华人民共和国政府采购法》、《政府采购框架协议采购方式管理暂行办法》等相关法律法规要求，双方经协商，达成以下条款，签订本协议。</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一、定义</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本协议中的下列术语应解释为：</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“协议”系指载明甲方与乙方协利义务的协议，包括所有的附件、附录和其他构成协议的所有文件。</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“甲方”系指平湖市公共资源交易中心。甲方不作为协议一方具体参加合同的实际履行。在实际履行中由采购人与乙方另行签订政府采购审计服务合同。</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“乙方”系指本次提供政府投资项目工程造价咨询服务的单位。</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“采购人”系平湖市财政局、平湖市审计局和全市政府投资项目业主单位，与甲方享有同等权力。本协议下述各处所指甲方同时包含采购人。</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二、适用范围及时间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适用范围：平湖市政府投资项目服务费在分散采购招标限额（30万）以下的概算审核、预算审核、竣工结算审核服务，国有公司投资项目工程造价咨询参照执行。</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框架协议期限：合同签订之日起至2026年12月31日。</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、委托评审的内容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1．工程竣工结算审核服务。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概</w:t>
      </w:r>
      <w:r>
        <w:rPr>
          <w:rFonts w:hint="eastAsia" w:ascii="宋体" w:hAnsi="宋体" w:eastAsia="宋体" w:cs="宋体"/>
          <w:color w:val="auto"/>
          <w:highlight w:val="none"/>
        </w:rPr>
        <w:t>算审核服务。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预</w:t>
      </w:r>
      <w:r>
        <w:rPr>
          <w:rFonts w:hint="eastAsia" w:ascii="宋体" w:hAnsi="宋体" w:eastAsia="宋体" w:cs="宋体"/>
          <w:color w:val="auto"/>
          <w:highlight w:val="none"/>
        </w:rPr>
        <w:t>算审核服务。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要求评审的内容。</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四</w:t>
      </w:r>
      <w:r>
        <w:rPr>
          <w:rFonts w:hint="eastAsia" w:ascii="宋体" w:hAnsi="宋体" w:eastAsia="宋体" w:cs="宋体"/>
          <w:b/>
          <w:bCs/>
          <w:color w:val="auto"/>
          <w:highlight w:val="none"/>
        </w:rPr>
        <w:t>、评审质量要求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1．工程竣工结算审核、概算审核和预算审核的评审成果文件应符合相关质量标准，评审误差率不超过投标承诺____。</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2．项目评审考核按照</w:t>
      </w:r>
      <w:r>
        <w:rPr>
          <w:rFonts w:hint="eastAsia" w:ascii="宋体" w:hAnsi="宋体" w:cs="宋体"/>
          <w:color w:val="auto"/>
          <w:highlight w:val="none"/>
          <w:lang w:val="en-US" w:eastAsia="zh-CN"/>
        </w:rPr>
        <w:t>关于印发《平湖市财政局政府投资项目中介机构考核办法》的通知（</w:t>
      </w:r>
      <w:r>
        <w:rPr>
          <w:rFonts w:hint="eastAsia" w:ascii="宋体" w:hAnsi="宋体" w:eastAsia="宋体" w:cs="宋体"/>
          <w:color w:val="auto"/>
          <w:highlight w:val="none"/>
          <w:lang w:val="en-US" w:eastAsia="zh-CN"/>
        </w:rPr>
        <w:t>平财评审（2023）31号文件</w:t>
      </w:r>
      <w:r>
        <w:rPr>
          <w:rFonts w:hint="eastAsia" w:ascii="宋体" w:hAnsi="宋体" w:cs="宋体"/>
          <w:color w:val="auto"/>
          <w:highlight w:val="none"/>
          <w:lang w:val="en-US" w:eastAsia="zh-CN"/>
        </w:rPr>
        <w:t>）</w:t>
      </w:r>
      <w:r>
        <w:rPr>
          <w:rFonts w:hint="eastAsia" w:ascii="宋体" w:hAnsi="宋体" w:eastAsia="宋体" w:cs="宋体"/>
          <w:color w:val="auto"/>
          <w:highlight w:val="none"/>
        </w:rPr>
        <w:t>执行。</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五、</w:t>
      </w:r>
      <w:r>
        <w:rPr>
          <w:rFonts w:hint="eastAsia" w:ascii="宋体" w:hAnsi="宋体" w:cs="宋体"/>
          <w:b/>
          <w:bCs/>
          <w:color w:val="auto"/>
          <w:highlight w:val="none"/>
          <w:lang w:eastAsia="zh-CN"/>
        </w:rPr>
        <w:t>项目承诺</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采购人有权</w:t>
      </w:r>
      <w:r>
        <w:rPr>
          <w:rFonts w:hint="eastAsia" w:ascii="宋体" w:hAnsi="宋体" w:eastAsia="宋体" w:cs="宋体"/>
          <w:color w:val="auto"/>
          <w:highlight w:val="none"/>
        </w:rPr>
        <w:t>乙方在服务期的评审工作进行全面管理、监督。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有权要求乙方更换不称职或应回避的评审人员。</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有权对评审人员的工作质量随时检查、监督。对考核不合格者，</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有权停止对乙方的委托评审业务。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有权要求乙方按</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指定的操作规定和办法执行。</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有权要求乙方按</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要求出具统一评审结果文书。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负责乙方评审档案立卷、归档的指导和验收工作。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应及时协调，帮助乙方按规定时间接受被评审单位提交的项目评审所需的资料。</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．对乙方提出的有争议且不能解决的工程问题和财务问题，</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应协调有关部门解决。</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．在评审过程中，乙方有权拒绝不符合国家法律、法规等行为的人为干涉。</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10</w:t>
      </w:r>
      <w:r>
        <w:rPr>
          <w:rFonts w:hint="eastAsia" w:ascii="宋体" w:hAnsi="宋体" w:eastAsia="宋体" w:cs="宋体"/>
          <w:color w:val="auto"/>
          <w:highlight w:val="none"/>
        </w:rPr>
        <w:t>．乙方有权向</w:t>
      </w:r>
      <w:r>
        <w:rPr>
          <w:rFonts w:hint="eastAsia" w:ascii="宋体" w:hAnsi="宋体" w:cs="宋体"/>
          <w:color w:val="auto"/>
          <w:highlight w:val="none"/>
          <w:lang w:eastAsia="zh-CN"/>
        </w:rPr>
        <w:t>采购人</w:t>
      </w:r>
      <w:r>
        <w:rPr>
          <w:rFonts w:hint="eastAsia" w:ascii="宋体" w:hAnsi="宋体" w:eastAsia="宋体" w:cs="宋体"/>
          <w:color w:val="auto"/>
          <w:highlight w:val="none"/>
        </w:rPr>
        <w:t>提出回避依法应回避的</w:t>
      </w:r>
      <w:r>
        <w:rPr>
          <w:rFonts w:hint="eastAsia" w:ascii="宋体" w:hAnsi="宋体" w:cs="宋体"/>
          <w:color w:val="auto"/>
          <w:highlight w:val="none"/>
          <w:lang w:eastAsia="zh-CN"/>
        </w:rPr>
        <w:t>采购人</w:t>
      </w:r>
      <w:r>
        <w:rPr>
          <w:rFonts w:hint="eastAsia" w:ascii="宋体" w:hAnsi="宋体" w:eastAsia="宋体" w:cs="宋体"/>
          <w:color w:val="auto"/>
          <w:highlight w:val="none"/>
        </w:rPr>
        <w:t>代表。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．在业务分配前有权提出暂停接受任务的权利，经</w:t>
      </w:r>
      <w:r>
        <w:rPr>
          <w:rFonts w:hint="eastAsia" w:ascii="宋体" w:hAnsi="宋体" w:cs="宋体"/>
          <w:color w:val="auto"/>
          <w:highlight w:val="none"/>
          <w:lang w:eastAsia="zh-CN"/>
        </w:rPr>
        <w:t>采购人</w:t>
      </w:r>
      <w:r>
        <w:rPr>
          <w:rFonts w:hint="eastAsia" w:ascii="宋体" w:hAnsi="宋体" w:eastAsia="宋体" w:cs="宋体"/>
          <w:color w:val="auto"/>
          <w:highlight w:val="none"/>
        </w:rPr>
        <w:t>同意后可不接受概预算、结算编审工作。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12</w:t>
      </w:r>
      <w:r>
        <w:rPr>
          <w:rFonts w:hint="eastAsia" w:ascii="宋体" w:hAnsi="宋体" w:eastAsia="宋体" w:cs="宋体"/>
          <w:color w:val="auto"/>
          <w:highlight w:val="none"/>
        </w:rPr>
        <w:t>．评审人员</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（1）评审工作人员应与按</w:t>
      </w:r>
      <w:r>
        <w:rPr>
          <w:rFonts w:hint="eastAsia" w:ascii="宋体" w:hAnsi="宋体" w:cs="宋体"/>
          <w:color w:val="auto"/>
          <w:highlight w:val="none"/>
          <w:lang w:eastAsia="zh-CN"/>
        </w:rPr>
        <w:t>响应文件</w:t>
      </w:r>
      <w:r>
        <w:rPr>
          <w:rFonts w:hint="eastAsia" w:ascii="宋体" w:hAnsi="宋体" w:eastAsia="宋体" w:cs="宋体"/>
          <w:color w:val="auto"/>
          <w:highlight w:val="none"/>
        </w:rPr>
        <w:t>的拟派人员一致，不得调整。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（2）每个具体项目乙方的</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负责人都必须到现场踏勘，</w:t>
      </w:r>
      <w:r>
        <w:rPr>
          <w:rFonts w:hint="eastAsia" w:ascii="宋体" w:hAnsi="宋体" w:eastAsia="宋体" w:cs="宋体"/>
          <w:color w:val="auto"/>
          <w:highlight w:val="none"/>
          <w:lang w:val="en-US" w:eastAsia="zh-CN"/>
        </w:rPr>
        <w:t>同时每次参与审核业务必须保证一名及以上项目拟派人员到场</w:t>
      </w:r>
      <w:r>
        <w:rPr>
          <w:rFonts w:hint="eastAsia" w:ascii="宋体" w:hAnsi="宋体" w:eastAsia="宋体" w:cs="宋体"/>
          <w:color w:val="auto"/>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（3）乙方的项目负责人应按时参加</w:t>
      </w:r>
      <w:r>
        <w:rPr>
          <w:rFonts w:hint="eastAsia" w:ascii="宋体" w:hAnsi="宋体" w:cs="宋体"/>
          <w:color w:val="auto"/>
          <w:highlight w:val="none"/>
          <w:lang w:eastAsia="zh-CN"/>
        </w:rPr>
        <w:t>采购人</w:t>
      </w:r>
      <w:r>
        <w:rPr>
          <w:rFonts w:hint="eastAsia" w:ascii="宋体" w:hAnsi="宋体" w:eastAsia="宋体" w:cs="宋体"/>
          <w:color w:val="auto"/>
          <w:highlight w:val="none"/>
        </w:rPr>
        <w:t>所组织的会议，负责汇总本单位的在审核编制过程的问题，并与</w:t>
      </w:r>
      <w:r>
        <w:rPr>
          <w:rFonts w:hint="eastAsia" w:ascii="宋体" w:hAnsi="宋体" w:cs="宋体"/>
          <w:color w:val="auto"/>
          <w:highlight w:val="none"/>
          <w:lang w:eastAsia="zh-CN"/>
        </w:rPr>
        <w:t>采购人</w:t>
      </w:r>
      <w:r>
        <w:rPr>
          <w:rFonts w:hint="eastAsia" w:ascii="宋体" w:hAnsi="宋体" w:eastAsia="宋体" w:cs="宋体"/>
          <w:color w:val="auto"/>
          <w:highlight w:val="none"/>
        </w:rPr>
        <w:t>相关工作人员联系。</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（4）竣工结算审核资料由乙方团队负责人或具体项目负责人在规定期限内亲自领取，当场复核，不得委托第三人前来领取。</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（5）乙方工作人员请假人数不得超过拟派人员的1/3，一年内所有请假人员累计请假时间不得超过12个月。</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13</w:t>
      </w:r>
      <w:r>
        <w:rPr>
          <w:rFonts w:hint="eastAsia" w:ascii="宋体" w:hAnsi="宋体" w:eastAsia="宋体" w:cs="宋体"/>
          <w:color w:val="auto"/>
          <w:highlight w:val="none"/>
        </w:rPr>
        <w:t>．业务承接与完成</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（1）乙方须按照框架协议采购条款约定承接业务，除事前请假并得到同意外，不得拒绝承接分配的业务，不得违规承接业务。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（2）乙方不得将</w:t>
      </w:r>
      <w:r>
        <w:rPr>
          <w:rFonts w:hint="eastAsia" w:ascii="宋体" w:hAnsi="宋体" w:cs="宋体"/>
          <w:color w:val="auto"/>
          <w:highlight w:val="none"/>
          <w:lang w:eastAsia="zh-CN"/>
        </w:rPr>
        <w:t>采购人</w:t>
      </w:r>
      <w:r>
        <w:rPr>
          <w:rFonts w:hint="eastAsia" w:ascii="宋体" w:hAnsi="宋体" w:eastAsia="宋体" w:cs="宋体"/>
          <w:color w:val="auto"/>
          <w:highlight w:val="none"/>
        </w:rPr>
        <w:t>委托的评审业务转包或分包给其他单位或个人。</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（3）乙方必须在约定的工作时间内完成评审业务。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（4）乙方评审人员在办理评审事项时，应当客观公正、实事求是、廉洁奉公，并保持严谨、稳健、负责的职业态度，在执行评审任务时，应真实反映评审结果，客观评价评审事项。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（5）乙方保证在开展评审业务时，严格遵守法律法规和相关规章制度，按照评审合同约定的内容进行评审，负责评审事项的取证，出具评审报告。</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（6）乙方所有须加盖公章的协议、表格、评审成果等资料必须加盖与乙方投标时相同的单位公章，其他（如办事处、分公司、项目章、业务专用章等）均不予认可。</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（7）乙方负责评审档案的归档和立卷。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（8）乙方在评审过程中，除工作底稿以外的所有文件均应用电脑生成，并交给</w:t>
      </w:r>
      <w:r>
        <w:rPr>
          <w:rFonts w:hint="eastAsia" w:ascii="宋体" w:hAnsi="宋体" w:cs="宋体"/>
          <w:color w:val="auto"/>
          <w:highlight w:val="none"/>
          <w:lang w:eastAsia="zh-CN"/>
        </w:rPr>
        <w:t>采购人</w:t>
      </w:r>
      <w:r>
        <w:rPr>
          <w:rFonts w:hint="eastAsia" w:ascii="宋体" w:hAnsi="宋体" w:eastAsia="宋体" w:cs="宋体"/>
          <w:color w:val="auto"/>
          <w:highlight w:val="none"/>
        </w:rPr>
        <w:t>电脑磁盘，这些文件包括但不限于评审方案、评审事项分类记录、 评审结果文书。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（9）乙方如被终止委托评审业务，仍应协助</w:t>
      </w:r>
      <w:r>
        <w:rPr>
          <w:rFonts w:hint="eastAsia" w:ascii="宋体" w:hAnsi="宋体" w:cs="宋体"/>
          <w:color w:val="auto"/>
          <w:highlight w:val="none"/>
          <w:lang w:eastAsia="zh-CN"/>
        </w:rPr>
        <w:t>采购人</w:t>
      </w:r>
      <w:r>
        <w:rPr>
          <w:rFonts w:hint="eastAsia" w:ascii="宋体" w:hAnsi="宋体" w:eastAsia="宋体" w:cs="宋体"/>
          <w:color w:val="auto"/>
          <w:highlight w:val="none"/>
        </w:rPr>
        <w:t>完成已委托评审项目的后续工作。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14</w:t>
      </w:r>
      <w:r>
        <w:rPr>
          <w:rFonts w:hint="eastAsia" w:ascii="宋体" w:hAnsi="宋体" w:eastAsia="宋体" w:cs="宋体"/>
          <w:color w:val="auto"/>
          <w:highlight w:val="none"/>
        </w:rPr>
        <w:t>．评审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项目实施期间，乙方须遵守</w:t>
      </w:r>
      <w:r>
        <w:rPr>
          <w:rFonts w:hint="eastAsia" w:ascii="宋体" w:hAnsi="宋体" w:cs="宋体"/>
          <w:color w:val="auto"/>
          <w:highlight w:val="none"/>
          <w:lang w:eastAsia="zh-CN"/>
        </w:rPr>
        <w:t>采购人</w:t>
      </w:r>
      <w:r>
        <w:rPr>
          <w:rFonts w:hint="eastAsia" w:ascii="宋体" w:hAnsi="宋体" w:eastAsia="宋体" w:cs="宋体"/>
          <w:color w:val="auto"/>
          <w:highlight w:val="none"/>
        </w:rPr>
        <w:t>制定的各项管理制度,遵守</w:t>
      </w:r>
      <w:r>
        <w:rPr>
          <w:rFonts w:hint="eastAsia" w:ascii="宋体" w:hAnsi="宋体" w:eastAsia="宋体" w:cs="宋体"/>
          <w:color w:val="auto"/>
          <w:highlight w:val="none"/>
          <w:lang w:val="en-US" w:eastAsia="zh-CN"/>
        </w:rPr>
        <w:t>平湖市财政局发布的相关</w:t>
      </w:r>
      <w:r>
        <w:rPr>
          <w:rFonts w:hint="eastAsia" w:ascii="宋体" w:hAnsi="宋体" w:eastAsia="宋体" w:cs="宋体"/>
          <w:color w:val="auto"/>
          <w:highlight w:val="none"/>
        </w:rPr>
        <w:t>考核办法，参加日常和年度综合考核。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15</w:t>
      </w:r>
      <w:r>
        <w:rPr>
          <w:rFonts w:hint="eastAsia" w:ascii="宋体" w:hAnsi="宋体" w:eastAsia="宋体" w:cs="宋体"/>
          <w:color w:val="auto"/>
          <w:highlight w:val="none"/>
        </w:rPr>
        <w:t>．乙方的评审人员如滥用职权、徇私舞弊、玩忽职守，尚不够成犯罪但造成损失的，</w:t>
      </w:r>
      <w:r>
        <w:rPr>
          <w:rFonts w:hint="eastAsia" w:ascii="宋体" w:hAnsi="宋体" w:cs="宋体"/>
          <w:color w:val="auto"/>
          <w:highlight w:val="none"/>
          <w:lang w:eastAsia="zh-CN"/>
        </w:rPr>
        <w:t>采购人</w:t>
      </w:r>
      <w:r>
        <w:rPr>
          <w:rFonts w:hint="eastAsia" w:ascii="宋体" w:hAnsi="宋体" w:eastAsia="宋体" w:cs="宋体"/>
          <w:color w:val="auto"/>
          <w:highlight w:val="none"/>
        </w:rPr>
        <w:t>将依法追究乙方的经济责任；如构成犯罪的，依法追究乙方的刑事责任。</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16</w:t>
      </w:r>
      <w:r>
        <w:rPr>
          <w:rFonts w:hint="eastAsia" w:ascii="宋体" w:hAnsi="宋体" w:eastAsia="宋体" w:cs="宋体"/>
          <w:color w:val="auto"/>
          <w:highlight w:val="none"/>
        </w:rPr>
        <w:t>．因乙方原因导致评审结果有严重错误，并造成</w:t>
      </w:r>
      <w:r>
        <w:rPr>
          <w:rFonts w:hint="eastAsia" w:ascii="宋体" w:hAnsi="宋体" w:cs="宋体"/>
          <w:color w:val="auto"/>
          <w:highlight w:val="none"/>
          <w:lang w:eastAsia="zh-CN"/>
        </w:rPr>
        <w:t>采购人</w:t>
      </w:r>
      <w:r>
        <w:rPr>
          <w:rFonts w:hint="eastAsia" w:ascii="宋体" w:hAnsi="宋体" w:eastAsia="宋体" w:cs="宋体"/>
          <w:color w:val="auto"/>
          <w:highlight w:val="none"/>
        </w:rPr>
        <w:t>或委托评审的业主单位损失的，乙方应承担相应的责任。</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17.</w:t>
      </w:r>
      <w:r>
        <w:rPr>
          <w:rFonts w:hint="eastAsia" w:ascii="宋体" w:hAnsi="宋体" w:eastAsia="宋体" w:cs="宋体"/>
          <w:color w:val="auto"/>
          <w:highlight w:val="none"/>
        </w:rPr>
        <w:t>乙方应按</w:t>
      </w:r>
      <w:r>
        <w:rPr>
          <w:rFonts w:hint="eastAsia" w:ascii="宋体" w:hAnsi="宋体" w:cs="宋体"/>
          <w:color w:val="auto"/>
          <w:highlight w:val="none"/>
          <w:lang w:eastAsia="zh-CN"/>
        </w:rPr>
        <w:t>响应文件</w:t>
      </w:r>
      <w:r>
        <w:rPr>
          <w:rFonts w:hint="eastAsia" w:ascii="宋体" w:hAnsi="宋体" w:eastAsia="宋体" w:cs="宋体"/>
          <w:color w:val="auto"/>
          <w:highlight w:val="none"/>
        </w:rPr>
        <w:t>所承诺的服务措施完成评审工作，如与承诺不一致，视为违约，</w:t>
      </w:r>
      <w:r>
        <w:rPr>
          <w:rFonts w:hint="eastAsia" w:ascii="宋体" w:hAnsi="宋体" w:cs="宋体"/>
          <w:color w:val="auto"/>
          <w:highlight w:val="none"/>
          <w:lang w:eastAsia="zh-CN"/>
        </w:rPr>
        <w:t>采购人</w:t>
      </w:r>
      <w:r>
        <w:rPr>
          <w:rFonts w:hint="eastAsia" w:ascii="宋体" w:hAnsi="宋体" w:eastAsia="宋体" w:cs="宋体"/>
          <w:color w:val="auto"/>
          <w:highlight w:val="none"/>
        </w:rPr>
        <w:t>视情节处理。乙方在项目评审过程中，</w:t>
      </w:r>
      <w:r>
        <w:rPr>
          <w:rFonts w:hint="eastAsia" w:ascii="宋体" w:hAnsi="宋体" w:eastAsia="宋体" w:cs="宋体"/>
          <w:bCs/>
          <w:color w:val="auto"/>
          <w:highlight w:val="none"/>
          <w:lang w:val="zh-CN"/>
        </w:rPr>
        <w:t>超过承诺的误差率，除具体的委托评审合同规定处理外，</w:t>
      </w:r>
      <w:r>
        <w:rPr>
          <w:rFonts w:hint="eastAsia" w:ascii="宋体" w:hAnsi="宋体" w:cs="宋体"/>
          <w:bCs/>
          <w:color w:val="auto"/>
          <w:highlight w:val="none"/>
          <w:lang w:val="zh-CN"/>
        </w:rPr>
        <w:t>采购人</w:t>
      </w:r>
      <w:r>
        <w:rPr>
          <w:rFonts w:hint="eastAsia" w:ascii="宋体" w:hAnsi="宋体" w:eastAsia="宋体" w:cs="宋体"/>
          <w:bCs/>
          <w:color w:val="auto"/>
          <w:highlight w:val="none"/>
          <w:lang w:val="zh-CN"/>
        </w:rPr>
        <w:t>相应扣减委托评审服务费用直至不予支付委托评审服务费用。</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b/>
          <w:bCs/>
          <w:sz w:val="24"/>
          <w:highlight w:val="none"/>
        </w:rPr>
      </w:pPr>
      <w:r>
        <w:rPr>
          <w:rFonts w:hint="eastAsia" w:hAnsi="宋体" w:cs="宋体"/>
          <w:b/>
          <w:bCs/>
          <w:sz w:val="24"/>
          <w:highlight w:val="none"/>
          <w:lang w:eastAsia="zh-CN"/>
        </w:rPr>
        <w:t>六、</w:t>
      </w:r>
      <w:r>
        <w:rPr>
          <w:rFonts w:hint="eastAsia" w:hAnsi="宋体" w:cs="宋体"/>
          <w:b/>
          <w:bCs/>
          <w:sz w:val="24"/>
          <w:highlight w:val="none"/>
        </w:rPr>
        <w:t>服务价格</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乙方应以响应承诺的价格为上限，按照采购人需求的方式，提供具体的价格，提供相应的服务。甲方将在浙江政府采购网公示乙方承诺的价格。如乙方根据市场经营情况调整费用标准，应及时调整价格，并在政采云平台维护价格信息。</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七、费用结算</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接收业务后，乙方应与项目委托单位签订政府采购审计服务合同。乙方按合同完成审计服务后，可向项目委托单位收取服务费用，服务费用按响应时报价承诺结算。</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b/>
          <w:bCs/>
          <w:sz w:val="24"/>
          <w:highlight w:val="none"/>
        </w:rPr>
      </w:pPr>
      <w:r>
        <w:rPr>
          <w:rFonts w:hint="eastAsia" w:hAnsi="宋体" w:cs="宋体"/>
          <w:b/>
          <w:bCs/>
          <w:sz w:val="24"/>
          <w:highlight w:val="none"/>
          <w:lang w:eastAsia="zh-CN"/>
        </w:rPr>
        <w:t>八、</w:t>
      </w:r>
      <w:r>
        <w:rPr>
          <w:rFonts w:hint="eastAsia" w:hAnsi="宋体" w:cs="宋体"/>
          <w:b/>
          <w:bCs/>
          <w:sz w:val="24"/>
          <w:highlight w:val="none"/>
        </w:rPr>
        <w:t>甲方的权利和义务</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1</w:t>
      </w:r>
      <w:r>
        <w:rPr>
          <w:rFonts w:hint="eastAsia" w:hAnsi="宋体" w:cs="宋体"/>
          <w:sz w:val="24"/>
          <w:highlight w:val="none"/>
          <w:lang w:val="en-US" w:eastAsia="zh-CN"/>
        </w:rPr>
        <w:t>.</w:t>
      </w:r>
      <w:r>
        <w:rPr>
          <w:rFonts w:hint="eastAsia" w:hAnsi="宋体" w:cs="宋体"/>
          <w:sz w:val="24"/>
          <w:highlight w:val="none"/>
        </w:rPr>
        <w:t>甲方有权按照政府采购监管部门的要求、征集公告、本协议、乙方的申请资料等文件文本对乙方承诺和实际提供的服务以及业务系统维护、操作等与本项目相关的事项进行日常考核、监督检查和管理；并建立清退和补充规则，清退情况包括但不限于本协议“违约责任”和 “协议的终止”中的内容。</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2.</w:t>
      </w:r>
      <w:r>
        <w:rPr>
          <w:rFonts w:hint="eastAsia" w:hAnsi="宋体" w:cs="宋体"/>
          <w:sz w:val="24"/>
          <w:highlight w:val="none"/>
        </w:rPr>
        <w:t>甲方对采购人拖欠乙方费用不承担任何连带责任。</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3.</w:t>
      </w:r>
      <w:r>
        <w:rPr>
          <w:rFonts w:hint="eastAsia" w:hAnsi="宋体" w:cs="宋体"/>
          <w:sz w:val="24"/>
          <w:highlight w:val="none"/>
        </w:rPr>
        <w:t>对乙方业务开展和履行合同情况，甲方有权在浙江政府采购网或其他媒体上公布。</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b/>
          <w:bCs/>
          <w:sz w:val="24"/>
          <w:highlight w:val="none"/>
        </w:rPr>
      </w:pPr>
      <w:r>
        <w:rPr>
          <w:rFonts w:hint="eastAsia" w:hAnsi="宋体" w:cs="宋体"/>
          <w:b/>
          <w:bCs/>
          <w:sz w:val="24"/>
          <w:highlight w:val="none"/>
          <w:lang w:eastAsia="zh-CN"/>
        </w:rPr>
        <w:t>九、</w:t>
      </w:r>
      <w:r>
        <w:rPr>
          <w:rFonts w:hint="eastAsia" w:hAnsi="宋体" w:cs="宋体"/>
          <w:b/>
          <w:bCs/>
          <w:sz w:val="24"/>
          <w:highlight w:val="none"/>
        </w:rPr>
        <w:t>乙方的权利和义务</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乙方有权拒绝甲方及采购人提出的服务和乙方承诺以外的其它要求。对采购人提出超出协议规定服务范围和虚开发票的要求，乙方有权拒绝；采购人不能出示有效证明，证明其在协议服务范围之内的，乙方有权拒绝向其提供协议价格的服务。</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乙方有权对甲方在日常管理工作中和采购人在服务过程中的不正当要求和违规行为进行投诉，并要求有关部门做出处理。</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乙方应严格遵守国家法律、法规和相关规定，诚实、守信，合法经营，自觉维护采购人的利益，全面履行承诺，杜绝不正当竞争行为，优先服务采购人，根据采购人的要求，向采购人提供响应文件承诺服务范围内的相关政府采购审计服务，应不低于平湖市关于政府采购审计服务的相关服务规范和要求，确保服务质量，圆满完成服务工作。</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乙方应自觉接受并积极配合政府采购监管部门按照征集公告、本协议、乙方的响应文件及承诺提供的价格、设备设施、服务质量及服务能力进行的综合考核评定、监督检查和管理，严格履行承诺。</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在协议有效期内，乙方承诺价格为最高限价，采购人可与乙方进行议价；如果乙方下调市场价格，则乙方应及时下调政府采购价格，否则视为“超过协议规定价格收费”。</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在协议有效期内，乙方应做好政采云平台上相关信息的维护工作，包括单位名称变更；及时变更联系人、联系电话、预订电话等。</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乙方应保证联系人、联系电话、预订电话真实有效，若发现未能及时修改联系人、联系电话、预订电话，出现不能联系到乙方的情况所造成的影响由乙方承担，并将被记录并作为综合考核评定及监督检查评分的依据。</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在协议有效期内，乙方应保证各项设备、设施完好，具备履行协议的能力。如乙方设备、设施发生足以影响服务能力的重大变化，应在变化发生后十个工作日内书面通知甲方，甲方根据实际情况决定是否继续履行协议。</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乙方承诺接受征集公告的所有内容，按照征集公告要求和响应文件承诺认真履约，如有违反将无条件接受甲方的处罚。</w:t>
      </w:r>
    </w:p>
    <w:p>
      <w:pPr>
        <w:pStyle w:val="15"/>
        <w:keepNext w:val="0"/>
        <w:keepLines w:val="0"/>
        <w:pageBreakBefore w:val="0"/>
        <w:widowControl w:val="0"/>
        <w:kinsoku/>
        <w:wordWrap/>
        <w:overflowPunct/>
        <w:topLinePunct w:val="0"/>
        <w:autoSpaceDE/>
        <w:autoSpaceDN/>
        <w:bidi w:val="0"/>
        <w:adjustRightInd/>
        <w:snapToGrid/>
        <w:spacing w:line="450" w:lineRule="exact"/>
        <w:ind w:left="-240" w:leftChars="-100" w:firstLine="482" w:firstLineChars="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十、违约责任</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1.</w:t>
      </w:r>
      <w:r>
        <w:rPr>
          <w:rFonts w:hint="eastAsia" w:hAnsi="宋体" w:cs="宋体"/>
          <w:sz w:val="24"/>
          <w:highlight w:val="none"/>
        </w:rPr>
        <w:t>甲、乙任何一方违反本协议的约定，应当承担违约责任，并赔偿对方的实际损失。乙方违约行为给采购人造成经济损失的，采购人有权按实际经济损失要求乙方进行赔偿。</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2.</w:t>
      </w:r>
      <w:r>
        <w:rPr>
          <w:rFonts w:hint="eastAsia" w:hAnsi="宋体" w:cs="宋体"/>
          <w:sz w:val="24"/>
          <w:highlight w:val="none"/>
        </w:rPr>
        <w:t>乙方有下列情形之一的，甲方可依据协议及《政府采购框架协议采购方式管理暂行办法》等相关规定取消入围资格，并报监督管理部门追究其相应责任：</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（1）乙方提供虚假材料谋取入围或者合同成交的；</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（2）乙方无正当理由拒不接受合同授予的；</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（3）不履行合同义务或者履行合同义务不符合约定，经采购人请求履行后仍不履行或者仍未按约定履行的；</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（4）乙方采用不正当竞争手段争揽业务，引起投诉并经甲方查实的；</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 xml:space="preserve">（5）未及时更新相关信息或者当高于市场价格时，未及时更新的； </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（6）乙方服务质量差，被采购人有效投诉三次（含）以上并经查实的；</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（7）各级财政部门认定的其他违法、违规的行为。</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（8）任何情况下，乙方都不得向经办人员提供任何形式的回扣，一经发现，甲方报经批准可立即取消资格，同时提请有关部门追究有关当事人的责任。</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3.</w:t>
      </w:r>
      <w:r>
        <w:rPr>
          <w:rFonts w:hint="eastAsia" w:hAnsi="宋体" w:cs="宋体"/>
          <w:sz w:val="24"/>
          <w:highlight w:val="none"/>
        </w:rPr>
        <w:t>乙方与采购人签订合同的，乙方的义务不得低于本协议中约定的义务以及乙方在响应文件中的承诺，否则相应的条款无效，乙方相应的义务以本协议为准。</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4.</w:t>
      </w:r>
      <w:r>
        <w:rPr>
          <w:rFonts w:hint="eastAsia" w:hAnsi="宋体" w:cs="宋体"/>
          <w:sz w:val="24"/>
          <w:highlight w:val="none"/>
        </w:rPr>
        <w:t>乙方违约情节特别严重的，甲方报送政府采购监管部门，采购监管部门可依法对其采取列入不良行为记录名单、在一至三年内禁止参加政府采购活动，并予以通报。</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0" w:leftChars="0" w:firstLine="466" w:firstLineChars="20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十一、不可抗力</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1.</w:t>
      </w:r>
      <w:r>
        <w:rPr>
          <w:rFonts w:hint="eastAsia" w:hAnsi="宋体" w:cs="宋体"/>
          <w:sz w:val="24"/>
          <w:highlight w:val="none"/>
        </w:rPr>
        <w:t>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2.</w:t>
      </w:r>
      <w:r>
        <w:rPr>
          <w:rFonts w:hint="eastAsia" w:hAnsi="宋体" w:cs="宋体"/>
          <w:sz w:val="24"/>
          <w:highlight w:val="none"/>
        </w:rPr>
        <w:t>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3.</w:t>
      </w:r>
      <w:r>
        <w:rPr>
          <w:rFonts w:hint="eastAsia" w:hAnsi="宋体" w:cs="宋体"/>
          <w:sz w:val="24"/>
          <w:highlight w:val="none"/>
        </w:rPr>
        <w:t>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4.</w:t>
      </w:r>
      <w:r>
        <w:rPr>
          <w:rFonts w:hint="eastAsia" w:hAnsi="宋体" w:cs="宋体"/>
          <w:sz w:val="24"/>
          <w:highlight w:val="none"/>
        </w:rPr>
        <w:t>一旦不可抗力事故的影响持续120天以上，甲乙双方通过友好协商，在合理的时间内达成进一步履行协议或终止协议的协议。</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0" w:leftChars="0" w:firstLine="466" w:firstLineChars="20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十二、保密条款</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1.</w:t>
      </w:r>
      <w:r>
        <w:rPr>
          <w:rFonts w:hint="eastAsia" w:hAnsi="宋体" w:cs="宋体"/>
          <w:sz w:val="24"/>
          <w:highlight w:val="none"/>
        </w:rPr>
        <w:t>任何一方对其获知的本协议涉及的所有有形、无形的信息及资料（包括但不限于甲乙双方的往来书面文字文件、电子邮件及信息、软盘资料等）中另一方的商业秘密或国家秘密负有保密义务。</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2.</w:t>
      </w:r>
      <w:r>
        <w:rPr>
          <w:rFonts w:hint="eastAsia" w:hAnsi="宋体" w:cs="宋体"/>
          <w:sz w:val="24"/>
          <w:highlight w:val="none"/>
        </w:rPr>
        <w:t>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0" w:leftChars="0" w:firstLine="466" w:firstLineChars="20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十三、协议的终止</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1.</w:t>
      </w:r>
      <w:r>
        <w:rPr>
          <w:rFonts w:hint="eastAsia" w:hAnsi="宋体" w:cs="宋体"/>
          <w:sz w:val="24"/>
          <w:highlight w:val="none"/>
        </w:rPr>
        <w:t>在协议期内任何一方不得擅自终止协议，否则应负担所造成的一切损失。如一方因故需终止协议，必须提前三个月书面通知另一方，经双方达成一致意见后，方可终止。</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2.</w:t>
      </w:r>
      <w:r>
        <w:rPr>
          <w:rFonts w:hint="eastAsia" w:hAnsi="宋体" w:cs="宋体"/>
          <w:sz w:val="24"/>
          <w:highlight w:val="none"/>
        </w:rPr>
        <w:t xml:space="preserve"> 协议期内乙方不得擅自终止协议，否则应负担所造成的一切损失。如乙方因故需终止协议，可以随时申请退出框架协议，经甲方审核后方可退出。</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3.</w:t>
      </w:r>
      <w:r>
        <w:rPr>
          <w:rFonts w:hint="eastAsia" w:hAnsi="宋体" w:cs="宋体"/>
          <w:sz w:val="24"/>
          <w:highlight w:val="none"/>
        </w:rPr>
        <w:t xml:space="preserve"> 出现下列情况时本协议自行终止：</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（1）本协议正常履行完毕；</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（2）甲乙双方协商终止本协议的履行；</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（3）不可抗力导致本协议无法履行或履行不必要时；</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rPr>
        <w:t>（4）乙方不履行协议条款，造成无法执行协议，协商又不能解决的，乙方赔偿损失后，协议终止。</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240" w:leftChars="-100" w:firstLine="482" w:firstLineChars="0"/>
        <w:textAlignment w:val="auto"/>
        <w:rPr>
          <w:rFonts w:hAnsi="宋体" w:cs="宋体"/>
          <w:sz w:val="24"/>
          <w:highlight w:val="none"/>
        </w:rPr>
      </w:pPr>
      <w:r>
        <w:rPr>
          <w:rFonts w:hint="eastAsia" w:hAnsi="宋体" w:cs="宋体"/>
          <w:sz w:val="24"/>
          <w:highlight w:val="none"/>
          <w:lang w:val="en-US" w:eastAsia="zh-CN"/>
        </w:rPr>
        <w:t>4.</w:t>
      </w:r>
      <w:r>
        <w:rPr>
          <w:rFonts w:hint="eastAsia" w:hAnsi="宋体" w:cs="宋体"/>
          <w:sz w:val="24"/>
          <w:highlight w:val="none"/>
        </w:rPr>
        <w:t>乙方出现本协议“违约责任”中“取消资格”情况的,协议终止，甲方有权提请有关部门追究相关当事人责任。</w:t>
      </w:r>
    </w:p>
    <w:p>
      <w:pPr>
        <w:keepNext w:val="0"/>
        <w:keepLines w:val="0"/>
        <w:pageBreakBefore w:val="0"/>
        <w:widowControl w:val="0"/>
        <w:tabs>
          <w:tab w:val="left" w:pos="4500"/>
        </w:tabs>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因履行本协议产生的或与本协议有关的任何争议，应由甲乙双方友好协商解决，协商不成的，任何一方有权将争议提交至甲方所在地区人民法院解决。</w:t>
      </w:r>
    </w:p>
    <w:p>
      <w:pPr>
        <w:pStyle w:val="15"/>
        <w:keepNext w:val="0"/>
        <w:keepLines w:val="0"/>
        <w:pageBreakBefore w:val="0"/>
        <w:widowControl w:val="0"/>
        <w:tabs>
          <w:tab w:val="left" w:pos="0"/>
        </w:tabs>
        <w:kinsoku/>
        <w:wordWrap/>
        <w:overflowPunct/>
        <w:topLinePunct w:val="0"/>
        <w:autoSpaceDE/>
        <w:autoSpaceDN/>
        <w:bidi w:val="0"/>
        <w:adjustRightInd/>
        <w:snapToGrid/>
        <w:spacing w:line="450" w:lineRule="exact"/>
        <w:ind w:left="0" w:leftChars="0" w:firstLine="466" w:firstLineChars="200"/>
        <w:textAlignment w:val="auto"/>
        <w:rPr>
          <w:rFonts w:hAnsi="宋体" w:cs="宋体"/>
          <w:b/>
          <w:bCs/>
          <w:sz w:val="24"/>
          <w:highlight w:val="none"/>
        </w:rPr>
      </w:pPr>
      <w:r>
        <w:rPr>
          <w:rFonts w:hint="eastAsia" w:hAnsi="宋体" w:cs="宋体"/>
          <w:b/>
          <w:bCs/>
          <w:sz w:val="24"/>
          <w:highlight w:val="none"/>
          <w:lang w:eastAsia="zh-CN"/>
        </w:rPr>
        <w:t>十四、</w:t>
      </w:r>
      <w:r>
        <w:rPr>
          <w:rFonts w:hint="eastAsia" w:hAnsi="宋体" w:cs="宋体"/>
          <w:b/>
          <w:bCs/>
          <w:sz w:val="24"/>
          <w:highlight w:val="none"/>
        </w:rPr>
        <w:t>协议的生效及其他</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1.乙方自愿通过政采云平台参与本项目，框架协议自甲乙双方法定代表人或委托代理人签字并加盖单位公章之日起生效，并在框架协议签订后7个工作日内，将框架协议副本报本级财政部门备案。</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2.协议履行期内甲乙双方均不得随意变更或解除协议。协议若有未尽事宜，需经双方共同协商，作出补充规定，补充规定与本协议有同等法律效力。</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3.如有最新政策规定，甲乙双方按最新政策规定执行，不再签订补充协议。</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4.本项目征集文件（项目编号：平政采招202</w:t>
      </w:r>
      <w:r>
        <w:rPr>
          <w:rFonts w:hint="eastAsia" w:ascii="宋体" w:hAnsi="宋体" w:cs="宋体"/>
          <w:color w:val="auto"/>
          <w:highlight w:val="none"/>
          <w:lang w:val="en-US" w:eastAsia="zh-CN"/>
        </w:rPr>
        <w:t>4-38</w:t>
      </w:r>
      <w:r>
        <w:rPr>
          <w:rFonts w:hint="eastAsia" w:ascii="宋体" w:hAnsi="宋体" w:eastAsia="宋体" w:cs="宋体"/>
          <w:color w:val="auto"/>
          <w:highlight w:val="none"/>
          <w:lang w:val="en-US" w:eastAsia="zh-CN"/>
        </w:rPr>
        <w:t>）、响应文件及项目征集过程中形成的文字资料均作为本协议的组成部分，具有同等效力。</w:t>
      </w:r>
    </w:p>
    <w:p>
      <w:pPr>
        <w:pStyle w:val="17"/>
        <w:snapToGrid w:val="0"/>
        <w:spacing w:before="0" w:beforeLines="0" w:after="0" w:afterLines="0" w:line="360" w:lineRule="auto"/>
        <w:ind w:firstLine="240" w:firstLineChars="100"/>
        <w:rPr>
          <w:rFonts w:hAnsi="宋体"/>
          <w:color w:val="auto"/>
          <w:highlight w:val="none"/>
        </w:rPr>
      </w:pPr>
    </w:p>
    <w:p>
      <w:pPr>
        <w:pStyle w:val="17"/>
        <w:snapToGrid w:val="0"/>
        <w:spacing w:before="0" w:beforeLines="0" w:after="0" w:afterLines="0" w:line="360" w:lineRule="auto"/>
        <w:ind w:firstLine="240" w:firstLineChars="100"/>
        <w:rPr>
          <w:rFonts w:hAnsi="宋体"/>
          <w:color w:val="auto"/>
          <w:highlight w:val="none"/>
        </w:rPr>
      </w:pPr>
      <w:r>
        <w:rPr>
          <w:rFonts w:hAnsi="宋体"/>
          <w:color w:val="auto"/>
          <w:highlight w:val="none"/>
        </w:rPr>
        <w:t>甲方：</w:t>
      </w:r>
      <w:r>
        <w:rPr>
          <w:rFonts w:hint="eastAsia" w:hAnsi="宋体"/>
          <w:color w:val="auto"/>
          <w:highlight w:val="none"/>
          <w:lang w:eastAsia="zh-CN"/>
        </w:rPr>
        <w:t>平湖市公共资源交易中心</w:t>
      </w:r>
      <w:r>
        <w:rPr>
          <w:rFonts w:hAnsi="宋体"/>
          <w:color w:val="auto"/>
          <w:highlight w:val="none"/>
        </w:rPr>
        <w:t xml:space="preserve">             乙方： </w:t>
      </w:r>
    </w:p>
    <w:p>
      <w:pPr>
        <w:pStyle w:val="17"/>
        <w:snapToGrid w:val="0"/>
        <w:spacing w:before="0" w:beforeLines="0" w:after="0" w:afterLines="0" w:line="360" w:lineRule="auto"/>
        <w:rPr>
          <w:rFonts w:hAnsi="宋体"/>
          <w:color w:val="auto"/>
          <w:highlight w:val="none"/>
        </w:rPr>
      </w:pPr>
      <w:r>
        <w:rPr>
          <w:rFonts w:hAnsi="宋体"/>
          <w:color w:val="auto"/>
          <w:highlight w:val="none"/>
        </w:rPr>
        <w:t xml:space="preserve">  地址：                                   地址： </w:t>
      </w:r>
    </w:p>
    <w:p>
      <w:pPr>
        <w:pStyle w:val="17"/>
        <w:snapToGrid w:val="0"/>
        <w:spacing w:before="0" w:beforeLines="0" w:after="0" w:afterLines="0" w:line="360" w:lineRule="auto"/>
        <w:rPr>
          <w:rFonts w:hAnsi="宋体"/>
          <w:color w:val="auto"/>
          <w:highlight w:val="none"/>
        </w:rPr>
      </w:pPr>
      <w:r>
        <w:rPr>
          <w:rFonts w:hAnsi="宋体"/>
          <w:color w:val="auto"/>
          <w:highlight w:val="none"/>
        </w:rPr>
        <w:t xml:space="preserve">  法定（授权）代表人：                     法定（授权）代表人：</w:t>
      </w:r>
    </w:p>
    <w:p>
      <w:pPr>
        <w:pStyle w:val="17"/>
        <w:snapToGrid w:val="0"/>
        <w:spacing w:before="0" w:beforeLines="0" w:after="0" w:afterLines="0" w:line="360" w:lineRule="auto"/>
        <w:rPr>
          <w:rFonts w:hAnsi="宋体"/>
          <w:color w:val="auto"/>
          <w:highlight w:val="none"/>
        </w:rPr>
      </w:pPr>
      <w:r>
        <w:rPr>
          <w:rFonts w:hAnsi="宋体"/>
          <w:color w:val="auto"/>
          <w:highlight w:val="none"/>
        </w:rPr>
        <w:t xml:space="preserve">  签字日期：      年  月  日       </w:t>
      </w:r>
      <w:r>
        <w:rPr>
          <w:rFonts w:hint="eastAsia" w:hAnsi="宋体"/>
          <w:color w:val="auto"/>
          <w:highlight w:val="none"/>
        </w:rPr>
        <w:t xml:space="preserve">    </w:t>
      </w:r>
      <w:r>
        <w:rPr>
          <w:rFonts w:hAnsi="宋体"/>
          <w:color w:val="auto"/>
          <w:highlight w:val="none"/>
        </w:rPr>
        <w:t xml:space="preserve">    签字日期：      年  月  日</w:t>
      </w:r>
    </w:p>
    <w:p>
      <w:pPr>
        <w:pStyle w:val="17"/>
        <w:snapToGrid w:val="0"/>
        <w:spacing w:before="0" w:beforeLines="0" w:after="0" w:afterLines="0" w:line="360" w:lineRule="auto"/>
        <w:ind w:firstLine="161" w:firstLineChars="50"/>
        <w:jc w:val="center"/>
        <w:rPr>
          <w:rFonts w:hint="eastAsia" w:ascii="黑体" w:hAnsi="黑体" w:eastAsia="黑体"/>
          <w:b/>
          <w:color w:val="auto"/>
          <w:sz w:val="32"/>
          <w:szCs w:val="32"/>
          <w:highlight w:val="none"/>
        </w:rPr>
      </w:pPr>
      <w:bookmarkStart w:id="87" w:name="_Toc7432608"/>
      <w:bookmarkStart w:id="88" w:name="_Toc1409419452"/>
    </w:p>
    <w:p>
      <w:pPr>
        <w:pStyle w:val="17"/>
        <w:snapToGrid w:val="0"/>
        <w:spacing w:before="0" w:beforeLines="0" w:after="0" w:afterLines="0" w:line="360" w:lineRule="auto"/>
        <w:ind w:firstLine="161" w:firstLineChars="50"/>
        <w:jc w:val="center"/>
        <w:rPr>
          <w:rFonts w:hint="eastAsia" w:ascii="黑体" w:hAnsi="黑体" w:eastAsia="黑体"/>
          <w:b/>
          <w:color w:val="auto"/>
          <w:sz w:val="32"/>
          <w:szCs w:val="32"/>
          <w:highlight w:val="none"/>
        </w:rPr>
      </w:pPr>
    </w:p>
    <w:p>
      <w:pPr>
        <w:pStyle w:val="17"/>
        <w:snapToGrid w:val="0"/>
        <w:spacing w:before="0" w:beforeLines="0" w:after="0" w:afterLines="0" w:line="360" w:lineRule="auto"/>
        <w:ind w:firstLine="161" w:firstLineChars="50"/>
        <w:jc w:val="center"/>
        <w:rPr>
          <w:rFonts w:hint="eastAsia" w:ascii="黑体" w:hAnsi="黑体" w:eastAsia="黑体"/>
          <w:b/>
          <w:color w:val="auto"/>
          <w:sz w:val="32"/>
          <w:szCs w:val="32"/>
          <w:highlight w:val="none"/>
        </w:rPr>
      </w:pPr>
    </w:p>
    <w:p>
      <w:pPr>
        <w:pStyle w:val="17"/>
        <w:snapToGrid w:val="0"/>
        <w:spacing w:before="0" w:beforeLines="0" w:after="0" w:afterLines="0" w:line="360" w:lineRule="auto"/>
        <w:ind w:firstLine="161" w:firstLineChars="50"/>
        <w:jc w:val="center"/>
        <w:rPr>
          <w:rFonts w:hint="eastAsia" w:ascii="黑体" w:hAnsi="黑体" w:eastAsia="黑体"/>
          <w:b/>
          <w:color w:val="auto"/>
          <w:sz w:val="32"/>
          <w:szCs w:val="32"/>
          <w:highlight w:val="none"/>
        </w:rPr>
      </w:pPr>
    </w:p>
    <w:p>
      <w:pPr>
        <w:rPr>
          <w:rFonts w:hint="eastAsia"/>
          <w:highlight w:val="none"/>
        </w:rPr>
      </w:pPr>
    </w:p>
    <w:p>
      <w:pPr>
        <w:rPr>
          <w:rFonts w:hint="eastAsia" w:ascii="黑体" w:hAnsi="黑体" w:eastAsia="黑体"/>
          <w:b/>
          <w:color w:val="auto"/>
          <w:sz w:val="32"/>
          <w:szCs w:val="32"/>
          <w:highlight w:val="none"/>
        </w:rPr>
      </w:pPr>
    </w:p>
    <w:p>
      <w:pPr>
        <w:pStyle w:val="2"/>
        <w:rPr>
          <w:rFonts w:hint="eastAsia"/>
          <w:highlight w:val="none"/>
        </w:rPr>
      </w:pPr>
    </w:p>
    <w:p>
      <w:pPr>
        <w:rPr>
          <w:rFonts w:hint="eastAsia" w:ascii="黑体" w:hAnsi="黑体" w:eastAsia="黑体"/>
          <w:b/>
          <w:color w:val="auto"/>
          <w:sz w:val="32"/>
          <w:szCs w:val="32"/>
          <w:highlight w:val="none"/>
        </w:rPr>
      </w:pPr>
    </w:p>
    <w:p>
      <w:pPr>
        <w:pStyle w:val="17"/>
        <w:snapToGrid w:val="0"/>
        <w:spacing w:before="0" w:beforeLines="0" w:after="0" w:afterLines="0" w:line="360" w:lineRule="auto"/>
        <w:ind w:firstLine="161" w:firstLineChars="50"/>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平湖市政府采购项目验收结算单</w:t>
      </w:r>
    </w:p>
    <w:p>
      <w:pPr>
        <w:spacing w:line="240" w:lineRule="exact"/>
        <w:ind w:firstLine="7920" w:firstLineChars="3600"/>
        <w:rPr>
          <w:rFonts w:hint="eastAsia" w:ascii="宋体" w:hAnsi="宋体"/>
          <w:color w:val="auto"/>
          <w:sz w:val="22"/>
          <w:szCs w:val="36"/>
          <w:highlight w:val="none"/>
        </w:rPr>
      </w:pPr>
    </w:p>
    <w:p>
      <w:pPr>
        <w:spacing w:line="240" w:lineRule="exact"/>
        <w:rPr>
          <w:rFonts w:hint="eastAsia" w:ascii="宋体" w:hAnsi="宋体"/>
          <w:color w:val="auto"/>
          <w:sz w:val="24"/>
          <w:highlight w:val="none"/>
        </w:rPr>
      </w:pPr>
      <w:r>
        <w:rPr>
          <w:rFonts w:hint="eastAsia" w:ascii="宋体" w:hAnsi="宋体"/>
          <w:color w:val="auto"/>
          <w:sz w:val="24"/>
          <w:highlight w:val="none"/>
          <w:lang w:eastAsia="zh-CN"/>
        </w:rPr>
        <w:t>征集人</w:t>
      </w:r>
      <w:r>
        <w:rPr>
          <w:rFonts w:ascii="宋体" w:hAnsi="宋体"/>
          <w:color w:val="auto"/>
          <w:sz w:val="24"/>
          <w:highlight w:val="none"/>
        </w:rPr>
        <w:t>(</w:t>
      </w:r>
      <w:r>
        <w:rPr>
          <w:rFonts w:hint="eastAsia" w:ascii="宋体" w:hAnsi="宋体"/>
          <w:color w:val="auto"/>
          <w:sz w:val="24"/>
          <w:highlight w:val="none"/>
        </w:rPr>
        <w:t>盖章</w:t>
      </w:r>
      <w:r>
        <w:rPr>
          <w:rFonts w:ascii="宋体" w:hAnsi="宋体"/>
          <w:color w:val="auto"/>
          <w:sz w:val="24"/>
          <w:highlight w:val="none"/>
        </w:rPr>
        <w:t>)</w:t>
      </w:r>
      <w:r>
        <w:rPr>
          <w:rFonts w:hint="eastAsia" w:ascii="宋体" w:hAnsi="宋体"/>
          <w:color w:val="auto"/>
          <w:sz w:val="24"/>
          <w:highlight w:val="none"/>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96"/>
        <w:gridCol w:w="4308"/>
        <w:gridCol w:w="12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80" w:type="dxa"/>
            <w:gridSpan w:val="2"/>
            <w:tcBorders>
              <w:bottom w:val="single" w:color="auto" w:sz="4" w:space="0"/>
            </w:tcBorders>
            <w:noWrap w:val="0"/>
            <w:vAlign w:val="center"/>
          </w:tcPr>
          <w:p>
            <w:pPr>
              <w:spacing w:line="320" w:lineRule="exact"/>
              <w:jc w:val="center"/>
              <w:rPr>
                <w:rFonts w:hint="eastAsia" w:ascii="宋体" w:hAnsi="宋体"/>
                <w:color w:val="auto"/>
                <w:sz w:val="24"/>
                <w:highlight w:val="none"/>
              </w:rPr>
            </w:pPr>
            <w:r>
              <w:rPr>
                <w:rFonts w:hint="eastAsia" w:ascii="宋体" w:hAnsi="宋体"/>
                <w:color w:val="auto"/>
                <w:sz w:val="24"/>
                <w:highlight w:val="none"/>
              </w:rPr>
              <w:t>供应商</w:t>
            </w:r>
          </w:p>
        </w:tc>
        <w:tc>
          <w:tcPr>
            <w:tcW w:w="4308" w:type="dxa"/>
            <w:tcBorders>
              <w:bottom w:val="single" w:color="auto" w:sz="4" w:space="0"/>
            </w:tcBorders>
            <w:noWrap w:val="0"/>
            <w:vAlign w:val="center"/>
          </w:tcPr>
          <w:p>
            <w:pPr>
              <w:spacing w:line="320" w:lineRule="exact"/>
              <w:rPr>
                <w:rFonts w:hint="eastAsia" w:ascii="宋体" w:hAnsi="宋体"/>
                <w:color w:val="auto"/>
                <w:sz w:val="24"/>
                <w:highlight w:val="none"/>
              </w:rPr>
            </w:pPr>
          </w:p>
        </w:tc>
        <w:tc>
          <w:tcPr>
            <w:tcW w:w="1260" w:type="dxa"/>
            <w:tcBorders>
              <w:bottom w:val="single" w:color="auto" w:sz="4" w:space="0"/>
            </w:tcBorders>
            <w:noWrap w:val="0"/>
            <w:vAlign w:val="center"/>
          </w:tcPr>
          <w:p>
            <w:pPr>
              <w:spacing w:line="320" w:lineRule="exact"/>
              <w:jc w:val="center"/>
              <w:rPr>
                <w:rFonts w:hint="eastAsia" w:ascii="宋体" w:hAnsi="宋体"/>
                <w:color w:val="auto"/>
                <w:sz w:val="24"/>
                <w:highlight w:val="none"/>
              </w:rPr>
            </w:pPr>
            <w:r>
              <w:rPr>
                <w:rFonts w:hint="eastAsia" w:ascii="宋体" w:hAnsi="宋体"/>
                <w:color w:val="auto"/>
                <w:sz w:val="24"/>
                <w:highlight w:val="none"/>
              </w:rPr>
              <w:t>发票号码</w:t>
            </w:r>
          </w:p>
        </w:tc>
        <w:tc>
          <w:tcPr>
            <w:tcW w:w="2680" w:type="dxa"/>
            <w:tcBorders>
              <w:bottom w:val="single" w:color="auto" w:sz="4" w:space="0"/>
            </w:tcBorders>
            <w:noWrap w:val="0"/>
            <w:vAlign w:val="center"/>
          </w:tcPr>
          <w:p>
            <w:pPr>
              <w:spacing w:line="32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80" w:type="dxa"/>
            <w:gridSpan w:val="2"/>
            <w:tcBorders>
              <w:bottom w:val="single" w:color="auto" w:sz="4" w:space="0"/>
            </w:tcBorders>
            <w:noWrap w:val="0"/>
            <w:vAlign w:val="center"/>
          </w:tcPr>
          <w:p>
            <w:pPr>
              <w:spacing w:line="320" w:lineRule="exact"/>
              <w:jc w:val="center"/>
              <w:rPr>
                <w:rFonts w:hint="eastAsia" w:ascii="宋体" w:hAnsi="宋体"/>
                <w:color w:val="auto"/>
                <w:sz w:val="24"/>
                <w:highlight w:val="none"/>
              </w:rPr>
            </w:pPr>
            <w:r>
              <w:rPr>
                <w:rFonts w:hint="eastAsia" w:ascii="宋体" w:hAnsi="宋体"/>
                <w:color w:val="auto"/>
                <w:sz w:val="24"/>
                <w:highlight w:val="none"/>
              </w:rPr>
              <w:t>代理机构</w:t>
            </w:r>
          </w:p>
        </w:tc>
        <w:tc>
          <w:tcPr>
            <w:tcW w:w="4308" w:type="dxa"/>
            <w:tcBorders>
              <w:bottom w:val="single" w:color="auto" w:sz="4" w:space="0"/>
            </w:tcBorders>
            <w:noWrap w:val="0"/>
            <w:vAlign w:val="center"/>
          </w:tcPr>
          <w:p>
            <w:pPr>
              <w:spacing w:line="320" w:lineRule="exact"/>
              <w:rPr>
                <w:rFonts w:hint="eastAsia" w:ascii="宋体" w:hAnsi="宋体"/>
                <w:color w:val="auto"/>
                <w:sz w:val="24"/>
                <w:highlight w:val="none"/>
              </w:rPr>
            </w:pPr>
            <w:r>
              <w:rPr>
                <w:rFonts w:hint="eastAsia" w:ascii="宋体" w:hAnsi="宋体"/>
                <w:color w:val="auto"/>
                <w:sz w:val="24"/>
                <w:highlight w:val="none"/>
              </w:rPr>
              <w:t>平湖市公共资源交易中心</w:t>
            </w:r>
          </w:p>
        </w:tc>
        <w:tc>
          <w:tcPr>
            <w:tcW w:w="1260" w:type="dxa"/>
            <w:tcBorders>
              <w:bottom w:val="single" w:color="auto" w:sz="4" w:space="0"/>
            </w:tcBorders>
            <w:noWrap w:val="0"/>
            <w:vAlign w:val="center"/>
          </w:tcPr>
          <w:p>
            <w:pPr>
              <w:spacing w:line="320" w:lineRule="exact"/>
              <w:jc w:val="center"/>
              <w:rPr>
                <w:rFonts w:hint="eastAsia" w:ascii="宋体" w:hAnsi="宋体"/>
                <w:color w:val="auto"/>
                <w:sz w:val="24"/>
                <w:highlight w:val="none"/>
              </w:rPr>
            </w:pPr>
            <w:r>
              <w:rPr>
                <w:rFonts w:hint="eastAsia" w:ascii="宋体" w:hAnsi="宋体"/>
                <w:color w:val="auto"/>
                <w:sz w:val="24"/>
                <w:highlight w:val="none"/>
              </w:rPr>
              <w:t>合同编号</w:t>
            </w:r>
          </w:p>
        </w:tc>
        <w:tc>
          <w:tcPr>
            <w:tcW w:w="2680" w:type="dxa"/>
            <w:tcBorders>
              <w:bottom w:val="single" w:color="auto" w:sz="4" w:space="0"/>
            </w:tcBorders>
            <w:noWrap w:val="0"/>
            <w:vAlign w:val="center"/>
          </w:tcPr>
          <w:p>
            <w:pPr>
              <w:spacing w:line="32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平政采招2024-38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1" w:hRule="atLeast"/>
          <w:jc w:val="center"/>
        </w:trPr>
        <w:tc>
          <w:tcPr>
            <w:tcW w:w="9628" w:type="dxa"/>
            <w:gridSpan w:val="5"/>
            <w:tcBorders>
              <w:bottom w:val="single" w:color="auto" w:sz="4" w:space="0"/>
            </w:tcBorders>
            <w:noWrap w:val="0"/>
            <w:vAlign w:val="top"/>
          </w:tcPr>
          <w:p>
            <w:pPr>
              <w:spacing w:line="360" w:lineRule="exact"/>
              <w:rPr>
                <w:rFonts w:hint="eastAsia" w:ascii="宋体" w:hAnsi="宋体"/>
                <w:color w:val="auto"/>
                <w:sz w:val="24"/>
                <w:highlight w:val="none"/>
              </w:rPr>
            </w:pPr>
            <w:r>
              <w:rPr>
                <w:rFonts w:hint="eastAsia" w:ascii="宋体" w:hAnsi="宋体"/>
                <w:color w:val="auto"/>
                <w:sz w:val="24"/>
                <w:highlight w:val="none"/>
              </w:rPr>
              <w:t>发票复印件粘贴处，附详细的货物清单(包括名称、规格型号、配置、数量、单价、总价)：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84" w:type="dxa"/>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接收</w:t>
            </w:r>
          </w:p>
          <w:p>
            <w:pPr>
              <w:spacing w:line="360" w:lineRule="exact"/>
              <w:jc w:val="center"/>
              <w:rPr>
                <w:rFonts w:hint="eastAsia" w:ascii="宋体" w:hAnsi="宋体"/>
                <w:color w:val="auto"/>
                <w:sz w:val="24"/>
                <w:highlight w:val="none"/>
              </w:rPr>
            </w:pPr>
            <w:r>
              <w:rPr>
                <w:rFonts w:hint="eastAsia" w:ascii="宋体" w:hAnsi="宋体"/>
                <w:color w:val="auto"/>
                <w:sz w:val="24"/>
                <w:highlight w:val="none"/>
              </w:rPr>
              <w:t>情况</w:t>
            </w:r>
          </w:p>
        </w:tc>
        <w:tc>
          <w:tcPr>
            <w:tcW w:w="8744" w:type="dxa"/>
            <w:gridSpan w:val="4"/>
            <w:noWrap w:val="0"/>
            <w:vAlign w:val="center"/>
          </w:tcPr>
          <w:p>
            <w:pPr>
              <w:spacing w:line="360" w:lineRule="exact"/>
              <w:rPr>
                <w:rFonts w:hint="eastAsia" w:ascii="宋体" w:hAnsi="宋体"/>
                <w:color w:val="auto"/>
                <w:sz w:val="24"/>
                <w:highlight w:val="none"/>
              </w:rPr>
            </w:pPr>
            <w:r>
              <w:rPr>
                <w:rFonts w:hint="eastAsia" w:ascii="宋体" w:hAnsi="宋体"/>
                <w:color w:val="auto"/>
                <w:sz w:val="24"/>
                <w:highlight w:val="none"/>
              </w:rPr>
              <w:t>货物(或服务、工程)已全部采购到位，并已办理接收手续。</w:t>
            </w:r>
          </w:p>
          <w:p>
            <w:pPr>
              <w:spacing w:line="600" w:lineRule="exact"/>
              <w:rPr>
                <w:rFonts w:hint="eastAsia" w:ascii="宋体" w:hAnsi="宋体"/>
                <w:color w:val="auto"/>
                <w:sz w:val="24"/>
                <w:highlight w:val="none"/>
              </w:rPr>
            </w:pPr>
          </w:p>
          <w:p>
            <w:pPr>
              <w:spacing w:line="600" w:lineRule="exact"/>
              <w:rPr>
                <w:rFonts w:hint="eastAsia" w:ascii="宋体" w:hAnsi="宋体"/>
                <w:color w:val="auto"/>
                <w:sz w:val="24"/>
                <w:highlight w:val="none"/>
              </w:rPr>
            </w:pPr>
            <w:r>
              <w:rPr>
                <w:rFonts w:hint="eastAsia" w:ascii="宋体" w:hAnsi="宋体"/>
                <w:color w:val="auto"/>
                <w:sz w:val="24"/>
                <w:highlight w:val="none"/>
              </w:rPr>
              <w:t xml:space="preserve">供应商代表(签名)：            </w:t>
            </w:r>
            <w:r>
              <w:rPr>
                <w:rFonts w:hint="eastAsia" w:ascii="宋体" w:hAnsi="宋体"/>
                <w:color w:val="auto"/>
                <w:sz w:val="24"/>
                <w:highlight w:val="none"/>
                <w:lang w:eastAsia="zh-CN"/>
              </w:rPr>
              <w:t>征集人</w:t>
            </w:r>
            <w:r>
              <w:rPr>
                <w:rFonts w:hint="eastAsia" w:ascii="宋体" w:hAnsi="宋体"/>
                <w:color w:val="auto"/>
                <w:sz w:val="24"/>
                <w:highlight w:val="none"/>
              </w:rPr>
              <w:t>接收人</w:t>
            </w:r>
            <w:r>
              <w:rPr>
                <w:rFonts w:ascii="宋体" w:hAnsi="宋体"/>
                <w:color w:val="auto"/>
                <w:sz w:val="24"/>
                <w:highlight w:val="none"/>
              </w:rPr>
              <w:t>(</w:t>
            </w:r>
            <w:r>
              <w:rPr>
                <w:rFonts w:hint="eastAsia" w:ascii="宋体" w:hAnsi="宋体"/>
                <w:color w:val="auto"/>
                <w:sz w:val="24"/>
                <w:highlight w:val="none"/>
              </w:rPr>
              <w:t>签名</w:t>
            </w:r>
            <w:r>
              <w:rPr>
                <w:rFonts w:ascii="宋体" w:hAnsi="宋体"/>
                <w:color w:val="auto"/>
                <w:sz w:val="24"/>
                <w:highlight w:val="none"/>
              </w:rPr>
              <w:t>)</w:t>
            </w:r>
            <w:r>
              <w:rPr>
                <w:rFonts w:hint="eastAsia" w:ascii="宋体" w:hAnsi="宋体"/>
                <w:color w:val="auto"/>
                <w:sz w:val="24"/>
                <w:highlight w:val="none"/>
              </w:rPr>
              <w:t>：       年</w:t>
            </w:r>
            <w:r>
              <w:rPr>
                <w:rFonts w:ascii="宋体" w:hAnsi="宋体"/>
                <w:color w:val="auto"/>
                <w:sz w:val="24"/>
                <w:highlight w:val="none"/>
              </w:rPr>
              <w:t xml:space="preserve">  </w:t>
            </w:r>
            <w:r>
              <w:rPr>
                <w:rFonts w:hint="eastAsia" w:ascii="宋体" w:hAnsi="宋体"/>
                <w:color w:val="auto"/>
                <w:sz w:val="24"/>
                <w:highlight w:val="none"/>
              </w:rPr>
              <w:t xml:space="preserve">  月  </w:t>
            </w:r>
            <w:r>
              <w:rPr>
                <w:rFonts w:ascii="宋体" w:hAnsi="宋体"/>
                <w:color w:val="auto"/>
                <w:sz w:val="24"/>
                <w:highlight w:val="none"/>
              </w:rPr>
              <w:t xml:space="preserve">  </w:t>
            </w:r>
            <w:r>
              <w:rPr>
                <w:rFonts w:hint="eastAsia" w:ascii="宋体" w:hAnsi="宋体"/>
                <w:color w:val="auto"/>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884" w:type="dxa"/>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验收</w:t>
            </w:r>
          </w:p>
          <w:p>
            <w:pPr>
              <w:spacing w:line="360" w:lineRule="exact"/>
              <w:jc w:val="center"/>
              <w:rPr>
                <w:rFonts w:hint="eastAsia" w:ascii="宋体" w:hAnsi="宋体"/>
                <w:color w:val="auto"/>
                <w:sz w:val="24"/>
                <w:highlight w:val="none"/>
              </w:rPr>
            </w:pPr>
            <w:r>
              <w:rPr>
                <w:rFonts w:hint="eastAsia" w:ascii="宋体" w:hAnsi="宋体"/>
                <w:color w:val="auto"/>
                <w:sz w:val="24"/>
                <w:highlight w:val="none"/>
              </w:rPr>
              <w:t>意见</w:t>
            </w:r>
          </w:p>
        </w:tc>
        <w:tc>
          <w:tcPr>
            <w:tcW w:w="8744" w:type="dxa"/>
            <w:gridSpan w:val="4"/>
            <w:noWrap w:val="0"/>
            <w:vAlign w:val="center"/>
          </w:tcPr>
          <w:p>
            <w:pPr>
              <w:spacing w:line="360" w:lineRule="exact"/>
              <w:ind w:firstLine="4320" w:firstLineChars="1800"/>
              <w:rPr>
                <w:rFonts w:hint="eastAsia" w:ascii="宋体" w:hAnsi="宋体"/>
                <w:color w:val="auto"/>
                <w:sz w:val="24"/>
                <w:highlight w:val="none"/>
              </w:rPr>
            </w:pPr>
          </w:p>
          <w:p>
            <w:pPr>
              <w:spacing w:line="360" w:lineRule="exact"/>
              <w:ind w:firstLine="4320" w:firstLineChars="1800"/>
              <w:rPr>
                <w:rFonts w:hint="eastAsia" w:ascii="宋体" w:hAnsi="宋体"/>
                <w:color w:val="auto"/>
                <w:sz w:val="24"/>
                <w:highlight w:val="none"/>
              </w:rPr>
            </w:pPr>
          </w:p>
          <w:p>
            <w:pPr>
              <w:spacing w:line="360" w:lineRule="exact"/>
              <w:rPr>
                <w:rFonts w:hint="eastAsia" w:ascii="宋体" w:hAnsi="宋体"/>
                <w:color w:val="auto"/>
                <w:sz w:val="24"/>
                <w:highlight w:val="none"/>
              </w:rPr>
            </w:pPr>
            <w:r>
              <w:rPr>
                <w:rFonts w:hint="eastAsia" w:ascii="宋体" w:hAnsi="宋体"/>
                <w:color w:val="auto"/>
                <w:sz w:val="24"/>
                <w:highlight w:val="none"/>
              </w:rPr>
              <w:t>验收人</w:t>
            </w:r>
            <w:r>
              <w:rPr>
                <w:rFonts w:ascii="宋体" w:hAnsi="宋体"/>
                <w:color w:val="auto"/>
                <w:sz w:val="24"/>
                <w:highlight w:val="none"/>
              </w:rPr>
              <w:t>(</w:t>
            </w:r>
            <w:r>
              <w:rPr>
                <w:rFonts w:hint="eastAsia" w:ascii="宋体" w:hAnsi="宋体"/>
                <w:color w:val="auto"/>
                <w:sz w:val="24"/>
                <w:highlight w:val="none"/>
              </w:rPr>
              <w:t>签名</w:t>
            </w:r>
            <w:r>
              <w:rPr>
                <w:rFonts w:ascii="宋体" w:hAnsi="宋体"/>
                <w:color w:val="auto"/>
                <w:sz w:val="24"/>
                <w:highlight w:val="none"/>
              </w:rPr>
              <w:t>)</w:t>
            </w:r>
            <w:r>
              <w:rPr>
                <w:rFonts w:hint="eastAsia" w:ascii="宋体" w:hAnsi="宋体"/>
                <w:color w:val="auto"/>
                <w:sz w:val="24"/>
                <w:highlight w:val="none"/>
              </w:rPr>
              <w:t>：                                            年</w:t>
            </w:r>
            <w:r>
              <w:rPr>
                <w:rFonts w:ascii="宋体" w:hAnsi="宋体"/>
                <w:color w:val="auto"/>
                <w:sz w:val="24"/>
                <w:highlight w:val="none"/>
              </w:rPr>
              <w:t xml:space="preserve">  </w:t>
            </w:r>
            <w:r>
              <w:rPr>
                <w:rFonts w:hint="eastAsia" w:ascii="宋体" w:hAnsi="宋体"/>
                <w:color w:val="auto"/>
                <w:sz w:val="24"/>
                <w:highlight w:val="none"/>
              </w:rPr>
              <w:t xml:space="preserve">  月</w:t>
            </w:r>
            <w:r>
              <w:rPr>
                <w:rFonts w:ascii="宋体" w:hAnsi="宋体"/>
                <w:color w:val="auto"/>
                <w:sz w:val="24"/>
                <w:highlight w:val="none"/>
              </w:rPr>
              <w:t xml:space="preserve">  </w:t>
            </w:r>
            <w:r>
              <w:rPr>
                <w:rFonts w:hint="eastAsia" w:ascii="宋体" w:hAnsi="宋体"/>
                <w:color w:val="auto"/>
                <w:sz w:val="24"/>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884" w:type="dxa"/>
            <w:noWrap w:val="0"/>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结算</w:t>
            </w:r>
          </w:p>
          <w:p>
            <w:pPr>
              <w:spacing w:line="360" w:lineRule="exact"/>
              <w:jc w:val="center"/>
              <w:rPr>
                <w:rFonts w:hint="eastAsia" w:ascii="宋体" w:hAnsi="宋体"/>
                <w:color w:val="auto"/>
                <w:sz w:val="24"/>
                <w:highlight w:val="none"/>
              </w:rPr>
            </w:pPr>
            <w:r>
              <w:rPr>
                <w:rFonts w:hint="eastAsia" w:ascii="宋体" w:hAnsi="宋体"/>
                <w:color w:val="auto"/>
                <w:sz w:val="24"/>
                <w:highlight w:val="none"/>
              </w:rPr>
              <w:t>意见</w:t>
            </w:r>
          </w:p>
        </w:tc>
        <w:tc>
          <w:tcPr>
            <w:tcW w:w="8744" w:type="dxa"/>
            <w:gridSpan w:val="4"/>
            <w:noWrap w:val="0"/>
            <w:vAlign w:val="center"/>
          </w:tcPr>
          <w:p>
            <w:pPr>
              <w:spacing w:line="360" w:lineRule="exact"/>
              <w:ind w:left="10" w:leftChars="4" w:right="9"/>
              <w:rPr>
                <w:rFonts w:ascii="宋体" w:hAnsi="宋体"/>
                <w:color w:val="auto"/>
                <w:sz w:val="24"/>
                <w:highlight w:val="none"/>
              </w:rPr>
            </w:pPr>
            <w:r>
              <w:rPr>
                <w:rFonts w:hint="eastAsia" w:ascii="宋体" w:hAnsi="宋体"/>
                <w:color w:val="auto"/>
                <w:sz w:val="24"/>
                <w:highlight w:val="none"/>
              </w:rPr>
              <w:t>该项目采购预算总额      万元，实际采购合同金额           元，分  次拨付。经审查，同意按合同约定支付。</w:t>
            </w:r>
          </w:p>
          <w:p>
            <w:pPr>
              <w:spacing w:line="360" w:lineRule="exact"/>
              <w:rPr>
                <w:rFonts w:hint="eastAsia" w:ascii="宋体" w:hAnsi="宋体"/>
                <w:color w:val="auto"/>
                <w:sz w:val="24"/>
                <w:highlight w:val="none"/>
              </w:rPr>
            </w:pPr>
            <w:r>
              <w:rPr>
                <w:rFonts w:ascii="宋体" w:hAnsi="宋体"/>
                <w:color w:val="auto"/>
                <w:sz w:val="24"/>
                <w:highlight w:val="none"/>
              </w:rPr>
              <w:t xml:space="preserve">    </w:t>
            </w:r>
          </w:p>
          <w:p>
            <w:pPr>
              <w:spacing w:line="360" w:lineRule="exact"/>
              <w:rPr>
                <w:rFonts w:hint="eastAsia" w:ascii="宋体" w:hAnsi="宋体"/>
                <w:color w:val="auto"/>
                <w:sz w:val="24"/>
                <w:highlight w:val="none"/>
              </w:rPr>
            </w:pPr>
            <w:r>
              <w:rPr>
                <w:rFonts w:hint="eastAsia" w:ascii="宋体" w:hAnsi="宋体"/>
                <w:color w:val="auto"/>
                <w:sz w:val="24"/>
                <w:highlight w:val="none"/>
              </w:rPr>
              <w:t>财务负责人</w:t>
            </w:r>
            <w:r>
              <w:rPr>
                <w:rFonts w:ascii="宋体" w:hAnsi="宋体"/>
                <w:color w:val="auto"/>
                <w:sz w:val="24"/>
                <w:highlight w:val="none"/>
              </w:rPr>
              <w:t>(</w:t>
            </w:r>
            <w:r>
              <w:rPr>
                <w:rFonts w:hint="eastAsia" w:ascii="宋体" w:hAnsi="宋体"/>
                <w:color w:val="auto"/>
                <w:sz w:val="24"/>
                <w:highlight w:val="none"/>
              </w:rPr>
              <w:t>签名</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 xml:space="preserve">                                       年</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 xml:space="preserve">  日</w:t>
            </w:r>
          </w:p>
        </w:tc>
      </w:tr>
    </w:tbl>
    <w:p>
      <w:pPr>
        <w:rPr>
          <w:rFonts w:hint="eastAsia" w:ascii="宋体" w:hAnsi="宋体"/>
          <w:color w:val="auto"/>
          <w:sz w:val="24"/>
          <w:highlight w:val="none"/>
        </w:rPr>
      </w:pPr>
      <w:r>
        <w:rPr>
          <w:rFonts w:hint="eastAsia" w:ascii="宋体" w:hAnsi="宋体"/>
          <w:color w:val="auto"/>
          <w:spacing w:val="-10"/>
          <w:sz w:val="24"/>
          <w:highlight w:val="none"/>
        </w:rPr>
        <w:t>第一联:财政资金科留存。第二联:采购办留存。第三联:采购代理机构留存。第四联:</w:t>
      </w:r>
      <w:r>
        <w:rPr>
          <w:rFonts w:hint="eastAsia" w:ascii="宋体" w:hAnsi="宋体"/>
          <w:color w:val="auto"/>
          <w:spacing w:val="-10"/>
          <w:sz w:val="24"/>
          <w:highlight w:val="none"/>
          <w:lang w:eastAsia="zh-CN"/>
        </w:rPr>
        <w:t>征集人</w:t>
      </w:r>
      <w:r>
        <w:rPr>
          <w:rFonts w:hint="eastAsia" w:ascii="宋体" w:hAnsi="宋体"/>
          <w:color w:val="auto"/>
          <w:spacing w:val="-10"/>
          <w:sz w:val="24"/>
          <w:highlight w:val="none"/>
        </w:rPr>
        <w:t>留存。</w:t>
      </w:r>
    </w:p>
    <w:p>
      <w:pPr>
        <w:pStyle w:val="17"/>
        <w:snapToGrid w:val="0"/>
        <w:spacing w:before="0" w:beforeLines="0" w:after="0" w:afterLines="0" w:line="360" w:lineRule="exact"/>
        <w:ind w:firstLine="120" w:firstLineChars="50"/>
        <w:rPr>
          <w:rFonts w:hint="eastAsia" w:hAnsi="宋体"/>
          <w:color w:val="auto"/>
          <w:highlight w:val="none"/>
        </w:rPr>
      </w:pPr>
    </w:p>
    <w:p>
      <w:pPr>
        <w:pStyle w:val="4"/>
        <w:spacing w:line="240" w:lineRule="auto"/>
        <w:rPr>
          <w:rFonts w:hint="eastAsia" w:ascii="黑体" w:hAnsi="黑体" w:eastAsia="黑体" w:cs="黑体"/>
          <w:b w:val="0"/>
          <w:bCs w:val="0"/>
          <w:color w:val="auto"/>
          <w:sz w:val="32"/>
          <w:szCs w:val="32"/>
          <w:highlight w:val="none"/>
        </w:rPr>
      </w:pPr>
      <w:r>
        <w:rPr>
          <w:rFonts w:hint="eastAsia" w:ascii="黑体" w:hAnsi="黑体" w:eastAsia="黑体" w:cs="黑体"/>
          <w:color w:val="auto"/>
          <w:sz w:val="32"/>
          <w:szCs w:val="32"/>
          <w:highlight w:val="none"/>
        </w:rPr>
        <w:t>第六章 响应文件格式</w:t>
      </w:r>
      <w:bookmarkEnd w:id="87"/>
      <w:bookmarkEnd w:id="88"/>
    </w:p>
    <w:p>
      <w:pPr>
        <w:pStyle w:val="17"/>
        <w:snapToGrid w:val="0"/>
        <w:spacing w:beforeLines="0" w:afterLines="0" w:line="440" w:lineRule="exact"/>
        <w:outlineLvl w:val="1"/>
        <w:rPr>
          <w:rFonts w:hAnsi="宋体"/>
          <w:b/>
          <w:color w:val="auto"/>
          <w:highlight w:val="none"/>
        </w:rPr>
      </w:pPr>
      <w:r>
        <w:rPr>
          <w:rFonts w:hint="eastAsia" w:hAnsi="宋体"/>
          <w:b/>
          <w:color w:val="auto"/>
          <w:highlight w:val="none"/>
        </w:rPr>
        <w:t>一、</w:t>
      </w:r>
      <w:r>
        <w:rPr>
          <w:rFonts w:hint="eastAsia" w:hAnsi="宋体"/>
          <w:b/>
          <w:color w:val="auto"/>
          <w:highlight w:val="none"/>
          <w:lang w:eastAsia="zh-CN"/>
        </w:rPr>
        <w:t>资格</w:t>
      </w:r>
      <w:r>
        <w:rPr>
          <w:rFonts w:hint="eastAsia" w:hAnsi="宋体"/>
          <w:b/>
          <w:color w:val="auto"/>
          <w:highlight w:val="none"/>
        </w:rPr>
        <w:t>文件格式</w:t>
      </w:r>
    </w:p>
    <w:p>
      <w:pPr>
        <w:snapToGrid w:val="0"/>
        <w:spacing w:line="440" w:lineRule="exact"/>
        <w:rPr>
          <w:rFonts w:ascii="宋体" w:hAnsi="宋体"/>
          <w:color w:val="auto"/>
          <w:sz w:val="24"/>
          <w:highlight w:val="none"/>
        </w:rPr>
      </w:pPr>
      <w:r>
        <w:rPr>
          <w:rFonts w:hint="eastAsia" w:ascii="宋体" w:hAnsi="宋体"/>
          <w:bCs/>
          <w:color w:val="auto"/>
          <w:sz w:val="24"/>
          <w:highlight w:val="none"/>
        </w:rPr>
        <w:t>1</w:t>
      </w:r>
      <w:r>
        <w:rPr>
          <w:rFonts w:ascii="宋体" w:hAnsi="宋体"/>
          <w:color w:val="auto"/>
          <w:sz w:val="24"/>
          <w:highlight w:val="none"/>
        </w:rPr>
        <w:t>.</w:t>
      </w:r>
      <w:r>
        <w:rPr>
          <w:rFonts w:hint="eastAsia" w:ascii="宋体" w:hAnsi="宋体"/>
          <w:color w:val="auto"/>
          <w:sz w:val="24"/>
          <w:highlight w:val="none"/>
          <w:lang w:eastAsia="zh-CN"/>
        </w:rPr>
        <w:t>资格</w:t>
      </w:r>
      <w:r>
        <w:rPr>
          <w:rFonts w:hint="eastAsia" w:ascii="宋体" w:hAnsi="宋体"/>
          <w:color w:val="auto"/>
          <w:sz w:val="24"/>
          <w:highlight w:val="none"/>
        </w:rPr>
        <w:t>文件封面格式</w:t>
      </w:r>
    </w:p>
    <w:p>
      <w:pPr>
        <w:snapToGrid w:val="0"/>
        <w:spacing w:line="440" w:lineRule="exact"/>
        <w:rPr>
          <w:rFonts w:ascii="宋体" w:hAnsi="宋体"/>
          <w:b/>
          <w:bCs/>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napToGrid w:val="0"/>
        <w:spacing w:line="440" w:lineRule="exact"/>
        <w:jc w:val="center"/>
        <w:rPr>
          <w:rFonts w:ascii="宋体" w:hAnsi="宋体"/>
          <w:b/>
          <w:bCs/>
          <w:color w:val="auto"/>
          <w:sz w:val="24"/>
          <w:highlight w:val="none"/>
        </w:rPr>
      </w:pPr>
      <w:r>
        <w:rPr>
          <w:rFonts w:hint="eastAsia" w:ascii="宋体" w:hAnsi="宋体"/>
          <w:b/>
          <w:bCs/>
          <w:color w:val="auto"/>
          <w:sz w:val="24"/>
          <w:highlight w:val="none"/>
          <w:lang w:eastAsia="zh-CN"/>
        </w:rPr>
        <w:t>资格</w:t>
      </w:r>
      <w:r>
        <w:rPr>
          <w:rFonts w:hint="eastAsia" w:ascii="宋体" w:hAnsi="宋体"/>
          <w:b/>
          <w:bCs/>
          <w:color w:val="auto"/>
          <w:sz w:val="24"/>
          <w:highlight w:val="none"/>
        </w:rPr>
        <w:t>文件</w:t>
      </w:r>
    </w:p>
    <w:p>
      <w:pPr>
        <w:snapToGrid w:val="0"/>
        <w:spacing w:line="440" w:lineRule="exact"/>
        <w:ind w:firstLine="900" w:firstLineChars="375"/>
        <w:rPr>
          <w:rFonts w:ascii="宋体" w:hAnsi="宋体"/>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u w:val="single"/>
        </w:rPr>
        <w:t xml:space="preserve">                    </w:t>
      </w:r>
      <w:r>
        <w:rPr>
          <w:rFonts w:hint="eastAsia" w:ascii="宋体" w:hAnsi="宋体"/>
          <w:color w:val="auto"/>
          <w:sz w:val="24"/>
          <w:highlight w:val="none"/>
        </w:rPr>
        <w:t>采购项目</w:t>
      </w:r>
    </w:p>
    <w:p>
      <w:pPr>
        <w:pStyle w:val="8"/>
        <w:snapToGrid w:val="0"/>
        <w:spacing w:line="440" w:lineRule="exact"/>
        <w:ind w:firstLine="900" w:firstLineChars="375"/>
        <w:rPr>
          <w:rFonts w:ascii="宋体" w:hAnsi="宋体"/>
          <w:bCs/>
          <w:color w:val="auto"/>
          <w:sz w:val="24"/>
          <w:highlight w:val="none"/>
        </w:rPr>
      </w:pPr>
      <w:r>
        <w:rPr>
          <w:rFonts w:hint="eastAsia" w:ascii="宋体" w:hAnsi="宋体"/>
          <w:bCs/>
          <w:color w:val="auto"/>
          <w:sz w:val="24"/>
          <w:highlight w:val="none"/>
        </w:rPr>
        <w:t>项目编号：</w:t>
      </w:r>
    </w:p>
    <w:p>
      <w:pPr>
        <w:pStyle w:val="8"/>
        <w:snapToGrid w:val="0"/>
        <w:spacing w:line="440" w:lineRule="exact"/>
        <w:ind w:firstLine="900" w:firstLineChars="375"/>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名称（盖章）：</w:t>
      </w:r>
    </w:p>
    <w:p>
      <w:pPr>
        <w:pStyle w:val="8"/>
        <w:snapToGrid w:val="0"/>
        <w:spacing w:line="440" w:lineRule="exact"/>
        <w:ind w:firstLine="900" w:firstLineChars="375"/>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pPr>
        <w:snapToGrid w:val="0"/>
        <w:spacing w:line="440" w:lineRule="exact"/>
        <w:ind w:firstLine="3280" w:firstLineChars="1367"/>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pPr>
        <w:snapToGrid w:val="0"/>
        <w:spacing w:line="360" w:lineRule="auto"/>
        <w:ind w:firstLine="3280" w:firstLineChars="1367"/>
        <w:rPr>
          <w:rFonts w:ascii="宋体" w:hAnsi="宋体"/>
          <w:color w:val="auto"/>
          <w:sz w:val="24"/>
          <w:highlight w:val="none"/>
        </w:rPr>
      </w:pPr>
    </w:p>
    <w:p>
      <w:pPr>
        <w:snapToGrid w:val="0"/>
        <w:spacing w:line="360" w:lineRule="auto"/>
        <w:ind w:firstLine="3280" w:firstLineChars="1367"/>
        <w:rPr>
          <w:rFonts w:hint="eastAsia" w:ascii="宋体" w:hAnsi="宋体"/>
          <w:color w:val="auto"/>
          <w:sz w:val="24"/>
          <w:highlight w:val="none"/>
        </w:rPr>
      </w:pPr>
    </w:p>
    <w:p>
      <w:pPr>
        <w:snapToGrid w:val="0"/>
        <w:spacing w:line="360" w:lineRule="auto"/>
        <w:ind w:firstLine="3280" w:firstLineChars="1367"/>
        <w:rPr>
          <w:rFonts w:hint="eastAsia" w:ascii="宋体" w:hAnsi="宋体"/>
          <w:color w:val="auto"/>
          <w:sz w:val="24"/>
          <w:highlight w:val="none"/>
        </w:rPr>
      </w:pPr>
    </w:p>
    <w:p>
      <w:pPr>
        <w:snapToGrid w:val="0"/>
        <w:spacing w:line="360" w:lineRule="auto"/>
        <w:ind w:firstLine="3280" w:firstLineChars="1367"/>
        <w:rPr>
          <w:rFonts w:hint="eastAsia" w:ascii="宋体" w:hAnsi="宋体"/>
          <w:color w:val="auto"/>
          <w:sz w:val="24"/>
          <w:highlight w:val="none"/>
        </w:rPr>
      </w:pPr>
    </w:p>
    <w:p>
      <w:pPr>
        <w:snapToGrid w:val="0"/>
        <w:spacing w:line="440" w:lineRule="exact"/>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w:t>
      </w:r>
      <w:r>
        <w:rPr>
          <w:rFonts w:hint="eastAsia" w:ascii="宋体" w:hAnsi="宋体"/>
          <w:bCs/>
          <w:color w:val="auto"/>
          <w:sz w:val="24"/>
          <w:highlight w:val="none"/>
          <w:lang w:eastAsia="zh-CN"/>
        </w:rPr>
        <w:t>资格文件</w:t>
      </w:r>
      <w:r>
        <w:rPr>
          <w:rFonts w:hint="eastAsia" w:ascii="宋体" w:hAnsi="宋体"/>
          <w:bCs/>
          <w:color w:val="auto"/>
          <w:sz w:val="24"/>
          <w:highlight w:val="none"/>
        </w:rPr>
        <w:t>目录（请按照“第三章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w:t>
      </w:r>
      <w:r>
        <w:rPr>
          <w:rFonts w:ascii="宋体" w:hAnsi="宋体"/>
          <w:bCs/>
          <w:color w:val="auto"/>
          <w:sz w:val="24"/>
          <w:highlight w:val="none"/>
        </w:rPr>
        <w:t>三、</w:t>
      </w:r>
      <w:r>
        <w:rPr>
          <w:rFonts w:hint="eastAsia" w:ascii="宋体" w:hAnsi="宋体"/>
          <w:bCs/>
          <w:color w:val="auto"/>
          <w:sz w:val="24"/>
          <w:highlight w:val="none"/>
          <w:lang w:eastAsia="zh-CN"/>
        </w:rPr>
        <w:t>响应文件</w:t>
      </w:r>
      <w:r>
        <w:rPr>
          <w:rFonts w:ascii="宋体" w:hAnsi="宋体"/>
          <w:bCs/>
          <w:color w:val="auto"/>
          <w:sz w:val="24"/>
          <w:highlight w:val="none"/>
        </w:rPr>
        <w:t>的编制</w:t>
      </w:r>
      <w:r>
        <w:rPr>
          <w:rFonts w:hint="eastAsia" w:ascii="宋体" w:hAnsi="宋体"/>
          <w:bCs/>
          <w:color w:val="auto"/>
          <w:sz w:val="24"/>
          <w:highlight w:val="none"/>
        </w:rPr>
        <w:t>”的顺序，结合评标办法自行编制目录）</w:t>
      </w:r>
    </w:p>
    <w:p>
      <w:pPr>
        <w:snapToGrid w:val="0"/>
        <w:spacing w:line="440" w:lineRule="exact"/>
        <w:rPr>
          <w:rFonts w:ascii="宋体" w:hAnsi="宋体"/>
          <w:bCs/>
          <w:color w:val="auto"/>
          <w:sz w:val="24"/>
          <w:highlight w:val="none"/>
        </w:rPr>
      </w:pPr>
      <w:r>
        <w:rPr>
          <w:rFonts w:hint="eastAsia" w:ascii="宋体" w:hAnsi="宋体"/>
          <w:bCs/>
          <w:color w:val="auto"/>
          <w:sz w:val="24"/>
          <w:highlight w:val="none"/>
        </w:rPr>
        <w:t>例如：</w:t>
      </w:r>
    </w:p>
    <w:p>
      <w:pPr>
        <w:snapToGrid w:val="0"/>
        <w:spacing w:line="440" w:lineRule="exact"/>
        <w:rPr>
          <w:rFonts w:ascii="宋体" w:hAnsi="宋体"/>
          <w:bCs/>
          <w:color w:val="auto"/>
          <w:sz w:val="24"/>
          <w:highlight w:val="none"/>
        </w:rPr>
      </w:pPr>
      <w:r>
        <w:rPr>
          <w:rFonts w:hint="eastAsia" w:ascii="宋体" w:hAnsi="宋体"/>
          <w:bCs/>
          <w:color w:val="auto"/>
          <w:sz w:val="24"/>
          <w:highlight w:val="none"/>
          <w:lang w:eastAsia="zh-CN"/>
        </w:rPr>
        <w:t>资格</w:t>
      </w:r>
      <w:r>
        <w:rPr>
          <w:rFonts w:hint="eastAsia" w:ascii="宋体" w:hAnsi="宋体"/>
          <w:bCs/>
          <w:color w:val="auto"/>
          <w:sz w:val="24"/>
          <w:highlight w:val="none"/>
        </w:rPr>
        <w:t>文件：</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ascii="宋体" w:hAnsi="宋体"/>
          <w:color w:val="auto"/>
          <w:sz w:val="24"/>
          <w:highlight w:val="none"/>
        </w:rPr>
        <w:t>）</w:t>
      </w:r>
      <w:r>
        <w:rPr>
          <w:rFonts w:hint="eastAsia" w:ascii="宋体" w:hAnsi="宋体"/>
          <w:color w:val="auto"/>
          <w:sz w:val="24"/>
          <w:highlight w:val="none"/>
        </w:rPr>
        <w:t>投标声明书</w:t>
      </w:r>
      <w:r>
        <w:rPr>
          <w:rFonts w:ascii="宋体" w:hAnsi="宋体"/>
          <w:color w:val="auto"/>
          <w:sz w:val="24"/>
          <w:highlight w:val="none"/>
        </w:rPr>
        <w:t xml:space="preserve"> (格式见附</w:t>
      </w:r>
      <w:r>
        <w:rPr>
          <w:rFonts w:hint="eastAsia" w:ascii="宋体" w:hAnsi="宋体"/>
          <w:color w:val="auto"/>
          <w:sz w:val="24"/>
          <w:highlight w:val="none"/>
        </w:rPr>
        <w:t>件）</w:t>
      </w:r>
      <w:r>
        <w:rPr>
          <w:rFonts w:hint="eastAsia" w:ascii="宋体" w:hAnsi="宋体" w:cs="宋体"/>
          <w:color w:val="auto"/>
          <w:kern w:val="0"/>
          <w:sz w:val="24"/>
          <w:highlight w:val="none"/>
        </w:rPr>
        <w:t>……………………………………………（页码）</w:t>
      </w:r>
    </w:p>
    <w:p>
      <w:pPr>
        <w:snapToGrid w:val="0"/>
        <w:spacing w:line="440" w:lineRule="exact"/>
        <w:jc w:val="left"/>
        <w:rPr>
          <w:rFonts w:ascii="宋体" w:hAnsi="宋体"/>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ascii="宋体" w:hAnsi="宋体"/>
          <w:color w:val="auto"/>
          <w:sz w:val="24"/>
          <w:highlight w:val="none"/>
        </w:rPr>
        <w:t>）</w:t>
      </w:r>
      <w:r>
        <w:rPr>
          <w:rFonts w:hint="eastAsia" w:ascii="宋体" w:hAnsi="宋体"/>
          <w:color w:val="auto"/>
          <w:sz w:val="24"/>
          <w:highlight w:val="none"/>
        </w:rPr>
        <w:t>法定代表人有效身份证件复印件或者法定代表人授权委托书</w:t>
      </w:r>
      <w:r>
        <w:rPr>
          <w:rFonts w:hint="eastAsia" w:ascii="宋体" w:hAnsi="宋体" w:cs="宋体"/>
          <w:color w:val="auto"/>
          <w:kern w:val="0"/>
          <w:sz w:val="24"/>
          <w:highlight w:val="none"/>
        </w:rPr>
        <w:t>………（页码）</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w:t>
      </w:r>
      <w:r>
        <w:rPr>
          <w:rFonts w:hint="eastAsia" w:ascii="宋体" w:hAnsi="宋体"/>
          <w:color w:val="auto"/>
          <w:sz w:val="24"/>
          <w:highlight w:val="none"/>
        </w:rPr>
        <w:t>企业（法人）营业执照复印件</w:t>
      </w:r>
      <w:r>
        <w:rPr>
          <w:rFonts w:hint="eastAsia" w:ascii="宋体" w:hAnsi="宋体" w:cs="宋体"/>
          <w:color w:val="auto"/>
          <w:kern w:val="0"/>
          <w:sz w:val="24"/>
          <w:highlight w:val="none"/>
        </w:rPr>
        <w:t>…………………………………………（页码）</w:t>
      </w:r>
    </w:p>
    <w:p>
      <w:pPr>
        <w:snapToGrid w:val="0"/>
        <w:spacing w:before="120" w:beforeLines="50" w:after="50"/>
        <w:rPr>
          <w:rFonts w:ascii="宋体" w:hAnsi="宋体"/>
          <w:color w:val="auto"/>
          <w:sz w:val="24"/>
          <w:szCs w:val="20"/>
          <w:highlight w:val="none"/>
        </w:rPr>
      </w:pPr>
    </w:p>
    <w:p>
      <w:pPr>
        <w:pStyle w:val="15"/>
        <w:rPr>
          <w:rFonts w:ascii="宋体" w:hAnsi="宋体"/>
          <w:color w:val="auto"/>
          <w:sz w:val="24"/>
          <w:szCs w:val="20"/>
          <w:highlight w:val="none"/>
        </w:rPr>
      </w:pPr>
    </w:p>
    <w:p>
      <w:pPr>
        <w:pStyle w:val="15"/>
        <w:rPr>
          <w:rFonts w:ascii="宋体" w:hAnsi="宋体"/>
          <w:color w:val="auto"/>
          <w:sz w:val="24"/>
          <w:szCs w:val="20"/>
          <w:highlight w:val="none"/>
        </w:rPr>
      </w:pPr>
    </w:p>
    <w:p>
      <w:pPr>
        <w:pStyle w:val="15"/>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pStyle w:val="17"/>
        <w:snapToGrid w:val="0"/>
        <w:spacing w:beforeLines="0" w:afterLines="0" w:line="440" w:lineRule="exact"/>
        <w:outlineLvl w:val="1"/>
        <w:rPr>
          <w:rFonts w:hint="eastAsia" w:hAnsi="宋体"/>
          <w:b/>
          <w:color w:val="auto"/>
          <w:highlight w:val="none"/>
        </w:rPr>
      </w:pPr>
    </w:p>
    <w:p>
      <w:pPr>
        <w:pStyle w:val="17"/>
        <w:snapToGrid w:val="0"/>
        <w:spacing w:beforeLines="0" w:afterLines="0" w:line="440" w:lineRule="exact"/>
        <w:outlineLvl w:val="1"/>
        <w:rPr>
          <w:rFonts w:hint="eastAsia" w:hAnsi="宋体"/>
          <w:b/>
          <w:color w:val="auto"/>
          <w:highlight w:val="none"/>
        </w:rPr>
      </w:pPr>
    </w:p>
    <w:p>
      <w:pPr>
        <w:pStyle w:val="17"/>
        <w:snapToGrid w:val="0"/>
        <w:spacing w:beforeLines="0" w:afterLines="0" w:line="440" w:lineRule="exact"/>
        <w:outlineLvl w:val="1"/>
        <w:rPr>
          <w:rFonts w:hint="eastAsia" w:hAnsi="宋体"/>
          <w:b/>
          <w:color w:val="auto"/>
          <w:highlight w:val="none"/>
        </w:rPr>
      </w:pPr>
    </w:p>
    <w:p>
      <w:pPr>
        <w:rPr>
          <w:rFonts w:hint="eastAsia"/>
          <w:color w:val="auto"/>
          <w:highlight w:val="none"/>
        </w:rPr>
      </w:pPr>
    </w:p>
    <w:p>
      <w:pPr>
        <w:pStyle w:val="17"/>
        <w:snapToGrid w:val="0"/>
        <w:spacing w:beforeLines="0" w:afterLines="0" w:line="440" w:lineRule="exact"/>
        <w:outlineLvl w:val="1"/>
        <w:rPr>
          <w:rFonts w:hint="eastAsia" w:hAnsi="宋体"/>
          <w:b/>
          <w:color w:val="auto"/>
          <w:highlight w:val="none"/>
        </w:rPr>
      </w:pP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3. </w:t>
      </w:r>
      <w:r>
        <w:rPr>
          <w:rFonts w:ascii="宋体" w:hAnsi="宋体"/>
          <w:color w:val="auto"/>
          <w:sz w:val="24"/>
          <w:highlight w:val="none"/>
        </w:rPr>
        <w:t>投标声明书格式：</w:t>
      </w:r>
    </w:p>
    <w:p>
      <w:pPr>
        <w:pStyle w:val="2"/>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投标声明书</w:t>
      </w:r>
    </w:p>
    <w:p>
      <w:pPr>
        <w:spacing w:line="360" w:lineRule="auto"/>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平湖市公共资源交易中心</w:t>
      </w:r>
      <w:r>
        <w:rPr>
          <w:rFonts w:hint="eastAsia" w:ascii="宋体" w:hAnsi="宋体"/>
          <w:color w:val="auto"/>
          <w:sz w:val="24"/>
          <w:highlight w:val="none"/>
        </w:rPr>
        <w:t>：</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lang w:eastAsia="zh-CN"/>
        </w:rPr>
        <w:t>供应商</w:t>
      </w:r>
      <w:r>
        <w:rPr>
          <w:rFonts w:ascii="宋体" w:hAnsi="宋体"/>
          <w:color w:val="auto"/>
          <w:sz w:val="24"/>
          <w:highlight w:val="none"/>
        </w:rPr>
        <w:t>名称）系中华人民共和国合法企业，经营地址</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我</w:t>
      </w:r>
      <w:r>
        <w:rPr>
          <w:rFonts w:hint="eastAsia" w:ascii="宋体" w:hAnsi="宋体"/>
          <w:color w:val="auto"/>
          <w:sz w:val="24"/>
          <w:highlight w:val="none"/>
          <w:u w:val="single"/>
        </w:rPr>
        <w:t xml:space="preserve">           </w:t>
      </w:r>
      <w:r>
        <w:rPr>
          <w:rFonts w:ascii="宋体" w:hAnsi="宋体"/>
          <w:color w:val="auto"/>
          <w:sz w:val="24"/>
          <w:highlight w:val="none"/>
        </w:rPr>
        <w:t>（姓名）系</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ascii="宋体" w:hAnsi="宋体"/>
          <w:color w:val="auto"/>
          <w:sz w:val="24"/>
          <w:highlight w:val="none"/>
        </w:rPr>
        <w:t>（</w:t>
      </w:r>
      <w:r>
        <w:rPr>
          <w:rFonts w:hint="eastAsia" w:ascii="宋体" w:hAnsi="宋体"/>
          <w:color w:val="auto"/>
          <w:sz w:val="24"/>
          <w:highlight w:val="none"/>
          <w:lang w:eastAsia="zh-CN"/>
        </w:rPr>
        <w:t>供应商</w:t>
      </w:r>
      <w:r>
        <w:rPr>
          <w:rFonts w:ascii="宋体" w:hAnsi="宋体"/>
          <w:color w:val="auto"/>
          <w:sz w:val="24"/>
          <w:highlight w:val="none"/>
        </w:rPr>
        <w:t>名称）的法定代表人，我方</w:t>
      </w:r>
      <w:r>
        <w:rPr>
          <w:rFonts w:hint="eastAsia" w:ascii="宋体" w:hAnsi="宋体"/>
          <w:color w:val="auto"/>
          <w:sz w:val="24"/>
          <w:highlight w:val="none"/>
        </w:rPr>
        <w:t>自</w:t>
      </w:r>
      <w:r>
        <w:rPr>
          <w:rFonts w:ascii="宋体" w:hAnsi="宋体"/>
          <w:color w:val="auto"/>
          <w:sz w:val="24"/>
          <w:highlight w:val="none"/>
        </w:rPr>
        <w:t>愿参加贵方组织的</w:t>
      </w:r>
      <w:r>
        <w:rPr>
          <w:rFonts w:hint="eastAsia" w:ascii="宋体" w:hAnsi="宋体"/>
          <w:color w:val="auto"/>
          <w:sz w:val="24"/>
          <w:highlight w:val="none"/>
          <w:u w:val="single"/>
        </w:rPr>
        <w:t xml:space="preserve">              </w:t>
      </w:r>
      <w:r>
        <w:rPr>
          <w:rFonts w:ascii="宋体" w:hAnsi="宋体"/>
          <w:color w:val="auto"/>
          <w:sz w:val="24"/>
          <w:highlight w:val="none"/>
        </w:rPr>
        <w:t>项目的投标，为便于贵方公正、择优地确定中标人及其投标产品和服务，我方就本次投标有关事项郑重声明如下：</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.我方向贵方提交的所有</w:t>
      </w:r>
      <w:r>
        <w:rPr>
          <w:rFonts w:hint="eastAsia" w:ascii="宋体" w:hAnsi="宋体"/>
          <w:color w:val="auto"/>
          <w:sz w:val="24"/>
          <w:highlight w:val="none"/>
          <w:lang w:eastAsia="zh-CN"/>
        </w:rPr>
        <w:t>响应文件</w:t>
      </w:r>
      <w:r>
        <w:rPr>
          <w:rFonts w:hint="eastAsia" w:ascii="宋体" w:hAnsi="宋体"/>
          <w:color w:val="auto"/>
          <w:sz w:val="24"/>
          <w:highlight w:val="none"/>
        </w:rPr>
        <w:t>及相关</w:t>
      </w:r>
      <w:r>
        <w:rPr>
          <w:rFonts w:ascii="宋体" w:hAnsi="宋体"/>
          <w:color w:val="auto"/>
          <w:sz w:val="24"/>
          <w:highlight w:val="none"/>
        </w:rPr>
        <w:t>资料都是真实的</w:t>
      </w:r>
      <w:r>
        <w:rPr>
          <w:rFonts w:hint="eastAsia" w:ascii="宋体" w:hAnsi="宋体"/>
          <w:color w:val="auto"/>
          <w:sz w:val="24"/>
          <w:highlight w:val="none"/>
        </w:rPr>
        <w:t>、合法的</w:t>
      </w:r>
      <w:r>
        <w:rPr>
          <w:rFonts w:ascii="宋体" w:hAnsi="宋体"/>
          <w:color w:val="auto"/>
          <w:sz w:val="24"/>
          <w:highlight w:val="none"/>
        </w:rPr>
        <w:t>。</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.我方不是</w:t>
      </w:r>
      <w:r>
        <w:rPr>
          <w:rFonts w:hint="eastAsia" w:ascii="宋体" w:hAnsi="宋体"/>
          <w:color w:val="auto"/>
          <w:sz w:val="24"/>
          <w:highlight w:val="none"/>
          <w:lang w:eastAsia="zh-CN"/>
        </w:rPr>
        <w:t>征集人</w:t>
      </w:r>
      <w:r>
        <w:rPr>
          <w:rFonts w:ascii="宋体" w:hAnsi="宋体"/>
          <w:color w:val="auto"/>
          <w:sz w:val="24"/>
          <w:highlight w:val="none"/>
        </w:rPr>
        <w:t>的附属机构；在获知本项目采购信息后，与</w:t>
      </w:r>
      <w:r>
        <w:rPr>
          <w:rFonts w:hint="eastAsia" w:ascii="宋体" w:hAnsi="宋体"/>
          <w:color w:val="auto"/>
          <w:sz w:val="24"/>
          <w:highlight w:val="none"/>
          <w:lang w:eastAsia="zh-CN"/>
        </w:rPr>
        <w:t>征集人</w:t>
      </w:r>
      <w:r>
        <w:rPr>
          <w:rFonts w:ascii="宋体" w:hAnsi="宋体"/>
          <w:color w:val="auto"/>
          <w:sz w:val="24"/>
          <w:highlight w:val="none"/>
        </w:rPr>
        <w:t>聘请的为此项目提供咨询服务的公司及其附属机构没有任何联系。</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我公司已详细阅读全部“</w:t>
      </w:r>
      <w:r>
        <w:rPr>
          <w:rFonts w:hint="eastAsia" w:ascii="宋体" w:hAnsi="宋体"/>
          <w:color w:val="auto"/>
          <w:sz w:val="24"/>
          <w:highlight w:val="none"/>
          <w:lang w:eastAsia="zh-CN"/>
        </w:rPr>
        <w:t>征集文件</w:t>
      </w:r>
      <w:r>
        <w:rPr>
          <w:rFonts w:hint="eastAsia" w:ascii="宋体" w:hAnsi="宋体"/>
          <w:color w:val="auto"/>
          <w:sz w:val="24"/>
          <w:highlight w:val="none"/>
        </w:rPr>
        <w:t>”，包括修改文件（如果有）以及全部招标资料和相关附件，并已了解我公司在招投标过程中的权利和义务。</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响应文件</w:t>
      </w:r>
      <w:r>
        <w:rPr>
          <w:rFonts w:hint="eastAsia" w:ascii="宋体" w:hAnsi="宋体"/>
          <w:color w:val="auto"/>
          <w:sz w:val="24"/>
          <w:highlight w:val="none"/>
        </w:rPr>
        <w:t>自开标日起有效期为90天。</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5.我公司声明参与本项目前3年内的经营活动中没有重大违法记录；</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6.我方通过“信用中国”网站（www.creditchina.gov.cn）、中国政府采购网（www.ccgp.gov.cn）查询，未被列入失信被执行人、重大税收违法案件当事人名单、政府采购严重违法失信行为记录名单。</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我公司理解并接受</w:t>
      </w:r>
      <w:r>
        <w:rPr>
          <w:rFonts w:hint="eastAsia" w:ascii="宋体" w:hAnsi="宋体"/>
          <w:color w:val="auto"/>
          <w:sz w:val="24"/>
          <w:highlight w:val="none"/>
          <w:lang w:eastAsia="zh-CN"/>
        </w:rPr>
        <w:t>征集文件</w:t>
      </w:r>
      <w:r>
        <w:rPr>
          <w:rFonts w:hint="eastAsia" w:ascii="宋体" w:hAnsi="宋体"/>
          <w:color w:val="auto"/>
          <w:sz w:val="24"/>
          <w:highlight w:val="none"/>
        </w:rPr>
        <w:t>的各项规定和要求，同意此次</w:t>
      </w:r>
      <w:r>
        <w:rPr>
          <w:rFonts w:hint="eastAsia" w:ascii="宋体" w:hAnsi="宋体"/>
          <w:color w:val="auto"/>
          <w:sz w:val="24"/>
          <w:highlight w:val="none"/>
          <w:lang w:eastAsia="zh-CN"/>
        </w:rPr>
        <w:t>征集文件</w:t>
      </w:r>
      <w:r>
        <w:rPr>
          <w:rFonts w:hint="eastAsia" w:ascii="宋体" w:hAnsi="宋体"/>
          <w:color w:val="auto"/>
          <w:sz w:val="24"/>
          <w:highlight w:val="none"/>
        </w:rPr>
        <w:t>中的各项内容，并同意提供按照贵方可能要求的与投标有关的一切数据或资料等。</w:t>
      </w:r>
    </w:p>
    <w:p>
      <w:pPr>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本公司如中标，保证按照</w:t>
      </w:r>
      <w:r>
        <w:rPr>
          <w:rFonts w:hint="eastAsia" w:ascii="宋体" w:hAnsi="宋体"/>
          <w:color w:val="auto"/>
          <w:sz w:val="24"/>
          <w:highlight w:val="none"/>
          <w:lang w:eastAsia="zh-CN"/>
        </w:rPr>
        <w:t>响应文件</w:t>
      </w:r>
      <w:r>
        <w:rPr>
          <w:rFonts w:hint="eastAsia" w:ascii="宋体" w:hAnsi="宋体"/>
          <w:color w:val="auto"/>
          <w:sz w:val="24"/>
          <w:highlight w:val="none"/>
        </w:rPr>
        <w:t>的承诺与贵方签订合同，保证履行合同条款。</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.以上事项如有虚假或隐瞒，我方愿意承担一切后果，并不再寻求任何旨在减轻或免除法律责任的辩解。</w:t>
      </w:r>
    </w:p>
    <w:p>
      <w:pPr>
        <w:pStyle w:val="47"/>
        <w:snapToGrid w:val="0"/>
        <w:spacing w:line="360" w:lineRule="auto"/>
        <w:ind w:firstLine="480" w:firstLineChars="200"/>
        <w:rPr>
          <w:rFonts w:ascii="宋体" w:hAnsi="宋体"/>
          <w:color w:val="auto"/>
          <w:szCs w:val="24"/>
          <w:highlight w:val="none"/>
        </w:rPr>
      </w:pPr>
    </w:p>
    <w:p>
      <w:pPr>
        <w:tabs>
          <w:tab w:val="left" w:pos="1418"/>
        </w:tabs>
        <w:spacing w:line="360" w:lineRule="auto"/>
        <w:ind w:firstLine="240" w:firstLineChars="100"/>
        <w:rPr>
          <w:rFonts w:hint="eastAsia" w:ascii="宋体" w:hAnsi="宋体"/>
          <w:bCs/>
          <w:color w:val="auto"/>
          <w:sz w:val="24"/>
          <w:highlight w:val="none"/>
        </w:rPr>
      </w:pPr>
      <w:r>
        <w:rPr>
          <w:rFonts w:ascii="宋体" w:hAnsi="宋体"/>
          <w:color w:val="auto"/>
          <w:sz w:val="24"/>
          <w:highlight w:val="none"/>
        </w:rPr>
        <w:t>法定代表人或委托代理人签名：</w:t>
      </w:r>
      <w:r>
        <w:rPr>
          <w:rFonts w:hint="eastAsia" w:ascii="宋体" w:hAnsi="宋体"/>
          <w:bCs/>
          <w:color w:val="auto"/>
          <w:sz w:val="24"/>
          <w:highlight w:val="none"/>
        </w:rPr>
        <w:t xml:space="preserve"> </w:t>
      </w:r>
    </w:p>
    <w:p>
      <w:pPr>
        <w:tabs>
          <w:tab w:val="left" w:pos="1418"/>
        </w:tabs>
        <w:spacing w:line="360" w:lineRule="auto"/>
        <w:ind w:firstLine="240" w:firstLineChars="100"/>
        <w:rPr>
          <w:rFonts w:ascii="宋体" w:hAnsi="宋体"/>
          <w:b/>
          <w:bCs/>
          <w:color w:val="auto"/>
          <w:sz w:val="24"/>
          <w:highlight w:val="none"/>
        </w:rPr>
      </w:pPr>
      <w:r>
        <w:rPr>
          <w:rFonts w:hint="eastAsia" w:ascii="宋体" w:hAnsi="宋体"/>
          <w:bCs/>
          <w:color w:val="auto"/>
          <w:sz w:val="24"/>
          <w:highlight w:val="none"/>
        </w:rPr>
        <w:t>投 标 人（盖章）：                              年  月  日</w:t>
      </w:r>
    </w:p>
    <w:p>
      <w:pPr>
        <w:snapToGrid w:val="0"/>
        <w:spacing w:line="360" w:lineRule="auto"/>
        <w:rPr>
          <w:rFonts w:ascii="宋体" w:hAnsi="宋体"/>
          <w:color w:val="auto"/>
          <w:sz w:val="24"/>
          <w:highlight w:val="none"/>
        </w:rPr>
      </w:pPr>
    </w:p>
    <w:p>
      <w:pPr>
        <w:snapToGrid w:val="0"/>
        <w:spacing w:line="360" w:lineRule="auto"/>
        <w:rPr>
          <w:rFonts w:hint="eastAsia" w:ascii="宋体" w:hAnsi="宋体"/>
          <w:color w:val="auto"/>
          <w:sz w:val="24"/>
          <w:highlight w:val="none"/>
        </w:rPr>
      </w:pPr>
    </w:p>
    <w:p>
      <w:pPr>
        <w:pStyle w:val="15"/>
        <w:rPr>
          <w:rFonts w:hint="eastAsia" w:ascii="宋体" w:hAnsi="宋体"/>
          <w:color w:val="auto"/>
          <w:sz w:val="24"/>
          <w:highlight w:val="none"/>
        </w:rPr>
      </w:pPr>
    </w:p>
    <w:p>
      <w:pPr>
        <w:pStyle w:val="15"/>
        <w:rPr>
          <w:rFonts w:hint="eastAsia" w:ascii="宋体" w:hAnsi="宋体"/>
          <w:color w:val="auto"/>
          <w:sz w:val="24"/>
          <w:highlight w:val="none"/>
        </w:rPr>
      </w:pPr>
    </w:p>
    <w:p>
      <w:pPr>
        <w:pStyle w:val="15"/>
        <w:rPr>
          <w:rFonts w:hint="eastAsia" w:ascii="宋体" w:hAnsi="宋体"/>
          <w:color w:val="auto"/>
          <w:sz w:val="24"/>
          <w:highlight w:val="none"/>
        </w:rPr>
      </w:pP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4. </w:t>
      </w:r>
      <w:r>
        <w:rPr>
          <w:rFonts w:ascii="宋体" w:hAnsi="宋体"/>
          <w:color w:val="auto"/>
          <w:sz w:val="24"/>
          <w:highlight w:val="none"/>
        </w:rPr>
        <w:t>法定代表人授权委托书格式：</w:t>
      </w:r>
    </w:p>
    <w:p>
      <w:pPr>
        <w:pStyle w:val="2"/>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法定代表人授权委托书</w:t>
      </w:r>
    </w:p>
    <w:p>
      <w:pPr>
        <w:snapToGrid w:val="0"/>
        <w:spacing w:before="240" w:beforeLines="100" w:line="360" w:lineRule="auto"/>
        <w:rPr>
          <w:rFonts w:ascii="宋体" w:hAnsi="宋体"/>
          <w:b/>
          <w:bCs/>
          <w:color w:val="auto"/>
          <w:sz w:val="24"/>
          <w:highlight w:val="none"/>
        </w:rPr>
      </w:pPr>
      <w:r>
        <w:rPr>
          <w:rFonts w:ascii="宋体" w:hAnsi="宋体"/>
          <w:bCs/>
          <w:color w:val="auto"/>
          <w:sz w:val="24"/>
          <w:highlight w:val="none"/>
        </w:rPr>
        <w:t>致：</w:t>
      </w:r>
      <w:r>
        <w:rPr>
          <w:rFonts w:hint="eastAsia" w:ascii="宋体" w:hAnsi="宋体"/>
          <w:color w:val="auto"/>
          <w:sz w:val="24"/>
          <w:highlight w:val="none"/>
          <w:u w:val="single"/>
          <w:lang w:eastAsia="zh-CN"/>
        </w:rPr>
        <w:t>平湖市公共资源交易中心</w:t>
      </w:r>
      <w:r>
        <w:rPr>
          <w:rFonts w:ascii="宋体" w:hAnsi="宋体"/>
          <w:color w:val="auto"/>
          <w:sz w:val="24"/>
          <w:highlight w:val="none"/>
        </w:rPr>
        <w:t>：</w:t>
      </w:r>
    </w:p>
    <w:p>
      <w:pPr>
        <w:snapToGrid w:val="0"/>
        <w:spacing w:line="360" w:lineRule="auto"/>
        <w:ind w:firstLine="720" w:firstLineChars="300"/>
        <w:rPr>
          <w:rFonts w:ascii="宋体" w:hAnsi="宋体"/>
          <w:color w:val="auto"/>
          <w:sz w:val="24"/>
          <w:highlight w:val="none"/>
        </w:rPr>
      </w:pPr>
      <w:r>
        <w:rPr>
          <w:rFonts w:ascii="宋体" w:hAnsi="宋体"/>
          <w:color w:val="auto"/>
          <w:sz w:val="24"/>
          <w:highlight w:val="none"/>
        </w:rPr>
        <w:t>我</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（姓名）系</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lang w:eastAsia="zh-CN"/>
        </w:rPr>
        <w:t>供应商</w:t>
      </w:r>
      <w:r>
        <w:rPr>
          <w:rFonts w:ascii="宋体" w:hAnsi="宋体"/>
          <w:color w:val="auto"/>
          <w:sz w:val="24"/>
          <w:highlight w:val="none"/>
        </w:rPr>
        <w:t>名称）的法定代表人，现授权委托本单位在职职工</w:t>
      </w:r>
      <w:r>
        <w:rPr>
          <w:rFonts w:ascii="宋体" w:hAnsi="宋体"/>
          <w:color w:val="auto"/>
          <w:sz w:val="24"/>
          <w:highlight w:val="none"/>
          <w:u w:val="single"/>
        </w:rPr>
        <w:t xml:space="preserve">         </w:t>
      </w:r>
      <w:r>
        <w:rPr>
          <w:rFonts w:ascii="宋体" w:hAnsi="宋体"/>
          <w:color w:val="auto"/>
          <w:sz w:val="24"/>
          <w:highlight w:val="none"/>
        </w:rPr>
        <w:t>（姓名）以我方的名义参加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政府采购项目的投标活动，并代表我方全权办理针对上述项目的投标、开标、评标、签约等具体事务和签署相关文件。</w:t>
      </w:r>
    </w:p>
    <w:p>
      <w:pPr>
        <w:snapToGrid w:val="0"/>
        <w:spacing w:line="360" w:lineRule="auto"/>
        <w:rPr>
          <w:rFonts w:ascii="宋体" w:hAnsi="宋体"/>
          <w:color w:val="auto"/>
          <w:sz w:val="24"/>
          <w:highlight w:val="none"/>
        </w:rPr>
      </w:pPr>
      <w:r>
        <w:rPr>
          <w:rFonts w:ascii="宋体" w:hAnsi="宋体"/>
          <w:color w:val="auto"/>
          <w:sz w:val="24"/>
          <w:highlight w:val="none"/>
        </w:rPr>
        <w:t xml:space="preserve">    我方对被授权人的签名事项负全部责任。</w:t>
      </w:r>
    </w:p>
    <w:p>
      <w:pPr>
        <w:snapToGrid w:val="0"/>
        <w:spacing w:line="360" w:lineRule="auto"/>
        <w:ind w:firstLine="480"/>
        <w:rPr>
          <w:rFonts w:ascii="宋体" w:hAnsi="宋体"/>
          <w:color w:val="auto"/>
          <w:sz w:val="24"/>
          <w:highlight w:val="none"/>
        </w:rPr>
      </w:pPr>
      <w:r>
        <w:rPr>
          <w:rFonts w:ascii="宋体" w:hAnsi="宋体"/>
          <w:color w:val="auto"/>
          <w:sz w:val="24"/>
          <w:highlight w:val="none"/>
        </w:rPr>
        <w:t>在撤销授权的书面通知以前，本授权书一直有效。被授权人在授权书有效期内签署的所有文件不因授权的撤销而失效。</w:t>
      </w:r>
    </w:p>
    <w:p>
      <w:pPr>
        <w:snapToGrid w:val="0"/>
        <w:spacing w:line="360" w:lineRule="auto"/>
        <w:ind w:firstLine="480"/>
        <w:rPr>
          <w:rFonts w:ascii="宋体" w:hAnsi="宋体"/>
          <w:color w:val="auto"/>
          <w:sz w:val="24"/>
          <w:highlight w:val="none"/>
        </w:rPr>
      </w:pPr>
      <w:r>
        <w:rPr>
          <w:rFonts w:ascii="宋体" w:hAnsi="宋体"/>
          <w:color w:val="auto"/>
          <w:sz w:val="24"/>
          <w:highlight w:val="none"/>
        </w:rPr>
        <w:t>被授权人无转委托权，特此委托。</w:t>
      </w:r>
    </w:p>
    <w:p>
      <w:pPr>
        <w:snapToGrid w:val="0"/>
        <w:spacing w:line="360" w:lineRule="auto"/>
        <w:rPr>
          <w:rFonts w:ascii="宋体" w:hAnsi="宋体"/>
          <w:color w:val="auto"/>
          <w:sz w:val="24"/>
          <w:highlight w:val="none"/>
        </w:rPr>
      </w:pPr>
    </w:p>
    <w:p>
      <w:pPr>
        <w:snapToGrid w:val="0"/>
        <w:spacing w:line="360" w:lineRule="auto"/>
        <w:rPr>
          <w:rFonts w:ascii="宋体" w:hAnsi="宋体"/>
          <w:color w:val="auto"/>
          <w:sz w:val="24"/>
          <w:highlight w:val="none"/>
          <w:u w:val="single"/>
        </w:rPr>
      </w:pPr>
      <w:r>
        <w:rPr>
          <w:rFonts w:ascii="宋体" w:hAnsi="宋体"/>
          <w:color w:val="auto"/>
          <w:sz w:val="24"/>
          <w:highlight w:val="none"/>
        </w:rPr>
        <w:t>被授权人签名：</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法定代表人签名：</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napToGrid w:val="0"/>
        <w:spacing w:line="360" w:lineRule="auto"/>
        <w:ind w:firstLine="960" w:firstLineChars="400"/>
        <w:rPr>
          <w:rFonts w:ascii="宋体" w:hAnsi="宋体"/>
          <w:color w:val="auto"/>
          <w:sz w:val="24"/>
          <w:highlight w:val="none"/>
        </w:rPr>
      </w:pPr>
      <w:r>
        <w:rPr>
          <w:rFonts w:ascii="宋体" w:hAnsi="宋体"/>
          <w:color w:val="auto"/>
          <w:sz w:val="24"/>
          <w:highlight w:val="none"/>
        </w:rPr>
        <w:t>职务：</w:t>
      </w:r>
      <w:r>
        <w:rPr>
          <w:rFonts w:ascii="宋体" w:hAnsi="宋体"/>
          <w:color w:val="auto"/>
          <w:sz w:val="24"/>
          <w:highlight w:val="none"/>
          <w:u w:val="single"/>
        </w:rPr>
        <w:t xml:space="preserve">           </w:t>
      </w:r>
      <w:r>
        <w:rPr>
          <w:rFonts w:ascii="宋体" w:hAnsi="宋体"/>
          <w:color w:val="auto"/>
          <w:sz w:val="24"/>
          <w:highlight w:val="none"/>
        </w:rPr>
        <w:t xml:space="preserve">                          职务：</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被授权人身份证号码：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lang w:eastAsia="zh-CN"/>
        </w:rPr>
        <w:t>供应商</w:t>
      </w:r>
      <w:r>
        <w:rPr>
          <w:rFonts w:ascii="宋体" w:hAnsi="宋体"/>
          <w:color w:val="auto"/>
          <w:sz w:val="24"/>
          <w:highlight w:val="none"/>
        </w:rPr>
        <w:t>公章：</w:t>
      </w:r>
      <w:r>
        <w:rPr>
          <w:rFonts w:ascii="宋体" w:hAnsi="宋体"/>
          <w:color w:val="auto"/>
          <w:sz w:val="24"/>
          <w:highlight w:val="none"/>
          <w:u w:val="single"/>
        </w:rPr>
        <w:t xml:space="preserve">               </w:t>
      </w:r>
      <w:r>
        <w:rPr>
          <w:rFonts w:ascii="宋体" w:hAnsi="宋体"/>
          <w:color w:val="auto"/>
          <w:sz w:val="24"/>
          <w:highlight w:val="none"/>
        </w:rPr>
        <w:t xml:space="preserve">                      年    月    日</w:t>
      </w:r>
    </w:p>
    <w:p>
      <w:pPr>
        <w:spacing w:line="360" w:lineRule="auto"/>
        <w:ind w:firstLine="3600" w:firstLineChars="1500"/>
        <w:rPr>
          <w:rFonts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法定代表人身份证复印件粘贴处：             </w:t>
      </w:r>
      <w:r>
        <w:rPr>
          <w:rFonts w:ascii="宋体" w:hAnsi="宋体"/>
          <w:color w:val="auto"/>
          <w:sz w:val="24"/>
          <w:highlight w:val="none"/>
        </w:rPr>
        <w:t>被授权人</w:t>
      </w:r>
      <w:r>
        <w:rPr>
          <w:rFonts w:hint="eastAsia" w:ascii="宋体" w:hAnsi="宋体"/>
          <w:color w:val="auto"/>
          <w:sz w:val="24"/>
          <w:highlight w:val="none"/>
        </w:rPr>
        <w:t>身份证复印件粘贴处：</w:t>
      </w:r>
    </w:p>
    <w:p>
      <w:pPr>
        <w:snapToGrid w:val="0"/>
        <w:spacing w:before="120" w:beforeLines="50" w:after="50" w:line="360" w:lineRule="auto"/>
        <w:rPr>
          <w:rFonts w:ascii="宋体" w:hAnsi="宋体"/>
          <w:color w:val="auto"/>
          <w:sz w:val="24"/>
          <w:highlight w:val="none"/>
        </w:rPr>
      </w:pPr>
    </w:p>
    <w:p>
      <w:pPr>
        <w:snapToGrid w:val="0"/>
        <w:spacing w:before="120" w:beforeLines="50" w:after="50" w:line="360" w:lineRule="auto"/>
        <w:rPr>
          <w:rFonts w:hint="eastAsia" w:ascii="宋体" w:hAnsi="宋体"/>
          <w:color w:val="auto"/>
          <w:sz w:val="24"/>
          <w:highlight w:val="none"/>
        </w:rPr>
      </w:pPr>
    </w:p>
    <w:p>
      <w:pPr>
        <w:pStyle w:val="2"/>
        <w:rPr>
          <w:rFonts w:hint="eastAsia"/>
          <w:color w:val="auto"/>
          <w:highlight w:val="none"/>
        </w:rPr>
      </w:pPr>
    </w:p>
    <w:p>
      <w:pPr>
        <w:snapToGrid w:val="0"/>
        <w:spacing w:before="120" w:beforeLines="50" w:after="50" w:line="360" w:lineRule="auto"/>
        <w:rPr>
          <w:rFonts w:hint="eastAsia" w:ascii="宋体" w:hAnsi="宋体"/>
          <w:color w:val="auto"/>
          <w:sz w:val="24"/>
          <w:highlight w:val="none"/>
        </w:rPr>
      </w:pPr>
    </w:p>
    <w:p>
      <w:pPr>
        <w:pStyle w:val="15"/>
        <w:rPr>
          <w:rFonts w:hint="eastAsia" w:ascii="宋体" w:hAnsi="宋体"/>
          <w:color w:val="auto"/>
          <w:sz w:val="24"/>
          <w:highlight w:val="none"/>
        </w:rPr>
      </w:pPr>
    </w:p>
    <w:p>
      <w:pPr>
        <w:pStyle w:val="15"/>
        <w:rPr>
          <w:rFonts w:hint="eastAsia" w:ascii="宋体" w:hAnsi="宋体"/>
          <w:color w:val="auto"/>
          <w:sz w:val="24"/>
          <w:highlight w:val="none"/>
        </w:rPr>
      </w:pPr>
    </w:p>
    <w:p>
      <w:pPr>
        <w:pStyle w:val="15"/>
        <w:rPr>
          <w:rFonts w:hint="eastAsia" w:ascii="宋体" w:hAnsi="宋体"/>
          <w:color w:val="auto"/>
          <w:sz w:val="24"/>
          <w:highlight w:val="none"/>
        </w:rPr>
      </w:pPr>
    </w:p>
    <w:p>
      <w:pPr>
        <w:spacing w:line="588" w:lineRule="exact"/>
        <w:jc w:val="center"/>
        <w:rPr>
          <w:rFonts w:hint="eastAsia" w:ascii="宋体" w:hAnsi="宋体" w:cs="宋体"/>
          <w:b/>
          <w:color w:val="auto"/>
          <w:spacing w:val="6"/>
          <w:sz w:val="24"/>
          <w:highlight w:val="none"/>
        </w:rPr>
      </w:pPr>
    </w:p>
    <w:p>
      <w:pPr>
        <w:pStyle w:val="2"/>
        <w:spacing w:line="360" w:lineRule="auto"/>
        <w:jc w:val="left"/>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 xml:space="preserve">. </w:t>
      </w:r>
      <w:r>
        <w:rPr>
          <w:rFonts w:hint="eastAsia" w:ascii="宋体" w:hAnsi="宋体" w:eastAsia="宋体"/>
          <w:b w:val="0"/>
          <w:bCs w:val="0"/>
          <w:color w:val="auto"/>
          <w:sz w:val="24"/>
          <w:szCs w:val="24"/>
          <w:highlight w:val="none"/>
        </w:rPr>
        <w:t>符合参加政府采购活动应当具备的一般条件的承诺函</w:t>
      </w:r>
      <w:r>
        <w:rPr>
          <w:rFonts w:hint="eastAsia" w:ascii="宋体" w:hAnsi="宋体" w:eastAsia="宋体"/>
          <w:b w:val="0"/>
          <w:bCs w:val="0"/>
          <w:color w:val="auto"/>
          <w:sz w:val="24"/>
          <w:szCs w:val="24"/>
          <w:highlight w:val="none"/>
          <w:lang w:eastAsia="zh-CN"/>
        </w:rPr>
        <w:t>格式：</w:t>
      </w:r>
    </w:p>
    <w:p>
      <w:pPr>
        <w:pStyle w:val="2"/>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符合参加政府采购活动应当具备的一般条件的承诺函</w:t>
      </w:r>
    </w:p>
    <w:p>
      <w:pPr>
        <w:spacing w:line="360" w:lineRule="auto"/>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u w:val="single"/>
          <w:lang w:eastAsia="zh-CN"/>
        </w:rPr>
        <w:t>平湖市公共资源交易中心</w:t>
      </w:r>
      <w:r>
        <w:rPr>
          <w:rFonts w:hint="eastAsia" w:ascii="宋体" w:hAnsi="宋体"/>
          <w:color w:val="auto"/>
          <w:sz w:val="24"/>
          <w:highlight w:val="none"/>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我方参与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采购</w:t>
      </w:r>
      <w:r>
        <w:rPr>
          <w:rFonts w:hint="eastAsia" w:ascii="宋体" w:hAnsi="宋体" w:cs="宋体"/>
          <w:color w:val="auto"/>
          <w:kern w:val="0"/>
          <w:sz w:val="24"/>
          <w:highlight w:val="none"/>
        </w:rPr>
        <w:t>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】政府采购活动，郑重承诺：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（一）具备《中华人民共和国政府采购法》第二十二条第一款规定的条件：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1、具有独立承担民事责任的能力；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2、具有良好的商业信誉和健全的财务会计制度；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3、具有履行合同所必需的设备和专业技术能力；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4、有依法缴纳税收和社会保障资金的良好记录；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6、具有法律、行政法规规定的其他条件。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（二）未被信用中国（www.creditchina.gov.cn)、中国政府采购网（www.ccgp.gov.cn）列入失信被执行人、重大税收违法案件当事人名单、政府采购严重违法失信行为记录名单。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（三）不存在以下情况：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1、单位负责人为同一人或者存在直接控股、管理关系的不同供应商参加同一合同项下的政府采购活动的；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2、为采购项目提供整体设计、规范编制或者项目管理、监理、检测等服务后再参加该采购项目的其他采购活动的。</w:t>
      </w:r>
    </w:p>
    <w:p>
      <w:pPr>
        <w:tabs>
          <w:tab w:val="left" w:pos="1418"/>
        </w:tabs>
        <w:spacing w:line="360" w:lineRule="auto"/>
        <w:ind w:firstLine="240" w:firstLineChars="100"/>
        <w:rPr>
          <w:rFonts w:ascii="宋体" w:hAnsi="宋体"/>
          <w:color w:val="auto"/>
          <w:sz w:val="24"/>
          <w:highlight w:val="none"/>
        </w:rPr>
      </w:pPr>
    </w:p>
    <w:p>
      <w:pPr>
        <w:tabs>
          <w:tab w:val="left" w:pos="1418"/>
        </w:tabs>
        <w:spacing w:line="360" w:lineRule="auto"/>
        <w:ind w:firstLine="240" w:firstLineChars="100"/>
        <w:rPr>
          <w:rFonts w:hint="eastAsia" w:ascii="宋体" w:hAnsi="宋体"/>
          <w:bCs/>
          <w:color w:val="auto"/>
          <w:sz w:val="24"/>
          <w:highlight w:val="none"/>
        </w:rPr>
      </w:pPr>
      <w:r>
        <w:rPr>
          <w:rFonts w:ascii="宋体" w:hAnsi="宋体"/>
          <w:color w:val="auto"/>
          <w:sz w:val="24"/>
          <w:highlight w:val="none"/>
        </w:rPr>
        <w:t>法定代表人或委托代理人签名：</w:t>
      </w:r>
      <w:r>
        <w:rPr>
          <w:rFonts w:hint="eastAsia" w:ascii="宋体" w:hAnsi="宋体"/>
          <w:bCs/>
          <w:color w:val="auto"/>
          <w:sz w:val="24"/>
          <w:highlight w:val="none"/>
        </w:rPr>
        <w:t xml:space="preserve"> </w:t>
      </w:r>
    </w:p>
    <w:p>
      <w:pPr>
        <w:tabs>
          <w:tab w:val="left" w:pos="1418"/>
        </w:tabs>
        <w:spacing w:line="360" w:lineRule="auto"/>
        <w:ind w:firstLine="240" w:firstLineChars="100"/>
        <w:rPr>
          <w:rFonts w:hint="eastAsia" w:ascii="宋体" w:hAnsi="宋体"/>
          <w:bCs/>
          <w:color w:val="auto"/>
          <w:sz w:val="24"/>
          <w:highlight w:val="none"/>
        </w:rPr>
      </w:pPr>
      <w:r>
        <w:rPr>
          <w:rFonts w:hint="eastAsia" w:ascii="宋体" w:hAnsi="宋体"/>
          <w:bCs/>
          <w:color w:val="auto"/>
          <w:sz w:val="24"/>
          <w:highlight w:val="none"/>
          <w:lang w:eastAsia="zh-CN"/>
        </w:rPr>
        <w:t>采购响应方</w:t>
      </w:r>
      <w:r>
        <w:rPr>
          <w:rFonts w:hint="eastAsia" w:ascii="宋体" w:hAnsi="宋体"/>
          <w:bCs/>
          <w:color w:val="auto"/>
          <w:sz w:val="24"/>
          <w:highlight w:val="none"/>
        </w:rPr>
        <w:t xml:space="preserve">（盖章）：                              </w:t>
      </w:r>
    </w:p>
    <w:p>
      <w:pPr>
        <w:tabs>
          <w:tab w:val="left" w:pos="1418"/>
        </w:tabs>
        <w:spacing w:line="360" w:lineRule="auto"/>
        <w:ind w:firstLine="240" w:firstLineChars="100"/>
        <w:jc w:val="right"/>
        <w:rPr>
          <w:rFonts w:hint="eastAsia" w:ascii="宋体" w:hAnsi="宋体"/>
          <w:b w:val="0"/>
          <w:bCs w:val="0"/>
          <w:color w:val="auto"/>
          <w:sz w:val="24"/>
          <w:highlight w:val="none"/>
          <w:lang w:val="en-US" w:eastAsia="zh-CN"/>
        </w:rPr>
      </w:pPr>
      <w:r>
        <w:rPr>
          <w:rFonts w:hint="eastAsia" w:ascii="宋体" w:hAnsi="宋体"/>
          <w:bCs/>
          <w:color w:val="auto"/>
          <w:sz w:val="24"/>
          <w:highlight w:val="none"/>
        </w:rPr>
        <w:t>年  月  日</w:t>
      </w:r>
    </w:p>
    <w:p>
      <w:pPr>
        <w:pStyle w:val="2"/>
        <w:spacing w:line="360" w:lineRule="auto"/>
        <w:jc w:val="left"/>
        <w:rPr>
          <w:rFonts w:hint="eastAsia" w:ascii="宋体" w:hAnsi="宋体"/>
          <w:b w:val="0"/>
          <w:bCs w:val="0"/>
          <w:color w:val="auto"/>
          <w:sz w:val="24"/>
          <w:highlight w:val="none"/>
          <w:lang w:val="en-US" w:eastAsia="zh-CN"/>
        </w:rPr>
      </w:pPr>
    </w:p>
    <w:p>
      <w:pPr>
        <w:pStyle w:val="3"/>
        <w:rPr>
          <w:rFonts w:hint="eastAsia" w:ascii="宋体" w:hAnsi="宋体"/>
          <w:b w:val="0"/>
          <w:bCs w:val="0"/>
          <w:color w:val="auto"/>
          <w:sz w:val="24"/>
          <w:highlight w:val="none"/>
          <w:lang w:val="en-US" w:eastAsia="zh-CN"/>
        </w:rPr>
      </w:pPr>
    </w:p>
    <w:p>
      <w:pPr>
        <w:pStyle w:val="3"/>
        <w:rPr>
          <w:rFonts w:hint="eastAsia" w:ascii="宋体" w:hAnsi="宋体"/>
          <w:b w:val="0"/>
          <w:bCs w:val="0"/>
          <w:color w:val="auto"/>
          <w:sz w:val="24"/>
          <w:highlight w:val="none"/>
          <w:lang w:val="en-US" w:eastAsia="zh-CN"/>
        </w:rPr>
      </w:pPr>
    </w:p>
    <w:p>
      <w:pPr>
        <w:pStyle w:val="3"/>
        <w:rPr>
          <w:rFonts w:hint="eastAsia" w:ascii="宋体" w:hAnsi="宋体"/>
          <w:b w:val="0"/>
          <w:bCs w:val="0"/>
          <w:color w:val="auto"/>
          <w:sz w:val="24"/>
          <w:highlight w:val="none"/>
          <w:lang w:val="en-US" w:eastAsia="zh-CN"/>
        </w:rPr>
      </w:pPr>
    </w:p>
    <w:p>
      <w:pPr>
        <w:pStyle w:val="3"/>
        <w:rPr>
          <w:rFonts w:hint="eastAsia" w:ascii="宋体" w:hAnsi="宋体"/>
          <w:b w:val="0"/>
          <w:bCs w:val="0"/>
          <w:color w:val="auto"/>
          <w:sz w:val="24"/>
          <w:highlight w:val="none"/>
          <w:lang w:val="en-US" w:eastAsia="zh-CN"/>
        </w:rPr>
      </w:pPr>
    </w:p>
    <w:p>
      <w:pPr>
        <w:pStyle w:val="3"/>
        <w:rPr>
          <w:rFonts w:hint="eastAsia" w:ascii="宋体" w:hAnsi="宋体"/>
          <w:b w:val="0"/>
          <w:bCs w:val="0"/>
          <w:color w:val="auto"/>
          <w:sz w:val="24"/>
          <w:highlight w:val="none"/>
          <w:lang w:val="en-US" w:eastAsia="zh-CN"/>
        </w:rPr>
      </w:pPr>
    </w:p>
    <w:p>
      <w:pPr>
        <w:pStyle w:val="3"/>
        <w:rPr>
          <w:rFonts w:hint="eastAsia" w:ascii="宋体" w:hAnsi="宋体"/>
          <w:b w:val="0"/>
          <w:bCs w:val="0"/>
          <w:color w:val="auto"/>
          <w:sz w:val="24"/>
          <w:highlight w:val="none"/>
          <w:lang w:val="en-US" w:eastAsia="zh-CN"/>
        </w:rPr>
      </w:pP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6.中小企业声明函等承诺函</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kern w:val="0"/>
          <w:sz w:val="24"/>
          <w:highlight w:val="none"/>
        </w:rPr>
      </w:pPr>
      <w:r>
        <w:rPr>
          <w:rFonts w:hint="eastAsia" w:ascii="宋体" w:hAnsi="宋体"/>
          <w:b/>
          <w:bCs/>
          <w:kern w:val="0"/>
          <w:sz w:val="24"/>
          <w:highlight w:val="none"/>
        </w:rPr>
        <w:t>中小企业声明函（工程、服务）</w:t>
      </w:r>
    </w:p>
    <w:p>
      <w:pPr>
        <w:pStyle w:val="2"/>
        <w:rPr>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color w:val="000000"/>
          <w:kern w:val="0"/>
          <w:sz w:val="24"/>
          <w:highlight w:val="none"/>
          <w:lang w:bidi="ar"/>
        </w:rPr>
        <w:t>本公司（联合体）郑重声明，根据《政府采购促进中小企业发展管理办法》（财库﹝2020﹞46 号）的规定，本公司（联合体）参加</w:t>
      </w:r>
      <w:r>
        <w:rPr>
          <w:rFonts w:hint="eastAsia" w:ascii="宋体" w:hAnsi="宋体" w:cs="宋体"/>
          <w:iCs/>
          <w:color w:val="000000"/>
          <w:kern w:val="0"/>
          <w:sz w:val="24"/>
          <w:highlight w:val="none"/>
          <w:u w:val="single"/>
          <w:lang w:bidi="ar"/>
        </w:rPr>
        <w:t>（单位名称）</w:t>
      </w:r>
      <w:r>
        <w:rPr>
          <w:rFonts w:hint="eastAsia" w:ascii="宋体" w:hAnsi="宋体" w:cs="宋体"/>
          <w:iCs/>
          <w:color w:val="000000"/>
          <w:kern w:val="0"/>
          <w:sz w:val="24"/>
          <w:highlight w:val="none"/>
          <w:u w:val="single"/>
          <w:lang w:val="en-US" w:eastAsia="zh-CN" w:bidi="ar"/>
        </w:rPr>
        <w:t xml:space="preserve">              </w:t>
      </w:r>
      <w:r>
        <w:rPr>
          <w:rFonts w:hint="eastAsia" w:ascii="宋体" w:hAnsi="宋体" w:cs="宋体"/>
          <w:iCs/>
          <w:color w:val="000000"/>
          <w:kern w:val="0"/>
          <w:sz w:val="24"/>
          <w:highlight w:val="none"/>
          <w:lang w:bidi="ar"/>
        </w:rPr>
        <w:t>的</w:t>
      </w:r>
      <w:r>
        <w:rPr>
          <w:rFonts w:hint="eastAsia" w:ascii="宋体" w:hAnsi="宋体" w:cs="宋体"/>
          <w:iCs/>
          <w:color w:val="000000"/>
          <w:kern w:val="0"/>
          <w:sz w:val="24"/>
          <w:highlight w:val="none"/>
          <w:u w:val="single"/>
          <w:lang w:val="en-US" w:eastAsia="zh-CN" w:bidi="ar"/>
        </w:rPr>
        <w:t xml:space="preserve">            </w:t>
      </w:r>
      <w:r>
        <w:rPr>
          <w:rFonts w:hint="eastAsia" w:ascii="宋体" w:hAnsi="宋体" w:cs="宋体"/>
          <w:iCs/>
          <w:color w:val="000000"/>
          <w:kern w:val="0"/>
          <w:sz w:val="24"/>
          <w:highlight w:val="none"/>
          <w:u w:val="single"/>
          <w:lang w:bidi="ar"/>
        </w:rPr>
        <w:t>（项目名称）</w:t>
      </w:r>
      <w:r>
        <w:rPr>
          <w:rFonts w:hint="eastAsia" w:ascii="宋体" w:hAnsi="宋体" w:cs="宋体"/>
          <w:iCs/>
          <w:color w:val="000000"/>
          <w:kern w:val="0"/>
          <w:sz w:val="24"/>
          <w:highlight w:val="none"/>
          <w:lang w:bidi="ar"/>
        </w:rPr>
        <w:t>采购活动，工程的施工单位全部为符合政策要求</w:t>
      </w:r>
      <w:r>
        <w:rPr>
          <w:rFonts w:hint="eastAsia" w:ascii="宋体" w:hAnsi="宋体" w:cs="宋体"/>
          <w:color w:val="000000"/>
          <w:kern w:val="0"/>
          <w:sz w:val="24"/>
          <w:highlight w:val="none"/>
          <w:lang w:bidi="ar"/>
        </w:rPr>
        <w:t>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color w:val="000000"/>
          <w:kern w:val="0"/>
          <w:sz w:val="24"/>
          <w:highlight w:val="none"/>
          <w:lang w:bidi="ar"/>
        </w:rPr>
        <w:t>1.</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sz w:val="24"/>
          <w:highlight w:val="none"/>
          <w:u w:val="single"/>
        </w:rPr>
        <w:t>（标的名称）</w:t>
      </w:r>
      <w:r>
        <w:rPr>
          <w:rFonts w:hint="eastAsia" w:ascii="宋体" w:hAnsi="宋体"/>
          <w:sz w:val="24"/>
          <w:highlight w:val="none"/>
        </w:rPr>
        <w:t xml:space="preserve"> ，属于</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（采购文件中明确的所属行业）</w:t>
      </w:r>
      <w:r>
        <w:rPr>
          <w:rFonts w:hint="eastAsia" w:ascii="宋体" w:hAnsi="宋体" w:cs="宋体"/>
          <w:color w:val="000000"/>
          <w:kern w:val="0"/>
          <w:sz w:val="24"/>
          <w:highlight w:val="none"/>
          <w:lang w:bidi="ar"/>
        </w:rPr>
        <w:t>；承建（承接）企业为</w:t>
      </w:r>
      <w:r>
        <w:rPr>
          <w:rFonts w:hint="eastAsia" w:ascii="宋体" w:hAnsi="宋体" w:cs="宋体"/>
          <w:color w:val="000000"/>
          <w:kern w:val="0"/>
          <w:sz w:val="24"/>
          <w:highlight w:val="none"/>
          <w:lang w:val="en-US" w:eastAsia="zh-CN"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sz w:val="24"/>
          <w:highlight w:val="none"/>
          <w:u w:val="single"/>
        </w:rPr>
        <w:t>（企业名称）</w:t>
      </w:r>
      <w:r>
        <w:rPr>
          <w:rFonts w:hint="eastAsia" w:ascii="宋体" w:hAnsi="宋体" w:cs="宋体"/>
          <w:color w:val="000000"/>
          <w:kern w:val="0"/>
          <w:sz w:val="24"/>
          <w:highlight w:val="none"/>
          <w:lang w:bidi="ar"/>
        </w:rPr>
        <w:t>，从业人员</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 xml:space="preserve"> 人，营业收入为</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万元，资产总额为</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万元，属于</w:t>
      </w:r>
      <w:r>
        <w:rPr>
          <w:rFonts w:hint="eastAsia" w:ascii="宋体" w:hAnsi="宋体" w:cs="宋体"/>
          <w:color w:val="000000"/>
          <w:kern w:val="0"/>
          <w:sz w:val="24"/>
          <w:highlight w:val="none"/>
          <w:u w:val="single"/>
          <w:lang w:val="en-US" w:eastAsia="zh-CN" w:bidi="ar"/>
        </w:rPr>
        <w:t xml:space="preserve">             </w:t>
      </w:r>
      <w:r>
        <w:rPr>
          <w:rFonts w:hint="eastAsia" w:ascii="宋体" w:hAnsi="宋体"/>
          <w:sz w:val="24"/>
          <w:highlight w:val="none"/>
          <w:u w:val="single"/>
        </w:rPr>
        <w:t>（中型企业、小型企业、微型企业）</w:t>
      </w:r>
      <w:r>
        <w:rPr>
          <w:rFonts w:hint="eastAsia" w:ascii="宋体" w:hAnsi="宋体" w:cs="宋体"/>
          <w:color w:val="000000"/>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color w:val="000000"/>
          <w:kern w:val="0"/>
          <w:sz w:val="24"/>
          <w:highlight w:val="none"/>
          <w:lang w:val="en-US" w:eastAsia="zh-CN" w:bidi="ar"/>
        </w:rPr>
        <w:t>2</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sz w:val="24"/>
          <w:highlight w:val="none"/>
          <w:u w:val="single"/>
        </w:rPr>
        <w:t>（标的名称）</w:t>
      </w:r>
      <w:r>
        <w:rPr>
          <w:rFonts w:hint="eastAsia" w:ascii="宋体" w:hAnsi="宋体"/>
          <w:sz w:val="24"/>
          <w:highlight w:val="none"/>
        </w:rPr>
        <w:t xml:space="preserve"> ，属于</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（采购文件中明确的所属行业）</w:t>
      </w:r>
      <w:r>
        <w:rPr>
          <w:rFonts w:hint="eastAsia" w:ascii="宋体" w:hAnsi="宋体" w:cs="宋体"/>
          <w:color w:val="000000"/>
          <w:kern w:val="0"/>
          <w:sz w:val="24"/>
          <w:highlight w:val="none"/>
          <w:lang w:bidi="ar"/>
        </w:rPr>
        <w:t>；承建（承接）企业为</w:t>
      </w:r>
      <w:r>
        <w:rPr>
          <w:rFonts w:hint="eastAsia" w:ascii="宋体" w:hAnsi="宋体" w:cs="宋体"/>
          <w:color w:val="000000"/>
          <w:kern w:val="0"/>
          <w:sz w:val="24"/>
          <w:highlight w:val="none"/>
          <w:lang w:val="en-US" w:eastAsia="zh-CN"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sz w:val="24"/>
          <w:highlight w:val="none"/>
          <w:u w:val="single"/>
        </w:rPr>
        <w:t>（企业名称）</w:t>
      </w:r>
      <w:r>
        <w:rPr>
          <w:rFonts w:hint="eastAsia" w:ascii="宋体" w:hAnsi="宋体" w:cs="宋体"/>
          <w:color w:val="000000"/>
          <w:kern w:val="0"/>
          <w:sz w:val="24"/>
          <w:highlight w:val="none"/>
          <w:lang w:bidi="ar"/>
        </w:rPr>
        <w:t>，从业人员</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 xml:space="preserve"> 人，营业收入为</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万元，资产总额为</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u w:val="single"/>
          <w:lang w:val="en-US" w:eastAsia="zh-CN" w:bidi="ar"/>
        </w:rPr>
        <w:t xml:space="preserve">  </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万元，属于</w:t>
      </w:r>
      <w:r>
        <w:rPr>
          <w:rFonts w:hint="eastAsia" w:ascii="宋体" w:hAnsi="宋体" w:cs="宋体"/>
          <w:color w:val="000000"/>
          <w:kern w:val="0"/>
          <w:sz w:val="24"/>
          <w:highlight w:val="none"/>
          <w:u w:val="single"/>
          <w:lang w:val="en-US" w:eastAsia="zh-CN" w:bidi="ar"/>
        </w:rPr>
        <w:t xml:space="preserve">             </w:t>
      </w:r>
      <w:r>
        <w:rPr>
          <w:rFonts w:hint="eastAsia" w:ascii="宋体" w:hAnsi="宋体"/>
          <w:sz w:val="24"/>
          <w:highlight w:val="none"/>
          <w:u w:val="single"/>
        </w:rPr>
        <w:t>（中型企业、小型企业、微型企业）</w:t>
      </w:r>
      <w:r>
        <w:rPr>
          <w:rFonts w:hint="eastAsia" w:ascii="宋体" w:hAnsi="宋体" w:cs="宋体"/>
          <w:color w:val="000000"/>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color w:val="000000"/>
          <w:kern w:val="0"/>
          <w:sz w:val="24"/>
          <w:highlight w:val="none"/>
          <w:lang w:bidi="ar"/>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color w:val="000000"/>
          <w:kern w:val="0"/>
          <w:sz w:val="24"/>
          <w:highlight w:val="none"/>
          <w:lang w:bidi="ar"/>
        </w:rPr>
        <w:t xml:space="preserve">本企业对上述声明内容的真实性负责。如有虚假，将依法承担相应责任。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color w:val="000000"/>
          <w:kern w:val="0"/>
          <w:sz w:val="24"/>
          <w:highlight w:val="none"/>
          <w:lang w:bidi="ar"/>
        </w:rPr>
        <w:t>企业名称（盖章）：</w:t>
      </w:r>
    </w:p>
    <w:p>
      <w:pPr>
        <w:widowControl/>
        <w:spacing w:line="360" w:lineRule="auto"/>
        <w:ind w:firstLine="3120" w:firstLineChars="1300"/>
        <w:rPr>
          <w:rFonts w:ascii="宋体" w:hAnsi="宋体" w:cs="宋体"/>
          <w:sz w:val="24"/>
          <w:highlight w:val="none"/>
        </w:rPr>
      </w:pPr>
      <w:r>
        <w:rPr>
          <w:rFonts w:hint="eastAsia" w:ascii="宋体" w:hAnsi="宋体" w:cs="宋体"/>
          <w:color w:val="000000"/>
          <w:kern w:val="0"/>
          <w:sz w:val="24"/>
          <w:highlight w:val="none"/>
          <w:lang w:bidi="ar"/>
        </w:rPr>
        <w:t>日 期：</w:t>
      </w:r>
    </w:p>
    <w:p>
      <w:pPr>
        <w:wordWrap w:val="0"/>
        <w:topLinePunct/>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w:t>
      </w:r>
    </w:p>
    <w:p>
      <w:pPr>
        <w:wordWrap w:val="0"/>
        <w:topLinePunct/>
        <w:snapToGrid w:val="0"/>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1、从业人员、营业收入、资产总额填报上一年度数据，无上一年度数据的新成立企业可不填报。</w:t>
      </w:r>
    </w:p>
    <w:p>
      <w:pPr>
        <w:pStyle w:val="15"/>
        <w:ind w:left="0" w:leftChars="0" w:firstLine="464"/>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olor w:val="auto"/>
          <w:sz w:val="24"/>
          <w:highlight w:val="none"/>
        </w:rPr>
        <w:t>采购标的：工程造价咨询，所属行业：租赁和商务服务业。</w:t>
      </w:r>
    </w:p>
    <w:p>
      <w:pPr>
        <w:wordWrap w:val="0"/>
        <w:topLinePunct/>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根据财库〔2020〕46号、财库〔2022〕19号、浙财采监〔2022〕8号文件的相关规定：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pPr>
        <w:pStyle w:val="2"/>
        <w:keepNext w:val="0"/>
        <w:keepLines w:val="0"/>
        <w:numPr>
          <w:ilvl w:val="0"/>
          <w:numId w:val="4"/>
        </w:numPr>
        <w:wordWrap w:val="0"/>
        <w:topLinePunct/>
        <w:spacing w:before="0" w:after="0" w:line="400" w:lineRule="exact"/>
        <w:ind w:firstLine="480" w:firstLineChars="200"/>
        <w:rPr>
          <w:rFonts w:ascii="宋体" w:hAnsi="宋体" w:eastAsia="宋体" w:cs="宋体"/>
          <w:b w:val="0"/>
          <w:color w:val="auto"/>
          <w:sz w:val="24"/>
          <w:szCs w:val="24"/>
          <w:highlight w:val="none"/>
        </w:rPr>
      </w:pPr>
      <w:r>
        <w:rPr>
          <w:rFonts w:ascii="宋体" w:hAnsi="宋体" w:eastAsia="宋体" w:cs="宋体"/>
          <w:b w:val="0"/>
          <w:color w:val="auto"/>
          <w:sz w:val="24"/>
          <w:szCs w:val="24"/>
          <w:highlight w:val="none"/>
        </w:rPr>
        <w:t>中小企业划型标准</w:t>
      </w:r>
      <w:r>
        <w:rPr>
          <w:rFonts w:hint="eastAsia" w:ascii="宋体" w:hAnsi="宋体" w:eastAsia="宋体" w:cs="宋体"/>
          <w:b w:val="0"/>
          <w:color w:val="auto"/>
          <w:sz w:val="24"/>
          <w:szCs w:val="24"/>
          <w:highlight w:val="none"/>
        </w:rPr>
        <w:t>请按照《</w:t>
      </w:r>
      <w:r>
        <w:rPr>
          <w:rFonts w:ascii="宋体" w:hAnsi="宋体" w:eastAsia="宋体" w:cs="宋体"/>
          <w:b w:val="0"/>
          <w:color w:val="auto"/>
          <w:sz w:val="24"/>
          <w:szCs w:val="24"/>
          <w:highlight w:val="none"/>
        </w:rPr>
        <w:t xml:space="preserve">工信部联企业〔2011〕300号 </w:t>
      </w:r>
      <w:r>
        <w:rPr>
          <w:rFonts w:hint="eastAsia" w:ascii="宋体" w:hAnsi="宋体" w:eastAsia="宋体" w:cs="宋体"/>
          <w:b w:val="0"/>
          <w:color w:val="auto"/>
          <w:sz w:val="24"/>
          <w:szCs w:val="24"/>
          <w:highlight w:val="none"/>
        </w:rPr>
        <w:t>》之</w:t>
      </w:r>
      <w:r>
        <w:rPr>
          <w:rFonts w:ascii="宋体" w:hAnsi="宋体" w:eastAsia="宋体" w:cs="宋体"/>
          <w:b w:val="0"/>
          <w:color w:val="auto"/>
          <w:sz w:val="24"/>
          <w:szCs w:val="24"/>
          <w:highlight w:val="none"/>
        </w:rPr>
        <w:t>规定</w:t>
      </w:r>
    </w:p>
    <w:p>
      <w:pPr>
        <w:pStyle w:val="3"/>
        <w:rPr>
          <w:highlight w:val="none"/>
        </w:rPr>
      </w:pPr>
    </w:p>
    <w:tbl>
      <w:tblPr>
        <w:tblStyle w:val="28"/>
        <w:tblpPr w:leftFromText="180" w:rightFromText="180" w:vertAnchor="text" w:horzAnchor="page" w:tblpX="1377" w:tblpY="139"/>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027"/>
        <w:gridCol w:w="1446"/>
        <w:gridCol w:w="1271"/>
        <w:gridCol w:w="1954"/>
        <w:gridCol w:w="1680"/>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Style w:val="30"/>
                <w:rFonts w:hint="eastAsia" w:cs="宋体"/>
                <w:sz w:val="21"/>
                <w:szCs w:val="21"/>
                <w:highlight w:val="none"/>
              </w:rPr>
              <w:t>行业名称</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Style w:val="30"/>
                <w:rFonts w:hint="eastAsia" w:cs="宋体"/>
                <w:sz w:val="21"/>
                <w:szCs w:val="21"/>
                <w:highlight w:val="none"/>
              </w:rPr>
              <w:t>指标名称</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Style w:val="30"/>
                <w:rFonts w:hint="eastAsia" w:cs="宋体"/>
                <w:sz w:val="21"/>
                <w:szCs w:val="21"/>
                <w:highlight w:val="none"/>
              </w:rPr>
              <w:t>计量单位</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Style w:val="30"/>
                <w:rFonts w:hint="eastAsia" w:cs="宋体"/>
                <w:sz w:val="21"/>
                <w:szCs w:val="21"/>
                <w:highlight w:val="none"/>
              </w:rPr>
              <w:t>中型</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Style w:val="30"/>
                <w:rFonts w:hint="eastAsia" w:cs="宋体"/>
                <w:sz w:val="21"/>
                <w:szCs w:val="21"/>
                <w:highlight w:val="none"/>
              </w:rPr>
              <w:t>小型</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Style w:val="30"/>
                <w:rFonts w:hint="eastAsia" w:cs="宋体"/>
                <w:sz w:val="21"/>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农、林、牧、渔业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500≤Y&lt;20000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50≤Y&lt;500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工业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300≤X&lt;1000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20≤X&lt;300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2000≤Y&lt;40000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300≤Y&lt;2000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建筑业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6000≤Y&lt;80000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300≤Y&lt;6000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资产总额(Z)</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5000≤Z&lt;80000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300≤Z&lt;5000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Z&lt;300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批发业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20≤X&lt;200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5≤X&lt;20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5000≤Y&lt;40000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1000≤Y&lt;5000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零售业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50≤X&lt;300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10≤X&lt;50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500≤Y&lt;20000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100≤Y&lt;500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交通运输业</w:t>
            </w:r>
          </w:p>
        </w:tc>
        <w:tc>
          <w:tcPr>
            <w:tcW w:w="729"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300≤X&lt;1000</w:t>
            </w:r>
          </w:p>
        </w:tc>
        <w:tc>
          <w:tcPr>
            <w:tcW w:w="847"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20≤X&lt;300</w:t>
            </w:r>
          </w:p>
        </w:tc>
        <w:tc>
          <w:tcPr>
            <w:tcW w:w="773"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auto"/>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3000≤Y&lt;30000</w:t>
            </w:r>
          </w:p>
        </w:tc>
        <w:tc>
          <w:tcPr>
            <w:tcW w:w="847"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200≤Y&lt;3000</w:t>
            </w:r>
          </w:p>
        </w:tc>
        <w:tc>
          <w:tcPr>
            <w:tcW w:w="773"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仓储业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100≤X&lt;200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20≤X&lt;100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1000≤Y&lt;30000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100≤Y&lt;1000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邮政业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300≤X&lt;1000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20≤X&lt;300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2000≤Y&lt;30000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100≤Y&lt;2000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住宿业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100≤X&lt;300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10≤X&lt;100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2000≤Y&lt;10000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100≤Y&lt;2000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餐饮业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100≤X&lt;300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10≤X&lt;100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2000≤Y&lt;10000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100≤Y&lt;2000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信息传输业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100≤X&lt;2000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10≤X&lt;100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1000≤Y&lt;100000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100≤Y&lt;1000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软件和信息技术服务业</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100≤X&lt;300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10≤X&lt;100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1000≤Y&lt;10000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50≤Y&lt;1000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restar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房地产开发经营</w:t>
            </w: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1000≤Y&lt;200000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100≤Y&lt;1000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22" w:type="pct"/>
            <w:vMerge w:val="continue"/>
            <w:shd w:val="clear" w:color="auto" w:fill="FFFFFF"/>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资产总额(Z)</w:t>
            </w:r>
          </w:p>
        </w:tc>
        <w:tc>
          <w:tcPr>
            <w:tcW w:w="641"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5000≤Z&lt;10000</w:t>
            </w:r>
          </w:p>
        </w:tc>
        <w:tc>
          <w:tcPr>
            <w:tcW w:w="847"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2000≤Z&lt;5000</w:t>
            </w:r>
          </w:p>
        </w:tc>
        <w:tc>
          <w:tcPr>
            <w:tcW w:w="773" w:type="pct"/>
            <w:shd w:val="clear" w:color="auto" w:fill="FFFFFF"/>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Z&lt;2000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22" w:type="pct"/>
            <w:vMerge w:val="restar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物业管理</w:t>
            </w:r>
          </w:p>
        </w:tc>
        <w:tc>
          <w:tcPr>
            <w:tcW w:w="729"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300≤X&lt;1000</w:t>
            </w:r>
          </w:p>
        </w:tc>
        <w:tc>
          <w:tcPr>
            <w:tcW w:w="847"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100≤X&lt;300</w:t>
            </w:r>
          </w:p>
        </w:tc>
        <w:tc>
          <w:tcPr>
            <w:tcW w:w="773"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22" w:type="pct"/>
            <w:vMerge w:val="continue"/>
            <w:shd w:val="clear" w:color="auto" w:fill="auto"/>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营业收入(Y)</w:t>
            </w:r>
          </w:p>
        </w:tc>
        <w:tc>
          <w:tcPr>
            <w:tcW w:w="641"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1000≤Y&lt;5000</w:t>
            </w:r>
          </w:p>
        </w:tc>
        <w:tc>
          <w:tcPr>
            <w:tcW w:w="847"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500≤Y&lt;1000</w:t>
            </w:r>
          </w:p>
        </w:tc>
        <w:tc>
          <w:tcPr>
            <w:tcW w:w="773"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Y&lt;500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22" w:type="pct"/>
            <w:vMerge w:val="restar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租赁和商务服务业</w:t>
            </w:r>
          </w:p>
        </w:tc>
        <w:tc>
          <w:tcPr>
            <w:tcW w:w="729"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100≤X&lt;300</w:t>
            </w:r>
          </w:p>
        </w:tc>
        <w:tc>
          <w:tcPr>
            <w:tcW w:w="847"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10≤X&lt;100</w:t>
            </w:r>
          </w:p>
        </w:tc>
        <w:tc>
          <w:tcPr>
            <w:tcW w:w="773"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22" w:type="pct"/>
            <w:vMerge w:val="continue"/>
            <w:shd w:val="clear" w:color="auto" w:fill="FBE5D6" w:themeFill="accent2" w:themeFillTint="32"/>
            <w:tcMar>
              <w:top w:w="30" w:type="dxa"/>
              <w:left w:w="90" w:type="dxa"/>
              <w:bottom w:w="30" w:type="dxa"/>
              <w:right w:w="90" w:type="dxa"/>
            </w:tcMar>
            <w:vAlign w:val="center"/>
          </w:tcPr>
          <w:p>
            <w:pPr>
              <w:wordWrap w:val="0"/>
              <w:topLinePunct/>
              <w:jc w:val="left"/>
              <w:rPr>
                <w:rFonts w:ascii="宋体" w:hAnsi="宋体"/>
                <w:sz w:val="21"/>
                <w:szCs w:val="21"/>
                <w:highlight w:val="none"/>
              </w:rPr>
            </w:pPr>
          </w:p>
        </w:tc>
        <w:tc>
          <w:tcPr>
            <w:tcW w:w="729"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资产总额(Z)</w:t>
            </w:r>
          </w:p>
        </w:tc>
        <w:tc>
          <w:tcPr>
            <w:tcW w:w="641"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万元</w:t>
            </w:r>
          </w:p>
        </w:tc>
        <w:tc>
          <w:tcPr>
            <w:tcW w:w="985"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8000≤Z&lt;120000</w:t>
            </w:r>
          </w:p>
        </w:tc>
        <w:tc>
          <w:tcPr>
            <w:tcW w:w="847"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100≤Z&lt;8000</w:t>
            </w:r>
          </w:p>
        </w:tc>
        <w:tc>
          <w:tcPr>
            <w:tcW w:w="773" w:type="pct"/>
            <w:shd w:val="clear" w:color="auto" w:fill="FBE5D6" w:themeFill="accent2" w:themeFillTint="32"/>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Z&lt;100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22"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其他未列明行业</w:t>
            </w:r>
          </w:p>
        </w:tc>
        <w:tc>
          <w:tcPr>
            <w:tcW w:w="729"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从业人员(X)</w:t>
            </w:r>
          </w:p>
        </w:tc>
        <w:tc>
          <w:tcPr>
            <w:tcW w:w="641"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人</w:t>
            </w:r>
          </w:p>
        </w:tc>
        <w:tc>
          <w:tcPr>
            <w:tcW w:w="985"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100≤X&lt;300</w:t>
            </w:r>
          </w:p>
        </w:tc>
        <w:tc>
          <w:tcPr>
            <w:tcW w:w="847"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10≤X&lt;100</w:t>
            </w:r>
          </w:p>
        </w:tc>
        <w:tc>
          <w:tcPr>
            <w:tcW w:w="773" w:type="pct"/>
            <w:shd w:val="clear" w:color="auto" w:fill="auto"/>
            <w:tcMar>
              <w:top w:w="30" w:type="dxa"/>
              <w:left w:w="90" w:type="dxa"/>
              <w:bottom w:w="30" w:type="dxa"/>
              <w:right w:w="90" w:type="dxa"/>
            </w:tcMar>
            <w:vAlign w:val="center"/>
          </w:tcPr>
          <w:p>
            <w:pPr>
              <w:pStyle w:val="27"/>
              <w:widowControl w:val="0"/>
              <w:wordWrap w:val="0"/>
              <w:topLinePunct/>
              <w:spacing w:before="0" w:beforeAutospacing="0" w:after="0" w:afterAutospacing="0" w:line="360" w:lineRule="atLeast"/>
              <w:rPr>
                <w:rFonts w:cs="宋体"/>
                <w:sz w:val="21"/>
                <w:szCs w:val="21"/>
                <w:highlight w:val="none"/>
              </w:rPr>
            </w:pPr>
            <w:r>
              <w:rPr>
                <w:rFonts w:hint="eastAsia" w:cs="宋体"/>
                <w:sz w:val="21"/>
                <w:szCs w:val="21"/>
                <w:highlight w:val="none"/>
              </w:rPr>
              <w:t>X&lt;10</w:t>
            </w:r>
          </w:p>
        </w:tc>
      </w:tr>
    </w:tbl>
    <w:p>
      <w:pPr>
        <w:pStyle w:val="3"/>
        <w:widowControl w:val="0"/>
        <w:numPr>
          <w:ilvl w:val="0"/>
          <w:numId w:val="0"/>
        </w:numPr>
        <w:spacing w:line="360" w:lineRule="auto"/>
        <w:jc w:val="both"/>
        <w:rPr>
          <w:rFonts w:hint="eastAsia"/>
          <w:highlight w:val="none"/>
        </w:rPr>
      </w:pPr>
    </w:p>
    <w:p>
      <w:pPr>
        <w:pStyle w:val="2"/>
        <w:spacing w:line="360" w:lineRule="auto"/>
        <w:jc w:val="center"/>
        <w:rPr>
          <w:color w:val="auto"/>
          <w:highlight w:val="none"/>
        </w:rPr>
      </w:pPr>
      <w:r>
        <w:rPr>
          <w:rFonts w:hint="eastAsia"/>
          <w:color w:val="auto"/>
          <w:highlight w:val="none"/>
        </w:rPr>
        <w:t>残疾人福利性单位声明函</w:t>
      </w:r>
    </w:p>
    <w:p>
      <w:pPr>
        <w:spacing w:line="588" w:lineRule="exact"/>
        <w:rPr>
          <w:rFonts w:hint="eastAsia" w:ascii="宋体" w:hAnsi="宋体" w:cs="宋体"/>
          <w:b/>
          <w:color w:val="auto"/>
          <w:spacing w:val="6"/>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hint="eastAsia" w:ascii="宋体" w:hAnsi="宋体" w:cs="宋体"/>
          <w:color w:val="auto"/>
          <w:sz w:val="24"/>
          <w:highlight w:val="none"/>
        </w:rPr>
      </w:pPr>
    </w:p>
    <w:p>
      <w:pPr>
        <w:spacing w:line="588" w:lineRule="exact"/>
        <w:ind w:firstLine="504" w:firstLineChars="200"/>
        <w:rPr>
          <w:rFonts w:hint="eastAsia" w:ascii="宋体" w:hAnsi="宋体" w:cs="宋体"/>
          <w:color w:val="auto"/>
          <w:spacing w:val="6"/>
          <w:sz w:val="24"/>
          <w:highlight w:val="none"/>
        </w:rPr>
      </w:pP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单位名称（盖章）：</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2"/>
        <w:spacing w:line="360" w:lineRule="auto"/>
        <w:jc w:val="left"/>
        <w:rPr>
          <w:rFonts w:hint="eastAsia" w:ascii="宋体" w:hAnsi="宋体" w:eastAsia="宋体" w:cs="宋体"/>
          <w:b w:val="0"/>
          <w:color w:val="auto"/>
          <w:sz w:val="24"/>
          <w:szCs w:val="24"/>
          <w:highlight w:val="none"/>
        </w:rPr>
      </w:pPr>
      <w:r>
        <w:rPr>
          <w:rFonts w:hint="eastAsia" w:ascii="宋体" w:hAnsi="宋体" w:eastAsia="宋体"/>
          <w:b w:val="0"/>
          <w:bCs w:val="0"/>
          <w:color w:val="auto"/>
          <w:sz w:val="24"/>
          <w:szCs w:val="24"/>
          <w:highlight w:val="none"/>
        </w:rPr>
        <w:t>7.落实政府采购政策需满足的资格要求格式：</w:t>
      </w:r>
    </w:p>
    <w:p>
      <w:pPr>
        <w:snapToGrid w:val="0"/>
        <w:spacing w:line="360" w:lineRule="auto"/>
        <w:ind w:right="48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落实政府采购政策需满足的资格要求</w:t>
      </w:r>
    </w:p>
    <w:p>
      <w:pPr>
        <w:snapToGrid w:val="0"/>
        <w:spacing w:before="120" w:beforeLines="50" w:after="50" w:line="360" w:lineRule="auto"/>
        <w:rPr>
          <w:rFonts w:hint="eastAsia" w:ascii="宋体" w:hAnsi="宋体"/>
          <w:color w:val="auto"/>
          <w:sz w:val="24"/>
          <w:highlight w:val="none"/>
        </w:rPr>
      </w:pPr>
      <w:r>
        <w:rPr>
          <w:rFonts w:hint="eastAsia" w:ascii="宋体" w:hAnsi="宋体" w:cs="宋体"/>
          <w:color w:val="auto"/>
          <w:kern w:val="0"/>
          <w:sz w:val="24"/>
          <w:highlight w:val="none"/>
        </w:rPr>
        <w:t>（根据招标公告落实政府采购政策需满足的资格要求选择提供相应的材料；未要求的，无需提供）</w:t>
      </w: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pStyle w:val="15"/>
        <w:rPr>
          <w:rFonts w:hint="eastAsia" w:ascii="宋体" w:hAnsi="宋体" w:cs="宋体"/>
          <w:color w:val="auto"/>
          <w:kern w:val="0"/>
          <w:sz w:val="24"/>
          <w:highlight w:val="none"/>
        </w:rPr>
      </w:pPr>
    </w:p>
    <w:p>
      <w:pPr>
        <w:numPr>
          <w:ilvl w:val="0"/>
          <w:numId w:val="0"/>
        </w:numPr>
        <w:snapToGrid w:val="0"/>
        <w:spacing w:line="360" w:lineRule="auto"/>
        <w:ind w:firstLine="723" w:firstLineChars="300"/>
        <w:rPr>
          <w:rFonts w:hint="default" w:ascii="宋体" w:hAnsi="宋体" w:eastAsia="宋体" w:cs="宋体"/>
          <w:b/>
          <w:bCs/>
          <w:color w:val="auto"/>
          <w:highlight w:val="none"/>
          <w:lang w:val="en-US" w:eastAsia="zh-CN"/>
        </w:rPr>
      </w:pPr>
    </w:p>
    <w:p>
      <w:pPr>
        <w:pStyle w:val="37"/>
        <w:spacing w:line="360" w:lineRule="auto"/>
        <w:jc w:val="center"/>
        <w:rPr>
          <w:rFonts w:hint="eastAsia" w:hAnsi="宋体" w:eastAsia="宋体"/>
          <w:color w:val="auto"/>
          <w:sz w:val="24"/>
          <w:szCs w:val="24"/>
          <w:highlight w:val="none"/>
        </w:rPr>
      </w:pPr>
    </w:p>
    <w:p>
      <w:pPr>
        <w:pStyle w:val="37"/>
        <w:spacing w:line="360" w:lineRule="auto"/>
        <w:jc w:val="center"/>
        <w:rPr>
          <w:rFonts w:hint="eastAsia" w:hAnsi="宋体" w:eastAsia="宋体"/>
          <w:color w:val="auto"/>
          <w:sz w:val="24"/>
          <w:szCs w:val="24"/>
          <w:highlight w:val="none"/>
        </w:rPr>
      </w:pPr>
    </w:p>
    <w:p>
      <w:pPr>
        <w:pStyle w:val="17"/>
        <w:snapToGrid w:val="0"/>
        <w:spacing w:beforeLines="0" w:afterLines="0" w:line="440" w:lineRule="exact"/>
        <w:outlineLvl w:val="1"/>
        <w:rPr>
          <w:rFonts w:hAnsi="宋体"/>
          <w:b/>
          <w:color w:val="auto"/>
          <w:highlight w:val="none"/>
        </w:rPr>
      </w:pPr>
      <w:r>
        <w:rPr>
          <w:rFonts w:hint="eastAsia" w:hAnsi="宋体"/>
          <w:b/>
          <w:color w:val="auto"/>
          <w:highlight w:val="none"/>
          <w:lang w:eastAsia="zh-CN"/>
        </w:rPr>
        <w:t>二</w:t>
      </w:r>
      <w:r>
        <w:rPr>
          <w:rFonts w:hint="eastAsia" w:hAnsi="宋体"/>
          <w:b/>
          <w:color w:val="auto"/>
          <w:highlight w:val="none"/>
        </w:rPr>
        <w:t>、商务技术文件格式</w:t>
      </w:r>
    </w:p>
    <w:p>
      <w:pPr>
        <w:snapToGrid w:val="0"/>
        <w:spacing w:line="440" w:lineRule="exact"/>
        <w:rPr>
          <w:rFonts w:ascii="宋体" w:hAnsi="宋体"/>
          <w:color w:val="auto"/>
          <w:sz w:val="24"/>
          <w:highlight w:val="none"/>
        </w:rPr>
      </w:pPr>
      <w:r>
        <w:rPr>
          <w:rFonts w:hint="eastAsia" w:ascii="宋体" w:hAnsi="宋体"/>
          <w:bCs/>
          <w:color w:val="auto"/>
          <w:sz w:val="24"/>
          <w:highlight w:val="none"/>
        </w:rPr>
        <w:t>1</w:t>
      </w:r>
      <w:r>
        <w:rPr>
          <w:rFonts w:ascii="宋体" w:hAnsi="宋体"/>
          <w:color w:val="auto"/>
          <w:sz w:val="24"/>
          <w:highlight w:val="none"/>
        </w:rPr>
        <w:t>.</w:t>
      </w:r>
      <w:r>
        <w:rPr>
          <w:rFonts w:hint="eastAsia" w:ascii="宋体" w:hAnsi="宋体"/>
          <w:color w:val="auto"/>
          <w:sz w:val="24"/>
          <w:highlight w:val="none"/>
        </w:rPr>
        <w:t>商务技术文件封面格式</w:t>
      </w:r>
    </w:p>
    <w:p>
      <w:pPr>
        <w:snapToGrid w:val="0"/>
        <w:spacing w:line="440" w:lineRule="exact"/>
        <w:rPr>
          <w:rFonts w:ascii="宋体" w:hAnsi="宋体"/>
          <w:b/>
          <w:bCs/>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napToGrid w:val="0"/>
        <w:spacing w:line="440" w:lineRule="exact"/>
        <w:jc w:val="center"/>
        <w:rPr>
          <w:rFonts w:ascii="宋体" w:hAnsi="宋体"/>
          <w:b/>
          <w:bCs/>
          <w:color w:val="auto"/>
          <w:sz w:val="24"/>
          <w:highlight w:val="none"/>
        </w:rPr>
      </w:pPr>
      <w:r>
        <w:rPr>
          <w:rFonts w:hint="eastAsia" w:ascii="宋体" w:hAnsi="宋体"/>
          <w:b/>
          <w:bCs/>
          <w:color w:val="auto"/>
          <w:sz w:val="24"/>
          <w:highlight w:val="none"/>
        </w:rPr>
        <w:t>商务技术文件</w:t>
      </w:r>
    </w:p>
    <w:p>
      <w:pPr>
        <w:snapToGrid w:val="0"/>
        <w:spacing w:line="440" w:lineRule="exact"/>
        <w:ind w:firstLine="900" w:firstLineChars="375"/>
        <w:rPr>
          <w:rFonts w:ascii="宋体" w:hAnsi="宋体"/>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u w:val="single"/>
        </w:rPr>
        <w:t xml:space="preserve">                    </w:t>
      </w:r>
      <w:r>
        <w:rPr>
          <w:rFonts w:hint="eastAsia" w:ascii="宋体" w:hAnsi="宋体"/>
          <w:color w:val="auto"/>
          <w:sz w:val="24"/>
          <w:highlight w:val="none"/>
        </w:rPr>
        <w:t>采购项目</w:t>
      </w:r>
    </w:p>
    <w:p>
      <w:pPr>
        <w:pStyle w:val="8"/>
        <w:snapToGrid w:val="0"/>
        <w:spacing w:line="440" w:lineRule="exact"/>
        <w:ind w:firstLine="900" w:firstLineChars="375"/>
        <w:rPr>
          <w:rFonts w:ascii="宋体" w:hAnsi="宋体"/>
          <w:bCs/>
          <w:color w:val="auto"/>
          <w:sz w:val="24"/>
          <w:highlight w:val="none"/>
        </w:rPr>
      </w:pPr>
      <w:r>
        <w:rPr>
          <w:rFonts w:hint="eastAsia" w:ascii="宋体" w:hAnsi="宋体"/>
          <w:bCs/>
          <w:color w:val="auto"/>
          <w:sz w:val="24"/>
          <w:highlight w:val="none"/>
        </w:rPr>
        <w:t>项目编号：</w:t>
      </w:r>
    </w:p>
    <w:p>
      <w:pPr>
        <w:pStyle w:val="8"/>
        <w:snapToGrid w:val="0"/>
        <w:spacing w:line="440" w:lineRule="exact"/>
        <w:ind w:firstLine="900" w:firstLineChars="375"/>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名称（盖章）：</w:t>
      </w:r>
    </w:p>
    <w:p>
      <w:pPr>
        <w:pStyle w:val="8"/>
        <w:snapToGrid w:val="0"/>
        <w:spacing w:line="440" w:lineRule="exact"/>
        <w:ind w:firstLine="900" w:firstLineChars="375"/>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pPr>
        <w:snapToGrid w:val="0"/>
        <w:spacing w:line="440" w:lineRule="exact"/>
        <w:ind w:firstLine="3280" w:firstLineChars="1367"/>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pPr>
        <w:snapToGrid w:val="0"/>
        <w:spacing w:line="360" w:lineRule="auto"/>
        <w:ind w:firstLine="3280" w:firstLineChars="1367"/>
        <w:rPr>
          <w:rFonts w:ascii="宋体" w:hAnsi="宋体"/>
          <w:color w:val="auto"/>
          <w:sz w:val="24"/>
          <w:highlight w:val="none"/>
        </w:rPr>
      </w:pPr>
    </w:p>
    <w:p>
      <w:pPr>
        <w:snapToGrid w:val="0"/>
        <w:spacing w:line="360" w:lineRule="auto"/>
        <w:ind w:firstLine="3280" w:firstLineChars="1367"/>
        <w:rPr>
          <w:rFonts w:hint="eastAsia" w:ascii="宋体" w:hAnsi="宋体"/>
          <w:color w:val="auto"/>
          <w:sz w:val="24"/>
          <w:highlight w:val="none"/>
        </w:rPr>
      </w:pPr>
    </w:p>
    <w:p>
      <w:pPr>
        <w:snapToGrid w:val="0"/>
        <w:spacing w:line="360" w:lineRule="auto"/>
        <w:ind w:firstLine="3280" w:firstLineChars="1367"/>
        <w:rPr>
          <w:rFonts w:hint="eastAsia" w:ascii="宋体" w:hAnsi="宋体"/>
          <w:color w:val="auto"/>
          <w:sz w:val="24"/>
          <w:highlight w:val="none"/>
        </w:rPr>
      </w:pPr>
    </w:p>
    <w:p>
      <w:pPr>
        <w:snapToGrid w:val="0"/>
        <w:spacing w:line="360" w:lineRule="auto"/>
        <w:ind w:firstLine="3280" w:firstLineChars="1367"/>
        <w:rPr>
          <w:rFonts w:hint="eastAsia" w:ascii="宋体" w:hAnsi="宋体"/>
          <w:color w:val="auto"/>
          <w:sz w:val="24"/>
          <w:highlight w:val="none"/>
        </w:rPr>
      </w:pPr>
    </w:p>
    <w:p>
      <w:pPr>
        <w:snapToGrid w:val="0"/>
        <w:spacing w:line="440" w:lineRule="exact"/>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w:t>
      </w:r>
      <w:r>
        <w:rPr>
          <w:rFonts w:hint="eastAsia" w:ascii="宋体" w:hAnsi="宋体"/>
          <w:bCs/>
          <w:color w:val="auto"/>
          <w:sz w:val="24"/>
          <w:highlight w:val="none"/>
        </w:rPr>
        <w:t>商务技术文件目录（请按照“第三章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w:t>
      </w:r>
      <w:r>
        <w:rPr>
          <w:rFonts w:ascii="宋体" w:hAnsi="宋体"/>
          <w:bCs/>
          <w:color w:val="auto"/>
          <w:sz w:val="24"/>
          <w:highlight w:val="none"/>
        </w:rPr>
        <w:t>三、</w:t>
      </w:r>
      <w:r>
        <w:rPr>
          <w:rFonts w:hint="eastAsia" w:ascii="宋体" w:hAnsi="宋体"/>
          <w:bCs/>
          <w:color w:val="auto"/>
          <w:sz w:val="24"/>
          <w:highlight w:val="none"/>
          <w:lang w:eastAsia="zh-CN"/>
        </w:rPr>
        <w:t>响应文件</w:t>
      </w:r>
      <w:r>
        <w:rPr>
          <w:rFonts w:ascii="宋体" w:hAnsi="宋体"/>
          <w:bCs/>
          <w:color w:val="auto"/>
          <w:sz w:val="24"/>
          <w:highlight w:val="none"/>
        </w:rPr>
        <w:t>的编制</w:t>
      </w:r>
      <w:r>
        <w:rPr>
          <w:rFonts w:hint="eastAsia" w:ascii="宋体" w:hAnsi="宋体"/>
          <w:bCs/>
          <w:color w:val="auto"/>
          <w:sz w:val="24"/>
          <w:highlight w:val="none"/>
        </w:rPr>
        <w:t>”的顺序，结合评标办法自行编制目录）</w:t>
      </w:r>
    </w:p>
    <w:p>
      <w:pPr>
        <w:snapToGrid w:val="0"/>
        <w:spacing w:line="440" w:lineRule="exact"/>
        <w:rPr>
          <w:rFonts w:ascii="宋体" w:hAnsi="宋体"/>
          <w:bCs/>
          <w:color w:val="auto"/>
          <w:sz w:val="24"/>
          <w:highlight w:val="none"/>
        </w:rPr>
      </w:pPr>
      <w:r>
        <w:rPr>
          <w:rFonts w:hint="eastAsia" w:ascii="宋体" w:hAnsi="宋体"/>
          <w:bCs/>
          <w:color w:val="auto"/>
          <w:sz w:val="24"/>
          <w:highlight w:val="none"/>
        </w:rPr>
        <w:t>例如：</w:t>
      </w:r>
    </w:p>
    <w:p>
      <w:pPr>
        <w:snapToGrid w:val="0"/>
        <w:spacing w:line="440" w:lineRule="exact"/>
        <w:rPr>
          <w:rFonts w:ascii="宋体" w:hAnsi="宋体"/>
          <w:bCs/>
          <w:color w:val="auto"/>
          <w:sz w:val="24"/>
          <w:highlight w:val="none"/>
        </w:rPr>
      </w:pPr>
      <w:r>
        <w:rPr>
          <w:rFonts w:hint="eastAsia" w:ascii="宋体" w:hAnsi="宋体"/>
          <w:bCs/>
          <w:color w:val="auto"/>
          <w:sz w:val="24"/>
          <w:highlight w:val="none"/>
        </w:rPr>
        <w:t>资信商务文件：</w:t>
      </w:r>
    </w:p>
    <w:p>
      <w:pPr>
        <w:snapToGrid w:val="0"/>
        <w:spacing w:line="440" w:lineRule="exact"/>
        <w:rPr>
          <w:rFonts w:ascii="宋体" w:hAnsi="宋体"/>
          <w:color w:val="auto"/>
          <w:sz w:val="24"/>
          <w:szCs w:val="20"/>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基本情况介绍</w:t>
      </w:r>
      <w:r>
        <w:rPr>
          <w:rFonts w:ascii="宋体" w:hAnsi="宋体"/>
          <w:color w:val="auto"/>
          <w:sz w:val="24"/>
          <w:highlight w:val="none"/>
        </w:rPr>
        <w:t xml:space="preserve"> (格式见附</w:t>
      </w:r>
      <w:r>
        <w:rPr>
          <w:rFonts w:hint="eastAsia" w:ascii="宋体" w:hAnsi="宋体"/>
          <w:color w:val="auto"/>
          <w:sz w:val="24"/>
          <w:highlight w:val="none"/>
        </w:rPr>
        <w:t>件）</w:t>
      </w:r>
      <w:r>
        <w:rPr>
          <w:rFonts w:hint="eastAsia" w:ascii="宋体" w:hAnsi="宋体" w:cs="宋体"/>
          <w:color w:val="auto"/>
          <w:kern w:val="0"/>
          <w:sz w:val="24"/>
          <w:highlight w:val="none"/>
        </w:rPr>
        <w:t>…………………………………（页码）</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诚信承诺书（格式见附件）</w:t>
      </w:r>
      <w:r>
        <w:rPr>
          <w:rFonts w:hint="eastAsia" w:ascii="宋体" w:hAnsi="宋体" w:cs="宋体"/>
          <w:color w:val="auto"/>
          <w:kern w:val="0"/>
          <w:sz w:val="24"/>
          <w:highlight w:val="none"/>
        </w:rPr>
        <w:t>……………………………………………（页码）</w:t>
      </w:r>
    </w:p>
    <w:p>
      <w:pPr>
        <w:snapToGrid w:val="0"/>
        <w:spacing w:line="440" w:lineRule="exact"/>
        <w:jc w:val="left"/>
        <w:rPr>
          <w:rFonts w:ascii="宋体" w:hAnsi="宋体"/>
          <w:color w:val="auto"/>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所有荣誉证书、资质文件等（复印件）</w:t>
      </w:r>
      <w:r>
        <w:rPr>
          <w:rFonts w:hint="eastAsia" w:ascii="宋体" w:hAnsi="宋体" w:cs="宋体"/>
          <w:color w:val="auto"/>
          <w:kern w:val="0"/>
          <w:sz w:val="24"/>
          <w:highlight w:val="none"/>
        </w:rPr>
        <w:t>………………………………（页码）</w:t>
      </w:r>
    </w:p>
    <w:p>
      <w:pPr>
        <w:snapToGrid w:val="0"/>
        <w:spacing w:before="120" w:beforeLines="50" w:after="50"/>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snapToGrid w:val="0"/>
        <w:spacing w:before="120" w:beforeLines="50" w:after="50"/>
        <w:rPr>
          <w:rFonts w:ascii="宋体" w:hAnsi="宋体"/>
          <w:color w:val="auto"/>
          <w:sz w:val="24"/>
          <w:szCs w:val="20"/>
          <w:highlight w:val="none"/>
        </w:rPr>
      </w:pPr>
    </w:p>
    <w:p>
      <w:pPr>
        <w:snapToGrid w:val="0"/>
        <w:spacing w:before="120" w:beforeLines="50" w:after="50" w:line="360" w:lineRule="auto"/>
        <w:rPr>
          <w:rFonts w:hint="eastAsia" w:ascii="宋体" w:hAnsi="宋体"/>
          <w:color w:val="auto"/>
          <w:sz w:val="24"/>
          <w:highlight w:val="none"/>
          <w:lang w:val="en-US" w:eastAsia="zh-CN"/>
        </w:rPr>
      </w:pPr>
    </w:p>
    <w:p>
      <w:pPr>
        <w:snapToGrid w:val="0"/>
        <w:spacing w:before="120" w:beforeLines="50" w:after="50" w:line="360" w:lineRule="auto"/>
        <w:rPr>
          <w:rFonts w:hint="eastAsia" w:ascii="宋体" w:hAnsi="宋体"/>
          <w:color w:val="auto"/>
          <w:sz w:val="24"/>
          <w:highlight w:val="none"/>
          <w:lang w:val="en-US" w:eastAsia="zh-CN"/>
        </w:rPr>
      </w:pPr>
    </w:p>
    <w:p>
      <w:pPr>
        <w:snapToGrid w:val="0"/>
        <w:spacing w:before="120" w:beforeLines="50" w:after="50" w:line="360" w:lineRule="auto"/>
        <w:rPr>
          <w:rFonts w:hint="eastAsia" w:ascii="宋体" w:hAnsi="宋体"/>
          <w:color w:val="auto"/>
          <w:sz w:val="24"/>
          <w:highlight w:val="none"/>
          <w:lang w:val="en-US" w:eastAsia="zh-CN"/>
        </w:rPr>
      </w:pPr>
    </w:p>
    <w:p>
      <w:pPr>
        <w:snapToGrid w:val="0"/>
        <w:spacing w:before="120" w:beforeLines="50" w:after="50" w:line="360" w:lineRule="auto"/>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基本情况介绍</w:t>
      </w:r>
      <w:r>
        <w:rPr>
          <w:rFonts w:ascii="宋体" w:hAnsi="宋体"/>
          <w:color w:val="auto"/>
          <w:sz w:val="24"/>
          <w:highlight w:val="none"/>
        </w:rPr>
        <w:t>格式：</w:t>
      </w:r>
    </w:p>
    <w:p>
      <w:pPr>
        <w:pStyle w:val="17"/>
        <w:spacing w:before="120" w:after="120" w:line="360" w:lineRule="auto"/>
        <w:jc w:val="center"/>
        <w:rPr>
          <w:rFonts w:hAnsi="宋体"/>
          <w:b/>
          <w:color w:val="auto"/>
          <w:highlight w:val="none"/>
        </w:rPr>
      </w:pPr>
      <w:r>
        <w:rPr>
          <w:rFonts w:hint="eastAsia" w:hAnsi="宋体"/>
          <w:b/>
          <w:color w:val="auto"/>
          <w:highlight w:val="none"/>
          <w:lang w:eastAsia="zh-CN"/>
        </w:rPr>
        <w:t>供应商</w:t>
      </w:r>
      <w:r>
        <w:rPr>
          <w:rFonts w:hint="eastAsia" w:hAnsi="宋体"/>
          <w:b/>
          <w:color w:val="auto"/>
          <w:highlight w:val="none"/>
        </w:rPr>
        <w:t>经营情况介绍</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71"/>
        <w:gridCol w:w="1260"/>
        <w:gridCol w:w="1260"/>
        <w:gridCol w:w="1620"/>
        <w:gridCol w:w="12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77"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名  称</w:t>
            </w:r>
          </w:p>
        </w:tc>
        <w:tc>
          <w:tcPr>
            <w:tcW w:w="7983" w:type="dxa"/>
            <w:gridSpan w:val="6"/>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77"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地  址</w:t>
            </w:r>
          </w:p>
        </w:tc>
        <w:tc>
          <w:tcPr>
            <w:tcW w:w="7983" w:type="dxa"/>
            <w:gridSpan w:val="6"/>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restart"/>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概  况</w:t>
            </w: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成立和注册时间</w:t>
            </w:r>
          </w:p>
        </w:tc>
        <w:tc>
          <w:tcPr>
            <w:tcW w:w="2520"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2472"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2520"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电   话</w:t>
            </w:r>
          </w:p>
        </w:tc>
        <w:tc>
          <w:tcPr>
            <w:tcW w:w="2472"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技术负责人</w:t>
            </w:r>
          </w:p>
        </w:tc>
        <w:tc>
          <w:tcPr>
            <w:tcW w:w="2520"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电   话</w:t>
            </w:r>
          </w:p>
        </w:tc>
        <w:tc>
          <w:tcPr>
            <w:tcW w:w="2472"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职工总数</w:t>
            </w:r>
          </w:p>
        </w:tc>
        <w:tc>
          <w:tcPr>
            <w:tcW w:w="2520"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技术人员数</w:t>
            </w:r>
          </w:p>
        </w:tc>
        <w:tc>
          <w:tcPr>
            <w:tcW w:w="2472" w:type="dxa"/>
            <w:gridSpan w:val="2"/>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vMerge w:val="restart"/>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资产情况</w:t>
            </w:r>
          </w:p>
        </w:tc>
        <w:tc>
          <w:tcPr>
            <w:tcW w:w="2520" w:type="dxa"/>
            <w:gridSpan w:val="2"/>
            <w:noWrap w:val="0"/>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净资产：            </w:t>
            </w:r>
          </w:p>
        </w:tc>
        <w:tc>
          <w:tcPr>
            <w:tcW w:w="4092" w:type="dxa"/>
            <w:gridSpan w:val="3"/>
            <w:noWrap w:val="0"/>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固定资产原值：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vMerge w:val="continue"/>
            <w:noWrap w:val="0"/>
            <w:vAlign w:val="center"/>
          </w:tcPr>
          <w:p>
            <w:pPr>
              <w:widowControl/>
              <w:spacing w:line="360" w:lineRule="auto"/>
              <w:jc w:val="left"/>
              <w:rPr>
                <w:rFonts w:ascii="宋体" w:hAnsi="宋体" w:cs="宋体"/>
                <w:color w:val="auto"/>
                <w:kern w:val="0"/>
                <w:sz w:val="24"/>
                <w:highlight w:val="none"/>
              </w:rPr>
            </w:pPr>
          </w:p>
        </w:tc>
        <w:tc>
          <w:tcPr>
            <w:tcW w:w="2520" w:type="dxa"/>
            <w:gridSpan w:val="2"/>
            <w:noWrap w:val="0"/>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负  债：            </w:t>
            </w:r>
          </w:p>
        </w:tc>
        <w:tc>
          <w:tcPr>
            <w:tcW w:w="4092" w:type="dxa"/>
            <w:gridSpan w:val="3"/>
            <w:noWrap w:val="0"/>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固定资产净值：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2023</w:t>
            </w:r>
            <w:r>
              <w:rPr>
                <w:rFonts w:hint="eastAsia" w:ascii="宋体" w:hAnsi="宋体" w:cs="宋体"/>
                <w:color w:val="auto"/>
                <w:kern w:val="0"/>
                <w:sz w:val="24"/>
                <w:highlight w:val="none"/>
              </w:rPr>
              <w:t>年 度</w:t>
            </w:r>
          </w:p>
        </w:tc>
        <w:tc>
          <w:tcPr>
            <w:tcW w:w="126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主营收入(万元)</w:t>
            </w:r>
          </w:p>
        </w:tc>
        <w:tc>
          <w:tcPr>
            <w:tcW w:w="126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收入总额(万元)</w:t>
            </w:r>
          </w:p>
        </w:tc>
        <w:tc>
          <w:tcPr>
            <w:tcW w:w="162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利润收入(万元)</w:t>
            </w:r>
          </w:p>
        </w:tc>
        <w:tc>
          <w:tcPr>
            <w:tcW w:w="126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净利润收入(万元)</w:t>
            </w:r>
          </w:p>
        </w:tc>
        <w:tc>
          <w:tcPr>
            <w:tcW w:w="1212"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noWrap w:val="0"/>
            <w:vAlign w:val="center"/>
          </w:tcPr>
          <w:p>
            <w:pPr>
              <w:widowControl/>
              <w:spacing w:line="360" w:lineRule="auto"/>
              <w:jc w:val="center"/>
              <w:rPr>
                <w:rFonts w:hint="eastAsia" w:ascii="宋体" w:hAnsi="宋体" w:cs="宋体"/>
                <w:color w:val="auto"/>
                <w:kern w:val="0"/>
                <w:sz w:val="24"/>
                <w:highlight w:val="none"/>
              </w:rPr>
            </w:pPr>
          </w:p>
        </w:tc>
        <w:tc>
          <w:tcPr>
            <w:tcW w:w="1260" w:type="dxa"/>
            <w:noWrap w:val="0"/>
            <w:vAlign w:val="center"/>
          </w:tcPr>
          <w:p>
            <w:pPr>
              <w:widowControl/>
              <w:spacing w:line="360" w:lineRule="auto"/>
              <w:jc w:val="center"/>
              <w:rPr>
                <w:rFonts w:hint="eastAsia" w:ascii="宋体" w:hAnsi="宋体" w:cs="宋体"/>
                <w:color w:val="auto"/>
                <w:kern w:val="0"/>
                <w:sz w:val="24"/>
                <w:highlight w:val="none"/>
              </w:rPr>
            </w:pPr>
          </w:p>
        </w:tc>
        <w:tc>
          <w:tcPr>
            <w:tcW w:w="1260" w:type="dxa"/>
            <w:noWrap w:val="0"/>
            <w:vAlign w:val="center"/>
          </w:tcPr>
          <w:p>
            <w:pPr>
              <w:widowControl/>
              <w:spacing w:line="360" w:lineRule="auto"/>
              <w:jc w:val="center"/>
              <w:rPr>
                <w:rFonts w:hint="eastAsia" w:ascii="宋体" w:hAnsi="宋体" w:cs="宋体"/>
                <w:color w:val="auto"/>
                <w:kern w:val="0"/>
                <w:sz w:val="24"/>
                <w:highlight w:val="none"/>
              </w:rPr>
            </w:pPr>
          </w:p>
        </w:tc>
        <w:tc>
          <w:tcPr>
            <w:tcW w:w="1620" w:type="dxa"/>
            <w:noWrap w:val="0"/>
            <w:vAlign w:val="center"/>
          </w:tcPr>
          <w:p>
            <w:pPr>
              <w:widowControl/>
              <w:spacing w:line="360" w:lineRule="auto"/>
              <w:jc w:val="center"/>
              <w:rPr>
                <w:rFonts w:hint="eastAsia" w:ascii="宋体" w:hAnsi="宋体" w:cs="宋体"/>
                <w:color w:val="auto"/>
                <w:kern w:val="0"/>
                <w:sz w:val="24"/>
                <w:highlight w:val="none"/>
              </w:rPr>
            </w:pPr>
          </w:p>
        </w:tc>
        <w:tc>
          <w:tcPr>
            <w:tcW w:w="1260" w:type="dxa"/>
            <w:noWrap w:val="0"/>
            <w:vAlign w:val="center"/>
          </w:tcPr>
          <w:p>
            <w:pPr>
              <w:widowControl/>
              <w:spacing w:line="360" w:lineRule="auto"/>
              <w:jc w:val="center"/>
              <w:rPr>
                <w:rFonts w:hint="eastAsia" w:ascii="宋体" w:hAnsi="宋体" w:cs="宋体"/>
                <w:color w:val="auto"/>
                <w:kern w:val="0"/>
                <w:sz w:val="24"/>
                <w:highlight w:val="none"/>
              </w:rPr>
            </w:pPr>
          </w:p>
        </w:tc>
        <w:tc>
          <w:tcPr>
            <w:tcW w:w="1212" w:type="dxa"/>
            <w:noWrap w:val="0"/>
            <w:vAlign w:val="center"/>
          </w:tcPr>
          <w:p>
            <w:pPr>
              <w:widowControl/>
              <w:spacing w:line="360" w:lineRule="auto"/>
              <w:jc w:val="center"/>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77" w:type="dxa"/>
            <w:vMerge w:val="restart"/>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售后服务网点</w:t>
            </w: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服务机构</w:t>
            </w:r>
          </w:p>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4140" w:type="dxa"/>
            <w:gridSpan w:val="3"/>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26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负 责 人</w:t>
            </w:r>
          </w:p>
        </w:tc>
        <w:tc>
          <w:tcPr>
            <w:tcW w:w="1212"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7" w:type="dxa"/>
            <w:vMerge w:val="continue"/>
            <w:noWrap w:val="0"/>
            <w:vAlign w:val="center"/>
          </w:tcPr>
          <w:p>
            <w:pPr>
              <w:widowControl/>
              <w:spacing w:line="360" w:lineRule="auto"/>
              <w:jc w:val="left"/>
              <w:rPr>
                <w:rFonts w:ascii="宋体" w:hAnsi="宋体" w:cs="宋体"/>
                <w:color w:val="auto"/>
                <w:kern w:val="0"/>
                <w:sz w:val="24"/>
                <w:highlight w:val="none"/>
              </w:rPr>
            </w:pPr>
          </w:p>
        </w:tc>
        <w:tc>
          <w:tcPr>
            <w:tcW w:w="1371"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机构地点</w:t>
            </w:r>
          </w:p>
        </w:tc>
        <w:tc>
          <w:tcPr>
            <w:tcW w:w="4140" w:type="dxa"/>
            <w:gridSpan w:val="3"/>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260"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1212"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477"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简介及机构设置</w:t>
            </w:r>
          </w:p>
        </w:tc>
        <w:tc>
          <w:tcPr>
            <w:tcW w:w="7983" w:type="dxa"/>
            <w:gridSpan w:val="6"/>
            <w:noWrap w:val="0"/>
            <w:vAlign w:val="center"/>
          </w:tcPr>
          <w:p>
            <w:pPr>
              <w:widowControl/>
              <w:spacing w:line="360" w:lineRule="auto"/>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77" w:type="dxa"/>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优势及特长</w:t>
            </w:r>
          </w:p>
        </w:tc>
        <w:tc>
          <w:tcPr>
            <w:tcW w:w="7983" w:type="dxa"/>
            <w:gridSpan w:val="6"/>
            <w:noWrap w:val="0"/>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bl>
    <w:p>
      <w:pPr>
        <w:spacing w:line="360" w:lineRule="auto"/>
        <w:rPr>
          <w:rFonts w:ascii="宋体" w:hAnsi="宋体"/>
          <w:bCs/>
          <w:color w:val="auto"/>
          <w:sz w:val="24"/>
          <w:highlight w:val="none"/>
        </w:rPr>
      </w:pPr>
      <w:r>
        <w:rPr>
          <w:rFonts w:hint="eastAsia" w:ascii="宋体" w:hAnsi="宋体"/>
          <w:bCs/>
          <w:color w:val="auto"/>
          <w:sz w:val="24"/>
          <w:highlight w:val="none"/>
        </w:rPr>
        <w:t>说明：</w:t>
      </w:r>
      <w:r>
        <w:rPr>
          <w:rFonts w:ascii="宋体" w:hAnsi="宋体"/>
          <w:bCs/>
          <w:color w:val="auto"/>
          <w:sz w:val="24"/>
          <w:highlight w:val="none"/>
        </w:rPr>
        <w:t>在填写时，如本表格不适合</w:t>
      </w:r>
      <w:r>
        <w:rPr>
          <w:rFonts w:hint="eastAsia" w:ascii="宋体" w:hAnsi="宋体"/>
          <w:bCs/>
          <w:color w:val="auto"/>
          <w:sz w:val="24"/>
          <w:highlight w:val="none"/>
          <w:lang w:eastAsia="zh-CN"/>
        </w:rPr>
        <w:t>供应商</w:t>
      </w:r>
      <w:r>
        <w:rPr>
          <w:rFonts w:ascii="宋体" w:hAnsi="宋体"/>
          <w:bCs/>
          <w:color w:val="auto"/>
          <w:sz w:val="24"/>
          <w:highlight w:val="none"/>
        </w:rPr>
        <w:t>的实际情况，可根据本表格格式自行划表填写。</w:t>
      </w:r>
    </w:p>
    <w:p>
      <w:pPr>
        <w:tabs>
          <w:tab w:val="left" w:pos="1418"/>
        </w:tabs>
        <w:spacing w:line="360" w:lineRule="auto"/>
        <w:ind w:firstLine="240" w:firstLineChars="100"/>
        <w:rPr>
          <w:rFonts w:hint="eastAsia" w:ascii="宋体" w:hAnsi="宋体"/>
          <w:bCs/>
          <w:color w:val="auto"/>
          <w:sz w:val="24"/>
          <w:highlight w:val="none"/>
        </w:rPr>
      </w:pPr>
      <w:r>
        <w:rPr>
          <w:rFonts w:ascii="宋体" w:hAnsi="宋体"/>
          <w:color w:val="auto"/>
          <w:sz w:val="24"/>
          <w:highlight w:val="none"/>
        </w:rPr>
        <w:t>法定代表人或委托代理人签名：</w:t>
      </w:r>
      <w:r>
        <w:rPr>
          <w:rFonts w:hint="eastAsia" w:ascii="宋体" w:hAnsi="宋体"/>
          <w:bCs/>
          <w:color w:val="auto"/>
          <w:sz w:val="24"/>
          <w:highlight w:val="none"/>
        </w:rPr>
        <w:t xml:space="preserve"> </w:t>
      </w:r>
    </w:p>
    <w:p>
      <w:pPr>
        <w:tabs>
          <w:tab w:val="left" w:pos="1418"/>
        </w:tabs>
        <w:spacing w:line="360" w:lineRule="auto"/>
        <w:ind w:firstLine="240" w:firstLineChars="100"/>
        <w:rPr>
          <w:rFonts w:ascii="宋体" w:hAnsi="宋体"/>
          <w:b/>
          <w:bCs/>
          <w:color w:val="auto"/>
          <w:sz w:val="24"/>
          <w:highlight w:val="none"/>
        </w:rPr>
      </w:pPr>
      <w:r>
        <w:rPr>
          <w:rFonts w:hint="eastAsia" w:ascii="宋体" w:hAnsi="宋体"/>
          <w:bCs/>
          <w:color w:val="auto"/>
          <w:sz w:val="24"/>
          <w:highlight w:val="none"/>
        </w:rPr>
        <w:t>投 标 人（盖章）：                              年  月  日</w:t>
      </w:r>
    </w:p>
    <w:p>
      <w:pPr>
        <w:snapToGrid w:val="0"/>
        <w:spacing w:line="360" w:lineRule="auto"/>
        <w:rPr>
          <w:rFonts w:hint="eastAsia" w:ascii="宋体" w:hAnsi="宋体"/>
          <w:color w:val="auto"/>
          <w:sz w:val="24"/>
          <w:highlight w:val="none"/>
          <w:lang w:val="en-US" w:eastAsia="zh-CN"/>
        </w:rPr>
      </w:pPr>
    </w:p>
    <w:p>
      <w:pPr>
        <w:snapToGri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.诚信承诺书格式：</w:t>
      </w:r>
    </w:p>
    <w:p>
      <w:pPr>
        <w:pStyle w:val="2"/>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诚信承诺书</w:t>
      </w:r>
    </w:p>
    <w:p>
      <w:pPr>
        <w:spacing w:line="360" w:lineRule="auto"/>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平湖市公共资源交易中心</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我方在参加贵单位的</w:t>
      </w:r>
      <w:r>
        <w:rPr>
          <w:rFonts w:hint="eastAsia" w:ascii="宋体" w:hAnsi="宋体"/>
          <w:color w:val="auto"/>
          <w:sz w:val="24"/>
          <w:highlight w:val="none"/>
          <w:u w:val="single"/>
        </w:rPr>
        <w:t xml:space="preserve">                  </w:t>
      </w:r>
      <w:r>
        <w:rPr>
          <w:rFonts w:hint="eastAsia" w:ascii="宋体" w:hAnsi="宋体"/>
          <w:color w:val="auto"/>
          <w:sz w:val="24"/>
          <w:highlight w:val="none"/>
        </w:rPr>
        <w:t>政府采购项目的招投标活动中，郑重承诺如下：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1、我方申报的所有资料都是真实、准确、完整的；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2、我方无资质挂靠情形，保证不参与串标、围标及抬标；</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3、我方未处于被各级行政主管部门做出停止市场行为处罚的期限内；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4、我方参加本项目政府采购活动前3年内在经营活动中没有重大违法记录；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5、若我方中标，将严格按照规定及时与</w:t>
      </w:r>
      <w:r>
        <w:rPr>
          <w:rFonts w:hint="eastAsia" w:ascii="宋体" w:hAnsi="宋体"/>
          <w:color w:val="auto"/>
          <w:sz w:val="24"/>
          <w:highlight w:val="none"/>
          <w:lang w:eastAsia="zh-CN"/>
        </w:rPr>
        <w:t>征集人</w:t>
      </w:r>
      <w:r>
        <w:rPr>
          <w:rFonts w:hint="eastAsia" w:ascii="宋体" w:hAnsi="宋体"/>
          <w:color w:val="auto"/>
          <w:sz w:val="24"/>
          <w:highlight w:val="none"/>
        </w:rPr>
        <w:t>签订合同；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6、若我方中标，将严格按照</w:t>
      </w:r>
      <w:r>
        <w:rPr>
          <w:rFonts w:hint="eastAsia" w:ascii="宋体" w:hAnsi="宋体"/>
          <w:color w:val="auto"/>
          <w:sz w:val="24"/>
          <w:highlight w:val="none"/>
          <w:lang w:eastAsia="zh-CN"/>
        </w:rPr>
        <w:t>征集文件</w:t>
      </w:r>
      <w:r>
        <w:rPr>
          <w:rFonts w:hint="eastAsia" w:ascii="宋体" w:hAnsi="宋体"/>
          <w:color w:val="auto"/>
          <w:sz w:val="24"/>
          <w:highlight w:val="none"/>
        </w:rPr>
        <w:t>要求及</w:t>
      </w:r>
      <w:r>
        <w:rPr>
          <w:rFonts w:hint="eastAsia" w:ascii="宋体" w:hAnsi="宋体"/>
          <w:color w:val="auto"/>
          <w:sz w:val="24"/>
          <w:highlight w:val="none"/>
          <w:lang w:eastAsia="zh-CN"/>
        </w:rPr>
        <w:t>响应文件</w:t>
      </w:r>
      <w:r>
        <w:rPr>
          <w:rFonts w:hint="eastAsia" w:ascii="宋体" w:hAnsi="宋体"/>
          <w:color w:val="auto"/>
          <w:sz w:val="24"/>
          <w:highlight w:val="none"/>
        </w:rPr>
        <w:t>承诺的报价、质量、工期、供应商案、项目负责人等内容组织实施；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我方若违反上述承诺，隐瞒、提供虚假资料或不按</w:t>
      </w:r>
      <w:r>
        <w:rPr>
          <w:rFonts w:hint="eastAsia" w:ascii="宋体" w:hAnsi="宋体"/>
          <w:color w:val="auto"/>
          <w:sz w:val="24"/>
          <w:highlight w:val="none"/>
          <w:lang w:eastAsia="zh-CN"/>
        </w:rPr>
        <w:t>征集文件</w:t>
      </w:r>
      <w:r>
        <w:rPr>
          <w:rFonts w:hint="eastAsia" w:ascii="宋体" w:hAnsi="宋体"/>
          <w:color w:val="auto"/>
          <w:sz w:val="24"/>
          <w:highlight w:val="none"/>
        </w:rPr>
        <w:t>要求组织实施或参与串标、抬标及围标等行为，被贵方发现或被他人举报查实，无条件接受</w:t>
      </w:r>
      <w:r>
        <w:rPr>
          <w:rFonts w:hint="eastAsia" w:ascii="宋体" w:hAnsi="宋体"/>
          <w:color w:val="auto"/>
          <w:sz w:val="24"/>
          <w:highlight w:val="none"/>
          <w:lang w:eastAsia="zh-CN"/>
        </w:rPr>
        <w:t>征集人</w:t>
      </w:r>
      <w:r>
        <w:rPr>
          <w:rFonts w:hint="eastAsia" w:ascii="宋体" w:hAnsi="宋体"/>
          <w:color w:val="auto"/>
          <w:sz w:val="24"/>
          <w:highlight w:val="none"/>
        </w:rPr>
        <w:t>、行政监管部门作出的取消投标资格、中标资格、解除合同、拒绝后续政府采购投标、不良行为记录等的处罚。对造成的损失，任何法律和经济责任完全由我方负责。</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tabs>
          <w:tab w:val="left" w:pos="1418"/>
        </w:tabs>
        <w:spacing w:line="360" w:lineRule="auto"/>
        <w:rPr>
          <w:rFonts w:hint="eastAsia" w:ascii="宋体" w:hAnsi="宋体"/>
          <w:bCs/>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法定代表人或委托代理人签名：</w:t>
      </w:r>
      <w:r>
        <w:rPr>
          <w:rFonts w:hint="eastAsia" w:ascii="宋体" w:hAnsi="宋体"/>
          <w:bCs/>
          <w:color w:val="auto"/>
          <w:sz w:val="24"/>
          <w:highlight w:val="none"/>
        </w:rPr>
        <w:t xml:space="preserve"> </w:t>
      </w:r>
    </w:p>
    <w:p>
      <w:pPr>
        <w:tabs>
          <w:tab w:val="left" w:pos="1418"/>
        </w:tabs>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投 标 人（盖章）：                              年  月  日</w:t>
      </w: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pStyle w:val="15"/>
        <w:rPr>
          <w:rFonts w:hint="eastAsia" w:ascii="宋体" w:hAnsi="宋体"/>
          <w:bCs/>
          <w:color w:val="auto"/>
          <w:sz w:val="24"/>
          <w:highlight w:val="none"/>
        </w:rPr>
      </w:pPr>
    </w:p>
    <w:p>
      <w:pPr>
        <w:pStyle w:val="15"/>
        <w:rPr>
          <w:rFonts w:hint="eastAsia" w:ascii="宋体" w:hAnsi="宋体"/>
          <w:bCs/>
          <w:color w:val="auto"/>
          <w:sz w:val="24"/>
          <w:highlight w:val="none"/>
        </w:rPr>
      </w:pPr>
    </w:p>
    <w:p>
      <w:pPr>
        <w:pStyle w:val="15"/>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tabs>
          <w:tab w:val="left" w:pos="1418"/>
        </w:tabs>
        <w:spacing w:line="360" w:lineRule="auto"/>
        <w:rPr>
          <w:rFonts w:hint="eastAsia" w:ascii="宋体" w:hAnsi="宋体"/>
          <w:bCs/>
          <w:color w:val="auto"/>
          <w:sz w:val="24"/>
          <w:highlight w:val="none"/>
        </w:rPr>
      </w:pPr>
    </w:p>
    <w:p>
      <w:pPr>
        <w:snapToGrid w:val="0"/>
        <w:spacing w:before="50" w:line="360" w:lineRule="auto"/>
        <w:jc w:val="left"/>
        <w:rPr>
          <w:rFonts w:ascii="宋体" w:hAnsi="宋体"/>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w:t>
      </w:r>
      <w:r>
        <w:rPr>
          <w:rFonts w:ascii="宋体" w:hAnsi="宋体"/>
          <w:color w:val="auto"/>
          <w:sz w:val="24"/>
          <w:highlight w:val="none"/>
        </w:rPr>
        <w:t>商务响应表格式：</w:t>
      </w:r>
    </w:p>
    <w:p>
      <w:pPr>
        <w:pStyle w:val="17"/>
        <w:spacing w:before="120" w:after="120" w:line="360" w:lineRule="auto"/>
        <w:jc w:val="center"/>
        <w:rPr>
          <w:rFonts w:hint="eastAsia" w:hAnsi="宋体"/>
          <w:b/>
          <w:color w:val="auto"/>
          <w:highlight w:val="none"/>
        </w:rPr>
      </w:pPr>
      <w:r>
        <w:rPr>
          <w:rFonts w:hint="eastAsia" w:hAnsi="宋体"/>
          <w:b/>
          <w:color w:val="auto"/>
          <w:highlight w:val="none"/>
        </w:rPr>
        <w:t>商务响应表</w:t>
      </w:r>
    </w:p>
    <w:p>
      <w:pPr>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单位名称（盖章）：</w:t>
      </w:r>
    </w:p>
    <w:tbl>
      <w:tblPr>
        <w:tblStyle w:val="28"/>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086"/>
        <w:gridCol w:w="308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val="0"/>
            <w:vAlign w:val="top"/>
          </w:tcPr>
          <w:p>
            <w:pPr>
              <w:spacing w:before="240" w:after="240"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3086" w:type="dxa"/>
            <w:noWrap w:val="0"/>
            <w:vAlign w:val="top"/>
          </w:tcPr>
          <w:p>
            <w:pPr>
              <w:spacing w:before="240" w:after="240" w:line="360" w:lineRule="auto"/>
              <w:jc w:val="center"/>
              <w:rPr>
                <w:rFonts w:hint="eastAsia" w:ascii="宋体" w:hAnsi="宋体"/>
                <w:color w:val="auto"/>
                <w:sz w:val="24"/>
                <w:highlight w:val="none"/>
              </w:rPr>
            </w:pPr>
            <w:r>
              <w:rPr>
                <w:rFonts w:hint="eastAsia" w:ascii="宋体" w:hAnsi="宋体"/>
                <w:color w:val="auto"/>
                <w:sz w:val="24"/>
                <w:highlight w:val="none"/>
                <w:lang w:eastAsia="zh-CN"/>
              </w:rPr>
              <w:t>征集文件</w:t>
            </w:r>
            <w:r>
              <w:rPr>
                <w:rFonts w:hint="eastAsia" w:ascii="宋体" w:hAnsi="宋体"/>
                <w:color w:val="auto"/>
                <w:sz w:val="24"/>
                <w:highlight w:val="none"/>
              </w:rPr>
              <w:t>的规定</w:t>
            </w:r>
          </w:p>
        </w:tc>
        <w:tc>
          <w:tcPr>
            <w:tcW w:w="3086" w:type="dxa"/>
            <w:noWrap w:val="0"/>
            <w:vAlign w:val="top"/>
          </w:tcPr>
          <w:p>
            <w:pPr>
              <w:spacing w:before="240" w:after="240" w:line="360" w:lineRule="auto"/>
              <w:jc w:val="center"/>
              <w:rPr>
                <w:rFonts w:hint="eastAsia" w:ascii="宋体" w:hAnsi="宋体"/>
                <w:color w:val="auto"/>
                <w:sz w:val="24"/>
                <w:highlight w:val="none"/>
              </w:rPr>
            </w:pPr>
            <w:r>
              <w:rPr>
                <w:rFonts w:hint="eastAsia" w:ascii="宋体" w:hAnsi="宋体"/>
                <w:color w:val="auto"/>
                <w:sz w:val="24"/>
                <w:highlight w:val="none"/>
                <w:lang w:eastAsia="zh-CN"/>
              </w:rPr>
              <w:t>响应文件</w:t>
            </w:r>
            <w:r>
              <w:rPr>
                <w:rFonts w:hint="eastAsia" w:ascii="宋体" w:hAnsi="宋体"/>
                <w:color w:val="auto"/>
                <w:sz w:val="24"/>
                <w:highlight w:val="none"/>
              </w:rPr>
              <w:t>的响应</w:t>
            </w:r>
          </w:p>
        </w:tc>
        <w:tc>
          <w:tcPr>
            <w:tcW w:w="1411" w:type="dxa"/>
            <w:noWrap w:val="0"/>
            <w:vAlign w:val="top"/>
          </w:tcPr>
          <w:p>
            <w:pPr>
              <w:spacing w:before="240" w:after="240" w:line="360" w:lineRule="auto"/>
              <w:jc w:val="center"/>
              <w:rPr>
                <w:rFonts w:hint="eastAsia" w:ascii="宋体" w:hAnsi="宋体"/>
                <w:color w:val="auto"/>
                <w:sz w:val="24"/>
                <w:highlight w:val="none"/>
              </w:rPr>
            </w:pPr>
            <w:r>
              <w:rPr>
                <w:rFonts w:hint="eastAsia" w:ascii="宋体"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val="0"/>
            <w:vAlign w:val="top"/>
          </w:tcPr>
          <w:p>
            <w:pPr>
              <w:spacing w:before="240" w:after="240" w:line="360" w:lineRule="auto"/>
              <w:rPr>
                <w:rFonts w:hint="eastAsia" w:ascii="宋体" w:hAnsi="宋体"/>
                <w:color w:val="auto"/>
                <w:sz w:val="24"/>
                <w:highlight w:val="none"/>
              </w:rPr>
            </w:pPr>
          </w:p>
        </w:tc>
        <w:tc>
          <w:tcPr>
            <w:tcW w:w="3086" w:type="dxa"/>
            <w:noWrap w:val="0"/>
            <w:vAlign w:val="top"/>
          </w:tcPr>
          <w:p>
            <w:pPr>
              <w:spacing w:before="240" w:after="240" w:line="360" w:lineRule="auto"/>
              <w:rPr>
                <w:rFonts w:hint="eastAsia" w:ascii="宋体" w:hAnsi="宋体"/>
                <w:color w:val="auto"/>
                <w:sz w:val="24"/>
                <w:highlight w:val="none"/>
              </w:rPr>
            </w:pPr>
          </w:p>
        </w:tc>
        <w:tc>
          <w:tcPr>
            <w:tcW w:w="3086" w:type="dxa"/>
            <w:noWrap w:val="0"/>
            <w:vAlign w:val="top"/>
          </w:tcPr>
          <w:p>
            <w:pPr>
              <w:spacing w:before="240" w:after="240" w:line="360" w:lineRule="auto"/>
              <w:rPr>
                <w:rFonts w:hint="eastAsia" w:ascii="宋体" w:hAnsi="宋体"/>
                <w:color w:val="auto"/>
                <w:sz w:val="24"/>
                <w:highlight w:val="none"/>
              </w:rPr>
            </w:pPr>
          </w:p>
        </w:tc>
        <w:tc>
          <w:tcPr>
            <w:tcW w:w="1411" w:type="dxa"/>
            <w:noWrap w:val="0"/>
            <w:vAlign w:val="top"/>
          </w:tcPr>
          <w:p>
            <w:pPr>
              <w:spacing w:before="240" w:after="240"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noWrap w:val="0"/>
            <w:vAlign w:val="top"/>
          </w:tcPr>
          <w:p>
            <w:pPr>
              <w:spacing w:before="240" w:after="240" w:line="360" w:lineRule="auto"/>
              <w:rPr>
                <w:rFonts w:hint="eastAsia" w:ascii="宋体" w:hAnsi="宋体"/>
                <w:color w:val="auto"/>
                <w:sz w:val="24"/>
                <w:highlight w:val="none"/>
              </w:rPr>
            </w:pPr>
          </w:p>
        </w:tc>
        <w:tc>
          <w:tcPr>
            <w:tcW w:w="3086" w:type="dxa"/>
            <w:noWrap w:val="0"/>
            <w:vAlign w:val="top"/>
          </w:tcPr>
          <w:p>
            <w:pPr>
              <w:spacing w:before="240" w:after="240" w:line="360" w:lineRule="auto"/>
              <w:rPr>
                <w:rFonts w:hint="eastAsia" w:ascii="宋体" w:hAnsi="宋体"/>
                <w:color w:val="auto"/>
                <w:sz w:val="24"/>
                <w:highlight w:val="none"/>
              </w:rPr>
            </w:pPr>
          </w:p>
        </w:tc>
        <w:tc>
          <w:tcPr>
            <w:tcW w:w="3086" w:type="dxa"/>
            <w:noWrap w:val="0"/>
            <w:vAlign w:val="top"/>
          </w:tcPr>
          <w:p>
            <w:pPr>
              <w:spacing w:before="240" w:after="240" w:line="360" w:lineRule="auto"/>
              <w:rPr>
                <w:rFonts w:hint="eastAsia" w:ascii="宋体" w:hAnsi="宋体"/>
                <w:color w:val="auto"/>
                <w:sz w:val="24"/>
                <w:highlight w:val="none"/>
              </w:rPr>
            </w:pPr>
          </w:p>
        </w:tc>
        <w:tc>
          <w:tcPr>
            <w:tcW w:w="1411" w:type="dxa"/>
            <w:noWrap w:val="0"/>
            <w:vAlign w:val="top"/>
          </w:tcPr>
          <w:p>
            <w:pPr>
              <w:spacing w:before="240" w:after="240" w:line="360" w:lineRule="auto"/>
              <w:rPr>
                <w:rFonts w:hint="eastAsia" w:ascii="宋体" w:hAnsi="宋体"/>
                <w:color w:val="auto"/>
                <w:sz w:val="24"/>
                <w:highlight w:val="none"/>
              </w:rPr>
            </w:pPr>
          </w:p>
        </w:tc>
      </w:tr>
    </w:tbl>
    <w:p>
      <w:pPr>
        <w:spacing w:line="360" w:lineRule="auto"/>
        <w:rPr>
          <w:rFonts w:hint="eastAsia" w:ascii="宋体" w:hAnsi="宋体"/>
          <w:color w:val="auto"/>
          <w:sz w:val="24"/>
          <w:highlight w:val="none"/>
        </w:rPr>
      </w:pPr>
      <w:r>
        <w:rPr>
          <w:rFonts w:hint="eastAsia" w:ascii="宋体" w:hAnsi="宋体"/>
          <w:color w:val="auto"/>
          <w:sz w:val="24"/>
          <w:highlight w:val="none"/>
        </w:rPr>
        <w:t>注：</w:t>
      </w:r>
      <w:r>
        <w:rPr>
          <w:rFonts w:hint="eastAsia" w:ascii="宋体" w:hAnsi="宋体"/>
          <w:color w:val="auto"/>
          <w:sz w:val="24"/>
          <w:highlight w:val="none"/>
          <w:lang w:eastAsia="zh-CN"/>
        </w:rPr>
        <w:t>供应商</w:t>
      </w:r>
      <w:r>
        <w:rPr>
          <w:rFonts w:hint="eastAsia" w:ascii="宋体" w:hAnsi="宋体"/>
          <w:color w:val="auto"/>
          <w:sz w:val="24"/>
          <w:highlight w:val="none"/>
        </w:rPr>
        <w:t>的</w:t>
      </w:r>
      <w:r>
        <w:rPr>
          <w:rFonts w:hint="eastAsia" w:ascii="宋体" w:hAnsi="宋体"/>
          <w:color w:val="auto"/>
          <w:sz w:val="24"/>
          <w:highlight w:val="none"/>
          <w:lang w:eastAsia="zh-CN"/>
        </w:rPr>
        <w:t>响应文件</w:t>
      </w:r>
      <w:r>
        <w:rPr>
          <w:rFonts w:hint="eastAsia" w:ascii="宋体" w:hAnsi="宋体"/>
          <w:color w:val="auto"/>
          <w:sz w:val="24"/>
          <w:highlight w:val="none"/>
        </w:rPr>
        <w:t>（除技术规格部分）与</w:t>
      </w:r>
      <w:r>
        <w:rPr>
          <w:rFonts w:hint="eastAsia" w:ascii="宋体" w:hAnsi="宋体"/>
          <w:color w:val="auto"/>
          <w:sz w:val="24"/>
          <w:highlight w:val="none"/>
          <w:lang w:eastAsia="zh-CN"/>
        </w:rPr>
        <w:t>征集文件</w:t>
      </w:r>
      <w:r>
        <w:rPr>
          <w:rFonts w:hint="eastAsia" w:ascii="宋体" w:hAnsi="宋体"/>
          <w:color w:val="auto"/>
          <w:sz w:val="24"/>
          <w:highlight w:val="none"/>
        </w:rPr>
        <w:t>之规定存在偏离的，应在此表中如实说明。未在上表中说明的，将被认为完全响应</w:t>
      </w:r>
      <w:r>
        <w:rPr>
          <w:rFonts w:hint="eastAsia" w:ascii="宋体" w:hAnsi="宋体"/>
          <w:color w:val="auto"/>
          <w:sz w:val="24"/>
          <w:highlight w:val="none"/>
          <w:lang w:eastAsia="zh-CN"/>
        </w:rPr>
        <w:t>征集文件</w:t>
      </w:r>
      <w:r>
        <w:rPr>
          <w:rFonts w:hint="eastAsia" w:ascii="宋体" w:hAnsi="宋体"/>
          <w:color w:val="auto"/>
          <w:sz w:val="24"/>
          <w:highlight w:val="none"/>
        </w:rPr>
        <w:t>的规定。</w:t>
      </w:r>
    </w:p>
    <w:p>
      <w:pPr>
        <w:spacing w:line="360" w:lineRule="auto"/>
        <w:rPr>
          <w:rFonts w:hint="eastAsia" w:ascii="宋体" w:hAnsi="宋体"/>
          <w:color w:val="auto"/>
          <w:sz w:val="24"/>
          <w:highlight w:val="none"/>
        </w:rPr>
      </w:pPr>
    </w:p>
    <w:p>
      <w:pPr>
        <w:tabs>
          <w:tab w:val="left" w:pos="1418"/>
        </w:tabs>
        <w:spacing w:line="360" w:lineRule="auto"/>
        <w:rPr>
          <w:rFonts w:hint="eastAsia" w:ascii="宋体" w:hAnsi="宋体"/>
          <w:bCs/>
          <w:color w:val="auto"/>
          <w:sz w:val="24"/>
          <w:highlight w:val="none"/>
        </w:rPr>
      </w:pPr>
      <w:r>
        <w:rPr>
          <w:rFonts w:ascii="宋体" w:hAnsi="宋体"/>
          <w:color w:val="auto"/>
          <w:sz w:val="24"/>
          <w:highlight w:val="none"/>
        </w:rPr>
        <w:t>法定代表人或委托代理人签名：</w:t>
      </w:r>
      <w:r>
        <w:rPr>
          <w:rFonts w:hint="eastAsia" w:ascii="宋体" w:hAnsi="宋体"/>
          <w:bCs/>
          <w:color w:val="auto"/>
          <w:sz w:val="24"/>
          <w:highlight w:val="none"/>
        </w:rPr>
        <w:t xml:space="preserve"> </w:t>
      </w:r>
    </w:p>
    <w:p>
      <w:pPr>
        <w:tabs>
          <w:tab w:val="left" w:pos="1418"/>
        </w:tabs>
        <w:spacing w:line="360" w:lineRule="auto"/>
        <w:rPr>
          <w:rFonts w:hint="eastAsia" w:ascii="宋体" w:hAnsi="宋体"/>
          <w:bCs/>
          <w:color w:val="auto"/>
          <w:sz w:val="24"/>
          <w:highlight w:val="none"/>
        </w:rPr>
      </w:pPr>
      <w:r>
        <w:rPr>
          <w:rFonts w:hint="eastAsia" w:ascii="宋体" w:hAnsi="宋体"/>
          <w:bCs/>
          <w:color w:val="auto"/>
          <w:sz w:val="24"/>
          <w:highlight w:val="none"/>
        </w:rPr>
        <w:t>投 标 人（盖章）：                              年  月  日</w:t>
      </w:r>
    </w:p>
    <w:p>
      <w:pPr>
        <w:snapToGrid w:val="0"/>
        <w:spacing w:before="50" w:afterLines="50"/>
        <w:jc w:val="left"/>
        <w:rPr>
          <w:rFonts w:asciiTheme="majorEastAsia" w:hAnsiTheme="majorEastAsia" w:eastAsiaTheme="majorEastAsia" w:cstheme="majorEastAsia"/>
          <w:color w:val="auto"/>
          <w:szCs w:val="20"/>
          <w:highlight w:val="none"/>
        </w:rPr>
      </w:pPr>
      <w:bookmarkStart w:id="89" w:name="_Hlk60757472"/>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pStyle w:val="15"/>
        <w:rPr>
          <w:rFonts w:asciiTheme="majorEastAsia" w:hAnsiTheme="majorEastAsia" w:eastAsiaTheme="majorEastAsia" w:cstheme="majorEastAsia"/>
          <w:color w:val="auto"/>
          <w:szCs w:val="20"/>
          <w:highlight w:val="none"/>
        </w:rPr>
      </w:pPr>
    </w:p>
    <w:p>
      <w:pPr>
        <w:keepNext w:val="0"/>
        <w:keepLines w:val="0"/>
        <w:pageBreakBefore w:val="0"/>
        <w:kinsoku/>
        <w:wordWrap/>
        <w:overflowPunct/>
        <w:topLinePunct w:val="0"/>
        <w:autoSpaceDE/>
        <w:autoSpaceDN/>
        <w:bidi w:val="0"/>
        <w:snapToGrid w:val="0"/>
        <w:spacing w:before="50" w:line="360" w:lineRule="auto"/>
        <w:jc w:val="left"/>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拟派团队负责人简历表格式：</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snapToGrid w:val="0"/>
          <w:color w:val="auto"/>
          <w:sz w:val="24"/>
          <w:szCs w:val="24"/>
          <w:highlight w:val="none"/>
        </w:rPr>
        <w:t>拟派团队负责人简历表</w:t>
      </w:r>
    </w:p>
    <w:tbl>
      <w:tblPr>
        <w:tblStyle w:val="28"/>
        <w:tblpPr w:leftFromText="180" w:rightFromText="180" w:vertAnchor="text" w:horzAnchor="margin" w:tblpXSpec="center" w:tblpY="211"/>
        <w:tblW w:w="865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1493"/>
        <w:gridCol w:w="1890"/>
        <w:gridCol w:w="184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2373" w:type="dxa"/>
            <w:gridSpan w:val="2"/>
            <w:tcBorders>
              <w:top w:val="single" w:color="000000" w:sz="8" w:space="0"/>
              <w:left w:val="single" w:color="000000" w:sz="8"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姓  名</w:t>
            </w:r>
          </w:p>
        </w:tc>
        <w:tc>
          <w:tcPr>
            <w:tcW w:w="1890"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c>
          <w:tcPr>
            <w:tcW w:w="1843"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性  别</w:t>
            </w:r>
          </w:p>
        </w:tc>
        <w:tc>
          <w:tcPr>
            <w:tcW w:w="2551" w:type="dxa"/>
            <w:tcBorders>
              <w:top w:val="single" w:color="000000" w:sz="8" w:space="0"/>
              <w:left w:val="single" w:color="auto" w:sz="4"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373" w:type="dxa"/>
            <w:gridSpan w:val="2"/>
            <w:tcBorders>
              <w:top w:val="single" w:color="000000" w:sz="8" w:space="0"/>
              <w:left w:val="single" w:color="000000" w:sz="8"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890"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c>
          <w:tcPr>
            <w:tcW w:w="1843"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51" w:type="dxa"/>
            <w:tcBorders>
              <w:top w:val="single" w:color="000000" w:sz="8" w:space="0"/>
              <w:left w:val="single" w:color="auto" w:sz="4"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2373" w:type="dxa"/>
            <w:gridSpan w:val="2"/>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注册造价师执业资格</w:t>
            </w:r>
          </w:p>
        </w:tc>
        <w:tc>
          <w:tcPr>
            <w:tcW w:w="189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专业类别</w:t>
            </w:r>
          </w:p>
        </w:tc>
        <w:tc>
          <w:tcPr>
            <w:tcW w:w="2551"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2373" w:type="dxa"/>
            <w:gridSpan w:val="2"/>
            <w:tcBorders>
              <w:top w:val="single" w:color="auto" w:sz="4" w:space="0"/>
              <w:left w:val="single" w:color="000000" w:sz="8"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工程类职称</w:t>
            </w:r>
          </w:p>
        </w:tc>
        <w:tc>
          <w:tcPr>
            <w:tcW w:w="189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ind w:firstLine="419"/>
              <w:jc w:val="center"/>
              <w:rPr>
                <w:rFonts w:hint="eastAsia" w:ascii="宋体" w:hAnsi="宋体" w:eastAsia="宋体" w:cs="宋体"/>
                <w:color w:val="auto"/>
                <w:sz w:val="24"/>
                <w:szCs w:val="24"/>
                <w:highlight w:val="none"/>
                <w:u w:color="000000"/>
              </w:rPr>
            </w:pPr>
          </w:p>
        </w:tc>
        <w:tc>
          <w:tcPr>
            <w:tcW w:w="184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ind w:firstLine="475" w:firstLineChars="198"/>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手机号</w:t>
            </w:r>
          </w:p>
        </w:tc>
        <w:tc>
          <w:tcPr>
            <w:tcW w:w="2551"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8" w:hRule="atLeast"/>
        </w:trPr>
        <w:tc>
          <w:tcPr>
            <w:tcW w:w="880" w:type="dxa"/>
            <w:tcBorders>
              <w:top w:val="single" w:color="auto" w:sz="4" w:space="0"/>
              <w:left w:val="single" w:color="000000" w:sz="8"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简</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rPr>
              <w:t>历</w:t>
            </w:r>
          </w:p>
        </w:tc>
        <w:tc>
          <w:tcPr>
            <w:tcW w:w="7777" w:type="dxa"/>
            <w:gridSpan w:val="4"/>
            <w:tcBorders>
              <w:top w:val="single" w:color="auto" w:sz="4" w:space="0"/>
              <w:left w:val="single" w:color="auto" w:sz="4"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highlight w:val="none"/>
                <w:u w:color="000000"/>
              </w:rPr>
            </w:pPr>
          </w:p>
        </w:tc>
      </w:tr>
    </w:tbl>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bookmarkEnd w:id="89"/>
    <w:p>
      <w:pPr>
        <w:keepNext w:val="0"/>
        <w:keepLines w:val="0"/>
        <w:pageBreakBefore w:val="0"/>
        <w:kinsoku/>
        <w:wordWrap/>
        <w:overflowPunct/>
        <w:topLinePunct w:val="0"/>
        <w:autoSpaceDE/>
        <w:autoSpaceDN/>
        <w:bidi w:val="0"/>
        <w:snapToGrid w:val="0"/>
        <w:spacing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拟派团队负责人必须具有十年及以上的造价从业经历（</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rPr>
        <w:t>造价注册的初始注册之日起算），在供应商处具有造价工作经历，并具备注册一级造价工程师证书（造价工程师需注册在供应商处）。</w:t>
      </w:r>
    </w:p>
    <w:p>
      <w:pPr>
        <w:keepNext w:val="0"/>
        <w:keepLines w:val="0"/>
        <w:pageBreakBefore w:val="0"/>
        <w:kinsoku/>
        <w:wordWrap/>
        <w:overflowPunct/>
        <w:topLinePunct w:val="0"/>
        <w:autoSpaceDE/>
        <w:autoSpaceDN/>
        <w:bidi w:val="0"/>
        <w:snapToGrid w:val="0"/>
        <w:spacing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2.表格后面附清晰可辨的证书、身份证彩色扫描件（正反面）。</w:t>
      </w:r>
    </w:p>
    <w:p>
      <w:pPr>
        <w:keepNext w:val="0"/>
        <w:keepLines w:val="0"/>
        <w:pageBreakBefore w:val="0"/>
        <w:kinsoku/>
        <w:wordWrap/>
        <w:overflowPunct/>
        <w:topLinePunct w:val="0"/>
        <w:autoSpaceDE/>
        <w:autoSpaceDN/>
        <w:bidi w:val="0"/>
        <w:snapToGrid w:val="0"/>
        <w:spacing w:beforeLines="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格后面附团队负责人响应截止时间前3个月的社会保险参保证明，出具时参保单位须与响应供应商一致，如参保单位为响应供应商总公司［或分公司］或响应供应商母公司［或子公司］，均予以认可；无社保的退休人员须提供与响应供应商签订的劳动合同）。</w:t>
      </w:r>
    </w:p>
    <w:p>
      <w:pPr>
        <w:keepNext w:val="0"/>
        <w:keepLines w:val="0"/>
        <w:pageBreakBefore w:val="0"/>
        <w:kinsoku/>
        <w:wordWrap/>
        <w:overflowPunct/>
        <w:topLinePunct w:val="0"/>
        <w:autoSpaceDE/>
        <w:autoSpaceDN/>
        <w:bidi w:val="0"/>
        <w:snapToGrid w:val="0"/>
        <w:spacing w:beforeLines="5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4.造价工程师已注册未领证或因换证、年审、变更等原因无法提供证书原件扫描件的，须提供相关主管部门证明原件扫描件及造价工程师注册管理系统的打印件。</w:t>
      </w:r>
      <w:r>
        <w:rPr>
          <w:rFonts w:hint="eastAsia" w:ascii="宋体" w:hAnsi="宋体" w:eastAsia="宋体" w:cs="宋体"/>
          <w:color w:val="auto"/>
          <w:kern w:val="0"/>
          <w:sz w:val="21"/>
          <w:szCs w:val="21"/>
          <w:highlight w:val="none"/>
        </w:rPr>
        <w:t xml:space="preserve"> </w:t>
      </w: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color w:val="auto"/>
          <w:sz w:val="24"/>
          <w:szCs w:val="24"/>
          <w:highlight w:val="none"/>
        </w:rPr>
      </w:pP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法定代表人或委托代理人签名：</w:t>
      </w:r>
      <w:r>
        <w:rPr>
          <w:rFonts w:hint="eastAsia" w:ascii="宋体" w:hAnsi="宋体" w:eastAsia="宋体" w:cs="宋体"/>
          <w:bCs/>
          <w:color w:val="auto"/>
          <w:sz w:val="24"/>
          <w:szCs w:val="24"/>
          <w:highlight w:val="none"/>
        </w:rPr>
        <w:t xml:space="preserve"> </w:t>
      </w: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 标 人（盖章）：                              年  月  日</w:t>
      </w:r>
    </w:p>
    <w:p>
      <w:pPr>
        <w:keepNext w:val="0"/>
        <w:keepLines w:val="0"/>
        <w:pageBreakBefore w:val="0"/>
        <w:kinsoku/>
        <w:wordWrap/>
        <w:overflowPunct/>
        <w:topLinePunct w:val="0"/>
        <w:autoSpaceDE/>
        <w:autoSpaceDN/>
        <w:bidi w:val="0"/>
        <w:snapToGrid w:val="0"/>
        <w:spacing w:before="50" w:line="360" w:lineRule="auto"/>
        <w:jc w:val="left"/>
        <w:rPr>
          <w:rFonts w:hint="eastAsia" w:ascii="宋体" w:hAnsi="宋体" w:eastAsia="宋体" w:cs="宋体"/>
          <w:bCs/>
          <w:color w:val="auto"/>
          <w:sz w:val="24"/>
          <w:szCs w:val="24"/>
          <w:highlight w:val="none"/>
          <w:lang w:val="en-US" w:eastAsia="zh-CN"/>
        </w:rPr>
      </w:pPr>
    </w:p>
    <w:p>
      <w:pPr>
        <w:pStyle w:val="15"/>
        <w:rPr>
          <w:rFonts w:hint="eastAsia"/>
          <w:highlight w:val="none"/>
          <w:lang w:val="en-US" w:eastAsia="zh-CN"/>
        </w:rPr>
      </w:pPr>
    </w:p>
    <w:p>
      <w:pPr>
        <w:keepNext w:val="0"/>
        <w:keepLines w:val="0"/>
        <w:pageBreakBefore w:val="0"/>
        <w:kinsoku/>
        <w:wordWrap/>
        <w:overflowPunct/>
        <w:topLinePunct w:val="0"/>
        <w:autoSpaceDE/>
        <w:autoSpaceDN/>
        <w:bidi w:val="0"/>
        <w:snapToGrid w:val="0"/>
        <w:spacing w:before="50" w:line="360" w:lineRule="auto"/>
        <w:jc w:val="left"/>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autoSpaceDE/>
        <w:autoSpaceDN/>
        <w:bidi w:val="0"/>
        <w:snapToGrid w:val="0"/>
        <w:spacing w:before="50" w:line="360" w:lineRule="auto"/>
        <w:jc w:val="left"/>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拟派项目团队组成员基本情况表格式：</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拟派项目团队组成员基本情况表</w:t>
      </w:r>
    </w:p>
    <w:tbl>
      <w:tblPr>
        <w:tblStyle w:val="28"/>
        <w:tblW w:w="4969" w:type="pct"/>
        <w:tblInd w:w="0" w:type="dxa"/>
        <w:tblLayout w:type="autofit"/>
        <w:tblCellMar>
          <w:top w:w="0" w:type="dxa"/>
          <w:left w:w="108" w:type="dxa"/>
          <w:bottom w:w="0" w:type="dxa"/>
          <w:right w:w="108" w:type="dxa"/>
        </w:tblCellMar>
      </w:tblPr>
      <w:tblGrid>
        <w:gridCol w:w="471"/>
        <w:gridCol w:w="1149"/>
        <w:gridCol w:w="824"/>
        <w:gridCol w:w="904"/>
        <w:gridCol w:w="779"/>
        <w:gridCol w:w="1225"/>
        <w:gridCol w:w="1197"/>
        <w:gridCol w:w="1264"/>
        <w:gridCol w:w="902"/>
        <w:gridCol w:w="1179"/>
      </w:tblGrid>
      <w:tr>
        <w:tblPrEx>
          <w:tblCellMar>
            <w:top w:w="0" w:type="dxa"/>
            <w:left w:w="108" w:type="dxa"/>
            <w:bottom w:w="0" w:type="dxa"/>
            <w:right w:w="108" w:type="dxa"/>
          </w:tblCellMar>
        </w:tblPrEx>
        <w:trPr>
          <w:trHeight w:val="465" w:hRule="atLeast"/>
        </w:trPr>
        <w:tc>
          <w:tcPr>
            <w:tcW w:w="2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5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41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4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出生年月</w:t>
            </w:r>
          </w:p>
        </w:tc>
        <w:tc>
          <w:tcPr>
            <w:tcW w:w="39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w:t>
            </w:r>
          </w:p>
        </w:tc>
        <w:tc>
          <w:tcPr>
            <w:tcW w:w="61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60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执业资格</w:t>
            </w:r>
          </w:p>
        </w:tc>
        <w:tc>
          <w:tcPr>
            <w:tcW w:w="63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从事专业</w:t>
            </w:r>
          </w:p>
        </w:tc>
        <w:tc>
          <w:tcPr>
            <w:tcW w:w="4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从业年限</w:t>
            </w:r>
          </w:p>
        </w:tc>
        <w:tc>
          <w:tcPr>
            <w:tcW w:w="59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备注、联系电话</w:t>
            </w: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531" w:hRule="atLeast"/>
        </w:trPr>
        <w:tc>
          <w:tcPr>
            <w:tcW w:w="238" w:type="pct"/>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58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1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3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1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63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45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c>
          <w:tcPr>
            <w:tcW w:w="595"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bl>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1.拟派团队组成员具备相关专业的注册二级造价工程师及以上证书，在供应商处具有造价工作经历（造价工程师需注册在供应商处）。</w:t>
      </w:r>
    </w:p>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2.表格后面附清晰可辨的证书、身份证彩色扫描件（正反面）。</w:t>
      </w:r>
    </w:p>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表格后面附项目团队组成员响应截止时间前3个月的社会保险参保证明，出具时参保单位须与响应供应商一致，如参保单位为响应供应商总公司［或分公司］或响应供应商母公司［或子公司］，均予以认可；无社保的退休人员须提供与响应供应商签订的劳动合同）</w:t>
      </w:r>
    </w:p>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4.造价工程师已注册未领证或因换证、年审、变更等原因无法提供证书原件扫描件的，须提供相关主管部门证明原件扫描件及造价工程师注册管理系统的打印件。</w:t>
      </w:r>
    </w:p>
    <w:p>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rPr>
      </w:pP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法定代表人或委托代理人签名：</w:t>
      </w:r>
      <w:r>
        <w:rPr>
          <w:rFonts w:hint="eastAsia" w:ascii="宋体" w:hAnsi="宋体" w:eastAsia="宋体" w:cs="宋体"/>
          <w:bCs/>
          <w:color w:val="auto"/>
          <w:sz w:val="24"/>
          <w:szCs w:val="24"/>
          <w:highlight w:val="none"/>
        </w:rPr>
        <w:t xml:space="preserve"> </w:t>
      </w: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 标 人（盖章）：                              年  月  日</w:t>
      </w:r>
    </w:p>
    <w:p>
      <w:pPr>
        <w:pStyle w:val="37"/>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napToGrid w:val="0"/>
          <w:color w:val="auto"/>
          <w:sz w:val="24"/>
          <w:szCs w:val="24"/>
          <w:highlight w:val="none"/>
        </w:rPr>
        <w:sectPr>
          <w:headerReference r:id="rId5" w:type="default"/>
          <w:footerReference r:id="rId6" w:type="default"/>
          <w:pgSz w:w="11906" w:h="16838"/>
          <w:pgMar w:top="1440" w:right="1083" w:bottom="1440" w:left="1083" w:header="851" w:footer="850" w:gutter="0"/>
          <w:pgBorders>
            <w:top w:val="none" w:sz="0" w:space="0"/>
            <w:left w:val="none" w:sz="0" w:space="0"/>
            <w:bottom w:val="none" w:sz="0" w:space="0"/>
            <w:right w:val="none" w:sz="0" w:space="0"/>
          </w:pgBorders>
          <w:pgNumType w:fmt="numberInDash"/>
          <w:cols w:space="0" w:num="1"/>
          <w:rtlGutter w:val="0"/>
          <w:docGrid w:linePitch="312" w:charSpace="0"/>
        </w:sectPr>
      </w:pPr>
    </w:p>
    <w:p>
      <w:pPr>
        <w:keepNext w:val="0"/>
        <w:keepLines w:val="0"/>
        <w:pageBreakBefore w:val="0"/>
        <w:kinsoku/>
        <w:wordWrap/>
        <w:overflowPunct/>
        <w:topLinePunct w:val="0"/>
        <w:autoSpaceDE/>
        <w:autoSpaceDN/>
        <w:bidi w:val="0"/>
        <w:snapToGrid w:val="0"/>
        <w:spacing w:before="50" w:line="360" w:lineRule="auto"/>
        <w:jc w:val="left"/>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拟派</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团队组成员工作经验一览表格式：</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拟派</w:t>
      </w:r>
      <w:r>
        <w:rPr>
          <w:rFonts w:hint="eastAsia" w:ascii="宋体" w:hAnsi="宋体" w:cs="宋体"/>
          <w:b/>
          <w:snapToGrid w:val="0"/>
          <w:color w:val="auto"/>
          <w:sz w:val="24"/>
          <w:szCs w:val="24"/>
          <w:highlight w:val="none"/>
          <w:lang w:val="en-US" w:eastAsia="zh-CN"/>
        </w:rPr>
        <w:t>项目</w:t>
      </w:r>
      <w:r>
        <w:rPr>
          <w:rFonts w:hint="eastAsia" w:ascii="宋体" w:hAnsi="宋体" w:eastAsia="宋体" w:cs="宋体"/>
          <w:b/>
          <w:snapToGrid w:val="0"/>
          <w:color w:val="auto"/>
          <w:sz w:val="24"/>
          <w:szCs w:val="24"/>
          <w:highlight w:val="none"/>
          <w:lang w:val="en-US" w:eastAsia="zh-CN"/>
        </w:rPr>
        <w:t>团队组成员工作经验一览表</w:t>
      </w:r>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1289"/>
        <w:gridCol w:w="1636"/>
        <w:gridCol w:w="1575"/>
        <w:gridCol w:w="1050"/>
        <w:gridCol w:w="1179"/>
        <w:gridCol w:w="1251"/>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4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8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征集人</w:t>
            </w:r>
            <w:r>
              <w:rPr>
                <w:rFonts w:hint="eastAsia" w:ascii="宋体" w:hAnsi="宋体" w:eastAsia="宋体" w:cs="宋体"/>
                <w:b/>
                <w:bCs/>
                <w:color w:val="auto"/>
                <w:sz w:val="24"/>
                <w:szCs w:val="24"/>
                <w:highlight w:val="none"/>
              </w:rPr>
              <w:t>名称</w:t>
            </w:r>
          </w:p>
        </w:tc>
        <w:tc>
          <w:tcPr>
            <w:tcW w:w="790" w:type="pc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报告出具时间</w:t>
            </w:r>
          </w:p>
        </w:tc>
        <w:tc>
          <w:tcPr>
            <w:tcW w:w="5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负责人</w:t>
            </w:r>
          </w:p>
        </w:tc>
        <w:tc>
          <w:tcPr>
            <w:tcW w:w="5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项目所属专业</w:t>
            </w:r>
          </w:p>
        </w:tc>
        <w:tc>
          <w:tcPr>
            <w:tcW w:w="62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征集人</w:t>
            </w:r>
            <w:r>
              <w:rPr>
                <w:rFonts w:hint="eastAsia" w:ascii="宋体" w:hAnsi="宋体" w:eastAsia="宋体" w:cs="宋体"/>
                <w:b/>
                <w:bCs/>
                <w:color w:val="auto"/>
                <w:sz w:val="24"/>
                <w:szCs w:val="24"/>
                <w:highlight w:val="none"/>
              </w:rPr>
              <w:t>联系人</w:t>
            </w:r>
          </w:p>
        </w:tc>
        <w:tc>
          <w:tcPr>
            <w:tcW w:w="7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64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5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5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c>
          <w:tcPr>
            <w:tcW w:w="7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4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4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4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4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5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c>
          <w:tcPr>
            <w:tcW w:w="7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snapToGrid w:val="0"/>
              <w:spacing w:before="50" w:afterLines="50" w:line="360" w:lineRule="auto"/>
              <w:jc w:val="left"/>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1.响应文件中须提供清晰可辨的审核报告扫描件。</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2.如拟派</w:t>
      </w:r>
      <w:r>
        <w:rPr>
          <w:rFonts w:hint="eastAsia" w:ascii="宋体" w:hAnsi="宋体" w:eastAsia="宋体" w:cs="宋体"/>
          <w:color w:val="auto"/>
          <w:sz w:val="21"/>
          <w:szCs w:val="21"/>
          <w:highlight w:val="none"/>
          <w:lang w:eastAsia="zh-CN"/>
        </w:rPr>
        <w:t>团队组成员</w:t>
      </w:r>
      <w:r>
        <w:rPr>
          <w:rFonts w:hint="eastAsia" w:ascii="宋体" w:hAnsi="宋体" w:eastAsia="宋体" w:cs="宋体"/>
          <w:color w:val="auto"/>
          <w:sz w:val="21"/>
          <w:szCs w:val="21"/>
          <w:highlight w:val="none"/>
        </w:rPr>
        <w:t>在其他单位工作期间的项目经验，须提供同期在其他单位的社保证明。</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3.如供应商提供的合同扫描件因模糊不清而造成评标委员会在评审时做出对供应商不利的评审由供应商自行承担。</w:t>
      </w:r>
    </w:p>
    <w:p>
      <w:pPr>
        <w:pStyle w:val="15"/>
        <w:keepNext w:val="0"/>
        <w:keepLines w:val="0"/>
        <w:pageBreakBefore w:val="0"/>
        <w:kinsoku/>
        <w:wordWrap/>
        <w:overflowPunct/>
        <w:topLinePunct w:val="0"/>
        <w:autoSpaceDE/>
        <w:autoSpaceDN/>
        <w:bidi w:val="0"/>
        <w:spacing w:line="360" w:lineRule="auto"/>
        <w:ind w:left="480" w:firstLine="404"/>
        <w:rPr>
          <w:rFonts w:hint="eastAsia" w:ascii="宋体" w:hAnsi="宋体" w:eastAsia="宋体" w:cs="宋体"/>
          <w:color w:val="auto"/>
          <w:sz w:val="24"/>
          <w:szCs w:val="24"/>
          <w:highlight w:val="none"/>
        </w:rPr>
      </w:pP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法定代表人或委托代理人签名：</w:t>
      </w:r>
      <w:r>
        <w:rPr>
          <w:rFonts w:hint="eastAsia" w:ascii="宋体" w:hAnsi="宋体" w:eastAsia="宋体" w:cs="宋体"/>
          <w:bCs/>
          <w:color w:val="auto"/>
          <w:sz w:val="24"/>
          <w:szCs w:val="24"/>
          <w:highlight w:val="none"/>
        </w:rPr>
        <w:t xml:space="preserve"> </w:t>
      </w:r>
    </w:p>
    <w:p>
      <w:pPr>
        <w:keepNext w:val="0"/>
        <w:keepLines w:val="0"/>
        <w:pageBreakBefore w:val="0"/>
        <w:tabs>
          <w:tab w:val="left" w:pos="1418"/>
        </w:tabs>
        <w:kinsoku/>
        <w:wordWrap/>
        <w:overflowPunct/>
        <w:topLinePunct w:val="0"/>
        <w:autoSpaceDE/>
        <w:autoSpaceDN/>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 标 人（盖章）：                              年  月  日</w:t>
      </w:r>
    </w:p>
    <w:p>
      <w:pPr>
        <w:pStyle w:val="37"/>
        <w:keepNext w:val="0"/>
        <w:keepLines w:val="0"/>
        <w:pageBreakBefore w:val="0"/>
        <w:kinsoku/>
        <w:wordWrap/>
        <w:overflowPunct/>
        <w:topLinePunct w:val="0"/>
        <w:autoSpaceDE/>
        <w:autoSpaceDN/>
        <w:bidi w:val="0"/>
        <w:spacing w:line="360" w:lineRule="auto"/>
        <w:jc w:val="center"/>
        <w:rPr>
          <w:rFonts w:hint="eastAsia" w:ascii="宋体" w:hAnsi="宋体" w:eastAsia="宋体" w:cs="宋体"/>
          <w:b/>
          <w:snapToGrid w:val="0"/>
          <w:color w:val="auto"/>
          <w:sz w:val="24"/>
          <w:szCs w:val="24"/>
          <w:highlight w:val="none"/>
        </w:rPr>
        <w:sectPr>
          <w:pgSz w:w="11906" w:h="16838"/>
          <w:pgMar w:top="1440" w:right="1083" w:bottom="1440" w:left="1083" w:header="851" w:footer="850" w:gutter="0"/>
          <w:pgBorders>
            <w:top w:val="none" w:sz="0" w:space="0"/>
            <w:left w:val="none" w:sz="0" w:space="0"/>
            <w:bottom w:val="none" w:sz="0" w:space="0"/>
            <w:right w:val="none" w:sz="0" w:space="0"/>
          </w:pgBorders>
          <w:pgNumType w:fmt="numberInDash"/>
          <w:cols w:space="0" w:num="1"/>
          <w:rtlGutter w:val="0"/>
          <w:docGrid w:linePitch="312" w:charSpace="0"/>
        </w:sectPr>
      </w:pPr>
    </w:p>
    <w:p>
      <w:pPr>
        <w:pStyle w:val="17"/>
        <w:snapToGrid w:val="0"/>
        <w:spacing w:before="120" w:beforeLines="0" w:after="120" w:afterLines="0" w:line="360" w:lineRule="auto"/>
        <w:outlineLvl w:val="1"/>
        <w:rPr>
          <w:rFonts w:hint="eastAsia" w:hAnsi="宋体"/>
          <w:b/>
          <w:color w:val="auto"/>
          <w:highlight w:val="none"/>
        </w:rPr>
      </w:pPr>
      <w:r>
        <w:rPr>
          <w:rFonts w:hint="eastAsia" w:hAnsi="宋体"/>
          <w:b/>
          <w:color w:val="auto"/>
          <w:highlight w:val="none"/>
          <w:lang w:eastAsia="zh-CN"/>
        </w:rPr>
        <w:t>三</w:t>
      </w:r>
      <w:r>
        <w:rPr>
          <w:rFonts w:hint="eastAsia" w:hAnsi="宋体"/>
          <w:b/>
          <w:color w:val="auto"/>
          <w:highlight w:val="none"/>
        </w:rPr>
        <w:t>、报价文件格式</w:t>
      </w:r>
    </w:p>
    <w:p>
      <w:pPr>
        <w:snapToGrid w:val="0"/>
        <w:spacing w:line="360" w:lineRule="auto"/>
        <w:rPr>
          <w:rFonts w:ascii="宋体" w:hAnsi="宋体"/>
          <w:color w:val="auto"/>
          <w:sz w:val="24"/>
          <w:highlight w:val="none"/>
        </w:rPr>
      </w:pPr>
      <w:r>
        <w:rPr>
          <w:rFonts w:hint="eastAsia" w:ascii="宋体" w:hAnsi="宋体"/>
          <w:bCs/>
          <w:color w:val="auto"/>
          <w:sz w:val="24"/>
          <w:highlight w:val="none"/>
        </w:rPr>
        <w:t>1</w:t>
      </w:r>
      <w:r>
        <w:rPr>
          <w:rFonts w:ascii="宋体" w:hAnsi="宋体"/>
          <w:color w:val="auto"/>
          <w:sz w:val="24"/>
          <w:highlight w:val="none"/>
        </w:rPr>
        <w:t>.</w:t>
      </w:r>
      <w:r>
        <w:rPr>
          <w:rFonts w:hint="eastAsia" w:ascii="宋体" w:hAnsi="宋体"/>
          <w:color w:val="auto"/>
          <w:sz w:val="24"/>
          <w:highlight w:val="none"/>
        </w:rPr>
        <w:t>投标报价文件封面格式</w:t>
      </w:r>
    </w:p>
    <w:p>
      <w:pPr>
        <w:snapToGrid w:val="0"/>
        <w:spacing w:line="360" w:lineRule="auto"/>
        <w:rPr>
          <w:rFonts w:ascii="宋体" w:hAnsi="宋体"/>
          <w:b/>
          <w:bCs/>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napToGrid w:val="0"/>
        <w:spacing w:before="120" w:beforeLines="50" w:line="360" w:lineRule="auto"/>
        <w:jc w:val="center"/>
        <w:rPr>
          <w:rFonts w:ascii="宋体" w:hAnsi="宋体"/>
          <w:b/>
          <w:bCs/>
          <w:color w:val="auto"/>
          <w:sz w:val="24"/>
          <w:highlight w:val="none"/>
        </w:rPr>
      </w:pPr>
      <w:r>
        <w:rPr>
          <w:rFonts w:hint="eastAsia" w:ascii="宋体" w:hAnsi="宋体"/>
          <w:b/>
          <w:bCs/>
          <w:color w:val="auto"/>
          <w:sz w:val="24"/>
          <w:highlight w:val="none"/>
        </w:rPr>
        <w:t>投标报价文件</w:t>
      </w:r>
    </w:p>
    <w:p>
      <w:pPr>
        <w:snapToGrid w:val="0"/>
        <w:spacing w:line="360" w:lineRule="auto"/>
        <w:ind w:firstLine="900" w:firstLineChars="375"/>
        <w:rPr>
          <w:rFonts w:hint="eastAsia" w:ascii="宋体" w:hAnsi="宋体"/>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u w:val="single"/>
        </w:rPr>
        <w:t xml:space="preserve">                          </w:t>
      </w:r>
      <w:r>
        <w:rPr>
          <w:rFonts w:hint="eastAsia" w:ascii="宋体" w:hAnsi="宋体"/>
          <w:color w:val="auto"/>
          <w:sz w:val="24"/>
          <w:highlight w:val="none"/>
        </w:rPr>
        <w:t>采购项目</w:t>
      </w:r>
    </w:p>
    <w:p>
      <w:pPr>
        <w:pStyle w:val="8"/>
        <w:snapToGrid w:val="0"/>
        <w:spacing w:line="360" w:lineRule="auto"/>
        <w:ind w:firstLine="900" w:firstLineChars="375"/>
        <w:rPr>
          <w:rFonts w:hint="eastAsia" w:ascii="宋体" w:hAnsi="宋体"/>
          <w:bCs/>
          <w:color w:val="auto"/>
          <w:sz w:val="24"/>
          <w:highlight w:val="none"/>
        </w:rPr>
      </w:pPr>
      <w:r>
        <w:rPr>
          <w:rFonts w:hint="eastAsia" w:ascii="宋体" w:hAnsi="宋体"/>
          <w:bCs/>
          <w:color w:val="auto"/>
          <w:sz w:val="24"/>
          <w:highlight w:val="none"/>
        </w:rPr>
        <w:t>项目编号及标段号：</w:t>
      </w:r>
    </w:p>
    <w:p>
      <w:pPr>
        <w:pStyle w:val="8"/>
        <w:snapToGrid w:val="0"/>
        <w:spacing w:line="360" w:lineRule="auto"/>
        <w:ind w:firstLine="900" w:firstLineChars="375"/>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名称（盖章）：</w:t>
      </w:r>
    </w:p>
    <w:p>
      <w:pPr>
        <w:pStyle w:val="8"/>
        <w:snapToGrid w:val="0"/>
        <w:spacing w:line="360" w:lineRule="auto"/>
        <w:ind w:firstLine="900" w:firstLineChars="375"/>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pPr>
        <w:snapToGrid w:val="0"/>
        <w:spacing w:line="360" w:lineRule="auto"/>
        <w:ind w:firstLine="3280" w:firstLineChars="1367"/>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pPr>
        <w:snapToGrid w:val="0"/>
        <w:spacing w:line="360" w:lineRule="auto"/>
        <w:rPr>
          <w:rFonts w:hint="eastAsia" w:ascii="宋体" w:hAnsi="宋体"/>
          <w:bCs/>
          <w:color w:val="auto"/>
          <w:sz w:val="24"/>
          <w:highlight w:val="none"/>
        </w:rPr>
      </w:pPr>
    </w:p>
    <w:p>
      <w:pPr>
        <w:snapToGrid w:val="0"/>
        <w:spacing w:before="120" w:beforeLines="50" w:after="5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w:t>
      </w:r>
      <w:r>
        <w:rPr>
          <w:rFonts w:hint="eastAsia" w:ascii="宋体" w:hAnsi="宋体"/>
          <w:bCs/>
          <w:color w:val="auto"/>
          <w:sz w:val="24"/>
          <w:highlight w:val="none"/>
        </w:rPr>
        <w:t>投标报价文件目录（请按照“第三章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w:t>
      </w:r>
      <w:r>
        <w:rPr>
          <w:rFonts w:ascii="宋体" w:hAnsi="宋体"/>
          <w:bCs/>
          <w:color w:val="auto"/>
          <w:sz w:val="24"/>
          <w:highlight w:val="none"/>
        </w:rPr>
        <w:t>三、</w:t>
      </w:r>
      <w:r>
        <w:rPr>
          <w:rFonts w:hint="eastAsia" w:ascii="宋体" w:hAnsi="宋体"/>
          <w:bCs/>
          <w:color w:val="auto"/>
          <w:sz w:val="24"/>
          <w:highlight w:val="none"/>
          <w:lang w:eastAsia="zh-CN"/>
        </w:rPr>
        <w:t>响应文件</w:t>
      </w:r>
      <w:r>
        <w:rPr>
          <w:rFonts w:ascii="宋体" w:hAnsi="宋体"/>
          <w:bCs/>
          <w:color w:val="auto"/>
          <w:sz w:val="24"/>
          <w:highlight w:val="none"/>
        </w:rPr>
        <w:t>的编制</w:t>
      </w:r>
      <w:r>
        <w:rPr>
          <w:rFonts w:hint="eastAsia" w:ascii="宋体" w:hAnsi="宋体"/>
          <w:bCs/>
          <w:color w:val="auto"/>
          <w:sz w:val="24"/>
          <w:highlight w:val="none"/>
        </w:rPr>
        <w:t>”的顺序，结合评标办法自行编制目录）</w:t>
      </w:r>
    </w:p>
    <w:p>
      <w:pPr>
        <w:snapToGrid w:val="0"/>
        <w:spacing w:before="50" w:after="50"/>
        <w:rPr>
          <w:rFonts w:hint="eastAsia" w:ascii="宋体" w:hAnsi="宋体"/>
          <w:bCs/>
          <w:color w:val="auto"/>
          <w:sz w:val="24"/>
          <w:highlight w:val="none"/>
        </w:rPr>
      </w:pPr>
      <w:r>
        <w:rPr>
          <w:rFonts w:hint="eastAsia" w:ascii="宋体" w:hAnsi="宋体"/>
          <w:bCs/>
          <w:color w:val="auto"/>
          <w:sz w:val="24"/>
          <w:highlight w:val="none"/>
        </w:rPr>
        <w:t>例如：</w:t>
      </w:r>
    </w:p>
    <w:p>
      <w:pPr>
        <w:snapToGrid w:val="0"/>
        <w:spacing w:line="480" w:lineRule="exact"/>
        <w:rPr>
          <w:rFonts w:hint="eastAsia" w:ascii="宋体" w:hAnsi="宋体"/>
          <w:color w:val="auto"/>
          <w:sz w:val="24"/>
          <w:highlight w:val="none"/>
        </w:rPr>
      </w:pPr>
      <w:r>
        <w:rPr>
          <w:rFonts w:hint="eastAsia" w:ascii="宋体" w:hAnsi="宋体"/>
          <w:bCs/>
          <w:color w:val="auto"/>
          <w:sz w:val="24"/>
          <w:highlight w:val="none"/>
        </w:rPr>
        <w:t>报价文件：</w:t>
      </w:r>
    </w:p>
    <w:p>
      <w:pPr>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目 录</w:t>
      </w:r>
    </w:p>
    <w:p>
      <w:pPr>
        <w:spacing w:line="360" w:lineRule="auto"/>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（1）投标函……………………………………………………………………（页码）</w:t>
      </w:r>
    </w:p>
    <w:p>
      <w:pPr>
        <w:spacing w:line="360" w:lineRule="auto"/>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）报价</w:t>
      </w:r>
      <w:r>
        <w:rPr>
          <w:rFonts w:hint="eastAsia" w:ascii="宋体" w:hAnsi="宋体" w:cs="宋体"/>
          <w:color w:val="auto"/>
          <w:kern w:val="0"/>
          <w:sz w:val="24"/>
          <w:highlight w:val="none"/>
          <w:lang w:eastAsia="zh-CN"/>
        </w:rPr>
        <w:t>一览表</w:t>
      </w:r>
      <w:r>
        <w:rPr>
          <w:rFonts w:hint="eastAsia" w:ascii="宋体" w:hAnsi="宋体" w:cs="宋体"/>
          <w:color w:val="auto"/>
          <w:kern w:val="0"/>
          <w:sz w:val="24"/>
          <w:highlight w:val="none"/>
        </w:rPr>
        <w:t>………………………………………………………………（页码）</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13"/>
        <w:rPr>
          <w:rFonts w:hint="eastAsia" w:ascii="宋体" w:hAnsi="宋体"/>
          <w:color w:val="auto"/>
          <w:sz w:val="24"/>
          <w:highlight w:val="none"/>
        </w:rPr>
      </w:pPr>
    </w:p>
    <w:p>
      <w:pPr>
        <w:pStyle w:val="25"/>
        <w:rPr>
          <w:rFonts w:hint="eastAsia"/>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3.投标函格式：</w:t>
      </w:r>
    </w:p>
    <w:p>
      <w:pPr>
        <w:pStyle w:val="2"/>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投标函</w:t>
      </w:r>
    </w:p>
    <w:p>
      <w:pPr>
        <w:spacing w:line="360" w:lineRule="auto"/>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平湖市公共资源交易中心</w:t>
      </w:r>
      <w:r>
        <w:rPr>
          <w:rFonts w:hint="eastAsia" w:ascii="宋体" w:hAnsi="宋体"/>
          <w:color w:val="auto"/>
          <w:sz w:val="24"/>
          <w:highlight w:val="none"/>
        </w:rPr>
        <w:t>：</w:t>
      </w:r>
    </w:p>
    <w:p>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根据贵方为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项目的公开招标公告（项目编号及标段号：</w:t>
      </w:r>
      <w:r>
        <w:rPr>
          <w:rFonts w:hint="eastAsia" w:ascii="宋体" w:hAnsi="宋体"/>
          <w:color w:val="auto"/>
          <w:sz w:val="24"/>
          <w:highlight w:val="none"/>
          <w:u w:val="single"/>
        </w:rPr>
        <w:t xml:space="preserve">                </w:t>
      </w:r>
      <w:r>
        <w:rPr>
          <w:rFonts w:hint="eastAsia" w:ascii="宋体" w:hAnsi="宋体"/>
          <w:color w:val="auto"/>
          <w:sz w:val="24"/>
          <w:highlight w:val="none"/>
        </w:rPr>
        <w:t>），签字代表</w:t>
      </w:r>
      <w:r>
        <w:rPr>
          <w:rFonts w:hint="eastAsia" w:ascii="宋体" w:hAnsi="宋体"/>
          <w:color w:val="auto"/>
          <w:sz w:val="24"/>
          <w:highlight w:val="none"/>
          <w:u w:val="single"/>
        </w:rPr>
        <w:t xml:space="preserve">        </w:t>
      </w:r>
      <w:r>
        <w:rPr>
          <w:rFonts w:hint="eastAsia" w:ascii="宋体" w:hAnsi="宋体"/>
          <w:color w:val="auto"/>
          <w:sz w:val="24"/>
          <w:highlight w:val="none"/>
        </w:rPr>
        <w:t>（全名）经正式授权并代表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名称）提交资信</w:t>
      </w:r>
      <w:r>
        <w:rPr>
          <w:rFonts w:ascii="宋体" w:hAnsi="宋体"/>
          <w:color w:val="auto"/>
          <w:sz w:val="24"/>
          <w:highlight w:val="none"/>
        </w:rPr>
        <w:t>/</w:t>
      </w:r>
      <w:r>
        <w:rPr>
          <w:rFonts w:hint="eastAsia" w:ascii="宋体" w:hAnsi="宋体"/>
          <w:color w:val="auto"/>
          <w:sz w:val="24"/>
          <w:highlight w:val="none"/>
        </w:rPr>
        <w:t>商务及技术文件、投标报价文件。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据此函，签字代表宣布同意如下：</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.我方已详细审查全部“</w:t>
      </w:r>
      <w:r>
        <w:rPr>
          <w:rFonts w:hint="eastAsia" w:ascii="宋体" w:hAnsi="宋体"/>
          <w:color w:val="auto"/>
          <w:sz w:val="24"/>
          <w:highlight w:val="none"/>
          <w:lang w:eastAsia="zh-CN"/>
        </w:rPr>
        <w:t>征集文件</w:t>
      </w:r>
      <w:r>
        <w:rPr>
          <w:rFonts w:hint="eastAsia" w:ascii="宋体" w:hAnsi="宋体"/>
          <w:color w:val="auto"/>
          <w:sz w:val="24"/>
          <w:highlight w:val="none"/>
        </w:rPr>
        <w:t>”，包括修改文件（如有的话）以及全部参考资料和有关附件，已经了解我方对于“</w:t>
      </w:r>
      <w:r>
        <w:rPr>
          <w:rFonts w:hint="eastAsia" w:ascii="宋体" w:hAnsi="宋体"/>
          <w:color w:val="auto"/>
          <w:sz w:val="24"/>
          <w:highlight w:val="none"/>
          <w:lang w:eastAsia="zh-CN"/>
        </w:rPr>
        <w:t>征集文件</w:t>
      </w:r>
      <w:r>
        <w:rPr>
          <w:rFonts w:hint="eastAsia" w:ascii="宋体" w:hAnsi="宋体"/>
          <w:color w:val="auto"/>
          <w:sz w:val="24"/>
          <w:highlight w:val="none"/>
        </w:rPr>
        <w:t>”、采购过程、采购结果有依法进行询问、质疑、投诉的权利及相关渠道和要求。</w:t>
      </w:r>
    </w:p>
    <w:p>
      <w:pPr>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.我方在投标之前已经与贵方进行了充分的沟通，完全理解并接受“</w:t>
      </w:r>
      <w:r>
        <w:rPr>
          <w:rFonts w:hint="eastAsia" w:ascii="宋体" w:hAnsi="宋体"/>
          <w:color w:val="auto"/>
          <w:sz w:val="24"/>
          <w:highlight w:val="none"/>
          <w:lang w:eastAsia="zh-CN"/>
        </w:rPr>
        <w:t>征集文件</w:t>
      </w:r>
      <w:r>
        <w:rPr>
          <w:rFonts w:hint="eastAsia" w:ascii="宋体" w:hAnsi="宋体"/>
          <w:color w:val="auto"/>
          <w:sz w:val="24"/>
          <w:highlight w:val="none"/>
        </w:rPr>
        <w:t>”的各项规定和要求，对“</w:t>
      </w:r>
      <w:r>
        <w:rPr>
          <w:rFonts w:hint="eastAsia" w:ascii="宋体" w:hAnsi="宋体"/>
          <w:color w:val="auto"/>
          <w:sz w:val="24"/>
          <w:highlight w:val="none"/>
          <w:lang w:eastAsia="zh-CN"/>
        </w:rPr>
        <w:t>征集文件</w:t>
      </w:r>
      <w:r>
        <w:rPr>
          <w:rFonts w:hint="eastAsia" w:ascii="宋体" w:hAnsi="宋体"/>
          <w:color w:val="auto"/>
          <w:sz w:val="24"/>
          <w:highlight w:val="none"/>
        </w:rPr>
        <w:t>”的合理性、合法性不再有异议。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3.我方同意按照贵方要求提供与投标有关的一切数据或资料。</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4.我方完全理解贵方不一定要接受最低价的投标。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5.本投标有效期自开标日起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90 </w:t>
      </w:r>
      <w:r>
        <w:rPr>
          <w:rFonts w:hint="eastAsia" w:ascii="宋体" w:hAnsi="宋体"/>
          <w:color w:val="auto"/>
          <w:sz w:val="24"/>
          <w:highlight w:val="none"/>
        </w:rPr>
        <w:t>个日历天。</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6.如中标，本</w:t>
      </w:r>
      <w:r>
        <w:rPr>
          <w:rFonts w:hint="eastAsia" w:ascii="宋体" w:hAnsi="宋体"/>
          <w:color w:val="auto"/>
          <w:sz w:val="24"/>
          <w:highlight w:val="none"/>
          <w:lang w:eastAsia="zh-CN"/>
        </w:rPr>
        <w:t>响应文件</w:t>
      </w:r>
      <w:r>
        <w:rPr>
          <w:rFonts w:hint="eastAsia" w:ascii="宋体" w:hAnsi="宋体"/>
          <w:color w:val="auto"/>
          <w:sz w:val="24"/>
          <w:highlight w:val="none"/>
        </w:rPr>
        <w:t>至本项目合同履行完毕均保持有效，本</w:t>
      </w:r>
      <w:r>
        <w:rPr>
          <w:rFonts w:hint="eastAsia" w:ascii="宋体" w:hAnsi="宋体"/>
          <w:color w:val="auto"/>
          <w:sz w:val="24"/>
          <w:highlight w:val="none"/>
          <w:lang w:eastAsia="zh-CN"/>
        </w:rPr>
        <w:t>供应商</w:t>
      </w:r>
      <w:r>
        <w:rPr>
          <w:rFonts w:hint="eastAsia" w:ascii="宋体" w:hAnsi="宋体"/>
          <w:color w:val="auto"/>
          <w:sz w:val="24"/>
          <w:highlight w:val="none"/>
        </w:rPr>
        <w:t>将保证忠实地执行双方所签订的合同，并承担合同规定的责任和义务。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7.我方将严格遵守《中华人民共和国政府采购法》第七十七条、《</w:t>
      </w:r>
      <w:r>
        <w:rPr>
          <w:rFonts w:ascii="宋体" w:hAnsi="宋体" w:cs="Arial"/>
          <w:bCs/>
          <w:color w:val="auto"/>
          <w:kern w:val="0"/>
          <w:sz w:val="24"/>
          <w:highlight w:val="none"/>
        </w:rPr>
        <w:t>浙江省政府采购供应商注册及诚信管理暂行办法</w:t>
      </w:r>
      <w:r>
        <w:rPr>
          <w:rFonts w:hint="eastAsia" w:ascii="宋体" w:hAnsi="宋体" w:cs="Arial"/>
          <w:bCs/>
          <w:color w:val="auto"/>
          <w:kern w:val="0"/>
          <w:sz w:val="24"/>
          <w:highlight w:val="none"/>
        </w:rPr>
        <w:t>》</w:t>
      </w:r>
      <w:r>
        <w:rPr>
          <w:rFonts w:ascii="宋体" w:hAnsi="宋体" w:cs="Arial"/>
          <w:color w:val="auto"/>
          <w:kern w:val="0"/>
          <w:sz w:val="24"/>
          <w:highlight w:val="none"/>
        </w:rPr>
        <w:t>第三十八条</w:t>
      </w:r>
      <w:r>
        <w:rPr>
          <w:rFonts w:hint="eastAsia" w:ascii="宋体" w:hAnsi="宋体" w:cs="Arial"/>
          <w:color w:val="auto"/>
          <w:kern w:val="0"/>
          <w:sz w:val="24"/>
          <w:highlight w:val="none"/>
        </w:rPr>
        <w:t>、</w:t>
      </w:r>
      <w:r>
        <w:rPr>
          <w:rFonts w:ascii="宋体" w:hAnsi="宋体" w:cs="Arial"/>
          <w:color w:val="auto"/>
          <w:kern w:val="0"/>
          <w:sz w:val="24"/>
          <w:highlight w:val="none"/>
        </w:rPr>
        <w:t>第三十九条</w:t>
      </w:r>
      <w:r>
        <w:rPr>
          <w:rFonts w:hint="eastAsia" w:ascii="宋体" w:hAnsi="宋体" w:cs="Arial"/>
          <w:color w:val="auto"/>
          <w:kern w:val="0"/>
          <w:sz w:val="24"/>
          <w:highlight w:val="none"/>
        </w:rPr>
        <w:t>、</w:t>
      </w:r>
      <w:r>
        <w:rPr>
          <w:rFonts w:ascii="宋体" w:hAnsi="宋体" w:cs="Arial"/>
          <w:color w:val="auto"/>
          <w:kern w:val="0"/>
          <w:sz w:val="24"/>
          <w:highlight w:val="none"/>
        </w:rPr>
        <w:t>第四十条</w:t>
      </w:r>
      <w:r>
        <w:rPr>
          <w:rFonts w:hint="eastAsia" w:ascii="宋体" w:hAnsi="宋体"/>
          <w:color w:val="auto"/>
          <w:sz w:val="24"/>
          <w:highlight w:val="none"/>
        </w:rPr>
        <w:t>规定。</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8.与本投标有关的一切正式往来信函请寄：</w:t>
      </w:r>
    </w:p>
    <w:p>
      <w:pPr>
        <w:snapToGrid w:val="0"/>
        <w:spacing w:line="360" w:lineRule="auto"/>
        <w:rPr>
          <w:rFonts w:hint="eastAsia" w:ascii="宋体" w:hAnsi="宋体"/>
          <w:color w:val="auto"/>
          <w:sz w:val="24"/>
          <w:highlight w:val="none"/>
          <w:u w:val="single"/>
        </w:rPr>
      </w:pPr>
      <w:r>
        <w:rPr>
          <w:rFonts w:ascii="宋体" w:hAnsi="宋体"/>
          <w:color w:val="auto"/>
          <w:sz w:val="24"/>
          <w:highlight w:val="none"/>
        </w:rPr>
        <w:t>地址：</w:t>
      </w:r>
      <w:r>
        <w:rPr>
          <w:rFonts w:hint="eastAsia" w:ascii="宋体" w:hAnsi="宋体"/>
          <w:color w:val="auto"/>
          <w:sz w:val="24"/>
          <w:highlight w:val="none"/>
          <w:u w:val="single"/>
        </w:rPr>
        <w:t xml:space="preserve">                          </w:t>
      </w:r>
      <w:r>
        <w:rPr>
          <w:rFonts w:ascii="宋体" w:hAnsi="宋体"/>
          <w:color w:val="auto"/>
          <w:sz w:val="24"/>
          <w:highlight w:val="none"/>
        </w:rPr>
        <w:t>邮编：</w:t>
      </w:r>
      <w:r>
        <w:rPr>
          <w:rFonts w:hint="eastAsia" w:ascii="宋体" w:hAnsi="宋体"/>
          <w:color w:val="auto"/>
          <w:sz w:val="24"/>
          <w:highlight w:val="none"/>
          <w:u w:val="single"/>
        </w:rPr>
        <w:t xml:space="preserve">             </w:t>
      </w:r>
      <w:r>
        <w:rPr>
          <w:rFonts w:ascii="宋体" w:hAnsi="宋体"/>
          <w:color w:val="auto"/>
          <w:sz w:val="24"/>
          <w:highlight w:val="none"/>
        </w:rPr>
        <w:t>电话：</w:t>
      </w:r>
      <w:r>
        <w:rPr>
          <w:rFonts w:hint="eastAsia" w:ascii="宋体" w:hAnsi="宋体"/>
          <w:color w:val="auto"/>
          <w:sz w:val="24"/>
          <w:highlight w:val="none"/>
          <w:u w:val="single"/>
        </w:rPr>
        <w:t xml:space="preserve">              </w:t>
      </w:r>
    </w:p>
    <w:p>
      <w:pPr>
        <w:snapToGrid w:val="0"/>
        <w:spacing w:line="360" w:lineRule="auto"/>
        <w:rPr>
          <w:rFonts w:hint="eastAsia" w:ascii="宋体" w:hAnsi="宋体"/>
          <w:color w:val="auto"/>
          <w:sz w:val="24"/>
          <w:highlight w:val="none"/>
          <w:u w:val="single"/>
        </w:rPr>
      </w:pPr>
      <w:r>
        <w:rPr>
          <w:rFonts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lang w:eastAsia="zh-CN"/>
        </w:rPr>
        <w:t>供应商</w:t>
      </w:r>
      <w:r>
        <w:rPr>
          <w:rFonts w:ascii="宋体" w:hAnsi="宋体"/>
          <w:color w:val="auto"/>
          <w:sz w:val="24"/>
          <w:highlight w:val="none"/>
        </w:rPr>
        <w:t>代表姓名</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职务：</w:t>
      </w:r>
      <w:r>
        <w:rPr>
          <w:rFonts w:hint="eastAsia" w:ascii="宋体" w:hAnsi="宋体"/>
          <w:color w:val="auto"/>
          <w:sz w:val="24"/>
          <w:highlight w:val="none"/>
          <w:u w:val="single"/>
        </w:rPr>
        <w:t xml:space="preserve">              </w:t>
      </w:r>
    </w:p>
    <w:p>
      <w:pPr>
        <w:snapToGrid w:val="0"/>
        <w:spacing w:line="360" w:lineRule="auto"/>
        <w:rPr>
          <w:rFonts w:hint="eastAsia" w:ascii="宋体" w:hAnsi="宋体"/>
          <w:color w:val="auto"/>
          <w:sz w:val="24"/>
          <w:highlight w:val="none"/>
          <w:u w:val="single"/>
        </w:rPr>
      </w:pPr>
      <w:r>
        <w:rPr>
          <w:rFonts w:hint="eastAsia" w:ascii="宋体" w:hAnsi="宋体"/>
          <w:color w:val="auto"/>
          <w:sz w:val="24"/>
          <w:highlight w:val="none"/>
          <w:lang w:eastAsia="zh-CN"/>
        </w:rPr>
        <w:t>供应商</w:t>
      </w:r>
      <w:r>
        <w:rPr>
          <w:rFonts w:ascii="宋体" w:hAnsi="宋体"/>
          <w:color w:val="auto"/>
          <w:sz w:val="24"/>
          <w:highlight w:val="none"/>
        </w:rPr>
        <w:t>名称(公章):</w:t>
      </w:r>
      <w:r>
        <w:rPr>
          <w:rFonts w:hint="eastAsia" w:ascii="宋体" w:hAnsi="宋体"/>
          <w:color w:val="auto"/>
          <w:sz w:val="24"/>
          <w:highlight w:val="none"/>
          <w:u w:val="single"/>
        </w:rPr>
        <w:t xml:space="preserve">                                  </w:t>
      </w:r>
    </w:p>
    <w:p>
      <w:pPr>
        <w:snapToGrid w:val="0"/>
        <w:spacing w:line="360" w:lineRule="auto"/>
        <w:rPr>
          <w:rFonts w:ascii="宋体" w:hAnsi="宋体"/>
          <w:color w:val="auto"/>
          <w:sz w:val="24"/>
          <w:highlight w:val="none"/>
        </w:rPr>
      </w:pPr>
      <w:r>
        <w:rPr>
          <w:rFonts w:ascii="宋体" w:hAnsi="宋体"/>
          <w:color w:val="auto"/>
          <w:sz w:val="24"/>
          <w:highlight w:val="none"/>
        </w:rPr>
        <w:t>开户银行：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银行帐号：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60" w:lineRule="auto"/>
        <w:rPr>
          <w:rFonts w:ascii="宋体" w:hAnsi="宋体"/>
          <w:color w:val="auto"/>
          <w:sz w:val="24"/>
          <w:highlight w:val="none"/>
        </w:rPr>
      </w:pPr>
      <w:r>
        <w:rPr>
          <w:rFonts w:hint="eastAsia" w:ascii="宋体" w:hAnsi="宋体"/>
          <w:color w:val="auto"/>
          <w:sz w:val="24"/>
          <w:highlight w:val="none"/>
        </w:rPr>
        <w:t>法定代表人签字：</w:t>
      </w:r>
      <w:r>
        <w:rPr>
          <w:rFonts w:ascii="宋体" w:hAnsi="宋体"/>
          <w:color w:val="auto"/>
          <w:sz w:val="24"/>
          <w:highlight w:val="none"/>
        </w:rPr>
        <w:t>___________   日期:</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pStyle w:val="13"/>
        <w:rPr>
          <w:rFonts w:hint="eastAsia"/>
          <w:highlight w:val="none"/>
        </w:rPr>
      </w:pPr>
    </w:p>
    <w:p>
      <w:pPr>
        <w:spacing w:line="360" w:lineRule="auto"/>
        <w:rPr>
          <w:rFonts w:hint="eastAsia" w:ascii="宋体" w:hAnsi="宋体"/>
          <w:color w:val="auto"/>
          <w:sz w:val="24"/>
          <w:highlight w:val="none"/>
        </w:rPr>
      </w:pPr>
      <w:bookmarkStart w:id="90" w:name="_Toc1762729663"/>
      <w:bookmarkStart w:id="91" w:name="_Toc644826177"/>
      <w:r>
        <w:rPr>
          <w:rFonts w:hint="eastAsia" w:ascii="宋体" w:hAnsi="宋体"/>
          <w:color w:val="auto"/>
          <w:sz w:val="24"/>
          <w:highlight w:val="none"/>
          <w:lang w:val="en-US" w:eastAsia="zh-CN"/>
        </w:rPr>
        <w:t>4</w:t>
      </w:r>
      <w:r>
        <w:rPr>
          <w:rFonts w:hint="eastAsia" w:ascii="宋体" w:hAnsi="宋体"/>
          <w:color w:val="auto"/>
          <w:sz w:val="24"/>
          <w:highlight w:val="none"/>
        </w:rPr>
        <w:t>.报价</w:t>
      </w:r>
      <w:r>
        <w:rPr>
          <w:rFonts w:hint="eastAsia" w:ascii="宋体" w:hAnsi="宋体"/>
          <w:color w:val="auto"/>
          <w:sz w:val="24"/>
          <w:highlight w:val="none"/>
          <w:lang w:eastAsia="zh-CN"/>
        </w:rPr>
        <w:t>一览表</w:t>
      </w:r>
      <w:r>
        <w:rPr>
          <w:rFonts w:hint="eastAsia" w:ascii="宋体" w:hAnsi="宋体"/>
          <w:color w:val="auto"/>
          <w:sz w:val="24"/>
          <w:highlight w:val="none"/>
        </w:rPr>
        <w:t>格式：</w:t>
      </w:r>
    </w:p>
    <w:p>
      <w:pPr>
        <w:pStyle w:val="39"/>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报价</w:t>
      </w:r>
      <w:r>
        <w:rPr>
          <w:rFonts w:hint="eastAsia" w:ascii="宋体" w:hAnsi="宋体" w:eastAsia="宋体" w:cs="宋体"/>
          <w:b/>
          <w:color w:val="auto"/>
          <w:sz w:val="24"/>
          <w:szCs w:val="24"/>
          <w:highlight w:val="none"/>
          <w:lang w:eastAsia="zh-CN"/>
        </w:rPr>
        <w:t>一览表</w:t>
      </w:r>
    </w:p>
    <w:p>
      <w:pPr>
        <w:pStyle w:val="13"/>
        <w:ind w:firstLine="280"/>
        <w:rPr>
          <w:rFonts w:hint="eastAsia" w:ascii="宋体" w:hAnsi="宋体" w:eastAsia="宋体" w:cs="宋体"/>
          <w:color w:val="auto"/>
          <w:sz w:val="24"/>
          <w:szCs w:val="24"/>
          <w:highlight w:val="none"/>
        </w:rPr>
      </w:pPr>
    </w:p>
    <w:tbl>
      <w:tblPr>
        <w:tblStyle w:val="2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22"/>
        <w:gridCol w:w="5348"/>
        <w:gridCol w:w="31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7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8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计价项目名称</w:t>
            </w:r>
          </w:p>
        </w:tc>
        <w:tc>
          <w:tcPr>
            <w:tcW w:w="159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7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86" w:type="pct"/>
            <w:tcBorders>
              <w:top w:val="single" w:color="auto" w:sz="4" w:space="0"/>
              <w:left w:val="single" w:color="auto" w:sz="4" w:space="0"/>
              <w:bottom w:val="single" w:color="auto" w:sz="4" w:space="0"/>
              <w:right w:val="single" w:color="auto" w:sz="4" w:space="0"/>
            </w:tcBorders>
            <w:noWrap w:val="0"/>
            <w:vAlign w:val="center"/>
          </w:tcPr>
          <w:p>
            <w:pPr>
              <w:widowControl/>
              <w:snapToGrid w:val="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项目概算审核</w:t>
            </w:r>
          </w:p>
        </w:tc>
        <w:tc>
          <w:tcPr>
            <w:tcW w:w="1599" w:type="pct"/>
            <w:vMerge w:val="restart"/>
            <w:tcBorders>
              <w:top w:val="single" w:color="auto" w:sz="4" w:space="0"/>
              <w:left w:val="single" w:color="auto" w:sz="4" w:space="0"/>
              <w:right w:val="single" w:color="auto" w:sz="4" w:space="0"/>
            </w:tcBorders>
            <w:noWrap w:val="0"/>
            <w:vAlign w:val="center"/>
          </w:tcPr>
          <w:p>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7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86" w:type="pct"/>
            <w:tcBorders>
              <w:top w:val="single" w:color="auto" w:sz="4" w:space="0"/>
              <w:left w:val="single" w:color="auto" w:sz="4" w:space="0"/>
              <w:bottom w:val="single" w:color="auto" w:sz="4" w:space="0"/>
              <w:right w:val="single" w:color="auto" w:sz="4" w:space="0"/>
            </w:tcBorders>
            <w:noWrap w:val="0"/>
            <w:vAlign w:val="center"/>
          </w:tcPr>
          <w:p>
            <w:pPr>
              <w:widowControl/>
              <w:snapToGrid w:val="0"/>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项目预算审核</w:t>
            </w:r>
          </w:p>
        </w:tc>
        <w:tc>
          <w:tcPr>
            <w:tcW w:w="1599" w:type="pct"/>
            <w:vMerge w:val="continue"/>
            <w:tcBorders>
              <w:left w:val="single" w:color="auto" w:sz="4" w:space="0"/>
              <w:right w:val="single" w:color="auto" w:sz="4" w:space="0"/>
            </w:tcBorders>
            <w:noWrap w:val="0"/>
            <w:vAlign w:val="center"/>
          </w:tcPr>
          <w:p>
            <w:pPr>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71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86" w:type="pct"/>
            <w:tcBorders>
              <w:top w:val="single" w:color="auto" w:sz="4" w:space="0"/>
              <w:left w:val="single" w:color="auto" w:sz="4" w:space="0"/>
              <w:bottom w:val="single" w:color="auto" w:sz="4" w:space="0"/>
              <w:right w:val="single" w:color="auto" w:sz="4" w:space="0"/>
            </w:tcBorders>
            <w:noWrap w:val="0"/>
            <w:vAlign w:val="center"/>
          </w:tcPr>
          <w:p>
            <w:pPr>
              <w:widowControl/>
              <w:snapToGrid w:val="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工程结算审核</w:t>
            </w:r>
          </w:p>
        </w:tc>
        <w:tc>
          <w:tcPr>
            <w:tcW w:w="1599" w:type="pct"/>
            <w:vMerge w:val="continue"/>
            <w:tcBorders>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24"/>
                <w:szCs w:val="24"/>
                <w:highlight w:val="none"/>
              </w:rPr>
            </w:pPr>
          </w:p>
        </w:tc>
      </w:tr>
    </w:tbl>
    <w:p>
      <w:pPr>
        <w:pStyle w:val="25"/>
        <w:ind w:left="0"/>
        <w:rPr>
          <w:rFonts w:hint="eastAsia" w:ascii="宋体" w:hAnsi="宋体" w:eastAsia="宋体" w:cs="宋体"/>
          <w:b/>
          <w:bCs/>
          <w:color w:val="auto"/>
          <w:sz w:val="24"/>
          <w:szCs w:val="24"/>
          <w:highlight w:val="none"/>
        </w:rPr>
      </w:pPr>
    </w:p>
    <w:p>
      <w:pPr>
        <w:pStyle w:val="25"/>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1、本项目所述报价优惠率即折扣，</w:t>
      </w:r>
      <w:r>
        <w:rPr>
          <w:rFonts w:hint="eastAsia" w:ascii="宋体" w:hAnsi="宋体" w:eastAsia="宋体" w:cs="宋体"/>
          <w:b/>
          <w:bCs/>
          <w:color w:val="auto"/>
          <w:sz w:val="24"/>
          <w:szCs w:val="24"/>
          <w:highlight w:val="none"/>
        </w:rPr>
        <w:t>供应商报价为以</w:t>
      </w:r>
      <w:r>
        <w:rPr>
          <w:rFonts w:hint="eastAsia" w:ascii="宋体" w:hAnsi="宋体" w:eastAsia="宋体" w:cs="宋体"/>
          <w:b/>
          <w:bCs/>
          <w:color w:val="auto"/>
          <w:sz w:val="24"/>
          <w:szCs w:val="24"/>
          <w:highlight w:val="none"/>
          <w:lang w:eastAsia="zh-CN"/>
        </w:rPr>
        <w:t>附表</w:t>
      </w:r>
      <w:r>
        <w:rPr>
          <w:rFonts w:hint="eastAsia" w:ascii="宋体" w:hAnsi="宋体" w:eastAsia="宋体" w:cs="宋体"/>
          <w:b/>
          <w:bCs/>
          <w:color w:val="auto"/>
          <w:sz w:val="24"/>
          <w:szCs w:val="24"/>
          <w:highlight w:val="none"/>
        </w:rPr>
        <w:t>标准的基础上报统一优惠率作为入围价格。具体项目结算时，采购单位可以与入围供应商商定不高于入围价格的成交单价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2、单个项目收费计算方式：按项目收费最高限价表（下附）计算所得金额×优惠率</w:t>
      </w:r>
      <w:r>
        <w:rPr>
          <w:rFonts w:hint="eastAsia" w:ascii="宋体" w:hAnsi="宋体" w:eastAsia="宋体" w:cs="宋体"/>
          <w:b/>
          <w:bCs/>
          <w:color w:val="auto"/>
          <w:sz w:val="24"/>
          <w:szCs w:val="24"/>
          <w:highlight w:val="none"/>
          <w:lang w:eastAsia="zh-CN"/>
        </w:rPr>
        <w:t>（折扣）</w:t>
      </w:r>
      <w:r>
        <w:rPr>
          <w:rFonts w:hint="eastAsia" w:ascii="宋体" w:hAnsi="宋体" w:eastAsia="宋体" w:cs="宋体"/>
          <w:b/>
          <w:bCs/>
          <w:color w:val="auto"/>
          <w:sz w:val="24"/>
          <w:szCs w:val="24"/>
          <w:highlight w:val="none"/>
        </w:rPr>
        <w:t>。</w:t>
      </w:r>
    </w:p>
    <w:p>
      <w:pPr>
        <w:keepNext w:val="0"/>
        <w:keepLines w:val="0"/>
        <w:pageBreakBefore w:val="0"/>
        <w:tabs>
          <w:tab w:val="left" w:pos="1418"/>
        </w:tabs>
        <w:kinsoku/>
        <w:wordWrap/>
        <w:overflowPunct/>
        <w:topLinePunct w:val="0"/>
        <w:autoSpaceDE/>
        <w:autoSpaceDN/>
        <w:bidi w:val="0"/>
        <w:snapToGrid/>
        <w:spacing w:line="360" w:lineRule="auto"/>
        <w:rPr>
          <w:rFonts w:hint="eastAsia" w:ascii="宋体" w:hAnsi="宋体" w:eastAsia="宋体" w:cs="宋体"/>
          <w:color w:val="auto"/>
          <w:sz w:val="24"/>
          <w:szCs w:val="24"/>
          <w:highlight w:val="none"/>
        </w:rPr>
      </w:pPr>
    </w:p>
    <w:p>
      <w:pPr>
        <w:keepNext w:val="0"/>
        <w:keepLines w:val="0"/>
        <w:pageBreakBefore w:val="0"/>
        <w:tabs>
          <w:tab w:val="left" w:pos="1418"/>
        </w:tabs>
        <w:kinsoku/>
        <w:wordWrap/>
        <w:overflowPunct/>
        <w:topLinePunct w:val="0"/>
        <w:autoSpaceDE/>
        <w:autoSpaceDN/>
        <w:bidi w:val="0"/>
        <w:snapToGrid/>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法定代表人或委托代理人签名：</w:t>
      </w:r>
      <w:r>
        <w:rPr>
          <w:rFonts w:hint="eastAsia" w:ascii="宋体" w:hAnsi="宋体" w:eastAsia="宋体" w:cs="宋体"/>
          <w:bCs/>
          <w:color w:val="auto"/>
          <w:sz w:val="24"/>
          <w:szCs w:val="24"/>
          <w:highlight w:val="none"/>
        </w:rPr>
        <w:t xml:space="preserve"> </w:t>
      </w:r>
    </w:p>
    <w:p>
      <w:pPr>
        <w:keepNext w:val="0"/>
        <w:keepLines w:val="0"/>
        <w:pageBreakBefore w:val="0"/>
        <w:tabs>
          <w:tab w:val="left" w:pos="1418"/>
        </w:tabs>
        <w:kinsoku/>
        <w:wordWrap/>
        <w:overflowPunct/>
        <w:topLinePunct w:val="0"/>
        <w:autoSpaceDE/>
        <w:autoSpaceDN/>
        <w:bidi w:val="0"/>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 标 人（盖章）：                              年  月  日</w:t>
      </w:r>
    </w:p>
    <w:p>
      <w:pPr>
        <w:pStyle w:val="6"/>
        <w:snapToGrid w:val="0"/>
        <w:ind w:left="0"/>
        <w:rPr>
          <w:rFonts w:hint="eastAsia" w:ascii="宋体" w:hAnsi="宋体" w:eastAsia="宋体" w:cs="宋体"/>
          <w:b w:val="0"/>
          <w:bCs w:val="0"/>
          <w:snapToGrid w:val="0"/>
          <w:color w:val="auto"/>
          <w:kern w:val="0"/>
          <w:sz w:val="24"/>
          <w:szCs w:val="24"/>
          <w:highlight w:val="none"/>
        </w:rPr>
      </w:pPr>
    </w:p>
    <w:p>
      <w:pPr>
        <w:rPr>
          <w:rFonts w:hint="eastAsia"/>
          <w:highlight w:val="none"/>
        </w:rPr>
      </w:pPr>
    </w:p>
    <w:p>
      <w:pPr>
        <w:rPr>
          <w:rFonts w:hint="eastAsia"/>
          <w:highlight w:val="none"/>
        </w:rPr>
      </w:pPr>
    </w:p>
    <w:p>
      <w:pPr>
        <w:pStyle w:val="6"/>
        <w:snapToGrid w:val="0"/>
        <w:ind w:left="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附：项目收费最高限价表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88"/>
        <w:gridCol w:w="1143"/>
        <w:gridCol w:w="970"/>
        <w:gridCol w:w="936"/>
        <w:gridCol w:w="1057"/>
        <w:gridCol w:w="1039"/>
        <w:gridCol w:w="970"/>
        <w:gridCol w:w="114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53"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取费</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取费基数</w:t>
            </w:r>
          </w:p>
        </w:tc>
        <w:tc>
          <w:tcPr>
            <w:tcW w:w="3571" w:type="pct"/>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1602"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分档累进计费标准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853"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color w:val="auto"/>
                <w:sz w:val="24"/>
                <w:szCs w:val="24"/>
                <w:highlight w:val="none"/>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100万元（含）以内</w:t>
            </w:r>
          </w:p>
        </w:tc>
        <w:tc>
          <w:tcPr>
            <w:tcW w:w="4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500万元（含）</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以内</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1000（含）</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1000- 2000（含）</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2000- 5000（含）</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10000（含）</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10000万元</w:t>
            </w:r>
          </w:p>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57" w:type="pct"/>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结算审</w:t>
            </w:r>
          </w:p>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核</w:t>
            </w:r>
          </w:p>
        </w:tc>
        <w:tc>
          <w:tcPr>
            <w:tcW w:w="496"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基本收费</w:t>
            </w:r>
          </w:p>
        </w:tc>
        <w:tc>
          <w:tcPr>
            <w:tcW w:w="57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送审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造价</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1.</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w:t>
            </w:r>
          </w:p>
        </w:tc>
        <w:tc>
          <w:tcPr>
            <w:tcW w:w="4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1.</w:t>
            </w:r>
            <w:r>
              <w:rPr>
                <w:rFonts w:hint="eastAsia" w:ascii="宋体" w:hAnsi="宋体" w:cs="宋体"/>
                <w:b/>
                <w:bCs/>
                <w:i w:val="0"/>
                <w:iCs w:val="0"/>
                <w:color w:val="auto"/>
                <w:kern w:val="0"/>
                <w:sz w:val="21"/>
                <w:szCs w:val="21"/>
                <w:highlight w:val="none"/>
                <w:u w:val="none"/>
                <w:lang w:val="en-US" w:eastAsia="zh-CN" w:bidi="ar"/>
              </w:rPr>
              <w:t>25</w:t>
            </w:r>
            <w:r>
              <w:rPr>
                <w:rFonts w:hint="eastAsia" w:ascii="宋体" w:hAnsi="宋体" w:eastAsia="宋体" w:cs="宋体"/>
                <w:b/>
                <w:bCs/>
                <w:i w:val="0"/>
                <w:iCs w:val="0"/>
                <w:color w:val="auto"/>
                <w:kern w:val="0"/>
                <w:sz w:val="21"/>
                <w:szCs w:val="21"/>
                <w:highlight w:val="none"/>
                <w:u w:val="none"/>
                <w:lang w:val="en-US" w:eastAsia="zh-CN" w:bidi="ar"/>
              </w:rPr>
              <w:t>‰</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cs="宋体"/>
                <w:b/>
                <w:bCs/>
                <w:i w:val="0"/>
                <w:iCs w:val="0"/>
                <w:color w:val="auto"/>
                <w:kern w:val="0"/>
                <w:sz w:val="21"/>
                <w:szCs w:val="21"/>
                <w:highlight w:val="none"/>
                <w:u w:val="none"/>
                <w:lang w:val="en-US" w:eastAsia="zh-CN" w:bidi="ar"/>
              </w:rPr>
              <w:t>1.1</w:t>
            </w:r>
            <w:r>
              <w:rPr>
                <w:rFonts w:hint="eastAsia" w:ascii="宋体" w:hAnsi="宋体" w:eastAsia="宋体" w:cs="宋体"/>
                <w:b/>
                <w:bCs/>
                <w:i w:val="0"/>
                <w:iCs w:val="0"/>
                <w:color w:val="auto"/>
                <w:kern w:val="0"/>
                <w:sz w:val="21"/>
                <w:szCs w:val="21"/>
                <w:highlight w:val="none"/>
                <w:u w:val="none"/>
                <w:lang w:val="en-US" w:eastAsia="zh-CN" w:bidi="ar"/>
              </w:rPr>
              <w:t>‰</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cs="宋体"/>
                <w:b/>
                <w:bCs/>
                <w:i w:val="0"/>
                <w:iCs w:val="0"/>
                <w:color w:val="auto"/>
                <w:kern w:val="0"/>
                <w:sz w:val="21"/>
                <w:szCs w:val="21"/>
                <w:highlight w:val="none"/>
                <w:u w:val="none"/>
                <w:lang w:val="en-US" w:eastAsia="zh-CN" w:bidi="ar"/>
              </w:rPr>
              <w:t>0.95</w:t>
            </w:r>
            <w:r>
              <w:rPr>
                <w:rFonts w:hint="eastAsia" w:ascii="宋体" w:hAnsi="宋体" w:eastAsia="宋体" w:cs="宋体"/>
                <w:b/>
                <w:bCs/>
                <w:i w:val="0"/>
                <w:iCs w:val="0"/>
                <w:color w:val="auto"/>
                <w:kern w:val="0"/>
                <w:sz w:val="21"/>
                <w:szCs w:val="21"/>
                <w:highlight w:val="none"/>
                <w:u w:val="none"/>
                <w:lang w:val="en-US" w:eastAsia="zh-CN" w:bidi="ar"/>
              </w:rPr>
              <w:t>‰</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8</w:t>
            </w:r>
            <w:r>
              <w:rPr>
                <w:rFonts w:hint="eastAsia" w:ascii="宋体" w:hAnsi="宋体" w:eastAsia="宋体" w:cs="宋体"/>
                <w:b/>
                <w:bCs/>
                <w:i w:val="0"/>
                <w:iCs w:val="0"/>
                <w:color w:val="auto"/>
                <w:kern w:val="0"/>
                <w:sz w:val="21"/>
                <w:szCs w:val="21"/>
                <w:highlight w:val="none"/>
                <w:u w:val="none"/>
                <w:lang w:val="en-US" w:eastAsia="zh-CN" w:bidi="ar"/>
              </w:rPr>
              <w:t>‰</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65</w:t>
            </w:r>
            <w:r>
              <w:rPr>
                <w:rFonts w:hint="eastAsia" w:ascii="宋体" w:hAnsi="宋体" w:eastAsia="宋体" w:cs="宋体"/>
                <w:b/>
                <w:bCs/>
                <w:i w:val="0"/>
                <w:iCs w:val="0"/>
                <w:color w:val="auto"/>
                <w:kern w:val="0"/>
                <w:sz w:val="21"/>
                <w:szCs w:val="21"/>
                <w:highlight w:val="none"/>
                <w:u w:val="none"/>
                <w:lang w:val="en-US" w:eastAsia="zh-CN" w:bidi="ar"/>
              </w:rPr>
              <w:t>‰</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核减追加费</w:t>
            </w:r>
          </w:p>
        </w:tc>
        <w:tc>
          <w:tcPr>
            <w:tcW w:w="57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净</w:t>
            </w:r>
            <w:r>
              <w:rPr>
                <w:rFonts w:hint="eastAsia" w:ascii="宋体" w:hAnsi="宋体" w:eastAsia="宋体" w:cs="宋体"/>
                <w:b/>
                <w:color w:val="auto"/>
                <w:sz w:val="24"/>
                <w:szCs w:val="24"/>
                <w:highlight w:val="none"/>
              </w:rPr>
              <w:t>核减额</w:t>
            </w:r>
          </w:p>
        </w:tc>
        <w:tc>
          <w:tcPr>
            <w:tcW w:w="3571" w:type="pct"/>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pct"/>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概算审核</w:t>
            </w:r>
          </w:p>
        </w:tc>
        <w:tc>
          <w:tcPr>
            <w:tcW w:w="57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概算</w:t>
            </w:r>
            <w:r>
              <w:rPr>
                <w:rFonts w:hint="eastAsia" w:ascii="宋体" w:hAnsi="宋体" w:eastAsia="宋体" w:cs="宋体"/>
                <w:b/>
                <w:color w:val="auto"/>
                <w:sz w:val="24"/>
                <w:szCs w:val="24"/>
                <w:highlight w:val="none"/>
                <w:lang w:val="en-US" w:eastAsia="zh-CN"/>
              </w:rPr>
              <w:t>计费金额</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68</w:t>
            </w:r>
            <w:r>
              <w:rPr>
                <w:rFonts w:hint="eastAsia" w:ascii="宋体" w:hAnsi="宋体" w:eastAsia="宋体" w:cs="宋体"/>
                <w:b/>
                <w:bCs/>
                <w:i w:val="0"/>
                <w:iCs w:val="0"/>
                <w:color w:val="auto"/>
                <w:kern w:val="0"/>
                <w:sz w:val="21"/>
                <w:szCs w:val="21"/>
                <w:highlight w:val="none"/>
                <w:u w:val="none"/>
                <w:lang w:val="en-US" w:eastAsia="zh-CN" w:bidi="ar"/>
              </w:rPr>
              <w:t>‰</w:t>
            </w:r>
          </w:p>
        </w:tc>
        <w:tc>
          <w:tcPr>
            <w:tcW w:w="4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w:t>
            </w:r>
            <w:r>
              <w:rPr>
                <w:rFonts w:hint="eastAsia" w:ascii="宋体" w:hAnsi="宋体" w:eastAsia="宋体" w:cs="宋体"/>
                <w:b/>
                <w:bCs/>
                <w:i w:val="0"/>
                <w:iCs w:val="0"/>
                <w:color w:val="auto"/>
                <w:kern w:val="0"/>
                <w:sz w:val="21"/>
                <w:szCs w:val="21"/>
                <w:highlight w:val="none"/>
                <w:u w:val="none"/>
                <w:lang w:val="en-US" w:eastAsia="zh-CN" w:bidi="ar"/>
              </w:rPr>
              <w:t>‰</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52</w:t>
            </w:r>
            <w:r>
              <w:rPr>
                <w:rFonts w:hint="eastAsia" w:ascii="宋体" w:hAnsi="宋体" w:eastAsia="宋体" w:cs="宋体"/>
                <w:b/>
                <w:bCs/>
                <w:i w:val="0"/>
                <w:iCs w:val="0"/>
                <w:color w:val="auto"/>
                <w:kern w:val="0"/>
                <w:sz w:val="21"/>
                <w:szCs w:val="21"/>
                <w:highlight w:val="none"/>
                <w:u w:val="none"/>
                <w:lang w:val="en-US" w:eastAsia="zh-CN" w:bidi="ar"/>
              </w:rPr>
              <w:t>‰</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44</w:t>
            </w:r>
            <w:r>
              <w:rPr>
                <w:rFonts w:hint="eastAsia" w:ascii="宋体" w:hAnsi="宋体" w:eastAsia="宋体" w:cs="宋体"/>
                <w:b/>
                <w:bCs/>
                <w:i w:val="0"/>
                <w:iCs w:val="0"/>
                <w:color w:val="auto"/>
                <w:kern w:val="0"/>
                <w:sz w:val="21"/>
                <w:szCs w:val="21"/>
                <w:highlight w:val="none"/>
                <w:u w:val="none"/>
                <w:lang w:val="en-US" w:eastAsia="zh-CN" w:bidi="ar"/>
              </w:rPr>
              <w:t>‰</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36</w:t>
            </w:r>
            <w:r>
              <w:rPr>
                <w:rFonts w:hint="eastAsia" w:ascii="宋体" w:hAnsi="宋体" w:eastAsia="宋体" w:cs="宋体"/>
                <w:b/>
                <w:bCs/>
                <w:i w:val="0"/>
                <w:iCs w:val="0"/>
                <w:color w:val="auto"/>
                <w:kern w:val="0"/>
                <w:sz w:val="21"/>
                <w:szCs w:val="21"/>
                <w:highlight w:val="none"/>
                <w:u w:val="none"/>
                <w:lang w:val="en-US" w:eastAsia="zh-CN" w:bidi="ar"/>
              </w:rPr>
              <w:t>‰</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32</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3" w:type="pct"/>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预算审核</w:t>
            </w:r>
          </w:p>
        </w:tc>
        <w:tc>
          <w:tcPr>
            <w:tcW w:w="57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送审价</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68</w:t>
            </w:r>
            <w:r>
              <w:rPr>
                <w:rFonts w:hint="eastAsia" w:ascii="宋体" w:hAnsi="宋体" w:eastAsia="宋体" w:cs="宋体"/>
                <w:b/>
                <w:bCs/>
                <w:i w:val="0"/>
                <w:iCs w:val="0"/>
                <w:color w:val="auto"/>
                <w:kern w:val="0"/>
                <w:sz w:val="21"/>
                <w:szCs w:val="21"/>
                <w:highlight w:val="none"/>
                <w:u w:val="none"/>
                <w:lang w:val="en-US" w:eastAsia="zh-CN" w:bidi="ar"/>
              </w:rPr>
              <w:t>‰</w:t>
            </w:r>
          </w:p>
        </w:tc>
        <w:tc>
          <w:tcPr>
            <w:tcW w:w="4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6</w:t>
            </w:r>
            <w:r>
              <w:rPr>
                <w:rFonts w:hint="eastAsia" w:ascii="宋体" w:hAnsi="宋体" w:eastAsia="宋体" w:cs="宋体"/>
                <w:b/>
                <w:bCs/>
                <w:i w:val="0"/>
                <w:iCs w:val="0"/>
                <w:color w:val="auto"/>
                <w:kern w:val="0"/>
                <w:sz w:val="21"/>
                <w:szCs w:val="21"/>
                <w:highlight w:val="none"/>
                <w:u w:val="none"/>
                <w:lang w:val="en-US" w:eastAsia="zh-CN" w:bidi="ar"/>
              </w:rPr>
              <w:t>‰</w:t>
            </w:r>
          </w:p>
        </w:tc>
        <w:tc>
          <w:tcPr>
            <w:tcW w:w="5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52</w:t>
            </w:r>
            <w:r>
              <w:rPr>
                <w:rFonts w:hint="eastAsia" w:ascii="宋体" w:hAnsi="宋体" w:eastAsia="宋体" w:cs="宋体"/>
                <w:b/>
                <w:bCs/>
                <w:i w:val="0"/>
                <w:iCs w:val="0"/>
                <w:color w:val="auto"/>
                <w:kern w:val="0"/>
                <w:sz w:val="21"/>
                <w:szCs w:val="21"/>
                <w:highlight w:val="none"/>
                <w:u w:val="none"/>
                <w:lang w:val="en-US" w:eastAsia="zh-CN" w:bidi="ar"/>
              </w:rPr>
              <w:t>‰</w:t>
            </w:r>
          </w:p>
        </w:tc>
        <w:tc>
          <w:tcPr>
            <w:tcW w:w="5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44</w:t>
            </w:r>
            <w:r>
              <w:rPr>
                <w:rFonts w:hint="eastAsia" w:ascii="宋体" w:hAnsi="宋体" w:eastAsia="宋体" w:cs="宋体"/>
                <w:b/>
                <w:bCs/>
                <w:i w:val="0"/>
                <w:iCs w:val="0"/>
                <w:color w:val="auto"/>
                <w:kern w:val="0"/>
                <w:sz w:val="21"/>
                <w:szCs w:val="21"/>
                <w:highlight w:val="none"/>
                <w:u w:val="none"/>
                <w:lang w:val="en-US" w:eastAsia="zh-CN" w:bidi="ar"/>
              </w:rPr>
              <w:t>‰</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w:t>
            </w:r>
          </w:p>
        </w:tc>
        <w:tc>
          <w:tcPr>
            <w:tcW w:w="5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0.3</w:t>
            </w:r>
            <w:r>
              <w:rPr>
                <w:rFonts w:hint="eastAsia" w:ascii="宋体" w:hAnsi="宋体" w:cs="宋体"/>
                <w:b/>
                <w:bCs/>
                <w:i w:val="0"/>
                <w:iCs w:val="0"/>
                <w:color w:val="auto"/>
                <w:kern w:val="0"/>
                <w:sz w:val="21"/>
                <w:szCs w:val="21"/>
                <w:highlight w:val="none"/>
                <w:u w:val="none"/>
                <w:lang w:val="en-US" w:eastAsia="zh-CN" w:bidi="ar"/>
              </w:rPr>
              <w:t>6</w:t>
            </w:r>
            <w:r>
              <w:rPr>
                <w:rFonts w:hint="eastAsia" w:ascii="宋体" w:hAnsi="宋体" w:eastAsia="宋体" w:cs="宋体"/>
                <w:b/>
                <w:bCs/>
                <w:i w:val="0"/>
                <w:iCs w:val="0"/>
                <w:color w:val="auto"/>
                <w:kern w:val="0"/>
                <w:sz w:val="21"/>
                <w:szCs w:val="21"/>
                <w:highlight w:val="none"/>
                <w:u w:val="none"/>
                <w:lang w:val="en-US" w:eastAsia="zh-CN" w:bidi="ar"/>
              </w:rPr>
              <w:t>‰</w:t>
            </w: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32</w:t>
            </w:r>
            <w:r>
              <w:rPr>
                <w:rFonts w:hint="eastAsia" w:ascii="宋体" w:hAnsi="宋体" w:eastAsia="宋体" w:cs="宋体"/>
                <w:b/>
                <w:bCs/>
                <w:i w:val="0"/>
                <w:iCs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结算审核收费中核减追加费计费基础为净核减金额</w:t>
      </w:r>
      <w:r>
        <w:rPr>
          <w:rFonts w:hint="eastAsia" w:ascii="宋体" w:hAnsi="宋体" w:eastAsia="宋体" w:cs="宋体"/>
          <w:color w:val="auto"/>
          <w:kern w:val="0"/>
          <w:sz w:val="21"/>
          <w:szCs w:val="21"/>
          <w:highlight w:val="none"/>
        </w:rPr>
        <w:t>超过送审造价5%幅度以外的核减额</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追加费公式如下：</w:t>
      </w:r>
      <w:r>
        <w:rPr>
          <w:rFonts w:hint="eastAsia" w:ascii="宋体" w:hAnsi="宋体" w:eastAsia="宋体" w:cs="宋体"/>
          <w:color w:val="auto"/>
          <w:kern w:val="0"/>
          <w:sz w:val="21"/>
          <w:szCs w:val="21"/>
          <w:highlight w:val="none"/>
          <w:lang w:val="en-US" w:eastAsia="zh-CN"/>
        </w:rPr>
        <w:t>C</w:t>
      </w:r>
      <w:r>
        <w:rPr>
          <w:rFonts w:hint="eastAsia" w:ascii="宋体" w:hAnsi="宋体" w:eastAsia="宋体" w:cs="宋体"/>
          <w:color w:val="auto"/>
          <w:kern w:val="0"/>
          <w:sz w:val="21"/>
          <w:szCs w:val="21"/>
          <w:highlight w:val="none"/>
        </w:rPr>
        <w:t>=（B-A*5%）*5%（A-送审造价、B-核减额、</w:t>
      </w:r>
      <w:r>
        <w:rPr>
          <w:rFonts w:hint="eastAsia" w:ascii="宋体" w:hAnsi="宋体" w:eastAsia="宋体" w:cs="宋体"/>
          <w:color w:val="auto"/>
          <w:kern w:val="0"/>
          <w:sz w:val="21"/>
          <w:szCs w:val="21"/>
          <w:highlight w:val="none"/>
          <w:lang w:val="en-US" w:eastAsia="zh-CN"/>
        </w:rPr>
        <w:t>C</w:t>
      </w:r>
      <w:r>
        <w:rPr>
          <w:rFonts w:hint="eastAsia" w:ascii="宋体" w:hAnsi="宋体" w:eastAsia="宋体" w:cs="宋体"/>
          <w:color w:val="auto"/>
          <w:kern w:val="0"/>
          <w:sz w:val="21"/>
          <w:szCs w:val="21"/>
          <w:highlight w:val="none"/>
        </w:rPr>
        <w:t>-追加费）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B-核减额不包括项目创杯奖励、标化工地、绿化项目维护不达标等情况暂扣的金额</w:t>
      </w:r>
      <w:r>
        <w:rPr>
          <w:rFonts w:hint="eastAsia" w:ascii="宋体" w:hAnsi="宋体" w:eastAsia="宋体" w:cs="宋体"/>
          <w:color w:val="auto"/>
          <w:kern w:val="0"/>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结算审核送审金额以施工单位提交，业主单位确认后的结算送审价为准，后续如有施工单位补送资料，涉及到结算送审价增加的，可以依据施工单位提交结算时的送审承诺收取追加送审费，</w:t>
      </w:r>
      <w:r>
        <w:rPr>
          <w:rFonts w:hint="eastAsia" w:ascii="宋体" w:hAnsi="宋体" w:eastAsia="宋体" w:cs="宋体"/>
          <w:color w:val="auto"/>
          <w:kern w:val="0"/>
          <w:sz w:val="21"/>
          <w:szCs w:val="21"/>
          <w:highlight w:val="none"/>
        </w:rPr>
        <w:t>追加</w:t>
      </w:r>
      <w:r>
        <w:rPr>
          <w:rFonts w:hint="eastAsia" w:ascii="宋体" w:hAnsi="宋体" w:eastAsia="宋体" w:cs="宋体"/>
          <w:color w:val="auto"/>
          <w:kern w:val="0"/>
          <w:sz w:val="21"/>
          <w:szCs w:val="21"/>
          <w:highlight w:val="none"/>
          <w:lang w:val="en-US" w:eastAsia="zh-CN"/>
        </w:rPr>
        <w:t>送审</w:t>
      </w:r>
      <w:r>
        <w:rPr>
          <w:rFonts w:hint="eastAsia" w:ascii="宋体" w:hAnsi="宋体" w:eastAsia="宋体" w:cs="宋体"/>
          <w:color w:val="auto"/>
          <w:kern w:val="0"/>
          <w:sz w:val="21"/>
          <w:szCs w:val="21"/>
          <w:highlight w:val="none"/>
        </w:rPr>
        <w:t>费公式如下：</w:t>
      </w:r>
      <w:r>
        <w:rPr>
          <w:rFonts w:hint="eastAsia" w:ascii="宋体" w:hAnsi="宋体" w:eastAsia="宋体" w:cs="宋体"/>
          <w:color w:val="auto"/>
          <w:kern w:val="0"/>
          <w:sz w:val="21"/>
          <w:szCs w:val="21"/>
          <w:highlight w:val="none"/>
          <w:lang w:val="en-US" w:eastAsia="zh-CN"/>
        </w:rPr>
        <w:t>D</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E</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D</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追加送审费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E</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补送部分增加的送审价</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对于追加送审部分不再收取核减追加费；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概算审核中计费金额以设计单位送审的概算金额为基础，但不包括项目送审土地费、建设期贷款利息；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)每件咨询服务合同按上述计算基本收费不足2000元的，送审总造价10万元（含）以上的按2000元计收，送审总造价10万元以下的按1000元计收。</w:t>
      </w:r>
    </w:p>
    <w:p>
      <w:pPr>
        <w:keepNext w:val="0"/>
        <w:keepLines w:val="0"/>
        <w:pageBreakBefore w:val="0"/>
        <w:tabs>
          <w:tab w:val="left" w:pos="1418"/>
        </w:tabs>
        <w:kinsoku/>
        <w:wordWrap/>
        <w:overflowPunct/>
        <w:topLinePunct w:val="0"/>
        <w:autoSpaceDE/>
        <w:autoSpaceDN/>
        <w:bidi w:val="0"/>
        <w:snapToGrid/>
        <w:spacing w:line="360" w:lineRule="auto"/>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highlight w:val="none"/>
        </w:rPr>
      </w:pPr>
    </w:p>
    <w:bookmarkEnd w:id="90"/>
    <w:bookmarkEnd w:id="91"/>
    <w:p>
      <w:pPr>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rPr>
        <w:t>附：</w:t>
      </w:r>
      <w:r>
        <w:rPr>
          <w:rFonts w:hint="eastAsia" w:ascii="宋体" w:hAnsi="宋体" w:eastAsia="宋体" w:cs="宋体"/>
          <w:color w:val="auto"/>
          <w:sz w:val="24"/>
          <w:szCs w:val="24"/>
          <w:highlight w:val="none"/>
        </w:rPr>
        <w:t>《平湖市财政局</w:t>
      </w:r>
      <w:r>
        <w:rPr>
          <w:rFonts w:hint="eastAsia" w:ascii="宋体" w:hAnsi="宋体" w:cs="宋体"/>
          <w:color w:val="auto"/>
          <w:sz w:val="24"/>
          <w:szCs w:val="24"/>
          <w:highlight w:val="none"/>
          <w:lang w:val="en-US" w:eastAsia="zh-CN"/>
        </w:rPr>
        <w:t>政府投资项目中介机构考核办法</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平</w:t>
      </w:r>
      <w:r>
        <w:rPr>
          <w:rFonts w:hint="eastAsia" w:ascii="宋体" w:hAnsi="宋体" w:eastAsia="宋体" w:cs="宋体"/>
          <w:color w:val="auto"/>
          <w:sz w:val="24"/>
          <w:szCs w:val="24"/>
          <w:highlight w:val="none"/>
        </w:rPr>
        <w:t>财</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号</w:t>
      </w:r>
      <w:r>
        <w:rPr>
          <w:rFonts w:hint="eastAsia" w:ascii="宋体" w:hAnsi="宋体" w:cs="宋体"/>
          <w:color w:val="auto"/>
          <w:sz w:val="24"/>
          <w:szCs w:val="24"/>
          <w:highlight w:val="none"/>
          <w:lang w:val="en-US" w:eastAsia="zh-CN"/>
        </w:rPr>
        <w:t>）</w:t>
      </w:r>
    </w:p>
    <w:sectPr>
      <w:headerReference r:id="rId7" w:type="default"/>
      <w:footerReference r:id="rId8" w:type="default"/>
      <w:pgSz w:w="11906" w:h="16838"/>
      <w:pgMar w:top="1440" w:right="1083" w:bottom="1440" w:left="1083" w:header="851" w:footer="850"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firstLine="210" w:firstLineChars="10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727835" cy="172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27835" cy="172720"/>
                      </a:xfrm>
                      <a:prstGeom prst="rect">
                        <a:avLst/>
                      </a:prstGeom>
                      <a:noFill/>
                      <a:ln>
                        <a:noFill/>
                      </a:ln>
                      <a:effectLst/>
                    </wps:spPr>
                    <wps:txbx>
                      <w:txbxContent>
                        <w:p>
                          <w:pPr>
                            <w:pStyle w:val="20"/>
                            <w:ind w:right="720" w:firstLine="180" w:firstLineChars="100"/>
                            <w:jc w:val="both"/>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36.05pt;mso-position-horizontal:right;mso-position-horizontal-relative:margin;mso-wrap-style:none;z-index:251659264;mso-width-relative:page;mso-height-relative:page;" filled="f" stroked="f" coordsize="21600,21600" o:gfxdata="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nLDK0AAAAAQBAAAPAAAAAAAAAAEAIAAAACIAAABkcnMv&#10;ZG93bnJldi54bWxQSwECFAAUAAAACACHTuJA/b+3GNIBAACmAwAADgAAAAAAAAABACAAAAAfAQAA&#10;ZHJzL2Uyb0RvYy54bWxQSwUGAAAAAAYABgBZAQAAYwUAAAAA&#10;">
              <v:fill on="f" focussize="0,0"/>
              <v:stroke on="f"/>
              <v:imagedata o:title=""/>
              <o:lock v:ext="edit" aspectratio="f"/>
              <v:textbox inset="0mm,0mm,0mm,0mm" style="mso-fit-shape-to-text:t;">
                <w:txbxContent>
                  <w:p>
                    <w:pPr>
                      <w:pStyle w:val="20"/>
                      <w:ind w:right="720" w:firstLine="180" w:firstLineChars="100"/>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firstLine="210" w:firstLineChars="10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727835" cy="172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7835" cy="172720"/>
                      </a:xfrm>
                      <a:prstGeom prst="rect">
                        <a:avLst/>
                      </a:prstGeom>
                      <a:noFill/>
                      <a:ln>
                        <a:noFill/>
                      </a:ln>
                      <a:effectLst/>
                    </wps:spPr>
                    <wps:txbx>
                      <w:txbxContent>
                        <w:p>
                          <w:pPr>
                            <w:pStyle w:val="20"/>
                            <w:ind w:right="720" w:firstLine="180" w:firstLineChars="100"/>
                            <w:jc w:val="both"/>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36.05pt;mso-position-horizontal:right;mso-position-horizontal-relative:margin;mso-wrap-style:none;z-index:251660288;mso-width-relative:page;mso-height-relative:page;" filled="f" stroked="f" coordsize="21600,21600" o:gfxdata="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icsMrQAAAABAEAAA8AAAAAAAAAAQAgAAAAIgAAAGRycy9k&#10;b3ducmV2LnhtbFBLAQIUABQAAAAIAIdO4kCzGQV70QEAAKYDAAAOAAAAAAAAAAEAIAAAAB8BAABk&#10;cnMvZTJvRG9jLnhtbFBLBQYAAAAABgAGAFkBAABiBQAAAAA=&#10;">
              <v:fill on="f" focussize="0,0"/>
              <v:stroke on="f"/>
              <v:imagedata o:title=""/>
              <o:lock v:ext="edit" aspectratio="f"/>
              <v:textbox inset="0mm,0mm,0mm,0mm" style="mso-fit-shape-to-text:t;">
                <w:txbxContent>
                  <w:p>
                    <w:pPr>
                      <w:pStyle w:val="20"/>
                      <w:ind w:right="720" w:firstLine="180" w:firstLineChars="100"/>
                      <w:jc w:val="both"/>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p>
                </w:txbxContent>
              </v:textbox>
            </v:shape>
          </w:pict>
        </mc:Fallback>
      </mc:AlternateContent>
    </w:r>
  </w:p>
  <w:p>
    <w:pPr>
      <w:pStyle w:val="20"/>
      <w:ind w:right="720" w:firstLine="210" w:firstLineChars="100"/>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62</w:t>
                          </w:r>
                          <w:r>
                            <w:rPr>
                              <w:b/>
                              <w:bCs/>
                              <w:sz w:val="24"/>
                              <w:szCs w:val="24"/>
                            </w:rPr>
                            <w:fldChar w:fldCharType="end"/>
                          </w:r>
                          <w:r>
                            <w:rPr>
                              <w:lang w:val="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jc w:val="center"/>
                    </w:pPr>
                    <w:r>
                      <w:rPr>
                        <w:b/>
                        <w:bCs/>
                        <w:sz w:val="24"/>
                        <w:szCs w:val="24"/>
                      </w:rPr>
                      <w:fldChar w:fldCharType="begin"/>
                    </w:r>
                    <w:r>
                      <w:rPr>
                        <w:b/>
                        <w:bCs/>
                      </w:rPr>
                      <w:instrText xml:space="preserve">PAGE</w:instrText>
                    </w:r>
                    <w:r>
                      <w:rPr>
                        <w:b/>
                        <w:bCs/>
                        <w:sz w:val="24"/>
                        <w:szCs w:val="24"/>
                      </w:rPr>
                      <w:fldChar w:fldCharType="separate"/>
                    </w:r>
                    <w:r>
                      <w:rPr>
                        <w:b/>
                        <w:bCs/>
                      </w:rPr>
                      <w:t>62</w:t>
                    </w:r>
                    <w:r>
                      <w:rPr>
                        <w:b/>
                        <w:bCs/>
                        <w:sz w:val="24"/>
                        <w:szCs w:val="24"/>
                      </w:rPr>
                      <w:fldChar w:fldCharType="end"/>
                    </w:r>
                    <w:r>
                      <w:rPr>
                        <w:lang w:val="zh-CN"/>
                      </w:rPr>
                      <w:t xml:space="preserve"> </w:t>
                    </w:r>
                  </w:p>
                </w:txbxContent>
              </v:textbox>
            </v:shape>
          </w:pict>
        </mc:Fallback>
      </mc:AlternateContent>
    </w:r>
  </w:p>
  <w:p>
    <w:pPr>
      <w:pStyle w:val="20"/>
      <w:ind w:right="720" w:firstLine="210" w:firstLineChars="100"/>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1C10C"/>
    <w:multiLevelType w:val="singleLevel"/>
    <w:tmpl w:val="A281C10C"/>
    <w:lvl w:ilvl="0" w:tentative="0">
      <w:start w:val="9"/>
      <w:numFmt w:val="chineseCounting"/>
      <w:suff w:val="nothing"/>
      <w:lvlText w:val="（%1）"/>
      <w:lvlJc w:val="left"/>
      <w:rPr>
        <w:rFonts w:hint="eastAsia"/>
      </w:rPr>
    </w:lvl>
  </w:abstractNum>
  <w:abstractNum w:abstractNumId="1">
    <w:nsid w:val="BD5E47D4"/>
    <w:multiLevelType w:val="singleLevel"/>
    <w:tmpl w:val="BD5E47D4"/>
    <w:lvl w:ilvl="0" w:tentative="0">
      <w:start w:val="3"/>
      <w:numFmt w:val="chineseCounting"/>
      <w:suff w:val="nothing"/>
      <w:lvlText w:val="第%1章　"/>
      <w:lvlJc w:val="left"/>
      <w:rPr>
        <w:rFonts w:hint="eastAsia"/>
      </w:rPr>
    </w:lvl>
  </w:abstractNum>
  <w:abstractNum w:abstractNumId="2">
    <w:nsid w:val="2BC850B1"/>
    <w:multiLevelType w:val="singleLevel"/>
    <w:tmpl w:val="2BC850B1"/>
    <w:lvl w:ilvl="0" w:tentative="0">
      <w:start w:val="4"/>
      <w:numFmt w:val="decimal"/>
      <w:suff w:val="nothing"/>
      <w:lvlText w:val="%1、"/>
      <w:lvlJc w:val="left"/>
    </w:lvl>
  </w:abstractNum>
  <w:abstractNum w:abstractNumId="3">
    <w:nsid w:val="6F1F1FA5"/>
    <w:multiLevelType w:val="singleLevel"/>
    <w:tmpl w:val="6F1F1FA5"/>
    <w:lvl w:ilvl="0" w:tentative="0">
      <w:start w:val="1"/>
      <w:numFmt w:val="decimal"/>
      <w:pStyle w:val="7"/>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mIwZWNhZjk2OTc5M2JlNTI3ZjliOWRiYjZkYzQifQ=="/>
  </w:docVars>
  <w:rsids>
    <w:rsidRoot w:val="3B9B3E26"/>
    <w:rsid w:val="00002AA7"/>
    <w:rsid w:val="00002B1F"/>
    <w:rsid w:val="00004555"/>
    <w:rsid w:val="00006D34"/>
    <w:rsid w:val="000108B6"/>
    <w:rsid w:val="00011F31"/>
    <w:rsid w:val="00014A54"/>
    <w:rsid w:val="00014F63"/>
    <w:rsid w:val="000175CA"/>
    <w:rsid w:val="00017601"/>
    <w:rsid w:val="00020E19"/>
    <w:rsid w:val="00022413"/>
    <w:rsid w:val="000279C0"/>
    <w:rsid w:val="00030559"/>
    <w:rsid w:val="0003664B"/>
    <w:rsid w:val="00036B88"/>
    <w:rsid w:val="00042AB1"/>
    <w:rsid w:val="0004607B"/>
    <w:rsid w:val="000511DF"/>
    <w:rsid w:val="000518FB"/>
    <w:rsid w:val="00053754"/>
    <w:rsid w:val="0005456A"/>
    <w:rsid w:val="00056756"/>
    <w:rsid w:val="00061B17"/>
    <w:rsid w:val="00065907"/>
    <w:rsid w:val="00067BC8"/>
    <w:rsid w:val="00071B7E"/>
    <w:rsid w:val="00072CA4"/>
    <w:rsid w:val="00072F55"/>
    <w:rsid w:val="00077280"/>
    <w:rsid w:val="00077396"/>
    <w:rsid w:val="00077E34"/>
    <w:rsid w:val="000810DE"/>
    <w:rsid w:val="00081D6D"/>
    <w:rsid w:val="00083106"/>
    <w:rsid w:val="00084C23"/>
    <w:rsid w:val="00084E44"/>
    <w:rsid w:val="00086A9C"/>
    <w:rsid w:val="00086E20"/>
    <w:rsid w:val="00096578"/>
    <w:rsid w:val="000976D4"/>
    <w:rsid w:val="000978DB"/>
    <w:rsid w:val="000A1849"/>
    <w:rsid w:val="000A1AA8"/>
    <w:rsid w:val="000A24BA"/>
    <w:rsid w:val="000A3EC9"/>
    <w:rsid w:val="000A5FC9"/>
    <w:rsid w:val="000B1459"/>
    <w:rsid w:val="000B281A"/>
    <w:rsid w:val="000C0B7C"/>
    <w:rsid w:val="000C2707"/>
    <w:rsid w:val="000C3F2D"/>
    <w:rsid w:val="000D4119"/>
    <w:rsid w:val="000D5ACE"/>
    <w:rsid w:val="000E2908"/>
    <w:rsid w:val="000F0ED6"/>
    <w:rsid w:val="000F4372"/>
    <w:rsid w:val="000F5D32"/>
    <w:rsid w:val="0010133B"/>
    <w:rsid w:val="00103375"/>
    <w:rsid w:val="00103726"/>
    <w:rsid w:val="001050AF"/>
    <w:rsid w:val="0010549D"/>
    <w:rsid w:val="00106EA7"/>
    <w:rsid w:val="00107633"/>
    <w:rsid w:val="00113C7E"/>
    <w:rsid w:val="00115454"/>
    <w:rsid w:val="00116E8C"/>
    <w:rsid w:val="001174FA"/>
    <w:rsid w:val="00136DC7"/>
    <w:rsid w:val="00146C3D"/>
    <w:rsid w:val="001653E5"/>
    <w:rsid w:val="001669C2"/>
    <w:rsid w:val="00167A9E"/>
    <w:rsid w:val="001720DA"/>
    <w:rsid w:val="0017308E"/>
    <w:rsid w:val="00173758"/>
    <w:rsid w:val="00174695"/>
    <w:rsid w:val="0017602E"/>
    <w:rsid w:val="00176270"/>
    <w:rsid w:val="00180604"/>
    <w:rsid w:val="00182F2F"/>
    <w:rsid w:val="00186951"/>
    <w:rsid w:val="00191EB8"/>
    <w:rsid w:val="00194949"/>
    <w:rsid w:val="00197F27"/>
    <w:rsid w:val="001A0EF4"/>
    <w:rsid w:val="001A1887"/>
    <w:rsid w:val="001A5D16"/>
    <w:rsid w:val="001A6E55"/>
    <w:rsid w:val="001B0B0A"/>
    <w:rsid w:val="001B3DF6"/>
    <w:rsid w:val="001C13C4"/>
    <w:rsid w:val="001C38FC"/>
    <w:rsid w:val="001C4134"/>
    <w:rsid w:val="001C6DEB"/>
    <w:rsid w:val="001D0165"/>
    <w:rsid w:val="001E668B"/>
    <w:rsid w:val="001F58CE"/>
    <w:rsid w:val="001F5ED5"/>
    <w:rsid w:val="001F6327"/>
    <w:rsid w:val="002013B5"/>
    <w:rsid w:val="0020169F"/>
    <w:rsid w:val="00201854"/>
    <w:rsid w:val="00201AC5"/>
    <w:rsid w:val="00206B02"/>
    <w:rsid w:val="00210038"/>
    <w:rsid w:val="00211272"/>
    <w:rsid w:val="00214D1B"/>
    <w:rsid w:val="00216FCA"/>
    <w:rsid w:val="00224612"/>
    <w:rsid w:val="00226792"/>
    <w:rsid w:val="00232287"/>
    <w:rsid w:val="00233162"/>
    <w:rsid w:val="002358CC"/>
    <w:rsid w:val="00240D1F"/>
    <w:rsid w:val="00241CBF"/>
    <w:rsid w:val="00242DE4"/>
    <w:rsid w:val="002457A9"/>
    <w:rsid w:val="00262574"/>
    <w:rsid w:val="00262DA9"/>
    <w:rsid w:val="00263474"/>
    <w:rsid w:val="00272130"/>
    <w:rsid w:val="00275638"/>
    <w:rsid w:val="0027613E"/>
    <w:rsid w:val="002808B4"/>
    <w:rsid w:val="00281EF6"/>
    <w:rsid w:val="0028406C"/>
    <w:rsid w:val="0028450E"/>
    <w:rsid w:val="00291D66"/>
    <w:rsid w:val="002922DF"/>
    <w:rsid w:val="0029244B"/>
    <w:rsid w:val="00296412"/>
    <w:rsid w:val="002A0C37"/>
    <w:rsid w:val="002A1ACB"/>
    <w:rsid w:val="002A56BA"/>
    <w:rsid w:val="002B1C80"/>
    <w:rsid w:val="002B5558"/>
    <w:rsid w:val="002D2F19"/>
    <w:rsid w:val="002D3223"/>
    <w:rsid w:val="002D48A1"/>
    <w:rsid w:val="002D67C4"/>
    <w:rsid w:val="002E605F"/>
    <w:rsid w:val="002F0C4F"/>
    <w:rsid w:val="002F2151"/>
    <w:rsid w:val="002F6074"/>
    <w:rsid w:val="003018D2"/>
    <w:rsid w:val="00303782"/>
    <w:rsid w:val="00304192"/>
    <w:rsid w:val="00305861"/>
    <w:rsid w:val="0031097E"/>
    <w:rsid w:val="00316620"/>
    <w:rsid w:val="00317F6B"/>
    <w:rsid w:val="003222AF"/>
    <w:rsid w:val="0032395E"/>
    <w:rsid w:val="00324DD5"/>
    <w:rsid w:val="00326C8F"/>
    <w:rsid w:val="00327F5F"/>
    <w:rsid w:val="00330E7E"/>
    <w:rsid w:val="00335CFF"/>
    <w:rsid w:val="00341B73"/>
    <w:rsid w:val="003427BC"/>
    <w:rsid w:val="003447BE"/>
    <w:rsid w:val="0034588E"/>
    <w:rsid w:val="00351363"/>
    <w:rsid w:val="003545F3"/>
    <w:rsid w:val="00354B71"/>
    <w:rsid w:val="00361E8E"/>
    <w:rsid w:val="003809D7"/>
    <w:rsid w:val="003824B9"/>
    <w:rsid w:val="00385451"/>
    <w:rsid w:val="00387139"/>
    <w:rsid w:val="00387219"/>
    <w:rsid w:val="00393038"/>
    <w:rsid w:val="003962EF"/>
    <w:rsid w:val="003A2188"/>
    <w:rsid w:val="003A3D3C"/>
    <w:rsid w:val="003A6229"/>
    <w:rsid w:val="003B19F5"/>
    <w:rsid w:val="003B3214"/>
    <w:rsid w:val="003B7A51"/>
    <w:rsid w:val="003B7A68"/>
    <w:rsid w:val="003C6A04"/>
    <w:rsid w:val="003C6A35"/>
    <w:rsid w:val="003D1010"/>
    <w:rsid w:val="003D5C96"/>
    <w:rsid w:val="003E1989"/>
    <w:rsid w:val="003E2FBF"/>
    <w:rsid w:val="003E620D"/>
    <w:rsid w:val="003E650D"/>
    <w:rsid w:val="003F1C4E"/>
    <w:rsid w:val="0040059A"/>
    <w:rsid w:val="00415232"/>
    <w:rsid w:val="0041525E"/>
    <w:rsid w:val="004166A8"/>
    <w:rsid w:val="00417567"/>
    <w:rsid w:val="004200F4"/>
    <w:rsid w:val="00421089"/>
    <w:rsid w:val="00421DBC"/>
    <w:rsid w:val="00422779"/>
    <w:rsid w:val="00427CA1"/>
    <w:rsid w:val="00430FFA"/>
    <w:rsid w:val="00432D25"/>
    <w:rsid w:val="00447C76"/>
    <w:rsid w:val="004606C9"/>
    <w:rsid w:val="004619C7"/>
    <w:rsid w:val="00463D5D"/>
    <w:rsid w:val="004752A1"/>
    <w:rsid w:val="00476D65"/>
    <w:rsid w:val="00476E8D"/>
    <w:rsid w:val="00480403"/>
    <w:rsid w:val="00480EDE"/>
    <w:rsid w:val="00485905"/>
    <w:rsid w:val="0049437D"/>
    <w:rsid w:val="00494B07"/>
    <w:rsid w:val="004A3215"/>
    <w:rsid w:val="004A3DA2"/>
    <w:rsid w:val="004A6A1B"/>
    <w:rsid w:val="004B26FA"/>
    <w:rsid w:val="004B37A2"/>
    <w:rsid w:val="004B636C"/>
    <w:rsid w:val="004B6A13"/>
    <w:rsid w:val="004B77C3"/>
    <w:rsid w:val="004C201C"/>
    <w:rsid w:val="004C4B98"/>
    <w:rsid w:val="004D3AE9"/>
    <w:rsid w:val="004D6328"/>
    <w:rsid w:val="004E04D8"/>
    <w:rsid w:val="004E1196"/>
    <w:rsid w:val="004E4986"/>
    <w:rsid w:val="004F1B63"/>
    <w:rsid w:val="004F5AF4"/>
    <w:rsid w:val="004F5BA1"/>
    <w:rsid w:val="00501FE7"/>
    <w:rsid w:val="00502E96"/>
    <w:rsid w:val="00512C31"/>
    <w:rsid w:val="0051346E"/>
    <w:rsid w:val="005245F8"/>
    <w:rsid w:val="0053010F"/>
    <w:rsid w:val="00530BF1"/>
    <w:rsid w:val="00536467"/>
    <w:rsid w:val="00537071"/>
    <w:rsid w:val="0053711C"/>
    <w:rsid w:val="00541162"/>
    <w:rsid w:val="005454F1"/>
    <w:rsid w:val="00547238"/>
    <w:rsid w:val="0054770F"/>
    <w:rsid w:val="00550DA8"/>
    <w:rsid w:val="00566D26"/>
    <w:rsid w:val="00567C8A"/>
    <w:rsid w:val="005705C1"/>
    <w:rsid w:val="00570CEA"/>
    <w:rsid w:val="00584C14"/>
    <w:rsid w:val="00585390"/>
    <w:rsid w:val="00585DAF"/>
    <w:rsid w:val="00593384"/>
    <w:rsid w:val="00593B2C"/>
    <w:rsid w:val="00593BC9"/>
    <w:rsid w:val="00593F38"/>
    <w:rsid w:val="0059523F"/>
    <w:rsid w:val="005A4A72"/>
    <w:rsid w:val="005A4ADD"/>
    <w:rsid w:val="005A51BD"/>
    <w:rsid w:val="005A5986"/>
    <w:rsid w:val="005A6F55"/>
    <w:rsid w:val="005B5E33"/>
    <w:rsid w:val="005B6A37"/>
    <w:rsid w:val="005C3A90"/>
    <w:rsid w:val="005C3C35"/>
    <w:rsid w:val="005C5371"/>
    <w:rsid w:val="005C798B"/>
    <w:rsid w:val="005D1964"/>
    <w:rsid w:val="005D2348"/>
    <w:rsid w:val="005D28FD"/>
    <w:rsid w:val="005D2E46"/>
    <w:rsid w:val="005F003C"/>
    <w:rsid w:val="005F63D4"/>
    <w:rsid w:val="005F7297"/>
    <w:rsid w:val="00606F46"/>
    <w:rsid w:val="00612422"/>
    <w:rsid w:val="00616042"/>
    <w:rsid w:val="006161A3"/>
    <w:rsid w:val="00620016"/>
    <w:rsid w:val="00624D1E"/>
    <w:rsid w:val="00626E73"/>
    <w:rsid w:val="00630577"/>
    <w:rsid w:val="00632CE7"/>
    <w:rsid w:val="00633208"/>
    <w:rsid w:val="006369B1"/>
    <w:rsid w:val="00637C1B"/>
    <w:rsid w:val="006402EC"/>
    <w:rsid w:val="00650056"/>
    <w:rsid w:val="0065005A"/>
    <w:rsid w:val="0065579B"/>
    <w:rsid w:val="0066031D"/>
    <w:rsid w:val="00661139"/>
    <w:rsid w:val="00662866"/>
    <w:rsid w:val="0066376A"/>
    <w:rsid w:val="00665F48"/>
    <w:rsid w:val="006767D7"/>
    <w:rsid w:val="006824DD"/>
    <w:rsid w:val="006856C9"/>
    <w:rsid w:val="006873F4"/>
    <w:rsid w:val="00694E50"/>
    <w:rsid w:val="006967AB"/>
    <w:rsid w:val="006A0C43"/>
    <w:rsid w:val="006A5443"/>
    <w:rsid w:val="006B3920"/>
    <w:rsid w:val="006B55E6"/>
    <w:rsid w:val="006B6005"/>
    <w:rsid w:val="006C68DE"/>
    <w:rsid w:val="006C76FD"/>
    <w:rsid w:val="006D2B18"/>
    <w:rsid w:val="006D51F1"/>
    <w:rsid w:val="006D7824"/>
    <w:rsid w:val="006E0A01"/>
    <w:rsid w:val="006E1BAF"/>
    <w:rsid w:val="006E46F0"/>
    <w:rsid w:val="006E77D4"/>
    <w:rsid w:val="006F5633"/>
    <w:rsid w:val="006F7650"/>
    <w:rsid w:val="00701F25"/>
    <w:rsid w:val="00702C2B"/>
    <w:rsid w:val="007079D3"/>
    <w:rsid w:val="00710759"/>
    <w:rsid w:val="0071125B"/>
    <w:rsid w:val="00714814"/>
    <w:rsid w:val="0072661E"/>
    <w:rsid w:val="00730C48"/>
    <w:rsid w:val="00731F5F"/>
    <w:rsid w:val="007358B1"/>
    <w:rsid w:val="00736023"/>
    <w:rsid w:val="0074271E"/>
    <w:rsid w:val="007428C1"/>
    <w:rsid w:val="00743764"/>
    <w:rsid w:val="00743AD4"/>
    <w:rsid w:val="00746A54"/>
    <w:rsid w:val="00747365"/>
    <w:rsid w:val="007507A9"/>
    <w:rsid w:val="007512BE"/>
    <w:rsid w:val="0075171F"/>
    <w:rsid w:val="0075199A"/>
    <w:rsid w:val="00751A38"/>
    <w:rsid w:val="007557F1"/>
    <w:rsid w:val="00762736"/>
    <w:rsid w:val="00762840"/>
    <w:rsid w:val="00762DF1"/>
    <w:rsid w:val="00764858"/>
    <w:rsid w:val="007701B8"/>
    <w:rsid w:val="00777662"/>
    <w:rsid w:val="00782FD1"/>
    <w:rsid w:val="00790180"/>
    <w:rsid w:val="00790B3F"/>
    <w:rsid w:val="007953A5"/>
    <w:rsid w:val="007972F1"/>
    <w:rsid w:val="007B054E"/>
    <w:rsid w:val="007B0C5C"/>
    <w:rsid w:val="007B10AF"/>
    <w:rsid w:val="007B2A3C"/>
    <w:rsid w:val="007C2644"/>
    <w:rsid w:val="007C2A45"/>
    <w:rsid w:val="007C3BDA"/>
    <w:rsid w:val="007D0208"/>
    <w:rsid w:val="007D0467"/>
    <w:rsid w:val="007D0F50"/>
    <w:rsid w:val="007D468D"/>
    <w:rsid w:val="007D4B53"/>
    <w:rsid w:val="007D66DA"/>
    <w:rsid w:val="007D7449"/>
    <w:rsid w:val="007E1047"/>
    <w:rsid w:val="007E3AC8"/>
    <w:rsid w:val="007E3CEB"/>
    <w:rsid w:val="007E5865"/>
    <w:rsid w:val="007F35CA"/>
    <w:rsid w:val="008003A6"/>
    <w:rsid w:val="00800BA4"/>
    <w:rsid w:val="008072DC"/>
    <w:rsid w:val="00807552"/>
    <w:rsid w:val="008140DA"/>
    <w:rsid w:val="00814CB1"/>
    <w:rsid w:val="008152EA"/>
    <w:rsid w:val="00816440"/>
    <w:rsid w:val="00822F4F"/>
    <w:rsid w:val="00824C6C"/>
    <w:rsid w:val="00827DB0"/>
    <w:rsid w:val="00831642"/>
    <w:rsid w:val="00833056"/>
    <w:rsid w:val="008357F1"/>
    <w:rsid w:val="00835E3D"/>
    <w:rsid w:val="00836D80"/>
    <w:rsid w:val="00837EBD"/>
    <w:rsid w:val="008421A8"/>
    <w:rsid w:val="00845029"/>
    <w:rsid w:val="00845F50"/>
    <w:rsid w:val="008476FF"/>
    <w:rsid w:val="0084775A"/>
    <w:rsid w:val="00851013"/>
    <w:rsid w:val="00852036"/>
    <w:rsid w:val="00856CC5"/>
    <w:rsid w:val="00860502"/>
    <w:rsid w:val="0086095F"/>
    <w:rsid w:val="00862283"/>
    <w:rsid w:val="008655CD"/>
    <w:rsid w:val="00866BA0"/>
    <w:rsid w:val="008717A0"/>
    <w:rsid w:val="00872707"/>
    <w:rsid w:val="00872D2F"/>
    <w:rsid w:val="00873C56"/>
    <w:rsid w:val="00876301"/>
    <w:rsid w:val="00876A8D"/>
    <w:rsid w:val="00882C40"/>
    <w:rsid w:val="00885415"/>
    <w:rsid w:val="00887472"/>
    <w:rsid w:val="00891E9C"/>
    <w:rsid w:val="00893F30"/>
    <w:rsid w:val="008948B0"/>
    <w:rsid w:val="00894A74"/>
    <w:rsid w:val="00896A0A"/>
    <w:rsid w:val="008A0B79"/>
    <w:rsid w:val="008A14FD"/>
    <w:rsid w:val="008A2E8A"/>
    <w:rsid w:val="008A3E0B"/>
    <w:rsid w:val="008A6110"/>
    <w:rsid w:val="008A6747"/>
    <w:rsid w:val="008B14FE"/>
    <w:rsid w:val="008B1782"/>
    <w:rsid w:val="008B1AB0"/>
    <w:rsid w:val="008B3393"/>
    <w:rsid w:val="008C2CC2"/>
    <w:rsid w:val="008C3276"/>
    <w:rsid w:val="008C3913"/>
    <w:rsid w:val="008D52BF"/>
    <w:rsid w:val="008D5D57"/>
    <w:rsid w:val="008E37CD"/>
    <w:rsid w:val="008E53D1"/>
    <w:rsid w:val="008E5FAE"/>
    <w:rsid w:val="008E7124"/>
    <w:rsid w:val="008F099B"/>
    <w:rsid w:val="008F09F1"/>
    <w:rsid w:val="008F5851"/>
    <w:rsid w:val="009057C4"/>
    <w:rsid w:val="00906669"/>
    <w:rsid w:val="00910033"/>
    <w:rsid w:val="00911B1A"/>
    <w:rsid w:val="00911F32"/>
    <w:rsid w:val="00912A8D"/>
    <w:rsid w:val="00912D1C"/>
    <w:rsid w:val="00912E64"/>
    <w:rsid w:val="00914F6C"/>
    <w:rsid w:val="00923322"/>
    <w:rsid w:val="00923BDF"/>
    <w:rsid w:val="00924059"/>
    <w:rsid w:val="00924F90"/>
    <w:rsid w:val="009273DA"/>
    <w:rsid w:val="00933CEB"/>
    <w:rsid w:val="00936692"/>
    <w:rsid w:val="00936701"/>
    <w:rsid w:val="00937228"/>
    <w:rsid w:val="009455C5"/>
    <w:rsid w:val="009521B7"/>
    <w:rsid w:val="00955AA9"/>
    <w:rsid w:val="009567DC"/>
    <w:rsid w:val="00961B74"/>
    <w:rsid w:val="00962DBE"/>
    <w:rsid w:val="00963885"/>
    <w:rsid w:val="00964112"/>
    <w:rsid w:val="009641AD"/>
    <w:rsid w:val="00964D50"/>
    <w:rsid w:val="00966CFE"/>
    <w:rsid w:val="00972A61"/>
    <w:rsid w:val="00987D75"/>
    <w:rsid w:val="00992AE8"/>
    <w:rsid w:val="0099787C"/>
    <w:rsid w:val="009A3101"/>
    <w:rsid w:val="009A5CC7"/>
    <w:rsid w:val="009A796B"/>
    <w:rsid w:val="009A7BB4"/>
    <w:rsid w:val="009B0237"/>
    <w:rsid w:val="009B3B9A"/>
    <w:rsid w:val="009B3D64"/>
    <w:rsid w:val="009B79C0"/>
    <w:rsid w:val="009C15C8"/>
    <w:rsid w:val="009D6A62"/>
    <w:rsid w:val="009E2BD0"/>
    <w:rsid w:val="009E357E"/>
    <w:rsid w:val="009E4DC6"/>
    <w:rsid w:val="009E56E3"/>
    <w:rsid w:val="009F1C10"/>
    <w:rsid w:val="009F21BD"/>
    <w:rsid w:val="009F26CB"/>
    <w:rsid w:val="009F2A5B"/>
    <w:rsid w:val="009F33C0"/>
    <w:rsid w:val="009F4B4A"/>
    <w:rsid w:val="009F509A"/>
    <w:rsid w:val="009F6B44"/>
    <w:rsid w:val="00A0178A"/>
    <w:rsid w:val="00A0306B"/>
    <w:rsid w:val="00A04526"/>
    <w:rsid w:val="00A22874"/>
    <w:rsid w:val="00A24A39"/>
    <w:rsid w:val="00A3558B"/>
    <w:rsid w:val="00A531B7"/>
    <w:rsid w:val="00A61466"/>
    <w:rsid w:val="00A65C2F"/>
    <w:rsid w:val="00A668F5"/>
    <w:rsid w:val="00A76F48"/>
    <w:rsid w:val="00A77C9C"/>
    <w:rsid w:val="00A80DB9"/>
    <w:rsid w:val="00A8215A"/>
    <w:rsid w:val="00A84C3F"/>
    <w:rsid w:val="00A87D28"/>
    <w:rsid w:val="00A9520F"/>
    <w:rsid w:val="00AA1C3A"/>
    <w:rsid w:val="00AA2016"/>
    <w:rsid w:val="00AA4496"/>
    <w:rsid w:val="00AA5133"/>
    <w:rsid w:val="00AA6E7A"/>
    <w:rsid w:val="00AB4263"/>
    <w:rsid w:val="00AB63F8"/>
    <w:rsid w:val="00AC099D"/>
    <w:rsid w:val="00AC770B"/>
    <w:rsid w:val="00AD4A0D"/>
    <w:rsid w:val="00AD54ED"/>
    <w:rsid w:val="00AD57C8"/>
    <w:rsid w:val="00AE633D"/>
    <w:rsid w:val="00AF1623"/>
    <w:rsid w:val="00AF29DA"/>
    <w:rsid w:val="00AF2BE3"/>
    <w:rsid w:val="00AF3BBE"/>
    <w:rsid w:val="00AF4939"/>
    <w:rsid w:val="00AF49CE"/>
    <w:rsid w:val="00AF4A10"/>
    <w:rsid w:val="00B0036F"/>
    <w:rsid w:val="00B00811"/>
    <w:rsid w:val="00B04DDF"/>
    <w:rsid w:val="00B054AB"/>
    <w:rsid w:val="00B067DE"/>
    <w:rsid w:val="00B0718C"/>
    <w:rsid w:val="00B109BA"/>
    <w:rsid w:val="00B10DD9"/>
    <w:rsid w:val="00B11EBB"/>
    <w:rsid w:val="00B1628B"/>
    <w:rsid w:val="00B20241"/>
    <w:rsid w:val="00B227CE"/>
    <w:rsid w:val="00B23139"/>
    <w:rsid w:val="00B25C0F"/>
    <w:rsid w:val="00B2703E"/>
    <w:rsid w:val="00B27B0B"/>
    <w:rsid w:val="00B31220"/>
    <w:rsid w:val="00B32197"/>
    <w:rsid w:val="00B33316"/>
    <w:rsid w:val="00B3466A"/>
    <w:rsid w:val="00B3598B"/>
    <w:rsid w:val="00B471BC"/>
    <w:rsid w:val="00B477D2"/>
    <w:rsid w:val="00B52D85"/>
    <w:rsid w:val="00B5486A"/>
    <w:rsid w:val="00B551ED"/>
    <w:rsid w:val="00B556AE"/>
    <w:rsid w:val="00B56CFB"/>
    <w:rsid w:val="00B60799"/>
    <w:rsid w:val="00B619EE"/>
    <w:rsid w:val="00B63515"/>
    <w:rsid w:val="00B652F7"/>
    <w:rsid w:val="00B72B6F"/>
    <w:rsid w:val="00B744D7"/>
    <w:rsid w:val="00B80A86"/>
    <w:rsid w:val="00B824F0"/>
    <w:rsid w:val="00B8273D"/>
    <w:rsid w:val="00B85CA0"/>
    <w:rsid w:val="00B9110F"/>
    <w:rsid w:val="00B95EB3"/>
    <w:rsid w:val="00B97FA4"/>
    <w:rsid w:val="00BA6B41"/>
    <w:rsid w:val="00BA72F3"/>
    <w:rsid w:val="00BA79CE"/>
    <w:rsid w:val="00BB229B"/>
    <w:rsid w:val="00BB44D8"/>
    <w:rsid w:val="00BB52C7"/>
    <w:rsid w:val="00BC5F7E"/>
    <w:rsid w:val="00BD0387"/>
    <w:rsid w:val="00BD1E64"/>
    <w:rsid w:val="00BD2852"/>
    <w:rsid w:val="00BE5063"/>
    <w:rsid w:val="00BF05B5"/>
    <w:rsid w:val="00C00AE7"/>
    <w:rsid w:val="00C00AF1"/>
    <w:rsid w:val="00C0193C"/>
    <w:rsid w:val="00C02CEA"/>
    <w:rsid w:val="00C0402A"/>
    <w:rsid w:val="00C15976"/>
    <w:rsid w:val="00C23F51"/>
    <w:rsid w:val="00C246AC"/>
    <w:rsid w:val="00C2629C"/>
    <w:rsid w:val="00C26FC3"/>
    <w:rsid w:val="00C2758E"/>
    <w:rsid w:val="00C412CC"/>
    <w:rsid w:val="00C4480B"/>
    <w:rsid w:val="00C50A2C"/>
    <w:rsid w:val="00C51931"/>
    <w:rsid w:val="00C55278"/>
    <w:rsid w:val="00C63AC9"/>
    <w:rsid w:val="00C70FF9"/>
    <w:rsid w:val="00C71AFF"/>
    <w:rsid w:val="00C7545E"/>
    <w:rsid w:val="00C75E6F"/>
    <w:rsid w:val="00C80FAF"/>
    <w:rsid w:val="00C80FDC"/>
    <w:rsid w:val="00C82663"/>
    <w:rsid w:val="00C82B5F"/>
    <w:rsid w:val="00C8431C"/>
    <w:rsid w:val="00C85810"/>
    <w:rsid w:val="00C91006"/>
    <w:rsid w:val="00C92681"/>
    <w:rsid w:val="00C92E4C"/>
    <w:rsid w:val="00C9344F"/>
    <w:rsid w:val="00C96E72"/>
    <w:rsid w:val="00CA1FB0"/>
    <w:rsid w:val="00CA6161"/>
    <w:rsid w:val="00CB2E58"/>
    <w:rsid w:val="00CB689C"/>
    <w:rsid w:val="00CB6E9D"/>
    <w:rsid w:val="00CC3637"/>
    <w:rsid w:val="00CC5EB8"/>
    <w:rsid w:val="00CC69D2"/>
    <w:rsid w:val="00CC6E77"/>
    <w:rsid w:val="00CC76E4"/>
    <w:rsid w:val="00CC7FE8"/>
    <w:rsid w:val="00CD0870"/>
    <w:rsid w:val="00CD5269"/>
    <w:rsid w:val="00CE0586"/>
    <w:rsid w:val="00CF29E1"/>
    <w:rsid w:val="00CF2AD5"/>
    <w:rsid w:val="00CF54D6"/>
    <w:rsid w:val="00D00D1B"/>
    <w:rsid w:val="00D03596"/>
    <w:rsid w:val="00D03E34"/>
    <w:rsid w:val="00D03E7C"/>
    <w:rsid w:val="00D13AFD"/>
    <w:rsid w:val="00D1701A"/>
    <w:rsid w:val="00D20DF3"/>
    <w:rsid w:val="00D222D9"/>
    <w:rsid w:val="00D235F4"/>
    <w:rsid w:val="00D25ECD"/>
    <w:rsid w:val="00D34718"/>
    <w:rsid w:val="00D367E3"/>
    <w:rsid w:val="00D36CA1"/>
    <w:rsid w:val="00D40D14"/>
    <w:rsid w:val="00D419D0"/>
    <w:rsid w:val="00D42ECF"/>
    <w:rsid w:val="00D43AFC"/>
    <w:rsid w:val="00D4586F"/>
    <w:rsid w:val="00D53208"/>
    <w:rsid w:val="00D55484"/>
    <w:rsid w:val="00D564FD"/>
    <w:rsid w:val="00D6539E"/>
    <w:rsid w:val="00D6742B"/>
    <w:rsid w:val="00D709D5"/>
    <w:rsid w:val="00D70DB4"/>
    <w:rsid w:val="00D7387F"/>
    <w:rsid w:val="00D8213D"/>
    <w:rsid w:val="00D86F6F"/>
    <w:rsid w:val="00D87289"/>
    <w:rsid w:val="00D8783A"/>
    <w:rsid w:val="00D9188C"/>
    <w:rsid w:val="00D96816"/>
    <w:rsid w:val="00DA69A7"/>
    <w:rsid w:val="00DA76C3"/>
    <w:rsid w:val="00DB00F4"/>
    <w:rsid w:val="00DB0E5F"/>
    <w:rsid w:val="00DB2E05"/>
    <w:rsid w:val="00DC1573"/>
    <w:rsid w:val="00DC4367"/>
    <w:rsid w:val="00DC6CAE"/>
    <w:rsid w:val="00DC7912"/>
    <w:rsid w:val="00DD3792"/>
    <w:rsid w:val="00DD65C5"/>
    <w:rsid w:val="00DE1734"/>
    <w:rsid w:val="00DE601E"/>
    <w:rsid w:val="00DE7FBB"/>
    <w:rsid w:val="00DF2AD4"/>
    <w:rsid w:val="00DF3E1C"/>
    <w:rsid w:val="00DF5E16"/>
    <w:rsid w:val="00DF630E"/>
    <w:rsid w:val="00DF6E98"/>
    <w:rsid w:val="00E01410"/>
    <w:rsid w:val="00E04D7F"/>
    <w:rsid w:val="00E10C76"/>
    <w:rsid w:val="00E20D8A"/>
    <w:rsid w:val="00E25662"/>
    <w:rsid w:val="00E279A0"/>
    <w:rsid w:val="00E30408"/>
    <w:rsid w:val="00E32E10"/>
    <w:rsid w:val="00E51156"/>
    <w:rsid w:val="00E55368"/>
    <w:rsid w:val="00E571A8"/>
    <w:rsid w:val="00E61B01"/>
    <w:rsid w:val="00E70DB8"/>
    <w:rsid w:val="00E728AD"/>
    <w:rsid w:val="00E73335"/>
    <w:rsid w:val="00E737D4"/>
    <w:rsid w:val="00E76EE7"/>
    <w:rsid w:val="00E77FD4"/>
    <w:rsid w:val="00E863B1"/>
    <w:rsid w:val="00E86484"/>
    <w:rsid w:val="00E86D50"/>
    <w:rsid w:val="00E9083D"/>
    <w:rsid w:val="00EA38FF"/>
    <w:rsid w:val="00EA6663"/>
    <w:rsid w:val="00EB161C"/>
    <w:rsid w:val="00EB2EDD"/>
    <w:rsid w:val="00EB4578"/>
    <w:rsid w:val="00EB45B9"/>
    <w:rsid w:val="00EB65E3"/>
    <w:rsid w:val="00EC1A3B"/>
    <w:rsid w:val="00EC21F1"/>
    <w:rsid w:val="00EC302F"/>
    <w:rsid w:val="00ED1EE8"/>
    <w:rsid w:val="00ED5E22"/>
    <w:rsid w:val="00ED6374"/>
    <w:rsid w:val="00ED7158"/>
    <w:rsid w:val="00EE050A"/>
    <w:rsid w:val="00EE15CB"/>
    <w:rsid w:val="00EE2D33"/>
    <w:rsid w:val="00EE56A1"/>
    <w:rsid w:val="00EF2FF2"/>
    <w:rsid w:val="00EF74FB"/>
    <w:rsid w:val="00F010B1"/>
    <w:rsid w:val="00F0255D"/>
    <w:rsid w:val="00F13DFE"/>
    <w:rsid w:val="00F15F93"/>
    <w:rsid w:val="00F17992"/>
    <w:rsid w:val="00F17AD6"/>
    <w:rsid w:val="00F20639"/>
    <w:rsid w:val="00F24300"/>
    <w:rsid w:val="00F26F8E"/>
    <w:rsid w:val="00F27CEF"/>
    <w:rsid w:val="00F32B47"/>
    <w:rsid w:val="00F41396"/>
    <w:rsid w:val="00F54234"/>
    <w:rsid w:val="00F54BFD"/>
    <w:rsid w:val="00F57822"/>
    <w:rsid w:val="00F603A3"/>
    <w:rsid w:val="00F64AF8"/>
    <w:rsid w:val="00F70D3B"/>
    <w:rsid w:val="00F715D3"/>
    <w:rsid w:val="00F767E6"/>
    <w:rsid w:val="00F77536"/>
    <w:rsid w:val="00F803C6"/>
    <w:rsid w:val="00F821BA"/>
    <w:rsid w:val="00F845F7"/>
    <w:rsid w:val="00F902AE"/>
    <w:rsid w:val="00F93259"/>
    <w:rsid w:val="00FA17C9"/>
    <w:rsid w:val="00FA52BB"/>
    <w:rsid w:val="00FA5CDE"/>
    <w:rsid w:val="00FC035C"/>
    <w:rsid w:val="00FC2F73"/>
    <w:rsid w:val="00FC3CC1"/>
    <w:rsid w:val="00FC67CE"/>
    <w:rsid w:val="00FC6899"/>
    <w:rsid w:val="00FC726A"/>
    <w:rsid w:val="00FD3FA8"/>
    <w:rsid w:val="00FD411E"/>
    <w:rsid w:val="00FD4E54"/>
    <w:rsid w:val="00FD60AC"/>
    <w:rsid w:val="00FE0968"/>
    <w:rsid w:val="00FE3DA5"/>
    <w:rsid w:val="00FE7C3E"/>
    <w:rsid w:val="00FF4988"/>
    <w:rsid w:val="01C938BC"/>
    <w:rsid w:val="01CB50A7"/>
    <w:rsid w:val="04F46512"/>
    <w:rsid w:val="0A187D10"/>
    <w:rsid w:val="0A515539"/>
    <w:rsid w:val="0C956CED"/>
    <w:rsid w:val="0D5C4F6B"/>
    <w:rsid w:val="0FFF3146"/>
    <w:rsid w:val="10564FC6"/>
    <w:rsid w:val="107458A3"/>
    <w:rsid w:val="119D744E"/>
    <w:rsid w:val="13037119"/>
    <w:rsid w:val="13FB1AB9"/>
    <w:rsid w:val="1549557C"/>
    <w:rsid w:val="16F06102"/>
    <w:rsid w:val="17165BEF"/>
    <w:rsid w:val="18B910F6"/>
    <w:rsid w:val="19657BE8"/>
    <w:rsid w:val="1E315A34"/>
    <w:rsid w:val="1F752D1F"/>
    <w:rsid w:val="208A7A5E"/>
    <w:rsid w:val="21985D58"/>
    <w:rsid w:val="224A3348"/>
    <w:rsid w:val="2505779F"/>
    <w:rsid w:val="25192D8D"/>
    <w:rsid w:val="2A0140CD"/>
    <w:rsid w:val="2C7768C8"/>
    <w:rsid w:val="2DD8754E"/>
    <w:rsid w:val="300D4693"/>
    <w:rsid w:val="31AA2DC1"/>
    <w:rsid w:val="33237E18"/>
    <w:rsid w:val="36B54B99"/>
    <w:rsid w:val="37C827A2"/>
    <w:rsid w:val="37CF3966"/>
    <w:rsid w:val="38306ACF"/>
    <w:rsid w:val="38EC167E"/>
    <w:rsid w:val="3A69472F"/>
    <w:rsid w:val="3AF2165C"/>
    <w:rsid w:val="3B9B3E26"/>
    <w:rsid w:val="3CDC0434"/>
    <w:rsid w:val="3DABB585"/>
    <w:rsid w:val="3DFF0A6B"/>
    <w:rsid w:val="493516BE"/>
    <w:rsid w:val="4A4D17E4"/>
    <w:rsid w:val="4B2D01A5"/>
    <w:rsid w:val="4C5B3AB9"/>
    <w:rsid w:val="4F1947B6"/>
    <w:rsid w:val="4F590DEE"/>
    <w:rsid w:val="522103D0"/>
    <w:rsid w:val="52524C09"/>
    <w:rsid w:val="52757A1D"/>
    <w:rsid w:val="531FF1BA"/>
    <w:rsid w:val="53585249"/>
    <w:rsid w:val="54CF6DAE"/>
    <w:rsid w:val="557D1D44"/>
    <w:rsid w:val="56DFF686"/>
    <w:rsid w:val="5A4B4E7F"/>
    <w:rsid w:val="5CDE0DF7"/>
    <w:rsid w:val="5CFD4F96"/>
    <w:rsid w:val="5DFE25AA"/>
    <w:rsid w:val="5E234674"/>
    <w:rsid w:val="5F0851BD"/>
    <w:rsid w:val="5FD46F1E"/>
    <w:rsid w:val="5FF74115"/>
    <w:rsid w:val="60E46EBB"/>
    <w:rsid w:val="63FE5690"/>
    <w:rsid w:val="65996667"/>
    <w:rsid w:val="65FF711F"/>
    <w:rsid w:val="6C4568C3"/>
    <w:rsid w:val="6C5F49A5"/>
    <w:rsid w:val="6D54187D"/>
    <w:rsid w:val="6DE361D4"/>
    <w:rsid w:val="6ECD5C67"/>
    <w:rsid w:val="731035D0"/>
    <w:rsid w:val="75FE0BA8"/>
    <w:rsid w:val="77E76A2C"/>
    <w:rsid w:val="780042EC"/>
    <w:rsid w:val="79207B86"/>
    <w:rsid w:val="79FEE19D"/>
    <w:rsid w:val="7A8B5282"/>
    <w:rsid w:val="7BBFDE4E"/>
    <w:rsid w:val="7DCBAADA"/>
    <w:rsid w:val="7EAFD3F7"/>
    <w:rsid w:val="7ED55B24"/>
    <w:rsid w:val="7ED9F2B8"/>
    <w:rsid w:val="92FF3DE6"/>
    <w:rsid w:val="AFEE2D01"/>
    <w:rsid w:val="BDFD0E1B"/>
    <w:rsid w:val="CF6F8B4E"/>
    <w:rsid w:val="D7F73119"/>
    <w:rsid w:val="DABFA47E"/>
    <w:rsid w:val="DB3E3CCF"/>
    <w:rsid w:val="DEDF86ED"/>
    <w:rsid w:val="DEFF29A1"/>
    <w:rsid w:val="DF571034"/>
    <w:rsid w:val="E2FD9A42"/>
    <w:rsid w:val="E6BE8510"/>
    <w:rsid w:val="E96E2C7B"/>
    <w:rsid w:val="EDD938E8"/>
    <w:rsid w:val="EDFF68D6"/>
    <w:rsid w:val="F5F59F92"/>
    <w:rsid w:val="F76F85C3"/>
    <w:rsid w:val="F9E7EAAB"/>
    <w:rsid w:val="FF338262"/>
    <w:rsid w:val="FF53F1B1"/>
    <w:rsid w:val="FFBBA200"/>
    <w:rsid w:val="FFD1AF35"/>
    <w:rsid w:val="FFFFA26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4"/>
      <w:szCs w:val="24"/>
      <w:lang w:val="en-US" w:eastAsia="zh-CN" w:bidi="ar-SA"/>
    </w:rPr>
  </w:style>
  <w:style w:type="paragraph" w:styleId="4">
    <w:name w:val="heading 1"/>
    <w:basedOn w:val="1"/>
    <w:next w:val="1"/>
    <w:qFormat/>
    <w:uiPriority w:val="0"/>
    <w:pPr>
      <w:keepNext/>
      <w:keepLines/>
      <w:spacing w:before="340" w:after="330" w:line="360" w:lineRule="auto"/>
      <w:jc w:val="center"/>
      <w:outlineLvl w:val="0"/>
    </w:pPr>
    <w:rPr>
      <w:rFonts w:ascii="楷体_GB2312" w:eastAsia="楷体_GB2312" w:cs="Times New Roman"/>
      <w:b/>
      <w:bCs/>
      <w:kern w:val="44"/>
      <w:sz w:val="44"/>
      <w:szCs w:val="44"/>
    </w:rPr>
  </w:style>
  <w:style w:type="paragraph" w:styleId="2">
    <w:name w:val="heading 2"/>
    <w:basedOn w:val="1"/>
    <w:next w:val="3"/>
    <w:link w:val="44"/>
    <w:qFormat/>
    <w:uiPriority w:val="0"/>
    <w:pPr>
      <w:keepNext/>
      <w:keepLines/>
      <w:spacing w:line="540" w:lineRule="exact"/>
      <w:jc w:val="left"/>
      <w:outlineLvl w:val="1"/>
    </w:pPr>
    <w:rPr>
      <w:rFonts w:ascii="Arial" w:hAnsi="Arial" w:cs="Times New Roman"/>
      <w:b/>
      <w:bCs/>
      <w:kern w:val="0"/>
      <w:szCs w:val="32"/>
    </w:rPr>
  </w:style>
  <w:style w:type="paragraph" w:styleId="5">
    <w:name w:val="heading 3"/>
    <w:basedOn w:val="1"/>
    <w:next w:val="1"/>
    <w:qFormat/>
    <w:uiPriority w:val="0"/>
    <w:pPr>
      <w:keepNext/>
      <w:keepLines/>
      <w:spacing w:line="360" w:lineRule="auto"/>
      <w:ind w:firstLine="482"/>
      <w:jc w:val="left"/>
      <w:outlineLvl w:val="2"/>
    </w:pPr>
    <w:rPr>
      <w:rFonts w:ascii="Cambria" w:hAnsi="Cambria" w:cs="Times New Roman"/>
      <w:b/>
      <w:bCs/>
    </w:rPr>
  </w:style>
  <w:style w:type="paragraph" w:styleId="6">
    <w:name w:val="heading 4"/>
    <w:basedOn w:val="1"/>
    <w:next w:val="1"/>
    <w:qFormat/>
    <w:uiPriority w:val="1"/>
    <w:pPr>
      <w:ind w:left="832"/>
      <w:outlineLvl w:val="3"/>
    </w:pPr>
    <w:rPr>
      <w:rFonts w:ascii="宋体" w:hAnsi="宋体"/>
      <w:b/>
      <w:bCs/>
      <w:sz w:val="21"/>
      <w:szCs w:val="21"/>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3">
    <w:name w:val="标准正文"/>
    <w:basedOn w:val="1"/>
    <w:qFormat/>
    <w:uiPriority w:val="0"/>
    <w:pPr>
      <w:spacing w:line="360" w:lineRule="auto"/>
      <w:ind w:firstLine="200" w:firstLineChars="200"/>
    </w:pPr>
    <w:rPr>
      <w:rFonts w:cs="Times New Roman"/>
      <w:szCs w:val="20"/>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rFonts w:cs="Times New Roman"/>
      <w:szCs w:val="22"/>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43"/>
    <w:unhideWhenUsed/>
    <w:qFormat/>
    <w:uiPriority w:val="99"/>
    <w:pPr>
      <w:jc w:val="left"/>
    </w:pPr>
    <w:rPr>
      <w:rFonts w:cs="Times New Roman"/>
      <w:kern w:val="0"/>
      <w:sz w:val="20"/>
    </w:rPr>
  </w:style>
  <w:style w:type="paragraph" w:styleId="11">
    <w:name w:val="Body Text 3"/>
    <w:basedOn w:val="1"/>
    <w:qFormat/>
    <w:uiPriority w:val="0"/>
    <w:pPr>
      <w:snapToGrid w:val="0"/>
      <w:spacing w:before="50" w:after="50"/>
    </w:pPr>
    <w:rPr>
      <w:rFonts w:ascii="Calibri" w:hAnsi="Calibri"/>
      <w:kern w:val="0"/>
      <w:sz w:val="20"/>
    </w:rPr>
  </w:style>
  <w:style w:type="paragraph" w:styleId="12">
    <w:name w:val="Body Text"/>
    <w:basedOn w:val="1"/>
    <w:next w:val="13"/>
    <w:link w:val="40"/>
    <w:qFormat/>
    <w:uiPriority w:val="0"/>
    <w:pPr>
      <w:spacing w:after="120"/>
    </w:pPr>
  </w:style>
  <w:style w:type="paragraph" w:styleId="13">
    <w:name w:val="Body Text First Indent"/>
    <w:basedOn w:val="12"/>
    <w:next w:val="1"/>
    <w:qFormat/>
    <w:uiPriority w:val="0"/>
    <w:pPr>
      <w:ind w:firstLine="420" w:firstLineChars="100"/>
    </w:pPr>
  </w:style>
  <w:style w:type="paragraph" w:styleId="14">
    <w:name w:val="Body Text Indent"/>
    <w:basedOn w:val="1"/>
    <w:next w:val="15"/>
    <w:qFormat/>
    <w:uiPriority w:val="0"/>
    <w:pPr>
      <w:spacing w:line="200" w:lineRule="exact"/>
      <w:ind w:firstLine="301"/>
    </w:pPr>
    <w:rPr>
      <w:rFonts w:ascii="宋体" w:hAnsi="Courier New" w:cs="Times New Roman"/>
      <w:spacing w:val="-4"/>
      <w:kern w:val="0"/>
      <w:sz w:val="18"/>
      <w:szCs w:val="20"/>
    </w:rPr>
  </w:style>
  <w:style w:type="paragraph" w:styleId="15">
    <w:name w:val="Body Text First Indent 2"/>
    <w:basedOn w:val="14"/>
    <w:next w:val="1"/>
    <w:link w:val="45"/>
    <w:qFormat/>
    <w:uiPriority w:val="0"/>
    <w:pPr>
      <w:spacing w:after="120" w:line="240" w:lineRule="auto"/>
      <w:ind w:left="420" w:leftChars="200" w:firstLine="420" w:firstLineChars="200"/>
    </w:pPr>
    <w:rPr>
      <w:sz w:val="21"/>
      <w:szCs w:val="24"/>
    </w:rPr>
  </w:style>
  <w:style w:type="paragraph" w:styleId="16">
    <w:name w:val="Block Text"/>
    <w:basedOn w:val="1"/>
    <w:qFormat/>
    <w:uiPriority w:val="0"/>
    <w:pPr>
      <w:spacing w:before="120" w:line="360" w:lineRule="auto"/>
      <w:ind w:left="824" w:right="202"/>
    </w:pPr>
    <w:rPr>
      <w:rFonts w:ascii="宋体" w:cs="Times New Roman"/>
      <w:szCs w:val="21"/>
    </w:rPr>
  </w:style>
  <w:style w:type="paragraph" w:styleId="17">
    <w:name w:val="Plain Text"/>
    <w:basedOn w:val="1"/>
    <w:next w:val="1"/>
    <w:link w:val="41"/>
    <w:qFormat/>
    <w:uiPriority w:val="0"/>
    <w:pPr>
      <w:spacing w:beforeLines="50" w:afterLines="50" w:line="400" w:lineRule="exact"/>
    </w:pPr>
    <w:rPr>
      <w:rFonts w:ascii="宋体" w:hAnsi="Courier New" w:cs="Times New Roman"/>
      <w:kern w:val="0"/>
    </w:rPr>
  </w:style>
  <w:style w:type="paragraph" w:styleId="18">
    <w:name w:val="Date"/>
    <w:basedOn w:val="1"/>
    <w:next w:val="1"/>
    <w:qFormat/>
    <w:uiPriority w:val="0"/>
    <w:pPr>
      <w:ind w:left="2500" w:leftChars="2500"/>
    </w:pPr>
    <w:rPr>
      <w:rFonts w:eastAsia="楷体_GB2312"/>
      <w:kern w:val="0"/>
      <w:sz w:val="32"/>
      <w:szCs w:val="20"/>
    </w:rPr>
  </w:style>
  <w:style w:type="paragraph" w:styleId="19">
    <w:name w:val="Balloon Text"/>
    <w:basedOn w:val="1"/>
    <w:qFormat/>
    <w:uiPriority w:val="0"/>
    <w:rPr>
      <w:rFonts w:cs="Times New Roman"/>
      <w:kern w:val="0"/>
      <w:sz w:val="18"/>
      <w:szCs w:val="18"/>
    </w:rPr>
  </w:style>
  <w:style w:type="paragraph" w:styleId="20">
    <w:name w:val="footer"/>
    <w:basedOn w:val="1"/>
    <w:qFormat/>
    <w:uiPriority w:val="0"/>
    <w:pPr>
      <w:tabs>
        <w:tab w:val="center" w:pos="4153"/>
        <w:tab w:val="right" w:pos="8306"/>
      </w:tabs>
      <w:snapToGrid w:val="0"/>
      <w:jc w:val="left"/>
    </w:pPr>
    <w:rPr>
      <w:rFonts w:cs="Times New Roman"/>
      <w:kern w:val="0"/>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23">
    <w:name w:val="toc 1"/>
    <w:basedOn w:val="1"/>
    <w:next w:val="1"/>
    <w:qFormat/>
    <w:uiPriority w:val="0"/>
    <w:rPr>
      <w:rFonts w:cs="Times New Roman"/>
    </w:rPr>
  </w:style>
  <w:style w:type="paragraph" w:styleId="24">
    <w:name w:val="List"/>
    <w:basedOn w:val="1"/>
    <w:qFormat/>
    <w:uiPriority w:val="0"/>
    <w:pPr>
      <w:ind w:left="200" w:hanging="200" w:hangingChars="200"/>
    </w:pPr>
    <w:rPr>
      <w:sz w:val="28"/>
    </w:rPr>
  </w:style>
  <w:style w:type="paragraph" w:styleId="25">
    <w:name w:val="toc 6"/>
    <w:basedOn w:val="1"/>
    <w:next w:val="1"/>
    <w:qFormat/>
    <w:uiPriority w:val="0"/>
    <w:pPr>
      <w:ind w:left="1050"/>
      <w:jc w:val="left"/>
    </w:pPr>
    <w:rPr>
      <w:rFonts w:ascii="Calibri" w:hAnsi="Calibri"/>
      <w:sz w:val="18"/>
      <w:szCs w:val="18"/>
    </w:rPr>
  </w:style>
  <w:style w:type="paragraph" w:styleId="26">
    <w:name w:val="Body Text Indent 3"/>
    <w:basedOn w:val="1"/>
    <w:qFormat/>
    <w:uiPriority w:val="0"/>
    <w:pPr>
      <w:snapToGrid w:val="0"/>
      <w:ind w:firstLine="480" w:firstLineChars="200"/>
      <w:jc w:val="left"/>
    </w:pPr>
    <w:rPr>
      <w:rFonts w:ascii="仿宋_GB2312" w:hAnsi="宋体" w:eastAsia="仿宋_GB2312" w:cs="Times New Roman"/>
      <w:color w:val="000000"/>
      <w:kern w:val="0"/>
    </w:rPr>
  </w:style>
  <w:style w:type="paragraph" w:styleId="27">
    <w:name w:val="Normal (Web)"/>
    <w:basedOn w:val="1"/>
    <w:qFormat/>
    <w:uiPriority w:val="0"/>
    <w:pPr>
      <w:widowControl/>
      <w:spacing w:before="100" w:beforeAutospacing="1" w:after="100" w:afterAutospacing="1"/>
      <w:jc w:val="left"/>
    </w:pPr>
    <w:rPr>
      <w:rFonts w:ascii="宋体" w:hAnsi="宋体" w:cs="Times New Roman"/>
      <w:kern w:val="0"/>
    </w:rPr>
  </w:style>
  <w:style w:type="character" w:styleId="30">
    <w:name w:val="Strong"/>
    <w:basedOn w:val="29"/>
    <w:qFormat/>
    <w:uiPriority w:val="22"/>
    <w:rPr>
      <w:b/>
      <w:bCs/>
    </w:rPr>
  </w:style>
  <w:style w:type="character" w:styleId="31">
    <w:name w:val="page number"/>
    <w:qFormat/>
    <w:uiPriority w:val="0"/>
  </w:style>
  <w:style w:type="character" w:styleId="32">
    <w:name w:val="Hyperlink"/>
    <w:qFormat/>
    <w:uiPriority w:val="0"/>
    <w:rPr>
      <w:rFonts w:ascii="Times New Roman" w:hAnsi="Times New Roman" w:eastAsia="宋体" w:cs="Times New Roman"/>
      <w:color w:val="0000FF"/>
      <w:u w:val="single"/>
    </w:rPr>
  </w:style>
  <w:style w:type="character" w:styleId="33">
    <w:name w:val="HTML Sample"/>
    <w:basedOn w:val="29"/>
    <w:qFormat/>
    <w:uiPriority w:val="0"/>
    <w:rPr>
      <w:rFonts w:ascii="Courier New" w:hAnsi="Courier New"/>
    </w:rPr>
  </w:style>
  <w:style w:type="paragraph" w:customStyle="1" w:styleId="3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5">
    <w:name w:val="正文2"/>
    <w:basedOn w:val="1"/>
    <w:qFormat/>
    <w:uiPriority w:val="0"/>
    <w:pPr>
      <w:spacing w:before="156" w:line="360" w:lineRule="auto"/>
      <w:ind w:firstLine="510" w:firstLineChars="200"/>
    </w:pPr>
    <w:rPr>
      <w:szCs w:val="20"/>
    </w:rPr>
  </w:style>
  <w:style w:type="paragraph" w:customStyle="1" w:styleId="36">
    <w:name w:val="List Paragraph1"/>
    <w:basedOn w:val="1"/>
    <w:qFormat/>
    <w:uiPriority w:val="0"/>
    <w:pPr>
      <w:ind w:firstLine="200" w:firstLineChars="200"/>
    </w:pPr>
    <w:rPr>
      <w:sz w:val="28"/>
      <w:szCs w:val="28"/>
    </w:rPr>
  </w:style>
  <w:style w:type="paragraph" w:customStyle="1" w:styleId="37">
    <w:name w:val="纯文本1"/>
    <w:basedOn w:val="1"/>
    <w:qFormat/>
    <w:uiPriority w:val="0"/>
    <w:pPr>
      <w:adjustRightInd w:val="0"/>
      <w:textAlignment w:val="baseline"/>
    </w:pPr>
    <w:rPr>
      <w:rFonts w:ascii="宋体" w:hAnsi="Courier New" w:eastAsia="楷体_GB2312" w:cs="Times New Roman"/>
      <w:sz w:val="26"/>
      <w:szCs w:val="20"/>
    </w:rPr>
  </w:style>
  <w:style w:type="paragraph" w:customStyle="1" w:styleId="3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9">
    <w:name w:val="纯文本2"/>
    <w:basedOn w:val="1"/>
    <w:qFormat/>
    <w:uiPriority w:val="0"/>
    <w:pPr>
      <w:adjustRightInd w:val="0"/>
      <w:textAlignment w:val="baseline"/>
    </w:pPr>
    <w:rPr>
      <w:rFonts w:ascii="宋体" w:hAnsi="Courier New" w:eastAsia="楷体_GB2312" w:cs="Times New Roman"/>
      <w:sz w:val="26"/>
      <w:szCs w:val="20"/>
    </w:rPr>
  </w:style>
  <w:style w:type="character" w:customStyle="1" w:styleId="40">
    <w:name w:val="正文文本 Char"/>
    <w:basedOn w:val="29"/>
    <w:link w:val="12"/>
    <w:qFormat/>
    <w:uiPriority w:val="0"/>
    <w:rPr>
      <w:rFonts w:ascii="Times New Roman" w:hAnsi="Times New Roman" w:eastAsia="宋体" w:cs="宋体"/>
      <w:kern w:val="2"/>
      <w:sz w:val="24"/>
      <w:szCs w:val="24"/>
    </w:rPr>
  </w:style>
  <w:style w:type="character" w:customStyle="1" w:styleId="41">
    <w:name w:val="纯文本 Char"/>
    <w:basedOn w:val="29"/>
    <w:link w:val="17"/>
    <w:qFormat/>
    <w:uiPriority w:val="0"/>
    <w:rPr>
      <w:rFonts w:ascii="宋体" w:hAnsi="Courier New"/>
      <w:sz w:val="24"/>
      <w:szCs w:val="24"/>
    </w:rPr>
  </w:style>
  <w:style w:type="character" w:customStyle="1" w:styleId="42">
    <w:name w:val="批注文字 Char"/>
    <w:basedOn w:val="29"/>
    <w:link w:val="10"/>
    <w:qFormat/>
    <w:uiPriority w:val="0"/>
    <w:rPr>
      <w:rFonts w:cs="宋体"/>
      <w:kern w:val="2"/>
      <w:sz w:val="24"/>
      <w:szCs w:val="24"/>
    </w:rPr>
  </w:style>
  <w:style w:type="character" w:customStyle="1" w:styleId="43">
    <w:name w:val="批注文字 Char1"/>
    <w:basedOn w:val="29"/>
    <w:link w:val="10"/>
    <w:qFormat/>
    <w:locked/>
    <w:uiPriority w:val="99"/>
    <w:rPr>
      <w:szCs w:val="24"/>
    </w:rPr>
  </w:style>
  <w:style w:type="character" w:customStyle="1" w:styleId="44">
    <w:name w:val="标题 2 Char"/>
    <w:basedOn w:val="29"/>
    <w:link w:val="2"/>
    <w:qFormat/>
    <w:uiPriority w:val="0"/>
    <w:rPr>
      <w:rFonts w:ascii="Arial" w:hAnsi="Arial"/>
      <w:b/>
      <w:bCs/>
      <w:sz w:val="24"/>
      <w:szCs w:val="32"/>
    </w:rPr>
  </w:style>
  <w:style w:type="character" w:customStyle="1" w:styleId="45">
    <w:name w:val="正文首行缩进 2 Char"/>
    <w:basedOn w:val="29"/>
    <w:link w:val="15"/>
    <w:qFormat/>
    <w:uiPriority w:val="0"/>
    <w:rPr>
      <w:rFonts w:ascii="宋体" w:hAnsi="Courier New"/>
      <w:spacing w:val="-4"/>
      <w:sz w:val="21"/>
      <w:szCs w:val="24"/>
    </w:rPr>
  </w:style>
  <w:style w:type="paragraph" w:customStyle="1" w:styleId="46">
    <w:name w:val="正文21"/>
    <w:basedOn w:val="1"/>
    <w:qFormat/>
    <w:uiPriority w:val="0"/>
    <w:pPr>
      <w:spacing w:before="156" w:line="360" w:lineRule="auto"/>
      <w:ind w:firstLine="510" w:firstLineChars="200"/>
    </w:pPr>
    <w:rPr>
      <w:rFonts w:ascii="Calibri" w:hAnsi="Calibri"/>
      <w:kern w:val="0"/>
      <w:sz w:val="24"/>
      <w:szCs w:val="20"/>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EC38D-EB2B-4228-A70E-DDCA8C16989B}">
  <ds:schemaRefs/>
</ds:datastoreItem>
</file>

<file path=docProps/app.xml><?xml version="1.0" encoding="utf-8"?>
<Properties xmlns="http://schemas.openxmlformats.org/officeDocument/2006/extended-properties" xmlns:vt="http://schemas.openxmlformats.org/officeDocument/2006/docPropsVTypes">
  <Template>Normal</Template>
  <Company>2017.4</Company>
  <Pages>56</Pages>
  <Words>29186</Words>
  <Characters>31113</Characters>
  <Lines>273</Lines>
  <Paragraphs>76</Paragraphs>
  <TotalTime>22</TotalTime>
  <ScaleCrop>false</ScaleCrop>
  <LinksUpToDate>false</LinksUpToDate>
  <CharactersWithSpaces>32266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2022-10-12T03:53:00Z</dcterms:created>
  <dc:creator>thtf-5</dc:creator>
  <cp:lastModifiedBy>欢乐向</cp:lastModifiedBy>
  <cp:lastPrinted>2024-11-20T00:44:00Z</cp:lastPrinted>
  <dcterms:modified xsi:type="dcterms:W3CDTF">2024-12-03T01:51:21Z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C8289A93E0B547FBB4A1049D3CDB3073</vt:lpwstr>
  </property>
  <property fmtid="{D5CDD505-2E9C-101B-9397-08002B2CF9AE}" pid="4" name="woTemplateTypoMode" linkTarget="0">
    <vt:lpwstr>web</vt:lpwstr>
  </property>
  <property fmtid="{D5CDD505-2E9C-101B-9397-08002B2CF9AE}" pid="5" name="woTemplate" linkTarget="0">
    <vt:i4>1</vt:i4>
  </property>
</Properties>
</file>