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s>
        <w:rPr>
          <w:rFonts w:ascii="宋体" w:hAnsi="宋体"/>
          <w:sz w:val="44"/>
          <w:szCs w:val="20"/>
        </w:rPr>
      </w:pPr>
      <w:bookmarkStart w:id="0" w:name="csmb"/>
      <w:bookmarkEnd w:id="0"/>
      <w:bookmarkStart w:id="1" w:name="jinjicd"/>
      <w:bookmarkEnd w:id="1"/>
      <w:r>
        <w:rPr>
          <w:rFonts w:hint="eastAsia" w:ascii="宋体" w:hAnsi="宋体"/>
          <w:sz w:val="44"/>
          <w:szCs w:val="20"/>
        </w:rPr>
        <w:t xml:space="preserve">  </w:t>
      </w:r>
    </w:p>
    <w:p>
      <w:pPr>
        <w:tabs>
          <w:tab w:val="left" w:pos="7200"/>
        </w:tabs>
        <w:rPr>
          <w:rFonts w:ascii="宋体" w:hAnsi="宋体"/>
          <w:sz w:val="44"/>
          <w:szCs w:val="20"/>
        </w:rPr>
      </w:pPr>
    </w:p>
    <w:p>
      <w:pPr>
        <w:tabs>
          <w:tab w:val="left" w:pos="7200"/>
        </w:tabs>
        <w:rPr>
          <w:rFonts w:ascii="宋体" w:hAnsi="宋体"/>
          <w:sz w:val="44"/>
          <w:szCs w:val="20"/>
        </w:rPr>
      </w:pPr>
      <w:r>
        <w:rPr>
          <w:rFonts w:ascii="宋体" w:hAnsi="宋体"/>
          <w:sz w:val="44"/>
          <w:szCs w:val="20"/>
        </w:rPr>
        <w:tab/>
      </w:r>
    </w:p>
    <w:p>
      <w:pPr>
        <w:jc w:val="center"/>
        <w:rPr>
          <w:rFonts w:ascii="宋体" w:hAnsi="宋体"/>
          <w:b/>
          <w:spacing w:val="60"/>
          <w:sz w:val="60"/>
          <w:szCs w:val="60"/>
        </w:rPr>
      </w:pPr>
      <w:r>
        <w:rPr>
          <w:rFonts w:hint="eastAsia" w:ascii="宋体" w:hAnsi="宋体"/>
          <w:b/>
          <w:spacing w:val="60"/>
          <w:sz w:val="60"/>
          <w:szCs w:val="60"/>
        </w:rPr>
        <w:t>天凝镇全域公共服务管理及镇区保洁服务项目</w:t>
      </w:r>
    </w:p>
    <w:p>
      <w:pPr>
        <w:jc w:val="center"/>
        <w:rPr>
          <w:rFonts w:ascii="宋体" w:hAnsi="宋体"/>
          <w:b/>
          <w:spacing w:val="60"/>
          <w:sz w:val="60"/>
          <w:szCs w:val="60"/>
        </w:rPr>
      </w:pPr>
    </w:p>
    <w:p>
      <w:pPr>
        <w:spacing w:beforeLines="50"/>
        <w:jc w:val="center"/>
        <w:rPr>
          <w:rFonts w:ascii="宋体" w:hAnsi="宋体"/>
          <w:sz w:val="72"/>
          <w:szCs w:val="72"/>
        </w:rPr>
      </w:pPr>
      <w:r>
        <w:rPr>
          <w:rFonts w:hint="eastAsia" w:ascii="宋体" w:hAnsi="宋体"/>
          <w:sz w:val="72"/>
          <w:szCs w:val="72"/>
        </w:rPr>
        <w:t>招标文件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20"/>
        <w:snapToGrid w:val="0"/>
        <w:spacing w:beforeLines="0" w:afterLines="0" w:line="360" w:lineRule="auto"/>
        <w:ind w:left="840" w:leftChars="400"/>
        <w:rPr>
          <w:b/>
          <w:sz w:val="30"/>
          <w:szCs w:val="30"/>
        </w:rPr>
      </w:pPr>
      <w:r>
        <w:rPr>
          <w:b/>
          <w:sz w:val="30"/>
          <w:szCs w:val="30"/>
        </w:rPr>
        <w:t>项目编号：</w:t>
      </w:r>
      <w:r>
        <w:rPr>
          <w:rFonts w:hint="eastAsia" w:hAnsi="宋体"/>
          <w:b/>
          <w:sz w:val="30"/>
          <w:szCs w:val="48"/>
        </w:rPr>
        <w:t>2020（888）</w:t>
      </w:r>
    </w:p>
    <w:p>
      <w:pPr>
        <w:pStyle w:val="20"/>
        <w:snapToGrid w:val="0"/>
        <w:spacing w:beforeLines="0" w:afterLines="0" w:line="360" w:lineRule="auto"/>
        <w:ind w:left="2345" w:leftChars="400" w:hanging="1505" w:hangingChars="500"/>
        <w:rPr>
          <w:b/>
          <w:sz w:val="30"/>
          <w:szCs w:val="30"/>
        </w:rPr>
      </w:pPr>
      <w:r>
        <w:rPr>
          <w:rFonts w:hint="eastAsia"/>
          <w:b/>
          <w:sz w:val="30"/>
          <w:szCs w:val="30"/>
        </w:rPr>
        <w:t>项目名称：</w:t>
      </w:r>
      <w:r>
        <w:rPr>
          <w:rFonts w:hint="eastAsia" w:hAnsi="宋体"/>
          <w:b/>
          <w:sz w:val="30"/>
          <w:szCs w:val="48"/>
        </w:rPr>
        <w:t>天凝镇全域公共服务管理及镇区保洁服务项目</w:t>
      </w:r>
    </w:p>
    <w:p>
      <w:pPr>
        <w:pStyle w:val="20"/>
        <w:snapToGrid w:val="0"/>
        <w:spacing w:beforeLines="0" w:afterLines="0" w:line="360" w:lineRule="auto"/>
        <w:ind w:left="840" w:leftChars="400"/>
        <w:rPr>
          <w:rFonts w:hAnsi="宋体" w:cs="Arial"/>
          <w:b/>
          <w:sz w:val="30"/>
          <w:szCs w:val="30"/>
        </w:rPr>
      </w:pPr>
      <w:r>
        <w:rPr>
          <w:b/>
          <w:sz w:val="30"/>
          <w:szCs w:val="30"/>
        </w:rPr>
        <w:t>采购人：</w:t>
      </w:r>
      <w:r>
        <w:rPr>
          <w:rFonts w:hint="eastAsia" w:hAnsi="宋体"/>
          <w:b/>
          <w:sz w:val="30"/>
          <w:szCs w:val="48"/>
        </w:rPr>
        <w:t>嘉善县天凝镇人民政府</w:t>
      </w:r>
    </w:p>
    <w:p>
      <w:pPr>
        <w:pStyle w:val="20"/>
        <w:snapToGrid w:val="0"/>
        <w:spacing w:beforeLines="0" w:afterLines="0" w:line="360" w:lineRule="auto"/>
        <w:ind w:left="840" w:leftChars="400"/>
        <w:rPr>
          <w:rFonts w:hAnsi="宋体"/>
          <w:b/>
          <w:bCs/>
          <w:sz w:val="30"/>
          <w:szCs w:val="30"/>
        </w:rPr>
      </w:pPr>
      <w:r>
        <w:rPr>
          <w:rFonts w:hint="eastAsia"/>
          <w:b/>
          <w:sz w:val="30"/>
          <w:szCs w:val="30"/>
        </w:rPr>
        <w:t>招标代理机构</w:t>
      </w:r>
      <w:r>
        <w:rPr>
          <w:b/>
          <w:sz w:val="30"/>
          <w:szCs w:val="30"/>
        </w:rPr>
        <w:t>：</w:t>
      </w:r>
      <w:r>
        <w:rPr>
          <w:rFonts w:hint="eastAsia" w:hAnsi="宋体"/>
          <w:b/>
          <w:sz w:val="30"/>
          <w:szCs w:val="48"/>
        </w:rPr>
        <w:t>嘉兴市华信工程咨询有限公司</w:t>
      </w:r>
    </w:p>
    <w:p>
      <w:pPr>
        <w:adjustRightInd w:val="0"/>
        <w:snapToGrid w:val="0"/>
        <w:spacing w:line="360" w:lineRule="auto"/>
        <w:jc w:val="center"/>
        <w:rPr>
          <w:rFonts w:ascii="宋体" w:hAnsi="宋体"/>
          <w:sz w:val="30"/>
        </w:rPr>
      </w:pPr>
      <w:r>
        <w:rPr>
          <w:rFonts w:ascii="宋体" w:hAnsi="宋体"/>
          <w:bCs/>
          <w:w w:val="95"/>
          <w:sz w:val="30"/>
          <w:szCs w:val="30"/>
        </w:rPr>
        <w:t>2020年4月</w:t>
      </w:r>
    </w:p>
    <w:p>
      <w:pPr>
        <w:snapToGrid w:val="0"/>
        <w:spacing w:beforeLines="50" w:line="360" w:lineRule="auto"/>
        <w:ind w:left="384" w:leftChars="183" w:firstLine="3374" w:firstLineChars="1607"/>
        <w:jc w:val="right"/>
      </w:pPr>
    </w:p>
    <w:sdt>
      <w:sdtPr>
        <w:rPr>
          <w:rFonts w:ascii="Times New Roman" w:hAnsi="Times New Roman" w:eastAsia="宋体" w:cs="Times New Roman"/>
          <w:b w:val="0"/>
          <w:bCs w:val="0"/>
          <w:color w:val="auto"/>
          <w:kern w:val="2"/>
          <w:sz w:val="21"/>
          <w:szCs w:val="24"/>
          <w:lang w:val="zh-CN"/>
        </w:rPr>
        <w:id w:val="10563483"/>
        <w:docPartObj>
          <w:docPartGallery w:val="Table of Contents"/>
          <w:docPartUnique/>
        </w:docPartObj>
      </w:sdtPr>
      <w:sdtEndPr>
        <w:rPr>
          <w:rFonts w:cs="Times New Roman" w:asciiTheme="minorEastAsia" w:hAnsiTheme="minorEastAsia" w:eastAsiaTheme="minorEastAsia"/>
          <w:b w:val="0"/>
          <w:bCs w:val="0"/>
          <w:color w:val="auto"/>
          <w:kern w:val="2"/>
          <w:sz w:val="24"/>
          <w:szCs w:val="24"/>
          <w:lang w:val="en-US"/>
        </w:rPr>
      </w:sdtEndPr>
      <w:sdtContent>
        <w:p>
          <w:pPr>
            <w:pStyle w:val="255"/>
            <w:jc w:val="center"/>
            <w:rPr>
              <w:color w:val="auto"/>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27"/>
            <w:tabs>
              <w:tab w:val="right" w:leader="dot" w:pos="8210"/>
            </w:tabs>
            <w:spacing w:line="420" w:lineRule="exact"/>
            <w:rPr>
              <w:rFonts w:asciiTheme="minorHAnsi" w:hAnsiTheme="minorHAnsi"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"_Toc38306944" </w:instrText>
          </w:r>
          <w:r>
            <w:fldChar w:fldCharType="separate"/>
          </w:r>
          <w:r>
            <w:rPr>
              <w:rStyle w:val="47"/>
              <w:rFonts w:hint="eastAsia"/>
              <w:sz w:val="24"/>
            </w:rPr>
            <w:t>第一章</w:t>
          </w:r>
          <w:r>
            <w:rPr>
              <w:rStyle w:val="47"/>
              <w:sz w:val="24"/>
            </w:rPr>
            <w:t xml:space="preserve">  </w:t>
          </w:r>
          <w:r>
            <w:rPr>
              <w:rStyle w:val="47"/>
              <w:rFonts w:hint="eastAsia"/>
              <w:sz w:val="24"/>
            </w:rPr>
            <w:t>招标公告</w:t>
          </w:r>
          <w:r>
            <w:rPr>
              <w:sz w:val="24"/>
            </w:rPr>
            <w:tab/>
          </w:r>
          <w:r>
            <w:rPr>
              <w:sz w:val="24"/>
            </w:rPr>
            <w:fldChar w:fldCharType="begin"/>
          </w:r>
          <w:r>
            <w:rPr>
              <w:sz w:val="24"/>
            </w:rPr>
            <w:instrText xml:space="preserve"> PAGEREF _Toc38306944 \h </w:instrText>
          </w:r>
          <w:r>
            <w:rPr>
              <w:sz w:val="24"/>
            </w:rPr>
            <w:fldChar w:fldCharType="separate"/>
          </w:r>
          <w:r>
            <w:rPr>
              <w:sz w:val="24"/>
            </w:rPr>
            <w:t>1</w:t>
          </w:r>
          <w:r>
            <w:rPr>
              <w:sz w:val="24"/>
            </w:rPr>
            <w:fldChar w:fldCharType="end"/>
          </w:r>
          <w:r>
            <w:rPr>
              <w:sz w:val="24"/>
            </w:rPr>
            <w:fldChar w:fldCharType="end"/>
          </w:r>
        </w:p>
        <w:p>
          <w:pPr>
            <w:pStyle w:val="27"/>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"_Toc38306945" </w:instrText>
          </w:r>
          <w:r>
            <w:fldChar w:fldCharType="separate"/>
          </w:r>
          <w:r>
            <w:rPr>
              <w:rStyle w:val="47"/>
              <w:rFonts w:hint="eastAsia"/>
              <w:sz w:val="24"/>
            </w:rPr>
            <w:t>第二章</w:t>
          </w:r>
          <w:r>
            <w:rPr>
              <w:rStyle w:val="47"/>
              <w:sz w:val="24"/>
            </w:rPr>
            <w:t xml:space="preserve">  </w:t>
          </w:r>
          <w:r>
            <w:rPr>
              <w:rStyle w:val="47"/>
              <w:rFonts w:hint="eastAsia"/>
              <w:sz w:val="24"/>
            </w:rPr>
            <w:t>投标人须知</w:t>
          </w:r>
          <w:r>
            <w:rPr>
              <w:sz w:val="24"/>
            </w:rPr>
            <w:tab/>
          </w:r>
          <w:r>
            <w:rPr>
              <w:sz w:val="24"/>
            </w:rPr>
            <w:fldChar w:fldCharType="begin"/>
          </w:r>
          <w:r>
            <w:rPr>
              <w:sz w:val="24"/>
            </w:rPr>
            <w:instrText xml:space="preserve"> PAGEREF _Toc38306945 \h </w:instrText>
          </w:r>
          <w:r>
            <w:rPr>
              <w:sz w:val="24"/>
            </w:rPr>
            <w:fldChar w:fldCharType="separate"/>
          </w:r>
          <w:r>
            <w:rPr>
              <w:sz w:val="24"/>
            </w:rPr>
            <w:t>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"_Toc38306946" </w:instrText>
          </w:r>
          <w:r>
            <w:fldChar w:fldCharType="separate"/>
          </w:r>
          <w:r>
            <w:rPr>
              <w:rStyle w:val="47"/>
              <w:rFonts w:hint="eastAsia" w:ascii="宋体" w:hAnsi="宋体"/>
              <w:sz w:val="24"/>
            </w:rPr>
            <w:t>前附表</w:t>
          </w:r>
          <w:r>
            <w:rPr>
              <w:sz w:val="24"/>
            </w:rPr>
            <w:tab/>
          </w:r>
          <w:r>
            <w:rPr>
              <w:sz w:val="24"/>
            </w:rPr>
            <w:fldChar w:fldCharType="begin"/>
          </w:r>
          <w:r>
            <w:rPr>
              <w:sz w:val="24"/>
            </w:rPr>
            <w:instrText xml:space="preserve"> PAGEREF _Toc38306946 \h </w:instrText>
          </w:r>
          <w:r>
            <w:rPr>
              <w:sz w:val="24"/>
            </w:rPr>
            <w:fldChar w:fldCharType="separate"/>
          </w:r>
          <w:r>
            <w:rPr>
              <w:sz w:val="24"/>
            </w:rPr>
            <w:t>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"_Toc38306947" </w:instrText>
          </w:r>
          <w:r>
            <w:fldChar w:fldCharType="separate"/>
          </w:r>
          <w:r>
            <w:rPr>
              <w:rStyle w:val="47"/>
              <w:rFonts w:hint="eastAsia" w:hAnsi="宋体"/>
              <w:sz w:val="24"/>
            </w:rPr>
            <w:t>一、总</w:t>
          </w:r>
          <w:r>
            <w:rPr>
              <w:rStyle w:val="47"/>
              <w:rFonts w:hAnsi="宋体"/>
              <w:sz w:val="24"/>
            </w:rPr>
            <w:t xml:space="preserve">  </w:t>
          </w:r>
          <w:r>
            <w:rPr>
              <w:rStyle w:val="47"/>
              <w:rFonts w:hint="eastAsia" w:hAnsi="宋体"/>
              <w:sz w:val="24"/>
            </w:rPr>
            <w:t>则</w:t>
          </w:r>
          <w:r>
            <w:rPr>
              <w:sz w:val="24"/>
            </w:rPr>
            <w:tab/>
          </w:r>
          <w:r>
            <w:rPr>
              <w:sz w:val="24"/>
            </w:rPr>
            <w:fldChar w:fldCharType="begin"/>
          </w:r>
          <w:r>
            <w:rPr>
              <w:sz w:val="24"/>
            </w:rPr>
            <w:instrText xml:space="preserve"> PAGEREF _Toc38306947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"_Toc38306948" </w:instrText>
          </w:r>
          <w:r>
            <w:fldChar w:fldCharType="separate"/>
          </w:r>
          <w:r>
            <w:rPr>
              <w:rStyle w:val="47"/>
              <w:rFonts w:hint="eastAsia" w:ascii="宋体" w:hAnsi="宋体"/>
              <w:sz w:val="24"/>
            </w:rPr>
            <w:t>（一）适用范围</w:t>
          </w:r>
          <w:r>
            <w:rPr>
              <w:sz w:val="24"/>
            </w:rPr>
            <w:tab/>
          </w:r>
          <w:r>
            <w:rPr>
              <w:sz w:val="24"/>
            </w:rPr>
            <w:fldChar w:fldCharType="begin"/>
          </w:r>
          <w:r>
            <w:rPr>
              <w:sz w:val="24"/>
            </w:rPr>
            <w:instrText xml:space="preserve"> PAGEREF _Toc38306948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"_Toc38306949" </w:instrText>
          </w:r>
          <w:r>
            <w:fldChar w:fldCharType="separate"/>
          </w:r>
          <w:r>
            <w:rPr>
              <w:rStyle w:val="47"/>
              <w:rFonts w:hint="eastAsia" w:ascii="宋体" w:hAnsi="宋体"/>
              <w:sz w:val="24"/>
            </w:rPr>
            <w:t>（二）定义</w:t>
          </w:r>
          <w:r>
            <w:rPr>
              <w:sz w:val="24"/>
            </w:rPr>
            <w:tab/>
          </w:r>
          <w:r>
            <w:rPr>
              <w:sz w:val="24"/>
            </w:rPr>
            <w:fldChar w:fldCharType="begin"/>
          </w:r>
          <w:r>
            <w:rPr>
              <w:sz w:val="24"/>
            </w:rPr>
            <w:instrText xml:space="preserve"> PAGEREF _Toc38306949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"_Toc38306950" </w:instrText>
          </w:r>
          <w:r>
            <w:fldChar w:fldCharType="separate"/>
          </w:r>
          <w:r>
            <w:rPr>
              <w:rStyle w:val="47"/>
              <w:rFonts w:hint="eastAsia" w:ascii="宋体" w:hAnsi="宋体"/>
              <w:sz w:val="24"/>
            </w:rPr>
            <w:t>（三）招标方式</w:t>
          </w:r>
          <w:r>
            <w:rPr>
              <w:sz w:val="24"/>
            </w:rPr>
            <w:tab/>
          </w:r>
          <w:r>
            <w:rPr>
              <w:sz w:val="24"/>
            </w:rPr>
            <w:fldChar w:fldCharType="begin"/>
          </w:r>
          <w:r>
            <w:rPr>
              <w:sz w:val="24"/>
            </w:rPr>
            <w:instrText xml:space="preserve"> PAGEREF _Toc38306950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"_Toc38306951" </w:instrText>
          </w:r>
          <w:r>
            <w:fldChar w:fldCharType="separate"/>
          </w:r>
          <w:r>
            <w:rPr>
              <w:rStyle w:val="47"/>
              <w:rFonts w:hint="eastAsia" w:ascii="宋体" w:hAnsi="宋体"/>
              <w:sz w:val="24"/>
            </w:rPr>
            <w:t>（四）投标委托</w:t>
          </w:r>
          <w:r>
            <w:rPr>
              <w:sz w:val="24"/>
            </w:rPr>
            <w:tab/>
          </w:r>
          <w:r>
            <w:rPr>
              <w:sz w:val="24"/>
            </w:rPr>
            <w:fldChar w:fldCharType="begin"/>
          </w:r>
          <w:r>
            <w:rPr>
              <w:sz w:val="24"/>
            </w:rPr>
            <w:instrText xml:space="preserve"> PAGEREF _Toc38306951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"_Toc38306952" </w:instrText>
          </w:r>
          <w:r>
            <w:fldChar w:fldCharType="separate"/>
          </w:r>
          <w:r>
            <w:rPr>
              <w:rStyle w:val="47"/>
              <w:rFonts w:hint="eastAsia" w:ascii="宋体" w:hAnsi="宋体"/>
              <w:sz w:val="24"/>
            </w:rPr>
            <w:t>（五）投标费用</w:t>
          </w:r>
          <w:r>
            <w:rPr>
              <w:sz w:val="24"/>
            </w:rPr>
            <w:tab/>
          </w:r>
          <w:r>
            <w:rPr>
              <w:sz w:val="24"/>
            </w:rPr>
            <w:fldChar w:fldCharType="begin"/>
          </w:r>
          <w:r>
            <w:rPr>
              <w:sz w:val="24"/>
            </w:rPr>
            <w:instrText xml:space="preserve"> PAGEREF _Toc38306952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"_Toc38306953" </w:instrText>
          </w:r>
          <w:r>
            <w:fldChar w:fldCharType="separate"/>
          </w:r>
          <w:r>
            <w:rPr>
              <w:rStyle w:val="47"/>
              <w:rFonts w:hint="eastAsia" w:ascii="宋体" w:hAnsi="宋体"/>
              <w:sz w:val="24"/>
            </w:rPr>
            <w:t>（六）联合体投标</w:t>
          </w:r>
          <w:r>
            <w:rPr>
              <w:sz w:val="24"/>
            </w:rPr>
            <w:tab/>
          </w:r>
          <w:r>
            <w:rPr>
              <w:sz w:val="24"/>
            </w:rPr>
            <w:fldChar w:fldCharType="begin"/>
          </w:r>
          <w:r>
            <w:rPr>
              <w:sz w:val="24"/>
            </w:rPr>
            <w:instrText xml:space="preserve"> PAGEREF _Toc38306953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"_Toc38306954" </w:instrText>
          </w:r>
          <w:r>
            <w:fldChar w:fldCharType="separate"/>
          </w:r>
          <w:r>
            <w:rPr>
              <w:rStyle w:val="47"/>
              <w:rFonts w:hint="eastAsia" w:ascii="宋体" w:hAnsi="宋体"/>
              <w:sz w:val="24"/>
            </w:rPr>
            <w:t>（七）转包与分包</w:t>
          </w:r>
          <w:r>
            <w:rPr>
              <w:sz w:val="24"/>
            </w:rPr>
            <w:tab/>
          </w:r>
          <w:r>
            <w:rPr>
              <w:sz w:val="24"/>
            </w:rPr>
            <w:fldChar w:fldCharType="begin"/>
          </w:r>
          <w:r>
            <w:rPr>
              <w:sz w:val="24"/>
            </w:rPr>
            <w:instrText xml:space="preserve"> PAGEREF _Toc38306954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"_Toc38306955" </w:instrText>
          </w:r>
          <w:r>
            <w:fldChar w:fldCharType="separate"/>
          </w:r>
          <w:r>
            <w:rPr>
              <w:rStyle w:val="47"/>
              <w:rFonts w:hint="eastAsia" w:ascii="宋体" w:hAnsi="宋体"/>
              <w:sz w:val="24"/>
            </w:rPr>
            <w:t>（八）特别说明</w:t>
          </w:r>
          <w:r>
            <w:rPr>
              <w:sz w:val="24"/>
            </w:rPr>
            <w:tab/>
          </w:r>
          <w:r>
            <w:rPr>
              <w:sz w:val="24"/>
            </w:rPr>
            <w:fldChar w:fldCharType="begin"/>
          </w:r>
          <w:r>
            <w:rPr>
              <w:sz w:val="24"/>
            </w:rPr>
            <w:instrText xml:space="preserve"> PAGEREF _Toc38306955 \h </w:instrText>
          </w:r>
          <w:r>
            <w:rPr>
              <w:sz w:val="24"/>
            </w:rPr>
            <w:fldChar w:fldCharType="separate"/>
          </w:r>
          <w:r>
            <w:rPr>
              <w:sz w:val="24"/>
            </w:rPr>
            <w:t>5</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"_Toc38306956" </w:instrText>
          </w:r>
          <w:r>
            <w:fldChar w:fldCharType="separate"/>
          </w:r>
          <w:r>
            <w:rPr>
              <w:rStyle w:val="47"/>
              <w:rFonts w:hint="eastAsia" w:hAnsi="宋体"/>
              <w:bCs/>
              <w:sz w:val="24"/>
            </w:rPr>
            <w:t>（九）质疑和投诉</w:t>
          </w:r>
          <w:r>
            <w:rPr>
              <w:sz w:val="24"/>
            </w:rPr>
            <w:tab/>
          </w:r>
          <w:r>
            <w:rPr>
              <w:sz w:val="24"/>
            </w:rPr>
            <w:fldChar w:fldCharType="begin"/>
          </w:r>
          <w:r>
            <w:rPr>
              <w:sz w:val="24"/>
            </w:rPr>
            <w:instrText xml:space="preserve"> PAGEREF _Toc38306956 \h </w:instrText>
          </w:r>
          <w:r>
            <w:rPr>
              <w:sz w:val="24"/>
            </w:rPr>
            <w:fldChar w:fldCharType="separate"/>
          </w:r>
          <w:r>
            <w:rPr>
              <w:sz w:val="24"/>
            </w:rPr>
            <w:t>6</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"_Toc38306957" </w:instrText>
          </w:r>
          <w:r>
            <w:fldChar w:fldCharType="separate"/>
          </w:r>
          <w:r>
            <w:rPr>
              <w:rStyle w:val="47"/>
              <w:rFonts w:hint="eastAsia" w:hAnsi="宋体"/>
              <w:sz w:val="24"/>
            </w:rPr>
            <w:t>二、招标文件</w:t>
          </w:r>
          <w:r>
            <w:rPr>
              <w:sz w:val="24"/>
            </w:rPr>
            <w:tab/>
          </w:r>
          <w:r>
            <w:rPr>
              <w:sz w:val="24"/>
            </w:rPr>
            <w:fldChar w:fldCharType="begin"/>
          </w:r>
          <w:r>
            <w:rPr>
              <w:sz w:val="24"/>
            </w:rPr>
            <w:instrText xml:space="preserve"> PAGEREF _Toc38306957 \h </w:instrText>
          </w:r>
          <w:r>
            <w:rPr>
              <w:sz w:val="24"/>
            </w:rPr>
            <w:fldChar w:fldCharType="separate"/>
          </w:r>
          <w:r>
            <w:rPr>
              <w:sz w:val="24"/>
            </w:rPr>
            <w:t>6</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"_Toc38306958" </w:instrText>
          </w:r>
          <w:r>
            <w:fldChar w:fldCharType="separate"/>
          </w:r>
          <w:r>
            <w:rPr>
              <w:rStyle w:val="47"/>
              <w:rFonts w:hint="eastAsia" w:ascii="宋体" w:hAnsi="宋体"/>
              <w:sz w:val="24"/>
            </w:rPr>
            <w:t>（一）招标文件的构成</w:t>
          </w:r>
          <w:r>
            <w:rPr>
              <w:sz w:val="24"/>
            </w:rPr>
            <w:tab/>
          </w:r>
          <w:r>
            <w:rPr>
              <w:sz w:val="24"/>
            </w:rPr>
            <w:fldChar w:fldCharType="begin"/>
          </w:r>
          <w:r>
            <w:rPr>
              <w:sz w:val="24"/>
            </w:rPr>
            <w:instrText xml:space="preserve"> PAGEREF _Toc38306958 \h </w:instrText>
          </w:r>
          <w:r>
            <w:rPr>
              <w:sz w:val="24"/>
            </w:rPr>
            <w:fldChar w:fldCharType="separate"/>
          </w:r>
          <w:r>
            <w:rPr>
              <w:sz w:val="24"/>
            </w:rPr>
            <w:t>6</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"_Toc38306959" </w:instrText>
          </w:r>
          <w:r>
            <w:fldChar w:fldCharType="separate"/>
          </w:r>
          <w:r>
            <w:rPr>
              <w:rStyle w:val="47"/>
              <w:rFonts w:hint="eastAsia" w:ascii="宋体" w:hAnsi="宋体"/>
              <w:sz w:val="24"/>
            </w:rPr>
            <w:t>（二）投标人的风险</w:t>
          </w:r>
          <w:r>
            <w:rPr>
              <w:sz w:val="24"/>
            </w:rPr>
            <w:tab/>
          </w:r>
          <w:r>
            <w:rPr>
              <w:sz w:val="24"/>
            </w:rPr>
            <w:fldChar w:fldCharType="begin"/>
          </w:r>
          <w:r>
            <w:rPr>
              <w:sz w:val="24"/>
            </w:rPr>
            <w:instrText xml:space="preserve"> PAGEREF _Toc38306959 \h </w:instrText>
          </w:r>
          <w:r>
            <w:rPr>
              <w:sz w:val="24"/>
            </w:rPr>
            <w:fldChar w:fldCharType="separate"/>
          </w:r>
          <w:r>
            <w:rPr>
              <w:sz w:val="24"/>
            </w:rPr>
            <w:t>6</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"_Toc38306960" </w:instrText>
          </w:r>
          <w:r>
            <w:fldChar w:fldCharType="separate"/>
          </w:r>
          <w:r>
            <w:rPr>
              <w:rStyle w:val="47"/>
              <w:rFonts w:hint="eastAsia" w:ascii="宋体" w:hAnsi="宋体"/>
              <w:sz w:val="24"/>
            </w:rPr>
            <w:t>（三）招标文件的澄清与修改</w:t>
          </w:r>
          <w:r>
            <w:rPr>
              <w:sz w:val="24"/>
            </w:rPr>
            <w:tab/>
          </w:r>
          <w:r>
            <w:rPr>
              <w:sz w:val="24"/>
            </w:rPr>
            <w:fldChar w:fldCharType="begin"/>
          </w:r>
          <w:r>
            <w:rPr>
              <w:sz w:val="24"/>
            </w:rPr>
            <w:instrText xml:space="preserve"> PAGEREF _Toc38306960 \h </w:instrText>
          </w:r>
          <w:r>
            <w:rPr>
              <w:sz w:val="24"/>
            </w:rPr>
            <w:fldChar w:fldCharType="separate"/>
          </w:r>
          <w:r>
            <w:rPr>
              <w:sz w:val="24"/>
            </w:rPr>
            <w:t>7</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"_Toc38306961" </w:instrText>
          </w:r>
          <w:r>
            <w:fldChar w:fldCharType="separate"/>
          </w:r>
          <w:r>
            <w:rPr>
              <w:rStyle w:val="47"/>
              <w:rFonts w:hint="eastAsia" w:hAnsi="宋体"/>
              <w:sz w:val="24"/>
            </w:rPr>
            <w:t>三、投标文件的编制</w:t>
          </w:r>
          <w:r>
            <w:rPr>
              <w:sz w:val="24"/>
            </w:rPr>
            <w:tab/>
          </w:r>
          <w:r>
            <w:rPr>
              <w:sz w:val="24"/>
            </w:rPr>
            <w:fldChar w:fldCharType="begin"/>
          </w:r>
          <w:r>
            <w:rPr>
              <w:sz w:val="24"/>
            </w:rPr>
            <w:instrText xml:space="preserve"> PAGEREF _Toc38306961 \h </w:instrText>
          </w:r>
          <w:r>
            <w:rPr>
              <w:sz w:val="24"/>
            </w:rPr>
            <w:fldChar w:fldCharType="separate"/>
          </w:r>
          <w:r>
            <w:rPr>
              <w:sz w:val="24"/>
            </w:rPr>
            <w:t>7</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"_Toc38306962" </w:instrText>
          </w:r>
          <w:r>
            <w:fldChar w:fldCharType="separate"/>
          </w:r>
          <w:r>
            <w:rPr>
              <w:rStyle w:val="47"/>
              <w:rFonts w:hint="eastAsia" w:ascii="宋体" w:hAnsi="宋体"/>
              <w:sz w:val="24"/>
            </w:rPr>
            <w:t>（一）投标文件的组成</w:t>
          </w:r>
          <w:r>
            <w:rPr>
              <w:sz w:val="24"/>
            </w:rPr>
            <w:tab/>
          </w:r>
          <w:r>
            <w:rPr>
              <w:sz w:val="24"/>
            </w:rPr>
            <w:fldChar w:fldCharType="begin"/>
          </w:r>
          <w:r>
            <w:rPr>
              <w:sz w:val="24"/>
            </w:rPr>
            <w:instrText xml:space="preserve"> PAGEREF _Toc38306962 \h </w:instrText>
          </w:r>
          <w:r>
            <w:rPr>
              <w:sz w:val="24"/>
            </w:rPr>
            <w:fldChar w:fldCharType="separate"/>
          </w:r>
          <w:r>
            <w:rPr>
              <w:sz w:val="24"/>
            </w:rPr>
            <w:t>7</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"_Toc38306963" </w:instrText>
          </w:r>
          <w:r>
            <w:fldChar w:fldCharType="separate"/>
          </w:r>
          <w:r>
            <w:rPr>
              <w:rStyle w:val="47"/>
              <w:rFonts w:hint="eastAsia" w:ascii="宋体" w:hAnsi="宋体"/>
              <w:sz w:val="24"/>
            </w:rPr>
            <w:t>（二）投标文件的语言及计量</w:t>
          </w:r>
          <w:r>
            <w:rPr>
              <w:sz w:val="24"/>
            </w:rPr>
            <w:tab/>
          </w:r>
          <w:r>
            <w:rPr>
              <w:sz w:val="24"/>
            </w:rPr>
            <w:fldChar w:fldCharType="begin"/>
          </w:r>
          <w:r>
            <w:rPr>
              <w:sz w:val="24"/>
            </w:rPr>
            <w:instrText xml:space="preserve"> PAGEREF _Toc38306963 \h </w:instrText>
          </w:r>
          <w:r>
            <w:rPr>
              <w:sz w:val="24"/>
            </w:rPr>
            <w:fldChar w:fldCharType="separate"/>
          </w:r>
          <w:r>
            <w:rPr>
              <w:sz w:val="24"/>
            </w:rPr>
            <w:t>8</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"_Toc38306964" </w:instrText>
          </w:r>
          <w:r>
            <w:fldChar w:fldCharType="separate"/>
          </w:r>
          <w:r>
            <w:rPr>
              <w:rStyle w:val="47"/>
              <w:rFonts w:hint="eastAsia" w:ascii="宋体" w:hAnsi="宋体"/>
              <w:sz w:val="24"/>
            </w:rPr>
            <w:t>（三）投标报价</w:t>
          </w:r>
          <w:r>
            <w:rPr>
              <w:sz w:val="24"/>
            </w:rPr>
            <w:tab/>
          </w:r>
          <w:r>
            <w:rPr>
              <w:sz w:val="24"/>
            </w:rPr>
            <w:fldChar w:fldCharType="begin"/>
          </w:r>
          <w:r>
            <w:rPr>
              <w:sz w:val="24"/>
            </w:rPr>
            <w:instrText xml:space="preserve"> PAGEREF _Toc38306964 \h </w:instrText>
          </w:r>
          <w:r>
            <w:rPr>
              <w:sz w:val="24"/>
            </w:rPr>
            <w:fldChar w:fldCharType="separate"/>
          </w:r>
          <w:r>
            <w:rPr>
              <w:sz w:val="24"/>
            </w:rPr>
            <w:t>8</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"_Toc38306965" </w:instrText>
          </w:r>
          <w:r>
            <w:fldChar w:fldCharType="separate"/>
          </w:r>
          <w:r>
            <w:rPr>
              <w:rStyle w:val="47"/>
              <w:rFonts w:hint="eastAsia" w:ascii="宋体" w:hAnsi="宋体"/>
              <w:sz w:val="24"/>
            </w:rPr>
            <w:t>（四）投标文件的有效期</w:t>
          </w:r>
          <w:r>
            <w:rPr>
              <w:sz w:val="24"/>
            </w:rPr>
            <w:tab/>
          </w:r>
          <w:r>
            <w:rPr>
              <w:sz w:val="24"/>
            </w:rPr>
            <w:fldChar w:fldCharType="begin"/>
          </w:r>
          <w:r>
            <w:rPr>
              <w:sz w:val="24"/>
            </w:rPr>
            <w:instrText xml:space="preserve"> PAGEREF _Toc38306965 \h </w:instrText>
          </w:r>
          <w:r>
            <w:rPr>
              <w:sz w:val="24"/>
            </w:rPr>
            <w:fldChar w:fldCharType="separate"/>
          </w:r>
          <w:r>
            <w:rPr>
              <w:sz w:val="24"/>
            </w:rPr>
            <w:t>8</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"_Toc38306966" </w:instrText>
          </w:r>
          <w:r>
            <w:fldChar w:fldCharType="separate"/>
          </w:r>
          <w:r>
            <w:rPr>
              <w:rStyle w:val="47"/>
              <w:rFonts w:hint="eastAsia" w:ascii="宋体" w:hAnsi="宋体"/>
              <w:sz w:val="24"/>
            </w:rPr>
            <w:t>（五）投标保证金</w:t>
          </w:r>
          <w:r>
            <w:rPr>
              <w:sz w:val="24"/>
            </w:rPr>
            <w:tab/>
          </w:r>
          <w:r>
            <w:rPr>
              <w:sz w:val="24"/>
            </w:rPr>
            <w:fldChar w:fldCharType="begin"/>
          </w:r>
          <w:r>
            <w:rPr>
              <w:sz w:val="24"/>
            </w:rPr>
            <w:instrText xml:space="preserve"> PAGEREF _Toc38306966 \h </w:instrText>
          </w:r>
          <w:r>
            <w:rPr>
              <w:sz w:val="24"/>
            </w:rPr>
            <w:fldChar w:fldCharType="separate"/>
          </w:r>
          <w:r>
            <w:rPr>
              <w:sz w:val="24"/>
            </w:rPr>
            <w:t>9</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"_Toc38306967" </w:instrText>
          </w:r>
          <w:r>
            <w:fldChar w:fldCharType="separate"/>
          </w:r>
          <w:r>
            <w:rPr>
              <w:rStyle w:val="47"/>
              <w:rFonts w:hint="eastAsia" w:ascii="宋体" w:hAnsi="宋体"/>
              <w:sz w:val="24"/>
            </w:rPr>
            <w:t>（六）投标文件的签署和份数</w:t>
          </w:r>
          <w:r>
            <w:rPr>
              <w:sz w:val="24"/>
            </w:rPr>
            <w:tab/>
          </w:r>
          <w:r>
            <w:rPr>
              <w:sz w:val="24"/>
            </w:rPr>
            <w:fldChar w:fldCharType="begin"/>
          </w:r>
          <w:r>
            <w:rPr>
              <w:sz w:val="24"/>
            </w:rPr>
            <w:instrText xml:space="preserve"> PAGEREF _Toc38306967 \h </w:instrText>
          </w:r>
          <w:r>
            <w:rPr>
              <w:sz w:val="24"/>
            </w:rPr>
            <w:fldChar w:fldCharType="separate"/>
          </w:r>
          <w:r>
            <w:rPr>
              <w:sz w:val="24"/>
            </w:rPr>
            <w:t>9</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"_Toc38306968" </w:instrText>
          </w:r>
          <w:r>
            <w:fldChar w:fldCharType="separate"/>
          </w:r>
          <w:r>
            <w:rPr>
              <w:rStyle w:val="47"/>
              <w:rFonts w:hint="eastAsia" w:ascii="宋体" w:hAnsi="宋体"/>
              <w:sz w:val="24"/>
            </w:rPr>
            <w:t>（七）投标文件的包装、递交、修改和撤回</w:t>
          </w:r>
          <w:r>
            <w:rPr>
              <w:sz w:val="24"/>
            </w:rPr>
            <w:tab/>
          </w:r>
          <w:r>
            <w:rPr>
              <w:sz w:val="24"/>
            </w:rPr>
            <w:fldChar w:fldCharType="begin"/>
          </w:r>
          <w:r>
            <w:rPr>
              <w:sz w:val="24"/>
            </w:rPr>
            <w:instrText xml:space="preserve"> PAGEREF _Toc38306968 \h </w:instrText>
          </w:r>
          <w:r>
            <w:rPr>
              <w:sz w:val="24"/>
            </w:rPr>
            <w:fldChar w:fldCharType="separate"/>
          </w:r>
          <w:r>
            <w:rPr>
              <w:sz w:val="24"/>
            </w:rPr>
            <w:t>9</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"_Toc38306969" </w:instrText>
          </w:r>
          <w:r>
            <w:fldChar w:fldCharType="separate"/>
          </w:r>
          <w:r>
            <w:rPr>
              <w:rStyle w:val="47"/>
              <w:rFonts w:hint="eastAsia" w:ascii="宋体" w:hAnsi="宋体"/>
              <w:sz w:val="24"/>
            </w:rPr>
            <w:t>（八）投标无效的情形</w:t>
          </w:r>
          <w:r>
            <w:rPr>
              <w:sz w:val="24"/>
            </w:rPr>
            <w:tab/>
          </w:r>
          <w:r>
            <w:rPr>
              <w:sz w:val="24"/>
            </w:rPr>
            <w:fldChar w:fldCharType="begin"/>
          </w:r>
          <w:r>
            <w:rPr>
              <w:sz w:val="24"/>
            </w:rPr>
            <w:instrText xml:space="preserve"> PAGEREF _Toc38306969 \h </w:instrText>
          </w:r>
          <w:r>
            <w:rPr>
              <w:sz w:val="24"/>
            </w:rPr>
            <w:fldChar w:fldCharType="separate"/>
          </w:r>
          <w:r>
            <w:rPr>
              <w:sz w:val="24"/>
            </w:rPr>
            <w:t>9</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"_Toc38306970" </w:instrText>
          </w:r>
          <w:r>
            <w:fldChar w:fldCharType="separate"/>
          </w:r>
          <w:r>
            <w:rPr>
              <w:rStyle w:val="47"/>
              <w:rFonts w:hint="eastAsia" w:hAnsi="宋体"/>
              <w:sz w:val="24"/>
            </w:rPr>
            <w:t>四、开标</w:t>
          </w:r>
          <w:r>
            <w:rPr>
              <w:sz w:val="24"/>
            </w:rPr>
            <w:tab/>
          </w:r>
          <w:r>
            <w:rPr>
              <w:sz w:val="24"/>
            </w:rPr>
            <w:fldChar w:fldCharType="begin"/>
          </w:r>
          <w:r>
            <w:rPr>
              <w:sz w:val="24"/>
            </w:rPr>
            <w:instrText xml:space="preserve"> PAGEREF _Toc38306970 \h </w:instrText>
          </w:r>
          <w:r>
            <w:rPr>
              <w:sz w:val="24"/>
            </w:rPr>
            <w:fldChar w:fldCharType="separate"/>
          </w:r>
          <w:r>
            <w:rPr>
              <w:sz w:val="24"/>
            </w:rPr>
            <w:t>10</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"_Toc38306971" </w:instrText>
          </w:r>
          <w:r>
            <w:fldChar w:fldCharType="separate"/>
          </w:r>
          <w:r>
            <w:rPr>
              <w:rStyle w:val="47"/>
              <w:rFonts w:hint="eastAsia" w:ascii="宋体" w:hAnsi="宋体"/>
              <w:sz w:val="24"/>
            </w:rPr>
            <w:t>（一）开标准备</w:t>
          </w:r>
          <w:r>
            <w:rPr>
              <w:sz w:val="24"/>
            </w:rPr>
            <w:tab/>
          </w:r>
          <w:r>
            <w:rPr>
              <w:sz w:val="24"/>
            </w:rPr>
            <w:fldChar w:fldCharType="begin"/>
          </w:r>
          <w:r>
            <w:rPr>
              <w:sz w:val="24"/>
            </w:rPr>
            <w:instrText xml:space="preserve"> PAGEREF _Toc38306971 \h </w:instrText>
          </w:r>
          <w:r>
            <w:rPr>
              <w:sz w:val="24"/>
            </w:rPr>
            <w:fldChar w:fldCharType="separate"/>
          </w:r>
          <w:r>
            <w:rPr>
              <w:sz w:val="24"/>
            </w:rPr>
            <w:t>10</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"_Toc38306972" </w:instrText>
          </w:r>
          <w:r>
            <w:fldChar w:fldCharType="separate"/>
          </w:r>
          <w:r>
            <w:rPr>
              <w:rStyle w:val="47"/>
              <w:rFonts w:hint="eastAsia" w:ascii="宋体" w:hAnsi="宋体"/>
              <w:sz w:val="24"/>
            </w:rPr>
            <w:t>（二）采购人或者招标代理机构职责</w:t>
          </w:r>
          <w:r>
            <w:rPr>
              <w:sz w:val="24"/>
            </w:rPr>
            <w:tab/>
          </w:r>
          <w:r>
            <w:rPr>
              <w:sz w:val="24"/>
            </w:rPr>
            <w:fldChar w:fldCharType="begin"/>
          </w:r>
          <w:r>
            <w:rPr>
              <w:sz w:val="24"/>
            </w:rPr>
            <w:instrText xml:space="preserve"> PAGEREF _Toc38306972 \h </w:instrText>
          </w:r>
          <w:r>
            <w:rPr>
              <w:sz w:val="24"/>
            </w:rPr>
            <w:fldChar w:fldCharType="separate"/>
          </w:r>
          <w:r>
            <w:rPr>
              <w:sz w:val="24"/>
            </w:rPr>
            <w:t>10</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"_Toc38306973" </w:instrText>
          </w:r>
          <w:r>
            <w:fldChar w:fldCharType="separate"/>
          </w:r>
          <w:r>
            <w:rPr>
              <w:rStyle w:val="47"/>
              <w:rFonts w:hint="eastAsia" w:ascii="宋体" w:hAnsi="宋体"/>
              <w:sz w:val="24"/>
            </w:rPr>
            <w:t>（三）</w:t>
          </w:r>
          <w:r>
            <w:rPr>
              <w:rStyle w:val="47"/>
              <w:rFonts w:ascii="宋体" w:hAnsi="宋体"/>
              <w:sz w:val="24"/>
            </w:rPr>
            <w:t xml:space="preserve"> </w:t>
          </w:r>
          <w:r>
            <w:rPr>
              <w:rStyle w:val="47"/>
              <w:rFonts w:hint="eastAsia" w:ascii="宋体" w:hAnsi="宋体"/>
              <w:sz w:val="24"/>
            </w:rPr>
            <w:t>开标程序</w:t>
          </w:r>
          <w:r>
            <w:rPr>
              <w:sz w:val="24"/>
            </w:rPr>
            <w:tab/>
          </w:r>
          <w:r>
            <w:rPr>
              <w:sz w:val="24"/>
            </w:rPr>
            <w:fldChar w:fldCharType="begin"/>
          </w:r>
          <w:r>
            <w:rPr>
              <w:sz w:val="24"/>
            </w:rPr>
            <w:instrText xml:space="preserve"> PAGEREF _Toc38306973 \h </w:instrText>
          </w:r>
          <w:r>
            <w:rPr>
              <w:sz w:val="24"/>
            </w:rPr>
            <w:fldChar w:fldCharType="separate"/>
          </w:r>
          <w:r>
            <w:rPr>
              <w:sz w:val="24"/>
            </w:rPr>
            <w:t>10</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"_Toc38306974" </w:instrText>
          </w:r>
          <w:r>
            <w:fldChar w:fldCharType="separate"/>
          </w:r>
          <w:r>
            <w:rPr>
              <w:rStyle w:val="47"/>
              <w:rFonts w:hint="eastAsia" w:hAnsi="宋体"/>
              <w:sz w:val="24"/>
            </w:rPr>
            <w:t>五、评标</w:t>
          </w:r>
          <w:r>
            <w:rPr>
              <w:sz w:val="24"/>
            </w:rPr>
            <w:tab/>
          </w:r>
          <w:r>
            <w:rPr>
              <w:sz w:val="24"/>
            </w:rPr>
            <w:fldChar w:fldCharType="begin"/>
          </w:r>
          <w:r>
            <w:rPr>
              <w:sz w:val="24"/>
            </w:rPr>
            <w:instrText xml:space="preserve"> PAGEREF _Toc38306974 \h </w:instrText>
          </w:r>
          <w:r>
            <w:rPr>
              <w:sz w:val="24"/>
            </w:rPr>
            <w:fldChar w:fldCharType="separate"/>
          </w:r>
          <w:r>
            <w:rPr>
              <w:sz w:val="24"/>
            </w:rPr>
            <w:t>11</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"_Toc38306975" </w:instrText>
          </w:r>
          <w:r>
            <w:fldChar w:fldCharType="separate"/>
          </w:r>
          <w:r>
            <w:rPr>
              <w:rStyle w:val="47"/>
              <w:rFonts w:hint="eastAsia" w:ascii="宋体" w:hAnsi="宋体"/>
              <w:sz w:val="24"/>
            </w:rPr>
            <w:t>（一）组建评标委员会</w:t>
          </w:r>
          <w:r>
            <w:rPr>
              <w:sz w:val="24"/>
            </w:rPr>
            <w:tab/>
          </w:r>
          <w:r>
            <w:rPr>
              <w:sz w:val="24"/>
            </w:rPr>
            <w:fldChar w:fldCharType="begin"/>
          </w:r>
          <w:r>
            <w:rPr>
              <w:sz w:val="24"/>
            </w:rPr>
            <w:instrText xml:space="preserve"> PAGEREF _Toc38306975 \h </w:instrText>
          </w:r>
          <w:r>
            <w:rPr>
              <w:sz w:val="24"/>
            </w:rPr>
            <w:fldChar w:fldCharType="separate"/>
          </w:r>
          <w:r>
            <w:rPr>
              <w:sz w:val="24"/>
            </w:rPr>
            <w:t>11</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"_Toc38306976" </w:instrText>
          </w:r>
          <w:r>
            <w:fldChar w:fldCharType="separate"/>
          </w:r>
          <w:r>
            <w:rPr>
              <w:rStyle w:val="47"/>
              <w:rFonts w:hint="eastAsia" w:ascii="宋体" w:hAnsi="宋体"/>
              <w:sz w:val="24"/>
            </w:rPr>
            <w:t>（二）评标的方式</w:t>
          </w:r>
          <w:r>
            <w:rPr>
              <w:sz w:val="24"/>
            </w:rPr>
            <w:tab/>
          </w:r>
          <w:r>
            <w:rPr>
              <w:sz w:val="24"/>
            </w:rPr>
            <w:fldChar w:fldCharType="begin"/>
          </w:r>
          <w:r>
            <w:rPr>
              <w:sz w:val="24"/>
            </w:rPr>
            <w:instrText xml:space="preserve"> PAGEREF _Toc38306976 \h </w:instrText>
          </w:r>
          <w:r>
            <w:rPr>
              <w:sz w:val="24"/>
            </w:rPr>
            <w:fldChar w:fldCharType="separate"/>
          </w:r>
          <w:r>
            <w:rPr>
              <w:sz w:val="24"/>
            </w:rPr>
            <w:t>12</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"_Toc38306977" </w:instrText>
          </w:r>
          <w:r>
            <w:fldChar w:fldCharType="separate"/>
          </w:r>
          <w:r>
            <w:rPr>
              <w:rStyle w:val="47"/>
              <w:rFonts w:hint="eastAsia" w:ascii="宋体" w:hAnsi="宋体"/>
              <w:sz w:val="24"/>
            </w:rPr>
            <w:t>（三）评标程序</w:t>
          </w:r>
          <w:r>
            <w:rPr>
              <w:sz w:val="24"/>
            </w:rPr>
            <w:tab/>
          </w:r>
          <w:r>
            <w:rPr>
              <w:sz w:val="24"/>
            </w:rPr>
            <w:fldChar w:fldCharType="begin"/>
          </w:r>
          <w:r>
            <w:rPr>
              <w:sz w:val="24"/>
            </w:rPr>
            <w:instrText xml:space="preserve"> PAGEREF _Toc38306977 \h </w:instrText>
          </w:r>
          <w:r>
            <w:rPr>
              <w:sz w:val="24"/>
            </w:rPr>
            <w:fldChar w:fldCharType="separate"/>
          </w:r>
          <w:r>
            <w:rPr>
              <w:sz w:val="24"/>
            </w:rPr>
            <w:t>12</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"_Toc38306978" </w:instrText>
          </w:r>
          <w:r>
            <w:fldChar w:fldCharType="separate"/>
          </w:r>
          <w:r>
            <w:rPr>
              <w:rStyle w:val="47"/>
              <w:rFonts w:hint="eastAsia" w:ascii="宋体" w:hAnsi="宋体"/>
              <w:sz w:val="24"/>
            </w:rPr>
            <w:t>（五）错误修正</w:t>
          </w:r>
          <w:r>
            <w:rPr>
              <w:sz w:val="24"/>
            </w:rPr>
            <w:tab/>
          </w:r>
          <w:r>
            <w:rPr>
              <w:sz w:val="24"/>
            </w:rPr>
            <w:fldChar w:fldCharType="begin"/>
          </w:r>
          <w:r>
            <w:rPr>
              <w:sz w:val="24"/>
            </w:rPr>
            <w:instrText xml:space="preserve"> PAGEREF _Toc38306978 \h </w:instrText>
          </w:r>
          <w:r>
            <w:rPr>
              <w:sz w:val="24"/>
            </w:rPr>
            <w:fldChar w:fldCharType="separate"/>
          </w:r>
          <w:r>
            <w:rPr>
              <w:sz w:val="24"/>
            </w:rPr>
            <w:t>13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"_Toc38306979" </w:instrText>
          </w:r>
          <w:r>
            <w:fldChar w:fldCharType="separate"/>
          </w:r>
          <w:r>
            <w:rPr>
              <w:rStyle w:val="47"/>
              <w:rFonts w:hint="eastAsia" w:ascii="宋体" w:hAnsi="宋体"/>
              <w:sz w:val="24"/>
            </w:rPr>
            <w:t>（六）评标原则和评标办法</w:t>
          </w:r>
          <w:r>
            <w:rPr>
              <w:sz w:val="24"/>
            </w:rPr>
            <w:tab/>
          </w:r>
          <w:r>
            <w:rPr>
              <w:sz w:val="24"/>
            </w:rPr>
            <w:fldChar w:fldCharType="begin"/>
          </w:r>
          <w:r>
            <w:rPr>
              <w:sz w:val="24"/>
            </w:rPr>
            <w:instrText xml:space="preserve"> PAGEREF _Toc38306979 \h </w:instrText>
          </w:r>
          <w:r>
            <w:rPr>
              <w:sz w:val="24"/>
            </w:rPr>
            <w:fldChar w:fldCharType="separate"/>
          </w:r>
          <w:r>
            <w:rPr>
              <w:sz w:val="24"/>
            </w:rPr>
            <w:t>13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"_Toc38306980" </w:instrText>
          </w:r>
          <w:r>
            <w:fldChar w:fldCharType="separate"/>
          </w:r>
          <w:r>
            <w:rPr>
              <w:rStyle w:val="47"/>
              <w:rFonts w:hint="eastAsia" w:hAnsi="宋体"/>
              <w:sz w:val="24"/>
            </w:rPr>
            <w:t>六、定标</w:t>
          </w:r>
          <w:r>
            <w:rPr>
              <w:sz w:val="24"/>
            </w:rPr>
            <w:tab/>
          </w:r>
          <w:r>
            <w:rPr>
              <w:sz w:val="24"/>
            </w:rPr>
            <w:fldChar w:fldCharType="begin"/>
          </w:r>
          <w:r>
            <w:rPr>
              <w:sz w:val="24"/>
            </w:rPr>
            <w:instrText xml:space="preserve"> PAGEREF _Toc38306980 \h </w:instrText>
          </w:r>
          <w:r>
            <w:rPr>
              <w:sz w:val="24"/>
            </w:rPr>
            <w:fldChar w:fldCharType="separate"/>
          </w:r>
          <w:r>
            <w:rPr>
              <w:sz w:val="24"/>
            </w:rPr>
            <w:t>13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"_Toc38306981" </w:instrText>
          </w:r>
          <w:r>
            <w:fldChar w:fldCharType="separate"/>
          </w:r>
          <w:r>
            <w:rPr>
              <w:rStyle w:val="47"/>
              <w:rFonts w:hint="eastAsia" w:ascii="宋体" w:hAnsi="宋体"/>
              <w:sz w:val="24"/>
            </w:rPr>
            <w:t>（一）确定中标供应商</w:t>
          </w:r>
          <w:r>
            <w:rPr>
              <w:sz w:val="24"/>
            </w:rPr>
            <w:tab/>
          </w:r>
          <w:r>
            <w:rPr>
              <w:sz w:val="24"/>
            </w:rPr>
            <w:fldChar w:fldCharType="begin"/>
          </w:r>
          <w:r>
            <w:rPr>
              <w:sz w:val="24"/>
            </w:rPr>
            <w:instrText xml:space="preserve"> PAGEREF _Toc38306981 \h </w:instrText>
          </w:r>
          <w:r>
            <w:rPr>
              <w:sz w:val="24"/>
            </w:rPr>
            <w:fldChar w:fldCharType="separate"/>
          </w:r>
          <w:r>
            <w:rPr>
              <w:sz w:val="24"/>
            </w:rPr>
            <w:t>13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"_Toc38306982" </w:instrText>
          </w:r>
          <w:r>
            <w:fldChar w:fldCharType="separate"/>
          </w:r>
          <w:r>
            <w:rPr>
              <w:rStyle w:val="47"/>
              <w:rFonts w:hint="eastAsia" w:hAnsi="宋体"/>
              <w:sz w:val="24"/>
            </w:rPr>
            <w:t>七、合同授予</w:t>
          </w:r>
          <w:r>
            <w:rPr>
              <w:sz w:val="24"/>
            </w:rPr>
            <w:tab/>
          </w:r>
          <w:r>
            <w:rPr>
              <w:sz w:val="24"/>
            </w:rPr>
            <w:fldChar w:fldCharType="begin"/>
          </w:r>
          <w:r>
            <w:rPr>
              <w:sz w:val="24"/>
            </w:rPr>
            <w:instrText xml:space="preserve"> PAGEREF _Toc38306982 \h </w:instrText>
          </w:r>
          <w:r>
            <w:rPr>
              <w:sz w:val="24"/>
            </w:rPr>
            <w:fldChar w:fldCharType="separate"/>
          </w:r>
          <w:r>
            <w:rPr>
              <w:sz w:val="24"/>
            </w:rPr>
            <w:t>13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"_Toc38306983" </w:instrText>
          </w:r>
          <w:r>
            <w:fldChar w:fldCharType="separate"/>
          </w:r>
          <w:r>
            <w:rPr>
              <w:rStyle w:val="47"/>
              <w:rFonts w:hint="eastAsia" w:ascii="宋体" w:hAnsi="宋体"/>
              <w:sz w:val="24"/>
            </w:rPr>
            <w:t>（一）签订合同</w:t>
          </w:r>
          <w:r>
            <w:rPr>
              <w:sz w:val="24"/>
            </w:rPr>
            <w:tab/>
          </w:r>
          <w:r>
            <w:rPr>
              <w:sz w:val="24"/>
            </w:rPr>
            <w:fldChar w:fldCharType="begin"/>
          </w:r>
          <w:r>
            <w:rPr>
              <w:sz w:val="24"/>
            </w:rPr>
            <w:instrText xml:space="preserve"> PAGEREF _Toc38306983 \h </w:instrText>
          </w:r>
          <w:r>
            <w:rPr>
              <w:sz w:val="24"/>
            </w:rPr>
            <w:fldChar w:fldCharType="separate"/>
          </w:r>
          <w:r>
            <w:rPr>
              <w:sz w:val="24"/>
            </w:rPr>
            <w:t>13</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"_Toc38306984" </w:instrText>
          </w:r>
          <w:r>
            <w:fldChar w:fldCharType="separate"/>
          </w:r>
          <w:r>
            <w:rPr>
              <w:rStyle w:val="47"/>
              <w:rFonts w:hint="eastAsia" w:ascii="宋体" w:hAnsi="宋体"/>
              <w:sz w:val="24"/>
            </w:rPr>
            <w:t>（二）履约保证金</w:t>
          </w:r>
          <w:r>
            <w:rPr>
              <w:sz w:val="24"/>
            </w:rPr>
            <w:tab/>
          </w:r>
          <w:r>
            <w:rPr>
              <w:sz w:val="24"/>
            </w:rPr>
            <w:fldChar w:fldCharType="begin"/>
          </w:r>
          <w:r>
            <w:rPr>
              <w:sz w:val="24"/>
            </w:rPr>
            <w:instrText xml:space="preserve"> PAGEREF _Toc38306984 \h </w:instrText>
          </w:r>
          <w:r>
            <w:rPr>
              <w:sz w:val="24"/>
            </w:rPr>
            <w:fldChar w:fldCharType="separate"/>
          </w:r>
          <w:r>
            <w:rPr>
              <w:sz w:val="24"/>
            </w:rPr>
            <w:t>14</w:t>
          </w:r>
          <w:r>
            <w:rPr>
              <w:sz w:val="24"/>
            </w:rPr>
            <w:fldChar w:fldCharType="end"/>
          </w:r>
          <w:r>
            <w:rPr>
              <w:sz w:val="24"/>
            </w:rPr>
            <w:fldChar w:fldCharType="end"/>
          </w:r>
        </w:p>
        <w:p>
          <w:pPr>
            <w:pStyle w:val="27"/>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"_Toc38306985" </w:instrText>
          </w:r>
          <w:r>
            <w:fldChar w:fldCharType="separate"/>
          </w:r>
          <w:r>
            <w:rPr>
              <w:rStyle w:val="47"/>
              <w:rFonts w:hint="eastAsia"/>
              <w:sz w:val="24"/>
            </w:rPr>
            <w:t>第三章</w:t>
          </w:r>
          <w:r>
            <w:rPr>
              <w:rStyle w:val="47"/>
              <w:sz w:val="24"/>
            </w:rPr>
            <w:t xml:space="preserve">  </w:t>
          </w:r>
          <w:r>
            <w:rPr>
              <w:rStyle w:val="47"/>
              <w:rFonts w:hint="eastAsia"/>
              <w:sz w:val="24"/>
            </w:rPr>
            <w:t>招标需求</w:t>
          </w:r>
          <w:r>
            <w:rPr>
              <w:sz w:val="24"/>
            </w:rPr>
            <w:tab/>
          </w:r>
          <w:r>
            <w:rPr>
              <w:sz w:val="24"/>
            </w:rPr>
            <w:fldChar w:fldCharType="begin"/>
          </w:r>
          <w:r>
            <w:rPr>
              <w:sz w:val="24"/>
            </w:rPr>
            <w:instrText xml:space="preserve"> PAGEREF _Toc38306985 \h </w:instrText>
          </w:r>
          <w:r>
            <w:rPr>
              <w:sz w:val="24"/>
            </w:rPr>
            <w:fldChar w:fldCharType="separate"/>
          </w:r>
          <w:r>
            <w:rPr>
              <w:sz w:val="24"/>
            </w:rPr>
            <w:t>15</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"_Toc38306986" </w:instrText>
          </w:r>
          <w:r>
            <w:fldChar w:fldCharType="separate"/>
          </w:r>
          <w:r>
            <w:rPr>
              <w:rStyle w:val="47"/>
              <w:rFonts w:hint="eastAsia" w:ascii="宋体" w:hAnsi="宋体" w:cs="仿宋"/>
              <w:sz w:val="24"/>
            </w:rPr>
            <w:t>一、</w:t>
          </w:r>
          <w:r>
            <w:rPr>
              <w:rFonts w:asciiTheme="minorHAnsi" w:hAnsiTheme="minorHAnsi" w:eastAsiaTheme="minorEastAsia" w:cstheme="minorBidi"/>
              <w:sz w:val="24"/>
            </w:rPr>
            <w:tab/>
          </w:r>
          <w:r>
            <w:rPr>
              <w:rStyle w:val="47"/>
              <w:rFonts w:hint="eastAsia" w:ascii="宋体" w:hAnsi="宋体" w:cs="仿宋"/>
              <w:sz w:val="24"/>
            </w:rPr>
            <w:t>项目概况</w:t>
          </w:r>
          <w:r>
            <w:rPr>
              <w:sz w:val="24"/>
            </w:rPr>
            <w:tab/>
          </w:r>
          <w:r>
            <w:rPr>
              <w:sz w:val="24"/>
            </w:rPr>
            <w:fldChar w:fldCharType="begin"/>
          </w:r>
          <w:r>
            <w:rPr>
              <w:sz w:val="24"/>
            </w:rPr>
            <w:instrText xml:space="preserve"> PAGEREF _Toc38306986 \h </w:instrText>
          </w:r>
          <w:r>
            <w:rPr>
              <w:sz w:val="24"/>
            </w:rPr>
            <w:fldChar w:fldCharType="separate"/>
          </w:r>
          <w:r>
            <w:rPr>
              <w:sz w:val="24"/>
            </w:rPr>
            <w:t>15</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"_Toc38306987" </w:instrText>
          </w:r>
          <w:r>
            <w:fldChar w:fldCharType="separate"/>
          </w:r>
          <w:r>
            <w:rPr>
              <w:rStyle w:val="47"/>
              <w:rFonts w:hint="eastAsia" w:ascii="宋体" w:hAnsi="宋体" w:cs="仿宋"/>
              <w:sz w:val="24"/>
            </w:rPr>
            <w:t>二、</w:t>
          </w:r>
          <w:r>
            <w:rPr>
              <w:rFonts w:asciiTheme="minorHAnsi" w:hAnsiTheme="minorHAnsi" w:eastAsiaTheme="minorEastAsia" w:cstheme="minorBidi"/>
              <w:sz w:val="24"/>
            </w:rPr>
            <w:tab/>
          </w:r>
          <w:r>
            <w:rPr>
              <w:rStyle w:val="47"/>
              <w:rFonts w:hint="eastAsia" w:ascii="宋体" w:hAnsi="宋体" w:cs="仿宋"/>
              <w:sz w:val="24"/>
            </w:rPr>
            <w:t>承包方式</w:t>
          </w:r>
          <w:r>
            <w:rPr>
              <w:sz w:val="24"/>
            </w:rPr>
            <w:tab/>
          </w:r>
          <w:r>
            <w:rPr>
              <w:sz w:val="24"/>
            </w:rPr>
            <w:fldChar w:fldCharType="begin"/>
          </w:r>
          <w:r>
            <w:rPr>
              <w:sz w:val="24"/>
            </w:rPr>
            <w:instrText xml:space="preserve"> PAGEREF _Toc38306987 \h </w:instrText>
          </w:r>
          <w:r>
            <w:rPr>
              <w:sz w:val="24"/>
            </w:rPr>
            <w:fldChar w:fldCharType="separate"/>
          </w:r>
          <w:r>
            <w:rPr>
              <w:sz w:val="24"/>
            </w:rPr>
            <w:t>15</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"_Toc38306988" </w:instrText>
          </w:r>
          <w:r>
            <w:fldChar w:fldCharType="separate"/>
          </w:r>
          <w:r>
            <w:rPr>
              <w:rStyle w:val="47"/>
              <w:rFonts w:hint="eastAsia" w:ascii="宋体" w:hAnsi="宋体" w:cs="仿宋"/>
              <w:sz w:val="24"/>
            </w:rPr>
            <w:t>三、</w:t>
          </w:r>
          <w:r>
            <w:rPr>
              <w:rFonts w:asciiTheme="minorHAnsi" w:hAnsiTheme="minorHAnsi" w:eastAsiaTheme="minorEastAsia" w:cstheme="minorBidi"/>
              <w:sz w:val="24"/>
            </w:rPr>
            <w:tab/>
          </w:r>
          <w:r>
            <w:rPr>
              <w:rStyle w:val="47"/>
              <w:rFonts w:hint="eastAsia" w:ascii="宋体" w:hAnsi="宋体" w:cs="仿宋"/>
              <w:sz w:val="24"/>
            </w:rPr>
            <w:t>项目要求</w:t>
          </w:r>
          <w:r>
            <w:rPr>
              <w:sz w:val="24"/>
            </w:rPr>
            <w:tab/>
          </w:r>
          <w:r>
            <w:rPr>
              <w:sz w:val="24"/>
            </w:rPr>
            <w:fldChar w:fldCharType="begin"/>
          </w:r>
          <w:r>
            <w:rPr>
              <w:sz w:val="24"/>
            </w:rPr>
            <w:instrText xml:space="preserve"> PAGEREF _Toc38306988 \h </w:instrText>
          </w:r>
          <w:r>
            <w:rPr>
              <w:sz w:val="24"/>
            </w:rPr>
            <w:fldChar w:fldCharType="separate"/>
          </w:r>
          <w:r>
            <w:rPr>
              <w:sz w:val="24"/>
            </w:rPr>
            <w:t>15</w:t>
          </w:r>
          <w:r>
            <w:rPr>
              <w:sz w:val="24"/>
            </w:rPr>
            <w:fldChar w:fldCharType="end"/>
          </w:r>
          <w:r>
            <w:rPr>
              <w:sz w:val="24"/>
            </w:rPr>
            <w:fldChar w:fldCharType="end"/>
          </w:r>
        </w:p>
        <w:p>
          <w:pPr>
            <w:pStyle w:val="19"/>
            <w:tabs>
              <w:tab w:val="left" w:pos="168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"_Toc38306989" </w:instrText>
          </w:r>
          <w:r>
            <w:fldChar w:fldCharType="separate"/>
          </w:r>
          <w:r>
            <w:rPr>
              <w:rStyle w:val="47"/>
              <w:rFonts w:hint="eastAsia"/>
              <w:sz w:val="24"/>
            </w:rPr>
            <w:t>(一)</w:t>
          </w:r>
          <w:r>
            <w:rPr>
              <w:rFonts w:asciiTheme="minorHAnsi" w:hAnsiTheme="minorHAnsi" w:eastAsiaTheme="minorEastAsia" w:cstheme="minorBidi"/>
              <w:sz w:val="24"/>
            </w:rPr>
            <w:tab/>
          </w:r>
          <w:r>
            <w:rPr>
              <w:rStyle w:val="47"/>
              <w:rFonts w:hint="eastAsia"/>
              <w:sz w:val="24"/>
            </w:rPr>
            <w:t>全域公共服务管理</w:t>
          </w:r>
          <w:r>
            <w:rPr>
              <w:sz w:val="24"/>
            </w:rPr>
            <w:tab/>
          </w:r>
          <w:r>
            <w:rPr>
              <w:sz w:val="24"/>
            </w:rPr>
            <w:fldChar w:fldCharType="begin"/>
          </w:r>
          <w:r>
            <w:rPr>
              <w:sz w:val="24"/>
            </w:rPr>
            <w:instrText xml:space="preserve"> PAGEREF _Toc38306989 \h </w:instrText>
          </w:r>
          <w:r>
            <w:rPr>
              <w:sz w:val="24"/>
            </w:rPr>
            <w:fldChar w:fldCharType="separate"/>
          </w:r>
          <w:r>
            <w:rPr>
              <w:sz w:val="24"/>
            </w:rPr>
            <w:t>15</w:t>
          </w:r>
          <w:r>
            <w:rPr>
              <w:sz w:val="24"/>
            </w:rPr>
            <w:fldChar w:fldCharType="end"/>
          </w:r>
          <w:r>
            <w:rPr>
              <w:sz w:val="24"/>
            </w:rPr>
            <w:fldChar w:fldCharType="end"/>
          </w:r>
        </w:p>
        <w:p>
          <w:pPr>
            <w:pStyle w:val="19"/>
            <w:tabs>
              <w:tab w:val="left" w:pos="168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"_Toc38306992" </w:instrText>
          </w:r>
          <w:r>
            <w:fldChar w:fldCharType="separate"/>
          </w:r>
          <w:r>
            <w:rPr>
              <w:rStyle w:val="47"/>
              <w:rFonts w:hint="eastAsia"/>
              <w:sz w:val="24"/>
            </w:rPr>
            <w:t>(二)</w:t>
          </w:r>
          <w:r>
            <w:rPr>
              <w:rFonts w:asciiTheme="minorHAnsi" w:hAnsiTheme="minorHAnsi" w:eastAsiaTheme="minorEastAsia" w:cstheme="minorBidi"/>
              <w:sz w:val="24"/>
            </w:rPr>
            <w:tab/>
          </w:r>
          <w:r>
            <w:rPr>
              <w:rStyle w:val="47"/>
              <w:rFonts w:hint="eastAsia"/>
              <w:sz w:val="24"/>
            </w:rPr>
            <w:t>集镇和工业园区保洁服务</w:t>
          </w:r>
          <w:r>
            <w:rPr>
              <w:sz w:val="24"/>
            </w:rPr>
            <w:tab/>
          </w:r>
          <w:r>
            <w:rPr>
              <w:sz w:val="24"/>
            </w:rPr>
            <w:fldChar w:fldCharType="begin"/>
          </w:r>
          <w:r>
            <w:rPr>
              <w:sz w:val="24"/>
            </w:rPr>
            <w:instrText xml:space="preserve"> PAGEREF _Toc38306992 \h </w:instrText>
          </w:r>
          <w:r>
            <w:rPr>
              <w:sz w:val="24"/>
            </w:rPr>
            <w:fldChar w:fldCharType="separate"/>
          </w:r>
          <w:r>
            <w:rPr>
              <w:sz w:val="24"/>
            </w:rPr>
            <w:t>17</w:t>
          </w:r>
          <w:r>
            <w:rPr>
              <w:sz w:val="24"/>
            </w:rPr>
            <w:fldChar w:fldCharType="end"/>
          </w:r>
          <w:r>
            <w:rPr>
              <w:sz w:val="24"/>
            </w:rPr>
            <w:fldChar w:fldCharType="end"/>
          </w:r>
        </w:p>
        <w:p>
          <w:pPr>
            <w:pStyle w:val="19"/>
            <w:tabs>
              <w:tab w:val="left" w:pos="168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"_Toc38306993" </w:instrText>
          </w:r>
          <w:r>
            <w:fldChar w:fldCharType="separate"/>
          </w:r>
          <w:r>
            <w:rPr>
              <w:rStyle w:val="47"/>
              <w:rFonts w:hint="eastAsia"/>
              <w:sz w:val="24"/>
            </w:rPr>
            <w:t>(三)</w:t>
          </w:r>
          <w:r>
            <w:rPr>
              <w:rFonts w:asciiTheme="minorHAnsi" w:hAnsiTheme="minorHAnsi" w:eastAsiaTheme="minorEastAsia" w:cstheme="minorBidi"/>
              <w:sz w:val="24"/>
            </w:rPr>
            <w:tab/>
          </w:r>
          <w:r>
            <w:rPr>
              <w:rStyle w:val="47"/>
              <w:rFonts w:hint="eastAsia"/>
              <w:sz w:val="24"/>
            </w:rPr>
            <w:t>中转站（资源化处理站）运作服务</w:t>
          </w:r>
          <w:r>
            <w:rPr>
              <w:sz w:val="24"/>
            </w:rPr>
            <w:tab/>
          </w:r>
          <w:r>
            <w:rPr>
              <w:sz w:val="24"/>
            </w:rPr>
            <w:fldChar w:fldCharType="begin"/>
          </w:r>
          <w:r>
            <w:rPr>
              <w:sz w:val="24"/>
            </w:rPr>
            <w:instrText xml:space="preserve"> PAGEREF _Toc38306993 \h </w:instrText>
          </w:r>
          <w:r>
            <w:rPr>
              <w:sz w:val="24"/>
            </w:rPr>
            <w:fldChar w:fldCharType="separate"/>
          </w:r>
          <w:r>
            <w:rPr>
              <w:sz w:val="24"/>
            </w:rPr>
            <w:t>21</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"_Toc38306994" </w:instrText>
          </w:r>
          <w:r>
            <w:fldChar w:fldCharType="separate"/>
          </w:r>
          <w:r>
            <w:rPr>
              <w:rStyle w:val="47"/>
              <w:rFonts w:hint="eastAsia" w:ascii="宋体" w:hAnsi="宋体" w:cs="仿宋"/>
              <w:sz w:val="24"/>
            </w:rPr>
            <w:t>四、</w:t>
          </w:r>
          <w:r>
            <w:rPr>
              <w:rFonts w:asciiTheme="minorHAnsi" w:hAnsiTheme="minorHAnsi" w:eastAsiaTheme="minorEastAsia" w:cstheme="minorBidi"/>
              <w:sz w:val="24"/>
            </w:rPr>
            <w:tab/>
          </w:r>
          <w:r>
            <w:rPr>
              <w:rStyle w:val="47"/>
              <w:rFonts w:hint="eastAsia" w:ascii="宋体" w:hAnsi="宋体" w:cs="仿宋"/>
              <w:sz w:val="24"/>
            </w:rPr>
            <w:t>人员要求</w:t>
          </w:r>
          <w:r>
            <w:rPr>
              <w:sz w:val="24"/>
            </w:rPr>
            <w:tab/>
          </w:r>
          <w:r>
            <w:rPr>
              <w:sz w:val="24"/>
            </w:rPr>
            <w:fldChar w:fldCharType="begin"/>
          </w:r>
          <w:r>
            <w:rPr>
              <w:sz w:val="24"/>
            </w:rPr>
            <w:instrText xml:space="preserve"> PAGEREF _Toc38306994 \h </w:instrText>
          </w:r>
          <w:r>
            <w:rPr>
              <w:sz w:val="24"/>
            </w:rPr>
            <w:fldChar w:fldCharType="separate"/>
          </w:r>
          <w:r>
            <w:rPr>
              <w:sz w:val="24"/>
            </w:rPr>
            <w:t>22</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"_Toc38306995" </w:instrText>
          </w:r>
          <w:r>
            <w:fldChar w:fldCharType="separate"/>
          </w:r>
          <w:r>
            <w:rPr>
              <w:rStyle w:val="47"/>
              <w:rFonts w:hint="eastAsia" w:ascii="宋体" w:hAnsi="宋体" w:cs="仿宋"/>
              <w:sz w:val="24"/>
            </w:rPr>
            <w:t>五、</w:t>
          </w:r>
          <w:r>
            <w:rPr>
              <w:rFonts w:asciiTheme="minorHAnsi" w:hAnsiTheme="minorHAnsi" w:eastAsiaTheme="minorEastAsia" w:cstheme="minorBidi"/>
              <w:sz w:val="24"/>
            </w:rPr>
            <w:tab/>
          </w:r>
          <w:r>
            <w:rPr>
              <w:rStyle w:val="47"/>
              <w:rFonts w:hint="eastAsia" w:ascii="宋体" w:hAnsi="宋体" w:cs="仿宋"/>
              <w:sz w:val="24"/>
            </w:rPr>
            <w:t>设备要求</w:t>
          </w:r>
          <w:r>
            <w:rPr>
              <w:sz w:val="24"/>
            </w:rPr>
            <w:tab/>
          </w:r>
          <w:r>
            <w:rPr>
              <w:sz w:val="24"/>
            </w:rPr>
            <w:fldChar w:fldCharType="begin"/>
          </w:r>
          <w:r>
            <w:rPr>
              <w:sz w:val="24"/>
            </w:rPr>
            <w:instrText xml:space="preserve"> PAGEREF _Toc38306995 \h </w:instrText>
          </w:r>
          <w:r>
            <w:rPr>
              <w:sz w:val="24"/>
            </w:rPr>
            <w:fldChar w:fldCharType="separate"/>
          </w:r>
          <w:r>
            <w:rPr>
              <w:sz w:val="24"/>
            </w:rPr>
            <w:t>24</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"_Toc38306996" </w:instrText>
          </w:r>
          <w:r>
            <w:fldChar w:fldCharType="separate"/>
          </w:r>
          <w:r>
            <w:rPr>
              <w:rStyle w:val="47"/>
              <w:rFonts w:hint="eastAsia" w:ascii="宋体" w:hAnsi="宋体" w:cs="仿宋"/>
              <w:sz w:val="24"/>
            </w:rPr>
            <w:t>六、</w:t>
          </w:r>
          <w:r>
            <w:rPr>
              <w:rFonts w:asciiTheme="minorHAnsi" w:hAnsiTheme="minorHAnsi" w:eastAsiaTheme="minorEastAsia" w:cstheme="minorBidi"/>
              <w:sz w:val="24"/>
            </w:rPr>
            <w:tab/>
          </w:r>
          <w:r>
            <w:rPr>
              <w:rStyle w:val="47"/>
              <w:rFonts w:hint="eastAsia" w:ascii="宋体" w:hAnsi="宋体" w:cs="仿宋"/>
              <w:sz w:val="24"/>
            </w:rPr>
            <w:t>其他要求</w:t>
          </w:r>
          <w:r>
            <w:rPr>
              <w:sz w:val="24"/>
            </w:rPr>
            <w:tab/>
          </w:r>
          <w:r>
            <w:rPr>
              <w:sz w:val="24"/>
            </w:rPr>
            <w:fldChar w:fldCharType="begin"/>
          </w:r>
          <w:r>
            <w:rPr>
              <w:sz w:val="24"/>
            </w:rPr>
            <w:instrText xml:space="preserve"> PAGEREF _Toc38306996 \h </w:instrText>
          </w:r>
          <w:r>
            <w:rPr>
              <w:sz w:val="24"/>
            </w:rPr>
            <w:fldChar w:fldCharType="separate"/>
          </w:r>
          <w:r>
            <w:rPr>
              <w:sz w:val="24"/>
            </w:rPr>
            <w:t>25</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"_Toc38306997" </w:instrText>
          </w:r>
          <w:r>
            <w:fldChar w:fldCharType="separate"/>
          </w:r>
          <w:r>
            <w:rPr>
              <w:rStyle w:val="47"/>
              <w:rFonts w:hint="eastAsia" w:ascii="宋体" w:hAnsi="宋体" w:cs="仿宋"/>
              <w:sz w:val="24"/>
            </w:rPr>
            <w:t>七、</w:t>
          </w:r>
          <w:r>
            <w:rPr>
              <w:rFonts w:asciiTheme="minorHAnsi" w:hAnsiTheme="minorHAnsi" w:eastAsiaTheme="minorEastAsia" w:cstheme="minorBidi"/>
              <w:sz w:val="24"/>
            </w:rPr>
            <w:tab/>
          </w:r>
          <w:r>
            <w:rPr>
              <w:rStyle w:val="47"/>
              <w:rFonts w:hint="eastAsia" w:ascii="宋体" w:hAnsi="宋体" w:cs="仿宋"/>
              <w:sz w:val="24"/>
            </w:rPr>
            <w:t>合同价款的支付</w:t>
          </w:r>
          <w:r>
            <w:rPr>
              <w:sz w:val="24"/>
            </w:rPr>
            <w:tab/>
          </w:r>
          <w:r>
            <w:rPr>
              <w:sz w:val="24"/>
            </w:rPr>
            <w:fldChar w:fldCharType="begin"/>
          </w:r>
          <w:r>
            <w:rPr>
              <w:sz w:val="24"/>
            </w:rPr>
            <w:instrText xml:space="preserve"> PAGEREF _Toc38306997 \h </w:instrText>
          </w:r>
          <w:r>
            <w:rPr>
              <w:sz w:val="24"/>
            </w:rPr>
            <w:fldChar w:fldCharType="separate"/>
          </w:r>
          <w:r>
            <w:rPr>
              <w:sz w:val="24"/>
            </w:rPr>
            <w:t>25</w:t>
          </w:r>
          <w:r>
            <w:rPr>
              <w:sz w:val="24"/>
            </w:rPr>
            <w:fldChar w:fldCharType="end"/>
          </w:r>
          <w:r>
            <w:rPr>
              <w:sz w:val="24"/>
            </w:rPr>
            <w:fldChar w:fldCharType="end"/>
          </w:r>
        </w:p>
        <w:p>
          <w:pPr>
            <w:pStyle w:val="32"/>
            <w:tabs>
              <w:tab w:val="left" w:pos="1260"/>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"_Toc38306998" </w:instrText>
          </w:r>
          <w:r>
            <w:fldChar w:fldCharType="separate"/>
          </w:r>
          <w:r>
            <w:rPr>
              <w:rStyle w:val="47"/>
              <w:rFonts w:hint="eastAsia" w:ascii="宋体" w:hAnsi="宋体" w:cs="仿宋"/>
              <w:sz w:val="24"/>
            </w:rPr>
            <w:t>八、</w:t>
          </w:r>
          <w:r>
            <w:rPr>
              <w:rFonts w:asciiTheme="minorHAnsi" w:hAnsiTheme="minorHAnsi" w:eastAsiaTheme="minorEastAsia" w:cstheme="minorBidi"/>
              <w:sz w:val="24"/>
            </w:rPr>
            <w:tab/>
          </w:r>
          <w:r>
            <w:rPr>
              <w:rStyle w:val="47"/>
              <w:rFonts w:hint="eastAsia" w:ascii="宋体" w:hAnsi="宋体" w:cs="仿宋"/>
              <w:sz w:val="24"/>
            </w:rPr>
            <w:t>考核办法</w:t>
          </w:r>
          <w:r>
            <w:rPr>
              <w:sz w:val="24"/>
            </w:rPr>
            <w:tab/>
          </w:r>
          <w:r>
            <w:rPr>
              <w:sz w:val="24"/>
            </w:rPr>
            <w:fldChar w:fldCharType="begin"/>
          </w:r>
          <w:r>
            <w:rPr>
              <w:sz w:val="24"/>
            </w:rPr>
            <w:instrText xml:space="preserve"> PAGEREF _Toc38306998 \h </w:instrText>
          </w:r>
          <w:r>
            <w:rPr>
              <w:sz w:val="24"/>
            </w:rPr>
            <w:fldChar w:fldCharType="separate"/>
          </w:r>
          <w:r>
            <w:rPr>
              <w:sz w:val="24"/>
            </w:rPr>
            <w:t>26</w:t>
          </w:r>
          <w:r>
            <w:rPr>
              <w:sz w:val="24"/>
            </w:rPr>
            <w:fldChar w:fldCharType="end"/>
          </w:r>
          <w:r>
            <w:rPr>
              <w:sz w:val="24"/>
            </w:rPr>
            <w:fldChar w:fldCharType="end"/>
          </w:r>
        </w:p>
        <w:p>
          <w:pPr>
            <w:pStyle w:val="27"/>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"_Toc38306999" </w:instrText>
          </w:r>
          <w:r>
            <w:fldChar w:fldCharType="separate"/>
          </w:r>
          <w:r>
            <w:rPr>
              <w:rStyle w:val="47"/>
              <w:rFonts w:hint="eastAsia"/>
              <w:bCs/>
              <w:kern w:val="44"/>
              <w:sz w:val="24"/>
            </w:rPr>
            <w:t>第四章</w:t>
          </w:r>
          <w:r>
            <w:rPr>
              <w:rStyle w:val="47"/>
              <w:bCs/>
              <w:kern w:val="44"/>
              <w:sz w:val="24"/>
            </w:rPr>
            <w:t xml:space="preserve"> </w:t>
          </w:r>
          <w:r>
            <w:rPr>
              <w:rStyle w:val="47"/>
              <w:rFonts w:hint="eastAsia"/>
              <w:bCs/>
              <w:kern w:val="44"/>
              <w:sz w:val="24"/>
            </w:rPr>
            <w:t>评标办法及评分标准</w:t>
          </w:r>
          <w:r>
            <w:rPr>
              <w:sz w:val="24"/>
            </w:rPr>
            <w:tab/>
          </w:r>
          <w:r>
            <w:rPr>
              <w:sz w:val="24"/>
            </w:rPr>
            <w:fldChar w:fldCharType="begin"/>
          </w:r>
          <w:r>
            <w:rPr>
              <w:sz w:val="24"/>
            </w:rPr>
            <w:instrText xml:space="preserve"> PAGEREF _Toc38306999 \h </w:instrText>
          </w:r>
          <w:r>
            <w:rPr>
              <w:sz w:val="24"/>
            </w:rPr>
            <w:fldChar w:fldCharType="separate"/>
          </w:r>
          <w:r>
            <w:rPr>
              <w:sz w:val="24"/>
            </w:rPr>
            <w:t>27</w:t>
          </w:r>
          <w:r>
            <w:rPr>
              <w:sz w:val="24"/>
            </w:rPr>
            <w:fldChar w:fldCharType="end"/>
          </w:r>
          <w:r>
            <w:rPr>
              <w:sz w:val="24"/>
            </w:rPr>
            <w:fldChar w:fldCharType="end"/>
          </w:r>
        </w:p>
        <w:p>
          <w:pPr>
            <w:pStyle w:val="27"/>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"_Toc38307000" </w:instrText>
          </w:r>
          <w:r>
            <w:fldChar w:fldCharType="separate"/>
          </w:r>
          <w:r>
            <w:rPr>
              <w:rStyle w:val="47"/>
              <w:rFonts w:hint="eastAsia"/>
              <w:sz w:val="24"/>
            </w:rPr>
            <w:t>第五章</w:t>
          </w:r>
          <w:r>
            <w:rPr>
              <w:rStyle w:val="47"/>
              <w:sz w:val="24"/>
            </w:rPr>
            <w:t xml:space="preserve">  </w:t>
          </w:r>
          <w:r>
            <w:rPr>
              <w:rStyle w:val="47"/>
              <w:rFonts w:hint="eastAsia"/>
              <w:sz w:val="24"/>
            </w:rPr>
            <w:t>采购合同格式</w:t>
          </w:r>
          <w:r>
            <w:rPr>
              <w:sz w:val="24"/>
            </w:rPr>
            <w:tab/>
          </w:r>
          <w:r>
            <w:rPr>
              <w:sz w:val="24"/>
            </w:rPr>
            <w:fldChar w:fldCharType="begin"/>
          </w:r>
          <w:r>
            <w:rPr>
              <w:sz w:val="24"/>
            </w:rPr>
            <w:instrText xml:space="preserve"> PAGEREF _Toc38307000 \h </w:instrText>
          </w:r>
          <w:r>
            <w:rPr>
              <w:sz w:val="24"/>
            </w:rPr>
            <w:fldChar w:fldCharType="separate"/>
          </w:r>
          <w:r>
            <w:rPr>
              <w:sz w:val="24"/>
            </w:rPr>
            <w:t>31</w:t>
          </w:r>
          <w:r>
            <w:rPr>
              <w:sz w:val="24"/>
            </w:rPr>
            <w:fldChar w:fldCharType="end"/>
          </w:r>
          <w:r>
            <w:rPr>
              <w:sz w:val="24"/>
            </w:rPr>
            <w:fldChar w:fldCharType="end"/>
          </w:r>
        </w:p>
        <w:p>
          <w:pPr>
            <w:pStyle w:val="27"/>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"_Toc38307001" </w:instrText>
          </w:r>
          <w:r>
            <w:fldChar w:fldCharType="separate"/>
          </w:r>
          <w:r>
            <w:rPr>
              <w:rStyle w:val="47"/>
              <w:rFonts w:hint="eastAsia"/>
              <w:sz w:val="24"/>
            </w:rPr>
            <w:t>第六章　投标文件格式</w:t>
          </w:r>
          <w:r>
            <w:rPr>
              <w:sz w:val="24"/>
            </w:rPr>
            <w:tab/>
          </w:r>
          <w:r>
            <w:rPr>
              <w:sz w:val="24"/>
            </w:rPr>
            <w:fldChar w:fldCharType="begin"/>
          </w:r>
          <w:r>
            <w:rPr>
              <w:sz w:val="24"/>
            </w:rPr>
            <w:instrText xml:space="preserve"> PAGEREF _Toc38307001 \h </w:instrText>
          </w:r>
          <w:r>
            <w:rPr>
              <w:sz w:val="24"/>
            </w:rPr>
            <w:fldChar w:fldCharType="separate"/>
          </w:r>
          <w:r>
            <w:rPr>
              <w:sz w:val="24"/>
            </w:rPr>
            <w:t>34</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"_Toc38307002" </w:instrText>
          </w:r>
          <w:r>
            <w:fldChar w:fldCharType="separate"/>
          </w:r>
          <w:r>
            <w:rPr>
              <w:rStyle w:val="47"/>
              <w:rFonts w:hint="eastAsia" w:ascii="宋体" w:hAnsi="宋体"/>
              <w:bCs/>
              <w:sz w:val="24"/>
            </w:rPr>
            <w:t>一、投标文件外层包装及封面格式</w:t>
          </w:r>
          <w:r>
            <w:rPr>
              <w:sz w:val="24"/>
            </w:rPr>
            <w:tab/>
          </w:r>
          <w:r>
            <w:rPr>
              <w:sz w:val="24"/>
            </w:rPr>
            <w:fldChar w:fldCharType="begin"/>
          </w:r>
          <w:r>
            <w:rPr>
              <w:sz w:val="24"/>
            </w:rPr>
            <w:instrText xml:space="preserve"> PAGEREF _Toc38307002 \h </w:instrText>
          </w:r>
          <w:r>
            <w:rPr>
              <w:sz w:val="24"/>
            </w:rPr>
            <w:fldChar w:fldCharType="separate"/>
          </w:r>
          <w:r>
            <w:rPr>
              <w:sz w:val="24"/>
            </w:rPr>
            <w:t>34</w:t>
          </w:r>
          <w:r>
            <w:rPr>
              <w:sz w:val="24"/>
            </w:rPr>
            <w:fldChar w:fldCharType="end"/>
          </w:r>
          <w:r>
            <w:rPr>
              <w:sz w:val="24"/>
            </w:rPr>
            <w:fldChar w:fldCharType="end"/>
          </w:r>
        </w:p>
        <w:p>
          <w:pPr>
            <w:pStyle w:val="32"/>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"_Toc38307003" </w:instrText>
          </w:r>
          <w:r>
            <w:fldChar w:fldCharType="separate"/>
          </w:r>
          <w:r>
            <w:rPr>
              <w:rStyle w:val="47"/>
              <w:rFonts w:hint="eastAsia" w:ascii="宋体" w:hAnsi="宋体"/>
              <w:bCs/>
              <w:sz w:val="24"/>
            </w:rPr>
            <w:t>二、投标文件附件（附表）格式</w:t>
          </w:r>
          <w:r>
            <w:rPr>
              <w:sz w:val="24"/>
            </w:rPr>
            <w:tab/>
          </w:r>
          <w:r>
            <w:rPr>
              <w:sz w:val="24"/>
            </w:rPr>
            <w:fldChar w:fldCharType="begin"/>
          </w:r>
          <w:r>
            <w:rPr>
              <w:sz w:val="24"/>
            </w:rPr>
            <w:instrText xml:space="preserve"> PAGEREF _Toc38307003 \h </w:instrText>
          </w:r>
          <w:r>
            <w:rPr>
              <w:sz w:val="24"/>
            </w:rPr>
            <w:fldChar w:fldCharType="separate"/>
          </w:r>
          <w:r>
            <w:rPr>
              <w:sz w:val="24"/>
            </w:rPr>
            <w:t>35</w:t>
          </w:r>
          <w:r>
            <w:rPr>
              <w:sz w:val="24"/>
            </w:rPr>
            <w:fldChar w:fldCharType="end"/>
          </w:r>
          <w:r>
            <w:rPr>
              <w:sz w:val="24"/>
            </w:rPr>
            <w:fldChar w:fldCharType="end"/>
          </w:r>
        </w:p>
        <w:p>
          <w:pPr>
            <w:pStyle w:val="27"/>
            <w:tabs>
              <w:tab w:val="right" w:leader="dot" w:pos="8210"/>
            </w:tabs>
            <w:spacing w:line="420" w:lineRule="exact"/>
            <w:rPr>
              <w:rFonts w:asciiTheme="minorHAnsi" w:hAnsiTheme="minorHAnsi" w:eastAsiaTheme="minorEastAsia" w:cstheme="minorBidi"/>
              <w:sz w:val="24"/>
            </w:rPr>
          </w:pPr>
          <w:r>
            <w:fldChar w:fldCharType="begin"/>
          </w:r>
          <w:r>
            <w:instrText xml:space="preserve"> HYPERLINK \l "_Toc38307004" </w:instrText>
          </w:r>
          <w:r>
            <w:fldChar w:fldCharType="separate"/>
          </w:r>
          <w:r>
            <w:rPr>
              <w:rStyle w:val="47"/>
              <w:rFonts w:hint="eastAsia" w:ascii="黑体" w:eastAsia="黑体"/>
              <w:sz w:val="24"/>
            </w:rPr>
            <w:t>第七章　附件</w:t>
          </w:r>
          <w:r>
            <w:rPr>
              <w:sz w:val="24"/>
            </w:rPr>
            <w:tab/>
          </w:r>
          <w:r>
            <w:rPr>
              <w:sz w:val="24"/>
            </w:rPr>
            <w:fldChar w:fldCharType="begin"/>
          </w:r>
          <w:r>
            <w:rPr>
              <w:sz w:val="24"/>
            </w:rPr>
            <w:instrText xml:space="preserve"> PAGEREF _Toc38307004 \h </w:instrText>
          </w:r>
          <w:r>
            <w:rPr>
              <w:sz w:val="24"/>
            </w:rPr>
            <w:fldChar w:fldCharType="separate"/>
          </w:r>
          <w:r>
            <w:rPr>
              <w:sz w:val="24"/>
            </w:rPr>
            <w:t>53</w:t>
          </w:r>
          <w:r>
            <w:rPr>
              <w:sz w:val="24"/>
            </w:rPr>
            <w:fldChar w:fldCharType="end"/>
          </w:r>
          <w:r>
            <w:rPr>
              <w:sz w:val="24"/>
            </w:rPr>
            <w:fldChar w:fldCharType="end"/>
          </w:r>
        </w:p>
        <w:p>
          <w:pPr>
            <w:spacing w:line="420" w:lineRule="exact"/>
            <w:rPr>
              <w:rFonts w:asciiTheme="minorEastAsia" w:hAnsiTheme="minorEastAsia" w:eastAsiaTheme="minorEastAsia"/>
              <w:sz w:val="24"/>
            </w:rPr>
          </w:pPr>
          <w:r>
            <w:rPr>
              <w:rFonts w:asciiTheme="minorEastAsia" w:hAnsiTheme="minorEastAsia" w:eastAsiaTheme="minorEastAsia"/>
              <w:sz w:val="24"/>
            </w:rPr>
            <w:fldChar w:fldCharType="end"/>
          </w:r>
        </w:p>
      </w:sdtContent>
    </w:sdt>
    <w:p>
      <w:pPr>
        <w:pStyle w:val="2"/>
        <w:spacing w:line="480" w:lineRule="auto"/>
        <w:rPr>
          <w:szCs w:val="32"/>
        </w:rPr>
        <w:sectPr>
          <w:footerReference r:id="rId4" w:type="first"/>
          <w:footerReference r:id="rId3" w:type="even"/>
          <w:pgSz w:w="11906" w:h="16838"/>
          <w:pgMar w:top="1440" w:right="1701" w:bottom="1440" w:left="1985" w:header="851" w:footer="851" w:gutter="0"/>
          <w:pgNumType w:start="1"/>
          <w:cols w:space="720" w:num="1"/>
          <w:docGrid w:linePitch="312" w:charSpace="0"/>
        </w:sectPr>
      </w:pPr>
    </w:p>
    <w:p>
      <w:pPr>
        <w:pStyle w:val="2"/>
        <w:adjustRightInd w:val="0"/>
        <w:snapToGrid w:val="0"/>
        <w:spacing w:before="240" w:after="240" w:line="360" w:lineRule="auto"/>
        <w:rPr>
          <w:rFonts w:ascii="创艺简标宋" w:hAnsi="宋体" w:eastAsia="创艺简标宋"/>
          <w:sz w:val="36"/>
          <w:szCs w:val="36"/>
        </w:rPr>
      </w:pPr>
      <w:bookmarkStart w:id="2" w:name="_Toc38306944"/>
      <w:bookmarkStart w:id="3" w:name="_Toc513370302"/>
      <w:r>
        <w:rPr>
          <w:rFonts w:hint="eastAsia"/>
          <w:sz w:val="36"/>
          <w:szCs w:val="36"/>
        </w:rPr>
        <w:t>第一章  招标公告</w:t>
      </w:r>
      <w:bookmarkEnd w:id="2"/>
      <w:bookmarkEnd w:id="3"/>
    </w:p>
    <w:p>
      <w:pPr>
        <w:pStyle w:val="60"/>
        <w:adjustRightInd w:val="0"/>
        <w:spacing w:afterLines="0" w:line="360" w:lineRule="auto"/>
        <w:ind w:firstLine="480"/>
        <w:rPr>
          <w:rFonts w:ascii="宋体" w:hAnsi="宋体"/>
          <w:szCs w:val="24"/>
        </w:rPr>
      </w:pPr>
      <w:r>
        <w:rPr>
          <w:rFonts w:hint="eastAsia" w:ascii="宋体" w:hAnsi="宋体"/>
          <w:szCs w:val="24"/>
        </w:rPr>
        <w:t>嘉兴市华信工程咨询有限公司受采购人委托，就</w:t>
      </w:r>
      <w:r>
        <w:rPr>
          <w:rFonts w:hint="eastAsia" w:ascii="宋体" w:hAnsi="宋体"/>
          <w:b/>
          <w:szCs w:val="24"/>
        </w:rPr>
        <w:t>天凝镇全域公共服务管理及镇区保洁服务项目</w:t>
      </w:r>
      <w:r>
        <w:rPr>
          <w:rFonts w:ascii="宋体" w:hAnsi="宋体"/>
          <w:szCs w:val="24"/>
        </w:rPr>
        <w:t>进行公开招标采购，</w:t>
      </w:r>
      <w:r>
        <w:rPr>
          <w:rFonts w:hint="eastAsia" w:ascii="宋体" w:hAnsi="宋体"/>
          <w:szCs w:val="24"/>
        </w:rPr>
        <w:t>欢迎国内合格的投标人前来投标，现将有关事项公告如下：</w:t>
      </w:r>
    </w:p>
    <w:p>
      <w:pPr>
        <w:numPr>
          <w:ilvl w:val="0"/>
          <w:numId w:val="4"/>
        </w:numPr>
        <w:adjustRightInd w:val="0"/>
        <w:snapToGrid w:val="0"/>
        <w:spacing w:line="360" w:lineRule="auto"/>
        <w:rPr>
          <w:rFonts w:ascii="宋体" w:hAnsi="宋体" w:cs="Arial"/>
          <w:sz w:val="24"/>
        </w:rPr>
      </w:pPr>
      <w:r>
        <w:rPr>
          <w:rFonts w:hint="eastAsia" w:ascii="宋体" w:hAnsi="宋体" w:cs="Arial"/>
          <w:b/>
          <w:bCs/>
          <w:sz w:val="24"/>
        </w:rPr>
        <w:t>项目编号：2020（888）</w:t>
      </w:r>
    </w:p>
    <w:p>
      <w:pPr>
        <w:numPr>
          <w:ilvl w:val="0"/>
          <w:numId w:val="4"/>
        </w:numPr>
        <w:adjustRightInd w:val="0"/>
        <w:snapToGrid w:val="0"/>
        <w:spacing w:line="360" w:lineRule="auto"/>
        <w:rPr>
          <w:rFonts w:ascii="宋体" w:hAnsi="宋体" w:cs="Arial"/>
          <w:sz w:val="24"/>
        </w:rPr>
      </w:pPr>
      <w:r>
        <w:rPr>
          <w:rFonts w:hint="eastAsia" w:ascii="宋体" w:hAnsi="宋体" w:cs="Arial"/>
          <w:b/>
          <w:sz w:val="24"/>
        </w:rPr>
        <w:t>采购方式：公开招标</w:t>
      </w:r>
    </w:p>
    <w:p>
      <w:pPr>
        <w:numPr>
          <w:ilvl w:val="0"/>
          <w:numId w:val="4"/>
        </w:numPr>
        <w:adjustRightInd w:val="0"/>
        <w:snapToGrid w:val="0"/>
        <w:spacing w:line="360" w:lineRule="auto"/>
        <w:rPr>
          <w:rFonts w:ascii="宋体" w:hAnsi="宋体"/>
          <w:sz w:val="24"/>
        </w:rPr>
      </w:pPr>
      <w:r>
        <w:rPr>
          <w:rFonts w:hint="eastAsia" w:ascii="宋体" w:hAnsi="宋体" w:cs="Arial"/>
          <w:b/>
          <w:sz w:val="24"/>
        </w:rPr>
        <w:t>项目名称:</w:t>
      </w:r>
      <w:r>
        <w:rPr>
          <w:rFonts w:hint="eastAsia" w:ascii="宋体" w:hAnsi="宋体"/>
          <w:sz w:val="24"/>
        </w:rPr>
        <w:t xml:space="preserve"> </w:t>
      </w:r>
      <w:r>
        <w:rPr>
          <w:rFonts w:hint="eastAsia" w:ascii="宋体" w:hAnsi="宋体"/>
          <w:b/>
          <w:sz w:val="24"/>
        </w:rPr>
        <w:t>天凝镇全域公共服务管理及镇区保洁服务项目</w:t>
      </w:r>
    </w:p>
    <w:p>
      <w:pPr>
        <w:numPr>
          <w:ilvl w:val="0"/>
          <w:numId w:val="4"/>
        </w:numPr>
        <w:adjustRightInd w:val="0"/>
        <w:snapToGrid w:val="0"/>
        <w:spacing w:line="360" w:lineRule="auto"/>
        <w:rPr>
          <w:rFonts w:ascii="宋体" w:hAnsi="宋体" w:cs="Arial"/>
          <w:b/>
          <w:bCs/>
          <w:sz w:val="24"/>
        </w:rPr>
      </w:pPr>
      <w:r>
        <w:rPr>
          <w:rFonts w:hint="eastAsia" w:ascii="宋体" w:hAnsi="宋体" w:cs="Arial"/>
          <w:b/>
          <w:bCs/>
          <w:sz w:val="24"/>
        </w:rPr>
        <w:t>招标采购内容：</w:t>
      </w:r>
    </w:p>
    <w:p>
      <w:pPr>
        <w:pStyle w:val="72"/>
        <w:numPr>
          <w:ilvl w:val="1"/>
          <w:numId w:val="5"/>
        </w:numPr>
        <w:adjustRightInd w:val="0"/>
        <w:snapToGrid w:val="0"/>
        <w:ind w:left="0" w:firstLine="357" w:firstLineChars="0"/>
        <w:rPr>
          <w:rFonts w:ascii="宋体" w:hAnsi="宋体"/>
        </w:rPr>
      </w:pPr>
      <w:r>
        <w:rPr>
          <w:rFonts w:hint="eastAsia" w:ascii="宋体" w:hAnsi="宋体"/>
        </w:rPr>
        <w:t>采购内容：</w:t>
      </w:r>
      <w:r>
        <w:rPr>
          <w:rFonts w:hint="eastAsia" w:ascii="宋体" w:hAnsi="宋体"/>
          <w:szCs w:val="24"/>
        </w:rPr>
        <w:t>全域公共服务管理、集镇和工业园区保洁服务、中转站（资源化处理站）运作服务。</w:t>
      </w:r>
    </w:p>
    <w:p>
      <w:pPr>
        <w:pStyle w:val="72"/>
        <w:numPr>
          <w:ilvl w:val="1"/>
          <w:numId w:val="5"/>
        </w:numPr>
        <w:adjustRightInd w:val="0"/>
        <w:snapToGrid w:val="0"/>
        <w:ind w:left="0" w:firstLine="357" w:firstLineChars="0"/>
        <w:rPr>
          <w:rFonts w:ascii="宋体" w:hAnsi="宋体"/>
        </w:rPr>
      </w:pPr>
      <w:r>
        <w:rPr>
          <w:rFonts w:hint="eastAsia" w:ascii="宋体" w:hAnsi="宋体"/>
        </w:rPr>
        <w:t>服务期：二年（自2020年6月1日至2022年5月31日），</w:t>
      </w:r>
      <w:r>
        <w:rPr>
          <w:rFonts w:hint="eastAsia" w:ascii="宋体" w:hAnsi="宋体" w:cs="Arial"/>
          <w:kern w:val="0"/>
        </w:rPr>
        <w:t>如中标供应商履约情况良好，可由采购人提出并经采购人与中标供应商协商一致同意可续签二年合同。</w:t>
      </w:r>
    </w:p>
    <w:p>
      <w:pPr>
        <w:pStyle w:val="72"/>
        <w:numPr>
          <w:ilvl w:val="1"/>
          <w:numId w:val="5"/>
        </w:numPr>
        <w:adjustRightInd w:val="0"/>
        <w:snapToGrid w:val="0"/>
        <w:ind w:left="0" w:firstLine="357" w:firstLineChars="0"/>
        <w:rPr>
          <w:rFonts w:ascii="宋体" w:hAnsi="宋体"/>
        </w:rPr>
      </w:pPr>
      <w:r>
        <w:rPr>
          <w:rFonts w:hint="eastAsia" w:ascii="宋体" w:hAnsi="宋体" w:cs="Arial"/>
          <w:kern w:val="0"/>
        </w:rPr>
        <w:t>预算金额：2504万元</w:t>
      </w:r>
    </w:p>
    <w:p>
      <w:pPr>
        <w:numPr>
          <w:ilvl w:val="0"/>
          <w:numId w:val="4"/>
        </w:numPr>
        <w:adjustRightInd w:val="0"/>
        <w:snapToGrid w:val="0"/>
        <w:spacing w:line="360" w:lineRule="auto"/>
        <w:rPr>
          <w:rFonts w:ascii="宋体" w:hAnsi="宋体" w:cs="Arial"/>
          <w:b/>
          <w:bCs/>
          <w:sz w:val="24"/>
        </w:rPr>
      </w:pPr>
      <w:r>
        <w:rPr>
          <w:rFonts w:hint="eastAsia" w:ascii="宋体" w:hAnsi="宋体" w:cs="Arial"/>
          <w:b/>
          <w:bCs/>
          <w:sz w:val="24"/>
        </w:rPr>
        <w:t>合格投标人的资格要求</w:t>
      </w:r>
    </w:p>
    <w:p>
      <w:pPr>
        <w:pStyle w:val="72"/>
        <w:numPr>
          <w:ilvl w:val="0"/>
          <w:numId w:val="6"/>
        </w:numPr>
        <w:tabs>
          <w:tab w:val="left" w:pos="851"/>
        </w:tabs>
        <w:adjustRightInd w:val="0"/>
        <w:snapToGrid w:val="0"/>
        <w:ind w:firstLineChars="0"/>
        <w:rPr>
          <w:rFonts w:cs="Arial"/>
          <w:bCs/>
        </w:rPr>
      </w:pPr>
      <w:bookmarkStart w:id="4" w:name="资格条件1"/>
      <w:r>
        <w:rPr>
          <w:rFonts w:hint="eastAsia" w:ascii="宋体" w:hAnsi="宋体" w:cs="Arial"/>
        </w:rPr>
        <w:t>具有独立承担民事责任的能力；具有履行合同所必需的设备和专业技术能力；有依法缴纳税收和社会保障资金的良好记录</w:t>
      </w:r>
      <w:r>
        <w:rPr>
          <w:rFonts w:hint="eastAsia" w:cs="Arial"/>
          <w:b/>
        </w:rPr>
        <w:t>。</w:t>
      </w:r>
      <w:r>
        <w:rPr>
          <w:rFonts w:hint="eastAsia" w:cs="Arial"/>
          <w:bCs/>
        </w:rPr>
        <w:t>参加政府采购活动前三年内，在经营活动中没有重大违法记录。</w:t>
      </w:r>
    </w:p>
    <w:p>
      <w:pPr>
        <w:pStyle w:val="72"/>
        <w:numPr>
          <w:ilvl w:val="0"/>
          <w:numId w:val="6"/>
        </w:numPr>
        <w:tabs>
          <w:tab w:val="left" w:pos="851"/>
        </w:tabs>
        <w:adjustRightInd w:val="0"/>
        <w:snapToGrid w:val="0"/>
        <w:ind w:firstLineChars="0"/>
        <w:rPr>
          <w:rFonts w:cs="Arial"/>
        </w:rPr>
      </w:pPr>
      <w:r>
        <w:rPr>
          <w:rFonts w:hint="eastAsia" w:cs="Arial"/>
        </w:rPr>
        <w:t>营业执照经营范围内具有保洁或物业管理服务相关内容。</w:t>
      </w:r>
    </w:p>
    <w:p>
      <w:pPr>
        <w:numPr>
          <w:ilvl w:val="0"/>
          <w:numId w:val="6"/>
        </w:numPr>
        <w:adjustRightInd w:val="0"/>
        <w:snapToGrid w:val="0"/>
        <w:spacing w:line="360" w:lineRule="auto"/>
        <w:rPr>
          <w:rFonts w:ascii="宋体" w:hAnsi="宋体"/>
          <w:bCs/>
          <w:sz w:val="24"/>
        </w:rPr>
      </w:pPr>
      <w:r>
        <w:rPr>
          <w:rFonts w:hint="eastAsia" w:ascii="宋体" w:hAnsi="宋体"/>
          <w:bCs/>
          <w:sz w:val="24"/>
        </w:rPr>
        <w:t>不允许联合体投标</w:t>
      </w:r>
      <w:bookmarkEnd w:id="4"/>
      <w:r>
        <w:rPr>
          <w:rFonts w:hint="eastAsia" w:ascii="宋体" w:hAnsi="宋体"/>
          <w:bCs/>
          <w:sz w:val="24"/>
        </w:rPr>
        <w:t>。</w:t>
      </w:r>
    </w:p>
    <w:p>
      <w:pPr>
        <w:numPr>
          <w:ilvl w:val="0"/>
          <w:numId w:val="4"/>
        </w:numPr>
        <w:adjustRightInd w:val="0"/>
        <w:snapToGrid w:val="0"/>
        <w:spacing w:line="360" w:lineRule="auto"/>
        <w:rPr>
          <w:rFonts w:ascii="宋体" w:hAnsi="宋体" w:cs="Arial"/>
          <w:sz w:val="24"/>
        </w:rPr>
      </w:pPr>
      <w:r>
        <w:rPr>
          <w:rFonts w:hint="eastAsia" w:ascii="宋体" w:hAnsi="宋体" w:cs="Arial"/>
          <w:b/>
          <w:bCs/>
          <w:sz w:val="24"/>
        </w:rPr>
        <w:t>报名、注册及招标文件的获取</w:t>
      </w:r>
      <w:r>
        <w:rPr>
          <w:rFonts w:hint="eastAsia" w:ascii="宋体" w:hAnsi="宋体" w:cs="Arial"/>
          <w:sz w:val="24"/>
        </w:rPr>
        <w:t>：</w:t>
      </w:r>
    </w:p>
    <w:p>
      <w:pPr>
        <w:pStyle w:val="72"/>
        <w:numPr>
          <w:ilvl w:val="0"/>
          <w:numId w:val="7"/>
        </w:numPr>
        <w:shd w:val="clear" w:color="auto" w:fill="FFFFFF"/>
        <w:adjustRightInd w:val="0"/>
        <w:snapToGrid w:val="0"/>
        <w:ind w:hanging="194" w:firstLineChars="0"/>
        <w:rPr>
          <w:rFonts w:ascii="宋体" w:hAnsi="宋体" w:cs="Arial"/>
        </w:rPr>
      </w:pPr>
      <w:r>
        <w:rPr>
          <w:rFonts w:hint="eastAsia" w:ascii="宋体" w:hAnsi="宋体" w:cs="Arial"/>
          <w:b/>
          <w:bCs/>
        </w:rPr>
        <w:t>报名时间：</w:t>
      </w:r>
      <w:r>
        <w:rPr>
          <w:rFonts w:hint="eastAsia" w:ascii="宋体" w:hAnsi="宋体" w:cs="Arial"/>
        </w:rPr>
        <w:t>2020年4月*日至2020年4月*日(双休日及法定节假日除外)，工作时间：上午：8:30-11:30；下午：2:00-5:00</w:t>
      </w:r>
    </w:p>
    <w:p>
      <w:pPr>
        <w:pStyle w:val="72"/>
        <w:numPr>
          <w:ilvl w:val="0"/>
          <w:numId w:val="7"/>
        </w:numPr>
        <w:shd w:val="clear" w:color="auto" w:fill="FFFFFF"/>
        <w:adjustRightInd w:val="0"/>
        <w:snapToGrid w:val="0"/>
        <w:ind w:hanging="194" w:firstLineChars="0"/>
        <w:rPr>
          <w:rFonts w:ascii="宋体" w:hAnsi="宋体" w:cs="Arial"/>
        </w:rPr>
      </w:pPr>
      <w:r>
        <w:rPr>
          <w:rFonts w:hint="eastAsia" w:ascii="宋体" w:hAnsi="宋体" w:cs="Arial"/>
        </w:rPr>
        <w:t>报名地点：嘉善县罗星街道人民大道1018号时代广场14楼1417室</w:t>
      </w:r>
    </w:p>
    <w:p>
      <w:pPr>
        <w:pStyle w:val="72"/>
        <w:numPr>
          <w:ilvl w:val="0"/>
          <w:numId w:val="7"/>
        </w:numPr>
        <w:shd w:val="clear" w:color="auto" w:fill="FFFFFF"/>
        <w:adjustRightInd w:val="0"/>
        <w:snapToGrid w:val="0"/>
        <w:ind w:hanging="194" w:firstLineChars="0"/>
        <w:rPr>
          <w:rFonts w:ascii="宋体" w:hAnsi="宋体" w:cs="Arial"/>
        </w:rPr>
      </w:pPr>
      <w:r>
        <w:rPr>
          <w:rFonts w:hint="eastAsia" w:ascii="宋体" w:hAnsi="宋体" w:cs="Arial"/>
        </w:rPr>
        <w:t>招标文件费(元)：人民币伍佰元整（售后不退）</w:t>
      </w:r>
    </w:p>
    <w:p>
      <w:pPr>
        <w:pStyle w:val="72"/>
        <w:numPr>
          <w:ilvl w:val="0"/>
          <w:numId w:val="7"/>
        </w:numPr>
        <w:shd w:val="clear" w:color="auto" w:fill="FFFFFF"/>
        <w:adjustRightInd w:val="0"/>
        <w:snapToGrid w:val="0"/>
        <w:ind w:hanging="194" w:firstLineChars="0"/>
        <w:rPr>
          <w:rFonts w:ascii="宋体" w:hAnsi="宋体" w:cs="Arial"/>
        </w:rPr>
      </w:pPr>
      <w:r>
        <w:rPr>
          <w:rFonts w:hint="eastAsia" w:ascii="宋体" w:hAnsi="宋体" w:cs="Arial"/>
        </w:rPr>
        <w:t>报名及购买招标文件时应提交的资料：</w:t>
      </w:r>
    </w:p>
    <w:p>
      <w:pPr>
        <w:numPr>
          <w:ilvl w:val="0"/>
          <w:numId w:val="8"/>
        </w:numPr>
        <w:shd w:val="clear" w:color="auto" w:fill="FFFFFF"/>
        <w:adjustRightInd w:val="0"/>
        <w:snapToGrid w:val="0"/>
        <w:spacing w:line="360" w:lineRule="auto"/>
        <w:ind w:left="0" w:firstLine="200"/>
        <w:rPr>
          <w:rFonts w:ascii="宋体" w:hAnsi="宋体" w:cs="Arial"/>
          <w:sz w:val="24"/>
        </w:rPr>
      </w:pPr>
      <w:r>
        <w:rPr>
          <w:rFonts w:hint="eastAsia" w:ascii="宋体" w:hAnsi="宋体" w:cs="Arial"/>
          <w:sz w:val="24"/>
        </w:rPr>
        <w:t>报名表（网址：http://js.jxzbtb.cn下载嘉善县其他公共资源采购投标报名表）一份；</w:t>
      </w:r>
    </w:p>
    <w:p>
      <w:pPr>
        <w:numPr>
          <w:ilvl w:val="0"/>
          <w:numId w:val="8"/>
        </w:numPr>
        <w:shd w:val="clear" w:color="auto" w:fill="FFFFFF"/>
        <w:adjustRightInd w:val="0"/>
        <w:snapToGrid w:val="0"/>
        <w:spacing w:line="360" w:lineRule="auto"/>
        <w:ind w:left="0" w:firstLine="200"/>
        <w:rPr>
          <w:rFonts w:ascii="宋体" w:hAnsi="宋体" w:cs="Arial"/>
          <w:sz w:val="24"/>
        </w:rPr>
      </w:pPr>
      <w:r>
        <w:rPr>
          <w:rFonts w:hint="eastAsia" w:ascii="宋体" w:hAnsi="宋体"/>
          <w:sz w:val="24"/>
        </w:rPr>
        <w:t>委托代理人报名的，提供</w:t>
      </w:r>
      <w:r>
        <w:rPr>
          <w:rFonts w:ascii="宋体" w:hAnsi="宋体"/>
          <w:sz w:val="24"/>
        </w:rPr>
        <w:t>法定代表人出具的授权委托书原件</w:t>
      </w:r>
      <w:r>
        <w:rPr>
          <w:rFonts w:hint="eastAsia" w:ascii="宋体" w:hAnsi="宋体"/>
          <w:sz w:val="24"/>
        </w:rPr>
        <w:t>及代理人</w:t>
      </w:r>
      <w:r>
        <w:rPr>
          <w:rFonts w:ascii="宋体" w:hAnsi="宋体"/>
          <w:sz w:val="24"/>
        </w:rPr>
        <w:t>身份证</w:t>
      </w:r>
      <w:r>
        <w:rPr>
          <w:rFonts w:hint="eastAsia" w:ascii="宋体" w:hAnsi="宋体"/>
          <w:sz w:val="24"/>
        </w:rPr>
        <w:t>复印件一份（</w:t>
      </w:r>
      <w:r>
        <w:rPr>
          <w:rFonts w:ascii="宋体" w:hAnsi="宋体"/>
          <w:sz w:val="24"/>
        </w:rPr>
        <w:t>如法定代表人</w:t>
      </w:r>
      <w:r>
        <w:rPr>
          <w:rFonts w:hint="eastAsia" w:ascii="宋体" w:hAnsi="宋体"/>
          <w:sz w:val="24"/>
        </w:rPr>
        <w:t>报名的</w:t>
      </w:r>
      <w:r>
        <w:rPr>
          <w:rFonts w:ascii="宋体" w:hAnsi="宋体"/>
          <w:sz w:val="24"/>
        </w:rPr>
        <w:t>，</w:t>
      </w:r>
      <w:r>
        <w:rPr>
          <w:rFonts w:hint="eastAsia" w:ascii="宋体" w:hAnsi="宋体"/>
          <w:sz w:val="24"/>
        </w:rPr>
        <w:t>提供</w:t>
      </w:r>
      <w:r>
        <w:rPr>
          <w:rFonts w:ascii="宋体" w:hAnsi="宋体"/>
          <w:sz w:val="24"/>
        </w:rPr>
        <w:t>法定代表人身份证明书</w:t>
      </w:r>
      <w:r>
        <w:rPr>
          <w:rFonts w:hint="eastAsia" w:ascii="宋体" w:hAnsi="宋体"/>
          <w:sz w:val="24"/>
        </w:rPr>
        <w:t>原件及法定代表人</w:t>
      </w:r>
      <w:r>
        <w:rPr>
          <w:rFonts w:ascii="宋体" w:hAnsi="宋体"/>
          <w:sz w:val="24"/>
        </w:rPr>
        <w:t>身份证</w:t>
      </w:r>
      <w:r>
        <w:rPr>
          <w:rFonts w:hint="eastAsia" w:ascii="宋体" w:hAnsi="宋体"/>
          <w:sz w:val="24"/>
        </w:rPr>
        <w:t>复印件一份）</w:t>
      </w:r>
      <w:r>
        <w:rPr>
          <w:rFonts w:hint="eastAsia" w:ascii="宋体" w:hAnsi="宋体" w:cs="Arial"/>
          <w:sz w:val="24"/>
        </w:rPr>
        <w:t>；</w:t>
      </w:r>
    </w:p>
    <w:p>
      <w:pPr>
        <w:numPr>
          <w:ilvl w:val="0"/>
          <w:numId w:val="8"/>
        </w:numPr>
        <w:shd w:val="clear" w:color="auto" w:fill="FFFFFF"/>
        <w:adjustRightInd w:val="0"/>
        <w:snapToGrid w:val="0"/>
        <w:spacing w:line="360" w:lineRule="auto"/>
        <w:ind w:left="0" w:firstLine="200"/>
        <w:rPr>
          <w:rFonts w:ascii="宋体" w:hAnsi="宋体" w:cs="Arial"/>
          <w:sz w:val="24"/>
        </w:rPr>
      </w:pPr>
      <w:r>
        <w:rPr>
          <w:rFonts w:hint="eastAsia" w:ascii="宋体" w:hAnsi="宋体" w:cs="Arial"/>
          <w:sz w:val="24"/>
        </w:rPr>
        <w:t>企业营业执照副本原件及复印件一份。</w:t>
      </w:r>
    </w:p>
    <w:p>
      <w:pPr>
        <w:shd w:val="clear" w:color="auto" w:fill="FFFFFF"/>
        <w:adjustRightInd w:val="0"/>
        <w:snapToGrid w:val="0"/>
        <w:spacing w:line="360" w:lineRule="auto"/>
        <w:ind w:firstLine="200"/>
        <w:rPr>
          <w:rFonts w:ascii="宋体" w:hAnsi="宋体" w:cs="Arial"/>
          <w:sz w:val="24"/>
        </w:rPr>
      </w:pPr>
      <w:r>
        <w:rPr>
          <w:rFonts w:hint="eastAsia" w:ascii="宋体" w:hAnsi="宋体" w:cs="Arial"/>
          <w:sz w:val="24"/>
        </w:rPr>
        <w:t>注：以上复印件均须加盖单位公章，原件审查后返还。</w:t>
      </w:r>
    </w:p>
    <w:p>
      <w:pPr>
        <w:numPr>
          <w:ilvl w:val="0"/>
          <w:numId w:val="4"/>
        </w:numPr>
        <w:adjustRightInd w:val="0"/>
        <w:snapToGrid w:val="0"/>
        <w:spacing w:line="360" w:lineRule="auto"/>
        <w:rPr>
          <w:rFonts w:ascii="宋体" w:hAnsi="宋体" w:cs="Arial"/>
          <w:kern w:val="0"/>
          <w:sz w:val="24"/>
        </w:rPr>
      </w:pPr>
      <w:r>
        <w:rPr>
          <w:rFonts w:hint="eastAsia" w:ascii="宋体" w:hAnsi="宋体" w:cs="宋体"/>
          <w:b/>
          <w:kern w:val="0"/>
          <w:sz w:val="24"/>
        </w:rPr>
        <w:t>投标保证金：无（不需要缴纳）</w:t>
      </w:r>
      <w:r>
        <w:rPr>
          <w:rFonts w:hint="eastAsia" w:ascii="宋体" w:hAnsi="宋体" w:cs="Arial"/>
          <w:kern w:val="0"/>
          <w:sz w:val="24"/>
        </w:rPr>
        <w:t>。</w:t>
      </w:r>
    </w:p>
    <w:p>
      <w:pPr>
        <w:numPr>
          <w:ilvl w:val="0"/>
          <w:numId w:val="4"/>
        </w:numPr>
        <w:adjustRightInd w:val="0"/>
        <w:snapToGrid w:val="0"/>
        <w:spacing w:line="360" w:lineRule="auto"/>
        <w:rPr>
          <w:rFonts w:ascii="宋体" w:hAnsi="宋体" w:cs="Arial"/>
          <w:sz w:val="24"/>
        </w:rPr>
      </w:pPr>
      <w:r>
        <w:rPr>
          <w:rFonts w:hint="eastAsia" w:ascii="宋体" w:hAnsi="宋体" w:cs="Arial"/>
          <w:b/>
          <w:bCs/>
          <w:sz w:val="24"/>
        </w:rPr>
        <w:t>投标截止时间和地点</w:t>
      </w:r>
      <w:r>
        <w:rPr>
          <w:rFonts w:hint="eastAsia" w:ascii="宋体" w:hAnsi="宋体" w:cs="Arial"/>
          <w:sz w:val="24"/>
        </w:rPr>
        <w:t>：</w:t>
      </w:r>
    </w:p>
    <w:p>
      <w:pPr>
        <w:adjustRightInd w:val="0"/>
        <w:snapToGrid w:val="0"/>
        <w:spacing w:line="360" w:lineRule="auto"/>
        <w:ind w:firstLine="352" w:firstLineChars="147"/>
        <w:jc w:val="left"/>
        <w:rPr>
          <w:rFonts w:ascii="宋体" w:hAnsi="宋体"/>
          <w:sz w:val="24"/>
        </w:rPr>
      </w:pPr>
      <w:r>
        <w:rPr>
          <w:rFonts w:hint="eastAsia" w:ascii="宋体" w:hAnsi="宋体"/>
          <w:sz w:val="24"/>
        </w:rPr>
        <w:t>投标人应于</w:t>
      </w:r>
      <w:r>
        <w:rPr>
          <w:rFonts w:hint="eastAsia" w:ascii="宋体" w:hAnsi="宋体" w:cs="Arial"/>
          <w:sz w:val="24"/>
        </w:rPr>
        <w:t>2020年5月*日下午13时30分</w:t>
      </w:r>
      <w:r>
        <w:rPr>
          <w:rFonts w:hint="eastAsia" w:ascii="宋体" w:hAnsi="宋体"/>
          <w:sz w:val="24"/>
        </w:rPr>
        <w:t>前将投标文件密封送达到</w:t>
      </w:r>
      <w:r>
        <w:rPr>
          <w:rFonts w:hint="eastAsia" w:ascii="宋体" w:hAnsi="宋体"/>
          <w:color w:val="FF0000"/>
          <w:sz w:val="24"/>
        </w:rPr>
        <w:t>天凝镇天凝大道1199号1楼125开标室</w:t>
      </w:r>
      <w:r>
        <w:rPr>
          <w:rFonts w:hint="eastAsia" w:ascii="宋体" w:hAnsi="宋体"/>
          <w:sz w:val="24"/>
        </w:rPr>
        <w:t>并提交给招标代理机构，完成投标签到，逾期送达、不按要求提交或未密封的投标文件将予以拒收。</w:t>
      </w:r>
    </w:p>
    <w:p>
      <w:pPr>
        <w:numPr>
          <w:ilvl w:val="0"/>
          <w:numId w:val="4"/>
        </w:numPr>
        <w:adjustRightInd w:val="0"/>
        <w:snapToGrid w:val="0"/>
        <w:spacing w:line="360" w:lineRule="auto"/>
        <w:rPr>
          <w:rFonts w:ascii="宋体" w:hAnsi="宋体" w:cs="Arial"/>
          <w:sz w:val="24"/>
        </w:rPr>
      </w:pPr>
      <w:r>
        <w:rPr>
          <w:rFonts w:hint="eastAsia" w:ascii="宋体" w:hAnsi="宋体" w:cs="Arial"/>
          <w:b/>
          <w:bCs/>
          <w:sz w:val="24"/>
        </w:rPr>
        <w:t>开标时间及地点</w:t>
      </w:r>
      <w:r>
        <w:rPr>
          <w:rFonts w:hint="eastAsia" w:ascii="宋体" w:hAnsi="宋体" w:cs="Arial"/>
          <w:sz w:val="24"/>
        </w:rPr>
        <w:t>：</w:t>
      </w:r>
    </w:p>
    <w:p>
      <w:pPr>
        <w:adjustRightInd w:val="0"/>
        <w:snapToGrid w:val="0"/>
        <w:spacing w:line="360" w:lineRule="auto"/>
        <w:ind w:firstLine="352" w:firstLineChars="147"/>
        <w:rPr>
          <w:rFonts w:ascii="宋体" w:hAnsi="宋体" w:cs="Arial"/>
          <w:sz w:val="24"/>
        </w:rPr>
      </w:pPr>
      <w:r>
        <w:rPr>
          <w:rFonts w:hint="eastAsia" w:ascii="宋体" w:hAnsi="宋体" w:cs="Arial"/>
          <w:sz w:val="24"/>
        </w:rPr>
        <w:t>本次招标将于2020年5月*日下午13时30分在</w:t>
      </w:r>
      <w:r>
        <w:rPr>
          <w:rFonts w:hint="eastAsia" w:ascii="宋体" w:hAnsi="宋体" w:cs="Arial"/>
          <w:color w:val="FF0000"/>
          <w:sz w:val="24"/>
        </w:rPr>
        <w:t>天凝镇天凝大道1199号1楼125开标室</w:t>
      </w:r>
      <w:r>
        <w:rPr>
          <w:rFonts w:hint="eastAsia" w:ascii="宋体" w:hAnsi="宋体"/>
          <w:color w:val="FF0000"/>
          <w:sz w:val="24"/>
        </w:rPr>
        <w:t>开</w:t>
      </w:r>
      <w:r>
        <w:rPr>
          <w:rFonts w:hint="eastAsia" w:ascii="宋体" w:hAnsi="宋体" w:cs="Arial"/>
          <w:color w:val="FF0000"/>
          <w:sz w:val="24"/>
        </w:rPr>
        <w:t>标</w:t>
      </w:r>
      <w:r>
        <w:rPr>
          <w:rFonts w:hint="eastAsia" w:ascii="宋体" w:hAnsi="宋体" w:cs="Arial"/>
          <w:sz w:val="24"/>
        </w:rPr>
        <w:t>，投标人可派授权代表持有效身份证明出席开标会议。</w:t>
      </w:r>
    </w:p>
    <w:p>
      <w:pPr>
        <w:numPr>
          <w:ilvl w:val="0"/>
          <w:numId w:val="4"/>
        </w:numPr>
        <w:adjustRightInd w:val="0"/>
        <w:snapToGrid w:val="0"/>
        <w:spacing w:line="360" w:lineRule="auto"/>
        <w:rPr>
          <w:rFonts w:ascii="宋体" w:hAnsi="宋体" w:cs="Arial"/>
          <w:b/>
          <w:sz w:val="24"/>
        </w:rPr>
      </w:pPr>
      <w:r>
        <w:rPr>
          <w:rFonts w:hint="eastAsia" w:ascii="宋体" w:hAnsi="宋体" w:cs="Arial"/>
          <w:b/>
          <w:sz w:val="24"/>
        </w:rPr>
        <w:t>业务咨询：</w:t>
      </w:r>
    </w:p>
    <w:p>
      <w:pPr>
        <w:pStyle w:val="72"/>
        <w:widowControl/>
        <w:numPr>
          <w:ilvl w:val="0"/>
          <w:numId w:val="9"/>
        </w:numPr>
        <w:shd w:val="clear" w:color="auto" w:fill="FFFFFF"/>
        <w:adjustRightInd w:val="0"/>
        <w:snapToGrid w:val="0"/>
        <w:ind w:hanging="251" w:firstLineChars="0"/>
        <w:jc w:val="left"/>
        <w:rPr>
          <w:rFonts w:ascii="宋体" w:hAnsi="宋体"/>
        </w:rPr>
      </w:pPr>
      <w:r>
        <w:rPr>
          <w:rFonts w:hint="eastAsia" w:ascii="宋体" w:hAnsi="宋体"/>
        </w:rPr>
        <w:t>采购代理机构名称：嘉兴市华信工程咨询有限公司</w:t>
      </w:r>
    </w:p>
    <w:p>
      <w:pPr>
        <w:widowControl/>
        <w:shd w:val="clear" w:color="auto" w:fill="FFFFFF"/>
        <w:adjustRightInd w:val="0"/>
        <w:snapToGrid w:val="0"/>
        <w:spacing w:line="360" w:lineRule="auto"/>
        <w:ind w:firstLine="540"/>
        <w:jc w:val="left"/>
        <w:rPr>
          <w:rFonts w:ascii="宋体" w:hAnsi="宋体"/>
          <w:sz w:val="24"/>
        </w:rPr>
      </w:pPr>
      <w:r>
        <w:rPr>
          <w:rFonts w:hint="eastAsia" w:ascii="宋体" w:hAnsi="宋体"/>
          <w:sz w:val="24"/>
        </w:rPr>
        <w:t>联系人：袁虹</w:t>
      </w:r>
    </w:p>
    <w:p>
      <w:pPr>
        <w:widowControl/>
        <w:shd w:val="clear" w:color="auto" w:fill="FFFFFF"/>
        <w:adjustRightInd w:val="0"/>
        <w:snapToGrid w:val="0"/>
        <w:spacing w:line="360" w:lineRule="auto"/>
        <w:ind w:firstLine="540"/>
        <w:jc w:val="left"/>
        <w:rPr>
          <w:rFonts w:ascii="宋体" w:hAnsi="宋体"/>
          <w:sz w:val="24"/>
        </w:rPr>
      </w:pPr>
      <w:r>
        <w:rPr>
          <w:rFonts w:hint="eastAsia" w:ascii="宋体" w:hAnsi="宋体"/>
          <w:sz w:val="24"/>
        </w:rPr>
        <w:t>联系电话：0573-84026676</w:t>
      </w:r>
    </w:p>
    <w:p>
      <w:pPr>
        <w:widowControl/>
        <w:shd w:val="clear" w:color="auto" w:fill="FFFFFF"/>
        <w:adjustRightInd w:val="0"/>
        <w:snapToGrid w:val="0"/>
        <w:spacing w:line="360" w:lineRule="auto"/>
        <w:ind w:firstLine="540"/>
        <w:jc w:val="left"/>
        <w:rPr>
          <w:rFonts w:ascii="宋体" w:hAnsi="宋体"/>
          <w:sz w:val="24"/>
        </w:rPr>
      </w:pPr>
      <w:r>
        <w:rPr>
          <w:rFonts w:hint="eastAsia" w:ascii="宋体" w:hAnsi="宋体"/>
          <w:sz w:val="24"/>
        </w:rPr>
        <w:t>传真：0573-84026676</w:t>
      </w:r>
    </w:p>
    <w:p>
      <w:pPr>
        <w:widowControl/>
        <w:shd w:val="clear" w:color="auto" w:fill="FFFFFF"/>
        <w:adjustRightInd w:val="0"/>
        <w:snapToGrid w:val="0"/>
        <w:spacing w:line="360" w:lineRule="auto"/>
        <w:ind w:firstLine="540"/>
        <w:jc w:val="left"/>
        <w:rPr>
          <w:rFonts w:ascii="宋体" w:hAnsi="宋体"/>
          <w:sz w:val="24"/>
        </w:rPr>
      </w:pPr>
      <w:r>
        <w:rPr>
          <w:rFonts w:hint="eastAsia" w:ascii="宋体" w:hAnsi="宋体"/>
          <w:sz w:val="24"/>
        </w:rPr>
        <w:t>地址：嘉善县罗星街道人民大道1018号时代广场14楼</w:t>
      </w:r>
    </w:p>
    <w:p>
      <w:pPr>
        <w:pStyle w:val="72"/>
        <w:widowControl/>
        <w:numPr>
          <w:ilvl w:val="0"/>
          <w:numId w:val="9"/>
        </w:numPr>
        <w:shd w:val="clear" w:color="auto" w:fill="FFFFFF"/>
        <w:adjustRightInd w:val="0"/>
        <w:snapToGrid w:val="0"/>
        <w:ind w:hanging="251" w:firstLineChars="0"/>
        <w:jc w:val="left"/>
        <w:rPr>
          <w:rFonts w:ascii="宋体" w:hAnsi="宋体"/>
        </w:rPr>
      </w:pPr>
      <w:r>
        <w:rPr>
          <w:rFonts w:hint="eastAsia" w:ascii="宋体" w:hAnsi="宋体"/>
        </w:rPr>
        <w:t>采购人名称：嘉善县天凝镇人民政府</w:t>
      </w:r>
    </w:p>
    <w:p>
      <w:pPr>
        <w:widowControl/>
        <w:shd w:val="clear" w:color="auto" w:fill="FFFFFF"/>
        <w:adjustRightInd w:val="0"/>
        <w:snapToGrid w:val="0"/>
        <w:spacing w:line="360" w:lineRule="auto"/>
        <w:ind w:firstLine="540"/>
        <w:jc w:val="left"/>
        <w:rPr>
          <w:rFonts w:ascii="宋体" w:hAnsi="宋体"/>
          <w:sz w:val="24"/>
        </w:rPr>
      </w:pPr>
      <w:r>
        <w:rPr>
          <w:rFonts w:hint="eastAsia" w:ascii="宋体" w:hAnsi="宋体"/>
          <w:sz w:val="24"/>
        </w:rPr>
        <w:t>联系人：</w:t>
      </w:r>
      <w:r>
        <w:rPr>
          <w:rFonts w:hint="eastAsia" w:ascii="宋体" w:hAnsi="宋体" w:cs="宋体"/>
          <w:kern w:val="0"/>
          <w:sz w:val="24"/>
        </w:rPr>
        <w:t>陈贤宾</w:t>
      </w:r>
    </w:p>
    <w:p>
      <w:pPr>
        <w:widowControl/>
        <w:shd w:val="clear" w:color="auto" w:fill="FFFFFF"/>
        <w:adjustRightInd w:val="0"/>
        <w:snapToGrid w:val="0"/>
        <w:spacing w:line="360" w:lineRule="auto"/>
        <w:ind w:firstLine="540"/>
        <w:jc w:val="left"/>
        <w:rPr>
          <w:rFonts w:ascii="宋体" w:hAnsi="宋体" w:cs="宋体"/>
          <w:kern w:val="0"/>
          <w:sz w:val="24"/>
        </w:rPr>
      </w:pPr>
      <w:r>
        <w:rPr>
          <w:rFonts w:hint="eastAsia" w:ascii="宋体" w:hAnsi="宋体"/>
          <w:sz w:val="24"/>
        </w:rPr>
        <w:t>联系电话：</w:t>
      </w:r>
      <w:r>
        <w:rPr>
          <w:rFonts w:hint="eastAsia" w:ascii="宋体" w:hAnsi="宋体" w:cs="宋体"/>
          <w:kern w:val="0"/>
          <w:sz w:val="24"/>
        </w:rPr>
        <w:t>13625860166</w:t>
      </w:r>
    </w:p>
    <w:p>
      <w:pPr>
        <w:widowControl/>
        <w:shd w:val="clear" w:color="auto" w:fill="FFFFFF"/>
        <w:adjustRightInd w:val="0"/>
        <w:snapToGrid w:val="0"/>
        <w:spacing w:line="360" w:lineRule="auto"/>
        <w:ind w:firstLine="540"/>
        <w:jc w:val="left"/>
        <w:rPr>
          <w:rFonts w:ascii="宋体" w:hAnsi="宋体"/>
          <w:sz w:val="24"/>
        </w:rPr>
      </w:pPr>
      <w:r>
        <w:rPr>
          <w:rFonts w:hint="eastAsia" w:ascii="宋体" w:hAnsi="宋体"/>
          <w:sz w:val="24"/>
        </w:rPr>
        <w:t>地址：</w:t>
      </w:r>
      <w:r>
        <w:rPr>
          <w:rFonts w:hint="eastAsia" w:ascii="宋体" w:hAnsi="宋体" w:cs="宋体"/>
          <w:kern w:val="0"/>
          <w:sz w:val="24"/>
        </w:rPr>
        <w:t>嘉善县天凝镇天凝大道1199号</w:t>
      </w:r>
    </w:p>
    <w:p>
      <w:pPr>
        <w:pStyle w:val="2"/>
        <w:spacing w:before="0" w:after="0" w:line="360" w:lineRule="auto"/>
      </w:pPr>
      <w:r>
        <w:br w:type="page"/>
      </w:r>
      <w:bookmarkStart w:id="5" w:name="_Toc513370304"/>
      <w:bookmarkStart w:id="6" w:name="_Toc38306945"/>
      <w:bookmarkStart w:id="7" w:name="_Toc513370303"/>
      <w:r>
        <w:rPr>
          <w:rFonts w:hint="eastAsia"/>
        </w:rPr>
        <w:t>第二章  投标人须知</w:t>
      </w:r>
      <w:bookmarkEnd w:id="5"/>
      <w:bookmarkEnd w:id="6"/>
    </w:p>
    <w:p>
      <w:pPr>
        <w:snapToGrid w:val="0"/>
        <w:spacing w:beforeLines="50" w:afterLines="50"/>
        <w:ind w:left="238"/>
        <w:jc w:val="center"/>
        <w:outlineLvl w:val="1"/>
        <w:rPr>
          <w:rFonts w:ascii="宋体" w:hAnsi="宋体"/>
          <w:b/>
          <w:sz w:val="24"/>
        </w:rPr>
      </w:pPr>
      <w:bookmarkStart w:id="8" w:name="_Toc38306946"/>
      <w:r>
        <w:rPr>
          <w:rFonts w:hint="eastAsia" w:ascii="宋体" w:hAnsi="宋体"/>
          <w:b/>
          <w:sz w:val="24"/>
        </w:rPr>
        <w:t>前附表</w:t>
      </w:r>
      <w:bookmarkEnd w:id="8"/>
    </w:p>
    <w:tbl>
      <w:tblPr>
        <w:tblStyle w:val="40"/>
        <w:tblW w:w="93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84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blHeader/>
          <w:jc w:val="center"/>
        </w:trPr>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序号</w:t>
            </w: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ind w:firstLine="3000" w:firstLineChars="1250"/>
              <w:rPr>
                <w:rFonts w:ascii="宋体" w:hAnsi="宋体"/>
                <w:sz w:val="24"/>
              </w:rPr>
            </w:pPr>
            <w:r>
              <w:rPr>
                <w:rFonts w:hint="eastAsia" w:ascii="宋体" w:hAnsi="宋体"/>
                <w:sz w:val="24"/>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4"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rPr>
                <w:rFonts w:ascii="宋体" w:hAnsi="宋体"/>
                <w:b/>
                <w:sz w:val="24"/>
              </w:rPr>
            </w:pPr>
            <w:r>
              <w:rPr>
                <w:rFonts w:hint="eastAsia" w:ascii="宋体" w:hAnsi="宋体"/>
                <w:sz w:val="24"/>
              </w:rPr>
              <w:t>项目名称：天凝镇全域公共服务管理及镇区保洁服务项目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bCs/>
                <w:sz w:val="24"/>
              </w:rPr>
            </w:pPr>
            <w:r>
              <w:rPr>
                <w:rFonts w:hint="eastAsia" w:ascii="宋体" w:hAnsi="宋体"/>
                <w:sz w:val="24"/>
              </w:rPr>
              <w:t>采购内容：</w:t>
            </w:r>
            <w:r>
              <w:rPr>
                <w:rFonts w:hint="eastAsia" w:ascii="宋体" w:hAnsi="宋体" w:cs="Arial"/>
                <w:bCs/>
                <w:sz w:val="24"/>
              </w:rPr>
              <w:t>详见第一章公开招标公告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80"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投标报价及费用：</w:t>
            </w:r>
          </w:p>
          <w:p>
            <w:pPr>
              <w:numPr>
                <w:ilvl w:val="0"/>
                <w:numId w:val="11"/>
              </w:numPr>
              <w:snapToGrid w:val="0"/>
              <w:ind w:left="0" w:firstLine="0"/>
              <w:jc w:val="left"/>
              <w:rPr>
                <w:rFonts w:ascii="宋体" w:hAnsi="宋体"/>
                <w:sz w:val="24"/>
              </w:rPr>
            </w:pPr>
            <w:r>
              <w:rPr>
                <w:rFonts w:hint="eastAsia" w:ascii="宋体" w:hAnsi="宋体"/>
                <w:sz w:val="24"/>
              </w:rPr>
              <w:t>本项目投标应以人民币报价；</w:t>
            </w:r>
          </w:p>
          <w:p>
            <w:pPr>
              <w:numPr>
                <w:ilvl w:val="0"/>
                <w:numId w:val="11"/>
              </w:numPr>
              <w:snapToGrid w:val="0"/>
              <w:ind w:left="0" w:firstLine="0"/>
              <w:jc w:val="left"/>
              <w:rPr>
                <w:rFonts w:ascii="宋体" w:hAnsi="宋体"/>
                <w:sz w:val="24"/>
              </w:rPr>
            </w:pPr>
            <w:r>
              <w:rPr>
                <w:rFonts w:hint="eastAsia" w:ascii="宋体" w:hAnsi="宋体"/>
                <w:sz w:val="24"/>
              </w:rPr>
              <w:t>不论投标结果如何，投标人均应自行承担所有与投标有关的全部费用；</w:t>
            </w:r>
          </w:p>
          <w:p>
            <w:pPr>
              <w:numPr>
                <w:ilvl w:val="0"/>
                <w:numId w:val="11"/>
              </w:numPr>
              <w:snapToGrid w:val="0"/>
              <w:ind w:left="0" w:firstLine="0"/>
              <w:jc w:val="left"/>
              <w:rPr>
                <w:rFonts w:ascii="宋体" w:hAnsi="宋体"/>
                <w:sz w:val="24"/>
              </w:rPr>
            </w:pPr>
            <w:r>
              <w:rPr>
                <w:rFonts w:hint="eastAsia" w:ascii="宋体" w:hAnsi="宋体"/>
                <w:sz w:val="24"/>
              </w:rPr>
              <w:t>投标报价是履行合同的最终价格，投标人只能有一个报价，</w:t>
            </w:r>
            <w:r>
              <w:rPr>
                <w:rFonts w:hint="eastAsia" w:ascii="宋体" w:hAnsi="宋体"/>
                <w:color w:val="FF0000"/>
                <w:sz w:val="24"/>
              </w:rPr>
              <w:t>投标报价应包括完成本次招标内容所需的一切人员工资、奖金、保险、专用设备及工具、材料、服装、管理费、税费、利润、代理服务费等全部费用</w:t>
            </w:r>
            <w:r>
              <w:rPr>
                <w:rFonts w:hint="eastAsia" w:ascii="宋体" w:hAnsi="宋体"/>
                <w:sz w:val="24"/>
              </w:rPr>
              <w:t>。</w:t>
            </w:r>
          </w:p>
          <w:p>
            <w:pPr>
              <w:numPr>
                <w:ilvl w:val="0"/>
                <w:numId w:val="11"/>
              </w:numPr>
              <w:snapToGrid w:val="0"/>
              <w:ind w:left="0" w:firstLine="0"/>
              <w:jc w:val="left"/>
              <w:rPr>
                <w:rFonts w:ascii="宋体" w:hAnsi="宋体"/>
                <w:sz w:val="24"/>
              </w:rPr>
            </w:pPr>
            <w:r>
              <w:rPr>
                <w:rFonts w:hint="eastAsia" w:ascii="宋体" w:hAnsi="宋体"/>
                <w:sz w:val="24"/>
              </w:rPr>
              <w:t>投标报价采用</w:t>
            </w:r>
            <w:r>
              <w:rPr>
                <w:rFonts w:hint="eastAsia" w:ascii="黑体" w:hAnsi="宋体" w:eastAsia="黑体"/>
                <w:sz w:val="24"/>
                <w:u w:val="single"/>
              </w:rPr>
              <w:t>单价固定</w:t>
            </w:r>
            <w:r>
              <w:rPr>
                <w:rFonts w:hint="eastAsia" w:ascii="宋体" w:hAnsi="宋体"/>
                <w:sz w:val="24"/>
              </w:rPr>
              <w:t>方式进行编制。即投标人所填写的单价在合同实施期间不因市场因素而变动投标人发生差错遗漏的费用均不再调整。</w:t>
            </w:r>
          </w:p>
          <w:p>
            <w:pPr>
              <w:numPr>
                <w:ilvl w:val="0"/>
                <w:numId w:val="11"/>
              </w:numPr>
              <w:snapToGrid w:val="0"/>
              <w:ind w:left="0" w:firstLine="0"/>
              <w:jc w:val="left"/>
              <w:rPr>
                <w:rFonts w:ascii="宋体" w:hAnsi="宋体"/>
                <w:color w:val="FF0000"/>
                <w:sz w:val="24"/>
              </w:rPr>
            </w:pPr>
            <w:r>
              <w:rPr>
                <w:rFonts w:hint="eastAsia" w:ascii="宋体" w:hAnsi="宋体"/>
                <w:color w:val="FF0000"/>
                <w:sz w:val="24"/>
              </w:rPr>
              <w:t>本项目为服务招标，招标代理服务费按国家计委（计价格[2002]1980号）文件收费标准下浮25%计取，由中标供应商在领取中标通知书时支付给招标代理机构，各投标人在投标时需考虑相关费用进入投标报价中，结算时不得以此理由向采购人提出索赔（招标代理服务费收费标准详见采购文件第七章附件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投标保证金：</w:t>
            </w:r>
            <w:r>
              <w:rPr>
                <w:rFonts w:hint="eastAsia" w:ascii="宋体" w:hAnsi="宋体" w:cs="宋体"/>
                <w:b/>
                <w:kern w:val="0"/>
                <w:sz w:val="24"/>
              </w:rPr>
              <w:t>无（不需要缴纳）</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4"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现场踏勘：无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投标文件组成：</w:t>
            </w:r>
            <w:r>
              <w:rPr>
                <w:rFonts w:hint="eastAsia" w:ascii="宋体" w:hAnsi="宋体"/>
                <w:color w:val="FF0000"/>
                <w:sz w:val="24"/>
              </w:rPr>
              <w:t>资信商务及技术文件、报价文件正本各 1 份；副本各 2份</w:t>
            </w:r>
            <w:r>
              <w:rPr>
                <w:rFonts w:hint="eastAsia" w:ascii="宋体" w:hAnsi="宋体"/>
                <w:sz w:val="24"/>
              </w:rPr>
              <w:t>；中标通知书发出前，中标供应商另须向招标代理机构提供纸质投标文件副本一式二份。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4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投标截止时间及地点：投标人应于2020年5月*日下午13时30分前将投标文件密封送交到天凝镇天凝大道1199号1楼125开标室。</w:t>
            </w:r>
          </w:p>
          <w:p>
            <w:pPr>
              <w:snapToGrid w:val="0"/>
              <w:jc w:val="left"/>
              <w:rPr>
                <w:rFonts w:ascii="宋体" w:hAnsi="宋体"/>
                <w:sz w:val="24"/>
              </w:rPr>
            </w:pPr>
            <w:r>
              <w:rPr>
                <w:rFonts w:hint="eastAsia" w:ascii="宋体" w:hAnsi="宋体"/>
                <w:sz w:val="24"/>
              </w:rPr>
              <w:t>嘉兴市华信工程咨询有限公司于投标截止时间前半小时内接收投标文件。</w:t>
            </w:r>
          </w:p>
          <w:p>
            <w:pPr>
              <w:snapToGrid w:val="0"/>
              <w:jc w:val="left"/>
              <w:rPr>
                <w:rFonts w:ascii="宋体" w:hAnsi="宋体"/>
                <w:sz w:val="24"/>
              </w:rPr>
            </w:pPr>
            <w:r>
              <w:rPr>
                <w:rFonts w:hint="eastAsia" w:ascii="宋体" w:hAnsi="宋体"/>
                <w:sz w:val="24"/>
              </w:rPr>
              <w:t>投标人递交投标文件时，如出现下列情况之一的，投标文件将被拒收：</w:t>
            </w:r>
          </w:p>
          <w:p>
            <w:pPr>
              <w:snapToGrid w:val="0"/>
              <w:jc w:val="left"/>
              <w:rPr>
                <w:rFonts w:ascii="宋体" w:hAnsi="宋体"/>
                <w:sz w:val="24"/>
              </w:rPr>
            </w:pPr>
            <w:r>
              <w:rPr>
                <w:rFonts w:hint="eastAsia" w:ascii="宋体" w:hAnsi="宋体"/>
                <w:sz w:val="24"/>
              </w:rPr>
              <w:t>1、未按规定密封或标记的投标文件；</w:t>
            </w:r>
          </w:p>
          <w:p>
            <w:pPr>
              <w:snapToGrid w:val="0"/>
              <w:jc w:val="left"/>
              <w:rPr>
                <w:rFonts w:ascii="宋体" w:hAnsi="宋体"/>
                <w:sz w:val="24"/>
              </w:rPr>
            </w:pPr>
            <w:r>
              <w:rPr>
                <w:rFonts w:hint="eastAsia" w:ascii="宋体" w:hAnsi="宋体"/>
                <w:sz w:val="24"/>
              </w:rPr>
              <w:t>2、由于包装不妥，在送交途中严重破损或失散的投标文件；</w:t>
            </w:r>
          </w:p>
          <w:p>
            <w:pPr>
              <w:snapToGrid w:val="0"/>
              <w:jc w:val="left"/>
              <w:rPr>
                <w:rFonts w:ascii="宋体" w:hAnsi="宋体"/>
                <w:sz w:val="24"/>
              </w:rPr>
            </w:pPr>
            <w:r>
              <w:rPr>
                <w:rFonts w:hint="eastAsia" w:ascii="宋体" w:hAnsi="宋体"/>
                <w:sz w:val="24"/>
              </w:rPr>
              <w:t>3、仅以非纸制文本形式的投标文件；</w:t>
            </w:r>
          </w:p>
          <w:p>
            <w:pPr>
              <w:snapToGrid w:val="0"/>
              <w:jc w:val="left"/>
              <w:rPr>
                <w:rFonts w:ascii="宋体" w:hAnsi="宋体"/>
                <w:sz w:val="24"/>
              </w:rPr>
            </w:pPr>
            <w:r>
              <w:rPr>
                <w:rFonts w:hint="eastAsia" w:ascii="宋体" w:hAnsi="宋体"/>
                <w:sz w:val="24"/>
              </w:rPr>
              <w:t>4、未成功办理投标人报名的；</w:t>
            </w:r>
          </w:p>
          <w:p>
            <w:pPr>
              <w:snapToGrid w:val="0"/>
              <w:jc w:val="left"/>
              <w:rPr>
                <w:rFonts w:ascii="宋体" w:hAnsi="宋体"/>
                <w:sz w:val="24"/>
              </w:rPr>
            </w:pPr>
            <w:r>
              <w:rPr>
                <w:rFonts w:hint="eastAsia" w:ascii="宋体" w:hAnsi="宋体"/>
                <w:sz w:val="24"/>
              </w:rPr>
              <w:t>5、超过投标截止时间送达的投标文件。</w:t>
            </w:r>
          </w:p>
          <w:p>
            <w:pPr>
              <w:snapToGrid w:val="0"/>
              <w:jc w:val="left"/>
              <w:rPr>
                <w:rFonts w:ascii="宋体" w:hAnsi="宋体"/>
                <w:sz w:val="24"/>
              </w:rPr>
            </w:pPr>
            <w:r>
              <w:rPr>
                <w:rFonts w:hint="eastAsia" w:ascii="宋体" w:hAnsi="宋体"/>
                <w:sz w:val="24"/>
              </w:rPr>
              <w:t>投标人在投标截止时间前，可以书面通知（加盖公章）采购人或招标代理机构，对所递交的投标文件进行补充、修改或者撤回。补充、修改的内容应当按照招标文件要求签署、盖章、密封后，作为投标文件的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开标时间及地点：2020年5月*日下午13时30分在天凝镇天凝大道1199号1楼125开标室开标。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现场演示：无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ascii="宋体" w:hAnsi="宋体"/>
                <w:sz w:val="24"/>
              </w:rPr>
            </w:pPr>
            <w:r>
              <w:rPr>
                <w:rFonts w:hint="eastAsia" w:ascii="宋体" w:hAnsi="宋体"/>
                <w:sz w:val="24"/>
              </w:rPr>
              <w:t>评标办法及评分标准：详见第四章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9"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评标结果公告：评标结束后</w:t>
            </w:r>
            <w:r>
              <w:rPr>
                <w:rFonts w:ascii="宋体" w:hAnsi="宋体"/>
                <w:sz w:val="24"/>
              </w:rPr>
              <w:t>2个工作日</w:t>
            </w:r>
            <w:r>
              <w:rPr>
                <w:rFonts w:hint="eastAsia" w:ascii="宋体" w:hAnsi="宋体"/>
                <w:sz w:val="24"/>
              </w:rPr>
              <w:t>内，评标结果在嘉善县公共资源交易中心（http://js.jxzbtb.cn) 公示3个工作日。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中标公告及中标通知书：采购人依法确定中标供应商后2</w:t>
            </w:r>
            <w:r>
              <w:rPr>
                <w:rFonts w:ascii="宋体" w:hAnsi="宋体"/>
                <w:sz w:val="24"/>
              </w:rPr>
              <w:t>个工作日内，采购代理机构以书面形式发出《中标通知书》,并同时在</w:t>
            </w:r>
            <w:r>
              <w:rPr>
                <w:rFonts w:hint="eastAsia" w:ascii="宋体" w:hAnsi="宋体"/>
                <w:sz w:val="24"/>
              </w:rPr>
              <w:t>嘉善县公共资源交易中心（http://js.jxzbtb.cn)</w:t>
            </w:r>
            <w:r>
              <w:rPr>
                <w:rFonts w:ascii="宋体" w:hAnsi="宋体"/>
                <w:sz w:val="24"/>
              </w:rPr>
              <w:t>上发布中标公告</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履约保证金:合同签订前中标供应商向采购人交纳合同金额的5%作为履约保证金，待合同履约完毕后</w:t>
            </w:r>
            <w:r>
              <w:rPr>
                <w:rFonts w:ascii="宋体" w:hAnsi="宋体"/>
                <w:sz w:val="24"/>
              </w:rPr>
              <w:t>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签订合同时间：中标通知书发出后30日内。建议采购人在对采购结果质疑期（自采购结果公告之日起七个工作日）后与中标供应商签订政府采购合同。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ascii="宋体" w:hAnsi="宋体"/>
                <w:sz w:val="24"/>
              </w:rPr>
            </w:pPr>
            <w:r>
              <w:rPr>
                <w:rFonts w:hint="eastAsia" w:ascii="宋体" w:hAnsi="宋体"/>
                <w:sz w:val="24"/>
              </w:rPr>
              <w:t>本项目预算：</w:t>
            </w:r>
            <w:r>
              <w:rPr>
                <w:rFonts w:hint="eastAsia" w:ascii="宋体" w:hAnsi="宋体"/>
                <w:color w:val="FF0000"/>
                <w:sz w:val="24"/>
              </w:rPr>
              <w:t>人民币2504万元。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rPr>
            </w:pPr>
            <w:r>
              <w:rPr>
                <w:rFonts w:hint="eastAsia" w:ascii="宋体" w:hAnsi="宋体"/>
                <w:sz w:val="24"/>
              </w:rPr>
              <w:t>付款方式：详见商务要求表。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ascii="宋体" w:hAnsi="宋体"/>
                <w:sz w:val="24"/>
              </w:rPr>
            </w:pPr>
            <w:r>
              <w:rPr>
                <w:rFonts w:hint="eastAsia" w:ascii="宋体" w:hAnsi="宋体"/>
                <w:sz w:val="24"/>
              </w:rPr>
              <w:t>投标文件有效期：</w:t>
            </w:r>
            <w:r>
              <w:rPr>
                <w:rFonts w:hint="eastAsia" w:ascii="宋体" w:hAnsi="宋体" w:cs="Arial"/>
                <w:sz w:val="24"/>
                <w:u w:val="single"/>
              </w:rPr>
              <w:t>90</w:t>
            </w:r>
            <w:r>
              <w:rPr>
                <w:rFonts w:hint="eastAsia" w:ascii="宋体" w:hAnsi="宋体" w:cs="Arial"/>
                <w:sz w:val="24"/>
              </w:rPr>
              <w:t xml:space="preserve">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z w:val="24"/>
              </w:rPr>
            </w:pPr>
            <w:r>
              <w:rPr>
                <w:rFonts w:hint="eastAsia" w:ascii="宋体" w:hAnsi="宋体"/>
                <w:sz w:val="24"/>
              </w:rPr>
              <w:t>报名及招标文件的获取：</w:t>
            </w:r>
            <w:r>
              <w:rPr>
                <w:rFonts w:hint="eastAsia" w:ascii="宋体" w:hAnsi="宋体" w:cs="Arial"/>
                <w:bCs/>
                <w:sz w:val="24"/>
              </w:rPr>
              <w:t>详见第一章公开招标公告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ind w:left="0" w:firstLine="227"/>
              <w:jc w:val="center"/>
              <w:rPr>
                <w:rFonts w:ascii="宋体" w:hAnsi="宋体"/>
                <w:sz w:val="24"/>
              </w:rPr>
            </w:pPr>
          </w:p>
        </w:tc>
        <w:tc>
          <w:tcPr>
            <w:tcW w:w="846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ascii="宋体" w:hAnsi="宋体"/>
                <w:sz w:val="24"/>
              </w:rPr>
            </w:pPr>
            <w:r>
              <w:rPr>
                <w:rFonts w:hint="eastAsia" w:ascii="宋体" w:hAnsi="宋体"/>
                <w:sz w:val="24"/>
              </w:rPr>
              <w:t>解释：本招标文件的解释权属于采购人和嘉兴市华信工程咨询有限公司。</w:t>
            </w:r>
          </w:p>
        </w:tc>
      </w:tr>
    </w:tbl>
    <w:p>
      <w:pPr>
        <w:pStyle w:val="20"/>
        <w:snapToGrid w:val="0"/>
        <w:spacing w:beforeLines="0" w:afterLines="0" w:line="360" w:lineRule="auto"/>
        <w:jc w:val="center"/>
        <w:rPr>
          <w:rFonts w:hAnsi="宋体"/>
          <w:b/>
          <w:sz w:val="32"/>
          <w:szCs w:val="32"/>
        </w:rPr>
      </w:pPr>
    </w:p>
    <w:p>
      <w:pPr>
        <w:pStyle w:val="20"/>
        <w:adjustRightInd w:val="0"/>
        <w:snapToGrid w:val="0"/>
        <w:spacing w:beforeLines="0" w:afterLines="0" w:line="360" w:lineRule="auto"/>
        <w:jc w:val="center"/>
        <w:outlineLvl w:val="1"/>
        <w:rPr>
          <w:rFonts w:hAnsi="宋体"/>
          <w:b/>
          <w:sz w:val="32"/>
          <w:szCs w:val="32"/>
        </w:rPr>
      </w:pPr>
      <w:r>
        <w:rPr>
          <w:rFonts w:hAnsi="宋体"/>
          <w:b/>
          <w:sz w:val="32"/>
          <w:szCs w:val="32"/>
        </w:rPr>
        <w:br w:type="page"/>
      </w:r>
      <w:bookmarkStart w:id="9" w:name="_Toc38306947"/>
      <w:r>
        <w:rPr>
          <w:rFonts w:hint="eastAsia" w:hAnsi="宋体"/>
          <w:b/>
        </w:rPr>
        <w:t>一、总  则</w:t>
      </w:r>
      <w:bookmarkEnd w:id="9"/>
    </w:p>
    <w:p>
      <w:pPr>
        <w:adjustRightInd w:val="0"/>
        <w:snapToGrid w:val="0"/>
        <w:spacing w:line="360" w:lineRule="auto"/>
        <w:ind w:firstLine="424" w:firstLineChars="176"/>
        <w:jc w:val="left"/>
        <w:outlineLvl w:val="1"/>
        <w:rPr>
          <w:rFonts w:ascii="宋体" w:hAnsi="宋体"/>
          <w:b/>
          <w:sz w:val="24"/>
        </w:rPr>
      </w:pPr>
      <w:bookmarkStart w:id="10" w:name="_Toc38306948"/>
      <w:r>
        <w:rPr>
          <w:rFonts w:hint="eastAsia" w:ascii="宋体" w:hAnsi="宋体"/>
          <w:b/>
          <w:sz w:val="24"/>
        </w:rPr>
        <w:t>（一）</w:t>
      </w:r>
      <w:r>
        <w:rPr>
          <w:rFonts w:ascii="宋体" w:hAnsi="宋体"/>
          <w:b/>
          <w:sz w:val="24"/>
        </w:rPr>
        <w:t>适用范围</w:t>
      </w:r>
      <w:bookmarkEnd w:id="10"/>
    </w:p>
    <w:p>
      <w:pPr>
        <w:adjustRightInd w:val="0"/>
        <w:snapToGrid w:val="0"/>
        <w:spacing w:line="360" w:lineRule="auto"/>
        <w:ind w:firstLine="480" w:firstLineChars="200"/>
        <w:jc w:val="left"/>
        <w:rPr>
          <w:rFonts w:ascii="宋体" w:hAnsi="宋体"/>
          <w:sz w:val="24"/>
        </w:rPr>
      </w:pPr>
      <w:r>
        <w:rPr>
          <w:rFonts w:hint="eastAsia" w:ascii="宋体" w:hAnsi="宋体"/>
          <w:sz w:val="24"/>
        </w:rPr>
        <w:t>本招标文件适用于该项目的招标、投标、评标、定标、验收、合同履约、付款等行为（法律、法规另有规定的，从其规定）。</w:t>
      </w:r>
    </w:p>
    <w:p>
      <w:pPr>
        <w:adjustRightInd w:val="0"/>
        <w:snapToGrid w:val="0"/>
        <w:spacing w:line="360" w:lineRule="auto"/>
        <w:ind w:firstLine="354" w:firstLineChars="147"/>
        <w:jc w:val="left"/>
        <w:outlineLvl w:val="1"/>
        <w:rPr>
          <w:rFonts w:ascii="宋体" w:hAnsi="宋体"/>
          <w:b/>
          <w:sz w:val="24"/>
        </w:rPr>
      </w:pPr>
      <w:bookmarkStart w:id="11" w:name="_Toc38306949"/>
      <w:r>
        <w:rPr>
          <w:rFonts w:hint="eastAsia" w:ascii="宋体" w:hAnsi="宋体"/>
          <w:b/>
          <w:sz w:val="24"/>
        </w:rPr>
        <w:t>（二）定义</w:t>
      </w:r>
      <w:bookmarkEnd w:id="11"/>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招标采购人系指组织本次招标的</w:t>
      </w:r>
      <w:r>
        <w:rPr>
          <w:rFonts w:hint="eastAsia" w:ascii="宋体" w:hAnsi="宋体"/>
          <w:sz w:val="24"/>
        </w:rPr>
        <w:t>代理机构（“招标人”）</w:t>
      </w:r>
      <w:r>
        <w:rPr>
          <w:rFonts w:ascii="宋体" w:hAnsi="宋体"/>
          <w:sz w:val="24"/>
        </w:rPr>
        <w:t>和采购</w:t>
      </w:r>
      <w:r>
        <w:rPr>
          <w:rFonts w:hint="eastAsia" w:ascii="宋体" w:hAnsi="宋体"/>
          <w:sz w:val="24"/>
        </w:rPr>
        <w:t>人</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w:t>
      </w:r>
      <w:r>
        <w:rPr>
          <w:rFonts w:ascii="宋体" w:hAnsi="宋体"/>
          <w:sz w:val="24"/>
        </w:rPr>
        <w:t>投标人”系指向招标方提交投标文件的单位或个人。</w:t>
      </w:r>
    </w:p>
    <w:p>
      <w:pPr>
        <w:adjustRightInd w:val="0"/>
        <w:snapToGrid w:val="0"/>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w:t>
      </w:r>
      <w:r>
        <w:rPr>
          <w:rFonts w:ascii="宋体" w:hAnsi="宋体"/>
          <w:sz w:val="24"/>
        </w:rPr>
        <w:t>“产品”系指供方按招标文件规定，须向采购人提供的一切设备、保险、税金、备品备件、工具、手册及其它有关技术资料和材料。</w:t>
      </w:r>
    </w:p>
    <w:p>
      <w:pPr>
        <w:adjustRightInd w:val="0"/>
        <w:snapToGrid w:val="0"/>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w:t>
      </w:r>
      <w:r>
        <w:rPr>
          <w:rFonts w:ascii="宋体" w:hAnsi="宋体"/>
          <w:sz w:val="24"/>
        </w:rPr>
        <w:t>“服务”系指招标文件规定投标人须承担的安装、调试、技术协助、校准、培训、技术指导以及其他类似的义务。</w:t>
      </w:r>
    </w:p>
    <w:p>
      <w:pPr>
        <w:adjustRightInd w:val="0"/>
        <w:snapToGrid w:val="0"/>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w:t>
      </w:r>
      <w:r>
        <w:rPr>
          <w:rFonts w:ascii="宋体" w:hAnsi="宋体"/>
          <w:sz w:val="24"/>
        </w:rPr>
        <w:t>“项目”系指投标人按招标文件规定向采购人提供的产品和服务。</w:t>
      </w:r>
    </w:p>
    <w:p>
      <w:pPr>
        <w:adjustRightInd w:val="0"/>
        <w:snapToGrid w:val="0"/>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w:t>
      </w:r>
      <w:r>
        <w:rPr>
          <w:rFonts w:ascii="宋体" w:hAnsi="宋体"/>
          <w:sz w:val="24"/>
        </w:rPr>
        <w:t>“书面形式”包括信函、传真、电报等。</w:t>
      </w:r>
    </w:p>
    <w:p>
      <w:pPr>
        <w:adjustRightInd w:val="0"/>
        <w:snapToGrid w:val="0"/>
        <w:spacing w:line="360" w:lineRule="auto"/>
        <w:ind w:firstLine="480" w:firstLineChars="200"/>
        <w:jc w:val="left"/>
        <w:rPr>
          <w:rFonts w:ascii="宋体" w:hAnsi="宋体"/>
          <w:sz w:val="24"/>
        </w:rPr>
      </w:pPr>
      <w:r>
        <w:rPr>
          <w:rFonts w:ascii="宋体" w:hAnsi="宋体"/>
          <w:sz w:val="24"/>
        </w:rPr>
        <w:t>7</w:t>
      </w:r>
      <w:r>
        <w:rPr>
          <w:rFonts w:hint="eastAsia" w:ascii="宋体" w:hAnsi="宋体"/>
          <w:sz w:val="24"/>
        </w:rPr>
        <w:t>.</w:t>
      </w:r>
      <w:r>
        <w:rPr>
          <w:rFonts w:ascii="宋体" w:hAnsi="宋体"/>
          <w:sz w:val="24"/>
        </w:rPr>
        <w:t>“▲”系指实质性要求条款</w:t>
      </w:r>
      <w:r>
        <w:rPr>
          <w:rFonts w:hint="eastAsia" w:ascii="宋体" w:hAnsi="宋体"/>
          <w:sz w:val="24"/>
        </w:rPr>
        <w:t>，不满足实行性要求条款的投标文件无效。</w:t>
      </w:r>
    </w:p>
    <w:p>
      <w:pPr>
        <w:adjustRightInd w:val="0"/>
        <w:snapToGrid w:val="0"/>
        <w:spacing w:line="360" w:lineRule="auto"/>
        <w:ind w:firstLine="472" w:firstLineChars="196"/>
        <w:jc w:val="left"/>
        <w:outlineLvl w:val="1"/>
        <w:rPr>
          <w:rFonts w:ascii="宋体" w:hAnsi="宋体"/>
          <w:b/>
          <w:sz w:val="24"/>
        </w:rPr>
      </w:pPr>
      <w:bookmarkStart w:id="12" w:name="_Toc38306950"/>
      <w:r>
        <w:rPr>
          <w:rFonts w:hint="eastAsia" w:ascii="宋体" w:hAnsi="宋体"/>
          <w:b/>
          <w:sz w:val="24"/>
        </w:rPr>
        <w:t>（三）招标方式</w:t>
      </w:r>
      <w:bookmarkEnd w:id="12"/>
    </w:p>
    <w:p>
      <w:pPr>
        <w:adjustRightInd w:val="0"/>
        <w:snapToGrid w:val="0"/>
        <w:spacing w:line="360" w:lineRule="auto"/>
        <w:ind w:firstLine="480" w:firstLineChars="200"/>
        <w:jc w:val="left"/>
        <w:rPr>
          <w:rFonts w:ascii="宋体" w:hAnsi="宋体"/>
          <w:sz w:val="24"/>
        </w:rPr>
      </w:pPr>
      <w:r>
        <w:rPr>
          <w:rFonts w:ascii="宋体" w:hAnsi="宋体"/>
          <w:sz w:val="24"/>
        </w:rPr>
        <w:t>本次招标采用公开招标方式进行。</w:t>
      </w:r>
    </w:p>
    <w:p>
      <w:pPr>
        <w:adjustRightInd w:val="0"/>
        <w:snapToGrid w:val="0"/>
        <w:spacing w:line="360" w:lineRule="auto"/>
        <w:ind w:firstLine="472" w:firstLineChars="196"/>
        <w:jc w:val="left"/>
        <w:outlineLvl w:val="1"/>
        <w:rPr>
          <w:rFonts w:ascii="宋体" w:hAnsi="宋体"/>
          <w:b/>
          <w:sz w:val="24"/>
        </w:rPr>
      </w:pPr>
      <w:bookmarkStart w:id="13" w:name="_Toc38306951"/>
      <w:r>
        <w:rPr>
          <w:rFonts w:hint="eastAsia" w:ascii="宋体" w:hAnsi="宋体"/>
          <w:b/>
          <w:sz w:val="24"/>
        </w:rPr>
        <w:t>（四）投标委托</w:t>
      </w:r>
      <w:bookmarkEnd w:id="13"/>
    </w:p>
    <w:p>
      <w:pPr>
        <w:pStyle w:val="15"/>
        <w:adjustRightInd w:val="0"/>
        <w:snapToGrid w:val="0"/>
        <w:spacing w:line="360" w:lineRule="auto"/>
        <w:ind w:firstLine="464" w:firstLineChars="200"/>
        <w:jc w:val="left"/>
        <w:rPr>
          <w:rFonts w:hAnsi="宋体"/>
          <w:sz w:val="24"/>
          <w:szCs w:val="24"/>
        </w:rPr>
      </w:pPr>
      <w:r>
        <w:rPr>
          <w:rFonts w:hint="eastAsia"/>
          <w:sz w:val="24"/>
        </w:rPr>
        <w:t>委托代理人</w:t>
      </w:r>
      <w:r>
        <w:rPr>
          <w:sz w:val="24"/>
        </w:rPr>
        <w:t>须携带法定代表人出具的授权委托书原件</w:t>
      </w:r>
      <w:r>
        <w:rPr>
          <w:rFonts w:hint="eastAsia"/>
          <w:sz w:val="24"/>
        </w:rPr>
        <w:t>及代理人</w:t>
      </w:r>
      <w:r>
        <w:rPr>
          <w:sz w:val="24"/>
        </w:rPr>
        <w:t>身份证</w:t>
      </w:r>
      <w:r>
        <w:rPr>
          <w:rFonts w:hint="eastAsia"/>
          <w:sz w:val="24"/>
        </w:rPr>
        <w:t>参加开标会议（</w:t>
      </w:r>
      <w:r>
        <w:rPr>
          <w:sz w:val="24"/>
        </w:rPr>
        <w:t>如法定代表人</w:t>
      </w:r>
      <w:r>
        <w:rPr>
          <w:rFonts w:hint="eastAsia"/>
          <w:sz w:val="24"/>
        </w:rPr>
        <w:t>参加开标的</w:t>
      </w:r>
      <w:r>
        <w:rPr>
          <w:sz w:val="24"/>
        </w:rPr>
        <w:t>，须携带法定代表人身份证明书</w:t>
      </w:r>
      <w:r>
        <w:rPr>
          <w:rFonts w:hint="eastAsia"/>
          <w:sz w:val="24"/>
        </w:rPr>
        <w:t>及法定代表人</w:t>
      </w:r>
      <w:r>
        <w:rPr>
          <w:sz w:val="24"/>
        </w:rPr>
        <w:t>身份证</w:t>
      </w:r>
      <w:r>
        <w:rPr>
          <w:rFonts w:hint="eastAsia"/>
          <w:sz w:val="24"/>
        </w:rPr>
        <w:t>）</w:t>
      </w:r>
      <w:r>
        <w:rPr>
          <w:rFonts w:hAnsi="宋体"/>
          <w:sz w:val="24"/>
          <w:szCs w:val="24"/>
        </w:rPr>
        <w:t>。</w:t>
      </w:r>
    </w:p>
    <w:p>
      <w:pPr>
        <w:adjustRightInd w:val="0"/>
        <w:snapToGrid w:val="0"/>
        <w:spacing w:line="360" w:lineRule="auto"/>
        <w:ind w:firstLine="472" w:firstLineChars="196"/>
        <w:jc w:val="left"/>
        <w:outlineLvl w:val="1"/>
        <w:rPr>
          <w:rFonts w:ascii="宋体" w:hAnsi="宋体"/>
          <w:b/>
          <w:sz w:val="24"/>
        </w:rPr>
      </w:pPr>
      <w:bookmarkStart w:id="14" w:name="_Toc38306952"/>
      <w:r>
        <w:rPr>
          <w:rFonts w:hint="eastAsia" w:ascii="宋体" w:hAnsi="宋体"/>
          <w:b/>
          <w:sz w:val="24"/>
        </w:rPr>
        <w:t>（五）投标费用</w:t>
      </w:r>
      <w:bookmarkEnd w:id="14"/>
    </w:p>
    <w:p>
      <w:pPr>
        <w:adjustRightInd w:val="0"/>
        <w:snapToGrid w:val="0"/>
        <w:spacing w:line="360" w:lineRule="auto"/>
        <w:ind w:firstLine="480" w:firstLineChars="200"/>
        <w:jc w:val="left"/>
        <w:rPr>
          <w:rFonts w:ascii="宋体" w:hAnsi="宋体"/>
          <w:sz w:val="24"/>
        </w:rPr>
      </w:pPr>
      <w:r>
        <w:rPr>
          <w:rFonts w:hint="eastAsia" w:ascii="宋体" w:hAnsi="宋体"/>
          <w:sz w:val="24"/>
        </w:rPr>
        <w:t>不论投标结果如何，投标人均应自行承担所有与投标有关的全部费用（招标文件有相反规定除外）。</w:t>
      </w:r>
    </w:p>
    <w:p>
      <w:pPr>
        <w:adjustRightInd w:val="0"/>
        <w:snapToGrid w:val="0"/>
        <w:spacing w:line="360" w:lineRule="auto"/>
        <w:ind w:firstLine="472" w:firstLineChars="196"/>
        <w:jc w:val="left"/>
        <w:outlineLvl w:val="1"/>
        <w:rPr>
          <w:rFonts w:ascii="宋体" w:hAnsi="宋体"/>
          <w:b/>
          <w:sz w:val="24"/>
        </w:rPr>
      </w:pPr>
      <w:bookmarkStart w:id="15" w:name="_Toc38306953"/>
      <w:r>
        <w:rPr>
          <w:rFonts w:hint="eastAsia" w:ascii="宋体" w:hAnsi="宋体"/>
          <w:b/>
          <w:sz w:val="24"/>
        </w:rPr>
        <w:t>（六）联合体投标</w:t>
      </w:r>
      <w:bookmarkEnd w:id="15"/>
    </w:p>
    <w:p>
      <w:pPr>
        <w:adjustRightInd w:val="0"/>
        <w:snapToGrid w:val="0"/>
        <w:spacing w:line="360" w:lineRule="auto"/>
        <w:ind w:firstLine="720" w:firstLineChars="300"/>
        <w:jc w:val="left"/>
        <w:rPr>
          <w:rFonts w:ascii="宋体" w:hAnsi="宋体" w:cs="Arial"/>
          <w:sz w:val="24"/>
        </w:rPr>
      </w:pPr>
      <w:r>
        <w:rPr>
          <w:rFonts w:hint="eastAsia" w:ascii="宋体" w:hAnsi="宋体" w:cs="Arial"/>
          <w:sz w:val="24"/>
        </w:rPr>
        <w:t>本项目不接受联合体投标。</w:t>
      </w:r>
    </w:p>
    <w:p>
      <w:pPr>
        <w:adjustRightInd w:val="0"/>
        <w:snapToGrid w:val="0"/>
        <w:spacing w:line="360" w:lineRule="auto"/>
        <w:ind w:firstLine="472" w:firstLineChars="196"/>
        <w:jc w:val="left"/>
        <w:outlineLvl w:val="1"/>
        <w:rPr>
          <w:rFonts w:ascii="宋体" w:hAnsi="宋体"/>
          <w:b/>
          <w:sz w:val="24"/>
        </w:rPr>
      </w:pPr>
      <w:bookmarkStart w:id="16" w:name="_Toc38306954"/>
      <w:r>
        <w:rPr>
          <w:rFonts w:hint="eastAsia" w:ascii="宋体" w:hAnsi="宋体"/>
          <w:b/>
          <w:sz w:val="24"/>
        </w:rPr>
        <w:t>（七）转包与分包</w:t>
      </w:r>
      <w:bookmarkEnd w:id="16"/>
    </w:p>
    <w:p>
      <w:pPr>
        <w:adjustRightInd w:val="0"/>
        <w:snapToGrid w:val="0"/>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本项目不允许转包。</w:t>
      </w:r>
    </w:p>
    <w:p>
      <w:pPr>
        <w:adjustRightInd w:val="0"/>
        <w:snapToGrid w:val="0"/>
        <w:spacing w:line="360" w:lineRule="auto"/>
        <w:ind w:firstLine="480" w:firstLineChars="200"/>
        <w:rPr>
          <w:rFonts w:ascii="宋体" w:hAnsi="宋体"/>
          <w:sz w:val="24"/>
        </w:rPr>
      </w:pPr>
      <w:r>
        <w:rPr>
          <w:rFonts w:ascii="宋体" w:hAnsi="宋体" w:cs="宋体"/>
          <w:kern w:val="0"/>
          <w:sz w:val="24"/>
        </w:rPr>
        <w:t>2</w:t>
      </w:r>
      <w:r>
        <w:rPr>
          <w:rFonts w:hint="eastAsia" w:ascii="宋体" w:hAnsi="宋体" w:cs="宋体"/>
          <w:kern w:val="0"/>
          <w:sz w:val="24"/>
        </w:rPr>
        <w:t>.</w:t>
      </w:r>
      <w:r>
        <w:rPr>
          <w:rFonts w:ascii="宋体" w:hAnsi="宋体" w:cs="宋体"/>
          <w:kern w:val="0"/>
          <w:sz w:val="24"/>
        </w:rPr>
        <w:t>本项目</w:t>
      </w:r>
      <w:r>
        <w:rPr>
          <w:rFonts w:hint="eastAsia" w:ascii="宋体" w:hAnsi="宋体" w:cs="宋体"/>
          <w:kern w:val="0"/>
          <w:sz w:val="24"/>
        </w:rPr>
        <w:t>不</w:t>
      </w:r>
      <w:r>
        <w:rPr>
          <w:rFonts w:ascii="宋体" w:hAnsi="宋体" w:cs="宋体"/>
          <w:kern w:val="0"/>
          <w:sz w:val="24"/>
        </w:rPr>
        <w:t>可以分包</w:t>
      </w:r>
      <w:r>
        <w:rPr>
          <w:rFonts w:hint="eastAsia" w:ascii="宋体" w:hAnsi="宋体"/>
          <w:sz w:val="24"/>
        </w:rPr>
        <w:t>。</w:t>
      </w:r>
    </w:p>
    <w:p>
      <w:pPr>
        <w:adjustRightInd w:val="0"/>
        <w:snapToGrid w:val="0"/>
        <w:spacing w:line="360" w:lineRule="auto"/>
        <w:ind w:firstLine="472" w:firstLineChars="196"/>
        <w:jc w:val="left"/>
        <w:outlineLvl w:val="1"/>
        <w:rPr>
          <w:rFonts w:ascii="宋体" w:hAnsi="宋体"/>
          <w:b/>
          <w:sz w:val="24"/>
        </w:rPr>
      </w:pPr>
      <w:bookmarkStart w:id="17" w:name="_Toc38306955"/>
      <w:r>
        <w:rPr>
          <w:rFonts w:hint="eastAsia" w:ascii="宋体" w:hAnsi="宋体"/>
          <w:b/>
          <w:sz w:val="24"/>
        </w:rPr>
        <w:t>（八）特别说明</w:t>
      </w:r>
      <w:bookmarkEnd w:id="17"/>
    </w:p>
    <w:p>
      <w:pPr>
        <w:pStyle w:val="20"/>
        <w:adjustRightInd w:val="0"/>
        <w:snapToGrid w:val="0"/>
        <w:spacing w:beforeLines="0" w:afterLines="0" w:line="360" w:lineRule="auto"/>
        <w:ind w:left="2" w:leftChars="1" w:firstLine="480" w:firstLineChars="200"/>
        <w:rPr>
          <w:rFonts w:hAnsi="宋体"/>
        </w:rPr>
      </w:pPr>
      <w:r>
        <w:rPr>
          <w:rFonts w:hint="eastAsia" w:hAnsi="宋体"/>
        </w:rPr>
        <w:t>1.</w:t>
      </w:r>
      <w:r>
        <w:rPr>
          <w:rFonts w:hAnsi="宋体"/>
        </w:rPr>
        <w:t>投标人投标所使用的资格、信誉、荣誉、业绩与企业认证必须为本法人所拥有。</w:t>
      </w:r>
    </w:p>
    <w:p>
      <w:pPr>
        <w:pStyle w:val="20"/>
        <w:adjustRightInd w:val="0"/>
        <w:snapToGrid w:val="0"/>
        <w:spacing w:beforeLines="0" w:afterLines="0" w:line="360" w:lineRule="auto"/>
        <w:ind w:left="2" w:leftChars="1" w:firstLine="480" w:firstLineChars="200"/>
        <w:rPr>
          <w:rFonts w:hAnsi="宋体"/>
        </w:rPr>
      </w:pPr>
      <w:r>
        <w:rPr>
          <w:rFonts w:hint="eastAsia" w:hAnsi="宋体"/>
        </w:rPr>
        <w:t>2.</w:t>
      </w:r>
      <w:r>
        <w:rPr>
          <w:rFonts w:hAnsi="宋体"/>
        </w:rPr>
        <w:t>投标人应仔细阅读招标文件的所有内容，按照招标文件的要求提交投标文件，并对所提供的全部资料的真实性承担法律责任。</w:t>
      </w:r>
    </w:p>
    <w:p>
      <w:pPr>
        <w:pStyle w:val="20"/>
        <w:adjustRightInd w:val="0"/>
        <w:snapToGrid w:val="0"/>
        <w:spacing w:beforeLines="0" w:afterLines="0" w:line="360" w:lineRule="auto"/>
        <w:ind w:left="2" w:leftChars="1" w:firstLine="480" w:firstLineChars="200"/>
        <w:rPr>
          <w:rFonts w:hAnsi="宋体"/>
        </w:rPr>
      </w:pPr>
      <w:r>
        <w:rPr>
          <w:rFonts w:hint="eastAsia" w:hAnsi="宋体"/>
        </w:rPr>
        <w:t>3.</w:t>
      </w:r>
      <w:r>
        <w:rPr>
          <w:rFonts w:hAnsi="宋体"/>
        </w:rPr>
        <w:t>投标人在投标活动中提供任何虚假材料,其投标无效，并报监管部门查处；中标后发现的,中标供应商须依照《中华人民共和国消费者权益保护法》第49条之规定双倍赔偿采购人</w:t>
      </w:r>
      <w:r>
        <w:rPr>
          <w:rFonts w:hint="eastAsia" w:hAnsi="宋体"/>
        </w:rPr>
        <w:t>，</w:t>
      </w:r>
      <w:r>
        <w:rPr>
          <w:rFonts w:hAnsi="宋体"/>
        </w:rPr>
        <w:t>且民事赔偿并不免除违法投标人的行政与刑事责任。</w:t>
      </w:r>
    </w:p>
    <w:p>
      <w:pPr>
        <w:pStyle w:val="20"/>
        <w:adjustRightInd w:val="0"/>
        <w:snapToGrid w:val="0"/>
        <w:spacing w:beforeLines="0" w:afterLines="0" w:line="360" w:lineRule="auto"/>
        <w:ind w:firstLine="472" w:firstLineChars="196"/>
        <w:outlineLvl w:val="1"/>
        <w:rPr>
          <w:rFonts w:hAnsi="宋体"/>
          <w:b/>
          <w:bCs/>
        </w:rPr>
      </w:pPr>
      <w:bookmarkStart w:id="18" w:name="_Toc38306956"/>
      <w:r>
        <w:rPr>
          <w:rFonts w:hAnsi="宋体"/>
          <w:b/>
          <w:bCs/>
        </w:rPr>
        <w:t>（</w:t>
      </w:r>
      <w:r>
        <w:rPr>
          <w:rFonts w:hint="eastAsia" w:hAnsi="宋体"/>
          <w:b/>
          <w:bCs/>
        </w:rPr>
        <w:t>九</w:t>
      </w:r>
      <w:r>
        <w:rPr>
          <w:rFonts w:hAnsi="宋体"/>
          <w:b/>
          <w:bCs/>
        </w:rPr>
        <w:t>）质疑和投诉</w:t>
      </w:r>
      <w:bookmarkEnd w:id="18"/>
    </w:p>
    <w:p>
      <w:pPr>
        <w:pStyle w:val="20"/>
        <w:adjustRightInd w:val="0"/>
        <w:snapToGrid w:val="0"/>
        <w:spacing w:beforeLines="0" w:afterLines="0" w:line="360" w:lineRule="auto"/>
        <w:ind w:firstLine="480" w:firstLineChars="200"/>
        <w:rPr>
          <w:rFonts w:hAnsi="宋体"/>
          <w:bCs/>
        </w:rPr>
      </w:pPr>
      <w:r>
        <w:rPr>
          <w:rFonts w:hAnsi="宋体"/>
          <w:bCs/>
        </w:rPr>
        <w:t>1</w:t>
      </w:r>
      <w:r>
        <w:rPr>
          <w:rFonts w:hint="eastAsia" w:hAnsi="宋体"/>
          <w:bCs/>
        </w:rPr>
        <w:t>.</w:t>
      </w:r>
      <w:r>
        <w:rPr>
          <w:rFonts w:hAnsi="宋体"/>
          <w:bCs/>
        </w:rPr>
        <w:t>投标人认为招标文件、招标过程</w:t>
      </w:r>
      <w:r>
        <w:rPr>
          <w:rFonts w:hint="eastAsia" w:hAnsi="宋体"/>
          <w:bCs/>
        </w:rPr>
        <w:t>或</w:t>
      </w:r>
      <w:r>
        <w:rPr>
          <w:rFonts w:hAnsi="宋体"/>
          <w:bCs/>
        </w:rPr>
        <w:t>中标结果使自己的合法权益受到损害的，应当在知道或者应知其权益受到损害之日起七个工作日内，以书面形式向采购人、</w:t>
      </w:r>
      <w:r>
        <w:rPr>
          <w:rFonts w:hint="eastAsia" w:hAnsi="宋体"/>
          <w:bCs/>
        </w:rPr>
        <w:t>招标代理机构</w:t>
      </w:r>
      <w:r>
        <w:rPr>
          <w:rFonts w:hAnsi="宋体"/>
          <w:bCs/>
        </w:rPr>
        <w:t>提出质疑。</w:t>
      </w:r>
      <w:r>
        <w:rPr>
          <w:rFonts w:hAnsi="宋体"/>
        </w:rPr>
        <w:t>投标人对招标采购人的质疑答复不满意或者招标采购人未在规定时间内作出答复的，可以在答复期满后十五个工作日内向同级采购监管部门投诉。</w:t>
      </w:r>
    </w:p>
    <w:p>
      <w:pPr>
        <w:pStyle w:val="20"/>
        <w:adjustRightInd w:val="0"/>
        <w:snapToGrid w:val="0"/>
        <w:spacing w:beforeLines="0" w:afterLines="0" w:line="360" w:lineRule="auto"/>
        <w:ind w:firstLine="480" w:firstLineChars="200"/>
        <w:rPr>
          <w:rFonts w:hAnsi="宋体"/>
          <w:bCs/>
        </w:rPr>
      </w:pPr>
      <w:r>
        <w:rPr>
          <w:rFonts w:hAnsi="宋体"/>
          <w:bCs/>
        </w:rPr>
        <w:t>2</w:t>
      </w:r>
      <w:r>
        <w:rPr>
          <w:rFonts w:hint="eastAsia" w:hAnsi="宋体"/>
          <w:bCs/>
        </w:rPr>
        <w:t>.</w:t>
      </w:r>
      <w:r>
        <w:rPr>
          <w:rFonts w:hAnsi="宋体"/>
          <w:bCs/>
        </w:rPr>
        <w:t>质疑、投诉应当采用书面形式，质疑书、投诉书均应明确阐述招标文件、招标过程</w:t>
      </w:r>
      <w:r>
        <w:rPr>
          <w:rFonts w:hint="eastAsia" w:hAnsi="宋体"/>
          <w:bCs/>
        </w:rPr>
        <w:t>或</w:t>
      </w:r>
      <w:r>
        <w:rPr>
          <w:rFonts w:hAnsi="宋体"/>
          <w:bCs/>
        </w:rPr>
        <w:t>中标结果中使自己合法权益受到损害的实质性内容，提供相关事实、依据和证据及其来源或线索，便于有关单位调查、答复和处理</w:t>
      </w:r>
      <w:r>
        <w:rPr>
          <w:rFonts w:hint="eastAsia" w:hAnsi="宋体"/>
          <w:bCs/>
        </w:rPr>
        <w:t>。</w:t>
      </w:r>
    </w:p>
    <w:p>
      <w:pPr>
        <w:pStyle w:val="20"/>
        <w:adjustRightInd w:val="0"/>
        <w:snapToGrid w:val="0"/>
        <w:spacing w:beforeLines="0" w:afterLines="0" w:line="360" w:lineRule="auto"/>
        <w:ind w:firstLine="480" w:firstLineChars="200"/>
        <w:rPr>
          <w:rFonts w:hAnsi="宋体"/>
          <w:bCs/>
        </w:rPr>
      </w:pPr>
    </w:p>
    <w:p>
      <w:pPr>
        <w:pStyle w:val="20"/>
        <w:adjustRightInd w:val="0"/>
        <w:snapToGrid w:val="0"/>
        <w:spacing w:beforeLines="0" w:afterLines="0" w:line="360" w:lineRule="auto"/>
        <w:jc w:val="center"/>
        <w:outlineLvl w:val="1"/>
        <w:rPr>
          <w:rFonts w:hAnsi="宋体"/>
          <w:b/>
        </w:rPr>
      </w:pPr>
      <w:bookmarkStart w:id="19" w:name="_Toc406402987"/>
      <w:bookmarkStart w:id="20" w:name="_Toc406402943"/>
      <w:bookmarkStart w:id="21" w:name="_Toc38306957"/>
      <w:r>
        <w:rPr>
          <w:rFonts w:hAnsi="宋体"/>
          <w:b/>
        </w:rPr>
        <w:t>二</w:t>
      </w:r>
      <w:r>
        <w:rPr>
          <w:rFonts w:hint="eastAsia" w:hAnsi="宋体"/>
          <w:b/>
        </w:rPr>
        <w:t>、</w:t>
      </w:r>
      <w:r>
        <w:rPr>
          <w:rFonts w:hAnsi="宋体"/>
          <w:b/>
        </w:rPr>
        <w:t>招标文件</w:t>
      </w:r>
      <w:bookmarkEnd w:id="19"/>
      <w:bookmarkEnd w:id="20"/>
      <w:bookmarkEnd w:id="21"/>
    </w:p>
    <w:p>
      <w:pPr>
        <w:adjustRightInd w:val="0"/>
        <w:snapToGrid w:val="0"/>
        <w:spacing w:line="360" w:lineRule="auto"/>
        <w:ind w:firstLine="472" w:firstLineChars="196"/>
        <w:jc w:val="left"/>
        <w:outlineLvl w:val="1"/>
        <w:rPr>
          <w:rFonts w:ascii="宋体" w:hAnsi="宋体"/>
          <w:b/>
          <w:sz w:val="24"/>
        </w:rPr>
      </w:pPr>
      <w:bookmarkStart w:id="22" w:name="_Toc38306958"/>
      <w:r>
        <w:rPr>
          <w:rFonts w:hint="eastAsia" w:ascii="宋体" w:hAnsi="宋体"/>
          <w:b/>
          <w:sz w:val="24"/>
        </w:rPr>
        <w:t>（一）招标文件的构成</w:t>
      </w:r>
      <w:bookmarkEnd w:id="22"/>
    </w:p>
    <w:p>
      <w:pPr>
        <w:adjustRightInd w:val="0"/>
        <w:snapToGrid w:val="0"/>
        <w:spacing w:line="360" w:lineRule="auto"/>
        <w:ind w:firstLine="472" w:firstLineChars="196"/>
        <w:jc w:val="left"/>
        <w:rPr>
          <w:rFonts w:ascii="宋体" w:hAnsi="宋体"/>
          <w:b/>
          <w:sz w:val="24"/>
        </w:rPr>
      </w:pPr>
      <w:r>
        <w:rPr>
          <w:rFonts w:hint="eastAsia" w:ascii="宋体" w:hAnsi="宋体"/>
          <w:b/>
          <w:sz w:val="24"/>
        </w:rPr>
        <w:t>本招标文件由以下部份组成</w:t>
      </w:r>
    </w:p>
    <w:p>
      <w:pPr>
        <w:pStyle w:val="72"/>
        <w:numPr>
          <w:ilvl w:val="3"/>
          <w:numId w:val="12"/>
        </w:numPr>
        <w:adjustRightInd w:val="0"/>
        <w:snapToGrid w:val="0"/>
        <w:ind w:left="993" w:hanging="284" w:firstLineChars="0"/>
        <w:jc w:val="left"/>
        <w:rPr>
          <w:rFonts w:ascii="宋体" w:hAnsi="宋体"/>
        </w:rPr>
      </w:pPr>
      <w:r>
        <w:rPr>
          <w:rFonts w:ascii="宋体" w:hAnsi="宋体"/>
        </w:rPr>
        <w:t>招标公告</w:t>
      </w:r>
    </w:p>
    <w:p>
      <w:pPr>
        <w:pStyle w:val="72"/>
        <w:numPr>
          <w:ilvl w:val="3"/>
          <w:numId w:val="12"/>
        </w:numPr>
        <w:adjustRightInd w:val="0"/>
        <w:snapToGrid w:val="0"/>
        <w:ind w:left="993" w:hanging="284" w:firstLineChars="0"/>
        <w:jc w:val="left"/>
        <w:rPr>
          <w:rFonts w:ascii="宋体" w:hAnsi="宋体"/>
        </w:rPr>
      </w:pPr>
      <w:r>
        <w:rPr>
          <w:rFonts w:ascii="宋体" w:hAnsi="宋体"/>
        </w:rPr>
        <w:t>投标人须知</w:t>
      </w:r>
    </w:p>
    <w:p>
      <w:pPr>
        <w:pStyle w:val="72"/>
        <w:numPr>
          <w:ilvl w:val="3"/>
          <w:numId w:val="12"/>
        </w:numPr>
        <w:adjustRightInd w:val="0"/>
        <w:snapToGrid w:val="0"/>
        <w:ind w:left="993" w:hanging="284" w:firstLineChars="0"/>
        <w:jc w:val="left"/>
        <w:rPr>
          <w:rFonts w:ascii="宋体" w:hAnsi="宋体"/>
        </w:rPr>
      </w:pPr>
      <w:r>
        <w:rPr>
          <w:rFonts w:ascii="宋体" w:hAnsi="宋体"/>
        </w:rPr>
        <w:t>招标需求</w:t>
      </w:r>
    </w:p>
    <w:p>
      <w:pPr>
        <w:pStyle w:val="72"/>
        <w:numPr>
          <w:ilvl w:val="3"/>
          <w:numId w:val="12"/>
        </w:numPr>
        <w:adjustRightInd w:val="0"/>
        <w:snapToGrid w:val="0"/>
        <w:ind w:left="993" w:hanging="284" w:firstLineChars="0"/>
        <w:jc w:val="left"/>
        <w:rPr>
          <w:rFonts w:ascii="宋体" w:hAnsi="宋体"/>
        </w:rPr>
      </w:pPr>
      <w:r>
        <w:rPr>
          <w:rFonts w:ascii="宋体" w:hAnsi="宋体"/>
        </w:rPr>
        <w:t>评标办法及</w:t>
      </w:r>
      <w:r>
        <w:rPr>
          <w:rFonts w:hint="eastAsia" w:ascii="宋体" w:hAnsi="宋体"/>
        </w:rPr>
        <w:t>评分</w:t>
      </w:r>
      <w:r>
        <w:rPr>
          <w:rFonts w:ascii="宋体" w:hAnsi="宋体"/>
        </w:rPr>
        <w:t>标准</w:t>
      </w:r>
    </w:p>
    <w:p>
      <w:pPr>
        <w:pStyle w:val="72"/>
        <w:numPr>
          <w:ilvl w:val="3"/>
          <w:numId w:val="12"/>
        </w:numPr>
        <w:adjustRightInd w:val="0"/>
        <w:snapToGrid w:val="0"/>
        <w:ind w:left="993" w:hanging="284" w:firstLineChars="0"/>
        <w:jc w:val="left"/>
        <w:rPr>
          <w:rFonts w:ascii="宋体" w:hAnsi="宋体"/>
        </w:rPr>
      </w:pPr>
      <w:r>
        <w:rPr>
          <w:rFonts w:hint="eastAsia" w:ascii="宋体" w:hAnsi="宋体"/>
        </w:rPr>
        <w:t>采购合同格式</w:t>
      </w:r>
    </w:p>
    <w:p>
      <w:pPr>
        <w:pStyle w:val="72"/>
        <w:numPr>
          <w:ilvl w:val="3"/>
          <w:numId w:val="12"/>
        </w:numPr>
        <w:adjustRightInd w:val="0"/>
        <w:snapToGrid w:val="0"/>
        <w:ind w:left="993" w:hanging="284" w:firstLineChars="0"/>
        <w:jc w:val="left"/>
        <w:rPr>
          <w:rFonts w:ascii="宋体" w:hAnsi="宋体"/>
        </w:rPr>
      </w:pPr>
      <w:r>
        <w:rPr>
          <w:rFonts w:ascii="宋体" w:hAnsi="宋体"/>
        </w:rPr>
        <w:t>投标文件格式</w:t>
      </w:r>
    </w:p>
    <w:p>
      <w:pPr>
        <w:pStyle w:val="72"/>
        <w:numPr>
          <w:ilvl w:val="3"/>
          <w:numId w:val="12"/>
        </w:numPr>
        <w:adjustRightInd w:val="0"/>
        <w:snapToGrid w:val="0"/>
        <w:ind w:left="993" w:hanging="284" w:firstLineChars="0"/>
        <w:jc w:val="left"/>
        <w:rPr>
          <w:rFonts w:ascii="宋体" w:hAnsi="宋体"/>
        </w:rPr>
      </w:pPr>
      <w:r>
        <w:rPr>
          <w:rFonts w:hint="eastAsia" w:ascii="宋体" w:hAnsi="宋体"/>
        </w:rPr>
        <w:t>附件</w:t>
      </w:r>
    </w:p>
    <w:p>
      <w:pPr>
        <w:pStyle w:val="72"/>
        <w:numPr>
          <w:ilvl w:val="3"/>
          <w:numId w:val="12"/>
        </w:numPr>
        <w:adjustRightInd w:val="0"/>
        <w:snapToGrid w:val="0"/>
        <w:ind w:left="993" w:hanging="284" w:firstLineChars="0"/>
        <w:jc w:val="left"/>
        <w:rPr>
          <w:rFonts w:ascii="宋体" w:hAnsi="宋体"/>
        </w:rPr>
      </w:pPr>
      <w:r>
        <w:rPr>
          <w:rFonts w:hint="eastAsia" w:ascii="宋体" w:hAnsi="宋体"/>
        </w:rPr>
        <w:t>本项目</w:t>
      </w:r>
      <w:r>
        <w:rPr>
          <w:rFonts w:ascii="宋体" w:hAnsi="宋体"/>
        </w:rPr>
        <w:t>招标文件</w:t>
      </w:r>
      <w:r>
        <w:rPr>
          <w:rFonts w:hint="eastAsia" w:ascii="宋体" w:hAnsi="宋体"/>
        </w:rPr>
        <w:t>的</w:t>
      </w:r>
      <w:r>
        <w:rPr>
          <w:rFonts w:ascii="宋体" w:hAnsi="宋体"/>
        </w:rPr>
        <w:t>澄清、答复、修改、补充的内容</w:t>
      </w:r>
    </w:p>
    <w:p>
      <w:pPr>
        <w:adjustRightInd w:val="0"/>
        <w:snapToGrid w:val="0"/>
        <w:spacing w:line="360" w:lineRule="auto"/>
        <w:ind w:firstLine="472" w:firstLineChars="196"/>
        <w:jc w:val="left"/>
        <w:outlineLvl w:val="1"/>
        <w:rPr>
          <w:rFonts w:ascii="宋体" w:hAnsi="宋体"/>
          <w:b/>
          <w:sz w:val="24"/>
        </w:rPr>
      </w:pPr>
      <w:bookmarkStart w:id="23" w:name="_Toc38306959"/>
      <w:r>
        <w:rPr>
          <w:rFonts w:hint="eastAsia" w:ascii="宋体" w:hAnsi="宋体"/>
          <w:b/>
          <w:sz w:val="24"/>
        </w:rPr>
        <w:t>（二）投标人的风险</w:t>
      </w:r>
      <w:bookmarkEnd w:id="23"/>
    </w:p>
    <w:p>
      <w:pPr>
        <w:pStyle w:val="31"/>
        <w:adjustRightInd w:val="0"/>
        <w:spacing w:line="360" w:lineRule="auto"/>
        <w:rPr>
          <w:rFonts w:ascii="宋体" w:eastAsia="宋体"/>
          <w:color w:val="auto"/>
        </w:rPr>
      </w:pPr>
      <w:r>
        <w:rPr>
          <w:rFonts w:hint="eastAsia" w:ascii="宋体" w:eastAsia="宋体"/>
          <w:color w:val="auto"/>
        </w:rPr>
        <w:t>投标人没有按照招标文件要求提供全部资料，或者投标人没有对招标文件在各方面作出实质性响应是投标人的风险，并可能导致其投标为无效标。</w:t>
      </w:r>
    </w:p>
    <w:p>
      <w:pPr>
        <w:adjustRightInd w:val="0"/>
        <w:snapToGrid w:val="0"/>
        <w:spacing w:line="360" w:lineRule="auto"/>
        <w:ind w:firstLine="472" w:firstLineChars="196"/>
        <w:jc w:val="left"/>
        <w:outlineLvl w:val="1"/>
        <w:rPr>
          <w:rFonts w:ascii="宋体" w:hAnsi="宋体"/>
          <w:b/>
          <w:sz w:val="24"/>
        </w:rPr>
      </w:pPr>
      <w:bookmarkStart w:id="24" w:name="_Toc38306960"/>
      <w:r>
        <w:rPr>
          <w:rFonts w:hint="eastAsia" w:ascii="宋体" w:hAnsi="宋体"/>
          <w:b/>
          <w:sz w:val="24"/>
        </w:rPr>
        <w:t>（三）招标文件的澄清与修改</w:t>
      </w:r>
      <w:bookmarkEnd w:id="24"/>
      <w:r>
        <w:rPr>
          <w:rFonts w:ascii="宋体" w:hAnsi="宋体"/>
          <w:b/>
          <w:sz w:val="24"/>
        </w:rPr>
        <w:t xml:space="preserve"> </w:t>
      </w:r>
    </w:p>
    <w:p>
      <w:pPr>
        <w:pStyle w:val="20"/>
        <w:adjustRightInd w:val="0"/>
        <w:snapToGrid w:val="0"/>
        <w:spacing w:beforeLines="0" w:afterLines="0" w:line="360" w:lineRule="auto"/>
        <w:ind w:firstLine="480" w:firstLineChars="200"/>
        <w:rPr>
          <w:rFonts w:hAnsi="宋体"/>
        </w:rPr>
      </w:pPr>
      <w:r>
        <w:rPr>
          <w:rFonts w:hAnsi="宋体"/>
        </w:rPr>
        <w:t>1</w:t>
      </w:r>
      <w:r>
        <w:rPr>
          <w:rFonts w:hint="eastAsia" w:hAnsi="宋体"/>
        </w:rPr>
        <w:t>.</w:t>
      </w:r>
      <w:r>
        <w:rPr>
          <w:rFonts w:hAnsi="宋体"/>
          <w:bCs/>
        </w:rPr>
        <w:t>投标人应认真阅读本招标文件，发现其中有误或有不合理要求的，</w:t>
      </w:r>
      <w:r>
        <w:rPr>
          <w:rFonts w:hint="eastAsia" w:hAnsi="宋体"/>
          <w:bCs/>
        </w:rPr>
        <w:t>可</w:t>
      </w:r>
      <w:r>
        <w:rPr>
          <w:rFonts w:hAnsi="宋体"/>
          <w:bCs/>
        </w:rPr>
        <w:t>要求招标采购人澄清</w:t>
      </w:r>
      <w:r>
        <w:rPr>
          <w:rFonts w:hAnsi="宋体"/>
        </w:rPr>
        <w:t>。</w:t>
      </w:r>
      <w:r>
        <w:rPr>
          <w:rFonts w:hint="eastAsia" w:hAnsi="宋体"/>
        </w:rPr>
        <w:t>招标采购人</w:t>
      </w:r>
      <w:r>
        <w:rPr>
          <w:rFonts w:hAnsi="宋体"/>
        </w:rPr>
        <w:t>对已发出的招标文件进行必要澄清</w:t>
      </w:r>
      <w:r>
        <w:rPr>
          <w:rFonts w:hint="eastAsia" w:hAnsi="宋体"/>
        </w:rPr>
        <w:t>或者</w:t>
      </w:r>
      <w:r>
        <w:rPr>
          <w:rFonts w:hAnsi="宋体"/>
        </w:rPr>
        <w:t>修改的，应当在招标文件要求提交投标文件截止</w:t>
      </w:r>
      <w:r>
        <w:rPr>
          <w:rFonts w:hint="eastAsia" w:hAnsi="宋体"/>
        </w:rPr>
        <w:t>十</w:t>
      </w:r>
      <w:r>
        <w:rPr>
          <w:rFonts w:hAnsi="宋体"/>
        </w:rPr>
        <w:t>五日前，在</w:t>
      </w:r>
      <w:r>
        <w:rPr>
          <w:rFonts w:hint="eastAsia" w:hAnsi="宋体"/>
        </w:rPr>
        <w:t>招标公告</w:t>
      </w:r>
      <w:r>
        <w:rPr>
          <w:rFonts w:hAnsi="宋体"/>
        </w:rPr>
        <w:t>发布媒体上发布更正公告，并以书面形式通知所有招标文件</w:t>
      </w:r>
      <w:r>
        <w:rPr>
          <w:rFonts w:hint="eastAsia" w:hAnsi="宋体"/>
        </w:rPr>
        <w:t>获取</w:t>
      </w:r>
      <w:r>
        <w:rPr>
          <w:rFonts w:hAnsi="宋体"/>
        </w:rPr>
        <w:t>人。</w:t>
      </w:r>
    </w:p>
    <w:p>
      <w:pPr>
        <w:pStyle w:val="20"/>
        <w:adjustRightInd w:val="0"/>
        <w:snapToGrid w:val="0"/>
        <w:spacing w:beforeLines="0" w:afterLines="0" w:line="360" w:lineRule="auto"/>
        <w:ind w:firstLine="480" w:firstLineChars="200"/>
        <w:rPr>
          <w:rFonts w:hAnsi="宋体"/>
        </w:rPr>
      </w:pPr>
      <w:r>
        <w:rPr>
          <w:rFonts w:hAnsi="宋体"/>
        </w:rPr>
        <w:t>2</w:t>
      </w:r>
      <w:r>
        <w:rPr>
          <w:rFonts w:hint="eastAsia" w:hAnsi="宋体"/>
        </w:rPr>
        <w:t>.</w:t>
      </w:r>
      <w:r>
        <w:rPr>
          <w:rFonts w:hAnsi="宋体"/>
        </w:rPr>
        <w:t>招标文件澄清</w:t>
      </w:r>
      <w:r>
        <w:rPr>
          <w:rFonts w:hint="eastAsia" w:hAnsi="宋体"/>
        </w:rPr>
        <w:t>或者</w:t>
      </w:r>
      <w:r>
        <w:rPr>
          <w:rFonts w:hAnsi="宋体"/>
        </w:rPr>
        <w:t>修改的内容为招标文件的组成部分。当招标文件与澄清</w:t>
      </w:r>
      <w:r>
        <w:rPr>
          <w:rFonts w:hint="eastAsia" w:hAnsi="宋体"/>
        </w:rPr>
        <w:t>或者</w:t>
      </w:r>
      <w:r>
        <w:rPr>
          <w:rFonts w:hAnsi="宋体"/>
        </w:rPr>
        <w:t>修改就同一内容的表述不一致时，以最后发出的书面文件为准。</w:t>
      </w:r>
    </w:p>
    <w:p>
      <w:pPr>
        <w:pStyle w:val="20"/>
        <w:adjustRightInd w:val="0"/>
        <w:snapToGrid w:val="0"/>
        <w:spacing w:beforeLines="0" w:afterLines="0" w:line="360" w:lineRule="auto"/>
        <w:ind w:firstLine="480" w:firstLineChars="200"/>
        <w:rPr>
          <w:rFonts w:hAnsi="宋体"/>
        </w:rPr>
      </w:pPr>
      <w:r>
        <w:rPr>
          <w:rFonts w:hint="eastAsia" w:hAnsi="宋体"/>
        </w:rPr>
        <w:t>3.对</w:t>
      </w:r>
      <w:r>
        <w:rPr>
          <w:rFonts w:hAnsi="宋体"/>
        </w:rPr>
        <w:t>招标文件的澄清、答复、修改或补充都应该通过</w:t>
      </w:r>
      <w:r>
        <w:rPr>
          <w:rFonts w:hint="eastAsia" w:hAnsi="宋体"/>
        </w:rPr>
        <w:t>招标代理机构</w:t>
      </w:r>
      <w:r>
        <w:rPr>
          <w:rFonts w:hAnsi="宋体"/>
        </w:rPr>
        <w:t>以法定形式发布，采购人非通过本机构，不得擅自澄清、答复、修改或补充招标文件。</w:t>
      </w:r>
    </w:p>
    <w:p>
      <w:pPr>
        <w:pStyle w:val="20"/>
        <w:adjustRightInd w:val="0"/>
        <w:snapToGrid w:val="0"/>
        <w:spacing w:beforeLines="0" w:afterLines="0" w:line="360" w:lineRule="auto"/>
        <w:ind w:firstLine="480" w:firstLineChars="200"/>
        <w:rPr>
          <w:rFonts w:hAnsi="宋体"/>
        </w:rPr>
      </w:pPr>
    </w:p>
    <w:p>
      <w:pPr>
        <w:pStyle w:val="20"/>
        <w:adjustRightInd w:val="0"/>
        <w:snapToGrid w:val="0"/>
        <w:spacing w:beforeLines="0" w:afterLines="0" w:line="360" w:lineRule="auto"/>
        <w:ind w:firstLine="472" w:firstLineChars="196"/>
        <w:jc w:val="center"/>
        <w:outlineLvl w:val="1"/>
        <w:rPr>
          <w:rFonts w:hAnsi="宋体"/>
          <w:b/>
        </w:rPr>
      </w:pPr>
      <w:bookmarkStart w:id="25" w:name="_Toc38306961"/>
      <w:r>
        <w:rPr>
          <w:rFonts w:hAnsi="宋体"/>
          <w:b/>
        </w:rPr>
        <w:t>三、投标文件的编制</w:t>
      </w:r>
      <w:bookmarkEnd w:id="25"/>
    </w:p>
    <w:p>
      <w:pPr>
        <w:pStyle w:val="20"/>
        <w:adjustRightInd w:val="0"/>
        <w:snapToGrid w:val="0"/>
        <w:spacing w:beforeLines="0" w:afterLines="0" w:line="360" w:lineRule="auto"/>
        <w:ind w:firstLine="472" w:firstLineChars="196"/>
        <w:rPr>
          <w:rFonts w:hAnsi="宋体"/>
          <w:b/>
        </w:rPr>
      </w:pPr>
      <w:r>
        <w:rPr>
          <w:rFonts w:hint="eastAsia" w:hAnsi="宋体"/>
          <w:b/>
        </w:rPr>
        <w:t>本项目所涉投标文件格式请详见第六章，未给出的格式请自拟。资信商务及技术文件中不得出现报价，否则投标文件将被视为无效。</w:t>
      </w:r>
    </w:p>
    <w:p>
      <w:pPr>
        <w:adjustRightInd w:val="0"/>
        <w:snapToGrid w:val="0"/>
        <w:spacing w:line="360" w:lineRule="auto"/>
        <w:ind w:firstLine="472" w:firstLineChars="196"/>
        <w:jc w:val="left"/>
        <w:outlineLvl w:val="1"/>
        <w:rPr>
          <w:rFonts w:ascii="宋体" w:hAnsi="宋体"/>
          <w:b/>
          <w:sz w:val="24"/>
        </w:rPr>
      </w:pPr>
      <w:bookmarkStart w:id="26" w:name="_Toc406402944"/>
      <w:bookmarkStart w:id="27" w:name="_Toc406402988"/>
      <w:bookmarkStart w:id="28" w:name="_Toc38306962"/>
      <w:r>
        <w:rPr>
          <w:rFonts w:hint="eastAsia" w:ascii="宋体" w:hAnsi="宋体"/>
          <w:b/>
          <w:sz w:val="24"/>
        </w:rPr>
        <w:t>（一）投标文件的组成</w:t>
      </w:r>
      <w:bookmarkEnd w:id="26"/>
      <w:bookmarkEnd w:id="27"/>
      <w:bookmarkEnd w:id="28"/>
    </w:p>
    <w:p>
      <w:pPr>
        <w:adjustRightInd w:val="0"/>
        <w:snapToGrid w:val="0"/>
        <w:spacing w:line="360" w:lineRule="auto"/>
        <w:ind w:firstLine="480" w:firstLineChars="200"/>
        <w:jc w:val="left"/>
        <w:rPr>
          <w:rFonts w:ascii="宋体" w:hAnsi="宋体"/>
          <w:sz w:val="24"/>
        </w:rPr>
      </w:pPr>
      <w:r>
        <w:rPr>
          <w:rFonts w:hint="eastAsia" w:ascii="宋体" w:hAnsi="宋体"/>
          <w:sz w:val="24"/>
        </w:rPr>
        <w:t>投标文件由资信商务及技术文件、报价文件两部份组成。</w:t>
      </w:r>
    </w:p>
    <w:p>
      <w:pPr>
        <w:numPr>
          <w:ilvl w:val="0"/>
          <w:numId w:val="13"/>
        </w:numPr>
        <w:adjustRightInd w:val="0"/>
        <w:snapToGrid w:val="0"/>
        <w:spacing w:line="360" w:lineRule="auto"/>
        <w:ind w:left="0" w:firstLine="284"/>
        <w:jc w:val="left"/>
        <w:rPr>
          <w:rFonts w:ascii="宋体" w:hAnsi="宋体"/>
          <w:b/>
          <w:sz w:val="24"/>
        </w:rPr>
      </w:pPr>
      <w:r>
        <w:rPr>
          <w:rFonts w:hint="eastAsia" w:ascii="宋体" w:hAnsi="宋体"/>
          <w:b/>
          <w:sz w:val="24"/>
        </w:rPr>
        <w:t>资信商务及技术文件</w:t>
      </w:r>
    </w:p>
    <w:p>
      <w:pPr>
        <w:numPr>
          <w:ilvl w:val="0"/>
          <w:numId w:val="14"/>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资信商务及技术自评表</w:t>
      </w:r>
    </w:p>
    <w:p>
      <w:pPr>
        <w:numPr>
          <w:ilvl w:val="0"/>
          <w:numId w:val="14"/>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资格文件要求的证明材料：</w:t>
      </w:r>
      <w:r>
        <w:rPr>
          <w:rFonts w:ascii="宋体" w:hAnsi="宋体"/>
          <w:sz w:val="24"/>
        </w:rPr>
        <w:t xml:space="preserve"> </w:t>
      </w:r>
    </w:p>
    <w:p>
      <w:pPr>
        <w:numPr>
          <w:ilvl w:val="0"/>
          <w:numId w:val="14"/>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投标声明书；</w:t>
      </w:r>
    </w:p>
    <w:p>
      <w:pPr>
        <w:numPr>
          <w:ilvl w:val="0"/>
          <w:numId w:val="14"/>
        </w:numPr>
        <w:tabs>
          <w:tab w:val="left" w:pos="851"/>
          <w:tab w:val="left" w:pos="4085"/>
        </w:tabs>
        <w:adjustRightInd w:val="0"/>
        <w:snapToGrid w:val="0"/>
        <w:spacing w:line="360" w:lineRule="auto"/>
        <w:ind w:left="0" w:firstLine="200"/>
        <w:jc w:val="left"/>
        <w:rPr>
          <w:rFonts w:ascii="宋体" w:hAnsi="宋体"/>
          <w:sz w:val="24"/>
        </w:rPr>
      </w:pPr>
      <w:r>
        <w:rPr>
          <w:rFonts w:ascii="宋体" w:hAnsi="宋体"/>
          <w:sz w:val="24"/>
        </w:rPr>
        <w:t>法定代表人授权委托书</w:t>
      </w:r>
      <w:r>
        <w:rPr>
          <w:rFonts w:hint="eastAsia" w:ascii="宋体" w:hAnsi="宋体"/>
          <w:sz w:val="24"/>
        </w:rPr>
        <w:t>（如法定代表人参加开标会议的提供法定代表人身份证明书）；</w:t>
      </w:r>
    </w:p>
    <w:p>
      <w:pPr>
        <w:numPr>
          <w:ilvl w:val="0"/>
          <w:numId w:val="14"/>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诚信承诺书</w:t>
      </w:r>
    </w:p>
    <w:p>
      <w:pPr>
        <w:numPr>
          <w:ilvl w:val="0"/>
          <w:numId w:val="14"/>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投标人基本情况介绍；</w:t>
      </w:r>
    </w:p>
    <w:p>
      <w:pPr>
        <w:numPr>
          <w:ilvl w:val="0"/>
          <w:numId w:val="14"/>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投标人实力（包括但不仅限于评标办法中涉及的内容）</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本地化服务（包括但不仅限于评标办法中涉及的内容）；</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同类项目业绩一览表（保洁）</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同类项目业绩一览表（公共服务管理或物业管理）</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工作方案（包括但不仅限于评标办法中涉及的内容）</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日常作业计划（包括但不仅限于评标办法中涉及的内容）</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拟投入本项目人员一览表</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拟投入本项目设备一览表</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质量管理措施（包括但不仅限于评标办法中涉及的内容）</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安全生产措施（包括但不仅限于评标办法中涉及的内容）</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承诺函</w:t>
      </w:r>
    </w:p>
    <w:p>
      <w:pPr>
        <w:numPr>
          <w:ilvl w:val="0"/>
          <w:numId w:val="14"/>
        </w:numPr>
        <w:tabs>
          <w:tab w:val="left" w:pos="709"/>
        </w:tabs>
        <w:adjustRightInd w:val="0"/>
        <w:snapToGrid w:val="0"/>
        <w:spacing w:line="360" w:lineRule="auto"/>
        <w:ind w:left="0" w:firstLine="0"/>
        <w:jc w:val="left"/>
        <w:rPr>
          <w:rFonts w:ascii="宋体" w:hAnsi="宋体"/>
          <w:sz w:val="24"/>
        </w:rPr>
      </w:pPr>
      <w:r>
        <w:rPr>
          <w:rFonts w:hint="eastAsia" w:ascii="宋体" w:hAnsi="宋体"/>
          <w:sz w:val="24"/>
        </w:rPr>
        <w:t>投标人需要说明的其他内容（未尽事宜可按评分细则部分制作）。</w:t>
      </w:r>
    </w:p>
    <w:p>
      <w:pPr>
        <w:numPr>
          <w:ilvl w:val="0"/>
          <w:numId w:val="13"/>
        </w:numPr>
        <w:adjustRightInd w:val="0"/>
        <w:snapToGrid w:val="0"/>
        <w:spacing w:line="360" w:lineRule="auto"/>
        <w:ind w:left="0" w:firstLine="284"/>
        <w:jc w:val="left"/>
        <w:rPr>
          <w:rFonts w:ascii="宋体" w:hAnsi="宋体"/>
          <w:b/>
          <w:sz w:val="24"/>
        </w:rPr>
      </w:pPr>
      <w:r>
        <w:rPr>
          <w:rFonts w:hint="eastAsia" w:ascii="宋体" w:hAnsi="宋体"/>
          <w:b/>
          <w:sz w:val="24"/>
        </w:rPr>
        <w:t>报价文件</w:t>
      </w:r>
    </w:p>
    <w:p>
      <w:pPr>
        <w:numPr>
          <w:ilvl w:val="0"/>
          <w:numId w:val="15"/>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 xml:space="preserve">投标函； </w:t>
      </w:r>
    </w:p>
    <w:p>
      <w:pPr>
        <w:numPr>
          <w:ilvl w:val="0"/>
          <w:numId w:val="15"/>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 xml:space="preserve">开标一览表； </w:t>
      </w:r>
    </w:p>
    <w:p>
      <w:pPr>
        <w:numPr>
          <w:ilvl w:val="0"/>
          <w:numId w:val="15"/>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投标报价明细表；</w:t>
      </w:r>
    </w:p>
    <w:p>
      <w:pPr>
        <w:numPr>
          <w:ilvl w:val="0"/>
          <w:numId w:val="15"/>
        </w:numPr>
        <w:tabs>
          <w:tab w:val="left" w:pos="851"/>
          <w:tab w:val="left" w:pos="4085"/>
        </w:tabs>
        <w:adjustRightInd w:val="0"/>
        <w:snapToGrid w:val="0"/>
        <w:spacing w:line="360" w:lineRule="auto"/>
        <w:ind w:left="0" w:firstLine="200"/>
        <w:jc w:val="left"/>
        <w:rPr>
          <w:rFonts w:ascii="宋体" w:hAnsi="宋体"/>
          <w:sz w:val="24"/>
        </w:rPr>
      </w:pPr>
      <w:r>
        <w:rPr>
          <w:rFonts w:hint="eastAsia" w:ascii="宋体" w:hAnsi="宋体"/>
          <w:sz w:val="24"/>
        </w:rPr>
        <w:t>投标人针对报价需要说明的其他文件和说明。</w:t>
      </w:r>
    </w:p>
    <w:p>
      <w:pPr>
        <w:adjustRightInd w:val="0"/>
        <w:snapToGrid w:val="0"/>
        <w:spacing w:line="360" w:lineRule="auto"/>
        <w:ind w:firstLine="472" w:firstLineChars="196"/>
        <w:jc w:val="left"/>
        <w:rPr>
          <w:rFonts w:ascii="宋体" w:hAnsi="宋体"/>
          <w:b/>
          <w:bCs/>
          <w:sz w:val="24"/>
        </w:rPr>
      </w:pPr>
      <w:r>
        <w:rPr>
          <w:rFonts w:ascii="宋体" w:hAnsi="宋体"/>
          <w:b/>
          <w:bCs/>
          <w:sz w:val="24"/>
        </w:rPr>
        <w:t>法定代表人授权委托书、投标声明书、投标函、开标一览表</w:t>
      </w:r>
      <w:r>
        <w:rPr>
          <w:rFonts w:hint="eastAsia" w:ascii="宋体" w:hAnsi="宋体"/>
          <w:b/>
          <w:bCs/>
          <w:sz w:val="24"/>
        </w:rPr>
        <w:t>必须有</w:t>
      </w:r>
      <w:r>
        <w:rPr>
          <w:rFonts w:ascii="宋体" w:hAnsi="宋体"/>
          <w:b/>
          <w:bCs/>
          <w:sz w:val="24"/>
        </w:rPr>
        <w:t>法定代表人</w:t>
      </w:r>
      <w:r>
        <w:rPr>
          <w:rFonts w:hint="eastAsia" w:ascii="宋体" w:hAnsi="宋体"/>
          <w:b/>
          <w:bCs/>
          <w:sz w:val="24"/>
        </w:rPr>
        <w:t>或被授权人</w:t>
      </w:r>
      <w:r>
        <w:rPr>
          <w:rFonts w:ascii="宋体" w:hAnsi="宋体"/>
          <w:b/>
          <w:bCs/>
          <w:sz w:val="24"/>
        </w:rPr>
        <w:t>签</w:t>
      </w:r>
      <w:r>
        <w:rPr>
          <w:rFonts w:hint="eastAsia" w:ascii="宋体" w:hAnsi="宋体"/>
          <w:b/>
          <w:bCs/>
          <w:sz w:val="24"/>
        </w:rPr>
        <w:t>字（或签章）</w:t>
      </w:r>
      <w:r>
        <w:rPr>
          <w:rFonts w:ascii="宋体" w:hAnsi="宋体"/>
          <w:b/>
          <w:bCs/>
          <w:sz w:val="24"/>
        </w:rPr>
        <w:t>并加盖单位公章</w:t>
      </w:r>
      <w:r>
        <w:rPr>
          <w:rFonts w:hint="eastAsia" w:ascii="宋体" w:hAnsi="宋体"/>
          <w:b/>
          <w:bCs/>
          <w:sz w:val="24"/>
        </w:rPr>
        <w:t>。</w:t>
      </w:r>
    </w:p>
    <w:p>
      <w:pPr>
        <w:adjustRightInd w:val="0"/>
        <w:snapToGrid w:val="0"/>
        <w:spacing w:line="360" w:lineRule="auto"/>
        <w:ind w:firstLine="472" w:firstLineChars="196"/>
        <w:jc w:val="left"/>
        <w:outlineLvl w:val="1"/>
        <w:rPr>
          <w:rFonts w:ascii="宋体" w:hAnsi="宋体"/>
          <w:b/>
          <w:sz w:val="24"/>
        </w:rPr>
      </w:pPr>
      <w:bookmarkStart w:id="29" w:name="_Toc38306963"/>
      <w:bookmarkStart w:id="30" w:name="_Toc402963117"/>
      <w:bookmarkStart w:id="31" w:name="_Toc402963084"/>
      <w:bookmarkStart w:id="32" w:name="_Toc385854100"/>
      <w:bookmarkStart w:id="33" w:name="_Toc385854146"/>
      <w:bookmarkStart w:id="34" w:name="_Toc406402990"/>
      <w:bookmarkStart w:id="35" w:name="_Toc406402946"/>
      <w:r>
        <w:rPr>
          <w:rFonts w:hint="eastAsia" w:ascii="宋体" w:hAnsi="宋体"/>
          <w:b/>
          <w:sz w:val="24"/>
        </w:rPr>
        <w:t>（二）投标文件的语言及计量</w:t>
      </w:r>
      <w:bookmarkEnd w:id="29"/>
      <w:bookmarkEnd w:id="30"/>
      <w:bookmarkEnd w:id="31"/>
      <w:bookmarkEnd w:id="32"/>
      <w:bookmarkEnd w:id="33"/>
      <w:bookmarkEnd w:id="34"/>
      <w:bookmarkEnd w:id="35"/>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w:t>
      </w:r>
      <w:r>
        <w:rPr>
          <w:rFonts w:ascii="宋体" w:hAnsi="宋体"/>
          <w:sz w:val="24"/>
        </w:rPr>
        <w:t>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360" w:lineRule="auto"/>
        <w:ind w:firstLine="472" w:firstLineChars="196"/>
        <w:jc w:val="left"/>
        <w:outlineLvl w:val="1"/>
        <w:rPr>
          <w:rFonts w:ascii="宋体" w:hAnsi="宋体"/>
          <w:b/>
          <w:sz w:val="24"/>
        </w:rPr>
      </w:pPr>
      <w:bookmarkStart w:id="36" w:name="_Toc38306964"/>
      <w:bookmarkStart w:id="37" w:name="_Toc385854101"/>
      <w:bookmarkStart w:id="38" w:name="_Toc402963118"/>
      <w:bookmarkStart w:id="39" w:name="_Toc406402991"/>
      <w:bookmarkStart w:id="40" w:name="_Toc406402947"/>
      <w:bookmarkStart w:id="41" w:name="_Toc402963085"/>
      <w:bookmarkStart w:id="42" w:name="_Toc385854147"/>
      <w:r>
        <w:rPr>
          <w:rFonts w:hint="eastAsia" w:ascii="宋体" w:hAnsi="宋体"/>
          <w:b/>
          <w:sz w:val="24"/>
        </w:rPr>
        <w:t>（三）投标报价</w:t>
      </w:r>
      <w:bookmarkEnd w:id="36"/>
      <w:bookmarkEnd w:id="37"/>
      <w:bookmarkEnd w:id="38"/>
      <w:bookmarkEnd w:id="39"/>
      <w:bookmarkEnd w:id="40"/>
      <w:bookmarkEnd w:id="41"/>
      <w:bookmarkEnd w:id="42"/>
    </w:p>
    <w:p>
      <w:pPr>
        <w:pStyle w:val="20"/>
        <w:numPr>
          <w:ilvl w:val="3"/>
          <w:numId w:val="16"/>
        </w:numPr>
        <w:adjustRightInd w:val="0"/>
        <w:snapToGrid w:val="0"/>
        <w:spacing w:beforeLines="0" w:afterLines="0" w:line="360" w:lineRule="auto"/>
        <w:ind w:left="0" w:firstLine="480" w:firstLineChars="200"/>
        <w:jc w:val="left"/>
        <w:rPr>
          <w:rFonts w:hAnsi="宋体"/>
        </w:rPr>
      </w:pPr>
      <w:r>
        <w:rPr>
          <w:rFonts w:hAnsi="宋体"/>
        </w:rPr>
        <w:t>投标报价应按招标文件中相关附表格式填写。</w:t>
      </w:r>
    </w:p>
    <w:p>
      <w:pPr>
        <w:pStyle w:val="20"/>
        <w:numPr>
          <w:ilvl w:val="3"/>
          <w:numId w:val="16"/>
        </w:numPr>
        <w:adjustRightInd w:val="0"/>
        <w:snapToGrid w:val="0"/>
        <w:spacing w:beforeLines="0" w:afterLines="0" w:line="360" w:lineRule="auto"/>
        <w:ind w:left="0" w:firstLine="480" w:firstLineChars="200"/>
        <w:jc w:val="left"/>
        <w:rPr>
          <w:rFonts w:hAnsi="宋体"/>
        </w:rPr>
      </w:pPr>
      <w:r>
        <w:rPr>
          <w:rFonts w:hint="eastAsia" w:hAnsi="宋体"/>
        </w:rPr>
        <w:t>投标报价及费用详见第二章投标人须知前附表。</w:t>
      </w:r>
    </w:p>
    <w:p>
      <w:pPr>
        <w:adjustRightInd w:val="0"/>
        <w:snapToGrid w:val="0"/>
        <w:spacing w:line="360" w:lineRule="auto"/>
        <w:ind w:firstLine="472" w:firstLineChars="196"/>
        <w:jc w:val="left"/>
        <w:outlineLvl w:val="1"/>
        <w:rPr>
          <w:rFonts w:ascii="宋体" w:hAnsi="宋体"/>
          <w:b/>
          <w:sz w:val="24"/>
        </w:rPr>
      </w:pPr>
      <w:bookmarkStart w:id="43" w:name="_Toc38306965"/>
      <w:r>
        <w:rPr>
          <w:rFonts w:hint="eastAsia" w:ascii="宋体" w:hAnsi="宋体"/>
          <w:b/>
          <w:sz w:val="24"/>
        </w:rPr>
        <w:t>（四）投标文件的有效期</w:t>
      </w:r>
      <w:bookmarkEnd w:id="43"/>
    </w:p>
    <w:p>
      <w:pPr>
        <w:pStyle w:val="8"/>
        <w:widowControl w:val="0"/>
        <w:tabs>
          <w:tab w:val="left" w:pos="4500"/>
          <w:tab w:val="clear" w:pos="454"/>
        </w:tabs>
        <w:adjustRightInd w:val="0"/>
        <w:snapToGrid w:val="0"/>
        <w:spacing w:afterLines="0" w:line="360" w:lineRule="auto"/>
        <w:ind w:left="0" w:firstLine="480" w:firstLineChars="200"/>
        <w:rPr>
          <w:rFonts w:ascii="宋体" w:hAnsi="宋体"/>
          <w:szCs w:val="24"/>
        </w:rPr>
      </w:pPr>
      <w:r>
        <w:rPr>
          <w:rFonts w:ascii="宋体" w:hAnsi="宋体"/>
          <w:szCs w:val="24"/>
        </w:rPr>
        <w:t>1</w:t>
      </w:r>
      <w:r>
        <w:rPr>
          <w:rFonts w:hint="eastAsia" w:ascii="宋体" w:hAnsi="宋体"/>
          <w:szCs w:val="24"/>
        </w:rPr>
        <w:t>.</w:t>
      </w:r>
      <w:r>
        <w:rPr>
          <w:rFonts w:ascii="宋体" w:hAnsi="宋体"/>
          <w:szCs w:val="24"/>
        </w:rPr>
        <w:t>自投标截止日起</w:t>
      </w:r>
      <w:r>
        <w:rPr>
          <w:rFonts w:hint="eastAsia" w:ascii="宋体" w:hAnsi="宋体"/>
          <w:szCs w:val="24"/>
          <w:u w:val="single"/>
        </w:rPr>
        <w:t>90</w:t>
      </w:r>
      <w:r>
        <w:rPr>
          <w:rFonts w:ascii="宋体" w:hAnsi="宋体"/>
          <w:szCs w:val="24"/>
        </w:rPr>
        <w:t>天投标</w:t>
      </w:r>
      <w:r>
        <w:rPr>
          <w:rFonts w:hint="eastAsia" w:ascii="宋体" w:hAnsi="宋体"/>
          <w:szCs w:val="24"/>
        </w:rPr>
        <w:t>文件</w:t>
      </w:r>
      <w:r>
        <w:rPr>
          <w:rFonts w:ascii="宋体" w:hAnsi="宋体"/>
          <w:szCs w:val="24"/>
        </w:rPr>
        <w:t>应保持有效。有效期</w:t>
      </w:r>
      <w:r>
        <w:rPr>
          <w:rFonts w:hint="eastAsia" w:ascii="宋体" w:hAnsi="宋体"/>
          <w:szCs w:val="24"/>
        </w:rPr>
        <w:t>不足</w:t>
      </w:r>
      <w:r>
        <w:rPr>
          <w:rFonts w:ascii="宋体" w:hAnsi="宋体"/>
          <w:szCs w:val="24"/>
        </w:rPr>
        <w:t>的投标</w:t>
      </w:r>
      <w:r>
        <w:rPr>
          <w:rFonts w:hint="eastAsia" w:ascii="宋体" w:hAnsi="宋体"/>
          <w:szCs w:val="24"/>
        </w:rPr>
        <w:t>文件</w:t>
      </w:r>
      <w:r>
        <w:rPr>
          <w:rFonts w:ascii="宋体" w:hAnsi="宋体"/>
          <w:szCs w:val="24"/>
        </w:rPr>
        <w:t>将被拒绝。</w:t>
      </w:r>
    </w:p>
    <w:p>
      <w:pPr>
        <w:pStyle w:val="8"/>
        <w:widowControl w:val="0"/>
        <w:tabs>
          <w:tab w:val="clear" w:pos="454"/>
        </w:tabs>
        <w:adjustRightInd w:val="0"/>
        <w:snapToGrid w:val="0"/>
        <w:spacing w:afterLines="0" w:line="360" w:lineRule="auto"/>
        <w:ind w:left="0" w:firstLine="480" w:firstLineChars="200"/>
        <w:rPr>
          <w:rFonts w:ascii="宋体" w:hAnsi="宋体"/>
          <w:szCs w:val="24"/>
        </w:rPr>
      </w:pPr>
      <w:r>
        <w:rPr>
          <w:rFonts w:ascii="宋体" w:hAnsi="宋体"/>
          <w:szCs w:val="24"/>
        </w:rPr>
        <w:t>2</w:t>
      </w:r>
      <w:r>
        <w:rPr>
          <w:rFonts w:hint="eastAsia" w:ascii="宋体" w:hAnsi="宋体"/>
          <w:szCs w:val="24"/>
        </w:rPr>
        <w:t>.</w:t>
      </w:r>
      <w:r>
        <w:rPr>
          <w:rFonts w:ascii="宋体" w:hAnsi="宋体"/>
          <w:szCs w:val="24"/>
        </w:rPr>
        <w:t>在特殊情况下，采购人可与投标人协商延长投标书的有效期，这种要求和答复均以书面形式进行。</w:t>
      </w:r>
    </w:p>
    <w:p>
      <w:pPr>
        <w:adjustRightInd w:val="0"/>
        <w:snapToGrid w:val="0"/>
        <w:spacing w:line="360" w:lineRule="auto"/>
        <w:ind w:firstLine="480" w:firstLineChars="200"/>
        <w:jc w:val="left"/>
        <w:rPr>
          <w:rFonts w:ascii="宋体" w:hAnsi="宋体"/>
          <w:b/>
          <w:sz w:val="24"/>
        </w:rPr>
      </w:pPr>
      <w:bookmarkStart w:id="44" w:name="_Toc402963119"/>
      <w:bookmarkStart w:id="45" w:name="_Toc406402992"/>
      <w:bookmarkStart w:id="46" w:name="_Toc406402948"/>
      <w:bookmarkStart w:id="47" w:name="_Toc402963086"/>
      <w:bookmarkStart w:id="48" w:name="_Toc385854148"/>
      <w:bookmarkStart w:id="49" w:name="_Toc385854102"/>
      <w:r>
        <w:rPr>
          <w:rFonts w:ascii="宋体" w:hAnsi="宋体"/>
          <w:sz w:val="24"/>
        </w:rPr>
        <w:t>3</w:t>
      </w:r>
      <w:r>
        <w:rPr>
          <w:rFonts w:hint="eastAsia" w:ascii="宋体" w:hAnsi="宋体"/>
          <w:sz w:val="24"/>
        </w:rPr>
        <w:t>.</w:t>
      </w:r>
      <w:r>
        <w:rPr>
          <w:rFonts w:ascii="宋体" w:hAnsi="宋体"/>
          <w:sz w:val="24"/>
        </w:rPr>
        <w:t>投标人可拒绝接受延期要求而不会导致投标保证金被没收。同意延长有效期的投标人需要相应延长投标保证金的有效期，但不能修改投标文件。</w:t>
      </w:r>
      <w:bookmarkEnd w:id="44"/>
      <w:bookmarkEnd w:id="45"/>
      <w:bookmarkEnd w:id="46"/>
      <w:bookmarkEnd w:id="47"/>
      <w:bookmarkEnd w:id="48"/>
      <w:bookmarkEnd w:id="49"/>
      <w:r>
        <w:rPr>
          <w:rFonts w:ascii="宋体" w:hAnsi="宋体"/>
          <w:b/>
          <w:sz w:val="24"/>
        </w:rPr>
        <w:t xml:space="preserve"> </w:t>
      </w:r>
    </w:p>
    <w:p>
      <w:pPr>
        <w:adjustRightInd w:val="0"/>
        <w:snapToGrid w:val="0"/>
        <w:spacing w:line="360" w:lineRule="auto"/>
        <w:ind w:firstLine="480" w:firstLineChars="200"/>
        <w:jc w:val="left"/>
        <w:rPr>
          <w:rFonts w:ascii="宋体" w:hAnsi="宋体"/>
          <w:b/>
          <w:sz w:val="24"/>
        </w:rPr>
      </w:pPr>
      <w:bookmarkStart w:id="50" w:name="_Toc406402993"/>
      <w:bookmarkStart w:id="51" w:name="_Toc402963120"/>
      <w:bookmarkStart w:id="52" w:name="_Toc406402949"/>
      <w:bookmarkStart w:id="53" w:name="_Toc402963087"/>
      <w:bookmarkStart w:id="54" w:name="_Toc385854149"/>
      <w:bookmarkStart w:id="55" w:name="_Toc385854103"/>
      <w:r>
        <w:rPr>
          <w:rFonts w:ascii="宋体" w:hAnsi="宋体"/>
          <w:sz w:val="24"/>
        </w:rPr>
        <w:t>4</w:t>
      </w:r>
      <w:r>
        <w:rPr>
          <w:rFonts w:hint="eastAsia" w:ascii="宋体" w:hAnsi="宋体"/>
          <w:sz w:val="24"/>
        </w:rPr>
        <w:t>.</w:t>
      </w:r>
      <w:r>
        <w:rPr>
          <w:rFonts w:ascii="宋体" w:hAnsi="宋体"/>
          <w:sz w:val="24"/>
        </w:rPr>
        <w:t>中标供应商的投标文件自开标之日起至合同履行完毕止均应保持有效。</w:t>
      </w:r>
      <w:bookmarkEnd w:id="50"/>
      <w:bookmarkEnd w:id="51"/>
      <w:bookmarkEnd w:id="52"/>
      <w:bookmarkEnd w:id="53"/>
      <w:bookmarkEnd w:id="54"/>
      <w:bookmarkEnd w:id="55"/>
    </w:p>
    <w:p>
      <w:pPr>
        <w:adjustRightInd w:val="0"/>
        <w:snapToGrid w:val="0"/>
        <w:spacing w:line="360" w:lineRule="auto"/>
        <w:ind w:firstLine="472" w:firstLineChars="196"/>
        <w:jc w:val="left"/>
        <w:outlineLvl w:val="1"/>
        <w:rPr>
          <w:rFonts w:ascii="宋体" w:hAnsi="宋体"/>
          <w:b/>
          <w:sz w:val="24"/>
        </w:rPr>
      </w:pPr>
      <w:bookmarkStart w:id="56" w:name="_Toc406402994"/>
      <w:bookmarkStart w:id="57" w:name="_Toc385854104"/>
      <w:bookmarkStart w:id="58" w:name="_Toc385854150"/>
      <w:bookmarkStart w:id="59" w:name="_Toc402963088"/>
      <w:bookmarkStart w:id="60" w:name="_Toc402963121"/>
      <w:bookmarkStart w:id="61" w:name="_Toc406402950"/>
      <w:bookmarkStart w:id="62" w:name="_Toc38306966"/>
      <w:r>
        <w:rPr>
          <w:rFonts w:hint="eastAsia" w:ascii="宋体" w:hAnsi="宋体"/>
          <w:b/>
          <w:sz w:val="24"/>
        </w:rPr>
        <w:t>（五）投标保证金</w:t>
      </w:r>
      <w:bookmarkEnd w:id="56"/>
      <w:bookmarkEnd w:id="57"/>
      <w:bookmarkEnd w:id="58"/>
      <w:bookmarkEnd w:id="59"/>
      <w:bookmarkEnd w:id="60"/>
      <w:bookmarkEnd w:id="61"/>
      <w:bookmarkEnd w:id="62"/>
      <w:bookmarkStart w:id="63" w:name="_Toc385854105"/>
      <w:bookmarkStart w:id="64" w:name="_Toc385854151"/>
      <w:bookmarkStart w:id="65" w:name="_Toc402963089"/>
      <w:bookmarkStart w:id="66" w:name="_Toc402963122"/>
      <w:bookmarkStart w:id="67" w:name="_Toc406402951"/>
      <w:bookmarkStart w:id="68" w:name="_Toc406402995"/>
    </w:p>
    <w:p>
      <w:pPr>
        <w:adjustRightInd w:val="0"/>
        <w:snapToGrid w:val="0"/>
        <w:spacing w:line="360" w:lineRule="auto"/>
        <w:ind w:firstLine="708" w:firstLineChars="294"/>
        <w:jc w:val="left"/>
        <w:rPr>
          <w:rFonts w:ascii="宋体" w:hAnsi="宋体"/>
          <w:b/>
          <w:sz w:val="24"/>
        </w:rPr>
      </w:pPr>
      <w:r>
        <w:rPr>
          <w:rFonts w:hint="eastAsia" w:ascii="宋体" w:hAnsi="宋体" w:cs="宋体"/>
          <w:b/>
          <w:kern w:val="0"/>
          <w:sz w:val="24"/>
        </w:rPr>
        <w:t>无（不需要缴纳）</w:t>
      </w:r>
    </w:p>
    <w:p>
      <w:pPr>
        <w:adjustRightInd w:val="0"/>
        <w:snapToGrid w:val="0"/>
        <w:spacing w:line="360" w:lineRule="auto"/>
        <w:ind w:firstLine="472" w:firstLineChars="196"/>
        <w:jc w:val="left"/>
        <w:outlineLvl w:val="1"/>
        <w:rPr>
          <w:rFonts w:ascii="宋体" w:hAnsi="宋体"/>
          <w:b/>
          <w:sz w:val="24"/>
        </w:rPr>
      </w:pPr>
      <w:bookmarkStart w:id="69" w:name="_Toc38306967"/>
      <w:r>
        <w:rPr>
          <w:rFonts w:hint="eastAsia" w:ascii="宋体" w:hAnsi="宋体"/>
          <w:b/>
          <w:sz w:val="24"/>
        </w:rPr>
        <w:t>（六）投标文件的签署和份数</w:t>
      </w:r>
      <w:bookmarkEnd w:id="63"/>
      <w:bookmarkEnd w:id="64"/>
      <w:bookmarkEnd w:id="65"/>
      <w:bookmarkEnd w:id="66"/>
      <w:bookmarkEnd w:id="67"/>
      <w:bookmarkEnd w:id="68"/>
      <w:bookmarkEnd w:id="69"/>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投标人应</w:t>
      </w:r>
      <w:r>
        <w:rPr>
          <w:rFonts w:hint="eastAsia" w:ascii="宋体" w:hAnsi="宋体"/>
          <w:sz w:val="24"/>
        </w:rPr>
        <w:t>按</w:t>
      </w:r>
      <w:r>
        <w:rPr>
          <w:rFonts w:ascii="宋体" w:hAnsi="宋体"/>
          <w:sz w:val="24"/>
        </w:rPr>
        <w:t>本招标文件规定的格式和顺序编制、装订投标文件</w:t>
      </w:r>
      <w:r>
        <w:rPr>
          <w:rFonts w:hint="eastAsia" w:ascii="宋体" w:hAnsi="宋体"/>
          <w:sz w:val="24"/>
        </w:rPr>
        <w:t>并标注页码</w:t>
      </w:r>
      <w:r>
        <w:rPr>
          <w:rFonts w:ascii="宋体" w:hAnsi="宋体"/>
          <w:sz w:val="24"/>
        </w:rPr>
        <w:t>，投标文件内容不完整、编排混乱导致投标文件被误读、漏读或者查找不到相关内容的，是投标人的责任。</w:t>
      </w:r>
    </w:p>
    <w:p>
      <w:pPr>
        <w:adjustRightInd w:val="0"/>
        <w:snapToGrid w:val="0"/>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 xml:space="preserve">. </w:t>
      </w:r>
      <w:r>
        <w:rPr>
          <w:rFonts w:ascii="宋体" w:hAnsi="宋体"/>
          <w:sz w:val="24"/>
        </w:rPr>
        <w:t>投标人应按</w:t>
      </w:r>
      <w:r>
        <w:rPr>
          <w:rFonts w:hint="eastAsia" w:ascii="宋体" w:hAnsi="宋体"/>
          <w:sz w:val="24"/>
        </w:rPr>
        <w:t>投标文件组成的顺序编制资信商务及技术文件、报价文件，分别装订成册（不得活页装订），</w:t>
      </w:r>
      <w:r>
        <w:rPr>
          <w:rFonts w:hint="eastAsia" w:ascii="宋体" w:hAnsi="宋体"/>
          <w:color w:val="FF0000"/>
          <w:sz w:val="24"/>
        </w:rPr>
        <w:t>正本各</w:t>
      </w:r>
      <w:r>
        <w:rPr>
          <w:rFonts w:hint="eastAsia" w:ascii="宋体" w:hAnsi="宋体"/>
          <w:color w:val="FF0000"/>
          <w:sz w:val="24"/>
          <w:u w:val="single"/>
        </w:rPr>
        <w:t xml:space="preserve"> 1</w:t>
      </w:r>
      <w:r>
        <w:rPr>
          <w:rFonts w:hint="eastAsia" w:ascii="宋体" w:hAnsi="宋体"/>
          <w:color w:val="FF0000"/>
          <w:sz w:val="24"/>
        </w:rPr>
        <w:t>份，副本各</w:t>
      </w:r>
      <w:r>
        <w:rPr>
          <w:rFonts w:hint="eastAsia" w:ascii="宋体" w:hAnsi="宋体"/>
          <w:color w:val="FF0000"/>
          <w:sz w:val="24"/>
          <w:u w:val="single"/>
        </w:rPr>
        <w:t>2</w:t>
      </w:r>
      <w:r>
        <w:rPr>
          <w:rFonts w:hint="eastAsia" w:ascii="宋体" w:hAnsi="宋体"/>
          <w:color w:val="FF0000"/>
          <w:sz w:val="24"/>
        </w:rPr>
        <w:t>份</w:t>
      </w:r>
      <w:r>
        <w:rPr>
          <w:rFonts w:hint="eastAsia" w:ascii="宋体" w:hAnsi="宋体"/>
          <w:sz w:val="24"/>
        </w:rPr>
        <w:t>。投标文件的封面应注明“正本”、“副本”字样。</w:t>
      </w:r>
      <w:r>
        <w:rPr>
          <w:rFonts w:hint="eastAsia"/>
          <w:sz w:val="24"/>
        </w:rPr>
        <w:t>活页装订（是指用卡条、抽杆夹等形式装订，使标书可以拆卸或者在翻动过程中易脱落的一种装订方式）的</w:t>
      </w:r>
      <w:r>
        <w:rPr>
          <w:rFonts w:hint="eastAsia" w:ascii="宋体" w:hAnsi="宋体"/>
          <w:sz w:val="24"/>
        </w:rPr>
        <w:t xml:space="preserve">投标文件按无效标处理。    </w:t>
      </w:r>
    </w:p>
    <w:p>
      <w:pPr>
        <w:adjustRightInd w:val="0"/>
        <w:snapToGrid w:val="0"/>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w:t>
      </w:r>
      <w:r>
        <w:rPr>
          <w:rFonts w:ascii="宋体" w:hAnsi="宋体"/>
          <w:sz w:val="24"/>
        </w:rPr>
        <w:t>投标文件的正本需打印或用不褪色的墨水填写，投标文件正本除本</w:t>
      </w:r>
      <w:r>
        <w:rPr>
          <w:rFonts w:hint="eastAsia" w:ascii="宋体" w:hAnsi="宋体"/>
          <w:sz w:val="24"/>
        </w:rPr>
        <w:t>《</w:t>
      </w:r>
      <w:r>
        <w:rPr>
          <w:rFonts w:ascii="宋体" w:hAnsi="宋体"/>
          <w:sz w:val="24"/>
        </w:rPr>
        <w:t>投标人须知</w:t>
      </w:r>
      <w:r>
        <w:rPr>
          <w:rFonts w:hint="eastAsia" w:ascii="宋体" w:hAnsi="宋体"/>
          <w:sz w:val="24"/>
        </w:rPr>
        <w:t>》</w:t>
      </w:r>
      <w:r>
        <w:rPr>
          <w:rFonts w:ascii="宋体" w:hAnsi="宋体"/>
          <w:sz w:val="24"/>
        </w:rPr>
        <w:t>中规定的可提供复印件外均须提供原件。副本</w:t>
      </w:r>
      <w:r>
        <w:rPr>
          <w:rFonts w:hint="eastAsia" w:ascii="宋体" w:hAnsi="宋体"/>
          <w:sz w:val="24"/>
        </w:rPr>
        <w:t>可</w:t>
      </w:r>
      <w:r>
        <w:rPr>
          <w:rFonts w:ascii="宋体" w:hAnsi="宋体"/>
          <w:sz w:val="24"/>
        </w:rPr>
        <w:t>为正本的复印件。</w:t>
      </w:r>
    </w:p>
    <w:p>
      <w:pPr>
        <w:adjustRightInd w:val="0"/>
        <w:snapToGrid w:val="0"/>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w:t>
      </w:r>
      <w:r>
        <w:rPr>
          <w:rFonts w:ascii="宋体" w:hAnsi="宋体"/>
          <w:sz w:val="24"/>
        </w:rPr>
        <w:t>投标文件须由投标人在规定位置盖章并由法定代表人或法定代表</w:t>
      </w:r>
      <w:r>
        <w:rPr>
          <w:rFonts w:hint="eastAsia" w:ascii="宋体" w:hAnsi="宋体"/>
          <w:sz w:val="24"/>
        </w:rPr>
        <w:t>人的</w:t>
      </w:r>
      <w:r>
        <w:rPr>
          <w:rFonts w:ascii="宋体" w:hAnsi="宋体"/>
          <w:sz w:val="24"/>
        </w:rPr>
        <w:t>授权</w:t>
      </w:r>
      <w:r>
        <w:rPr>
          <w:rFonts w:hint="eastAsia" w:ascii="宋体" w:hAnsi="宋体"/>
          <w:sz w:val="24"/>
        </w:rPr>
        <w:t>委托</w:t>
      </w:r>
      <w:r>
        <w:rPr>
          <w:rFonts w:ascii="宋体" w:hAnsi="宋体"/>
          <w:sz w:val="24"/>
        </w:rPr>
        <w:t>人签署，投标人应写全称。</w:t>
      </w:r>
    </w:p>
    <w:p>
      <w:pPr>
        <w:adjustRightInd w:val="0"/>
        <w:snapToGrid w:val="0"/>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w:t>
      </w:r>
      <w:r>
        <w:rPr>
          <w:rFonts w:ascii="宋体" w:hAnsi="宋体"/>
          <w:sz w:val="24"/>
        </w:rPr>
        <w:t>投标文件不得涂改，若有修改错漏处，须加盖单位公章或者法定代表人或法定代表</w:t>
      </w:r>
      <w:r>
        <w:rPr>
          <w:rFonts w:hint="eastAsia" w:ascii="宋体" w:hAnsi="宋体"/>
          <w:sz w:val="24"/>
        </w:rPr>
        <w:t>人的</w:t>
      </w:r>
      <w:r>
        <w:rPr>
          <w:rFonts w:ascii="宋体" w:hAnsi="宋体"/>
          <w:sz w:val="24"/>
        </w:rPr>
        <w:t>授权委托人签字或盖章。投标文件因字迹潦草或表达不清所引起的后果由投标人负责。</w:t>
      </w:r>
    </w:p>
    <w:p>
      <w:pPr>
        <w:adjustRightInd w:val="0"/>
        <w:snapToGrid w:val="0"/>
        <w:spacing w:line="360" w:lineRule="auto"/>
        <w:ind w:firstLine="472" w:firstLineChars="196"/>
        <w:jc w:val="left"/>
        <w:outlineLvl w:val="1"/>
        <w:rPr>
          <w:rFonts w:ascii="宋体" w:hAnsi="宋体"/>
          <w:b/>
          <w:sz w:val="24"/>
        </w:rPr>
      </w:pPr>
      <w:bookmarkStart w:id="70" w:name="_Toc38306968"/>
      <w:r>
        <w:rPr>
          <w:rFonts w:hint="eastAsia" w:ascii="宋体" w:hAnsi="宋体"/>
          <w:b/>
          <w:sz w:val="24"/>
        </w:rPr>
        <w:t>（七）投标文件的包装、递交、修改和撤回</w:t>
      </w:r>
      <w:bookmarkEnd w:id="70"/>
    </w:p>
    <w:p>
      <w:pPr>
        <w:adjustRightInd w:val="0"/>
        <w:snapToGrid w:val="0"/>
        <w:spacing w:line="360" w:lineRule="auto"/>
        <w:ind w:firstLine="420"/>
        <w:jc w:val="left"/>
        <w:rPr>
          <w:rFonts w:ascii="宋体" w:hAnsi="宋体"/>
          <w:sz w:val="24"/>
        </w:rPr>
      </w:pPr>
      <w:r>
        <w:rPr>
          <w:rFonts w:hint="eastAsia" w:ascii="宋体" w:hAnsi="宋体"/>
          <w:sz w:val="24"/>
        </w:rPr>
        <w:t>1.投标人应将资信商务及技术文件、报价文件分别密封封装（即二个包封），并在封口上加盖投标人公章。投标文件的包装封面上应注明投标人名称、投标人地址、投标文件名称（资信商务及技术文件或报价文件）、投标项目名称、项目编号、所投标段（如有），并加盖投标人公章。</w:t>
      </w:r>
    </w:p>
    <w:p>
      <w:pPr>
        <w:adjustRightInd w:val="0"/>
        <w:snapToGrid w:val="0"/>
        <w:spacing w:line="360" w:lineRule="auto"/>
        <w:ind w:firstLine="420"/>
        <w:jc w:val="left"/>
        <w:rPr>
          <w:rFonts w:ascii="宋体" w:hAnsi="宋体"/>
          <w:sz w:val="24"/>
        </w:rPr>
      </w:pPr>
      <w:r>
        <w:rPr>
          <w:rFonts w:hint="eastAsia" w:ascii="宋体" w:hAnsi="宋体"/>
          <w:sz w:val="24"/>
        </w:rPr>
        <w:t>2.未按规定密封或标记的投标文件应被认定为无效的投标，其投标文件将被拒绝开启。</w:t>
      </w:r>
      <w:r>
        <w:rPr>
          <w:rFonts w:hint="eastAsia" w:ascii="宋体" w:hAnsi="宋体"/>
          <w:sz w:val="24"/>
        </w:rPr>
        <w:cr/>
      </w:r>
      <w:r>
        <w:rPr>
          <w:rFonts w:hint="eastAsia" w:ascii="宋体" w:hAnsi="宋体"/>
          <w:sz w:val="24"/>
        </w:rPr>
        <w:t xml:space="preserve">    3.投标人在投标截止时间之前，可以对已提交的投标文件进行修改或撤回，并书面通知招标采购人；投标截止时间后，投标人不得撤回、修改投标文件。修改后重新递交的投标文件应当按本招标文件的要求签署、盖章和密封。</w:t>
      </w:r>
    </w:p>
    <w:p>
      <w:pPr>
        <w:adjustRightInd w:val="0"/>
        <w:snapToGrid w:val="0"/>
        <w:spacing w:line="360" w:lineRule="auto"/>
        <w:ind w:firstLine="472" w:firstLineChars="196"/>
        <w:jc w:val="left"/>
        <w:outlineLvl w:val="1"/>
        <w:rPr>
          <w:rFonts w:ascii="宋体" w:hAnsi="宋体"/>
          <w:b/>
          <w:sz w:val="24"/>
        </w:rPr>
      </w:pPr>
      <w:bookmarkStart w:id="71" w:name="_Toc38306969"/>
      <w:r>
        <w:rPr>
          <w:rFonts w:hint="eastAsia" w:ascii="宋体" w:hAnsi="宋体"/>
          <w:b/>
          <w:sz w:val="24"/>
        </w:rPr>
        <w:t>（八）投标无效的情形</w:t>
      </w:r>
      <w:bookmarkEnd w:id="71"/>
    </w:p>
    <w:p>
      <w:pPr>
        <w:adjustRightInd w:val="0"/>
        <w:snapToGrid w:val="0"/>
        <w:spacing w:line="360" w:lineRule="auto"/>
        <w:ind w:firstLine="480" w:firstLineChars="200"/>
        <w:jc w:val="left"/>
        <w:rPr>
          <w:rFonts w:ascii="宋体" w:hAnsi="宋体"/>
          <w:bCs/>
          <w:sz w:val="24"/>
        </w:rPr>
      </w:pPr>
      <w:r>
        <w:rPr>
          <w:rFonts w:hint="eastAsia" w:ascii="宋体" w:hAnsi="宋体"/>
          <w:bCs/>
          <w:sz w:val="24"/>
        </w:rPr>
        <w:t>根据《政府采购货物和服务招标投标管理办法》有下列情形之一的，视为投标人串通投标，其投标无效：</w:t>
      </w:r>
    </w:p>
    <w:p>
      <w:pPr>
        <w:pStyle w:val="72"/>
        <w:numPr>
          <w:ilvl w:val="2"/>
          <w:numId w:val="17"/>
        </w:numPr>
        <w:adjustRightInd w:val="0"/>
        <w:snapToGrid w:val="0"/>
        <w:ind w:left="1134" w:hanging="425" w:firstLineChars="0"/>
        <w:jc w:val="left"/>
        <w:rPr>
          <w:rFonts w:ascii="宋体" w:hAnsi="宋体"/>
          <w:bCs/>
        </w:rPr>
      </w:pPr>
      <w:r>
        <w:rPr>
          <w:rFonts w:hint="eastAsia" w:ascii="宋体" w:hAnsi="宋体"/>
          <w:bCs/>
        </w:rPr>
        <w:t>不同投标人的投标文件由同一单位或者个人编制;</w:t>
      </w:r>
    </w:p>
    <w:p>
      <w:pPr>
        <w:pStyle w:val="72"/>
        <w:numPr>
          <w:ilvl w:val="2"/>
          <w:numId w:val="17"/>
        </w:numPr>
        <w:adjustRightInd w:val="0"/>
        <w:snapToGrid w:val="0"/>
        <w:ind w:left="1134" w:hanging="425" w:firstLineChars="0"/>
        <w:jc w:val="left"/>
        <w:rPr>
          <w:rFonts w:ascii="宋体" w:hAnsi="宋体"/>
          <w:bCs/>
        </w:rPr>
      </w:pPr>
      <w:r>
        <w:rPr>
          <w:rFonts w:hint="eastAsia" w:ascii="宋体" w:hAnsi="宋体"/>
          <w:bCs/>
        </w:rPr>
        <w:t>不同投标人委托同一单位或者个人办理投标事宜;</w:t>
      </w:r>
    </w:p>
    <w:p>
      <w:pPr>
        <w:pStyle w:val="72"/>
        <w:numPr>
          <w:ilvl w:val="2"/>
          <w:numId w:val="17"/>
        </w:numPr>
        <w:adjustRightInd w:val="0"/>
        <w:snapToGrid w:val="0"/>
        <w:ind w:left="1134" w:hanging="425" w:firstLineChars="0"/>
        <w:jc w:val="left"/>
        <w:rPr>
          <w:rFonts w:ascii="宋体" w:hAnsi="宋体"/>
          <w:bCs/>
        </w:rPr>
      </w:pPr>
      <w:r>
        <w:rPr>
          <w:rFonts w:hint="eastAsia" w:ascii="宋体" w:hAnsi="宋体"/>
          <w:bCs/>
        </w:rPr>
        <w:t>不同投标人的投标文件载明的项目管理成员或者联系人员为同一人;</w:t>
      </w:r>
    </w:p>
    <w:p>
      <w:pPr>
        <w:pStyle w:val="72"/>
        <w:numPr>
          <w:ilvl w:val="2"/>
          <w:numId w:val="17"/>
        </w:numPr>
        <w:adjustRightInd w:val="0"/>
        <w:snapToGrid w:val="0"/>
        <w:ind w:left="1134" w:hanging="425" w:firstLineChars="0"/>
        <w:jc w:val="left"/>
        <w:rPr>
          <w:rFonts w:ascii="宋体" w:hAnsi="宋体"/>
          <w:bCs/>
        </w:rPr>
      </w:pPr>
      <w:r>
        <w:rPr>
          <w:rFonts w:hint="eastAsia" w:ascii="宋体" w:hAnsi="宋体"/>
          <w:bCs/>
        </w:rPr>
        <w:t>不同投标人的投标文件异常一致或者投标报价呈规律性差异;</w:t>
      </w:r>
    </w:p>
    <w:p>
      <w:pPr>
        <w:pStyle w:val="72"/>
        <w:numPr>
          <w:ilvl w:val="2"/>
          <w:numId w:val="17"/>
        </w:numPr>
        <w:adjustRightInd w:val="0"/>
        <w:snapToGrid w:val="0"/>
        <w:ind w:left="1134" w:hanging="425" w:firstLineChars="0"/>
        <w:jc w:val="left"/>
        <w:rPr>
          <w:rFonts w:ascii="宋体" w:hAnsi="宋体"/>
          <w:bCs/>
        </w:rPr>
      </w:pPr>
      <w:r>
        <w:rPr>
          <w:rFonts w:hint="eastAsia" w:ascii="宋体" w:hAnsi="宋体"/>
          <w:bCs/>
        </w:rPr>
        <w:t>不同投标人的投标文件相互混装;</w:t>
      </w:r>
    </w:p>
    <w:p>
      <w:pPr>
        <w:adjustRightInd w:val="0"/>
        <w:snapToGrid w:val="0"/>
        <w:spacing w:line="360" w:lineRule="auto"/>
        <w:ind w:firstLine="480" w:firstLineChars="200"/>
        <w:rPr>
          <w:rFonts w:ascii="宋体" w:hAnsi="宋体"/>
          <w:bCs/>
          <w:sz w:val="24"/>
        </w:rPr>
      </w:pPr>
      <w:r>
        <w:rPr>
          <w:rFonts w:hint="eastAsia" w:ascii="宋体" w:hAnsi="宋体"/>
          <w:bCs/>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15"/>
        <w:adjustRightInd w:val="0"/>
        <w:snapToGrid w:val="0"/>
        <w:spacing w:line="360" w:lineRule="auto"/>
        <w:ind w:firstLine="456" w:firstLineChars="196"/>
        <w:rPr>
          <w:rFonts w:hAnsi="宋体"/>
          <w:b/>
          <w:snapToGrid w:val="0"/>
          <w:sz w:val="24"/>
          <w:szCs w:val="24"/>
        </w:rPr>
      </w:pPr>
    </w:p>
    <w:p>
      <w:pPr>
        <w:pStyle w:val="15"/>
        <w:adjustRightInd w:val="0"/>
        <w:snapToGrid w:val="0"/>
        <w:spacing w:line="360" w:lineRule="auto"/>
        <w:ind w:firstLine="456" w:firstLineChars="196"/>
        <w:jc w:val="center"/>
        <w:outlineLvl w:val="1"/>
        <w:rPr>
          <w:rFonts w:hAnsi="宋体"/>
          <w:b/>
          <w:snapToGrid w:val="0"/>
          <w:sz w:val="24"/>
          <w:szCs w:val="24"/>
        </w:rPr>
      </w:pPr>
      <w:bookmarkStart w:id="72" w:name="_Toc38306970"/>
      <w:r>
        <w:rPr>
          <w:rFonts w:hint="eastAsia" w:hAnsi="宋体"/>
          <w:b/>
          <w:sz w:val="24"/>
          <w:szCs w:val="24"/>
        </w:rPr>
        <w:t>四、开标</w:t>
      </w:r>
      <w:bookmarkEnd w:id="72"/>
    </w:p>
    <w:p>
      <w:pPr>
        <w:adjustRightInd w:val="0"/>
        <w:snapToGrid w:val="0"/>
        <w:spacing w:line="360" w:lineRule="auto"/>
        <w:ind w:firstLine="472" w:firstLineChars="196"/>
        <w:jc w:val="left"/>
        <w:outlineLvl w:val="1"/>
        <w:rPr>
          <w:rFonts w:ascii="宋体" w:hAnsi="宋体"/>
          <w:b/>
          <w:sz w:val="24"/>
        </w:rPr>
      </w:pPr>
      <w:bookmarkStart w:id="73" w:name="_Toc38306971"/>
      <w:r>
        <w:rPr>
          <w:rFonts w:ascii="宋体" w:hAnsi="宋体"/>
          <w:b/>
          <w:sz w:val="24"/>
        </w:rPr>
        <w:t>（一）开标准备</w:t>
      </w:r>
      <w:bookmarkEnd w:id="73"/>
    </w:p>
    <w:p>
      <w:pPr>
        <w:pStyle w:val="20"/>
        <w:adjustRightInd w:val="0"/>
        <w:snapToGrid w:val="0"/>
        <w:spacing w:beforeLines="0" w:afterLines="0" w:line="360" w:lineRule="auto"/>
        <w:ind w:firstLine="480" w:firstLineChars="200"/>
        <w:rPr>
          <w:rFonts w:hAnsi="宋体"/>
          <w:bCs/>
        </w:rPr>
      </w:pPr>
      <w:r>
        <w:rPr>
          <w:rFonts w:hAnsi="宋体"/>
          <w:bCs/>
        </w:rPr>
        <w:t>招标代理机构将在规定的时间和地点进行开标。</w:t>
      </w:r>
    </w:p>
    <w:p>
      <w:pPr>
        <w:adjustRightInd w:val="0"/>
        <w:snapToGrid w:val="0"/>
        <w:spacing w:line="360" w:lineRule="auto"/>
        <w:ind w:firstLine="472" w:firstLineChars="196"/>
        <w:jc w:val="left"/>
        <w:outlineLvl w:val="1"/>
        <w:rPr>
          <w:rFonts w:ascii="宋体" w:hAnsi="宋体"/>
          <w:b/>
          <w:sz w:val="24"/>
        </w:rPr>
      </w:pPr>
      <w:bookmarkStart w:id="74" w:name="_Toc38306972"/>
      <w:r>
        <w:rPr>
          <w:rFonts w:ascii="宋体" w:hAnsi="宋体"/>
          <w:b/>
          <w:sz w:val="24"/>
        </w:rPr>
        <w:t>（</w:t>
      </w:r>
      <w:r>
        <w:rPr>
          <w:rFonts w:hint="eastAsia" w:ascii="宋体" w:hAnsi="宋体"/>
          <w:b/>
          <w:sz w:val="24"/>
        </w:rPr>
        <w:t>二</w:t>
      </w:r>
      <w:r>
        <w:rPr>
          <w:rFonts w:ascii="宋体" w:hAnsi="宋体"/>
          <w:b/>
          <w:sz w:val="24"/>
        </w:rPr>
        <w:t>）</w:t>
      </w:r>
      <w:r>
        <w:rPr>
          <w:rFonts w:hint="eastAsia" w:ascii="宋体" w:hAnsi="宋体"/>
          <w:b/>
          <w:sz w:val="24"/>
        </w:rPr>
        <w:t>采购人或者招标代理机构职责</w:t>
      </w:r>
      <w:bookmarkEnd w:id="74"/>
    </w:p>
    <w:p>
      <w:pPr>
        <w:pStyle w:val="20"/>
        <w:adjustRightInd w:val="0"/>
        <w:snapToGrid w:val="0"/>
        <w:spacing w:beforeLines="0" w:afterLines="0" w:line="360" w:lineRule="auto"/>
        <w:ind w:firstLine="480" w:firstLineChars="200"/>
        <w:rPr>
          <w:rFonts w:hAnsi="宋体"/>
          <w:bCs/>
        </w:rPr>
      </w:pPr>
      <w:r>
        <w:rPr>
          <w:rFonts w:hint="eastAsia" w:hAnsi="宋体"/>
          <w:bCs/>
        </w:rPr>
        <w:t>采购人或者招标代理机构负责组织评标工作，并履行下列职责：</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核对评审专家身份;</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宣布评标纪律;</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公布投标人名单，告知评审专家应当回避的情形;</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组织评标委员会推选评标组长，采购人代表不得担任组长;</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在评标期间采取必要的通讯管理措施，保证评标活动不受外界干扰;</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根据评标委员会的要求介绍政府采购相关政策法规、招标文件;</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维护评标秩序，监督评标委员会依照招标文件规定的评标程序、方法和标准进行独立评审，及时制止和纠正采购人代表、评审专家的倾向性言论或者违法违规行为;</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评审工作完成后，按照规定向评审专家支付劳务报酬;</w:t>
      </w:r>
    </w:p>
    <w:p>
      <w:pPr>
        <w:pStyle w:val="20"/>
        <w:numPr>
          <w:ilvl w:val="1"/>
          <w:numId w:val="18"/>
        </w:numPr>
        <w:adjustRightInd w:val="0"/>
        <w:snapToGrid w:val="0"/>
        <w:spacing w:beforeLines="0" w:afterLines="0" w:line="360" w:lineRule="auto"/>
        <w:ind w:left="0" w:firstLine="420"/>
        <w:rPr>
          <w:rFonts w:hAnsi="宋体"/>
          <w:bCs/>
        </w:rPr>
      </w:pPr>
      <w:r>
        <w:rPr>
          <w:rFonts w:hint="eastAsia" w:hAnsi="宋体"/>
          <w:bCs/>
        </w:rPr>
        <w:t>处理与评标有关的其他事项。</w:t>
      </w:r>
    </w:p>
    <w:p>
      <w:pPr>
        <w:adjustRightInd w:val="0"/>
        <w:snapToGrid w:val="0"/>
        <w:spacing w:line="360" w:lineRule="auto"/>
        <w:ind w:firstLine="472" w:firstLineChars="196"/>
        <w:jc w:val="left"/>
        <w:outlineLvl w:val="1"/>
        <w:rPr>
          <w:rFonts w:ascii="宋体" w:hAnsi="宋体"/>
          <w:b/>
          <w:sz w:val="24"/>
        </w:rPr>
      </w:pPr>
      <w:bookmarkStart w:id="75" w:name="_Toc38306973"/>
      <w:r>
        <w:rPr>
          <w:rFonts w:ascii="宋体" w:hAnsi="宋体"/>
          <w:b/>
          <w:sz w:val="24"/>
        </w:rPr>
        <w:t>（</w:t>
      </w:r>
      <w:r>
        <w:rPr>
          <w:rFonts w:hint="eastAsia" w:ascii="宋体" w:hAnsi="宋体"/>
          <w:b/>
          <w:sz w:val="24"/>
        </w:rPr>
        <w:t>三</w:t>
      </w:r>
      <w:r>
        <w:rPr>
          <w:rFonts w:ascii="宋体" w:hAnsi="宋体"/>
          <w:b/>
          <w:sz w:val="24"/>
        </w:rPr>
        <w:t>） 开标程序</w:t>
      </w:r>
      <w:bookmarkEnd w:id="75"/>
    </w:p>
    <w:p>
      <w:pPr>
        <w:pStyle w:val="20"/>
        <w:numPr>
          <w:ilvl w:val="0"/>
          <w:numId w:val="19"/>
        </w:numPr>
        <w:adjustRightInd w:val="0"/>
        <w:snapToGrid w:val="0"/>
        <w:spacing w:beforeLines="0" w:afterLines="0" w:line="360" w:lineRule="auto"/>
        <w:ind w:left="0" w:firstLine="567"/>
        <w:rPr>
          <w:rFonts w:hAnsi="宋体"/>
        </w:rPr>
      </w:pPr>
      <w:r>
        <w:rPr>
          <w:rFonts w:hAnsi="宋体"/>
        </w:rPr>
        <w:t>开标</w:t>
      </w:r>
      <w:r>
        <w:rPr>
          <w:rFonts w:hint="eastAsia" w:hAnsi="宋体"/>
        </w:rPr>
        <w:t>会议</w:t>
      </w:r>
      <w:r>
        <w:rPr>
          <w:rFonts w:hAnsi="宋体"/>
        </w:rPr>
        <w:t>由</w:t>
      </w:r>
      <w:r>
        <w:rPr>
          <w:rFonts w:hint="eastAsia" w:hAnsi="宋体"/>
        </w:rPr>
        <w:t>招标代理机构</w:t>
      </w:r>
      <w:r>
        <w:rPr>
          <w:rFonts w:hAnsi="宋体"/>
        </w:rPr>
        <w:t>主持，主持人宣布开标会议开始；</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主持人</w:t>
      </w:r>
      <w:r>
        <w:rPr>
          <w:rFonts w:hAnsi="宋体"/>
        </w:rPr>
        <w:t xml:space="preserve">介绍参加开标会的人员名单； </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主持人</w:t>
      </w:r>
      <w:r>
        <w:rPr>
          <w:rFonts w:hAnsi="宋体"/>
        </w:rPr>
        <w:t xml:space="preserve">宣布评标期间的有关事项；告知应当回避的情形,提请有关人员回避； </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按照投标文件送达的时间，以后到先开的顺序对参加开标会议的投标人进行查验有关证件；</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投标人或其当场推荐的代表，或者招标采购人委托的</w:t>
      </w:r>
      <w:r>
        <w:rPr>
          <w:rFonts w:hAnsi="宋体"/>
        </w:rPr>
        <w:t>公证</w:t>
      </w:r>
      <w:r>
        <w:rPr>
          <w:rFonts w:hint="eastAsia" w:hAnsi="宋体"/>
        </w:rPr>
        <w:t>机构</w:t>
      </w:r>
      <w:r>
        <w:rPr>
          <w:rFonts w:hAnsi="宋体"/>
        </w:rPr>
        <w:t>检</w:t>
      </w:r>
      <w:r>
        <w:rPr>
          <w:rFonts w:hint="eastAsia" w:hAnsi="宋体"/>
        </w:rPr>
        <w:t>查</w:t>
      </w:r>
      <w:r>
        <w:rPr>
          <w:rFonts w:hAnsi="宋体"/>
        </w:rPr>
        <w:t>投标文件密封的完整性并签字确认</w:t>
      </w:r>
      <w:r>
        <w:rPr>
          <w:rFonts w:hint="eastAsia" w:hAnsi="宋体"/>
        </w:rPr>
        <w:t>(开标前未提供</w:t>
      </w:r>
      <w:r>
        <w:t>授权委托书原件</w:t>
      </w:r>
      <w:r>
        <w:rPr>
          <w:rFonts w:hint="eastAsia"/>
        </w:rPr>
        <w:t>或</w:t>
      </w:r>
      <w:r>
        <w:t>法定代表人</w:t>
      </w:r>
      <w:r>
        <w:rPr>
          <w:rFonts w:hint="eastAsia"/>
        </w:rPr>
        <w:t>证明书原件的投标人不得作为</w:t>
      </w:r>
      <w:r>
        <w:rPr>
          <w:rFonts w:hint="eastAsia" w:hAnsi="宋体"/>
        </w:rPr>
        <w:t>投标人或其当场推荐的代表</w:t>
      </w:r>
      <w:r>
        <w:rPr>
          <w:rFonts w:hint="eastAsia"/>
        </w:rPr>
        <w:t>检查投标文件的密封情况</w:t>
      </w:r>
      <w:r>
        <w:rPr>
          <w:rFonts w:hint="eastAsia" w:hAnsi="宋体"/>
        </w:rPr>
        <w:t>)</w:t>
      </w:r>
      <w:r>
        <w:rPr>
          <w:rFonts w:hAnsi="宋体"/>
        </w:rPr>
        <w:t>；</w:t>
      </w:r>
    </w:p>
    <w:p>
      <w:pPr>
        <w:pStyle w:val="20"/>
        <w:numPr>
          <w:ilvl w:val="0"/>
          <w:numId w:val="19"/>
        </w:numPr>
        <w:adjustRightInd w:val="0"/>
        <w:snapToGrid w:val="0"/>
        <w:spacing w:beforeLines="0" w:afterLines="0" w:line="360" w:lineRule="auto"/>
        <w:ind w:left="0" w:firstLine="567"/>
        <w:rPr>
          <w:rFonts w:hAnsi="宋体"/>
          <w:color w:val="FF0000"/>
        </w:rPr>
      </w:pPr>
      <w:r>
        <w:rPr>
          <w:rFonts w:hint="eastAsia" w:hAnsi="宋体"/>
        </w:rPr>
        <w:t>按各投标人提交投标文件时间的先后顺序(后到先开)开启资信商务及技术文件外包装，清点投标文件正本、副本数量，符合招标文件要求的送评标室评审；不符合要求的，当场退还投标人，并由投标人代表签字确认(如开标前未提供</w:t>
      </w:r>
      <w:r>
        <w:t>授权委托书原件</w:t>
      </w:r>
      <w:r>
        <w:rPr>
          <w:rFonts w:hint="eastAsia"/>
        </w:rPr>
        <w:t>或</w:t>
      </w:r>
      <w:r>
        <w:t>法定代表人</w:t>
      </w:r>
      <w:r>
        <w:rPr>
          <w:rFonts w:hint="eastAsia"/>
        </w:rPr>
        <w:t>证明书原件的，投标人代表的认定以投标文件中的</w:t>
      </w:r>
      <w:r>
        <w:t>授权委托书原件</w:t>
      </w:r>
      <w:r>
        <w:rPr>
          <w:rFonts w:hint="eastAsia"/>
        </w:rPr>
        <w:t>或</w:t>
      </w:r>
      <w:r>
        <w:t>法定代表人</w:t>
      </w:r>
      <w:r>
        <w:rPr>
          <w:rFonts w:hint="eastAsia"/>
        </w:rPr>
        <w:t>证明书原件为准</w:t>
      </w:r>
      <w:r>
        <w:rPr>
          <w:rFonts w:hint="eastAsia" w:hAnsi="宋体"/>
        </w:rPr>
        <w:t>)；</w:t>
      </w:r>
      <w:r>
        <w:rPr>
          <w:rFonts w:hint="eastAsia" w:hAnsi="宋体"/>
          <w:color w:val="0000FF"/>
        </w:rPr>
        <w:t>报价文件等资信技术评审结束后再开启。</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评审组首先对资信商务及技术文件进行评审打分，并完成资信和技术分的评审。</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在开标室由主持人开启投标单位的报价文件，宣读《开标一览表》中的投标人名称及在其投标文件中承诺的投标报价、投标内容（投标设备名称、规格型号或者服务项目名称），以及主持人认为有必要宣读的其他内容，并由投标人代表确认。</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嘉兴市华信工程咨询有限公司记录人做开标记录，同时由主持人、记录人、监督人当场签字确认。</w:t>
      </w:r>
    </w:p>
    <w:p>
      <w:pPr>
        <w:pStyle w:val="20"/>
        <w:numPr>
          <w:ilvl w:val="0"/>
          <w:numId w:val="19"/>
        </w:numPr>
        <w:adjustRightInd w:val="0"/>
        <w:snapToGrid w:val="0"/>
        <w:spacing w:beforeLines="0" w:afterLines="0" w:line="360" w:lineRule="auto"/>
        <w:ind w:left="0" w:firstLine="567"/>
        <w:rPr>
          <w:rFonts w:hAnsi="宋体"/>
        </w:rPr>
      </w:pPr>
      <w:r>
        <w:rPr>
          <w:rFonts w:hint="eastAsia" w:hAnsi="宋体"/>
        </w:rPr>
        <w:t>开标及评审会议结束。</w:t>
      </w:r>
    </w:p>
    <w:p>
      <w:pPr>
        <w:pStyle w:val="20"/>
        <w:adjustRightInd w:val="0"/>
        <w:snapToGrid w:val="0"/>
        <w:spacing w:beforeLines="0" w:afterLines="0" w:line="360" w:lineRule="auto"/>
        <w:ind w:firstLine="480" w:firstLineChars="200"/>
        <w:rPr>
          <w:rFonts w:hAnsi="宋体"/>
        </w:rPr>
      </w:pPr>
    </w:p>
    <w:p>
      <w:pPr>
        <w:pStyle w:val="20"/>
        <w:adjustRightInd w:val="0"/>
        <w:snapToGrid w:val="0"/>
        <w:spacing w:beforeLines="0" w:afterLines="0" w:line="360" w:lineRule="auto"/>
        <w:ind w:left="801" w:leftChars="267" w:hanging="240" w:hangingChars="100"/>
        <w:jc w:val="center"/>
        <w:outlineLvl w:val="1"/>
        <w:rPr>
          <w:rFonts w:hAnsi="宋体"/>
          <w:b/>
        </w:rPr>
      </w:pPr>
      <w:bookmarkStart w:id="76" w:name="_Toc38306974"/>
      <w:r>
        <w:rPr>
          <w:rFonts w:hint="eastAsia" w:hAnsi="宋体"/>
          <w:b/>
        </w:rPr>
        <w:t>五、评标</w:t>
      </w:r>
      <w:bookmarkEnd w:id="76"/>
    </w:p>
    <w:p>
      <w:pPr>
        <w:adjustRightInd w:val="0"/>
        <w:snapToGrid w:val="0"/>
        <w:spacing w:line="360" w:lineRule="auto"/>
        <w:ind w:firstLine="472" w:firstLineChars="196"/>
        <w:jc w:val="left"/>
        <w:outlineLvl w:val="1"/>
        <w:rPr>
          <w:rFonts w:ascii="宋体" w:hAnsi="宋体"/>
          <w:b/>
          <w:sz w:val="24"/>
        </w:rPr>
      </w:pPr>
      <w:bookmarkStart w:id="77" w:name="_Toc38306975"/>
      <w:r>
        <w:rPr>
          <w:rFonts w:ascii="宋体" w:hAnsi="宋体"/>
          <w:b/>
          <w:sz w:val="24"/>
        </w:rPr>
        <w:t>（一）组建评标委员会</w:t>
      </w:r>
      <w:bookmarkEnd w:id="77"/>
    </w:p>
    <w:p>
      <w:pPr>
        <w:pStyle w:val="20"/>
        <w:adjustRightInd w:val="0"/>
        <w:snapToGrid w:val="0"/>
        <w:spacing w:beforeLines="0" w:afterLines="0" w:line="360" w:lineRule="auto"/>
        <w:ind w:firstLine="480" w:firstLineChars="200"/>
        <w:rPr>
          <w:rFonts w:hAnsi="宋体"/>
        </w:rPr>
      </w:pPr>
      <w:r>
        <w:rPr>
          <w:rFonts w:hint="eastAsia" w:hAnsi="宋体" w:cs="宋体"/>
          <w:kern w:val="0"/>
        </w:rPr>
        <w:t>评标委员会由采购人代表和评审专家组成，</w:t>
      </w:r>
      <w:r>
        <w:rPr>
          <w:rFonts w:hAnsi="宋体"/>
        </w:rPr>
        <w:t>政府采购评审专家</w:t>
      </w:r>
      <w:r>
        <w:rPr>
          <w:rFonts w:hint="eastAsia" w:hAnsi="宋体"/>
          <w:u w:val="single"/>
        </w:rPr>
        <w:t>4</w:t>
      </w:r>
      <w:r>
        <w:rPr>
          <w:rFonts w:hAnsi="宋体"/>
        </w:rPr>
        <w:t>人和采购人代表</w:t>
      </w:r>
      <w:r>
        <w:rPr>
          <w:rFonts w:hint="eastAsia" w:hAnsi="宋体"/>
          <w:u w:val="single"/>
        </w:rPr>
        <w:t xml:space="preserve"> 1</w:t>
      </w:r>
      <w:r>
        <w:rPr>
          <w:rFonts w:hAnsi="宋体"/>
          <w:u w:val="single"/>
        </w:rPr>
        <w:t xml:space="preserve"> </w:t>
      </w:r>
      <w:r>
        <w:rPr>
          <w:rFonts w:hAnsi="宋体"/>
        </w:rPr>
        <w:t>人,共</w:t>
      </w:r>
      <w:r>
        <w:rPr>
          <w:rFonts w:hAnsi="宋体"/>
          <w:u w:val="single"/>
        </w:rPr>
        <w:t xml:space="preserve"> </w:t>
      </w:r>
      <w:r>
        <w:rPr>
          <w:rFonts w:hint="eastAsia" w:hAnsi="宋体"/>
          <w:u w:val="single"/>
        </w:rPr>
        <w:t>5</w:t>
      </w:r>
      <w:r>
        <w:rPr>
          <w:rFonts w:hAnsi="宋体"/>
        </w:rPr>
        <w:t>人组成。</w:t>
      </w:r>
    </w:p>
    <w:p>
      <w:pPr>
        <w:widowControl/>
        <w:shd w:val="clear" w:color="auto" w:fill="FFFFFF"/>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评标委员会负责具体评标事务，并独立履行下列职责：</w:t>
      </w:r>
    </w:p>
    <w:p>
      <w:pPr>
        <w:widowControl/>
        <w:numPr>
          <w:ilvl w:val="1"/>
          <w:numId w:val="20"/>
        </w:numPr>
        <w:shd w:val="clear" w:color="auto" w:fill="FFFFFF"/>
        <w:adjustRightInd w:val="0"/>
        <w:snapToGrid w:val="0"/>
        <w:spacing w:line="360" w:lineRule="auto"/>
        <w:ind w:left="851" w:hanging="284"/>
        <w:jc w:val="left"/>
        <w:rPr>
          <w:rFonts w:ascii="宋体" w:hAnsi="宋体" w:cs="宋体"/>
          <w:kern w:val="0"/>
          <w:sz w:val="24"/>
        </w:rPr>
      </w:pPr>
      <w:r>
        <w:rPr>
          <w:rFonts w:hint="eastAsia" w:ascii="宋体" w:hAnsi="宋体" w:cs="宋体"/>
          <w:kern w:val="0"/>
          <w:sz w:val="24"/>
        </w:rPr>
        <w:t>审查、评价投标文件是否符合招标文件的商务、技术等实质性要求;</w:t>
      </w:r>
    </w:p>
    <w:p>
      <w:pPr>
        <w:widowControl/>
        <w:numPr>
          <w:ilvl w:val="1"/>
          <w:numId w:val="20"/>
        </w:numPr>
        <w:shd w:val="clear" w:color="auto" w:fill="FFFFFF"/>
        <w:adjustRightInd w:val="0"/>
        <w:snapToGrid w:val="0"/>
        <w:spacing w:line="360" w:lineRule="auto"/>
        <w:ind w:left="851" w:hanging="284"/>
        <w:jc w:val="left"/>
        <w:rPr>
          <w:rFonts w:ascii="宋体" w:hAnsi="宋体" w:cs="宋体"/>
          <w:kern w:val="0"/>
          <w:sz w:val="24"/>
        </w:rPr>
      </w:pPr>
      <w:r>
        <w:rPr>
          <w:rFonts w:hint="eastAsia" w:ascii="宋体" w:hAnsi="宋体" w:cs="宋体"/>
          <w:kern w:val="0"/>
          <w:sz w:val="24"/>
        </w:rPr>
        <w:t>要求投标人对投标文件有关事项作出澄清或者说明;</w:t>
      </w:r>
    </w:p>
    <w:p>
      <w:pPr>
        <w:widowControl/>
        <w:numPr>
          <w:ilvl w:val="1"/>
          <w:numId w:val="20"/>
        </w:numPr>
        <w:shd w:val="clear" w:color="auto" w:fill="FFFFFF"/>
        <w:adjustRightInd w:val="0"/>
        <w:snapToGrid w:val="0"/>
        <w:spacing w:line="360" w:lineRule="auto"/>
        <w:ind w:left="851" w:hanging="284"/>
        <w:jc w:val="left"/>
        <w:rPr>
          <w:rFonts w:ascii="宋体" w:hAnsi="宋体" w:cs="宋体"/>
          <w:kern w:val="0"/>
          <w:sz w:val="24"/>
        </w:rPr>
      </w:pPr>
      <w:r>
        <w:rPr>
          <w:rFonts w:hint="eastAsia" w:ascii="宋体" w:hAnsi="宋体" w:cs="宋体"/>
          <w:kern w:val="0"/>
          <w:sz w:val="24"/>
        </w:rPr>
        <w:t>对投标文件进行比较和评价;</w:t>
      </w:r>
    </w:p>
    <w:p>
      <w:pPr>
        <w:widowControl/>
        <w:numPr>
          <w:ilvl w:val="1"/>
          <w:numId w:val="20"/>
        </w:numPr>
        <w:shd w:val="clear" w:color="auto" w:fill="FFFFFF"/>
        <w:adjustRightInd w:val="0"/>
        <w:snapToGrid w:val="0"/>
        <w:spacing w:line="360" w:lineRule="auto"/>
        <w:ind w:left="851" w:hanging="284"/>
        <w:jc w:val="left"/>
        <w:rPr>
          <w:rFonts w:ascii="宋体" w:hAnsi="宋体" w:cs="宋体"/>
          <w:kern w:val="0"/>
          <w:sz w:val="24"/>
        </w:rPr>
      </w:pPr>
      <w:r>
        <w:rPr>
          <w:rFonts w:hint="eastAsia" w:ascii="宋体" w:hAnsi="宋体" w:cs="宋体"/>
          <w:kern w:val="0"/>
          <w:sz w:val="24"/>
        </w:rPr>
        <w:t>确定中标候选人名单，以及根据采购人委托直接确定中标供应商;</w:t>
      </w:r>
    </w:p>
    <w:p>
      <w:pPr>
        <w:widowControl/>
        <w:numPr>
          <w:ilvl w:val="1"/>
          <w:numId w:val="20"/>
        </w:numPr>
        <w:shd w:val="clear" w:color="auto" w:fill="FFFFFF"/>
        <w:adjustRightInd w:val="0"/>
        <w:snapToGrid w:val="0"/>
        <w:spacing w:line="360" w:lineRule="auto"/>
        <w:ind w:left="851" w:hanging="284"/>
        <w:jc w:val="left"/>
        <w:rPr>
          <w:rFonts w:ascii="宋体" w:hAnsi="宋体" w:cs="宋体"/>
          <w:kern w:val="0"/>
          <w:sz w:val="24"/>
        </w:rPr>
      </w:pPr>
      <w:r>
        <w:rPr>
          <w:rFonts w:hint="eastAsia" w:ascii="宋体" w:hAnsi="宋体" w:cs="宋体"/>
          <w:kern w:val="0"/>
          <w:sz w:val="24"/>
        </w:rPr>
        <w:t>向采购人、招标代理机构或者有关部门报告评标中发现的违法行为。</w:t>
      </w:r>
    </w:p>
    <w:p>
      <w:pPr>
        <w:widowControl/>
        <w:shd w:val="clear" w:color="auto" w:fill="FFFFFF"/>
        <w:adjustRightInd w:val="0"/>
        <w:snapToGrid w:val="0"/>
        <w:spacing w:line="360" w:lineRule="auto"/>
        <w:ind w:firstLine="481" w:firstLineChars="200"/>
        <w:jc w:val="left"/>
        <w:rPr>
          <w:rFonts w:ascii="宋体" w:hAnsi="宋体" w:cs="宋体"/>
          <w:b/>
          <w:kern w:val="0"/>
          <w:sz w:val="24"/>
          <w:u w:val="single"/>
        </w:rPr>
      </w:pPr>
      <w:r>
        <w:rPr>
          <w:rFonts w:hint="eastAsia" w:ascii="宋体" w:hAnsi="宋体" w:cs="宋体"/>
          <w:b/>
          <w:kern w:val="0"/>
          <w:sz w:val="24"/>
          <w:u w:val="single"/>
        </w:rPr>
        <w:t>除采购人代表、评标现场组织人员外，采购人的其他工作人员以及与评标工作无关的人员不得进入评标现场。</w:t>
      </w:r>
    </w:p>
    <w:p>
      <w:pPr>
        <w:adjustRightInd w:val="0"/>
        <w:snapToGrid w:val="0"/>
        <w:spacing w:line="360" w:lineRule="auto"/>
        <w:ind w:firstLine="472" w:firstLineChars="196"/>
        <w:jc w:val="left"/>
        <w:outlineLvl w:val="1"/>
        <w:rPr>
          <w:rFonts w:ascii="宋体" w:hAnsi="宋体"/>
          <w:b/>
          <w:sz w:val="24"/>
        </w:rPr>
      </w:pPr>
      <w:bookmarkStart w:id="78" w:name="_Toc38306976"/>
      <w:r>
        <w:rPr>
          <w:rFonts w:ascii="宋体" w:hAnsi="宋体"/>
          <w:b/>
          <w:sz w:val="24"/>
        </w:rPr>
        <w:t>（二）评标的方式</w:t>
      </w:r>
      <w:bookmarkEnd w:id="78"/>
    </w:p>
    <w:p>
      <w:pPr>
        <w:pStyle w:val="20"/>
        <w:adjustRightInd w:val="0"/>
        <w:snapToGrid w:val="0"/>
        <w:spacing w:beforeLines="0" w:afterLines="0" w:line="360" w:lineRule="auto"/>
        <w:ind w:left="719" w:leftChars="228" w:hanging="240" w:hangingChars="100"/>
        <w:rPr>
          <w:rFonts w:hAnsi="宋体"/>
        </w:rPr>
      </w:pPr>
      <w:r>
        <w:rPr>
          <w:rFonts w:hAnsi="宋体"/>
        </w:rPr>
        <w:t>本项目采用不公开方式评标，评标的依据为招标文件和投标文件。</w:t>
      </w:r>
    </w:p>
    <w:p>
      <w:pPr>
        <w:adjustRightInd w:val="0"/>
        <w:snapToGrid w:val="0"/>
        <w:spacing w:line="360" w:lineRule="auto"/>
        <w:ind w:firstLine="472" w:firstLineChars="196"/>
        <w:jc w:val="left"/>
        <w:outlineLvl w:val="1"/>
        <w:rPr>
          <w:rFonts w:ascii="宋体" w:hAnsi="宋体"/>
          <w:b/>
          <w:sz w:val="24"/>
        </w:rPr>
      </w:pPr>
      <w:bookmarkStart w:id="79" w:name="_Toc38306977"/>
      <w:r>
        <w:rPr>
          <w:rFonts w:ascii="宋体" w:hAnsi="宋体"/>
          <w:b/>
          <w:sz w:val="24"/>
        </w:rPr>
        <w:t>（三）评标程序</w:t>
      </w:r>
      <w:bookmarkEnd w:id="79"/>
    </w:p>
    <w:p>
      <w:pPr>
        <w:pStyle w:val="20"/>
        <w:adjustRightInd w:val="0"/>
        <w:snapToGrid w:val="0"/>
        <w:spacing w:beforeLines="0" w:afterLines="0" w:line="360" w:lineRule="auto"/>
        <w:ind w:firstLine="480" w:firstLineChars="200"/>
        <w:rPr>
          <w:rFonts w:hAnsi="宋体"/>
          <w:bCs/>
        </w:rPr>
      </w:pPr>
      <w:r>
        <w:rPr>
          <w:rFonts w:hint="eastAsia" w:hAnsi="宋体"/>
          <w:bCs/>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72" w:firstLineChars="196"/>
        <w:rPr>
          <w:rFonts w:ascii="宋体" w:hAnsi="宋体"/>
          <w:b/>
          <w:bCs/>
          <w:sz w:val="24"/>
        </w:rPr>
      </w:pPr>
      <w:r>
        <w:rPr>
          <w:rFonts w:ascii="宋体" w:hAnsi="宋体"/>
          <w:b/>
          <w:bCs/>
          <w:sz w:val="24"/>
        </w:rPr>
        <w:t>1</w:t>
      </w:r>
      <w:r>
        <w:rPr>
          <w:rFonts w:hint="eastAsia" w:ascii="宋体" w:hAnsi="宋体"/>
          <w:b/>
          <w:bCs/>
          <w:sz w:val="24"/>
        </w:rPr>
        <w:t>.</w:t>
      </w:r>
      <w:r>
        <w:rPr>
          <w:rFonts w:ascii="宋体" w:hAnsi="宋体"/>
          <w:b/>
          <w:bCs/>
          <w:sz w:val="24"/>
        </w:rPr>
        <w:t>形式审查</w:t>
      </w:r>
    </w:p>
    <w:p>
      <w:pPr>
        <w:adjustRightInd w:val="0"/>
        <w:snapToGrid w:val="0"/>
        <w:spacing w:line="360" w:lineRule="auto"/>
        <w:ind w:firstLine="480" w:firstLineChars="200"/>
        <w:rPr>
          <w:rFonts w:ascii="宋体" w:hAnsi="宋体"/>
          <w:bCs/>
          <w:sz w:val="24"/>
        </w:rPr>
      </w:pPr>
      <w:r>
        <w:rPr>
          <w:rFonts w:ascii="宋体" w:hAnsi="宋体"/>
          <w:bCs/>
          <w:sz w:val="24"/>
        </w:rPr>
        <w:t>形式审查</w:t>
      </w:r>
      <w:r>
        <w:rPr>
          <w:rFonts w:hint="eastAsia" w:ascii="宋体" w:hAnsi="宋体"/>
          <w:bCs/>
          <w:sz w:val="24"/>
        </w:rPr>
        <w:t>包括资格审查（除符合性审查以外的关于投标人资格条件等内容）和符合性审查，即对投标人的资格</w:t>
      </w:r>
      <w:r>
        <w:rPr>
          <w:rFonts w:ascii="宋体" w:hAnsi="宋体"/>
          <w:bCs/>
          <w:sz w:val="24"/>
        </w:rPr>
        <w:t>和投标文件的完整性、合法性等进行审查。</w:t>
      </w:r>
      <w:r>
        <w:rPr>
          <w:rFonts w:hint="eastAsia" w:ascii="宋体" w:hAnsi="宋体"/>
          <w:bCs/>
          <w:sz w:val="24"/>
        </w:rPr>
        <w:t>投标文件形式审查未通过的投标人，其投标文件将不再评审。</w:t>
      </w:r>
    </w:p>
    <w:p>
      <w:pPr>
        <w:adjustRightInd w:val="0"/>
        <w:snapToGrid w:val="0"/>
        <w:spacing w:line="360" w:lineRule="auto"/>
        <w:ind w:firstLine="472" w:firstLineChars="196"/>
        <w:rPr>
          <w:rFonts w:ascii="宋体" w:hAnsi="宋体"/>
          <w:b/>
          <w:bCs/>
          <w:sz w:val="24"/>
        </w:rPr>
      </w:pPr>
      <w:r>
        <w:rPr>
          <w:rFonts w:ascii="宋体" w:hAnsi="宋体"/>
          <w:b/>
          <w:bCs/>
          <w:sz w:val="24"/>
        </w:rPr>
        <w:t>2</w:t>
      </w:r>
      <w:r>
        <w:rPr>
          <w:rFonts w:hint="eastAsia" w:ascii="宋体" w:hAnsi="宋体"/>
          <w:b/>
          <w:bCs/>
          <w:sz w:val="24"/>
        </w:rPr>
        <w:t>.</w:t>
      </w:r>
      <w:r>
        <w:rPr>
          <w:rFonts w:ascii="宋体" w:hAnsi="宋体"/>
          <w:b/>
          <w:bCs/>
          <w:sz w:val="24"/>
        </w:rPr>
        <w:t>实质审查与比较</w:t>
      </w:r>
    </w:p>
    <w:p>
      <w:pPr>
        <w:numPr>
          <w:ilvl w:val="0"/>
          <w:numId w:val="21"/>
        </w:numPr>
        <w:adjustRightInd w:val="0"/>
        <w:snapToGrid w:val="0"/>
        <w:spacing w:line="360" w:lineRule="auto"/>
        <w:ind w:left="0" w:firstLine="567"/>
        <w:rPr>
          <w:rFonts w:ascii="宋体" w:hAnsi="宋体"/>
          <w:sz w:val="24"/>
        </w:rPr>
      </w:pPr>
      <w:r>
        <w:rPr>
          <w:rFonts w:ascii="宋体" w:hAnsi="宋体"/>
          <w:sz w:val="24"/>
        </w:rPr>
        <w:t>评标委员会审查投标文件的实质性内容是否符合招标文件的实质性要求。</w:t>
      </w:r>
    </w:p>
    <w:p>
      <w:pPr>
        <w:numPr>
          <w:ilvl w:val="0"/>
          <w:numId w:val="21"/>
        </w:numPr>
        <w:adjustRightInd w:val="0"/>
        <w:snapToGrid w:val="0"/>
        <w:spacing w:line="360" w:lineRule="auto"/>
        <w:ind w:left="0" w:firstLine="567"/>
        <w:rPr>
          <w:rFonts w:ascii="宋体" w:hAnsi="宋体"/>
          <w:sz w:val="24"/>
        </w:rPr>
      </w:pPr>
      <w:r>
        <w:rPr>
          <w:rFonts w:ascii="宋体" w:hAnsi="宋体"/>
          <w:sz w:val="24"/>
        </w:rPr>
        <w:t>评标委员会将根据投标人的投标文件进行审查、核对,如有疑问,将对投标人进行询标,投标人要向评标委员会澄清有关问题,并最终以书面形式进行答复。询标</w:t>
      </w:r>
      <w:r>
        <w:rPr>
          <w:rFonts w:hint="eastAsia" w:ascii="宋体" w:hAnsi="宋体"/>
          <w:sz w:val="24"/>
        </w:rPr>
        <w:t>时，投标人代表未到场或者拒绝澄清或者澄清的内容改变了投标文件的实质性内容的，评标委员会有权对该投标文件作出不利于投标人的评判。</w:t>
      </w:r>
    </w:p>
    <w:p>
      <w:pPr>
        <w:numPr>
          <w:ilvl w:val="0"/>
          <w:numId w:val="21"/>
        </w:numPr>
        <w:adjustRightInd w:val="0"/>
        <w:snapToGrid w:val="0"/>
        <w:spacing w:line="360" w:lineRule="auto"/>
        <w:ind w:left="0" w:firstLine="567"/>
        <w:rPr>
          <w:rFonts w:ascii="宋体" w:hAnsi="宋体"/>
          <w:sz w:val="24"/>
        </w:rPr>
      </w:pPr>
      <w:r>
        <w:rPr>
          <w:rFonts w:ascii="宋体" w:hAnsi="宋体"/>
          <w:sz w:val="24"/>
        </w:rPr>
        <w:t>各投标人的</w:t>
      </w:r>
      <w:r>
        <w:rPr>
          <w:rFonts w:hint="eastAsia" w:ascii="宋体" w:hAnsi="宋体"/>
          <w:sz w:val="24"/>
        </w:rPr>
        <w:t>资信商务及技术分按照评标委员会成员的独立评分结果汇后的算术平均分计算</w:t>
      </w:r>
      <w:r>
        <w:rPr>
          <w:rFonts w:ascii="宋体" w:hAnsi="宋体"/>
          <w:sz w:val="24"/>
        </w:rPr>
        <w:t>。</w:t>
      </w:r>
    </w:p>
    <w:p>
      <w:pPr>
        <w:numPr>
          <w:ilvl w:val="0"/>
          <w:numId w:val="21"/>
        </w:numPr>
        <w:adjustRightInd w:val="0"/>
        <w:snapToGrid w:val="0"/>
        <w:spacing w:line="360" w:lineRule="auto"/>
        <w:ind w:left="0" w:firstLine="567"/>
        <w:rPr>
          <w:rFonts w:ascii="宋体" w:hAnsi="宋体"/>
          <w:sz w:val="24"/>
        </w:rPr>
      </w:pPr>
      <w:r>
        <w:rPr>
          <w:rFonts w:ascii="宋体" w:hAnsi="宋体"/>
          <w:sz w:val="24"/>
        </w:rPr>
        <w:t>评标委员会按评标原则推荐中标候选人同时起草评标报告。</w:t>
      </w:r>
    </w:p>
    <w:p>
      <w:pPr>
        <w:adjustRightInd w:val="0"/>
        <w:snapToGrid w:val="0"/>
        <w:spacing w:line="360" w:lineRule="auto"/>
        <w:ind w:firstLine="481" w:firstLineChars="200"/>
        <w:rPr>
          <w:rFonts w:ascii="宋体" w:hAnsi="宋体"/>
          <w:b/>
          <w:sz w:val="24"/>
        </w:rPr>
      </w:pPr>
      <w:r>
        <w:rPr>
          <w:rFonts w:hint="eastAsia" w:ascii="宋体" w:hAnsi="宋体"/>
          <w:b/>
          <w:sz w:val="24"/>
        </w:rPr>
        <w:t>（四）澄清问题的形式</w:t>
      </w:r>
    </w:p>
    <w:p>
      <w:pPr>
        <w:adjustRightInd w:val="0"/>
        <w:snapToGrid w:val="0"/>
        <w:spacing w:line="360" w:lineRule="auto"/>
        <w:ind w:firstLine="480" w:firstLineChars="200"/>
        <w:rPr>
          <w:rFonts w:ascii="宋体" w:hAnsi="宋体"/>
          <w:sz w:val="24"/>
        </w:rPr>
      </w:pPr>
      <w:r>
        <w:rPr>
          <w:rFonts w:hint="eastAsia" w:ascii="宋体" w:hAnsi="宋体"/>
          <w:sz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firstLine="472" w:firstLineChars="196"/>
        <w:jc w:val="left"/>
        <w:outlineLvl w:val="1"/>
        <w:rPr>
          <w:rFonts w:ascii="宋体" w:hAnsi="宋体"/>
          <w:b/>
          <w:sz w:val="24"/>
        </w:rPr>
      </w:pPr>
      <w:bookmarkStart w:id="80" w:name="_Toc38306978"/>
      <w:r>
        <w:rPr>
          <w:rFonts w:ascii="宋体" w:hAnsi="宋体"/>
          <w:b/>
          <w:sz w:val="24"/>
        </w:rPr>
        <w:t>（五）错误修正</w:t>
      </w:r>
      <w:bookmarkEnd w:id="80"/>
    </w:p>
    <w:p>
      <w:pPr>
        <w:pStyle w:val="20"/>
        <w:adjustRightInd w:val="0"/>
        <w:snapToGrid w:val="0"/>
        <w:spacing w:beforeLines="0" w:afterLines="0" w:line="360" w:lineRule="auto"/>
        <w:ind w:left="719" w:leftChars="228" w:hanging="240" w:hangingChars="100"/>
        <w:rPr>
          <w:rFonts w:hAnsi="宋体"/>
        </w:rPr>
      </w:pPr>
      <w:r>
        <w:rPr>
          <w:rFonts w:hAnsi="宋体"/>
        </w:rPr>
        <w:t>投标文件如果出现计算或表达上的错误，修正错误的原则如下：</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.开标一览表总价与投标报价明细表汇总数不一致的，</w:t>
      </w:r>
      <w:r>
        <w:rPr>
          <w:rFonts w:hint="eastAsia" w:ascii="宋体" w:hAnsi="宋体" w:cs="Arial"/>
          <w:kern w:val="0"/>
          <w:sz w:val="24"/>
        </w:rPr>
        <w:t>以开标一览表为准；</w:t>
      </w:r>
    </w:p>
    <w:p>
      <w:pPr>
        <w:pStyle w:val="20"/>
        <w:adjustRightInd w:val="0"/>
        <w:snapToGrid w:val="0"/>
        <w:spacing w:beforeLines="0" w:afterLines="0" w:line="360" w:lineRule="auto"/>
        <w:ind w:firstLine="480" w:firstLineChars="200"/>
        <w:rPr>
          <w:rFonts w:hAnsi="宋体"/>
        </w:rPr>
      </w:pPr>
      <w:r>
        <w:rPr>
          <w:rFonts w:hAnsi="宋体"/>
        </w:rPr>
        <w:t>2</w:t>
      </w:r>
      <w:r>
        <w:rPr>
          <w:rFonts w:hint="eastAsia" w:hAnsi="宋体"/>
        </w:rPr>
        <w:t>.</w:t>
      </w:r>
      <w:r>
        <w:rPr>
          <w:rFonts w:hAnsi="宋体"/>
        </w:rPr>
        <w:t>投标文件的大写金额和小写金额不一致的，以大写金额为准；</w:t>
      </w:r>
    </w:p>
    <w:p>
      <w:pPr>
        <w:pStyle w:val="20"/>
        <w:adjustRightInd w:val="0"/>
        <w:snapToGrid w:val="0"/>
        <w:spacing w:beforeLines="0" w:afterLines="0" w:line="360" w:lineRule="auto"/>
        <w:ind w:firstLine="480" w:firstLineChars="200"/>
        <w:rPr>
          <w:rFonts w:hAnsi="宋体"/>
        </w:rPr>
      </w:pPr>
      <w:r>
        <w:rPr>
          <w:rFonts w:hAnsi="宋体"/>
        </w:rPr>
        <w:t>3</w:t>
      </w:r>
      <w:r>
        <w:rPr>
          <w:rFonts w:hint="eastAsia" w:hAnsi="宋体"/>
        </w:rPr>
        <w:t>.</w:t>
      </w:r>
      <w:r>
        <w:rPr>
          <w:rFonts w:hAnsi="宋体"/>
        </w:rPr>
        <w:t>总价金额与按单价汇总金额不一致的，以单价金额计算结果为准；</w:t>
      </w:r>
    </w:p>
    <w:p>
      <w:pPr>
        <w:pStyle w:val="20"/>
        <w:adjustRightInd w:val="0"/>
        <w:snapToGrid w:val="0"/>
        <w:spacing w:beforeLines="0" w:afterLines="0" w:line="360" w:lineRule="auto"/>
        <w:ind w:firstLine="480" w:firstLineChars="200"/>
        <w:rPr>
          <w:rFonts w:hAnsi="宋体"/>
        </w:rPr>
      </w:pPr>
      <w:r>
        <w:rPr>
          <w:rFonts w:hAnsi="宋体"/>
        </w:rPr>
        <w:t>4</w:t>
      </w:r>
      <w:r>
        <w:rPr>
          <w:rFonts w:hint="eastAsia" w:hAnsi="宋体"/>
        </w:rPr>
        <w:t>.</w:t>
      </w:r>
      <w:r>
        <w:rPr>
          <w:rFonts w:hAnsi="宋体"/>
        </w:rPr>
        <w:t>对不同文字文本投标文件的解释发生异议的，以中文文本为准。</w:t>
      </w:r>
    </w:p>
    <w:p>
      <w:pPr>
        <w:pStyle w:val="20"/>
        <w:adjustRightInd w:val="0"/>
        <w:snapToGrid w:val="0"/>
        <w:spacing w:beforeLines="0" w:afterLines="0" w:line="360" w:lineRule="auto"/>
        <w:ind w:firstLine="481" w:firstLineChars="200"/>
        <w:rPr>
          <w:rFonts w:hAnsi="宋体"/>
          <w:b/>
          <w:bCs/>
        </w:rPr>
      </w:pPr>
      <w:r>
        <w:rPr>
          <w:rFonts w:hint="eastAsia" w:hAnsi="宋体"/>
          <w:b/>
          <w:bCs/>
        </w:rPr>
        <w:t>同时出现两种以上不一致的，按照前款规定的顺序修正。</w:t>
      </w:r>
    </w:p>
    <w:p>
      <w:pPr>
        <w:pStyle w:val="20"/>
        <w:adjustRightInd w:val="0"/>
        <w:snapToGrid w:val="0"/>
        <w:spacing w:beforeLines="0" w:afterLines="0" w:line="360" w:lineRule="auto"/>
        <w:ind w:firstLine="481" w:firstLineChars="200"/>
        <w:rPr>
          <w:rFonts w:hAnsi="宋体"/>
          <w:b/>
          <w:bCs/>
        </w:rPr>
      </w:pPr>
      <w:r>
        <w:rPr>
          <w:rFonts w:hAnsi="宋体"/>
          <w:b/>
          <w:bCs/>
        </w:rPr>
        <w:t>按上述修正错误的原则及方法调整或修正投标文件的投标报价，投标人同意</w:t>
      </w:r>
      <w:r>
        <w:rPr>
          <w:rFonts w:hint="eastAsia" w:hAnsi="宋体"/>
          <w:b/>
          <w:bCs/>
        </w:rPr>
        <w:t>并签字确认</w:t>
      </w:r>
      <w:r>
        <w:rPr>
          <w:rFonts w:hAnsi="宋体"/>
          <w:b/>
          <w:bCs/>
        </w:rPr>
        <w:t>后，调整后的投标报价对投标人具有约束作用。如果投标人不接受修正后的报价，则其投标将</w:t>
      </w:r>
      <w:r>
        <w:rPr>
          <w:rFonts w:hint="eastAsia" w:hAnsi="宋体"/>
          <w:b/>
          <w:bCs/>
        </w:rPr>
        <w:t>作为无效投标处理</w:t>
      </w:r>
      <w:r>
        <w:rPr>
          <w:rFonts w:hAnsi="宋体"/>
          <w:b/>
          <w:bCs/>
        </w:rPr>
        <w:t>。</w:t>
      </w:r>
    </w:p>
    <w:p>
      <w:pPr>
        <w:adjustRightInd w:val="0"/>
        <w:snapToGrid w:val="0"/>
        <w:spacing w:line="360" w:lineRule="auto"/>
        <w:ind w:firstLine="472" w:firstLineChars="196"/>
        <w:jc w:val="left"/>
        <w:outlineLvl w:val="1"/>
        <w:rPr>
          <w:rFonts w:ascii="宋体" w:hAnsi="宋体"/>
          <w:b/>
          <w:sz w:val="24"/>
        </w:rPr>
      </w:pPr>
      <w:bookmarkStart w:id="81" w:name="_Toc38306979"/>
      <w:r>
        <w:rPr>
          <w:rFonts w:ascii="宋体" w:hAnsi="宋体"/>
          <w:b/>
          <w:sz w:val="24"/>
        </w:rPr>
        <w:t>（六）评标原则和评标办法</w:t>
      </w:r>
      <w:bookmarkEnd w:id="81"/>
    </w:p>
    <w:p>
      <w:pPr>
        <w:pStyle w:val="20"/>
        <w:adjustRightInd w:val="0"/>
        <w:snapToGrid w:val="0"/>
        <w:spacing w:beforeLines="0" w:afterLines="0" w:line="360" w:lineRule="auto"/>
        <w:ind w:firstLine="480" w:firstLineChars="200"/>
        <w:rPr>
          <w:rFonts w:hAnsi="宋体"/>
        </w:rPr>
      </w:pPr>
      <w:r>
        <w:rPr>
          <w:rFonts w:hAnsi="宋体"/>
        </w:rPr>
        <w:t>1</w:t>
      </w:r>
      <w:r>
        <w:rPr>
          <w:rFonts w:hint="eastAsia" w:hAnsi="宋体"/>
        </w:rPr>
        <w:t>.</w:t>
      </w:r>
      <w:r>
        <w:rPr>
          <w:rFonts w:hAnsi="宋体"/>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0"/>
        <w:adjustRightInd w:val="0"/>
        <w:snapToGrid w:val="0"/>
        <w:spacing w:beforeLines="0" w:afterLines="0" w:line="360" w:lineRule="auto"/>
        <w:ind w:firstLine="480" w:firstLineChars="200"/>
        <w:rPr>
          <w:rFonts w:hAnsi="宋体"/>
        </w:rPr>
      </w:pPr>
      <w:r>
        <w:rPr>
          <w:rFonts w:hAnsi="宋体"/>
        </w:rPr>
        <w:t>2</w:t>
      </w:r>
      <w:r>
        <w:rPr>
          <w:rFonts w:hint="eastAsia" w:hAnsi="宋体"/>
        </w:rPr>
        <w:t>.</w:t>
      </w:r>
      <w:r>
        <w:rPr>
          <w:rFonts w:hAnsi="宋体"/>
        </w:rPr>
        <w:t>评标办法。本项目评标办法是</w:t>
      </w:r>
      <w:r>
        <w:rPr>
          <w:rFonts w:hint="eastAsia" w:hAnsi="宋体"/>
          <w:u w:val="single"/>
        </w:rPr>
        <w:t xml:space="preserve"> 综合评标法</w:t>
      </w:r>
      <w:r>
        <w:rPr>
          <w:rFonts w:hAnsi="宋体"/>
          <w:u w:val="single"/>
        </w:rPr>
        <w:t xml:space="preserve"> </w:t>
      </w:r>
      <w:r>
        <w:rPr>
          <w:rFonts w:hAnsi="宋体"/>
        </w:rPr>
        <w:t>，具体评标内容及评分标准等详见《第四章：评标办法及评分标准》。</w:t>
      </w:r>
    </w:p>
    <w:p>
      <w:pPr>
        <w:pStyle w:val="20"/>
        <w:adjustRightInd w:val="0"/>
        <w:snapToGrid w:val="0"/>
        <w:spacing w:beforeLines="0" w:afterLines="0" w:line="360" w:lineRule="auto"/>
        <w:ind w:firstLine="480" w:firstLineChars="200"/>
        <w:rPr>
          <w:rFonts w:hAnsi="宋体"/>
        </w:rPr>
      </w:pPr>
    </w:p>
    <w:p>
      <w:pPr>
        <w:pStyle w:val="20"/>
        <w:adjustRightInd w:val="0"/>
        <w:snapToGrid w:val="0"/>
        <w:spacing w:beforeLines="0" w:afterLines="0" w:line="360" w:lineRule="auto"/>
        <w:ind w:firstLine="472" w:firstLineChars="196"/>
        <w:jc w:val="center"/>
        <w:outlineLvl w:val="1"/>
        <w:rPr>
          <w:rFonts w:hAnsi="宋体"/>
          <w:b/>
        </w:rPr>
      </w:pPr>
      <w:bookmarkStart w:id="82" w:name="_Toc38306980"/>
      <w:r>
        <w:rPr>
          <w:rFonts w:hint="eastAsia" w:hAnsi="宋体"/>
          <w:b/>
        </w:rPr>
        <w:t>六、定标</w:t>
      </w:r>
      <w:bookmarkEnd w:id="82"/>
    </w:p>
    <w:p>
      <w:pPr>
        <w:adjustRightInd w:val="0"/>
        <w:snapToGrid w:val="0"/>
        <w:spacing w:line="360" w:lineRule="auto"/>
        <w:ind w:firstLine="472" w:firstLineChars="196"/>
        <w:jc w:val="left"/>
        <w:outlineLvl w:val="1"/>
        <w:rPr>
          <w:rFonts w:ascii="宋体" w:hAnsi="宋体"/>
          <w:b/>
          <w:sz w:val="24"/>
        </w:rPr>
      </w:pPr>
      <w:bookmarkStart w:id="83" w:name="_Toc38306981"/>
      <w:r>
        <w:rPr>
          <w:rFonts w:hint="eastAsia" w:ascii="宋体" w:hAnsi="宋体"/>
          <w:b/>
          <w:sz w:val="24"/>
        </w:rPr>
        <w:t>（一）确定中标供应商</w:t>
      </w:r>
      <w:bookmarkEnd w:id="83"/>
    </w:p>
    <w:p>
      <w:pPr>
        <w:numPr>
          <w:ilvl w:val="0"/>
          <w:numId w:val="22"/>
        </w:numPr>
        <w:adjustRightInd w:val="0"/>
        <w:snapToGrid w:val="0"/>
        <w:spacing w:line="360" w:lineRule="auto"/>
        <w:ind w:left="0" w:firstLine="420"/>
        <w:rPr>
          <w:rFonts w:ascii="宋体" w:hAnsi="宋体"/>
          <w:sz w:val="24"/>
        </w:rPr>
      </w:pPr>
      <w:r>
        <w:rPr>
          <w:rFonts w:hint="eastAsia" w:ascii="宋体" w:hAnsi="宋体"/>
          <w:sz w:val="24"/>
        </w:rPr>
        <w:t>评标结束后</w:t>
      </w:r>
      <w:r>
        <w:rPr>
          <w:rFonts w:ascii="宋体" w:hAnsi="宋体"/>
          <w:sz w:val="24"/>
        </w:rPr>
        <w:t>2个工作日</w:t>
      </w:r>
      <w:r>
        <w:rPr>
          <w:rFonts w:hint="eastAsia" w:ascii="宋体" w:hAnsi="宋体"/>
          <w:sz w:val="24"/>
        </w:rPr>
        <w:t>内，评标结果在嘉善县公共资源交易中心（http://js.jxzbtb.cn) 公示3个工作日。</w:t>
      </w:r>
    </w:p>
    <w:p>
      <w:pPr>
        <w:numPr>
          <w:ilvl w:val="0"/>
          <w:numId w:val="22"/>
        </w:numPr>
        <w:adjustRightInd w:val="0"/>
        <w:snapToGrid w:val="0"/>
        <w:spacing w:line="360" w:lineRule="auto"/>
        <w:ind w:left="0" w:firstLine="420"/>
        <w:rPr>
          <w:rFonts w:ascii="宋体" w:hAnsi="宋体"/>
          <w:sz w:val="24"/>
        </w:rPr>
      </w:pPr>
      <w:r>
        <w:rPr>
          <w:rFonts w:hint="eastAsia" w:ascii="宋体" w:hAnsi="宋体"/>
          <w:sz w:val="24"/>
        </w:rPr>
        <w:t>公示结束且采购人依法确定中标供应商后2</w:t>
      </w:r>
      <w:r>
        <w:rPr>
          <w:rFonts w:ascii="宋体" w:hAnsi="宋体"/>
          <w:sz w:val="24"/>
        </w:rPr>
        <w:t>个工作日内，采购代理机构以书面形式发出《中标通知书》,并同时在</w:t>
      </w:r>
      <w:r>
        <w:rPr>
          <w:rFonts w:hint="eastAsia" w:ascii="宋体" w:hAnsi="宋体"/>
          <w:sz w:val="24"/>
        </w:rPr>
        <w:t>嘉善县公共资源交易中心（http://js.jxzbtb.cn)</w:t>
      </w:r>
      <w:r>
        <w:rPr>
          <w:rFonts w:ascii="宋体" w:hAnsi="宋体"/>
          <w:sz w:val="24"/>
        </w:rPr>
        <w:t>上发布中标公告</w:t>
      </w:r>
      <w:r>
        <w:rPr>
          <w:rFonts w:hint="eastAsia" w:ascii="宋体" w:hAnsi="宋体"/>
          <w:sz w:val="24"/>
        </w:rPr>
        <w:t>。</w:t>
      </w:r>
    </w:p>
    <w:p>
      <w:pPr>
        <w:adjustRightInd w:val="0"/>
        <w:snapToGrid w:val="0"/>
        <w:spacing w:line="360" w:lineRule="auto"/>
        <w:ind w:firstLine="480" w:firstLineChars="200"/>
        <w:rPr>
          <w:rFonts w:ascii="宋体" w:hAnsi="宋体"/>
          <w:sz w:val="24"/>
        </w:rPr>
      </w:pPr>
    </w:p>
    <w:p>
      <w:pPr>
        <w:pStyle w:val="20"/>
        <w:adjustRightInd w:val="0"/>
        <w:snapToGrid w:val="0"/>
        <w:spacing w:beforeLines="0" w:afterLines="0" w:line="360" w:lineRule="auto"/>
        <w:ind w:firstLine="472" w:firstLineChars="196"/>
        <w:jc w:val="center"/>
        <w:outlineLvl w:val="1"/>
        <w:rPr>
          <w:rFonts w:hAnsi="宋体"/>
          <w:b/>
        </w:rPr>
      </w:pPr>
      <w:bookmarkStart w:id="84" w:name="_Toc38306982"/>
      <w:r>
        <w:rPr>
          <w:rFonts w:hint="eastAsia" w:hAnsi="宋体"/>
          <w:b/>
        </w:rPr>
        <w:t>七、合同授予</w:t>
      </w:r>
      <w:bookmarkEnd w:id="84"/>
    </w:p>
    <w:p>
      <w:pPr>
        <w:adjustRightInd w:val="0"/>
        <w:snapToGrid w:val="0"/>
        <w:spacing w:line="360" w:lineRule="auto"/>
        <w:ind w:firstLine="472" w:firstLineChars="196"/>
        <w:jc w:val="left"/>
        <w:outlineLvl w:val="1"/>
        <w:rPr>
          <w:rFonts w:ascii="宋体" w:hAnsi="宋体"/>
          <w:b/>
          <w:sz w:val="24"/>
        </w:rPr>
      </w:pPr>
      <w:bookmarkStart w:id="85" w:name="_Toc38306983"/>
      <w:r>
        <w:rPr>
          <w:rFonts w:hint="eastAsia" w:ascii="宋体" w:hAnsi="宋体"/>
          <w:b/>
          <w:sz w:val="24"/>
        </w:rPr>
        <w:t>（一）签订合同</w:t>
      </w:r>
      <w:bookmarkEnd w:id="85"/>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.采购人与</w:t>
      </w:r>
      <w:r>
        <w:rPr>
          <w:rFonts w:ascii="宋体" w:hAnsi="宋体"/>
          <w:sz w:val="24"/>
        </w:rPr>
        <w:t>中标供应商应</w:t>
      </w:r>
      <w:r>
        <w:rPr>
          <w:rFonts w:hint="eastAsia" w:ascii="宋体" w:hAnsi="宋体"/>
          <w:sz w:val="24"/>
        </w:rPr>
        <w:t>当在《</w:t>
      </w:r>
      <w:r>
        <w:rPr>
          <w:rFonts w:ascii="宋体" w:hAnsi="宋体"/>
          <w:sz w:val="24"/>
        </w:rPr>
        <w:t>中标通知书</w:t>
      </w:r>
      <w:r>
        <w:rPr>
          <w:rFonts w:hint="eastAsia" w:ascii="宋体" w:hAnsi="宋体"/>
          <w:sz w:val="24"/>
        </w:rPr>
        <w:t>》发出之日起30日内签订采购合同。同时，招标代理机构对合同内容进行审查，如发现与采购结果和投标承诺内容不一致的，将予以纠正。</w:t>
      </w:r>
    </w:p>
    <w:p>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中标供应商拖延、拒签合同的,将被扣罚投标保证金并取消中标资格。</w:t>
      </w:r>
    </w:p>
    <w:p>
      <w:pPr>
        <w:adjustRightInd w:val="0"/>
        <w:snapToGrid w:val="0"/>
        <w:spacing w:line="360" w:lineRule="auto"/>
        <w:ind w:firstLine="472" w:firstLineChars="196"/>
        <w:jc w:val="left"/>
        <w:outlineLvl w:val="1"/>
        <w:rPr>
          <w:rFonts w:ascii="宋体" w:hAnsi="宋体"/>
          <w:b/>
          <w:sz w:val="24"/>
        </w:rPr>
      </w:pPr>
      <w:bookmarkStart w:id="86" w:name="_Toc38306984"/>
      <w:r>
        <w:rPr>
          <w:rFonts w:ascii="宋体" w:hAnsi="宋体"/>
          <w:b/>
          <w:sz w:val="24"/>
        </w:rPr>
        <w:t>（二）履约保证金</w:t>
      </w:r>
      <w:bookmarkEnd w:id="86"/>
    </w:p>
    <w:p>
      <w:pPr>
        <w:pStyle w:val="20"/>
        <w:adjustRightInd w:val="0"/>
        <w:snapToGrid w:val="0"/>
        <w:spacing w:beforeLines="0" w:afterLines="0" w:line="360" w:lineRule="auto"/>
        <w:ind w:firstLine="480" w:firstLineChars="200"/>
        <w:rPr>
          <w:rFonts w:hAnsi="宋体"/>
        </w:rPr>
      </w:pPr>
      <w:r>
        <w:rPr>
          <w:rFonts w:hAnsi="宋体"/>
        </w:rPr>
        <w:t>1</w:t>
      </w:r>
      <w:r>
        <w:rPr>
          <w:rFonts w:hint="eastAsia" w:hAnsi="宋体"/>
        </w:rPr>
        <w:t>.</w:t>
      </w:r>
      <w:r>
        <w:rPr>
          <w:rFonts w:hAnsi="宋体"/>
        </w:rPr>
        <w:t>签订合同前，中标供应商应按招标代理机构根据招标文件确定的履约保证金的金额，向采购</w:t>
      </w:r>
      <w:r>
        <w:rPr>
          <w:rFonts w:hint="eastAsia" w:hAnsi="宋体"/>
        </w:rPr>
        <w:t>人</w:t>
      </w:r>
      <w:r>
        <w:rPr>
          <w:rFonts w:hAnsi="宋体"/>
        </w:rPr>
        <w:t>交纳履约保证金。</w:t>
      </w:r>
    </w:p>
    <w:p>
      <w:pPr>
        <w:pStyle w:val="20"/>
        <w:adjustRightInd w:val="0"/>
        <w:snapToGrid w:val="0"/>
        <w:spacing w:beforeLines="0" w:afterLines="0" w:line="360" w:lineRule="auto"/>
        <w:ind w:firstLine="480" w:firstLineChars="200"/>
        <w:rPr>
          <w:rFonts w:hAnsi="宋体"/>
        </w:rPr>
      </w:pPr>
      <w:r>
        <w:rPr>
          <w:rFonts w:hAnsi="宋体"/>
        </w:rPr>
        <w:t>2</w:t>
      </w:r>
      <w:r>
        <w:rPr>
          <w:rFonts w:hint="eastAsia" w:hAnsi="宋体"/>
        </w:rPr>
        <w:t>.</w:t>
      </w:r>
      <w:r>
        <w:rPr>
          <w:rFonts w:hAnsi="宋体"/>
        </w:rPr>
        <w:t>签订合同后，如中标供应商不按双方合同约定履约，则没收其全部履约保证金，履约保证金不足以赔偿损失的，按实际损失赔偿。</w:t>
      </w:r>
    </w:p>
    <w:p>
      <w:pPr>
        <w:pStyle w:val="20"/>
        <w:adjustRightInd w:val="0"/>
        <w:snapToGrid w:val="0"/>
        <w:spacing w:beforeLines="0" w:afterLines="0" w:line="360" w:lineRule="auto"/>
        <w:ind w:firstLine="480" w:firstLineChars="200"/>
      </w:pPr>
      <w:r>
        <w:t>3</w:t>
      </w:r>
      <w:r>
        <w:rPr>
          <w:rFonts w:hint="eastAsia"/>
        </w:rPr>
        <w:t>.</w:t>
      </w:r>
      <w:r>
        <w:t>履约保证金</w:t>
      </w:r>
      <w:r>
        <w:rPr>
          <w:rFonts w:hint="eastAsia" w:hAnsi="宋体"/>
        </w:rPr>
        <w:t>待合同履约完毕后</w:t>
      </w:r>
      <w:r>
        <w:rPr>
          <w:rFonts w:hAnsi="宋体"/>
        </w:rPr>
        <w:t>无息退还。</w:t>
      </w:r>
    </w:p>
    <w:p>
      <w:pPr>
        <w:widowControl/>
        <w:jc w:val="left"/>
        <w:rPr>
          <w:b/>
          <w:bCs/>
          <w:kern w:val="44"/>
          <w:sz w:val="32"/>
          <w:szCs w:val="44"/>
        </w:rPr>
      </w:pPr>
      <w:r>
        <w:br w:type="page"/>
      </w:r>
    </w:p>
    <w:p>
      <w:pPr>
        <w:pStyle w:val="2"/>
        <w:spacing w:before="0" w:after="0" w:line="360" w:lineRule="auto"/>
      </w:pPr>
      <w:bookmarkStart w:id="87" w:name="_Toc38306985"/>
      <w:r>
        <w:rPr>
          <w:rFonts w:hint="eastAsia"/>
        </w:rPr>
        <w:t>第三章  招标需求</w:t>
      </w:r>
      <w:bookmarkEnd w:id="7"/>
      <w:bookmarkEnd w:id="87"/>
    </w:p>
    <w:p>
      <w:pPr>
        <w:pStyle w:val="72"/>
        <w:numPr>
          <w:ilvl w:val="1"/>
          <w:numId w:val="23"/>
        </w:numPr>
        <w:ind w:left="0" w:firstLine="0" w:firstLineChars="0"/>
        <w:outlineLvl w:val="1"/>
        <w:rPr>
          <w:rFonts w:ascii="宋体" w:hAnsi="宋体" w:cs="仿宋"/>
          <w:b/>
          <w:sz w:val="28"/>
          <w:szCs w:val="28"/>
        </w:rPr>
      </w:pPr>
      <w:bookmarkStart w:id="88" w:name="_Toc38306986"/>
      <w:r>
        <w:rPr>
          <w:rFonts w:hint="eastAsia" w:ascii="宋体" w:hAnsi="宋体" w:cs="仿宋"/>
          <w:b/>
          <w:sz w:val="28"/>
          <w:szCs w:val="28"/>
        </w:rPr>
        <w:t>项目概况</w:t>
      </w:r>
      <w:bookmarkEnd w:id="88"/>
    </w:p>
    <w:p>
      <w:pPr>
        <w:pStyle w:val="72"/>
        <w:numPr>
          <w:ilvl w:val="1"/>
          <w:numId w:val="24"/>
        </w:numPr>
        <w:adjustRightInd w:val="0"/>
        <w:snapToGrid w:val="0"/>
        <w:ind w:left="0" w:firstLine="357" w:firstLineChars="0"/>
        <w:rPr>
          <w:rFonts w:ascii="宋体" w:hAnsi="宋体"/>
        </w:rPr>
      </w:pPr>
      <w:r>
        <w:rPr>
          <w:rFonts w:hint="eastAsia" w:ascii="宋体" w:hAnsi="宋体"/>
        </w:rPr>
        <w:t>项目名称：天凝镇全域公共服务管理及镇区保洁服务项目</w:t>
      </w:r>
    </w:p>
    <w:p>
      <w:pPr>
        <w:pStyle w:val="72"/>
        <w:numPr>
          <w:ilvl w:val="1"/>
          <w:numId w:val="24"/>
        </w:numPr>
        <w:adjustRightInd w:val="0"/>
        <w:snapToGrid w:val="0"/>
        <w:ind w:left="0" w:firstLine="357" w:firstLineChars="0"/>
        <w:rPr>
          <w:rFonts w:ascii="宋体" w:hAnsi="宋体"/>
        </w:rPr>
      </w:pPr>
      <w:r>
        <w:rPr>
          <w:rFonts w:hint="eastAsia" w:ascii="宋体" w:hAnsi="宋体"/>
        </w:rPr>
        <w:t>项目编号：2020（888）</w:t>
      </w:r>
    </w:p>
    <w:p>
      <w:pPr>
        <w:pStyle w:val="72"/>
        <w:numPr>
          <w:ilvl w:val="1"/>
          <w:numId w:val="24"/>
        </w:numPr>
        <w:adjustRightInd w:val="0"/>
        <w:snapToGrid w:val="0"/>
        <w:ind w:left="0" w:firstLine="357" w:firstLineChars="0"/>
        <w:rPr>
          <w:rFonts w:ascii="宋体" w:hAnsi="宋体"/>
        </w:rPr>
      </w:pPr>
      <w:r>
        <w:rPr>
          <w:rFonts w:hint="eastAsia" w:ascii="宋体" w:hAnsi="宋体"/>
        </w:rPr>
        <w:t>采购内容：</w:t>
      </w:r>
      <w:r>
        <w:rPr>
          <w:rFonts w:hint="eastAsia" w:ascii="宋体" w:hAnsi="宋体"/>
          <w:szCs w:val="24"/>
        </w:rPr>
        <w:t>全域公共服务管理、集镇和工业园区保洁服务、中转站（资源化处理站）运作服务。</w:t>
      </w:r>
    </w:p>
    <w:p>
      <w:pPr>
        <w:pStyle w:val="72"/>
        <w:numPr>
          <w:ilvl w:val="1"/>
          <w:numId w:val="24"/>
        </w:numPr>
        <w:adjustRightInd w:val="0"/>
        <w:snapToGrid w:val="0"/>
        <w:ind w:left="0" w:firstLine="357" w:firstLineChars="0"/>
        <w:rPr>
          <w:rFonts w:ascii="宋体" w:hAnsi="宋体"/>
        </w:rPr>
      </w:pPr>
      <w:r>
        <w:rPr>
          <w:rFonts w:hint="eastAsia" w:ascii="宋体" w:hAnsi="宋体"/>
        </w:rPr>
        <w:t>服务期：二年（自2020年6月1日至2022年5月31日），</w:t>
      </w:r>
      <w:r>
        <w:rPr>
          <w:rFonts w:hint="eastAsia" w:ascii="宋体" w:hAnsi="宋体" w:cs="Arial"/>
          <w:kern w:val="0"/>
        </w:rPr>
        <w:t>如中标供应商履约情况良好，可由采购人提出并经采购人与中标供应商协商一致同意可续签二年合同。</w:t>
      </w:r>
    </w:p>
    <w:p>
      <w:pPr>
        <w:pStyle w:val="72"/>
        <w:numPr>
          <w:ilvl w:val="1"/>
          <w:numId w:val="24"/>
        </w:numPr>
        <w:adjustRightInd w:val="0"/>
        <w:snapToGrid w:val="0"/>
        <w:ind w:left="0" w:firstLine="357" w:firstLineChars="0"/>
        <w:rPr>
          <w:rFonts w:ascii="宋体" w:hAnsi="宋体"/>
        </w:rPr>
      </w:pPr>
      <w:r>
        <w:rPr>
          <w:rFonts w:hint="eastAsia" w:ascii="宋体" w:hAnsi="宋体" w:cs="Arial"/>
          <w:kern w:val="0"/>
        </w:rPr>
        <w:t>预算金额：2504万元</w:t>
      </w:r>
    </w:p>
    <w:p>
      <w:pPr>
        <w:pStyle w:val="72"/>
        <w:numPr>
          <w:ilvl w:val="1"/>
          <w:numId w:val="23"/>
        </w:numPr>
        <w:ind w:left="0" w:firstLine="0" w:firstLineChars="0"/>
        <w:outlineLvl w:val="1"/>
        <w:rPr>
          <w:rFonts w:ascii="宋体" w:hAnsi="宋体" w:cs="仿宋"/>
          <w:b/>
          <w:sz w:val="28"/>
          <w:szCs w:val="28"/>
        </w:rPr>
      </w:pPr>
      <w:bookmarkStart w:id="89" w:name="_Toc38306987"/>
      <w:r>
        <w:rPr>
          <w:rFonts w:hint="eastAsia" w:ascii="宋体" w:hAnsi="宋体" w:cs="仿宋"/>
          <w:b/>
          <w:sz w:val="28"/>
          <w:szCs w:val="28"/>
        </w:rPr>
        <w:t>承包方式</w:t>
      </w:r>
      <w:bookmarkEnd w:id="89"/>
    </w:p>
    <w:p>
      <w:pPr>
        <w:spacing w:line="360" w:lineRule="auto"/>
        <w:ind w:left="-141" w:leftChars="-67" w:firstLine="621" w:firstLineChars="259"/>
        <w:rPr>
          <w:rFonts w:ascii="宋体" w:hAnsi="宋体"/>
          <w:sz w:val="24"/>
        </w:rPr>
      </w:pPr>
      <w:r>
        <w:rPr>
          <w:rFonts w:hint="eastAsia" w:ascii="宋体" w:hAnsi="宋体"/>
          <w:sz w:val="24"/>
        </w:rPr>
        <w:t>本项目由中标供应商以包工、包料、包质量、包安全、包文明施工的方式实施项目总承包。</w:t>
      </w:r>
    </w:p>
    <w:p>
      <w:pPr>
        <w:pStyle w:val="72"/>
        <w:numPr>
          <w:ilvl w:val="1"/>
          <w:numId w:val="23"/>
        </w:numPr>
        <w:ind w:left="0" w:firstLine="0" w:firstLineChars="0"/>
        <w:outlineLvl w:val="1"/>
        <w:rPr>
          <w:rFonts w:ascii="宋体" w:hAnsi="宋体" w:cs="仿宋"/>
          <w:b/>
          <w:sz w:val="28"/>
          <w:szCs w:val="28"/>
        </w:rPr>
      </w:pPr>
      <w:bookmarkStart w:id="90" w:name="_Toc38306988"/>
      <w:r>
        <w:rPr>
          <w:rFonts w:hint="eastAsia" w:ascii="宋体" w:hAnsi="宋体" w:cs="仿宋"/>
          <w:b/>
          <w:sz w:val="28"/>
          <w:szCs w:val="28"/>
        </w:rPr>
        <w:t>项目要求</w:t>
      </w:r>
      <w:bookmarkEnd w:id="90"/>
    </w:p>
    <w:p>
      <w:pPr>
        <w:pStyle w:val="72"/>
        <w:numPr>
          <w:ilvl w:val="0"/>
          <w:numId w:val="25"/>
        </w:numPr>
        <w:adjustRightInd w:val="0"/>
        <w:snapToGrid w:val="0"/>
        <w:ind w:left="0" w:firstLine="0" w:firstLineChars="0"/>
        <w:outlineLvl w:val="2"/>
        <w:rPr>
          <w:b/>
        </w:rPr>
      </w:pPr>
      <w:bookmarkStart w:id="91" w:name="_Toc38306989"/>
      <w:r>
        <w:rPr>
          <w:rFonts w:hint="eastAsia"/>
          <w:b/>
        </w:rPr>
        <w:t>全域公共服务管理</w:t>
      </w:r>
      <w:bookmarkEnd w:id="91"/>
    </w:p>
    <w:p>
      <w:pPr>
        <w:pStyle w:val="72"/>
        <w:widowControl/>
        <w:numPr>
          <w:ilvl w:val="1"/>
          <w:numId w:val="26"/>
        </w:numPr>
        <w:adjustRightInd w:val="0"/>
        <w:snapToGrid w:val="0"/>
        <w:ind w:left="0" w:firstLine="420" w:firstLineChars="0"/>
        <w:jc w:val="left"/>
        <w:outlineLvl w:val="2"/>
        <w:rPr>
          <w:rFonts w:ascii="宋体" w:hAnsi="宋体" w:cs="仿宋"/>
          <w:b/>
        </w:rPr>
      </w:pPr>
      <w:bookmarkStart w:id="92" w:name="_Toc513560123"/>
      <w:bookmarkStart w:id="93" w:name="_Toc513714106"/>
      <w:bookmarkStart w:id="94" w:name="_Toc38034279"/>
      <w:bookmarkStart w:id="95" w:name="_Toc38306990"/>
      <w:bookmarkStart w:id="96" w:name="_Toc513560122"/>
      <w:bookmarkStart w:id="97" w:name="_Toc513714105"/>
      <w:r>
        <w:rPr>
          <w:rFonts w:hint="eastAsia" w:ascii="宋体" w:hAnsi="宋体" w:cs="仿宋"/>
          <w:b/>
        </w:rPr>
        <w:t>工作范围</w:t>
      </w:r>
      <w:bookmarkEnd w:id="92"/>
      <w:bookmarkEnd w:id="93"/>
      <w:bookmarkEnd w:id="94"/>
      <w:bookmarkEnd w:id="95"/>
    </w:p>
    <w:p>
      <w:pPr>
        <w:spacing w:line="360" w:lineRule="auto"/>
        <w:ind w:firstLine="600" w:firstLineChars="250"/>
        <w:rPr>
          <w:rFonts w:ascii="宋体" w:hAnsi="宋体"/>
          <w:sz w:val="24"/>
        </w:rPr>
      </w:pPr>
      <w:r>
        <w:rPr>
          <w:rFonts w:ascii="Arial" w:hAnsi="Arial" w:cs="Arial"/>
          <w:color w:val="FF0000"/>
          <w:sz w:val="24"/>
        </w:rPr>
        <w:t>天凝镇总面积</w:t>
      </w:r>
      <w:r>
        <w:rPr>
          <w:rFonts w:hint="eastAsia" w:ascii="Arial" w:hAnsi="Arial" w:cs="Arial"/>
          <w:color w:val="FF0000"/>
          <w:sz w:val="24"/>
        </w:rPr>
        <w:t>75.6平方公里</w:t>
      </w:r>
      <w:r>
        <w:rPr>
          <w:rFonts w:hint="eastAsia" w:ascii="Arial" w:hAnsi="Arial" w:cs="Arial"/>
          <w:color w:val="333333"/>
          <w:sz w:val="24"/>
        </w:rPr>
        <w:t>,</w:t>
      </w:r>
      <w:r>
        <w:rPr>
          <w:rFonts w:hint="eastAsia" w:ascii="宋体" w:hAnsi="宋体"/>
          <w:sz w:val="24"/>
        </w:rPr>
        <w:t>本项目按社区分为三个片区实行网格化管理，三个片区分别是天凝片区（含天凝社区及南星村、戴西港村、凝北村、蒋村村、东顺村、东方红村、凝南村、天凝村8个行政村）；洪溪片区（含洪溪社区及洪南村、洪福村、镇东村、三发村、洪溪村、马塔塘村、联谊村等7个行政村）；杨庙片区（含杨庙社区及光明村、新联村、欣杨村、宏杨村、三店村、翁村村、麟溪村7个行政村）。</w:t>
      </w:r>
    </w:p>
    <w:p>
      <w:pPr>
        <w:pStyle w:val="72"/>
        <w:widowControl/>
        <w:numPr>
          <w:ilvl w:val="1"/>
          <w:numId w:val="26"/>
        </w:numPr>
        <w:adjustRightInd w:val="0"/>
        <w:snapToGrid w:val="0"/>
        <w:ind w:left="0" w:firstLine="420" w:firstLineChars="0"/>
        <w:jc w:val="left"/>
        <w:outlineLvl w:val="2"/>
        <w:rPr>
          <w:rFonts w:ascii="宋体" w:hAnsi="宋体" w:cs="仿宋"/>
          <w:b/>
        </w:rPr>
      </w:pPr>
      <w:bookmarkStart w:id="98" w:name="_Toc38034280"/>
      <w:bookmarkStart w:id="99" w:name="_Toc38306991"/>
      <w:r>
        <w:rPr>
          <w:rFonts w:hint="eastAsia" w:ascii="宋体" w:hAnsi="宋体" w:cs="仿宋"/>
          <w:b/>
        </w:rPr>
        <w:t>工作内容</w:t>
      </w:r>
      <w:bookmarkEnd w:id="96"/>
      <w:bookmarkEnd w:id="97"/>
      <w:bookmarkEnd w:id="98"/>
      <w:bookmarkEnd w:id="99"/>
    </w:p>
    <w:p>
      <w:pPr>
        <w:widowControl/>
        <w:adjustRightInd w:val="0"/>
        <w:snapToGrid w:val="0"/>
        <w:spacing w:line="360" w:lineRule="auto"/>
        <w:ind w:firstLine="480" w:firstLineChars="200"/>
        <w:jc w:val="left"/>
        <w:rPr>
          <w:rFonts w:ascii="宋体" w:hAnsi="宋体"/>
          <w:sz w:val="24"/>
        </w:rPr>
      </w:pPr>
      <w:r>
        <w:rPr>
          <w:rFonts w:hint="eastAsia"/>
          <w:sz w:val="24"/>
        </w:rPr>
        <w:t>对天凝镇</w:t>
      </w:r>
      <w:r>
        <w:rPr>
          <w:sz w:val="24"/>
        </w:rPr>
        <w:t>22个行政村，3个社区</w:t>
      </w:r>
      <w:r>
        <w:rPr>
          <w:rFonts w:hint="eastAsia"/>
          <w:sz w:val="24"/>
        </w:rPr>
        <w:t>市容市貌辅助</w:t>
      </w:r>
      <w:r>
        <w:rPr>
          <w:sz w:val="24"/>
        </w:rPr>
        <w:t>管理</w:t>
      </w:r>
      <w:r>
        <w:rPr>
          <w:rFonts w:hint="eastAsia"/>
          <w:sz w:val="24"/>
        </w:rPr>
        <w:t>、</w:t>
      </w:r>
      <w:r>
        <w:rPr>
          <w:sz w:val="24"/>
        </w:rPr>
        <w:t>保洁</w:t>
      </w:r>
      <w:r>
        <w:rPr>
          <w:rFonts w:hint="eastAsia"/>
          <w:sz w:val="24"/>
        </w:rPr>
        <w:t>（四位一体人居环境整治）监管、垃圾分类工作督查、安全和治安辅助管理、工业区安全的监管、天凝镇政府的物业管理、其他日常管理以及配合政府其他综合治理辅助管理。</w:t>
      </w:r>
    </w:p>
    <w:p>
      <w:pPr>
        <w:pStyle w:val="72"/>
        <w:numPr>
          <w:ilvl w:val="0"/>
          <w:numId w:val="27"/>
        </w:numPr>
        <w:tabs>
          <w:tab w:val="left" w:pos="397"/>
          <w:tab w:val="left" w:pos="539"/>
        </w:tabs>
        <w:adjustRightInd w:val="0"/>
        <w:snapToGrid w:val="0"/>
        <w:ind w:firstLineChars="0"/>
        <w:outlineLvl w:val="3"/>
        <w:rPr>
          <w:rFonts w:ascii="宋体" w:hAnsi="宋体"/>
          <w:b/>
        </w:rPr>
      </w:pPr>
      <w:bookmarkStart w:id="100" w:name="_Toc483311329"/>
      <w:r>
        <w:rPr>
          <w:rFonts w:hint="eastAsia" w:ascii="宋体" w:hAnsi="宋体"/>
          <w:b/>
        </w:rPr>
        <w:t>市容市貌辅助</w:t>
      </w:r>
      <w:r>
        <w:rPr>
          <w:rFonts w:ascii="宋体" w:hAnsi="宋体"/>
          <w:b/>
        </w:rPr>
        <w:t>管理</w:t>
      </w:r>
      <w:bookmarkEnd w:id="100"/>
    </w:p>
    <w:p>
      <w:pPr>
        <w:pStyle w:val="187"/>
        <w:numPr>
          <w:ilvl w:val="0"/>
          <w:numId w:val="28"/>
        </w:numPr>
        <w:tabs>
          <w:tab w:val="left" w:pos="397"/>
          <w:tab w:val="left" w:pos="539"/>
        </w:tabs>
        <w:adjustRightInd w:val="0"/>
        <w:snapToGrid w:val="0"/>
        <w:spacing w:line="360" w:lineRule="auto"/>
        <w:ind w:left="0" w:firstLine="482"/>
        <w:rPr>
          <w:rFonts w:ascii="宋体" w:hAnsi="宋体"/>
          <w:sz w:val="24"/>
        </w:rPr>
      </w:pPr>
      <w:r>
        <w:rPr>
          <w:rFonts w:ascii="宋体" w:hAnsi="宋体"/>
          <w:b/>
          <w:sz w:val="24"/>
        </w:rPr>
        <w:t>乱停车管理：</w:t>
      </w:r>
      <w:r>
        <w:rPr>
          <w:rFonts w:hint="eastAsia" w:ascii="宋体" w:hAnsi="宋体"/>
          <w:sz w:val="24"/>
        </w:rPr>
        <w:t>对路面非机动车停放秩序进行监管；</w:t>
      </w:r>
    </w:p>
    <w:p>
      <w:pPr>
        <w:pStyle w:val="187"/>
        <w:numPr>
          <w:ilvl w:val="0"/>
          <w:numId w:val="28"/>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sz w:val="24"/>
        </w:rPr>
        <w:t>店外</w:t>
      </w:r>
      <w:r>
        <w:rPr>
          <w:rFonts w:ascii="宋体" w:hAnsi="宋体"/>
          <w:b/>
          <w:sz w:val="24"/>
        </w:rPr>
        <w:t>设摊管理：</w:t>
      </w:r>
      <w:r>
        <w:rPr>
          <w:rFonts w:hint="eastAsia" w:ascii="宋体" w:hAnsi="宋体"/>
          <w:sz w:val="24"/>
        </w:rPr>
        <w:t>看到</w:t>
      </w:r>
      <w:r>
        <w:rPr>
          <w:rFonts w:ascii="宋体" w:hAnsi="宋体"/>
          <w:sz w:val="24"/>
        </w:rPr>
        <w:t>店外设摊及占道经营现象</w:t>
      </w:r>
      <w:r>
        <w:rPr>
          <w:rFonts w:hint="eastAsia" w:ascii="宋体" w:hAnsi="宋体"/>
          <w:sz w:val="24"/>
        </w:rPr>
        <w:t>及时处理；</w:t>
      </w:r>
    </w:p>
    <w:p>
      <w:pPr>
        <w:pStyle w:val="187"/>
        <w:numPr>
          <w:ilvl w:val="0"/>
          <w:numId w:val="28"/>
        </w:numPr>
        <w:tabs>
          <w:tab w:val="left" w:pos="397"/>
          <w:tab w:val="left" w:pos="539"/>
        </w:tabs>
        <w:adjustRightInd w:val="0"/>
        <w:snapToGrid w:val="0"/>
        <w:spacing w:line="360" w:lineRule="auto"/>
        <w:ind w:left="0" w:firstLine="482"/>
        <w:rPr>
          <w:rFonts w:ascii="宋体" w:hAnsi="宋体"/>
          <w:sz w:val="24"/>
        </w:rPr>
      </w:pPr>
      <w:r>
        <w:rPr>
          <w:rFonts w:ascii="宋体" w:hAnsi="宋体"/>
          <w:b/>
          <w:sz w:val="24"/>
        </w:rPr>
        <w:t>乱搭建管理：</w:t>
      </w:r>
      <w:r>
        <w:rPr>
          <w:rFonts w:ascii="宋体" w:hAnsi="宋体"/>
          <w:sz w:val="24"/>
        </w:rPr>
        <w:t>工作人员应对</w:t>
      </w:r>
      <w:r>
        <w:rPr>
          <w:rFonts w:hint="eastAsia" w:ascii="宋体" w:hAnsi="宋体"/>
          <w:sz w:val="24"/>
        </w:rPr>
        <w:t>天凝镇</w:t>
      </w:r>
      <w:r>
        <w:rPr>
          <w:rFonts w:ascii="宋体" w:hAnsi="宋体"/>
          <w:sz w:val="24"/>
        </w:rPr>
        <w:t>内新建、改造</w:t>
      </w:r>
      <w:r>
        <w:rPr>
          <w:rFonts w:hint="eastAsia" w:ascii="宋体" w:hAnsi="宋体"/>
          <w:sz w:val="24"/>
        </w:rPr>
        <w:t>等</w:t>
      </w:r>
      <w:r>
        <w:rPr>
          <w:rFonts w:ascii="宋体" w:hAnsi="宋体"/>
          <w:sz w:val="24"/>
        </w:rPr>
        <w:t>行为及时动态了解，</w:t>
      </w:r>
      <w:r>
        <w:rPr>
          <w:rFonts w:hint="eastAsia" w:ascii="宋体" w:hAnsi="宋体"/>
          <w:sz w:val="24"/>
        </w:rPr>
        <w:t>对属于违建的</w:t>
      </w:r>
      <w:r>
        <w:rPr>
          <w:rFonts w:ascii="宋体" w:hAnsi="宋体"/>
          <w:sz w:val="24"/>
        </w:rPr>
        <w:t>及</w:t>
      </w:r>
      <w:r>
        <w:rPr>
          <w:rFonts w:hint="eastAsia" w:ascii="宋体" w:hAnsi="宋体"/>
          <w:sz w:val="24"/>
        </w:rPr>
        <w:t>时制止</w:t>
      </w:r>
      <w:r>
        <w:rPr>
          <w:rFonts w:ascii="宋体" w:hAnsi="宋体"/>
          <w:sz w:val="24"/>
        </w:rPr>
        <w:t>并上报</w:t>
      </w:r>
      <w:r>
        <w:rPr>
          <w:rFonts w:hint="eastAsia" w:ascii="宋体" w:hAnsi="宋体"/>
          <w:sz w:val="24"/>
        </w:rPr>
        <w:t>；</w:t>
      </w:r>
    </w:p>
    <w:p>
      <w:pPr>
        <w:pStyle w:val="187"/>
        <w:numPr>
          <w:ilvl w:val="0"/>
          <w:numId w:val="28"/>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sz w:val="24"/>
        </w:rPr>
        <w:t>外立面管理：</w:t>
      </w:r>
      <w:r>
        <w:rPr>
          <w:rFonts w:hint="eastAsia" w:ascii="宋体" w:hAnsi="宋体"/>
          <w:sz w:val="24"/>
        </w:rPr>
        <w:t>对沿街建筑物、构筑物进行监管，发现影响市容的脏污、缺损及时督促清洗、清除和修复，保持外立面干净整洁；</w:t>
      </w:r>
    </w:p>
    <w:p>
      <w:pPr>
        <w:pStyle w:val="187"/>
        <w:numPr>
          <w:ilvl w:val="0"/>
          <w:numId w:val="28"/>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sz w:val="24"/>
        </w:rPr>
        <w:t>污水污物的管理：</w:t>
      </w:r>
      <w:r>
        <w:rPr>
          <w:rFonts w:hint="eastAsia" w:ascii="宋体" w:hAnsi="宋体"/>
          <w:sz w:val="24"/>
        </w:rPr>
        <w:t>监督商户以及住户所产生的污水不得随意排放、倾倒，残渣剩饭等不得倒入临街排水口，发现及时阻止并上报。</w:t>
      </w:r>
    </w:p>
    <w:p>
      <w:pPr>
        <w:pStyle w:val="72"/>
        <w:numPr>
          <w:ilvl w:val="0"/>
          <w:numId w:val="27"/>
        </w:numPr>
        <w:tabs>
          <w:tab w:val="left" w:pos="397"/>
          <w:tab w:val="left" w:pos="539"/>
        </w:tabs>
        <w:adjustRightInd w:val="0"/>
        <w:snapToGrid w:val="0"/>
        <w:ind w:left="0" w:firstLine="420" w:firstLineChars="0"/>
        <w:outlineLvl w:val="3"/>
        <w:rPr>
          <w:rFonts w:ascii="宋体" w:hAnsi="宋体"/>
          <w:b/>
        </w:rPr>
      </w:pPr>
      <w:bookmarkStart w:id="101" w:name="_Toc483311330"/>
      <w:r>
        <w:rPr>
          <w:rFonts w:ascii="宋体" w:hAnsi="宋体"/>
          <w:b/>
        </w:rPr>
        <w:t>保洁</w:t>
      </w:r>
      <w:r>
        <w:rPr>
          <w:rFonts w:hint="eastAsia" w:ascii="宋体" w:hAnsi="宋体"/>
          <w:b/>
        </w:rPr>
        <w:t>（四位一体人居环境整治）、垃圾分类工作监管（含社区及22个行政村）</w:t>
      </w:r>
      <w:bookmarkEnd w:id="101"/>
    </w:p>
    <w:p>
      <w:pPr>
        <w:pStyle w:val="187"/>
        <w:numPr>
          <w:ilvl w:val="0"/>
          <w:numId w:val="29"/>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sz w:val="24"/>
        </w:rPr>
        <w:t>集镇保洁（四位一体人居环境整治）监管：</w:t>
      </w:r>
      <w:r>
        <w:rPr>
          <w:rFonts w:hint="eastAsia" w:ascii="宋体" w:hAnsi="宋体"/>
          <w:sz w:val="24"/>
        </w:rPr>
        <w:t>监管天凝镇保洁工作开展情况，严格对照县四位一体考核标准进行监管检查，拍摄问题照片并及时反馈至各社区及镇爱卫办；</w:t>
      </w:r>
    </w:p>
    <w:p>
      <w:pPr>
        <w:pStyle w:val="187"/>
        <w:numPr>
          <w:ilvl w:val="0"/>
          <w:numId w:val="29"/>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sz w:val="24"/>
        </w:rPr>
        <w:t>行政村保洁（四位一体人居环境整治）监管：</w:t>
      </w:r>
      <w:r>
        <w:rPr>
          <w:rFonts w:hint="eastAsia" w:ascii="宋体" w:hAnsi="宋体"/>
          <w:sz w:val="24"/>
        </w:rPr>
        <w:t>监管天凝镇22个行政村四位一体长效保洁、人居环境整治全域秀美工作开展情况，严格按照县四位一体、全域秀美示范标准进行监管检查，拍摄问题照片并及时反馈至镇爱卫办；</w:t>
      </w:r>
    </w:p>
    <w:p>
      <w:pPr>
        <w:pStyle w:val="187"/>
        <w:numPr>
          <w:ilvl w:val="0"/>
          <w:numId w:val="29"/>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bCs/>
          <w:sz w:val="24"/>
        </w:rPr>
        <w:t>垃圾分类工作督查：</w:t>
      </w:r>
      <w:r>
        <w:rPr>
          <w:rFonts w:hint="eastAsia" w:ascii="宋体" w:hAnsi="宋体"/>
          <w:sz w:val="24"/>
        </w:rPr>
        <w:t>对集镇及农村垃圾分类收运、分类设施配备、分类准确率等进行监管检查，拍摄问题照片并及时反馈至各社区及镇爱卫办，每月2次进行农村垃圾分类准确率抽查（每次不少于20户）。</w:t>
      </w:r>
    </w:p>
    <w:p>
      <w:pPr>
        <w:pStyle w:val="187"/>
        <w:numPr>
          <w:ilvl w:val="0"/>
          <w:numId w:val="29"/>
        </w:numPr>
        <w:tabs>
          <w:tab w:val="left" w:pos="397"/>
          <w:tab w:val="left" w:pos="539"/>
        </w:tabs>
        <w:adjustRightInd w:val="0"/>
        <w:snapToGrid w:val="0"/>
        <w:spacing w:line="360" w:lineRule="auto"/>
        <w:ind w:left="0" w:firstLine="482"/>
        <w:rPr>
          <w:rFonts w:ascii="宋体" w:hAnsi="宋体"/>
          <w:b/>
          <w:sz w:val="24"/>
        </w:rPr>
      </w:pPr>
      <w:r>
        <w:rPr>
          <w:rFonts w:hint="eastAsia" w:ascii="宋体" w:hAnsi="宋体"/>
          <w:b/>
          <w:sz w:val="24"/>
        </w:rPr>
        <w:t>病媒生物监测工作的监管：</w:t>
      </w:r>
      <w:r>
        <w:rPr>
          <w:rFonts w:hint="eastAsia" w:ascii="宋体" w:hAnsi="宋体"/>
          <w:sz w:val="24"/>
        </w:rPr>
        <w:t>对已服务外包的病媒生物监测、防制公司的日常工作开展进行监管，并根据考核标准出具考核评分意见书；</w:t>
      </w:r>
    </w:p>
    <w:p>
      <w:pPr>
        <w:pStyle w:val="187"/>
        <w:numPr>
          <w:ilvl w:val="0"/>
          <w:numId w:val="29"/>
        </w:numPr>
        <w:tabs>
          <w:tab w:val="left" w:pos="397"/>
          <w:tab w:val="left" w:pos="539"/>
        </w:tabs>
        <w:adjustRightInd w:val="0"/>
        <w:snapToGrid w:val="0"/>
        <w:spacing w:line="360" w:lineRule="auto"/>
        <w:ind w:left="0" w:firstLine="482"/>
        <w:rPr>
          <w:rFonts w:ascii="宋体" w:hAnsi="宋体"/>
          <w:b/>
          <w:sz w:val="24"/>
        </w:rPr>
      </w:pPr>
      <w:r>
        <w:rPr>
          <w:rFonts w:hint="eastAsia" w:ascii="宋体" w:hAnsi="宋体"/>
          <w:b/>
          <w:sz w:val="24"/>
        </w:rPr>
        <w:t>配合完成政府交办的其他工作。</w:t>
      </w:r>
    </w:p>
    <w:p>
      <w:pPr>
        <w:pStyle w:val="72"/>
        <w:numPr>
          <w:ilvl w:val="0"/>
          <w:numId w:val="27"/>
        </w:numPr>
        <w:tabs>
          <w:tab w:val="left" w:pos="397"/>
          <w:tab w:val="left" w:pos="539"/>
        </w:tabs>
        <w:adjustRightInd w:val="0"/>
        <w:snapToGrid w:val="0"/>
        <w:ind w:firstLineChars="0"/>
        <w:outlineLvl w:val="3"/>
        <w:rPr>
          <w:rFonts w:ascii="宋体" w:hAnsi="宋体"/>
          <w:b/>
        </w:rPr>
      </w:pPr>
      <w:r>
        <w:rPr>
          <w:rFonts w:hint="eastAsia" w:ascii="宋体" w:hAnsi="宋体"/>
          <w:b/>
        </w:rPr>
        <w:t>安全、治安辅助管理</w:t>
      </w:r>
    </w:p>
    <w:p>
      <w:pPr>
        <w:pStyle w:val="187"/>
        <w:numPr>
          <w:ilvl w:val="0"/>
          <w:numId w:val="30"/>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sz w:val="24"/>
        </w:rPr>
        <w:t>巡逻工作</w:t>
      </w:r>
      <w:r>
        <w:rPr>
          <w:rFonts w:hint="eastAsia" w:ascii="宋体" w:hAnsi="宋体"/>
          <w:sz w:val="24"/>
        </w:rPr>
        <w:t>：在岗期间协助天凝镇内的治安类案件防范防控管理；</w:t>
      </w:r>
    </w:p>
    <w:p>
      <w:pPr>
        <w:pStyle w:val="187"/>
        <w:numPr>
          <w:ilvl w:val="0"/>
          <w:numId w:val="30"/>
        </w:numPr>
        <w:tabs>
          <w:tab w:val="left" w:pos="397"/>
          <w:tab w:val="left" w:pos="539"/>
        </w:tabs>
        <w:adjustRightInd w:val="0"/>
        <w:snapToGrid w:val="0"/>
        <w:spacing w:line="360" w:lineRule="auto"/>
        <w:ind w:left="0" w:firstLine="482"/>
        <w:rPr>
          <w:rFonts w:ascii="宋体" w:hAnsi="宋体"/>
          <w:sz w:val="24"/>
        </w:rPr>
      </w:pPr>
      <w:r>
        <w:rPr>
          <w:rFonts w:ascii="宋体" w:hAnsi="宋体"/>
          <w:b/>
          <w:sz w:val="24"/>
        </w:rPr>
        <w:t>公共服务设施保养维护</w:t>
      </w:r>
      <w:r>
        <w:rPr>
          <w:rFonts w:hint="eastAsia" w:ascii="宋体" w:hAnsi="宋体"/>
          <w:b/>
          <w:sz w:val="24"/>
        </w:rPr>
        <w:t>监管</w:t>
      </w:r>
      <w:r>
        <w:rPr>
          <w:rFonts w:ascii="宋体" w:hAnsi="宋体"/>
          <w:b/>
          <w:sz w:val="24"/>
        </w:rPr>
        <w:t>：</w:t>
      </w:r>
      <w:r>
        <w:rPr>
          <w:rFonts w:hint="eastAsia" w:ascii="宋体" w:hAnsi="宋体"/>
          <w:sz w:val="24"/>
        </w:rPr>
        <w:t>监管天凝镇</w:t>
      </w:r>
      <w:r>
        <w:rPr>
          <w:rFonts w:ascii="宋体" w:hAnsi="宋体"/>
          <w:sz w:val="24"/>
        </w:rPr>
        <w:t>内的</w:t>
      </w:r>
      <w:r>
        <w:rPr>
          <w:rFonts w:hint="eastAsia" w:ascii="宋体" w:hAnsi="宋体"/>
          <w:sz w:val="24"/>
        </w:rPr>
        <w:t>所有</w:t>
      </w:r>
      <w:r>
        <w:rPr>
          <w:rFonts w:ascii="宋体" w:hAnsi="宋体"/>
          <w:sz w:val="24"/>
        </w:rPr>
        <w:t>公共服务设施</w:t>
      </w:r>
      <w:r>
        <w:rPr>
          <w:rFonts w:hint="eastAsia" w:ascii="宋体" w:hAnsi="宋体"/>
          <w:sz w:val="24"/>
        </w:rPr>
        <w:t>，</w:t>
      </w:r>
      <w:r>
        <w:rPr>
          <w:rFonts w:ascii="宋体" w:hAnsi="宋体"/>
          <w:sz w:val="24"/>
        </w:rPr>
        <w:t>如有发现损坏的及时上报</w:t>
      </w:r>
      <w:r>
        <w:rPr>
          <w:rFonts w:hint="eastAsia" w:ascii="宋体" w:hAnsi="宋体"/>
          <w:sz w:val="24"/>
        </w:rPr>
        <w:t>（如</w:t>
      </w:r>
      <w:r>
        <w:rPr>
          <w:rFonts w:hint="eastAsia" w:ascii="宋体" w:hAnsi="宋体" w:cs="宋体"/>
          <w:kern w:val="0"/>
          <w:sz w:val="24"/>
        </w:rPr>
        <w:t>公共照明灯、窨井盖等）；</w:t>
      </w:r>
    </w:p>
    <w:p>
      <w:pPr>
        <w:pStyle w:val="187"/>
        <w:numPr>
          <w:ilvl w:val="0"/>
          <w:numId w:val="30"/>
        </w:numPr>
        <w:tabs>
          <w:tab w:val="left" w:pos="397"/>
          <w:tab w:val="left" w:pos="539"/>
        </w:tabs>
        <w:adjustRightInd w:val="0"/>
        <w:snapToGrid w:val="0"/>
        <w:spacing w:line="360" w:lineRule="auto"/>
        <w:ind w:left="0" w:firstLine="482"/>
        <w:rPr>
          <w:rFonts w:ascii="宋体" w:hAnsi="宋体"/>
          <w:sz w:val="24"/>
        </w:rPr>
      </w:pPr>
      <w:r>
        <w:rPr>
          <w:rFonts w:ascii="宋体" w:hAnsi="宋体"/>
          <w:b/>
          <w:sz w:val="24"/>
        </w:rPr>
        <w:t>绿化维护</w:t>
      </w:r>
      <w:r>
        <w:rPr>
          <w:rFonts w:hint="eastAsia" w:ascii="宋体" w:hAnsi="宋体"/>
          <w:b/>
          <w:sz w:val="24"/>
        </w:rPr>
        <w:t>监管</w:t>
      </w:r>
      <w:r>
        <w:rPr>
          <w:rFonts w:ascii="宋体" w:hAnsi="宋体"/>
          <w:b/>
          <w:sz w:val="24"/>
        </w:rPr>
        <w:t>：</w:t>
      </w:r>
      <w:r>
        <w:rPr>
          <w:rFonts w:hint="eastAsia" w:ascii="宋体" w:hAnsi="宋体"/>
          <w:sz w:val="24"/>
        </w:rPr>
        <w:t>监管天凝镇</w:t>
      </w:r>
      <w:r>
        <w:rPr>
          <w:rFonts w:ascii="宋体" w:hAnsi="宋体"/>
          <w:sz w:val="24"/>
        </w:rPr>
        <w:t>的绿化</w:t>
      </w:r>
      <w:r>
        <w:rPr>
          <w:rFonts w:hint="eastAsia" w:ascii="宋体" w:hAnsi="宋体"/>
          <w:sz w:val="24"/>
        </w:rPr>
        <w:t>，发现绿化枯死、空秃等现象及时上报；</w:t>
      </w:r>
    </w:p>
    <w:p>
      <w:pPr>
        <w:pStyle w:val="187"/>
        <w:numPr>
          <w:ilvl w:val="0"/>
          <w:numId w:val="30"/>
        </w:numPr>
        <w:tabs>
          <w:tab w:val="left" w:pos="397"/>
          <w:tab w:val="left" w:pos="539"/>
        </w:tabs>
        <w:adjustRightInd w:val="0"/>
        <w:snapToGrid w:val="0"/>
        <w:spacing w:line="360" w:lineRule="auto"/>
        <w:ind w:left="0" w:firstLine="482"/>
        <w:rPr>
          <w:rFonts w:ascii="宋体" w:hAnsi="宋体"/>
          <w:sz w:val="24"/>
        </w:rPr>
      </w:pPr>
      <w:r>
        <w:rPr>
          <w:rFonts w:hint="eastAsia" w:ascii="宋体" w:hAnsi="宋体"/>
          <w:b/>
          <w:sz w:val="24"/>
        </w:rPr>
        <w:t>施工现场管理：</w:t>
      </w:r>
      <w:r>
        <w:rPr>
          <w:rFonts w:hint="eastAsia" w:ascii="宋体" w:hAnsi="宋体"/>
          <w:sz w:val="24"/>
        </w:rPr>
        <w:t>监督天凝镇内公共维修做到按规范要求进行施工作业，进行围避；</w:t>
      </w:r>
    </w:p>
    <w:p>
      <w:pPr>
        <w:pStyle w:val="187"/>
        <w:numPr>
          <w:ilvl w:val="0"/>
          <w:numId w:val="30"/>
        </w:numPr>
        <w:tabs>
          <w:tab w:val="left" w:pos="397"/>
          <w:tab w:val="left" w:pos="539"/>
        </w:tabs>
        <w:adjustRightInd w:val="0"/>
        <w:snapToGrid w:val="0"/>
        <w:spacing w:line="360" w:lineRule="auto"/>
        <w:ind w:left="0" w:firstLine="482"/>
        <w:rPr>
          <w:rFonts w:ascii="宋体" w:hAnsi="宋体"/>
          <w:sz w:val="24"/>
        </w:rPr>
      </w:pPr>
      <w:r>
        <w:rPr>
          <w:rFonts w:ascii="宋体" w:hAnsi="宋体"/>
          <w:b/>
          <w:sz w:val="24"/>
        </w:rPr>
        <w:t>消防安全检查管理：</w:t>
      </w:r>
      <w:r>
        <w:rPr>
          <w:rFonts w:hint="eastAsia" w:ascii="宋体" w:hAnsi="宋体"/>
          <w:sz w:val="24"/>
        </w:rPr>
        <w:t>协助消防队做好天凝镇</w:t>
      </w:r>
      <w:r>
        <w:rPr>
          <w:rFonts w:ascii="宋体" w:hAnsi="宋体"/>
          <w:sz w:val="24"/>
        </w:rPr>
        <w:t>的消防设施保持完好无损，能够正常使用，如有发现问题不能处理的及时上报；发现火灾隐患时，及时上报</w:t>
      </w:r>
      <w:r>
        <w:rPr>
          <w:rFonts w:hint="eastAsia" w:ascii="宋体" w:hAnsi="宋体"/>
          <w:sz w:val="24"/>
        </w:rPr>
        <w:t>。</w:t>
      </w:r>
    </w:p>
    <w:p>
      <w:pPr>
        <w:pStyle w:val="72"/>
        <w:numPr>
          <w:ilvl w:val="0"/>
          <w:numId w:val="27"/>
        </w:numPr>
        <w:tabs>
          <w:tab w:val="left" w:pos="397"/>
          <w:tab w:val="left" w:pos="539"/>
        </w:tabs>
        <w:adjustRightInd w:val="0"/>
        <w:snapToGrid w:val="0"/>
        <w:ind w:firstLineChars="0"/>
        <w:outlineLvl w:val="3"/>
        <w:rPr>
          <w:rFonts w:ascii="宋体" w:hAnsi="宋体"/>
          <w:b/>
        </w:rPr>
      </w:pPr>
      <w:r>
        <w:rPr>
          <w:rFonts w:hint="eastAsia" w:ascii="宋体" w:hAnsi="宋体"/>
          <w:b/>
        </w:rPr>
        <w:t>工业区安全的监管</w:t>
      </w:r>
    </w:p>
    <w:p>
      <w:pPr>
        <w:tabs>
          <w:tab w:val="left" w:pos="397"/>
          <w:tab w:val="left" w:pos="539"/>
        </w:tabs>
        <w:adjustRightInd w:val="0"/>
        <w:snapToGrid w:val="0"/>
        <w:spacing w:line="360" w:lineRule="auto"/>
        <w:ind w:firstLine="480" w:firstLineChars="200"/>
        <w:rPr>
          <w:rFonts w:hint="eastAsia" w:ascii="宋体" w:hAnsi="宋体"/>
          <w:sz w:val="24"/>
        </w:rPr>
      </w:pPr>
      <w:r>
        <w:rPr>
          <w:rFonts w:hint="eastAsia" w:ascii="宋体" w:hAnsi="宋体"/>
          <w:sz w:val="24"/>
        </w:rPr>
        <w:t>（1）协助宣传、贯彻有关安全生产（消防）的法律法规、规章制度。</w:t>
      </w:r>
    </w:p>
    <w:p>
      <w:pPr>
        <w:tabs>
          <w:tab w:val="left" w:pos="397"/>
          <w:tab w:val="left" w:pos="539"/>
        </w:tabs>
        <w:adjustRightInd w:val="0"/>
        <w:snapToGrid w:val="0"/>
        <w:spacing w:line="360" w:lineRule="auto"/>
        <w:ind w:firstLine="480" w:firstLineChars="200"/>
        <w:rPr>
          <w:rFonts w:hint="eastAsia" w:ascii="宋体" w:hAnsi="宋体"/>
          <w:sz w:val="24"/>
        </w:rPr>
      </w:pPr>
      <w:r>
        <w:rPr>
          <w:rFonts w:hint="eastAsia" w:ascii="宋体" w:hAnsi="宋体"/>
          <w:sz w:val="24"/>
        </w:rPr>
        <w:t>（2）协助开展日常巡查，对区域内企业的安全生产（消防）状况进行监督检查，定期排查各类安全隐患，督促、协助企业进行隐患整改。</w:t>
      </w:r>
    </w:p>
    <w:p>
      <w:pPr>
        <w:tabs>
          <w:tab w:val="left" w:pos="397"/>
          <w:tab w:val="left" w:pos="539"/>
        </w:tabs>
        <w:adjustRightInd w:val="0"/>
        <w:snapToGrid w:val="0"/>
        <w:spacing w:line="360" w:lineRule="auto"/>
        <w:ind w:firstLine="480" w:firstLineChars="200"/>
        <w:rPr>
          <w:rFonts w:hint="eastAsia" w:ascii="宋体" w:hAnsi="宋体"/>
          <w:sz w:val="24"/>
        </w:rPr>
      </w:pPr>
      <w:r>
        <w:rPr>
          <w:rFonts w:hint="eastAsia" w:ascii="宋体" w:hAnsi="宋体"/>
          <w:sz w:val="24"/>
        </w:rPr>
        <w:t>（3）做好巡查记录，信息上报工作。针对发现的一般隐患，要求企业立即或限期进行整改，填写检查记录，并对隐患整改情况进行跟踪，形成闭环；针对重大的，需立即处理而又超出自身权限的隐患，及时记录、收集相关信息，并上报主管部门；针对企业整改不到位或拒不整改的情形，也应作上报。</w:t>
      </w:r>
    </w:p>
    <w:p>
      <w:pPr>
        <w:tabs>
          <w:tab w:val="left" w:pos="397"/>
          <w:tab w:val="left" w:pos="539"/>
        </w:tabs>
        <w:adjustRightInd w:val="0"/>
        <w:snapToGrid w:val="0"/>
        <w:spacing w:line="360" w:lineRule="auto"/>
        <w:ind w:firstLine="480" w:firstLineChars="200"/>
        <w:rPr>
          <w:rFonts w:ascii="宋体" w:hAnsi="宋体"/>
          <w:sz w:val="24"/>
        </w:rPr>
      </w:pPr>
      <w:r>
        <w:rPr>
          <w:rFonts w:hint="eastAsia" w:ascii="宋体" w:hAnsi="宋体"/>
          <w:sz w:val="24"/>
        </w:rPr>
        <w:t>（4）向主管部门做好区域内安全生产（消防）检查情况的梳理、总结及汇报工作。</w:t>
      </w:r>
    </w:p>
    <w:p>
      <w:pPr>
        <w:pStyle w:val="72"/>
        <w:numPr>
          <w:ilvl w:val="0"/>
          <w:numId w:val="27"/>
        </w:numPr>
        <w:tabs>
          <w:tab w:val="left" w:pos="397"/>
          <w:tab w:val="left" w:pos="539"/>
        </w:tabs>
        <w:adjustRightInd w:val="0"/>
        <w:snapToGrid w:val="0"/>
        <w:ind w:firstLineChars="0"/>
        <w:outlineLvl w:val="3"/>
        <w:rPr>
          <w:rFonts w:ascii="宋体" w:hAnsi="宋体"/>
          <w:b/>
        </w:rPr>
      </w:pPr>
      <w:r>
        <w:rPr>
          <w:rFonts w:hint="eastAsia" w:ascii="宋体" w:hAnsi="宋体"/>
          <w:b/>
        </w:rPr>
        <w:t>天凝镇政府机关的管理内容</w:t>
      </w:r>
    </w:p>
    <w:p>
      <w:pPr>
        <w:adjustRightInd w:val="0"/>
        <w:snapToGrid w:val="0"/>
        <w:spacing w:line="360" w:lineRule="auto"/>
        <w:ind w:firstLine="480" w:firstLineChars="200"/>
        <w:rPr>
          <w:rFonts w:ascii="宋体" w:hAnsi="宋体"/>
          <w:sz w:val="24"/>
        </w:rPr>
      </w:pPr>
      <w:r>
        <w:rPr>
          <w:rFonts w:hint="eastAsia" w:ascii="宋体" w:hAnsi="宋体"/>
          <w:sz w:val="24"/>
        </w:rPr>
        <w:t>（1）镇</w:t>
      </w:r>
      <w:r>
        <w:rPr>
          <w:rFonts w:hint="eastAsia" w:ascii="宋体" w:hAnsi="宋体"/>
          <w:sz w:val="24"/>
          <w:lang w:eastAsia="zh-CN"/>
        </w:rPr>
        <w:t>政</w:t>
      </w:r>
      <w:r>
        <w:rPr>
          <w:rFonts w:hint="eastAsia" w:ascii="宋体" w:hAnsi="宋体"/>
          <w:sz w:val="24"/>
        </w:rPr>
        <w:t>府大院内的安全巡查保卫工作；</w:t>
      </w:r>
    </w:p>
    <w:p>
      <w:pPr>
        <w:adjustRightInd w:val="0"/>
        <w:snapToGrid w:val="0"/>
        <w:spacing w:line="360" w:lineRule="auto"/>
        <w:ind w:firstLine="504" w:firstLineChars="200"/>
        <w:rPr>
          <w:rFonts w:ascii="宋体" w:hAnsi="宋体"/>
          <w:sz w:val="24"/>
        </w:rPr>
      </w:pPr>
      <w:r>
        <w:rPr>
          <w:rFonts w:hint="eastAsia" w:ascii="宋体" w:hAnsi="宋体"/>
          <w:spacing w:val="6"/>
          <w:sz w:val="24"/>
        </w:rPr>
        <w:t>（2）门岗值勤、安全巡视、安全监控、人员登记工作；</w:t>
      </w:r>
    </w:p>
    <w:p>
      <w:pPr>
        <w:adjustRightInd w:val="0"/>
        <w:snapToGrid w:val="0"/>
        <w:spacing w:line="360" w:lineRule="auto"/>
        <w:ind w:firstLine="504" w:firstLineChars="200"/>
        <w:rPr>
          <w:rFonts w:ascii="宋体" w:hAnsi="宋体"/>
          <w:sz w:val="24"/>
        </w:rPr>
      </w:pPr>
      <w:r>
        <w:rPr>
          <w:rFonts w:hint="eastAsia" w:ascii="宋体" w:hAnsi="宋体"/>
          <w:spacing w:val="6"/>
          <w:sz w:val="24"/>
        </w:rPr>
        <w:t>（3）交通与车辆停放秩</w:t>
      </w:r>
      <w:bookmarkStart w:id="162" w:name="_GoBack"/>
      <w:bookmarkEnd w:id="162"/>
      <w:r>
        <w:rPr>
          <w:rFonts w:hint="eastAsia" w:ascii="宋体" w:hAnsi="宋体"/>
          <w:spacing w:val="6"/>
          <w:sz w:val="24"/>
        </w:rPr>
        <w:t>序的</w:t>
      </w:r>
      <w:r>
        <w:rPr>
          <w:rFonts w:hint="eastAsia" w:ascii="宋体" w:hAnsi="宋体"/>
          <w:sz w:val="24"/>
        </w:rPr>
        <w:t>巡查、</w:t>
      </w:r>
      <w:r>
        <w:rPr>
          <w:rFonts w:hint="eastAsia" w:ascii="宋体" w:hAnsi="宋体"/>
          <w:spacing w:val="6"/>
          <w:sz w:val="24"/>
        </w:rPr>
        <w:t>管理工作；</w:t>
      </w:r>
    </w:p>
    <w:p>
      <w:pPr>
        <w:adjustRightInd w:val="0"/>
        <w:snapToGrid w:val="0"/>
        <w:spacing w:line="360" w:lineRule="auto"/>
        <w:ind w:firstLine="480" w:firstLineChars="200"/>
        <w:rPr>
          <w:rFonts w:ascii="宋体" w:hAnsi="宋体"/>
          <w:sz w:val="24"/>
        </w:rPr>
      </w:pPr>
      <w:r>
        <w:rPr>
          <w:rFonts w:hint="eastAsia" w:ascii="宋体" w:hAnsi="宋体"/>
          <w:sz w:val="24"/>
        </w:rPr>
        <w:t>（4）突发事件的应急处置工作；</w:t>
      </w:r>
    </w:p>
    <w:p>
      <w:pPr>
        <w:adjustRightInd w:val="0"/>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对于</w:t>
      </w:r>
      <w:r>
        <w:rPr>
          <w:rFonts w:hint="eastAsia" w:ascii="宋体" w:hAnsi="宋体"/>
          <w:sz w:val="24"/>
        </w:rPr>
        <w:t>出现</w:t>
      </w:r>
      <w:r>
        <w:rPr>
          <w:rFonts w:ascii="宋体" w:hAnsi="宋体"/>
          <w:sz w:val="24"/>
        </w:rPr>
        <w:t>违反法律法规所规定的行为，针对具体行为并根据情节轻重，采取批评，规劝，警告，制止等措施。</w:t>
      </w:r>
    </w:p>
    <w:p>
      <w:pPr>
        <w:pStyle w:val="72"/>
        <w:numPr>
          <w:ilvl w:val="0"/>
          <w:numId w:val="27"/>
        </w:numPr>
        <w:tabs>
          <w:tab w:val="left" w:pos="397"/>
          <w:tab w:val="left" w:pos="539"/>
        </w:tabs>
        <w:adjustRightInd w:val="0"/>
        <w:snapToGrid w:val="0"/>
        <w:ind w:firstLineChars="0"/>
        <w:outlineLvl w:val="3"/>
        <w:rPr>
          <w:rFonts w:ascii="宋体" w:hAnsi="宋体"/>
          <w:b/>
        </w:rPr>
      </w:pPr>
      <w:r>
        <w:rPr>
          <w:rFonts w:hint="eastAsia" w:ascii="宋体" w:hAnsi="宋体"/>
          <w:b/>
        </w:rPr>
        <w:t>其他日常管理</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建立完善的档案管理制度</w:t>
      </w:r>
      <w:r>
        <w:rPr>
          <w:rFonts w:hint="eastAsia" w:ascii="宋体" w:hAnsi="宋体" w:cs="宋体"/>
          <w:spacing w:val="-32"/>
          <w:kern w:val="0"/>
          <w:sz w:val="24"/>
        </w:rPr>
        <w:t>，</w:t>
      </w:r>
      <w:r>
        <w:rPr>
          <w:rFonts w:hint="eastAsia" w:ascii="宋体" w:hAnsi="宋体" w:cs="宋体"/>
          <w:kern w:val="0"/>
          <w:sz w:val="24"/>
        </w:rPr>
        <w:t>建立齐全的公共服务管理档案</w:t>
      </w:r>
      <w:r>
        <w:rPr>
          <w:rFonts w:ascii="宋体" w:hAnsi="宋体" w:cs="宋体"/>
          <w:kern w:val="0"/>
          <w:sz w:val="24"/>
        </w:rPr>
        <w:t>[</w:t>
      </w:r>
      <w:r>
        <w:rPr>
          <w:rFonts w:hint="eastAsia" w:ascii="宋体" w:hAnsi="宋体" w:cs="宋体"/>
          <w:kern w:val="0"/>
          <w:sz w:val="24"/>
        </w:rPr>
        <w:t>包括物业设备管理维修档案</w:t>
      </w:r>
      <w:r>
        <w:rPr>
          <w:rFonts w:hint="eastAsia" w:ascii="宋体" w:hAnsi="宋体" w:cs="宋体"/>
          <w:spacing w:val="-22"/>
          <w:kern w:val="0"/>
          <w:sz w:val="24"/>
        </w:rPr>
        <w:t>、</w:t>
      </w:r>
      <w:r>
        <w:rPr>
          <w:rFonts w:hint="eastAsia" w:ascii="宋体" w:hAnsi="宋体" w:cs="宋体"/>
          <w:kern w:val="0"/>
          <w:sz w:val="24"/>
        </w:rPr>
        <w:t>业主或使用人装修档案、日常管理档案等</w:t>
      </w:r>
      <w:r>
        <w:rPr>
          <w:rFonts w:ascii="宋体" w:hAnsi="宋体" w:cs="宋体"/>
          <w:kern w:val="0"/>
          <w:sz w:val="24"/>
        </w:rPr>
        <w:t>]</w:t>
      </w:r>
      <w:r>
        <w:rPr>
          <w:rFonts w:hint="eastAsia" w:ascii="宋体" w:hAnsi="宋体" w:cs="宋体"/>
          <w:kern w:val="0"/>
          <w:sz w:val="24"/>
        </w:rPr>
        <w:t>；</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position w:val="-3"/>
          <w:sz w:val="24"/>
        </w:rPr>
        <w:t>制定公共服务管理工作计划，并组织实施；</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采取走访、问询等多种形式与业户沟通；</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position w:val="-3"/>
          <w:sz w:val="24"/>
        </w:rPr>
        <w:t>制定管理处内部管理制度和考核制度；</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广泛运用计算机进行管</w:t>
      </w:r>
      <w:r>
        <w:rPr>
          <w:rFonts w:hint="eastAsia" w:ascii="宋体" w:hAnsi="宋体" w:cs="宋体"/>
          <w:spacing w:val="-47"/>
          <w:kern w:val="0"/>
          <w:sz w:val="24"/>
        </w:rPr>
        <w:t>理</w:t>
      </w:r>
      <w:r>
        <w:rPr>
          <w:rFonts w:hint="eastAsia" w:ascii="宋体" w:hAnsi="宋体" w:cs="宋体"/>
          <w:kern w:val="0"/>
          <w:sz w:val="24"/>
        </w:rPr>
        <w:t>（含设备维修档案、日常管理等）；</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接受招标方及业户随时监督检查</w:t>
      </w:r>
      <w:r>
        <w:rPr>
          <w:rFonts w:hint="eastAsia" w:ascii="宋体" w:hAnsi="宋体" w:cs="宋体"/>
          <w:spacing w:val="-32"/>
          <w:kern w:val="0"/>
          <w:sz w:val="24"/>
        </w:rPr>
        <w:t>，</w:t>
      </w:r>
      <w:r>
        <w:rPr>
          <w:rFonts w:hint="eastAsia" w:ascii="宋体" w:hAnsi="宋体" w:cs="宋体"/>
          <w:kern w:val="0"/>
          <w:sz w:val="24"/>
        </w:rPr>
        <w:t>对不满足服务要求的事项及时整改；</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接受招标方对公共服务管理的定期评定并对考评结果进行分析，及时整改；</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对违反公共服务管理规定或政府有关规定的行为进行劝阻、制止。</w:t>
      </w:r>
    </w:p>
    <w:p>
      <w:pPr>
        <w:numPr>
          <w:ilvl w:val="0"/>
          <w:numId w:val="31"/>
        </w:numPr>
        <w:tabs>
          <w:tab w:val="left" w:pos="397"/>
          <w:tab w:val="left" w:pos="539"/>
          <w:tab w:val="left" w:pos="567"/>
        </w:tabs>
        <w:autoSpaceDE w:val="0"/>
        <w:autoSpaceDN w:val="0"/>
        <w:adjustRightInd w:val="0"/>
        <w:snapToGrid w:val="0"/>
        <w:spacing w:line="360" w:lineRule="auto"/>
        <w:ind w:left="0" w:firstLine="480" w:firstLineChars="200"/>
        <w:rPr>
          <w:rFonts w:ascii="宋体" w:hAnsi="宋体" w:cs="宋体"/>
          <w:color w:val="FF0000"/>
          <w:kern w:val="0"/>
          <w:sz w:val="24"/>
        </w:rPr>
      </w:pPr>
      <w:r>
        <w:rPr>
          <w:rFonts w:hint="eastAsia" w:ascii="宋体" w:hAnsi="宋体"/>
          <w:color w:val="FF0000"/>
          <w:sz w:val="24"/>
        </w:rPr>
        <w:t>每月由天凝镇政府召集政府各部门开会，由项目经理向政府汇报一周工作情况并将未能解决的事务上报领导，由领导牵头完成。</w:t>
      </w:r>
    </w:p>
    <w:p>
      <w:pPr>
        <w:pStyle w:val="72"/>
        <w:numPr>
          <w:ilvl w:val="0"/>
          <w:numId w:val="27"/>
        </w:numPr>
        <w:tabs>
          <w:tab w:val="left" w:pos="397"/>
          <w:tab w:val="left" w:pos="539"/>
        </w:tabs>
        <w:adjustRightInd w:val="0"/>
        <w:snapToGrid w:val="0"/>
        <w:ind w:firstLineChars="0"/>
        <w:outlineLvl w:val="3"/>
        <w:rPr>
          <w:rFonts w:ascii="宋体" w:hAnsi="宋体"/>
          <w:b/>
        </w:rPr>
      </w:pPr>
      <w:r>
        <w:rPr>
          <w:rFonts w:hint="eastAsia" w:ascii="宋体" w:hAnsi="宋体"/>
          <w:b/>
        </w:rPr>
        <w:t>配合政府其他综合治理辅助管理</w:t>
      </w:r>
    </w:p>
    <w:p>
      <w:pPr>
        <w:adjustRightInd w:val="0"/>
        <w:snapToGrid w:val="0"/>
        <w:rPr>
          <w:b/>
        </w:rPr>
      </w:pPr>
    </w:p>
    <w:p>
      <w:pPr>
        <w:pStyle w:val="72"/>
        <w:numPr>
          <w:ilvl w:val="0"/>
          <w:numId w:val="25"/>
        </w:numPr>
        <w:adjustRightInd w:val="0"/>
        <w:snapToGrid w:val="0"/>
        <w:ind w:left="0" w:firstLine="0" w:firstLineChars="0"/>
        <w:outlineLvl w:val="2"/>
        <w:rPr>
          <w:b/>
        </w:rPr>
      </w:pPr>
      <w:bookmarkStart w:id="102" w:name="_Toc38306992"/>
      <w:r>
        <w:rPr>
          <w:rFonts w:hint="eastAsia"/>
          <w:b/>
        </w:rPr>
        <w:t>集镇和工业园区保洁服务</w:t>
      </w:r>
      <w:bookmarkEnd w:id="102"/>
    </w:p>
    <w:p>
      <w:pPr>
        <w:pStyle w:val="72"/>
        <w:widowControl/>
        <w:numPr>
          <w:ilvl w:val="0"/>
          <w:numId w:val="32"/>
        </w:numPr>
        <w:tabs>
          <w:tab w:val="left" w:pos="567"/>
        </w:tabs>
        <w:adjustRightInd w:val="0"/>
        <w:snapToGrid w:val="0"/>
        <w:ind w:left="0" w:firstLine="420" w:firstLineChars="0"/>
        <w:jc w:val="left"/>
        <w:outlineLvl w:val="3"/>
        <w:rPr>
          <w:rFonts w:ascii="宋体" w:hAnsi="宋体" w:cs="仿宋"/>
          <w:b/>
        </w:rPr>
      </w:pPr>
      <w:bookmarkStart w:id="103" w:name="_Toc513389187"/>
      <w:bookmarkStart w:id="104" w:name="_Toc513560128"/>
      <w:bookmarkStart w:id="105" w:name="_Toc513370324"/>
      <w:bookmarkStart w:id="106" w:name="_Toc513370323"/>
      <w:bookmarkStart w:id="107" w:name="_Toc513560127"/>
      <w:bookmarkStart w:id="108" w:name="_Toc513389186"/>
      <w:r>
        <w:rPr>
          <w:rFonts w:hint="eastAsia" w:ascii="宋体" w:hAnsi="宋体" w:cs="仿宋"/>
          <w:b/>
        </w:rPr>
        <w:t>工作范围</w:t>
      </w:r>
      <w:bookmarkEnd w:id="103"/>
      <w:bookmarkEnd w:id="104"/>
      <w:bookmarkEnd w:id="105"/>
      <w:r>
        <w:rPr>
          <w:rFonts w:hint="eastAsia" w:ascii="宋体" w:hAnsi="宋体" w:cs="仿宋"/>
          <w:b/>
        </w:rPr>
        <w:t>（具体由采购单位与中标单位现场确认为准）</w:t>
      </w:r>
    </w:p>
    <w:p>
      <w:pPr>
        <w:pStyle w:val="72"/>
        <w:numPr>
          <w:ilvl w:val="0"/>
          <w:numId w:val="33"/>
        </w:numPr>
        <w:tabs>
          <w:tab w:val="left" w:pos="993"/>
        </w:tabs>
        <w:adjustRightInd w:val="0"/>
        <w:snapToGrid w:val="0"/>
        <w:ind w:left="0" w:firstLine="480"/>
        <w:rPr>
          <w:rFonts w:ascii="宋体" w:hAnsi="宋体"/>
          <w:szCs w:val="24"/>
        </w:rPr>
      </w:pPr>
      <w:bookmarkStart w:id="109" w:name="_Toc513560129"/>
      <w:r>
        <w:rPr>
          <w:rFonts w:hint="eastAsia" w:ascii="宋体" w:hAnsi="宋体"/>
          <w:szCs w:val="24"/>
        </w:rPr>
        <w:t>天凝社区</w:t>
      </w:r>
      <w:bookmarkEnd w:id="109"/>
    </w:p>
    <w:p>
      <w:pPr>
        <w:adjustRightInd w:val="0"/>
        <w:snapToGrid w:val="0"/>
        <w:spacing w:line="360" w:lineRule="auto"/>
        <w:ind w:firstLine="480" w:firstLineChars="200"/>
        <w:rPr>
          <w:rFonts w:ascii="宋体" w:hAnsi="宋体"/>
          <w:sz w:val="24"/>
        </w:rPr>
      </w:pPr>
      <w:r>
        <w:rPr>
          <w:rFonts w:hint="eastAsia" w:ascii="宋体" w:hAnsi="宋体"/>
          <w:sz w:val="24"/>
        </w:rPr>
        <w:t>东至关阳庙大桥、栅口桥，南至镇政府许巷桥、西至殷家港桥、北至天凝小学的集镇（包含老街范围）和工业区部份道路。总面积约344238平方米，公共厕所13座（详见附件1）。</w:t>
      </w:r>
    </w:p>
    <w:p>
      <w:pPr>
        <w:pStyle w:val="72"/>
        <w:numPr>
          <w:ilvl w:val="0"/>
          <w:numId w:val="33"/>
        </w:numPr>
        <w:tabs>
          <w:tab w:val="left" w:pos="993"/>
        </w:tabs>
        <w:adjustRightInd w:val="0"/>
        <w:snapToGrid w:val="0"/>
        <w:ind w:left="0" w:firstLine="480"/>
        <w:rPr>
          <w:rFonts w:ascii="宋体" w:hAnsi="宋体"/>
          <w:szCs w:val="24"/>
        </w:rPr>
      </w:pPr>
      <w:bookmarkStart w:id="110" w:name="_Toc513560130"/>
      <w:r>
        <w:rPr>
          <w:rFonts w:hint="eastAsia" w:ascii="宋体" w:hAnsi="宋体"/>
          <w:szCs w:val="24"/>
        </w:rPr>
        <w:t>洪溪社区</w:t>
      </w:r>
      <w:bookmarkEnd w:id="110"/>
    </w:p>
    <w:p>
      <w:pPr>
        <w:adjustRightInd w:val="0"/>
        <w:snapToGrid w:val="0"/>
        <w:spacing w:line="360" w:lineRule="auto"/>
        <w:ind w:firstLine="480" w:firstLineChars="200"/>
        <w:rPr>
          <w:rFonts w:ascii="宋体" w:hAnsi="宋体"/>
          <w:sz w:val="24"/>
        </w:rPr>
      </w:pPr>
      <w:r>
        <w:rPr>
          <w:rFonts w:hint="eastAsia" w:ascii="宋体" w:hAnsi="宋体"/>
          <w:sz w:val="24"/>
        </w:rPr>
        <w:t>洪溪社区主要区域：集镇区东至洪溪村中龙港、南至洪福村塘北路、西至马塔塘村沈北泾桥、北至斜塘桥（包含老街范围）；洪溪工业区：东至老乐荆桥村部、南至天凝大道、西至闸口桥、北至塘北路。总面积约346842.85平方米，公共厕所12座（详见附件2）。</w:t>
      </w:r>
    </w:p>
    <w:p>
      <w:pPr>
        <w:pStyle w:val="72"/>
        <w:numPr>
          <w:ilvl w:val="0"/>
          <w:numId w:val="33"/>
        </w:numPr>
        <w:tabs>
          <w:tab w:val="left" w:pos="993"/>
        </w:tabs>
        <w:adjustRightInd w:val="0"/>
        <w:snapToGrid w:val="0"/>
        <w:ind w:left="0" w:firstLine="480"/>
        <w:rPr>
          <w:rFonts w:ascii="宋体" w:hAnsi="宋体"/>
          <w:szCs w:val="24"/>
        </w:rPr>
      </w:pPr>
      <w:bookmarkStart w:id="111" w:name="_Toc513560131"/>
      <w:r>
        <w:rPr>
          <w:rFonts w:hint="eastAsia" w:ascii="宋体" w:hAnsi="宋体"/>
          <w:szCs w:val="24"/>
        </w:rPr>
        <w:t>杨庙社区</w:t>
      </w:r>
      <w:bookmarkEnd w:id="111"/>
    </w:p>
    <w:p>
      <w:pPr>
        <w:pStyle w:val="72"/>
        <w:widowControl/>
        <w:adjustRightInd w:val="0"/>
        <w:snapToGrid w:val="0"/>
        <w:ind w:firstLine="480"/>
        <w:jc w:val="left"/>
        <w:rPr>
          <w:rFonts w:ascii="宋体" w:hAnsi="宋体"/>
          <w:szCs w:val="24"/>
        </w:rPr>
      </w:pPr>
      <w:r>
        <w:rPr>
          <w:rFonts w:hint="eastAsia" w:ascii="宋体" w:hAnsi="宋体"/>
          <w:szCs w:val="24"/>
        </w:rPr>
        <w:t>杨庙社区主要区域：东至洪三线，南至东信路、西至天杨公路、北至老小学的集镇（包含老街范围）和工业区部份道路。总面积约207567平方米，公共厕所7座（详见附件3）。</w:t>
      </w:r>
    </w:p>
    <w:p>
      <w:pPr>
        <w:pStyle w:val="72"/>
        <w:widowControl/>
        <w:numPr>
          <w:ilvl w:val="0"/>
          <w:numId w:val="32"/>
        </w:numPr>
        <w:tabs>
          <w:tab w:val="left" w:pos="567"/>
        </w:tabs>
        <w:adjustRightInd w:val="0"/>
        <w:snapToGrid w:val="0"/>
        <w:ind w:left="0" w:firstLine="420" w:firstLineChars="0"/>
        <w:jc w:val="left"/>
        <w:outlineLvl w:val="3"/>
        <w:rPr>
          <w:rFonts w:ascii="宋体" w:hAnsi="宋体" w:cs="仿宋"/>
          <w:b/>
        </w:rPr>
      </w:pPr>
      <w:r>
        <w:rPr>
          <w:rFonts w:hint="eastAsia" w:ascii="宋体" w:hAnsi="宋体" w:cs="仿宋"/>
          <w:b/>
        </w:rPr>
        <w:t>工作内容</w:t>
      </w:r>
      <w:bookmarkEnd w:id="106"/>
      <w:bookmarkEnd w:id="107"/>
      <w:bookmarkEnd w:id="108"/>
      <w:r>
        <w:rPr>
          <w:rFonts w:hint="eastAsia" w:ascii="宋体" w:hAnsi="宋体" w:cs="仿宋"/>
          <w:b/>
        </w:rPr>
        <w:t>及要求</w:t>
      </w:r>
    </w:p>
    <w:p>
      <w:pPr>
        <w:pStyle w:val="14"/>
        <w:numPr>
          <w:ilvl w:val="1"/>
          <w:numId w:val="34"/>
        </w:numPr>
        <w:tabs>
          <w:tab w:val="left" w:pos="993"/>
        </w:tabs>
        <w:adjustRightInd w:val="0"/>
        <w:snapToGrid w:val="0"/>
        <w:spacing w:after="0" w:line="360" w:lineRule="auto"/>
        <w:ind w:left="0" w:firstLine="480" w:firstLineChars="200"/>
        <w:outlineLvl w:val="4"/>
        <w:rPr>
          <w:rFonts w:ascii="宋体"/>
          <w:sz w:val="24"/>
        </w:rPr>
      </w:pPr>
      <w:r>
        <w:rPr>
          <w:rFonts w:hint="eastAsia" w:ascii="宋体" w:hAnsi="宋体"/>
          <w:sz w:val="24"/>
        </w:rPr>
        <w:t>城市道路（包含机动车道、非机动车道、人行道、路中路边绿化带）保洁</w:t>
      </w:r>
    </w:p>
    <w:p>
      <w:pPr>
        <w:pStyle w:val="72"/>
        <w:widowControl/>
        <w:numPr>
          <w:ilvl w:val="0"/>
          <w:numId w:val="35"/>
        </w:numPr>
        <w:adjustRightInd w:val="0"/>
        <w:snapToGrid w:val="0"/>
        <w:ind w:left="0" w:firstLine="564" w:firstLineChars="235"/>
        <w:jc w:val="left"/>
        <w:rPr>
          <w:rFonts w:ascii="宋体" w:hAnsi="宋体" w:cs="仿宋"/>
        </w:rPr>
      </w:pPr>
      <w:bookmarkStart w:id="112" w:name="_Toc513560132"/>
      <w:bookmarkStart w:id="113" w:name="_Toc513370325"/>
      <w:bookmarkStart w:id="114" w:name="_Toc513389188"/>
      <w:r>
        <w:rPr>
          <w:rFonts w:hint="eastAsia" w:ascii="宋体" w:hAnsi="宋体" w:cs="仿宋"/>
        </w:rPr>
        <w:t>人工保洁</w:t>
      </w:r>
      <w:bookmarkEnd w:id="112"/>
      <w:bookmarkEnd w:id="113"/>
      <w:bookmarkEnd w:id="114"/>
    </w:p>
    <w:p>
      <w:pPr>
        <w:pStyle w:val="14"/>
        <w:numPr>
          <w:ilvl w:val="0"/>
          <w:numId w:val="36"/>
        </w:numPr>
        <w:spacing w:after="0" w:line="360" w:lineRule="auto"/>
        <w:ind w:left="0" w:firstLine="480" w:firstLineChars="200"/>
        <w:rPr>
          <w:rFonts w:ascii="宋体" w:hAnsi="宋体"/>
          <w:sz w:val="24"/>
        </w:rPr>
      </w:pPr>
      <w:r>
        <w:rPr>
          <w:rFonts w:hint="eastAsia" w:ascii="宋体" w:hAnsi="宋体"/>
          <w:sz w:val="24"/>
        </w:rPr>
        <w:t>日班保洁时间：夏令4月-11月 5:30-11:00、 13:00-16:00；冬令：12月-次年3月  6:30-11:00、 12:00-16:00。</w:t>
      </w:r>
    </w:p>
    <w:p>
      <w:pPr>
        <w:pStyle w:val="14"/>
        <w:numPr>
          <w:ilvl w:val="0"/>
          <w:numId w:val="36"/>
        </w:numPr>
        <w:spacing w:after="0" w:line="360" w:lineRule="auto"/>
        <w:ind w:left="0" w:firstLine="480" w:firstLineChars="200"/>
        <w:rPr>
          <w:rFonts w:ascii="宋体" w:hAnsi="宋体"/>
          <w:sz w:val="24"/>
        </w:rPr>
      </w:pPr>
      <w:r>
        <w:rPr>
          <w:rFonts w:hint="eastAsia" w:ascii="宋体" w:hAnsi="宋体"/>
          <w:sz w:val="24"/>
        </w:rPr>
        <w:t>重要路段需增设晚班保洁，保洁时间16：00-21:00，重要路段包括天凝社区兴贤路（人民路</w:t>
      </w:r>
      <w:r>
        <w:rPr>
          <w:rFonts w:ascii="宋体" w:hAnsi="宋体"/>
          <w:sz w:val="24"/>
        </w:rPr>
        <w:t>—</w:t>
      </w:r>
      <w:r>
        <w:rPr>
          <w:rFonts w:hint="eastAsia" w:ascii="宋体" w:hAnsi="宋体"/>
          <w:sz w:val="24"/>
        </w:rPr>
        <w:t>东方路）、人民路、东升路、东兴路、天成路及农贸市场周边；洪溪社区人民路、洪兴路、吉阳路；杨庙社区宏杨西路、安定西路、麟溪路。</w:t>
      </w:r>
    </w:p>
    <w:p>
      <w:pPr>
        <w:pStyle w:val="14"/>
        <w:numPr>
          <w:ilvl w:val="0"/>
          <w:numId w:val="36"/>
        </w:numPr>
        <w:spacing w:after="0" w:line="360" w:lineRule="auto"/>
        <w:ind w:left="0" w:firstLine="480" w:firstLineChars="200"/>
        <w:rPr>
          <w:rFonts w:ascii="宋体" w:hAnsi="宋体"/>
          <w:sz w:val="24"/>
        </w:rPr>
      </w:pPr>
      <w:r>
        <w:rPr>
          <w:rFonts w:hint="eastAsia" w:ascii="宋体" w:hAnsi="宋体"/>
          <w:sz w:val="24"/>
        </w:rPr>
        <w:t>保洁时段内8:00前确保普扫一遍，其余时间巡回保洁。</w:t>
      </w:r>
    </w:p>
    <w:p>
      <w:pPr>
        <w:pStyle w:val="14"/>
        <w:numPr>
          <w:ilvl w:val="0"/>
          <w:numId w:val="36"/>
        </w:numPr>
        <w:spacing w:after="0" w:line="360" w:lineRule="auto"/>
        <w:ind w:left="0" w:firstLine="480" w:firstLineChars="200"/>
        <w:rPr>
          <w:rFonts w:ascii="宋体" w:hAnsi="宋体"/>
          <w:sz w:val="24"/>
        </w:rPr>
      </w:pPr>
      <w:r>
        <w:rPr>
          <w:rFonts w:hint="eastAsia" w:ascii="宋体" w:hAnsi="宋体"/>
          <w:sz w:val="24"/>
        </w:rPr>
        <w:t>天凝、洪溪、杨庙公墓清明、冬至期间扫墓垃圾清运。</w:t>
      </w:r>
    </w:p>
    <w:p>
      <w:pPr>
        <w:pStyle w:val="14"/>
        <w:numPr>
          <w:ilvl w:val="0"/>
          <w:numId w:val="36"/>
        </w:numPr>
        <w:spacing w:after="0" w:line="360" w:lineRule="auto"/>
        <w:ind w:left="0" w:firstLine="480" w:firstLineChars="200"/>
        <w:rPr>
          <w:rFonts w:ascii="宋体" w:hAnsi="宋体"/>
          <w:sz w:val="24"/>
        </w:rPr>
      </w:pPr>
      <w:r>
        <w:rPr>
          <w:rFonts w:hint="eastAsia" w:ascii="宋体" w:hAnsi="宋体"/>
          <w:sz w:val="24"/>
        </w:rPr>
        <w:t>特殊季节的作业时间按发包方的联系单为准。</w:t>
      </w:r>
    </w:p>
    <w:p>
      <w:pPr>
        <w:pStyle w:val="14"/>
        <w:numPr>
          <w:ilvl w:val="0"/>
          <w:numId w:val="36"/>
        </w:numPr>
        <w:spacing w:after="0" w:line="360" w:lineRule="auto"/>
        <w:ind w:left="0" w:firstLine="480" w:firstLineChars="200"/>
        <w:rPr>
          <w:rFonts w:ascii="宋体" w:hAnsi="宋体"/>
          <w:sz w:val="24"/>
        </w:rPr>
      </w:pPr>
      <w:r>
        <w:rPr>
          <w:rFonts w:hint="eastAsia" w:ascii="宋体" w:hAnsi="宋体"/>
          <w:sz w:val="24"/>
        </w:rPr>
        <w:t>采购人有权根据实际情况更改保洁时间。</w:t>
      </w:r>
    </w:p>
    <w:p>
      <w:pPr>
        <w:pStyle w:val="72"/>
        <w:widowControl/>
        <w:numPr>
          <w:ilvl w:val="0"/>
          <w:numId w:val="35"/>
        </w:numPr>
        <w:adjustRightInd w:val="0"/>
        <w:snapToGrid w:val="0"/>
        <w:ind w:left="0" w:firstLine="564" w:firstLineChars="235"/>
        <w:jc w:val="left"/>
        <w:rPr>
          <w:rFonts w:ascii="宋体" w:hAnsi="宋体" w:cs="仿宋"/>
        </w:rPr>
      </w:pPr>
      <w:bookmarkStart w:id="115" w:name="_Toc513370326"/>
      <w:bookmarkStart w:id="116" w:name="_Toc513389189"/>
      <w:bookmarkStart w:id="117" w:name="_Toc513560133"/>
      <w:r>
        <w:rPr>
          <w:rFonts w:hint="eastAsia" w:ascii="宋体" w:hAnsi="宋体" w:cs="仿宋"/>
        </w:rPr>
        <w:t>机械化作业时间</w:t>
      </w:r>
      <w:bookmarkEnd w:id="115"/>
      <w:bookmarkEnd w:id="116"/>
      <w:bookmarkEnd w:id="117"/>
    </w:p>
    <w:p>
      <w:pPr>
        <w:pStyle w:val="14"/>
        <w:numPr>
          <w:ilvl w:val="1"/>
          <w:numId w:val="37"/>
        </w:numPr>
        <w:spacing w:after="0" w:line="360" w:lineRule="auto"/>
        <w:ind w:left="0" w:firstLine="567"/>
        <w:rPr>
          <w:rFonts w:ascii="宋体" w:hAnsi="宋体"/>
          <w:sz w:val="24"/>
        </w:rPr>
      </w:pPr>
      <w:r>
        <w:rPr>
          <w:rFonts w:hint="eastAsia" w:ascii="宋体" w:hAnsi="宋体"/>
          <w:sz w:val="24"/>
        </w:rPr>
        <w:t>扫地车：8小时作业，每台班实际作业不低于4小时(实际作业时间指车辆在道路作业时间，加水时间除外)。夏令：4月-11月 5：00开始作业，冬令：12月-次年3月 6：00开始作业。</w:t>
      </w:r>
    </w:p>
    <w:p>
      <w:pPr>
        <w:pStyle w:val="14"/>
        <w:numPr>
          <w:ilvl w:val="1"/>
          <w:numId w:val="37"/>
        </w:numPr>
        <w:spacing w:after="0" w:line="360" w:lineRule="auto"/>
        <w:ind w:left="0" w:firstLine="567"/>
        <w:rPr>
          <w:rFonts w:ascii="宋体" w:hAnsi="宋体"/>
          <w:sz w:val="24"/>
        </w:rPr>
      </w:pPr>
      <w:r>
        <w:rPr>
          <w:rFonts w:hint="eastAsia" w:ascii="宋体" w:hAnsi="宋体"/>
          <w:sz w:val="24"/>
        </w:rPr>
        <w:t>洒水车：8小时作业，每台班实际作业不低于3.5小时(实际作业时间指车辆在道路作业时间，加水时间除外，冬季温度低于4℃停止作业）。夏令：4月-11月 5：00开始作业，冬令：12月-次年3月 6：00开始作业。</w:t>
      </w:r>
    </w:p>
    <w:p>
      <w:pPr>
        <w:pStyle w:val="14"/>
        <w:numPr>
          <w:ilvl w:val="1"/>
          <w:numId w:val="37"/>
        </w:numPr>
        <w:spacing w:after="0" w:line="360" w:lineRule="auto"/>
        <w:ind w:left="0" w:firstLine="567"/>
        <w:rPr>
          <w:rFonts w:ascii="宋体" w:hAnsi="宋体"/>
          <w:sz w:val="24"/>
        </w:rPr>
      </w:pPr>
      <w:r>
        <w:rPr>
          <w:rFonts w:hint="eastAsia" w:ascii="宋体" w:hAnsi="宋体"/>
          <w:sz w:val="24"/>
        </w:rPr>
        <w:t>桶换桶垃圾车：8小时作业，满足道路垃圾桶收集要求，垃圾桶要求每天清洗。</w:t>
      </w:r>
    </w:p>
    <w:p>
      <w:pPr>
        <w:pStyle w:val="14"/>
        <w:numPr>
          <w:ilvl w:val="1"/>
          <w:numId w:val="37"/>
        </w:numPr>
        <w:spacing w:after="0" w:line="360" w:lineRule="auto"/>
        <w:ind w:left="0" w:firstLine="567"/>
        <w:rPr>
          <w:rFonts w:ascii="宋体" w:hAnsi="宋体"/>
          <w:sz w:val="24"/>
        </w:rPr>
      </w:pPr>
      <w:r>
        <w:rPr>
          <w:rFonts w:hint="eastAsia" w:ascii="宋体" w:hAnsi="宋体"/>
          <w:sz w:val="24"/>
        </w:rPr>
        <w:t>侧翻桶垃圾收运车：8小时作业，满足道路垃圾桶收集要求。</w:t>
      </w:r>
    </w:p>
    <w:p>
      <w:pPr>
        <w:pStyle w:val="14"/>
        <w:numPr>
          <w:ilvl w:val="1"/>
          <w:numId w:val="37"/>
        </w:numPr>
        <w:spacing w:after="0" w:line="360" w:lineRule="auto"/>
        <w:ind w:left="0" w:firstLine="567"/>
        <w:rPr>
          <w:rFonts w:ascii="宋体" w:hAnsi="宋体"/>
          <w:sz w:val="24"/>
        </w:rPr>
      </w:pPr>
      <w:r>
        <w:rPr>
          <w:rFonts w:hint="eastAsia" w:ascii="宋体" w:hAnsi="宋体"/>
          <w:sz w:val="24"/>
        </w:rPr>
        <w:t>垃圾桶冲洗车：8小时作业，每台班实际作业不低于4小时，循环作业。</w:t>
      </w:r>
    </w:p>
    <w:p>
      <w:pPr>
        <w:pStyle w:val="14"/>
        <w:numPr>
          <w:ilvl w:val="1"/>
          <w:numId w:val="37"/>
        </w:numPr>
        <w:spacing w:after="0" w:line="360" w:lineRule="auto"/>
        <w:ind w:left="0" w:firstLine="567"/>
        <w:rPr>
          <w:rFonts w:ascii="宋体" w:hAnsi="宋体"/>
          <w:sz w:val="24"/>
        </w:rPr>
      </w:pPr>
      <w:r>
        <w:rPr>
          <w:rFonts w:hint="eastAsia" w:ascii="宋体" w:hAnsi="宋体"/>
          <w:sz w:val="24"/>
        </w:rPr>
        <w:t>重要路段每天洒水不低于2遍，其他道路不低于1遍，道路清洗一月一遍。</w:t>
      </w:r>
    </w:p>
    <w:p>
      <w:pPr>
        <w:pStyle w:val="14"/>
        <w:numPr>
          <w:ilvl w:val="1"/>
          <w:numId w:val="37"/>
        </w:numPr>
        <w:spacing w:after="0" w:line="360" w:lineRule="auto"/>
        <w:ind w:left="0" w:firstLine="567"/>
        <w:rPr>
          <w:rFonts w:ascii="宋体" w:hAnsi="宋体"/>
          <w:sz w:val="24"/>
        </w:rPr>
      </w:pPr>
      <w:r>
        <w:rPr>
          <w:rFonts w:hint="eastAsia" w:ascii="宋体" w:hAnsi="宋体"/>
          <w:sz w:val="24"/>
        </w:rPr>
        <w:t>落叶季节的机械化作业时间根据发包方要求，以满足实际作业要求为准。</w:t>
      </w:r>
    </w:p>
    <w:p>
      <w:pPr>
        <w:pStyle w:val="14"/>
        <w:numPr>
          <w:ilvl w:val="1"/>
          <w:numId w:val="34"/>
        </w:numPr>
        <w:tabs>
          <w:tab w:val="left" w:pos="993"/>
        </w:tabs>
        <w:adjustRightInd w:val="0"/>
        <w:snapToGrid w:val="0"/>
        <w:spacing w:after="0" w:line="360" w:lineRule="auto"/>
        <w:ind w:left="0" w:firstLine="480" w:firstLineChars="200"/>
        <w:outlineLvl w:val="4"/>
        <w:rPr>
          <w:rFonts w:ascii="宋体" w:hAnsi="宋体"/>
          <w:sz w:val="24"/>
        </w:rPr>
      </w:pPr>
      <w:r>
        <w:rPr>
          <w:rFonts w:hint="eastAsia" w:ascii="宋体" w:hAnsi="宋体"/>
          <w:sz w:val="24"/>
        </w:rPr>
        <w:t>背街小巷、绿化带等公共区域保洁</w:t>
      </w:r>
    </w:p>
    <w:p>
      <w:pPr>
        <w:pStyle w:val="72"/>
        <w:numPr>
          <w:ilvl w:val="2"/>
          <w:numId w:val="38"/>
        </w:numPr>
        <w:ind w:left="0" w:firstLine="1134" w:firstLineChars="0"/>
        <w:rPr>
          <w:rFonts w:ascii="宋体" w:hAnsi="宋体"/>
          <w:szCs w:val="24"/>
        </w:rPr>
      </w:pPr>
      <w:r>
        <w:rPr>
          <w:rFonts w:hint="eastAsia" w:ascii="宋体" w:hAnsi="宋体"/>
          <w:szCs w:val="24"/>
        </w:rPr>
        <w:t>背街小巷、绿化带等公共区域保洁包含但不仅限于日常人工清扫保洁、卫生死角清理以及沿途两侧的店面、住户所产生的建筑装潢垃圾、各类废弃物等的清理和收集。(道路人行道以商铺外墙为界）。</w:t>
      </w:r>
    </w:p>
    <w:p>
      <w:pPr>
        <w:pStyle w:val="72"/>
        <w:numPr>
          <w:ilvl w:val="2"/>
          <w:numId w:val="38"/>
        </w:numPr>
        <w:ind w:left="0" w:firstLine="1134" w:firstLineChars="0"/>
        <w:rPr>
          <w:rFonts w:ascii="宋体" w:hAnsi="宋体"/>
          <w:szCs w:val="24"/>
        </w:rPr>
      </w:pPr>
      <w:r>
        <w:rPr>
          <w:rFonts w:hint="eastAsia" w:ascii="宋体" w:hAnsi="宋体"/>
          <w:szCs w:val="24"/>
        </w:rPr>
        <w:t>区域范围内视线所及的建（构）筑物、路面、各类设施与杆件等所有非流动物体的平面、立面</w:t>
      </w:r>
      <w:r>
        <w:rPr>
          <w:rFonts w:ascii="宋体" w:hAnsi="宋体"/>
          <w:szCs w:val="24"/>
        </w:rPr>
        <w:t>上乱张贴、刻画、乱涂写广告、宣传品、电话号码等</w:t>
      </w:r>
      <w:r>
        <w:rPr>
          <w:rFonts w:hint="eastAsia" w:ascii="宋体" w:hAnsi="宋体"/>
          <w:szCs w:val="24"/>
        </w:rPr>
        <w:t>各类</w:t>
      </w:r>
      <w:r>
        <w:rPr>
          <w:rFonts w:ascii="宋体" w:hAnsi="宋体"/>
          <w:szCs w:val="24"/>
        </w:rPr>
        <w:t>“牛皮癣”</w:t>
      </w:r>
      <w:r>
        <w:rPr>
          <w:rFonts w:hint="eastAsia" w:ascii="宋体" w:hAnsi="宋体"/>
          <w:szCs w:val="24"/>
        </w:rPr>
        <w:t>清理</w:t>
      </w:r>
      <w:r>
        <w:rPr>
          <w:rFonts w:ascii="宋体" w:hAnsi="宋体"/>
          <w:szCs w:val="24"/>
        </w:rPr>
        <w:t>。</w:t>
      </w:r>
    </w:p>
    <w:p>
      <w:pPr>
        <w:pStyle w:val="14"/>
        <w:numPr>
          <w:ilvl w:val="1"/>
          <w:numId w:val="34"/>
        </w:numPr>
        <w:tabs>
          <w:tab w:val="left" w:pos="993"/>
        </w:tabs>
        <w:adjustRightInd w:val="0"/>
        <w:snapToGrid w:val="0"/>
        <w:spacing w:after="0" w:line="360" w:lineRule="auto"/>
        <w:ind w:left="0" w:firstLine="480" w:firstLineChars="200"/>
        <w:outlineLvl w:val="4"/>
        <w:rPr>
          <w:rFonts w:ascii="宋体" w:hAnsi="宋体"/>
          <w:sz w:val="24"/>
        </w:rPr>
      </w:pPr>
      <w:r>
        <w:rPr>
          <w:rFonts w:hint="eastAsia" w:ascii="宋体" w:hAnsi="宋体"/>
          <w:sz w:val="24"/>
        </w:rPr>
        <w:t>公厕保洁</w:t>
      </w:r>
    </w:p>
    <w:p>
      <w:pPr>
        <w:pStyle w:val="72"/>
        <w:numPr>
          <w:ilvl w:val="1"/>
          <w:numId w:val="39"/>
        </w:numPr>
        <w:ind w:left="0" w:firstLine="480"/>
        <w:rPr>
          <w:rFonts w:ascii="宋体" w:hAnsi="宋体"/>
          <w:szCs w:val="24"/>
        </w:rPr>
      </w:pPr>
      <w:r>
        <w:rPr>
          <w:rFonts w:hint="eastAsia" w:ascii="宋体" w:hAnsi="宋体"/>
        </w:rPr>
        <w:t>实行巡回保洁冲洗</w:t>
      </w:r>
      <w:r>
        <w:rPr>
          <w:rFonts w:hint="eastAsia" w:ascii="宋体" w:hAnsi="宋体"/>
          <w:szCs w:val="24"/>
        </w:rPr>
        <w:t>，厕内保持“六面光”，做到无蛛网、无烟头、无纸屑、无杂物。厕所内外环境整洁，便槽畅通，无污迹、无尿碱、无便垢。</w:t>
      </w:r>
    </w:p>
    <w:p>
      <w:pPr>
        <w:pStyle w:val="72"/>
        <w:numPr>
          <w:ilvl w:val="1"/>
          <w:numId w:val="39"/>
        </w:numPr>
        <w:ind w:left="0" w:firstLine="480"/>
        <w:rPr>
          <w:rFonts w:ascii="宋体" w:hAnsi="宋体"/>
          <w:szCs w:val="24"/>
        </w:rPr>
      </w:pPr>
      <w:r>
        <w:rPr>
          <w:rFonts w:hint="eastAsia" w:ascii="宋体" w:hAnsi="宋体"/>
        </w:rPr>
        <w:t>定期消毒，定期用檀香、蚊香等除味除虫，每日放置樟脑丸除臭。</w:t>
      </w:r>
      <w:r>
        <w:rPr>
          <w:rFonts w:hint="eastAsia" w:ascii="宋体" w:hAnsi="宋体"/>
          <w:szCs w:val="24"/>
        </w:rPr>
        <w:t>4月份至11月份每天二次，保证无蚊蝇孳生。</w:t>
      </w:r>
    </w:p>
    <w:p>
      <w:pPr>
        <w:pStyle w:val="72"/>
        <w:numPr>
          <w:ilvl w:val="1"/>
          <w:numId w:val="39"/>
        </w:numPr>
        <w:ind w:left="0" w:firstLine="480"/>
        <w:rPr>
          <w:rFonts w:ascii="宋体" w:hAnsi="宋体"/>
          <w:szCs w:val="24"/>
        </w:rPr>
      </w:pPr>
      <w:r>
        <w:rPr>
          <w:rFonts w:hint="eastAsia" w:ascii="宋体" w:hAnsi="宋体"/>
          <w:szCs w:val="24"/>
        </w:rPr>
        <w:t xml:space="preserve">定期清理储粪池，盖完好，运输途中不得将粪水污物洒落在地面。 </w:t>
      </w:r>
    </w:p>
    <w:p>
      <w:pPr>
        <w:pStyle w:val="72"/>
        <w:numPr>
          <w:ilvl w:val="1"/>
          <w:numId w:val="39"/>
        </w:numPr>
        <w:ind w:left="0" w:firstLine="480"/>
        <w:rPr>
          <w:rFonts w:ascii="宋体" w:hAnsi="宋体"/>
          <w:szCs w:val="24"/>
        </w:rPr>
      </w:pPr>
      <w:r>
        <w:rPr>
          <w:rFonts w:hint="eastAsia" w:ascii="宋体" w:hAnsi="宋体"/>
          <w:szCs w:val="24"/>
        </w:rPr>
        <w:t>保洁工具摆放整齐。</w:t>
      </w:r>
    </w:p>
    <w:p>
      <w:pPr>
        <w:pStyle w:val="72"/>
        <w:numPr>
          <w:ilvl w:val="1"/>
          <w:numId w:val="39"/>
        </w:numPr>
        <w:ind w:left="0" w:firstLine="480"/>
        <w:rPr>
          <w:rFonts w:ascii="宋体" w:hAnsi="宋体"/>
          <w:szCs w:val="24"/>
        </w:rPr>
      </w:pPr>
      <w:r>
        <w:rPr>
          <w:rFonts w:hint="eastAsia" w:ascii="宋体" w:hAnsi="宋体"/>
          <w:szCs w:val="24"/>
        </w:rPr>
        <w:t>保证公厕内设备设施正常使用，如有水龙头、电灯、马桶、小便池等损坏需及时上报社区，由社区确认后进行及时修复，维修费由社区承担。</w:t>
      </w:r>
    </w:p>
    <w:p>
      <w:pPr>
        <w:pStyle w:val="72"/>
        <w:numPr>
          <w:ilvl w:val="1"/>
          <w:numId w:val="39"/>
        </w:numPr>
        <w:ind w:left="0" w:firstLine="480"/>
        <w:rPr>
          <w:rFonts w:ascii="宋体" w:hAnsi="宋体"/>
          <w:szCs w:val="24"/>
        </w:rPr>
      </w:pPr>
      <w:r>
        <w:rPr>
          <w:rFonts w:hint="eastAsia" w:ascii="宋体" w:hAnsi="宋体"/>
          <w:szCs w:val="24"/>
        </w:rPr>
        <w:t>保洁区域范围内如发现有露天粪缸、粪桶、简易棚厕、直排厕所和旱厕，应立刻通报。</w:t>
      </w:r>
    </w:p>
    <w:p>
      <w:pPr>
        <w:pStyle w:val="14"/>
        <w:numPr>
          <w:ilvl w:val="1"/>
          <w:numId w:val="34"/>
        </w:numPr>
        <w:tabs>
          <w:tab w:val="left" w:pos="993"/>
        </w:tabs>
        <w:adjustRightInd w:val="0"/>
        <w:snapToGrid w:val="0"/>
        <w:spacing w:after="0" w:line="360" w:lineRule="auto"/>
        <w:ind w:left="0" w:firstLine="480" w:firstLineChars="200"/>
        <w:outlineLvl w:val="4"/>
        <w:rPr>
          <w:rFonts w:ascii="宋体" w:hAnsi="宋体"/>
          <w:sz w:val="24"/>
        </w:rPr>
      </w:pPr>
      <w:r>
        <w:rPr>
          <w:rFonts w:hint="eastAsia" w:ascii="宋体" w:hAnsi="宋体"/>
          <w:sz w:val="24"/>
        </w:rPr>
        <w:t>小区保洁</w:t>
      </w:r>
    </w:p>
    <w:p>
      <w:pPr>
        <w:pStyle w:val="72"/>
        <w:numPr>
          <w:ilvl w:val="0"/>
          <w:numId w:val="40"/>
        </w:numPr>
        <w:adjustRightInd w:val="0"/>
        <w:snapToGrid w:val="0"/>
        <w:ind w:left="0" w:firstLine="420" w:firstLineChars="0"/>
      </w:pPr>
      <w:r>
        <w:rPr>
          <w:rFonts w:hint="eastAsia"/>
        </w:rPr>
        <w:t>做好以下开放式小区保洁、大件垃圾清运、楼道乱堆放整治等工作，若开放式小区有增加，根据实际情况再增配，费用签订补充协议。</w:t>
      </w:r>
    </w:p>
    <w:p>
      <w:pPr>
        <w:numPr>
          <w:ilvl w:val="0"/>
          <w:numId w:val="41"/>
        </w:numPr>
        <w:spacing w:line="360" w:lineRule="auto"/>
        <w:ind w:firstLine="431"/>
        <w:rPr>
          <w:rFonts w:ascii="宋体" w:hAnsi="宋体" w:cs="宋体"/>
          <w:sz w:val="24"/>
        </w:rPr>
      </w:pPr>
      <w:r>
        <w:rPr>
          <w:rFonts w:hint="eastAsia" w:ascii="宋体" w:hAnsi="宋体" w:cs="宋体"/>
          <w:sz w:val="24"/>
        </w:rPr>
        <w:t>天凝社区：天成小区、天和苑、凝溪花苑；</w:t>
      </w:r>
    </w:p>
    <w:p>
      <w:pPr>
        <w:numPr>
          <w:ilvl w:val="0"/>
          <w:numId w:val="41"/>
        </w:numPr>
        <w:spacing w:line="360" w:lineRule="auto"/>
        <w:ind w:firstLine="431"/>
        <w:rPr>
          <w:rFonts w:ascii="宋体" w:hAnsi="宋体" w:cs="宋体"/>
          <w:sz w:val="24"/>
        </w:rPr>
      </w:pPr>
      <w:r>
        <w:rPr>
          <w:rFonts w:hint="eastAsia" w:ascii="宋体" w:hAnsi="宋体" w:cs="宋体"/>
          <w:sz w:val="24"/>
        </w:rPr>
        <w:t>洪溪社区：南龙房产、旺家园、文苑小区（协助做好水乡景苑楼道乱堆放）；</w:t>
      </w:r>
    </w:p>
    <w:p>
      <w:pPr>
        <w:numPr>
          <w:ilvl w:val="0"/>
          <w:numId w:val="41"/>
        </w:numPr>
        <w:spacing w:line="360" w:lineRule="auto"/>
        <w:ind w:firstLine="431"/>
        <w:rPr>
          <w:rFonts w:ascii="宋体" w:hAnsi="宋体" w:cs="宋体"/>
          <w:sz w:val="24"/>
        </w:rPr>
      </w:pPr>
      <w:r>
        <w:rPr>
          <w:rFonts w:hint="eastAsia" w:ascii="宋体" w:hAnsi="宋体" w:cs="宋体"/>
          <w:sz w:val="24"/>
        </w:rPr>
        <w:t>杨庙社区：金色家园、东麟花园，并协助做好福馨花园楼道乱堆放工作。</w:t>
      </w:r>
    </w:p>
    <w:p>
      <w:pPr>
        <w:pStyle w:val="72"/>
        <w:numPr>
          <w:ilvl w:val="0"/>
          <w:numId w:val="40"/>
        </w:numPr>
        <w:adjustRightInd w:val="0"/>
        <w:snapToGrid w:val="0"/>
        <w:ind w:left="0" w:firstLine="420" w:firstLineChars="0"/>
      </w:pPr>
      <w:r>
        <w:rPr>
          <w:rFonts w:hint="eastAsia"/>
        </w:rPr>
        <w:t>非开放式小区楼道乱堆放整治等工作。</w:t>
      </w:r>
    </w:p>
    <w:p>
      <w:pPr>
        <w:pStyle w:val="14"/>
        <w:numPr>
          <w:ilvl w:val="1"/>
          <w:numId w:val="34"/>
        </w:numPr>
        <w:tabs>
          <w:tab w:val="left" w:pos="993"/>
        </w:tabs>
        <w:adjustRightInd w:val="0"/>
        <w:snapToGrid w:val="0"/>
        <w:spacing w:after="0" w:line="360" w:lineRule="auto"/>
        <w:ind w:left="0" w:firstLine="480" w:firstLineChars="200"/>
        <w:outlineLvl w:val="4"/>
        <w:rPr>
          <w:rFonts w:ascii="宋体" w:hAnsi="宋体"/>
          <w:sz w:val="24"/>
        </w:rPr>
      </w:pPr>
      <w:r>
        <w:rPr>
          <w:rFonts w:hint="eastAsia" w:ascii="宋体" w:hAnsi="宋体"/>
          <w:sz w:val="24"/>
        </w:rPr>
        <w:t>垃圾分类收集</w:t>
      </w:r>
    </w:p>
    <w:p>
      <w:pPr>
        <w:numPr>
          <w:ilvl w:val="0"/>
          <w:numId w:val="42"/>
        </w:numPr>
        <w:spacing w:line="360" w:lineRule="auto"/>
        <w:ind w:left="0" w:firstLine="480" w:firstLineChars="200"/>
        <w:rPr>
          <w:rFonts w:ascii="宋体" w:hAnsi="宋体" w:cs="宋体"/>
          <w:sz w:val="24"/>
        </w:rPr>
      </w:pPr>
      <w:r>
        <w:rPr>
          <w:rFonts w:hint="eastAsia" w:ascii="宋体" w:hAnsi="宋体" w:cs="宋体"/>
          <w:sz w:val="24"/>
        </w:rPr>
        <w:t>居民小区、机关单位、学校、农贸市场等其他公共场所</w:t>
      </w:r>
    </w:p>
    <w:p>
      <w:pPr>
        <w:spacing w:line="360" w:lineRule="auto"/>
        <w:ind w:firstLine="480" w:firstLineChars="200"/>
        <w:rPr>
          <w:rFonts w:ascii="宋体" w:hAnsi="宋体" w:cs="宋体"/>
          <w:sz w:val="24"/>
        </w:rPr>
      </w:pPr>
      <w:r>
        <w:rPr>
          <w:rFonts w:hint="eastAsia" w:ascii="宋体" w:hAnsi="宋体" w:cs="宋体"/>
          <w:sz w:val="24"/>
        </w:rPr>
        <w:t>生活垃圾分为易腐垃圾、其他垃圾、可回收物、有毒有害垃圾、大件垃圾、建筑垃圾。易腐垃圾采用专用密闭式翻桶车辆或桶换桶运输车辆收运；其他垃圾采用专用密闭式翻桶车辆收运。分类垃圾桶内可回收物采用专用密闭式翻桶车辆收运，智能回收设备中可回收物和楼道内有毒有害垃圾收纳袋中、有毒有害箱体内有毒有害垃圾由浙江裕峰环境服务股份有限公司负责收运。若浙江裕峰环境服务股份有限公司服务合同到期，此部分收运工作由中标保洁公司负责收运。大件垃圾、建筑垃圾每半个月进行清运一次。</w:t>
      </w:r>
    </w:p>
    <w:p>
      <w:pPr>
        <w:numPr>
          <w:ilvl w:val="0"/>
          <w:numId w:val="42"/>
        </w:numPr>
        <w:spacing w:line="360" w:lineRule="auto"/>
        <w:ind w:left="0" w:firstLine="480" w:firstLineChars="200"/>
        <w:rPr>
          <w:rFonts w:ascii="宋体" w:hAnsi="宋体" w:cs="宋体"/>
          <w:sz w:val="24"/>
        </w:rPr>
      </w:pPr>
      <w:r>
        <w:rPr>
          <w:rFonts w:hint="eastAsia" w:ascii="宋体" w:hAnsi="宋体" w:cs="宋体"/>
          <w:sz w:val="24"/>
        </w:rPr>
        <w:t>企业</w:t>
      </w:r>
    </w:p>
    <w:p>
      <w:pPr>
        <w:spacing w:line="360" w:lineRule="auto"/>
        <w:ind w:firstLine="480" w:firstLineChars="200"/>
        <w:rPr>
          <w:rFonts w:ascii="宋体" w:hAnsi="宋体" w:cs="宋体"/>
          <w:sz w:val="24"/>
        </w:rPr>
      </w:pPr>
      <w:r>
        <w:rPr>
          <w:rFonts w:hint="eastAsia" w:ascii="宋体" w:hAnsi="宋体" w:cs="宋体"/>
          <w:sz w:val="24"/>
        </w:rPr>
        <w:t xml:space="preserve"> 生活垃圾分为易腐垃圾、其他垃圾、可回收物。易腐垃圾采用专用密闭式翻桶车辆或桶换桶运输车辆收运，现由浙江伟明环保股份有限公司负责收运，若该公司服务合同到期终止服务，则收运工作由中标保洁公司负责收运。其他垃圾采用专用密闭式翻桶车辆收运。可回收物采用专用密闭式翻桶车辆收运。</w:t>
      </w:r>
    </w:p>
    <w:p>
      <w:pPr>
        <w:numPr>
          <w:ilvl w:val="0"/>
          <w:numId w:val="42"/>
        </w:numPr>
        <w:spacing w:line="360" w:lineRule="auto"/>
        <w:ind w:left="0" w:firstLine="480" w:firstLineChars="200"/>
        <w:rPr>
          <w:rFonts w:ascii="宋体" w:hAnsi="宋体" w:cs="宋体"/>
          <w:sz w:val="24"/>
        </w:rPr>
      </w:pPr>
      <w:r>
        <w:rPr>
          <w:rFonts w:hint="eastAsia" w:ascii="宋体" w:hAnsi="宋体" w:cs="宋体"/>
          <w:sz w:val="24"/>
        </w:rPr>
        <w:t>宾馆、饭店等餐饮单位</w:t>
      </w:r>
    </w:p>
    <w:p>
      <w:pPr>
        <w:spacing w:line="360" w:lineRule="auto"/>
        <w:ind w:firstLine="480" w:firstLineChars="200"/>
        <w:rPr>
          <w:rFonts w:ascii="宋体" w:hAnsi="宋体" w:cs="宋体"/>
          <w:sz w:val="24"/>
        </w:rPr>
      </w:pPr>
      <w:r>
        <w:rPr>
          <w:rFonts w:hint="eastAsia" w:ascii="宋体" w:hAnsi="宋体" w:cs="宋体"/>
          <w:sz w:val="24"/>
        </w:rPr>
        <w:t>生活垃圾分为易腐垃圾、其他垃圾、可回收物。易腐垃圾采用桶换桶运输车辆收运；其他垃圾、可回收物采用专用密闭式翻桶车辆收运或上门分类收集。</w:t>
      </w:r>
    </w:p>
    <w:p>
      <w:pPr>
        <w:pStyle w:val="72"/>
        <w:widowControl/>
        <w:numPr>
          <w:ilvl w:val="0"/>
          <w:numId w:val="43"/>
        </w:numPr>
        <w:tabs>
          <w:tab w:val="left" w:pos="709"/>
        </w:tabs>
        <w:adjustRightInd w:val="0"/>
        <w:snapToGrid w:val="0"/>
        <w:ind w:left="0" w:firstLine="420" w:firstLineChars="0"/>
        <w:jc w:val="left"/>
        <w:rPr>
          <w:rFonts w:ascii="宋体" w:hAnsi="宋体"/>
        </w:rPr>
      </w:pPr>
      <w:r>
        <w:rPr>
          <w:rFonts w:hint="eastAsia" w:ascii="宋体" w:hAnsi="宋体"/>
        </w:rPr>
        <w:t>易腐垃圾收集每天中午前至少一次，如遇夏季等特殊情况应适当增加收集频率，遇到分类错误的应及时进行指导，逐步提高分类准确性。</w:t>
      </w:r>
    </w:p>
    <w:p>
      <w:pPr>
        <w:pStyle w:val="72"/>
        <w:widowControl/>
        <w:numPr>
          <w:ilvl w:val="0"/>
          <w:numId w:val="43"/>
        </w:numPr>
        <w:tabs>
          <w:tab w:val="left" w:pos="709"/>
        </w:tabs>
        <w:adjustRightInd w:val="0"/>
        <w:snapToGrid w:val="0"/>
        <w:ind w:left="0" w:firstLine="420" w:firstLineChars="0"/>
        <w:jc w:val="left"/>
        <w:rPr>
          <w:rFonts w:ascii="宋体" w:hAnsi="宋体"/>
        </w:rPr>
      </w:pPr>
      <w:r>
        <w:rPr>
          <w:rFonts w:hint="eastAsia" w:ascii="宋体" w:hAnsi="宋体"/>
        </w:rPr>
        <w:t>垃圾收集必须为日产日清，当天垃圾当天运完，采用全密封式垃圾运输车运输，清运时应加盖密闭运输，遮盖严实，不得沿途洒落，不得跑冒滴漏，不得乱倾乱倒，不得私自焚烧。垃圾运输车辆定期清洗、保养，保持外观清洁。</w:t>
      </w:r>
    </w:p>
    <w:p>
      <w:pPr>
        <w:pStyle w:val="72"/>
        <w:widowControl/>
        <w:numPr>
          <w:ilvl w:val="0"/>
          <w:numId w:val="43"/>
        </w:numPr>
        <w:tabs>
          <w:tab w:val="left" w:pos="709"/>
        </w:tabs>
        <w:adjustRightInd w:val="0"/>
        <w:snapToGrid w:val="0"/>
        <w:ind w:left="0" w:firstLine="420" w:firstLineChars="0"/>
        <w:jc w:val="left"/>
        <w:rPr>
          <w:rFonts w:ascii="宋体" w:hAnsi="宋体"/>
        </w:rPr>
      </w:pPr>
      <w:r>
        <w:rPr>
          <w:rFonts w:hint="eastAsia" w:ascii="宋体" w:hAnsi="宋体"/>
        </w:rPr>
        <w:t>垃圾分类、处理：对收集的垃圾进行二次分类后处理。</w:t>
      </w:r>
    </w:p>
    <w:p>
      <w:pPr>
        <w:pStyle w:val="72"/>
        <w:widowControl/>
        <w:numPr>
          <w:ilvl w:val="0"/>
          <w:numId w:val="43"/>
        </w:numPr>
        <w:tabs>
          <w:tab w:val="left" w:pos="709"/>
        </w:tabs>
        <w:adjustRightInd w:val="0"/>
        <w:snapToGrid w:val="0"/>
        <w:ind w:left="0" w:firstLine="420" w:firstLineChars="0"/>
        <w:jc w:val="left"/>
        <w:rPr>
          <w:rFonts w:ascii="宋体" w:hAnsi="宋体"/>
        </w:rPr>
      </w:pPr>
      <w:r>
        <w:rPr>
          <w:rFonts w:hint="eastAsia" w:ascii="宋体" w:hAnsi="宋体"/>
        </w:rPr>
        <w:t>收集、运输人员必须着统一带反光标记的安全服装作业，做到遵章守纪讲安全，操作工具统一存放指定地点。</w:t>
      </w:r>
    </w:p>
    <w:p>
      <w:pPr>
        <w:numPr>
          <w:ilvl w:val="0"/>
          <w:numId w:val="42"/>
        </w:numPr>
        <w:spacing w:line="360" w:lineRule="auto"/>
        <w:ind w:left="0" w:firstLine="480" w:firstLineChars="200"/>
        <w:rPr>
          <w:rFonts w:ascii="宋体" w:hAnsi="宋体" w:cs="宋体"/>
          <w:sz w:val="24"/>
        </w:rPr>
      </w:pPr>
      <w:r>
        <w:rPr>
          <w:rFonts w:hint="eastAsia" w:ascii="宋体" w:hAnsi="宋体" w:cs="宋体"/>
          <w:sz w:val="24"/>
        </w:rPr>
        <w:t>招标范围内所有垃圾分类收集。</w:t>
      </w:r>
    </w:p>
    <w:p>
      <w:pPr>
        <w:pStyle w:val="14"/>
        <w:numPr>
          <w:ilvl w:val="1"/>
          <w:numId w:val="34"/>
        </w:numPr>
        <w:tabs>
          <w:tab w:val="left" w:pos="993"/>
        </w:tabs>
        <w:adjustRightInd w:val="0"/>
        <w:snapToGrid w:val="0"/>
        <w:spacing w:after="0" w:line="360" w:lineRule="auto"/>
        <w:ind w:left="0" w:firstLine="480" w:firstLineChars="200"/>
        <w:outlineLvl w:val="4"/>
        <w:rPr>
          <w:rFonts w:ascii="宋体" w:hAnsi="宋体"/>
          <w:sz w:val="24"/>
        </w:rPr>
      </w:pPr>
      <w:r>
        <w:rPr>
          <w:rFonts w:hint="eastAsia" w:ascii="宋体" w:hAnsi="宋体"/>
          <w:sz w:val="24"/>
        </w:rPr>
        <w:t>垃圾容器保洁</w:t>
      </w:r>
    </w:p>
    <w:p>
      <w:pPr>
        <w:pStyle w:val="72"/>
        <w:widowControl/>
        <w:numPr>
          <w:ilvl w:val="0"/>
          <w:numId w:val="44"/>
        </w:numPr>
        <w:tabs>
          <w:tab w:val="left" w:pos="709"/>
        </w:tabs>
        <w:adjustRightInd w:val="0"/>
        <w:snapToGrid w:val="0"/>
        <w:ind w:left="0" w:firstLine="480"/>
        <w:jc w:val="left"/>
        <w:rPr>
          <w:rFonts w:ascii="宋体" w:hAnsi="宋体"/>
        </w:rPr>
      </w:pPr>
      <w:r>
        <w:rPr>
          <w:rFonts w:hint="eastAsia" w:ascii="宋体" w:hAnsi="宋体"/>
        </w:rPr>
        <w:t>区域范围内垃圾容器（垃圾桶、果壳箱、收集房等）和设备设施的清理、清洗、消毒、报修等工作。</w:t>
      </w:r>
      <w:r>
        <w:rPr>
          <w:rFonts w:ascii="宋体" w:hAnsi="宋体"/>
        </w:rPr>
        <w:t xml:space="preserve"> </w:t>
      </w:r>
    </w:p>
    <w:p>
      <w:pPr>
        <w:pStyle w:val="72"/>
        <w:widowControl/>
        <w:numPr>
          <w:ilvl w:val="0"/>
          <w:numId w:val="44"/>
        </w:numPr>
        <w:tabs>
          <w:tab w:val="left" w:pos="709"/>
        </w:tabs>
        <w:adjustRightInd w:val="0"/>
        <w:snapToGrid w:val="0"/>
        <w:ind w:left="0" w:firstLine="480"/>
        <w:jc w:val="left"/>
        <w:rPr>
          <w:rFonts w:ascii="宋体" w:hAnsi="宋体"/>
        </w:rPr>
      </w:pPr>
      <w:r>
        <w:rPr>
          <w:rFonts w:hint="eastAsia" w:ascii="宋体" w:hAnsi="宋体"/>
        </w:rPr>
        <w:t>垃圾桶及果壳箱表面应光滑平整，不允许有波纹、划痕、黑点、杂质、气泡和裂纹。</w:t>
      </w:r>
    </w:p>
    <w:p>
      <w:pPr>
        <w:pStyle w:val="72"/>
        <w:widowControl/>
        <w:numPr>
          <w:ilvl w:val="0"/>
          <w:numId w:val="44"/>
        </w:numPr>
        <w:tabs>
          <w:tab w:val="left" w:pos="709"/>
        </w:tabs>
        <w:adjustRightInd w:val="0"/>
        <w:snapToGrid w:val="0"/>
        <w:ind w:left="0" w:firstLine="480"/>
        <w:jc w:val="left"/>
        <w:rPr>
          <w:rFonts w:ascii="宋体" w:hAnsi="宋体"/>
        </w:rPr>
      </w:pPr>
      <w:r>
        <w:rPr>
          <w:rFonts w:hint="eastAsia" w:ascii="宋体" w:hAnsi="宋体"/>
        </w:rPr>
        <w:t>发现垃圾容器破损应及时向采购人领用更换。</w:t>
      </w:r>
    </w:p>
    <w:p>
      <w:pPr>
        <w:pStyle w:val="72"/>
        <w:widowControl/>
        <w:numPr>
          <w:ilvl w:val="0"/>
          <w:numId w:val="44"/>
        </w:numPr>
        <w:tabs>
          <w:tab w:val="left" w:pos="709"/>
        </w:tabs>
        <w:adjustRightInd w:val="0"/>
        <w:snapToGrid w:val="0"/>
        <w:ind w:left="0" w:firstLine="480"/>
        <w:jc w:val="left"/>
        <w:rPr>
          <w:rFonts w:ascii="宋体" w:hAnsi="宋体"/>
        </w:rPr>
      </w:pPr>
      <w:r>
        <w:rPr>
          <w:rFonts w:hint="eastAsia" w:ascii="宋体" w:hAnsi="宋体"/>
        </w:rPr>
        <w:t>垃圾桶、果壳箱等环卫设施每日循环清洗，确保桶（箱）体干净。定期进行消毒，4至11月份增加消杀频率。进行消毒时，不得使用伪劣消杀药物，禁止野蛮操作。</w:t>
      </w:r>
    </w:p>
    <w:p>
      <w:pPr>
        <w:pStyle w:val="14"/>
        <w:numPr>
          <w:ilvl w:val="1"/>
          <w:numId w:val="34"/>
        </w:numPr>
        <w:tabs>
          <w:tab w:val="left" w:pos="993"/>
        </w:tabs>
        <w:adjustRightInd w:val="0"/>
        <w:snapToGrid w:val="0"/>
        <w:spacing w:after="0" w:line="360" w:lineRule="auto"/>
        <w:ind w:left="0" w:firstLine="480" w:firstLineChars="200"/>
        <w:outlineLvl w:val="4"/>
        <w:rPr>
          <w:rFonts w:ascii="宋体" w:hAnsi="宋体"/>
          <w:sz w:val="24"/>
        </w:rPr>
      </w:pPr>
      <w:r>
        <w:rPr>
          <w:rFonts w:hint="eastAsia" w:ascii="宋体" w:hAnsi="宋体"/>
          <w:sz w:val="24"/>
        </w:rPr>
        <w:t>完成采购人布置的其他保洁任务</w:t>
      </w:r>
    </w:p>
    <w:p>
      <w:pPr>
        <w:pStyle w:val="72"/>
        <w:widowControl/>
        <w:numPr>
          <w:ilvl w:val="0"/>
          <w:numId w:val="32"/>
        </w:numPr>
        <w:tabs>
          <w:tab w:val="left" w:pos="567"/>
        </w:tabs>
        <w:adjustRightInd w:val="0"/>
        <w:snapToGrid w:val="0"/>
        <w:ind w:left="0" w:firstLine="420" w:firstLineChars="0"/>
        <w:jc w:val="left"/>
        <w:outlineLvl w:val="3"/>
        <w:rPr>
          <w:rFonts w:ascii="宋体" w:hAnsi="宋体" w:cs="仿宋"/>
          <w:b/>
          <w:szCs w:val="24"/>
        </w:rPr>
      </w:pPr>
      <w:bookmarkStart w:id="118" w:name="_Toc513560135"/>
      <w:bookmarkStart w:id="119" w:name="_Toc513370328"/>
      <w:bookmarkStart w:id="120" w:name="_Toc513389191"/>
      <w:bookmarkStart w:id="121" w:name="_Toc37183279"/>
      <w:r>
        <w:rPr>
          <w:rFonts w:hint="eastAsia" w:ascii="宋体" w:hAnsi="宋体" w:cs="仿宋"/>
          <w:b/>
          <w:szCs w:val="24"/>
        </w:rPr>
        <w:t>保洁质量</w:t>
      </w:r>
      <w:bookmarkEnd w:id="118"/>
      <w:bookmarkEnd w:id="119"/>
      <w:bookmarkEnd w:id="120"/>
      <w:bookmarkEnd w:id="121"/>
    </w:p>
    <w:p>
      <w:pPr>
        <w:adjustRightInd w:val="0"/>
        <w:snapToGrid w:val="0"/>
        <w:spacing w:line="360" w:lineRule="auto"/>
        <w:ind w:firstLine="480" w:firstLineChars="200"/>
        <w:jc w:val="left"/>
        <w:rPr>
          <w:rFonts w:ascii="宋体" w:hAnsi="宋体"/>
          <w:sz w:val="24"/>
        </w:rPr>
      </w:pPr>
      <w:r>
        <w:rPr>
          <w:rFonts w:hint="eastAsia" w:ascii="宋体" w:hAnsi="宋体"/>
          <w:sz w:val="24"/>
        </w:rPr>
        <w:t>按照城市道路清扫保洁质量与评价标准(CJJ\T126-2008)/中华人民共和国行业标准和浙江省《城市道路清扫保洁质量标准》（DB/1023-2005）及《天凝镇集镇和工业园区保洁服务考核办法》、《天凝镇垃圾中转站、资源化处理站服务考核办法》、《天凝镇全域公共服务管理及镇区保洁服务项目月度检查评分表》进行作业并达标。</w:t>
      </w:r>
    </w:p>
    <w:p>
      <w:pPr>
        <w:pStyle w:val="72"/>
        <w:numPr>
          <w:ilvl w:val="0"/>
          <w:numId w:val="25"/>
        </w:numPr>
        <w:ind w:left="0" w:firstLine="0" w:firstLineChars="0"/>
        <w:outlineLvl w:val="2"/>
        <w:rPr>
          <w:b/>
          <w:szCs w:val="24"/>
        </w:rPr>
      </w:pPr>
      <w:bookmarkStart w:id="122" w:name="_Toc38306993"/>
      <w:r>
        <w:rPr>
          <w:rFonts w:hint="eastAsia"/>
          <w:b/>
          <w:szCs w:val="24"/>
        </w:rPr>
        <w:t>中转站（资源化处理站）运作服务</w:t>
      </w:r>
      <w:bookmarkEnd w:id="122"/>
    </w:p>
    <w:p>
      <w:pPr>
        <w:pStyle w:val="72"/>
        <w:numPr>
          <w:ilvl w:val="0"/>
          <w:numId w:val="45"/>
        </w:numPr>
        <w:adjustRightInd w:val="0"/>
        <w:snapToGrid w:val="0"/>
        <w:ind w:left="567" w:firstLine="0" w:firstLineChars="0"/>
        <w:outlineLvl w:val="3"/>
        <w:rPr>
          <w:rFonts w:ascii="宋体" w:hAnsi="宋体"/>
          <w:b/>
          <w:szCs w:val="24"/>
        </w:rPr>
      </w:pPr>
      <w:bookmarkStart w:id="123" w:name="_Toc513389200"/>
      <w:bookmarkStart w:id="124" w:name="_Toc513714127"/>
      <w:bookmarkStart w:id="125" w:name="_Toc513370335"/>
      <w:bookmarkStart w:id="126" w:name="_Toc513560144"/>
      <w:r>
        <w:rPr>
          <w:rFonts w:hint="eastAsia" w:ascii="宋体" w:hAnsi="宋体"/>
          <w:b/>
          <w:szCs w:val="24"/>
        </w:rPr>
        <w:t>工作范围</w:t>
      </w:r>
    </w:p>
    <w:p>
      <w:pPr>
        <w:pStyle w:val="72"/>
        <w:adjustRightInd w:val="0"/>
        <w:snapToGrid w:val="0"/>
        <w:ind w:firstLine="480"/>
        <w:rPr>
          <w:rFonts w:ascii="宋体" w:hAnsi="宋体"/>
          <w:szCs w:val="24"/>
        </w:rPr>
      </w:pPr>
      <w:r>
        <w:rPr>
          <w:rFonts w:hint="eastAsia" w:ascii="宋体" w:hAnsi="宋体"/>
          <w:szCs w:val="24"/>
        </w:rPr>
        <w:t>杨庙中转站、杨庙资源化处理站、天凝中转站、天凝资源化处理站、洪溪中转站、洪溪资源化处理站。</w:t>
      </w:r>
    </w:p>
    <w:p>
      <w:pPr>
        <w:pStyle w:val="72"/>
        <w:numPr>
          <w:ilvl w:val="0"/>
          <w:numId w:val="45"/>
        </w:numPr>
        <w:adjustRightInd w:val="0"/>
        <w:snapToGrid w:val="0"/>
        <w:ind w:left="567" w:firstLine="0" w:firstLineChars="0"/>
        <w:outlineLvl w:val="3"/>
        <w:rPr>
          <w:rFonts w:ascii="宋体" w:hAnsi="宋体"/>
          <w:b/>
          <w:szCs w:val="24"/>
        </w:rPr>
      </w:pPr>
      <w:r>
        <w:rPr>
          <w:rFonts w:hint="eastAsia" w:ascii="宋体" w:hAnsi="宋体"/>
          <w:b/>
          <w:szCs w:val="24"/>
        </w:rPr>
        <w:t>工作内容</w:t>
      </w:r>
      <w:bookmarkEnd w:id="123"/>
      <w:bookmarkEnd w:id="124"/>
      <w:bookmarkEnd w:id="125"/>
      <w:bookmarkEnd w:id="126"/>
      <w:r>
        <w:rPr>
          <w:rFonts w:hint="eastAsia" w:ascii="宋体" w:hAnsi="宋体"/>
          <w:b/>
          <w:szCs w:val="24"/>
        </w:rPr>
        <w:t>及要求</w:t>
      </w:r>
    </w:p>
    <w:p>
      <w:pPr>
        <w:pStyle w:val="72"/>
        <w:widowControl/>
        <w:numPr>
          <w:ilvl w:val="0"/>
          <w:numId w:val="46"/>
        </w:numPr>
        <w:tabs>
          <w:tab w:val="left" w:pos="709"/>
        </w:tabs>
        <w:adjustRightInd w:val="0"/>
        <w:snapToGrid w:val="0"/>
        <w:ind w:left="0" w:firstLine="480"/>
        <w:jc w:val="left"/>
        <w:rPr>
          <w:rFonts w:ascii="宋体" w:hAnsi="宋体"/>
        </w:rPr>
      </w:pPr>
      <w:r>
        <w:rPr>
          <w:rFonts w:hint="eastAsia" w:ascii="宋体" w:hAnsi="宋体"/>
        </w:rPr>
        <w:t>严格按照操作流程进行规范作业，中转站（资源化处理站）内</w:t>
      </w:r>
      <w:r>
        <w:rPr>
          <w:rFonts w:ascii="宋体" w:hAnsi="宋体"/>
        </w:rPr>
        <w:t>环卫设施</w:t>
      </w:r>
      <w:r>
        <w:rPr>
          <w:rFonts w:hint="eastAsia" w:ascii="宋体" w:hAnsi="宋体"/>
        </w:rPr>
        <w:t>定时清洗、消毒（每月不少于二次），消杀4至11月份每天一次。进行消毒时，不得使用伪劣消杀药物，禁止野蛮操作。</w:t>
      </w:r>
    </w:p>
    <w:p>
      <w:pPr>
        <w:pStyle w:val="72"/>
        <w:widowControl/>
        <w:numPr>
          <w:ilvl w:val="0"/>
          <w:numId w:val="46"/>
        </w:numPr>
        <w:tabs>
          <w:tab w:val="left" w:pos="709"/>
        </w:tabs>
        <w:adjustRightInd w:val="0"/>
        <w:snapToGrid w:val="0"/>
        <w:ind w:left="0" w:firstLine="480"/>
        <w:jc w:val="left"/>
        <w:rPr>
          <w:rFonts w:ascii="宋体" w:hAnsi="宋体"/>
        </w:rPr>
      </w:pPr>
      <w:r>
        <w:rPr>
          <w:rFonts w:hint="eastAsia"/>
          <w:szCs w:val="24"/>
        </w:rPr>
        <w:t>中转站、资源化处理站</w:t>
      </w:r>
      <w:r>
        <w:rPr>
          <w:rFonts w:hint="eastAsia" w:ascii="宋体" w:hAnsi="宋体"/>
        </w:rPr>
        <w:t>内保持整洁，定时清洗、消杀，防止蚊蝇产生。处理中心设施、设备不得擅自拆除，定期对设备、设施（如污水池等）进行维护、清理，保证正常使用。员工如因操作不当造成的设备损坏、运输过程中发生的安全事故等。</w:t>
      </w:r>
    </w:p>
    <w:p>
      <w:pPr>
        <w:pStyle w:val="72"/>
        <w:widowControl/>
        <w:numPr>
          <w:ilvl w:val="0"/>
          <w:numId w:val="46"/>
        </w:numPr>
        <w:tabs>
          <w:tab w:val="left" w:pos="709"/>
        </w:tabs>
        <w:adjustRightInd w:val="0"/>
        <w:snapToGrid w:val="0"/>
        <w:ind w:left="0" w:firstLine="480"/>
        <w:jc w:val="left"/>
        <w:rPr>
          <w:rFonts w:ascii="宋体" w:hAnsi="宋体"/>
          <w:color w:val="FF0000"/>
        </w:rPr>
      </w:pPr>
      <w:r>
        <w:rPr>
          <w:rFonts w:hint="eastAsia" w:ascii="宋体" w:hAnsi="宋体"/>
          <w:color w:val="FF0000"/>
        </w:rPr>
        <w:t>服务期内所需水电费经采购人审批同意后支付。</w:t>
      </w:r>
    </w:p>
    <w:p>
      <w:pPr>
        <w:pStyle w:val="72"/>
        <w:widowControl/>
        <w:numPr>
          <w:ilvl w:val="0"/>
          <w:numId w:val="46"/>
        </w:numPr>
        <w:tabs>
          <w:tab w:val="left" w:pos="709"/>
        </w:tabs>
        <w:adjustRightInd w:val="0"/>
        <w:snapToGrid w:val="0"/>
        <w:ind w:left="0" w:firstLine="480"/>
        <w:jc w:val="left"/>
        <w:rPr>
          <w:rFonts w:ascii="宋体" w:hAnsi="宋体"/>
          <w:color w:val="FF0000"/>
        </w:rPr>
      </w:pPr>
      <w:r>
        <w:rPr>
          <w:rFonts w:hint="eastAsia" w:ascii="宋体" w:hAnsi="宋体"/>
          <w:color w:val="FF0000"/>
        </w:rPr>
        <w:t>服务期内资源化处理站的润滑油脂、易损易耗件、垃圾处理药剂耗材及设备维修费用等采用总价包干方式，不论实际发生金额多少，每年按12万元支付，以后不作调整。各投标人须将相关风险费考虑在其他投标报价中。</w:t>
      </w:r>
    </w:p>
    <w:p>
      <w:pPr>
        <w:pStyle w:val="72"/>
        <w:widowControl/>
        <w:numPr>
          <w:ilvl w:val="0"/>
          <w:numId w:val="46"/>
        </w:numPr>
        <w:tabs>
          <w:tab w:val="left" w:pos="709"/>
        </w:tabs>
        <w:adjustRightInd w:val="0"/>
        <w:snapToGrid w:val="0"/>
        <w:ind w:left="0" w:firstLine="480"/>
        <w:jc w:val="left"/>
        <w:rPr>
          <w:rFonts w:ascii="宋体" w:hAnsi="宋体"/>
          <w:color w:val="FF0000"/>
        </w:rPr>
      </w:pPr>
      <w:r>
        <w:rPr>
          <w:rFonts w:hint="eastAsia" w:ascii="宋体" w:hAnsi="宋体"/>
          <w:color w:val="FF0000"/>
        </w:rPr>
        <w:t>服务期内中转站的润滑油脂、易损易耗件、垃圾处理药剂耗材及设备维修费用等经采购人审批同意后支付，但因员工操作不当造成的设备损坏，维修费用由中标单位承担。</w:t>
      </w:r>
    </w:p>
    <w:p>
      <w:pPr>
        <w:pStyle w:val="72"/>
        <w:widowControl/>
        <w:numPr>
          <w:ilvl w:val="0"/>
          <w:numId w:val="46"/>
        </w:numPr>
        <w:tabs>
          <w:tab w:val="left" w:pos="709"/>
        </w:tabs>
        <w:adjustRightInd w:val="0"/>
        <w:snapToGrid w:val="0"/>
        <w:ind w:left="0" w:firstLine="480"/>
        <w:jc w:val="left"/>
        <w:rPr>
          <w:rFonts w:ascii="宋体" w:hAnsi="宋体"/>
        </w:rPr>
      </w:pPr>
      <w:r>
        <w:rPr>
          <w:rFonts w:hint="eastAsia" w:ascii="宋体" w:hAnsi="宋体"/>
        </w:rPr>
        <w:t>质量要求按《天凝镇垃圾中转站、资源化处理站服务考核办法》。</w:t>
      </w:r>
    </w:p>
    <w:p>
      <w:pPr>
        <w:pStyle w:val="72"/>
        <w:numPr>
          <w:ilvl w:val="1"/>
          <w:numId w:val="23"/>
        </w:numPr>
        <w:ind w:left="0" w:firstLine="0" w:firstLineChars="0"/>
        <w:outlineLvl w:val="1"/>
        <w:rPr>
          <w:rFonts w:ascii="宋体" w:hAnsi="宋体" w:cs="仿宋"/>
          <w:b/>
          <w:sz w:val="28"/>
          <w:szCs w:val="28"/>
        </w:rPr>
      </w:pPr>
      <w:bookmarkStart w:id="127" w:name="_Toc38306994"/>
      <w:r>
        <w:rPr>
          <w:rFonts w:hint="eastAsia" w:ascii="宋体" w:hAnsi="宋体" w:cs="仿宋"/>
          <w:b/>
          <w:sz w:val="28"/>
          <w:szCs w:val="28"/>
        </w:rPr>
        <w:t>人员要求</w:t>
      </w:r>
      <w:bookmarkEnd w:id="127"/>
    </w:p>
    <w:p>
      <w:pPr>
        <w:pStyle w:val="72"/>
        <w:numPr>
          <w:ilvl w:val="0"/>
          <w:numId w:val="47"/>
        </w:numPr>
        <w:adjustRightInd w:val="0"/>
        <w:ind w:firstLineChars="0"/>
        <w:jc w:val="left"/>
        <w:rPr>
          <w:rFonts w:ascii="宋体" w:hAnsi="宋体"/>
        </w:rPr>
      </w:pPr>
      <w:r>
        <w:rPr>
          <w:rFonts w:hint="eastAsia" w:ascii="宋体" w:hAnsi="宋体"/>
        </w:rPr>
        <w:t>人员配备最低要求如下：</w:t>
      </w:r>
    </w:p>
    <w:tbl>
      <w:tblPr>
        <w:tblStyle w:val="40"/>
        <w:tblW w:w="8378" w:type="dxa"/>
        <w:tblInd w:w="94" w:type="dxa"/>
        <w:tblLayout w:type="autofit"/>
        <w:tblCellMar>
          <w:top w:w="0" w:type="dxa"/>
          <w:left w:w="108" w:type="dxa"/>
          <w:bottom w:w="0" w:type="dxa"/>
          <w:right w:w="108" w:type="dxa"/>
        </w:tblCellMar>
      </w:tblPr>
      <w:tblGrid>
        <w:gridCol w:w="960"/>
        <w:gridCol w:w="3360"/>
        <w:gridCol w:w="1540"/>
        <w:gridCol w:w="2518"/>
      </w:tblGrid>
      <w:tr>
        <w:tblPrEx>
          <w:tblCellMar>
            <w:top w:w="0" w:type="dxa"/>
            <w:left w:w="108" w:type="dxa"/>
            <w:bottom w:w="0" w:type="dxa"/>
            <w:right w:w="108" w:type="dxa"/>
          </w:tblCellMar>
        </w:tblPrEx>
        <w:trPr>
          <w:trHeight w:val="504" w:hRule="atLeast"/>
          <w:tblHead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3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岗位</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人数</w:t>
            </w:r>
          </w:p>
        </w:tc>
        <w:tc>
          <w:tcPr>
            <w:tcW w:w="25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0"/>
                <w:szCs w:val="20"/>
              </w:rPr>
            </w:pPr>
            <w:r>
              <w:rPr>
                <w:rFonts w:hint="eastAsia" w:ascii="宋体" w:hAnsi="宋体"/>
                <w:b/>
                <w:bCs/>
                <w:color w:val="000000"/>
                <w:kern w:val="0"/>
                <w:sz w:val="20"/>
                <w:szCs w:val="20"/>
              </w:rPr>
              <w:t>一</w:t>
            </w:r>
            <w:r>
              <w:rPr>
                <w:b/>
                <w:bCs/>
                <w:color w:val="000000"/>
                <w:kern w:val="0"/>
                <w:sz w:val="20"/>
                <w:szCs w:val="20"/>
              </w:rPr>
              <w:t xml:space="preserve"> </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全域公共服务管理</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b/>
                <w:bCs/>
                <w:color w:val="000000"/>
                <w:kern w:val="0"/>
                <w:sz w:val="20"/>
                <w:szCs w:val="20"/>
              </w:rPr>
            </w:pPr>
            <w:r>
              <w:rPr>
                <w:rFonts w:hint="eastAsia"/>
                <w:b/>
                <w:bCs/>
                <w:color w:val="000000"/>
                <w:kern w:val="0"/>
                <w:sz w:val="20"/>
                <w:szCs w:val="20"/>
              </w:rPr>
              <w:t>36</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项目经理</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1</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项目主管</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其中中转站、资源化处理站需明确由1名主管总负责</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文员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2</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工业园区(安全生产)监管员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3</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农贸市场管理员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5</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镇政府保安</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保洁</w:t>
            </w:r>
            <w:r>
              <w:rPr>
                <w:rFonts w:hint="eastAsia" w:ascii="宋体" w:hAnsi="宋体" w:cs="宋体"/>
                <w:color w:val="000000"/>
                <w:kern w:val="0"/>
                <w:sz w:val="20"/>
                <w:szCs w:val="20"/>
              </w:rPr>
              <w:t>（四位一体人居环境整治）、垃圾分类工作监管人员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pStyle w:val="72"/>
              <w:widowControl/>
              <w:numPr>
                <w:ilvl w:val="0"/>
                <w:numId w:val="48"/>
              </w:numPr>
              <w:spacing w:line="240" w:lineRule="auto"/>
              <w:ind w:left="0" w:firstLine="227" w:firstLineChars="0"/>
              <w:jc w:val="center"/>
              <w:rPr>
                <w:color w:val="000000"/>
                <w:kern w:val="0"/>
                <w:sz w:val="20"/>
                <w:szCs w:val="20"/>
              </w:rPr>
            </w:pP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市容市貌、安全、治安辅助管理人员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集镇和工业园区保洁</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164</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1</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项目经理</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24小时开机</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2</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组长</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各社区1人</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3</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仓管</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4</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城市道路、背街小巷、绿化带等公共区域、公厕保洁人员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天凝社区45人，洪溪社区35人，杨庙社区31人</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开放式小区保洁员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天凝社区6人，洪溪社区4人，杨庙社区2人</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6</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垃圾分类收集员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7</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垃圾容器保洁员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8</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机动保洁员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天凝社区3人，洪溪社区3人，杨庙社区3人</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9</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扫地车、洒水车驾驶员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中转站（资源化处理站）运作</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1</w:t>
            </w:r>
          </w:p>
        </w:tc>
        <w:tc>
          <w:tcPr>
            <w:tcW w:w="3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中转站资源化处理站运行人员</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04" w:hRule="atLeast"/>
        </w:trPr>
        <w:tc>
          <w:tcPr>
            <w:tcW w:w="4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b/>
                <w:bCs/>
                <w:color w:val="000000"/>
                <w:kern w:val="0"/>
                <w:sz w:val="20"/>
                <w:szCs w:val="20"/>
              </w:rPr>
            </w:pPr>
            <w:r>
              <w:rPr>
                <w:rFonts w:hint="eastAsia"/>
                <w:b/>
                <w:bCs/>
                <w:color w:val="000000"/>
                <w:kern w:val="0"/>
                <w:sz w:val="20"/>
                <w:szCs w:val="20"/>
              </w:rPr>
              <w:t>206</w:t>
            </w:r>
          </w:p>
        </w:tc>
        <w:tc>
          <w:tcPr>
            <w:tcW w:w="25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　</w:t>
            </w:r>
          </w:p>
        </w:tc>
      </w:tr>
    </w:tbl>
    <w:p>
      <w:pPr>
        <w:adjustRightInd w:val="0"/>
        <w:snapToGrid w:val="0"/>
        <w:spacing w:line="360" w:lineRule="auto"/>
        <w:ind w:firstLine="420" w:firstLineChars="200"/>
        <w:textAlignment w:val="bottom"/>
        <w:rPr>
          <w:rFonts w:ascii="宋体" w:hAnsi="宋体"/>
          <w:color w:val="FF0000"/>
          <w:szCs w:val="21"/>
        </w:rPr>
      </w:pPr>
      <w:r>
        <w:rPr>
          <w:rFonts w:hint="eastAsia" w:ascii="宋体" w:hAnsi="宋体"/>
          <w:color w:val="FF0000"/>
          <w:szCs w:val="21"/>
        </w:rPr>
        <w:t>注：上表为本项目最低人数要求，各投标人应踏勘现场，并根据项目实际情况及招标要求充分考虑投入本项目的实际人数。中标后因投标人安排的人数无法完成相关工作内容而需要增加的费用，采购人不另行支付。</w:t>
      </w:r>
    </w:p>
    <w:p>
      <w:pPr>
        <w:pStyle w:val="72"/>
        <w:numPr>
          <w:ilvl w:val="0"/>
          <w:numId w:val="47"/>
        </w:numPr>
        <w:adjustRightInd w:val="0"/>
        <w:ind w:firstLineChars="0"/>
        <w:jc w:val="left"/>
        <w:rPr>
          <w:rFonts w:ascii="宋体" w:hAnsi="宋体"/>
        </w:rPr>
      </w:pPr>
      <w:r>
        <w:rPr>
          <w:rFonts w:hint="eastAsia" w:ascii="宋体" w:hAnsi="宋体"/>
        </w:rPr>
        <w:t>作业范围内涉及的现有人员原则上由中标供应商全部吸纳，设定过渡期为1个月，过渡期后中标供应商可根据工作要求及员工工作表现决定员工去留，所有作业人员必须按劳动合同法规定执行。</w:t>
      </w:r>
    </w:p>
    <w:p>
      <w:pPr>
        <w:pStyle w:val="72"/>
        <w:numPr>
          <w:ilvl w:val="0"/>
          <w:numId w:val="47"/>
        </w:numPr>
        <w:adjustRightInd w:val="0"/>
        <w:ind w:right="50" w:firstLineChars="0"/>
        <w:jc w:val="left"/>
        <w:rPr>
          <w:rFonts w:ascii="宋体" w:hAnsi="宋体"/>
          <w:szCs w:val="24"/>
        </w:rPr>
      </w:pPr>
      <w:r>
        <w:rPr>
          <w:rFonts w:hint="eastAsia" w:cs="宋体" w:asciiTheme="minorEastAsia" w:hAnsiTheme="minorEastAsia" w:eastAsiaTheme="minorEastAsia"/>
          <w:color w:val="000000"/>
          <w:szCs w:val="21"/>
        </w:rPr>
        <w:t>项目经理、</w:t>
      </w:r>
      <w:r>
        <w:rPr>
          <w:rFonts w:hint="eastAsia" w:asciiTheme="minorEastAsia" w:hAnsiTheme="minorEastAsia" w:eastAsiaTheme="minorEastAsia"/>
          <w:color w:val="000000"/>
          <w:szCs w:val="21"/>
        </w:rPr>
        <w:t>组长、</w:t>
      </w:r>
      <w:r>
        <w:rPr>
          <w:rFonts w:hint="eastAsia"/>
          <w:szCs w:val="21"/>
        </w:rPr>
        <w:t>仓管、</w:t>
      </w:r>
      <w:r>
        <w:rPr>
          <w:rFonts w:hint="eastAsia" w:asciiTheme="minorEastAsia" w:hAnsiTheme="minorEastAsia" w:eastAsiaTheme="minorEastAsia"/>
          <w:color w:val="000000"/>
          <w:szCs w:val="21"/>
        </w:rPr>
        <w:t>扫地车、洒水车驾驶员、</w:t>
      </w:r>
      <w:r>
        <w:rPr>
          <w:rFonts w:hint="eastAsia" w:cs="宋体" w:asciiTheme="minorEastAsia" w:hAnsiTheme="minorEastAsia" w:eastAsiaTheme="minorEastAsia"/>
          <w:color w:val="000000"/>
          <w:szCs w:val="21"/>
        </w:rPr>
        <w:t>中转站资源化处理站运行人员年龄不得超过60周岁，其他</w:t>
      </w:r>
      <w:r>
        <w:rPr>
          <w:rFonts w:hint="eastAsia" w:ascii="宋体" w:hAnsi="宋体"/>
        </w:rPr>
        <w:t>人员年龄不得超过65周岁。</w:t>
      </w:r>
    </w:p>
    <w:p>
      <w:pPr>
        <w:pStyle w:val="72"/>
        <w:numPr>
          <w:ilvl w:val="0"/>
          <w:numId w:val="47"/>
        </w:numPr>
        <w:adjustRightInd w:val="0"/>
        <w:ind w:firstLineChars="0"/>
        <w:jc w:val="left"/>
        <w:rPr>
          <w:rFonts w:ascii="宋体" w:hAnsi="宋体"/>
          <w:szCs w:val="24"/>
        </w:rPr>
      </w:pPr>
      <w:r>
        <w:rPr>
          <w:rFonts w:hint="eastAsia" w:ascii="宋体" w:hAnsi="宋体"/>
        </w:rPr>
        <w:t>中标供应商</w:t>
      </w:r>
      <w:r>
        <w:rPr>
          <w:rFonts w:ascii="宋体" w:hAnsi="宋体"/>
        </w:rPr>
        <w:t>必须对所聘职工负责，</w:t>
      </w:r>
      <w:r>
        <w:rPr>
          <w:rFonts w:hint="eastAsia" w:ascii="宋体" w:hAnsi="宋体"/>
        </w:rPr>
        <w:t>根据采购人要求建立农民工工资专户，每月15日前</w:t>
      </w:r>
      <w:r>
        <w:rPr>
          <w:rFonts w:ascii="宋体" w:hAnsi="宋体"/>
        </w:rPr>
        <w:t>按规定发放工资、福利等有关费用，不得无故克扣或拖延，否则，</w:t>
      </w:r>
      <w:r>
        <w:rPr>
          <w:rFonts w:hint="eastAsia" w:ascii="宋体" w:hAnsi="宋体"/>
        </w:rPr>
        <w:t>按规定没收质量保证金，以及追究由此带来</w:t>
      </w:r>
      <w:r>
        <w:rPr>
          <w:rFonts w:hint="eastAsia" w:ascii="宋体" w:hAnsi="宋体"/>
          <w:szCs w:val="24"/>
        </w:rPr>
        <w:t>的其他损失。</w:t>
      </w:r>
      <w:r>
        <w:rPr>
          <w:rFonts w:ascii="宋体" w:hAnsi="宋体"/>
          <w:szCs w:val="24"/>
        </w:rPr>
        <w:t>作业人员</w:t>
      </w:r>
      <w:r>
        <w:rPr>
          <w:rFonts w:hint="eastAsia" w:ascii="宋体" w:hAnsi="宋体"/>
          <w:szCs w:val="24"/>
        </w:rPr>
        <w:t>工资</w:t>
      </w:r>
      <w:r>
        <w:rPr>
          <w:rFonts w:ascii="宋体" w:hAnsi="宋体"/>
          <w:szCs w:val="24"/>
        </w:rPr>
        <w:t>应</w:t>
      </w:r>
      <w:r>
        <w:rPr>
          <w:rFonts w:hint="eastAsia" w:ascii="宋体" w:hAnsi="宋体"/>
          <w:szCs w:val="24"/>
        </w:rPr>
        <w:t>符合国家有关规定。</w:t>
      </w:r>
    </w:p>
    <w:p>
      <w:pPr>
        <w:pStyle w:val="72"/>
        <w:numPr>
          <w:ilvl w:val="0"/>
          <w:numId w:val="47"/>
        </w:numPr>
        <w:adjustRightInd w:val="0"/>
        <w:ind w:firstLineChars="0"/>
        <w:jc w:val="left"/>
        <w:rPr>
          <w:rFonts w:ascii="宋体" w:hAnsi="宋体"/>
          <w:szCs w:val="24"/>
        </w:rPr>
      </w:pPr>
      <w:r>
        <w:rPr>
          <w:rFonts w:hint="eastAsia" w:ascii="宋体" w:hAnsi="宋体"/>
          <w:szCs w:val="24"/>
        </w:rPr>
        <w:t>保洁人员需掌握垃圾分类知识，保洁公司新招录员工时需对员工进行垃圾分类知识测试，考试分数90分以上为录用条件之一。并对员工进行定期垃圾分类培训，连续两次考试未达到90分者，视为业务知识不合格，公司应当培训合格后再上岗。采购人每季度对工作人员进行垃圾分类知识抽查。</w:t>
      </w:r>
    </w:p>
    <w:p>
      <w:pPr>
        <w:pStyle w:val="72"/>
        <w:numPr>
          <w:ilvl w:val="0"/>
          <w:numId w:val="47"/>
        </w:numPr>
        <w:adjustRightInd w:val="0"/>
        <w:ind w:firstLineChars="0"/>
        <w:jc w:val="left"/>
        <w:rPr>
          <w:rFonts w:ascii="宋体" w:hAnsi="宋体"/>
          <w:szCs w:val="24"/>
        </w:rPr>
      </w:pPr>
      <w:r>
        <w:rPr>
          <w:rFonts w:hint="eastAsia" w:ascii="宋体" w:hAnsi="宋体"/>
          <w:szCs w:val="24"/>
        </w:rPr>
        <w:t>驾驶员须具备驾驶相应车型的驾驶证。</w:t>
      </w:r>
    </w:p>
    <w:p>
      <w:pPr>
        <w:numPr>
          <w:ilvl w:val="0"/>
          <w:numId w:val="47"/>
        </w:numPr>
        <w:autoSpaceDE w:val="0"/>
        <w:autoSpaceDN w:val="0"/>
        <w:adjustRightInd w:val="0"/>
        <w:spacing w:line="360" w:lineRule="auto"/>
        <w:rPr>
          <w:rFonts w:ascii="仿宋_GB2312" w:hAnsi="宋体"/>
          <w:sz w:val="24"/>
          <w:u w:val="single"/>
        </w:rPr>
      </w:pPr>
      <w:r>
        <w:rPr>
          <w:rFonts w:hint="eastAsia" w:ascii="宋体" w:hAnsi="宋体"/>
          <w:sz w:val="24"/>
        </w:rPr>
        <w:t>所有人员工作时间需按岗位着统一工作服，并有所属单位明显标志。</w:t>
      </w:r>
    </w:p>
    <w:p>
      <w:pPr>
        <w:pStyle w:val="72"/>
        <w:numPr>
          <w:ilvl w:val="0"/>
          <w:numId w:val="47"/>
        </w:numPr>
        <w:adjustRightInd w:val="0"/>
        <w:ind w:firstLineChars="0"/>
        <w:jc w:val="left"/>
        <w:rPr>
          <w:rFonts w:ascii="宋体" w:hAnsi="宋体"/>
        </w:rPr>
      </w:pPr>
      <w:r>
        <w:rPr>
          <w:rFonts w:hint="eastAsia" w:ascii="宋体" w:hAnsi="宋体"/>
          <w:szCs w:val="24"/>
        </w:rPr>
        <w:t>所有保洁人员按人力保洁配置要求，</w:t>
      </w:r>
      <w:r>
        <w:rPr>
          <w:rFonts w:ascii="宋体" w:hAnsi="宋体"/>
          <w:szCs w:val="24"/>
        </w:rPr>
        <w:t>实行“四定”管理法：即定人、定路段、定作业时间、定工作责任；现场管理员实行划片跟班</w:t>
      </w:r>
      <w:r>
        <w:rPr>
          <w:rFonts w:ascii="宋体" w:hAnsi="宋体"/>
        </w:rPr>
        <w:t>管理，严格遵守作业时间</w:t>
      </w:r>
      <w:r>
        <w:rPr>
          <w:rFonts w:hint="eastAsia" w:ascii="宋体" w:hAnsi="宋体"/>
        </w:rPr>
        <w:t>。</w:t>
      </w:r>
    </w:p>
    <w:p>
      <w:pPr>
        <w:pStyle w:val="72"/>
        <w:numPr>
          <w:ilvl w:val="0"/>
          <w:numId w:val="47"/>
        </w:numPr>
        <w:adjustRightInd w:val="0"/>
        <w:ind w:firstLineChars="0"/>
        <w:jc w:val="left"/>
        <w:rPr>
          <w:rFonts w:ascii="宋体" w:hAnsi="宋体"/>
        </w:rPr>
      </w:pPr>
      <w:r>
        <w:rPr>
          <w:rFonts w:hint="eastAsia" w:ascii="宋体" w:hAnsi="宋体"/>
        </w:rPr>
        <w:t>培训管理。加强保洁人员培训、考勤、考核，保洁人员每天考勤每月考核，管理员每季培训不少于1次，保洁人员每年培训不少于2次。</w:t>
      </w:r>
    </w:p>
    <w:p>
      <w:pPr>
        <w:numPr>
          <w:ilvl w:val="0"/>
          <w:numId w:val="47"/>
        </w:numPr>
        <w:autoSpaceDE w:val="0"/>
        <w:autoSpaceDN w:val="0"/>
        <w:adjustRightInd w:val="0"/>
        <w:spacing w:line="360" w:lineRule="auto"/>
        <w:rPr>
          <w:rFonts w:ascii="宋体" w:hAnsi="宋体"/>
          <w:sz w:val="24"/>
        </w:rPr>
      </w:pPr>
      <w:r>
        <w:rPr>
          <w:rFonts w:hint="eastAsia" w:ascii="宋体" w:hAnsi="宋体"/>
          <w:sz w:val="24"/>
        </w:rPr>
        <w:t>中标供应商招聘的服务人员要相对固定，中标供应商须为所有作业人员购买人身意外保险（意外伤害死亡赔偿最低不得低于40万，保险时间不得小于本项目服务期）。在合同签订后15天内将全部服务人员名册（包括姓名、身份证号码、保险等信息）报送采购人备案。如投标人未按招标要求提供服务人员名册备案，或投标人员未在服务人员名册中的，采购人将视其违约，可单方面解除合同。</w:t>
      </w:r>
    </w:p>
    <w:p>
      <w:pPr>
        <w:numPr>
          <w:ilvl w:val="0"/>
          <w:numId w:val="47"/>
        </w:numPr>
        <w:tabs>
          <w:tab w:val="left" w:pos="851"/>
          <w:tab w:val="left" w:pos="993"/>
          <w:tab w:val="left" w:pos="1100"/>
        </w:tabs>
        <w:autoSpaceDE w:val="0"/>
        <w:autoSpaceDN w:val="0"/>
        <w:adjustRightInd w:val="0"/>
        <w:spacing w:line="360" w:lineRule="auto"/>
        <w:jc w:val="left"/>
        <w:rPr>
          <w:rFonts w:ascii="宋体" w:hAnsi="宋体"/>
        </w:rPr>
      </w:pPr>
      <w:bookmarkStart w:id="128" w:name="_Hlk3496451"/>
      <w:r>
        <w:rPr>
          <w:rFonts w:hint="eastAsia" w:ascii="宋体" w:hAnsi="宋体"/>
          <w:sz w:val="24"/>
          <w:szCs w:val="22"/>
        </w:rPr>
        <w:t>遇害突发事件，中标供应商须按采购人要求相应加派工作人员进行支援服务。人员须身体健康，精力充沛，耐疲劳，无严重“器质性”病状（如严重心脏病）等对工作影响大的疾病，无心理异常和精神病倾向。支援服务费按相应人员投标报价另计，如支援人员无相应人员报价的，支援费由发包人与中标供应商协商后确定。</w:t>
      </w:r>
      <w:bookmarkEnd w:id="128"/>
    </w:p>
    <w:p>
      <w:pPr>
        <w:pStyle w:val="72"/>
        <w:numPr>
          <w:ilvl w:val="1"/>
          <w:numId w:val="23"/>
        </w:numPr>
        <w:ind w:left="0" w:firstLine="0" w:firstLineChars="0"/>
        <w:outlineLvl w:val="1"/>
        <w:rPr>
          <w:rFonts w:ascii="宋体" w:hAnsi="宋体" w:cs="仿宋"/>
          <w:b/>
          <w:sz w:val="28"/>
          <w:szCs w:val="28"/>
        </w:rPr>
      </w:pPr>
      <w:bookmarkStart w:id="129" w:name="_Toc38306995"/>
      <w:r>
        <w:rPr>
          <w:rFonts w:hint="eastAsia" w:ascii="宋体" w:hAnsi="宋体" w:cs="仿宋"/>
          <w:b/>
          <w:sz w:val="28"/>
          <w:szCs w:val="28"/>
        </w:rPr>
        <w:t>设备要求</w:t>
      </w:r>
      <w:bookmarkEnd w:id="129"/>
    </w:p>
    <w:p>
      <w:pPr>
        <w:numPr>
          <w:ilvl w:val="0"/>
          <w:numId w:val="49"/>
        </w:numPr>
        <w:tabs>
          <w:tab w:val="left" w:pos="851"/>
          <w:tab w:val="left" w:pos="993"/>
          <w:tab w:val="left" w:pos="1100"/>
        </w:tabs>
        <w:autoSpaceDE w:val="0"/>
        <w:autoSpaceDN w:val="0"/>
        <w:adjustRightInd w:val="0"/>
        <w:spacing w:line="360" w:lineRule="auto"/>
        <w:jc w:val="left"/>
        <w:rPr>
          <w:rFonts w:ascii="宋体" w:hAnsi="宋体"/>
          <w:sz w:val="24"/>
        </w:rPr>
      </w:pPr>
      <w:r>
        <w:rPr>
          <w:rFonts w:hint="eastAsia" w:ascii="宋体" w:hAnsi="宋体"/>
          <w:sz w:val="24"/>
        </w:rPr>
        <w:t>设备配备最低要求如下：</w:t>
      </w:r>
    </w:p>
    <w:tbl>
      <w:tblPr>
        <w:tblStyle w:val="40"/>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4744"/>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135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设备名称</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垃圾清运电动车（侧翻桶封闭式）</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垃圾清运车（桶换桶8桶车）</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小型密闭式电动收运车</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快速保洁电瓶车</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高压冲洗车</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3吨扫地车</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8吨洒水车</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7" w:type="dxa"/>
            <w:vAlign w:val="center"/>
          </w:tcPr>
          <w:p>
            <w:pPr>
              <w:pStyle w:val="72"/>
              <w:widowControl/>
              <w:numPr>
                <w:ilvl w:val="0"/>
                <w:numId w:val="50"/>
              </w:numPr>
              <w:spacing w:line="240" w:lineRule="auto"/>
              <w:ind w:firstLineChars="0"/>
              <w:jc w:val="center"/>
              <w:rPr>
                <w:rFonts w:ascii="宋体" w:hAnsi="宋体" w:cs="宋体"/>
                <w:color w:val="000000"/>
                <w:kern w:val="0"/>
                <w:szCs w:val="21"/>
              </w:rPr>
            </w:pPr>
          </w:p>
        </w:tc>
        <w:tc>
          <w:tcPr>
            <w:tcW w:w="4744" w:type="dxa"/>
            <w:shd w:val="clear" w:color="auto" w:fill="auto"/>
            <w:vAlign w:val="center"/>
          </w:tcPr>
          <w:p>
            <w:pPr>
              <w:widowControl/>
              <w:jc w:val="center"/>
              <w:rPr>
                <w:rFonts w:ascii="宋体" w:hAnsi="宋体" w:cs="宋体"/>
                <w:color w:val="000000"/>
                <w:kern w:val="0"/>
                <w:szCs w:val="21"/>
              </w:rPr>
            </w:pPr>
            <w:r>
              <w:rPr>
                <w:rFonts w:hint="eastAsia" w:ascii="宋体" w:hAnsi="宋体" w:cs="宋体"/>
                <w:szCs w:val="21"/>
              </w:rPr>
              <w:t>人力垃圾车等</w:t>
            </w:r>
          </w:p>
        </w:tc>
        <w:tc>
          <w:tcPr>
            <w:tcW w:w="26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120</w:t>
            </w:r>
          </w:p>
        </w:tc>
      </w:tr>
    </w:tbl>
    <w:p>
      <w:pPr>
        <w:adjustRightInd w:val="0"/>
        <w:snapToGrid w:val="0"/>
        <w:spacing w:line="360" w:lineRule="auto"/>
        <w:ind w:firstLine="420" w:firstLineChars="200"/>
        <w:textAlignment w:val="bottom"/>
        <w:rPr>
          <w:rFonts w:ascii="宋体" w:hAnsi="宋体"/>
          <w:color w:val="FF0000"/>
          <w:szCs w:val="21"/>
        </w:rPr>
      </w:pPr>
      <w:r>
        <w:rPr>
          <w:rFonts w:hint="eastAsia" w:ascii="宋体" w:hAnsi="宋体"/>
          <w:color w:val="FF0000"/>
          <w:szCs w:val="21"/>
        </w:rPr>
        <w:t>注：上表为本项目最低设备要求，各投标人应踏勘现场，并根据项目实际情况及招标要求充分考虑投入本项目的设备数量。中标后因投标人安排的设备数量无法完成相关工作内容而需要增加的费用，采购人不另行支付。</w:t>
      </w:r>
    </w:p>
    <w:p>
      <w:pPr>
        <w:numPr>
          <w:ilvl w:val="0"/>
          <w:numId w:val="49"/>
        </w:numPr>
        <w:tabs>
          <w:tab w:val="left" w:pos="851"/>
          <w:tab w:val="left" w:pos="993"/>
          <w:tab w:val="left" w:pos="1100"/>
        </w:tabs>
        <w:autoSpaceDE w:val="0"/>
        <w:autoSpaceDN w:val="0"/>
        <w:adjustRightInd w:val="0"/>
        <w:spacing w:line="360" w:lineRule="auto"/>
        <w:jc w:val="left"/>
        <w:rPr>
          <w:rFonts w:ascii="宋体" w:hAnsi="宋体"/>
          <w:sz w:val="24"/>
          <w:szCs w:val="22"/>
        </w:rPr>
      </w:pPr>
      <w:r>
        <w:rPr>
          <w:rFonts w:hint="eastAsia" w:ascii="宋体" w:hAnsi="宋体"/>
          <w:sz w:val="24"/>
          <w:szCs w:val="22"/>
        </w:rPr>
        <w:t>作业范围内涉及车辆（包含扫地车、洒水车、清运电动车、快速保洁车等），全部由中标供应商采购（供应），采购（供应）车辆需事先征求采购单位意见，经采购单位验收后方可投入使用，采购的机械化作业车辆的配备情况必须与中标供应商投标文件承诺的内容相一致，如中标供应商不能按时投入相关设备的，采购单位有权取消其中标资格。</w:t>
      </w:r>
    </w:p>
    <w:p>
      <w:pPr>
        <w:numPr>
          <w:ilvl w:val="0"/>
          <w:numId w:val="49"/>
        </w:numPr>
        <w:tabs>
          <w:tab w:val="left" w:pos="851"/>
          <w:tab w:val="left" w:pos="993"/>
          <w:tab w:val="left" w:pos="1100"/>
        </w:tabs>
        <w:autoSpaceDE w:val="0"/>
        <w:autoSpaceDN w:val="0"/>
        <w:adjustRightInd w:val="0"/>
        <w:spacing w:line="360" w:lineRule="auto"/>
        <w:jc w:val="left"/>
        <w:rPr>
          <w:rFonts w:ascii="宋体" w:hAnsi="宋体"/>
          <w:sz w:val="24"/>
          <w:szCs w:val="22"/>
        </w:rPr>
      </w:pPr>
      <w:r>
        <w:rPr>
          <w:rFonts w:hint="eastAsia" w:ascii="宋体" w:hAnsi="宋体"/>
          <w:sz w:val="24"/>
          <w:szCs w:val="22"/>
        </w:rPr>
        <w:t>中标供应商所购车辆必须在所在地注册，购买车辆保险。中标供应商必须对所有机动车自行办理车辆年检，保养、维修等工作，购买保险和缴纳规费（包含车船税、强制保险、商业保险、第三者责任险不低于100万）</w:t>
      </w:r>
    </w:p>
    <w:p>
      <w:pPr>
        <w:numPr>
          <w:ilvl w:val="0"/>
          <w:numId w:val="49"/>
        </w:numPr>
        <w:tabs>
          <w:tab w:val="left" w:pos="851"/>
          <w:tab w:val="left" w:pos="993"/>
          <w:tab w:val="left" w:pos="1100"/>
        </w:tabs>
        <w:autoSpaceDE w:val="0"/>
        <w:autoSpaceDN w:val="0"/>
        <w:adjustRightInd w:val="0"/>
        <w:spacing w:line="360" w:lineRule="auto"/>
        <w:jc w:val="left"/>
        <w:rPr>
          <w:rFonts w:ascii="宋体" w:hAnsi="宋体"/>
          <w:sz w:val="24"/>
          <w:szCs w:val="22"/>
        </w:rPr>
      </w:pPr>
      <w:r>
        <w:rPr>
          <w:rFonts w:hint="eastAsia" w:ascii="宋体" w:hAnsi="宋体"/>
          <w:sz w:val="24"/>
          <w:szCs w:val="22"/>
        </w:rPr>
        <w:t>投入本项目的所有设备均须证照齐全（允许租赁，如是租赁需提供租赁合同），若自有设备则设备应不少于八成新；</w:t>
      </w:r>
    </w:p>
    <w:p>
      <w:pPr>
        <w:numPr>
          <w:ilvl w:val="0"/>
          <w:numId w:val="49"/>
        </w:numPr>
        <w:tabs>
          <w:tab w:val="left" w:pos="851"/>
          <w:tab w:val="left" w:pos="993"/>
          <w:tab w:val="left" w:pos="1100"/>
        </w:tabs>
        <w:autoSpaceDE w:val="0"/>
        <w:autoSpaceDN w:val="0"/>
        <w:adjustRightInd w:val="0"/>
        <w:spacing w:line="360" w:lineRule="auto"/>
        <w:jc w:val="left"/>
        <w:rPr>
          <w:rFonts w:ascii="宋体" w:hAnsi="宋体"/>
          <w:sz w:val="24"/>
          <w:szCs w:val="22"/>
        </w:rPr>
      </w:pPr>
      <w:r>
        <w:rPr>
          <w:rFonts w:hint="eastAsia" w:ascii="宋体" w:hAnsi="宋体"/>
          <w:sz w:val="24"/>
          <w:szCs w:val="22"/>
        </w:rPr>
        <w:t>投入本项目的所有设备所发生的人工费、保险费、维修费、油费、维修配件费、车辆保养、违章和交通事故、人员意外伤亡等一切费用均由承包方承担；</w:t>
      </w:r>
    </w:p>
    <w:p>
      <w:pPr>
        <w:numPr>
          <w:ilvl w:val="0"/>
          <w:numId w:val="49"/>
        </w:numPr>
        <w:tabs>
          <w:tab w:val="left" w:pos="851"/>
          <w:tab w:val="left" w:pos="993"/>
          <w:tab w:val="left" w:pos="1100"/>
        </w:tabs>
        <w:autoSpaceDE w:val="0"/>
        <w:autoSpaceDN w:val="0"/>
        <w:adjustRightInd w:val="0"/>
        <w:spacing w:line="360" w:lineRule="auto"/>
        <w:jc w:val="left"/>
        <w:rPr>
          <w:rFonts w:ascii="宋体" w:hAnsi="宋体"/>
          <w:sz w:val="24"/>
          <w:szCs w:val="22"/>
        </w:rPr>
      </w:pPr>
      <w:r>
        <w:rPr>
          <w:rFonts w:hint="eastAsia" w:ascii="宋体" w:hAnsi="宋体"/>
          <w:sz w:val="24"/>
          <w:szCs w:val="22"/>
        </w:rPr>
        <w:t>中标供应商投标文件中配置的现场管理人员和作业岗位，原则上不得作调整。中标供应商采用先进管理方式或改用机械化作业后，确实提高了作业效率及安全系数，可提出作业人数调整申请，经采购单位审核并书面同意后作适当调整。</w:t>
      </w:r>
    </w:p>
    <w:p>
      <w:pPr>
        <w:pStyle w:val="72"/>
        <w:numPr>
          <w:ilvl w:val="1"/>
          <w:numId w:val="23"/>
        </w:numPr>
        <w:ind w:left="0" w:firstLine="0" w:firstLineChars="0"/>
        <w:outlineLvl w:val="1"/>
        <w:rPr>
          <w:rFonts w:ascii="宋体" w:hAnsi="宋体" w:cs="仿宋"/>
          <w:b/>
          <w:sz w:val="28"/>
          <w:szCs w:val="28"/>
        </w:rPr>
      </w:pPr>
      <w:bookmarkStart w:id="130" w:name="_Toc38306996"/>
      <w:r>
        <w:rPr>
          <w:rFonts w:hint="eastAsia" w:ascii="宋体" w:hAnsi="宋体" w:cs="仿宋"/>
          <w:b/>
          <w:sz w:val="28"/>
          <w:szCs w:val="28"/>
        </w:rPr>
        <w:t>其他要求</w:t>
      </w:r>
      <w:bookmarkEnd w:id="130"/>
    </w:p>
    <w:p>
      <w:pPr>
        <w:pStyle w:val="72"/>
        <w:numPr>
          <w:ilvl w:val="0"/>
          <w:numId w:val="51"/>
        </w:numPr>
        <w:ind w:left="0" w:firstLine="420" w:firstLineChars="0"/>
        <w:rPr>
          <w:rFonts w:ascii="宋体" w:hAnsi="宋体"/>
          <w:szCs w:val="24"/>
        </w:rPr>
      </w:pPr>
      <w:r>
        <w:rPr>
          <w:rFonts w:hint="eastAsia" w:ascii="宋体" w:hAnsi="宋体"/>
          <w:szCs w:val="24"/>
        </w:rPr>
        <w:t>本项目所有人员、机械车辆、设备要求中标供应商在在合同签订后15天内必须安排到位，如果不到位采购人将视其违约，可单方面解除合同。</w:t>
      </w:r>
    </w:p>
    <w:p>
      <w:pPr>
        <w:pStyle w:val="72"/>
        <w:numPr>
          <w:ilvl w:val="0"/>
          <w:numId w:val="51"/>
        </w:numPr>
        <w:ind w:left="0" w:firstLine="420" w:firstLineChars="0"/>
        <w:rPr>
          <w:rFonts w:ascii="宋体" w:hAnsi="宋体"/>
          <w:szCs w:val="24"/>
        </w:rPr>
      </w:pPr>
      <w:r>
        <w:rPr>
          <w:rFonts w:hint="eastAsia" w:ascii="宋体" w:hAnsi="宋体"/>
          <w:szCs w:val="24"/>
        </w:rPr>
        <w:t>供应商一旦中标，签订合同后一周内县外企业必须在天凝设立分公司、且须有固定的办公场所（向采购人提交办公场所房屋权属证明或合同期为二年以上（含）房屋租赁合同）。</w:t>
      </w:r>
    </w:p>
    <w:p>
      <w:pPr>
        <w:pStyle w:val="72"/>
        <w:numPr>
          <w:ilvl w:val="0"/>
          <w:numId w:val="51"/>
        </w:numPr>
        <w:ind w:left="0" w:firstLine="420" w:firstLineChars="0"/>
        <w:rPr>
          <w:rFonts w:ascii="宋体" w:hAnsi="宋体" w:cs="宋体"/>
          <w:color w:val="222222"/>
          <w:szCs w:val="24"/>
          <w:shd w:val="clear" w:color="auto" w:fill="FFFFFF"/>
        </w:rPr>
      </w:pPr>
      <w:r>
        <w:rPr>
          <w:rFonts w:hint="eastAsia" w:ascii="宋体" w:hAnsi="宋体" w:cs="宋体"/>
          <w:color w:val="222222"/>
          <w:szCs w:val="24"/>
          <w:shd w:val="clear" w:color="auto" w:fill="FFFFFF"/>
        </w:rPr>
        <w:t>完成本次招标内容需配备清卫工具及材料、保洁用清洁剂、洗涤剂、消毒液、除臭丸、生活垃圾袋等相关易耗品由中标供应商承担。</w:t>
      </w:r>
    </w:p>
    <w:p>
      <w:pPr>
        <w:pStyle w:val="72"/>
        <w:numPr>
          <w:ilvl w:val="1"/>
          <w:numId w:val="23"/>
        </w:numPr>
        <w:ind w:left="0" w:firstLine="0" w:firstLineChars="0"/>
        <w:outlineLvl w:val="1"/>
        <w:rPr>
          <w:rFonts w:ascii="宋体" w:hAnsi="宋体" w:cs="仿宋"/>
          <w:b/>
          <w:sz w:val="28"/>
          <w:szCs w:val="28"/>
        </w:rPr>
      </w:pPr>
      <w:bookmarkStart w:id="131" w:name="_Toc38306997"/>
      <w:r>
        <w:rPr>
          <w:rFonts w:hint="eastAsia" w:ascii="宋体" w:hAnsi="宋体" w:cs="仿宋"/>
          <w:b/>
          <w:sz w:val="28"/>
          <w:szCs w:val="28"/>
        </w:rPr>
        <w:t>合同价款的支付</w:t>
      </w:r>
      <w:bookmarkEnd w:id="131"/>
    </w:p>
    <w:p>
      <w:pPr>
        <w:pStyle w:val="72"/>
        <w:ind w:firstLine="480"/>
      </w:pPr>
      <w:bookmarkStart w:id="132" w:name="_Toc513389192"/>
      <w:bookmarkStart w:id="133" w:name="_Toc513560136"/>
      <w:r>
        <w:rPr>
          <w:rFonts w:hint="eastAsia"/>
        </w:rPr>
        <w:t>本项目合同价由</w:t>
      </w:r>
      <w:r>
        <w:rPr>
          <w:rFonts w:hint="eastAsia" w:ascii="宋体" w:hAnsi="宋体"/>
          <w:szCs w:val="24"/>
        </w:rPr>
        <w:t>全域公共服务管理、集镇和工业园区保洁服务、中转站（资源化处理站）运作服务、暂列金四</w:t>
      </w:r>
      <w:r>
        <w:rPr>
          <w:rFonts w:hint="eastAsia"/>
        </w:rPr>
        <w:t>部分组成，每月应付费用按以下方式计算：</w:t>
      </w:r>
    </w:p>
    <w:p>
      <w:pPr>
        <w:pStyle w:val="72"/>
        <w:ind w:firstLine="480"/>
        <w:rPr>
          <w:rFonts w:ascii="宋体" w:hAnsi="宋体"/>
          <w:color w:val="FF0000"/>
          <w:szCs w:val="24"/>
        </w:rPr>
      </w:pPr>
      <w:r>
        <w:rPr>
          <w:rFonts w:hint="eastAsia" w:ascii="宋体" w:hAnsi="宋体"/>
          <w:color w:val="FF0000"/>
          <w:szCs w:val="24"/>
        </w:rPr>
        <w:t>每月应付费用=（合同价-暂列金）/24</w:t>
      </w:r>
      <w:r>
        <w:rPr>
          <w:rFonts w:hint="eastAsia" w:ascii="宋体" w:hAnsi="宋体"/>
          <w:color w:val="FF0000"/>
        </w:rPr>
        <w:t>-上月考核扣款（如有）+其他增加费用（如支援服务费、大型无主垃圾清运费等）</w:t>
      </w:r>
    </w:p>
    <w:bookmarkEnd w:id="132"/>
    <w:bookmarkEnd w:id="133"/>
    <w:p>
      <w:pPr>
        <w:pStyle w:val="72"/>
        <w:widowControl/>
        <w:tabs>
          <w:tab w:val="left" w:pos="993"/>
        </w:tabs>
        <w:adjustRightInd w:val="0"/>
        <w:snapToGrid w:val="0"/>
        <w:ind w:firstLine="482"/>
        <w:jc w:val="left"/>
        <w:rPr>
          <w:rFonts w:ascii="宋体" w:hAnsi="宋体"/>
        </w:rPr>
      </w:pPr>
      <w:r>
        <w:rPr>
          <w:rFonts w:hint="eastAsia" w:ascii="宋体" w:hAnsi="宋体"/>
          <w:b/>
          <w:szCs w:val="24"/>
          <w:u w:val="single"/>
        </w:rPr>
        <w:t>注：承包人必须在每期服务费的使用时，保证支付民工工资，发包人有监督的权利。如实际承包人未及时支付民工工资，发包人有权直接从服务费中扣除该费用，用于直接支付民工工资。</w:t>
      </w:r>
    </w:p>
    <w:p>
      <w:pPr>
        <w:pStyle w:val="72"/>
        <w:numPr>
          <w:ilvl w:val="1"/>
          <w:numId w:val="23"/>
        </w:numPr>
        <w:ind w:left="0" w:firstLine="0" w:firstLineChars="0"/>
        <w:outlineLvl w:val="1"/>
        <w:rPr>
          <w:rFonts w:ascii="宋体" w:hAnsi="宋体" w:cs="仿宋"/>
          <w:b/>
          <w:sz w:val="28"/>
          <w:szCs w:val="28"/>
        </w:rPr>
      </w:pPr>
      <w:bookmarkStart w:id="134" w:name="_Toc38306998"/>
      <w:r>
        <w:rPr>
          <w:rFonts w:hint="eastAsia" w:ascii="宋体" w:hAnsi="宋体" w:cs="仿宋"/>
          <w:b/>
          <w:sz w:val="28"/>
          <w:szCs w:val="28"/>
        </w:rPr>
        <w:t>考核办法</w:t>
      </w:r>
      <w:bookmarkEnd w:id="134"/>
    </w:p>
    <w:p>
      <w:pPr>
        <w:adjustRightInd w:val="0"/>
        <w:snapToGrid w:val="0"/>
        <w:spacing w:line="360" w:lineRule="auto"/>
        <w:ind w:firstLine="480" w:firstLineChars="200"/>
        <w:rPr>
          <w:rFonts w:ascii="宋体" w:hAnsi="宋体"/>
          <w:b/>
          <w:szCs w:val="21"/>
        </w:rPr>
      </w:pPr>
      <w:r>
        <w:rPr>
          <w:rFonts w:hint="eastAsia" w:asciiTheme="minorEastAsia" w:hAnsiTheme="minorEastAsia" w:eastAsiaTheme="minorEastAsia"/>
          <w:sz w:val="24"/>
        </w:rPr>
        <w:t>详见附件4</w:t>
      </w:r>
      <w:r>
        <w:rPr>
          <w:rFonts w:ascii="宋体" w:hAnsi="宋体"/>
          <w:b/>
          <w:szCs w:val="21"/>
        </w:rPr>
        <w:br w:type="page"/>
      </w:r>
    </w:p>
    <w:p>
      <w:pPr>
        <w:pStyle w:val="20"/>
        <w:snapToGrid w:val="0"/>
        <w:spacing w:before="120" w:after="120" w:line="360" w:lineRule="auto"/>
        <w:jc w:val="center"/>
        <w:outlineLvl w:val="0"/>
        <w:rPr>
          <w:rFonts w:ascii="Times New Roman" w:hAnsi="Times New Roman"/>
          <w:b/>
          <w:bCs/>
          <w:kern w:val="44"/>
          <w:sz w:val="32"/>
          <w:szCs w:val="44"/>
        </w:rPr>
      </w:pPr>
      <w:bookmarkStart w:id="135" w:name="_Toc38306999"/>
      <w:bookmarkStart w:id="136" w:name="_Toc509603412"/>
      <w:bookmarkStart w:id="137" w:name="_Toc513370305"/>
      <w:r>
        <w:rPr>
          <w:rFonts w:hint="eastAsia" w:ascii="Times New Roman" w:hAnsi="Times New Roman"/>
          <w:b/>
          <w:bCs/>
          <w:kern w:val="44"/>
          <w:sz w:val="32"/>
          <w:szCs w:val="44"/>
        </w:rPr>
        <w:t>第四章 评标办法及评分标准</w:t>
      </w:r>
      <w:bookmarkEnd w:id="135"/>
      <w:bookmarkEnd w:id="136"/>
      <w:bookmarkEnd w:id="137"/>
    </w:p>
    <w:p>
      <w:pPr>
        <w:adjustRightInd w:val="0"/>
        <w:snapToGrid w:val="0"/>
        <w:spacing w:line="360" w:lineRule="auto"/>
        <w:ind w:firstLine="420"/>
        <w:rPr>
          <w:rFonts w:ascii="宋体" w:hAnsi="宋体"/>
          <w:sz w:val="24"/>
        </w:rPr>
      </w:pPr>
      <w:r>
        <w:rPr>
          <w:rFonts w:hint="eastAsia" w:ascii="宋体" w:hAnsi="宋体"/>
          <w:sz w:val="24"/>
        </w:rPr>
        <w:t>为公正、公平、科学地选择中标供应商，参照有关法律法规的规定，并结合本项目的实际，制定本办法。</w:t>
      </w:r>
    </w:p>
    <w:p>
      <w:pPr>
        <w:adjustRightInd w:val="0"/>
        <w:snapToGrid w:val="0"/>
        <w:spacing w:line="360" w:lineRule="auto"/>
        <w:ind w:firstLine="420"/>
        <w:rPr>
          <w:rFonts w:ascii="宋体" w:hAnsi="宋体"/>
          <w:sz w:val="24"/>
        </w:rPr>
      </w:pPr>
      <w:r>
        <w:rPr>
          <w:rFonts w:hint="eastAsia" w:ascii="宋体" w:hAnsi="宋体"/>
          <w:sz w:val="24"/>
        </w:rPr>
        <w:t>本办法适用于天凝镇全域公共服务管理及镇区保洁服务项目的评标，</w:t>
      </w:r>
      <w:r>
        <w:rPr>
          <w:rFonts w:hint="eastAsia" w:ascii="宋体" w:hAnsi="宋体"/>
          <w:b/>
          <w:color w:val="0000FF"/>
          <w:sz w:val="24"/>
        </w:rPr>
        <w:t>评标过程中有效投标人不足三家时，是否继续评审由评标委员会决定。</w:t>
      </w:r>
    </w:p>
    <w:p>
      <w:pPr>
        <w:pStyle w:val="72"/>
        <w:numPr>
          <w:ilvl w:val="0"/>
          <w:numId w:val="52"/>
        </w:numPr>
        <w:adjustRightInd w:val="0"/>
        <w:snapToGrid w:val="0"/>
        <w:ind w:left="0" w:firstLine="198" w:firstLineChars="0"/>
        <w:rPr>
          <w:rFonts w:ascii="宋体" w:hAnsi="宋体"/>
          <w:b/>
        </w:rPr>
      </w:pPr>
      <w:r>
        <w:rPr>
          <w:rFonts w:hint="eastAsia" w:ascii="宋体" w:hAnsi="宋体"/>
          <w:b/>
        </w:rPr>
        <w:t>总则</w:t>
      </w:r>
    </w:p>
    <w:p>
      <w:pPr>
        <w:numPr>
          <w:ilvl w:val="0"/>
          <w:numId w:val="53"/>
        </w:numPr>
        <w:adjustRightInd w:val="0"/>
        <w:snapToGrid w:val="0"/>
        <w:spacing w:line="360" w:lineRule="auto"/>
        <w:ind w:left="0" w:firstLine="480" w:firstLineChars="200"/>
        <w:rPr>
          <w:rFonts w:ascii="宋体" w:hAnsi="宋体"/>
          <w:sz w:val="24"/>
        </w:rPr>
      </w:pPr>
      <w:r>
        <w:rPr>
          <w:rFonts w:hint="eastAsia" w:ascii="宋体" w:hAnsi="宋体"/>
          <w:sz w:val="24"/>
        </w:rPr>
        <w:t>本次评标采用综合评分法，总分为100分，</w:t>
      </w:r>
      <w:r>
        <w:rPr>
          <w:rFonts w:hint="eastAsia" w:ascii="宋体" w:hAnsi="宋体"/>
          <w:color w:val="FF0000"/>
          <w:sz w:val="24"/>
        </w:rPr>
        <w:t>其中资信商务及技术分85分、价格分15分。</w:t>
      </w:r>
      <w:r>
        <w:rPr>
          <w:rFonts w:hint="eastAsia" w:ascii="宋体" w:hAnsi="宋体"/>
          <w:sz w:val="24"/>
        </w:rPr>
        <w:t>合格投标人的评标得分为各项目汇总得分，中标候选资格按评标得分由高到低顺序对前三名进行排列，评标得分相同的，按投标报价得分由高到低顺序排列；评标得分及投标报价得分均相同的，按技术得分由高到低顺序排列，仍不能分出前后的，以投标签到先后顺序确定中标供应商。排名第一的投标人为中标候选人，排名第二的投标人为候补中标候选人，其他投标人中标候选资格依此类推。</w:t>
      </w:r>
      <w:r>
        <w:rPr>
          <w:rFonts w:hint="eastAsia" w:ascii="宋体" w:hAnsi="宋体"/>
          <w:b/>
          <w:sz w:val="24"/>
        </w:rPr>
        <w:t>中标供应商拒绝与采购人签订合同的，采购人可以按照评审报告推荐的候补中标候选人名单顺序，确定下一候选人为中标供应商，也可以重新开展采购活动</w:t>
      </w:r>
      <w:r>
        <w:rPr>
          <w:rFonts w:hint="eastAsia" w:ascii="宋体" w:hAnsi="宋体"/>
          <w:sz w:val="24"/>
        </w:rPr>
        <w:t>。评分过程中采用四舍五入法，并保留小数2位。</w:t>
      </w:r>
    </w:p>
    <w:p>
      <w:pPr>
        <w:adjustRightInd w:val="0"/>
        <w:snapToGrid w:val="0"/>
        <w:spacing w:line="360" w:lineRule="auto"/>
        <w:ind w:left="480"/>
        <w:rPr>
          <w:rFonts w:ascii="宋体" w:hAnsi="宋体"/>
          <w:b/>
          <w:sz w:val="24"/>
        </w:rPr>
      </w:pPr>
      <w:r>
        <w:rPr>
          <w:rFonts w:hint="eastAsia" w:ascii="宋体" w:hAnsi="宋体"/>
          <w:b/>
          <w:sz w:val="24"/>
        </w:rPr>
        <w:t>投标人评标综合得分=资信商务及技术分+价格分</w:t>
      </w:r>
    </w:p>
    <w:p>
      <w:pPr>
        <w:pStyle w:val="72"/>
        <w:numPr>
          <w:ilvl w:val="0"/>
          <w:numId w:val="52"/>
        </w:numPr>
        <w:adjustRightInd w:val="0"/>
        <w:snapToGrid w:val="0"/>
        <w:ind w:left="0" w:firstLine="198" w:firstLineChars="0"/>
        <w:rPr>
          <w:rFonts w:ascii="宋体" w:hAnsi="宋体"/>
          <w:b/>
        </w:rPr>
      </w:pPr>
      <w:r>
        <w:rPr>
          <w:rFonts w:hint="eastAsia" w:ascii="宋体" w:hAnsi="宋体"/>
          <w:b/>
        </w:rPr>
        <w:t>评标内容及程序</w:t>
      </w:r>
    </w:p>
    <w:p>
      <w:pPr>
        <w:numPr>
          <w:ilvl w:val="3"/>
          <w:numId w:val="54"/>
        </w:numPr>
        <w:tabs>
          <w:tab w:val="left" w:pos="1134"/>
        </w:tabs>
        <w:adjustRightInd w:val="0"/>
        <w:snapToGrid w:val="0"/>
        <w:spacing w:line="360" w:lineRule="auto"/>
        <w:ind w:left="0" w:firstLine="420"/>
        <w:rPr>
          <w:rFonts w:ascii="宋体" w:hAnsi="宋体"/>
          <w:sz w:val="24"/>
        </w:rPr>
      </w:pPr>
      <w:r>
        <w:rPr>
          <w:rFonts w:hint="eastAsia" w:ascii="宋体" w:hAnsi="宋体"/>
          <w:sz w:val="24"/>
        </w:rPr>
        <w:t>资格审查，审查内容详见采购文件第六章附表“</w:t>
      </w:r>
      <w:r>
        <w:rPr>
          <w:rFonts w:ascii="宋体" w:hAnsi="宋体"/>
          <w:sz w:val="24"/>
        </w:rPr>
        <w:t>资格文件要求的证明材料</w:t>
      </w:r>
      <w:r>
        <w:rPr>
          <w:rFonts w:hint="eastAsia" w:ascii="宋体" w:hAnsi="宋体"/>
          <w:sz w:val="24"/>
        </w:rPr>
        <w:t>”。未按要求提供相应资料或不满足要求的，则认定其资格审查没有通过，不再进行评标。</w:t>
      </w:r>
    </w:p>
    <w:p>
      <w:pPr>
        <w:numPr>
          <w:ilvl w:val="3"/>
          <w:numId w:val="54"/>
        </w:numPr>
        <w:tabs>
          <w:tab w:val="left" w:pos="1134"/>
        </w:tabs>
        <w:adjustRightInd w:val="0"/>
        <w:snapToGrid w:val="0"/>
        <w:spacing w:line="360" w:lineRule="auto"/>
        <w:ind w:left="0" w:firstLine="420"/>
        <w:rPr>
          <w:rFonts w:hAnsi="宋体"/>
          <w:b/>
          <w:bCs/>
          <w:sz w:val="24"/>
        </w:rPr>
      </w:pPr>
      <w:r>
        <w:rPr>
          <w:rFonts w:hint="eastAsia" w:ascii="宋体" w:hAnsi="宋体"/>
          <w:bCs/>
          <w:sz w:val="24"/>
        </w:rPr>
        <w:t>资信商务及技术文件</w:t>
      </w:r>
      <w:r>
        <w:rPr>
          <w:rFonts w:ascii="宋体" w:hAnsi="宋体"/>
          <w:bCs/>
          <w:sz w:val="24"/>
        </w:rPr>
        <w:t>符合性审查，如发现下列情形之一的，投标文件将被视为无效：</w:t>
      </w:r>
    </w:p>
    <w:p>
      <w:pPr>
        <w:numPr>
          <w:ilvl w:val="0"/>
          <w:numId w:val="55"/>
        </w:numPr>
        <w:tabs>
          <w:tab w:val="left" w:pos="993"/>
        </w:tabs>
        <w:adjustRightInd w:val="0"/>
        <w:snapToGrid w:val="0"/>
        <w:spacing w:line="360" w:lineRule="auto"/>
        <w:rPr>
          <w:rFonts w:ascii="仿宋_GB2312"/>
          <w:sz w:val="24"/>
        </w:rPr>
      </w:pPr>
      <w:r>
        <w:rPr>
          <w:rFonts w:hint="eastAsia" w:ascii="宋体" w:hAnsi="宋体"/>
          <w:bCs/>
          <w:sz w:val="24"/>
        </w:rPr>
        <w:t>在资信商务及技术文件中出现报价的；</w:t>
      </w:r>
    </w:p>
    <w:p>
      <w:pPr>
        <w:numPr>
          <w:ilvl w:val="0"/>
          <w:numId w:val="55"/>
        </w:numPr>
        <w:tabs>
          <w:tab w:val="left" w:pos="993"/>
        </w:tabs>
        <w:adjustRightInd w:val="0"/>
        <w:snapToGrid w:val="0"/>
        <w:spacing w:line="360" w:lineRule="auto"/>
        <w:rPr>
          <w:rFonts w:ascii="仿宋_GB2312"/>
          <w:sz w:val="24"/>
        </w:rPr>
      </w:pPr>
      <w:r>
        <w:rPr>
          <w:rFonts w:hint="eastAsia" w:ascii="仿宋_GB2312"/>
          <w:sz w:val="24"/>
        </w:rPr>
        <w:t>投标文件的盖章、签字、装订等不符合采购文件相关规定要求；</w:t>
      </w:r>
    </w:p>
    <w:p>
      <w:pPr>
        <w:numPr>
          <w:ilvl w:val="0"/>
          <w:numId w:val="55"/>
        </w:numPr>
        <w:tabs>
          <w:tab w:val="left" w:pos="993"/>
        </w:tabs>
        <w:adjustRightInd w:val="0"/>
        <w:snapToGrid w:val="0"/>
        <w:spacing w:line="360" w:lineRule="auto"/>
        <w:rPr>
          <w:rFonts w:ascii="仿宋_GB2312"/>
          <w:sz w:val="24"/>
        </w:rPr>
      </w:pPr>
      <w:r>
        <w:rPr>
          <w:rFonts w:hint="eastAsia" w:ascii="仿宋_GB2312"/>
          <w:sz w:val="24"/>
        </w:rPr>
        <w:t>投标文件存在涂改或行间插字等修改处没有投标文件签字人签字证明并加盖单位公章的；</w:t>
      </w:r>
    </w:p>
    <w:p>
      <w:pPr>
        <w:numPr>
          <w:ilvl w:val="0"/>
          <w:numId w:val="55"/>
        </w:numPr>
        <w:tabs>
          <w:tab w:val="left" w:pos="993"/>
        </w:tabs>
        <w:adjustRightInd w:val="0"/>
        <w:snapToGrid w:val="0"/>
        <w:spacing w:line="360" w:lineRule="auto"/>
        <w:rPr>
          <w:rFonts w:ascii="仿宋_GB2312"/>
          <w:sz w:val="24"/>
        </w:rPr>
      </w:pPr>
      <w:r>
        <w:rPr>
          <w:rFonts w:hint="eastAsia" w:ascii="宋体" w:hAnsi="宋体"/>
          <w:sz w:val="24"/>
        </w:rPr>
        <w:t>投标文件未按照采购文件规定的格式填写或关键字迹模糊，无法辨认的；</w:t>
      </w:r>
    </w:p>
    <w:p>
      <w:pPr>
        <w:numPr>
          <w:ilvl w:val="0"/>
          <w:numId w:val="55"/>
        </w:numPr>
        <w:tabs>
          <w:tab w:val="left" w:pos="993"/>
        </w:tabs>
        <w:adjustRightInd w:val="0"/>
        <w:snapToGrid w:val="0"/>
        <w:spacing w:line="360" w:lineRule="auto"/>
        <w:rPr>
          <w:rFonts w:ascii="宋体" w:hAnsi="宋体"/>
          <w:sz w:val="24"/>
        </w:rPr>
      </w:pPr>
      <w:r>
        <w:rPr>
          <w:rFonts w:hint="eastAsia" w:ascii="宋体" w:hAnsi="宋体"/>
          <w:sz w:val="24"/>
        </w:rPr>
        <w:t>发现投标文件有以他人名义投标、串通投标等嫌疑的（须评标委员会成员一致同意）；</w:t>
      </w:r>
    </w:p>
    <w:p>
      <w:pPr>
        <w:numPr>
          <w:ilvl w:val="0"/>
          <w:numId w:val="55"/>
        </w:numPr>
        <w:tabs>
          <w:tab w:val="left" w:pos="993"/>
        </w:tabs>
        <w:adjustRightInd w:val="0"/>
        <w:snapToGrid w:val="0"/>
        <w:spacing w:line="360" w:lineRule="auto"/>
        <w:rPr>
          <w:rFonts w:ascii="宋体" w:hAnsi="宋体"/>
          <w:sz w:val="24"/>
        </w:rPr>
      </w:pPr>
      <w:r>
        <w:rPr>
          <w:rFonts w:hint="eastAsia" w:ascii="宋体" w:hAnsi="宋体"/>
          <w:sz w:val="24"/>
        </w:rPr>
        <w:t>不符合法律法规规定或未满足采购文件实质性要求的其他事项。</w:t>
      </w:r>
    </w:p>
    <w:p>
      <w:pPr>
        <w:numPr>
          <w:ilvl w:val="3"/>
          <w:numId w:val="54"/>
        </w:numPr>
        <w:tabs>
          <w:tab w:val="left" w:pos="1134"/>
        </w:tabs>
        <w:adjustRightInd w:val="0"/>
        <w:snapToGrid w:val="0"/>
        <w:spacing w:line="360" w:lineRule="auto"/>
        <w:ind w:left="0" w:firstLine="420"/>
        <w:rPr>
          <w:rFonts w:hAnsi="宋体"/>
          <w:b/>
          <w:bCs/>
          <w:sz w:val="24"/>
        </w:rPr>
      </w:pPr>
      <w:r>
        <w:rPr>
          <w:rFonts w:hint="eastAsia" w:ascii="宋体" w:hAnsi="宋体"/>
          <w:b/>
          <w:bCs/>
          <w:sz w:val="24"/>
        </w:rPr>
        <w:t>资信商务及技术</w:t>
      </w:r>
      <w:r>
        <w:rPr>
          <w:rFonts w:hint="eastAsia" w:hAnsi="宋体"/>
          <w:b/>
          <w:bCs/>
          <w:sz w:val="24"/>
        </w:rPr>
        <w:t>分</w:t>
      </w:r>
      <w:r>
        <w:rPr>
          <w:rFonts w:ascii="宋体" w:hAnsi="宋体"/>
          <w:b/>
          <w:bCs/>
          <w:sz w:val="24"/>
        </w:rPr>
        <w:t>（</w:t>
      </w:r>
      <w:r>
        <w:rPr>
          <w:rFonts w:hint="eastAsia" w:ascii="宋体" w:hAnsi="宋体"/>
          <w:b/>
          <w:bCs/>
          <w:sz w:val="24"/>
        </w:rPr>
        <w:t>85分）</w:t>
      </w:r>
    </w:p>
    <w:tbl>
      <w:tblPr>
        <w:tblStyle w:val="40"/>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76"/>
        <w:gridCol w:w="618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2095" w:type="dxa"/>
            <w:gridSpan w:val="2"/>
            <w:vAlign w:val="center"/>
          </w:tcPr>
          <w:p>
            <w:pPr>
              <w:pStyle w:val="20"/>
              <w:adjustRightInd w:val="0"/>
              <w:snapToGrid w:val="0"/>
              <w:spacing w:beforeLines="0" w:afterLines="0" w:line="24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评分因素</w:t>
            </w:r>
          </w:p>
        </w:tc>
        <w:tc>
          <w:tcPr>
            <w:tcW w:w="6183" w:type="dxa"/>
            <w:vAlign w:val="center"/>
          </w:tcPr>
          <w:p>
            <w:pPr>
              <w:pStyle w:val="20"/>
              <w:adjustRightInd w:val="0"/>
              <w:snapToGrid w:val="0"/>
              <w:spacing w:beforeLines="0" w:afterLines="0" w:line="24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评分细则</w:t>
            </w:r>
          </w:p>
        </w:tc>
        <w:tc>
          <w:tcPr>
            <w:tcW w:w="851" w:type="dxa"/>
            <w:vAlign w:val="center"/>
          </w:tcPr>
          <w:p>
            <w:pPr>
              <w:pStyle w:val="20"/>
              <w:adjustRightInd w:val="0"/>
              <w:snapToGrid w:val="0"/>
              <w:spacing w:beforeLines="0" w:afterLines="0" w:line="240" w:lineRule="auto"/>
              <w:jc w:val="center"/>
              <w:rPr>
                <w:rFonts w:cs="Arial" w:asciiTheme="minorEastAsia" w:hAnsiTheme="minorEastAsia" w:eastAsiaTheme="minorEastAsia"/>
                <w:sz w:val="21"/>
                <w:szCs w:val="21"/>
              </w:rPr>
            </w:pPr>
            <w:r>
              <w:rPr>
                <w:rFonts w:cs="Arial" w:asciiTheme="minorEastAsia" w:hAnsiTheme="minorEastAsia" w:eastAsiaTheme="minorEastAsia"/>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9" w:type="dxa"/>
            <w:vMerge w:val="restart"/>
            <w:vAlign w:val="center"/>
          </w:tcPr>
          <w:p>
            <w:pPr>
              <w:widowControl/>
              <w:adjustRightInd w:val="0"/>
              <w:snapToGrid w:val="0"/>
              <w:jc w:val="center"/>
              <w:rPr>
                <w:rFonts w:asciiTheme="minorEastAsia" w:hAnsiTheme="minorEastAsia" w:eastAsiaTheme="minorEastAsia"/>
                <w:bCs/>
                <w:szCs w:val="21"/>
              </w:rPr>
            </w:pPr>
            <w:r>
              <w:rPr>
                <w:rFonts w:hint="eastAsia" w:asciiTheme="minorEastAsia" w:hAnsiTheme="minorEastAsia" w:eastAsiaTheme="minorEastAsia"/>
                <w:bCs/>
                <w:szCs w:val="21"/>
              </w:rPr>
              <w:t>资信</w:t>
            </w:r>
            <w:r>
              <w:rPr>
                <w:rFonts w:hint="eastAsia" w:asciiTheme="minorEastAsia" w:hAnsiTheme="minorEastAsia" w:eastAsiaTheme="minorEastAsia"/>
                <w:szCs w:val="21"/>
              </w:rPr>
              <w:t>商务</w:t>
            </w:r>
          </w:p>
          <w:p>
            <w:pPr>
              <w:widowControl/>
              <w:adjustRightInd w:val="0"/>
              <w:snapToGrid w:val="0"/>
              <w:jc w:val="center"/>
              <w:rPr>
                <w:rFonts w:cs="宋体" w:asciiTheme="minorEastAsia" w:hAnsiTheme="minorEastAsia" w:eastAsiaTheme="minorEastAsia"/>
                <w:kern w:val="0"/>
                <w:szCs w:val="21"/>
              </w:rPr>
            </w:pPr>
            <w:r>
              <w:rPr>
                <w:rFonts w:hint="eastAsia" w:asciiTheme="minorEastAsia" w:hAnsiTheme="minorEastAsia" w:eastAsiaTheme="minorEastAsia"/>
                <w:szCs w:val="21"/>
              </w:rPr>
              <w:t>20分</w:t>
            </w:r>
          </w:p>
        </w:tc>
        <w:tc>
          <w:tcPr>
            <w:tcW w:w="1276" w:type="dxa"/>
            <w:vMerge w:val="restart"/>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投标人实业</w:t>
            </w:r>
          </w:p>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（10分）</w:t>
            </w:r>
          </w:p>
        </w:tc>
        <w:tc>
          <w:tcPr>
            <w:tcW w:w="6183"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取得</w:t>
            </w:r>
            <w:r>
              <w:rPr>
                <w:rFonts w:asciiTheme="minorEastAsia" w:hAnsiTheme="minorEastAsia" w:eastAsiaTheme="minorEastAsia"/>
                <w:szCs w:val="21"/>
              </w:rPr>
              <w:t>质量认证（ISO900</w:t>
            </w:r>
            <w:r>
              <w:rPr>
                <w:rFonts w:hint="eastAsia" w:asciiTheme="minorEastAsia" w:hAnsiTheme="minorEastAsia" w:eastAsiaTheme="minorEastAsia"/>
                <w:szCs w:val="21"/>
              </w:rPr>
              <w:t>X</w:t>
            </w:r>
            <w:r>
              <w:rPr>
                <w:rFonts w:asciiTheme="minorEastAsia" w:hAnsiTheme="minorEastAsia" w:eastAsiaTheme="minorEastAsia"/>
                <w:szCs w:val="21"/>
              </w:rPr>
              <w:t>）、环境质量认证（ISO1400</w:t>
            </w:r>
            <w:r>
              <w:rPr>
                <w:rFonts w:hint="eastAsia" w:asciiTheme="minorEastAsia" w:hAnsiTheme="minorEastAsia" w:eastAsiaTheme="minorEastAsia"/>
                <w:szCs w:val="21"/>
              </w:rPr>
              <w:t xml:space="preserve"> X</w:t>
            </w:r>
            <w:r>
              <w:rPr>
                <w:rFonts w:asciiTheme="minorEastAsia" w:hAnsiTheme="minorEastAsia" w:eastAsiaTheme="minorEastAsia"/>
                <w:szCs w:val="21"/>
              </w:rPr>
              <w:t>）、职业安全认证（ISO1800</w:t>
            </w:r>
            <w:r>
              <w:rPr>
                <w:rFonts w:hint="eastAsia" w:asciiTheme="minorEastAsia" w:hAnsiTheme="minorEastAsia" w:eastAsiaTheme="minorEastAsia"/>
                <w:szCs w:val="21"/>
              </w:rPr>
              <w:t xml:space="preserve"> X</w:t>
            </w:r>
            <w:r>
              <w:rPr>
                <w:rFonts w:asciiTheme="minorEastAsia" w:hAnsiTheme="minorEastAsia" w:eastAsiaTheme="minorEastAsia"/>
                <w:szCs w:val="21"/>
              </w:rPr>
              <w:t>）</w:t>
            </w:r>
            <w:r>
              <w:rPr>
                <w:rFonts w:hint="eastAsia" w:asciiTheme="minorEastAsia" w:hAnsiTheme="minorEastAsia" w:eastAsiaTheme="minorEastAsia"/>
                <w:szCs w:val="21"/>
              </w:rPr>
              <w:t>证书</w:t>
            </w:r>
            <w:r>
              <w:rPr>
                <w:rFonts w:asciiTheme="minorEastAsia" w:hAnsiTheme="minorEastAsia" w:eastAsiaTheme="minorEastAsia"/>
                <w:szCs w:val="21"/>
              </w:rPr>
              <w:t>，并在认证有效期内</w:t>
            </w:r>
            <w:r>
              <w:rPr>
                <w:rFonts w:hint="eastAsia" w:asciiTheme="minorEastAsia" w:hAnsiTheme="minorEastAsia" w:eastAsiaTheme="minorEastAsia"/>
                <w:szCs w:val="21"/>
              </w:rPr>
              <w:t>的，每项得1分,最高得3分</w:t>
            </w:r>
            <w:r>
              <w:rPr>
                <w:rFonts w:asciiTheme="minorEastAsia" w:hAnsiTheme="minorEastAsia" w:eastAsiaTheme="minorEastAsia"/>
                <w:szCs w:val="21"/>
              </w:rPr>
              <w:t>。</w:t>
            </w:r>
            <w:r>
              <w:rPr>
                <w:rFonts w:hint="eastAsia" w:asciiTheme="minorEastAsia" w:hAnsiTheme="minorEastAsia" w:eastAsiaTheme="minorEastAsia"/>
                <w:color w:val="FF0000"/>
                <w:szCs w:val="21"/>
              </w:rPr>
              <w:t>（</w:t>
            </w:r>
            <w:r>
              <w:rPr>
                <w:rFonts w:hint="eastAsia" w:cs="宋体" w:asciiTheme="minorEastAsia" w:hAnsiTheme="minorEastAsia" w:eastAsiaTheme="minorEastAsia"/>
                <w:color w:val="FF0000"/>
                <w:kern w:val="0"/>
                <w:szCs w:val="21"/>
              </w:rPr>
              <w:t>相关复印件提供在资信商务及技术文件中，原件备查）</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9" w:type="dxa"/>
            <w:vMerge w:val="continue"/>
            <w:vAlign w:val="center"/>
          </w:tcPr>
          <w:p>
            <w:pPr>
              <w:widowControl/>
              <w:adjustRightInd w:val="0"/>
              <w:snapToGrid w:val="0"/>
              <w:jc w:val="center"/>
              <w:rPr>
                <w:rFonts w:asciiTheme="minorEastAsia" w:hAnsiTheme="minorEastAsia" w:eastAsiaTheme="minorEastAsia"/>
                <w:bCs/>
                <w:szCs w:val="21"/>
              </w:rPr>
            </w:pPr>
          </w:p>
        </w:tc>
        <w:tc>
          <w:tcPr>
            <w:tcW w:w="1276" w:type="dxa"/>
            <w:vMerge w:val="continue"/>
            <w:vAlign w:val="center"/>
          </w:tcPr>
          <w:p>
            <w:pPr>
              <w:adjustRightInd w:val="0"/>
              <w:snapToGrid w:val="0"/>
              <w:jc w:val="center"/>
              <w:rPr>
                <w:rFonts w:asciiTheme="minorEastAsia" w:hAnsiTheme="minorEastAsia" w:eastAsiaTheme="minorEastAsia"/>
                <w:szCs w:val="21"/>
              </w:rPr>
            </w:pPr>
          </w:p>
        </w:tc>
        <w:tc>
          <w:tcPr>
            <w:tcW w:w="6183"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投标人获得工商行政管理部门(市场监督管理局)或经工商行政管理部门(市场监督管理局)规定的协会（需提供工商行政管理部门(市场监督管理局)相关证明文件）颁发的“守合同重信用”或“重合同守信用”荣誉称号且在有效期内（</w:t>
            </w:r>
            <w:r>
              <w:rPr>
                <w:rFonts w:hint="eastAsia" w:cs="宋体" w:asciiTheme="minorEastAsia" w:hAnsiTheme="minorEastAsia" w:eastAsiaTheme="minorEastAsia"/>
                <w:kern w:val="0"/>
                <w:szCs w:val="21"/>
              </w:rPr>
              <w:t>如无有效期的，证书颁发时间须在</w:t>
            </w:r>
            <w:r>
              <w:rPr>
                <w:rFonts w:hint="eastAsia" w:cs="宋体" w:asciiTheme="minorEastAsia" w:hAnsiTheme="minorEastAsia" w:eastAsiaTheme="minorEastAsia"/>
                <w:szCs w:val="21"/>
              </w:rPr>
              <w:t>投标截止日往前追溯3年内</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的得1分，没有不得分。</w:t>
            </w:r>
            <w:r>
              <w:rPr>
                <w:rFonts w:hint="eastAsia" w:asciiTheme="minorEastAsia" w:hAnsiTheme="minorEastAsia" w:eastAsiaTheme="minorEastAsia"/>
                <w:color w:val="FF0000"/>
                <w:szCs w:val="21"/>
              </w:rPr>
              <w:t>（</w:t>
            </w:r>
            <w:r>
              <w:rPr>
                <w:rFonts w:hint="eastAsia" w:cs="宋体" w:asciiTheme="minorEastAsia" w:hAnsiTheme="minorEastAsia" w:eastAsiaTheme="minorEastAsia"/>
                <w:color w:val="FF0000"/>
                <w:kern w:val="0"/>
                <w:szCs w:val="21"/>
              </w:rPr>
              <w:t>相关复印件提供在资信商务及技术文件中，原件备查）</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19" w:type="dxa"/>
            <w:vMerge w:val="continue"/>
            <w:vAlign w:val="center"/>
          </w:tcPr>
          <w:p>
            <w:pPr>
              <w:adjustRightInd w:val="0"/>
              <w:snapToGrid w:val="0"/>
              <w:jc w:val="center"/>
              <w:rPr>
                <w:rFonts w:cs="宋体" w:asciiTheme="minorEastAsia" w:hAnsiTheme="minorEastAsia" w:eastAsiaTheme="minorEastAsia"/>
                <w:kern w:val="0"/>
                <w:szCs w:val="21"/>
              </w:rPr>
            </w:pPr>
          </w:p>
        </w:tc>
        <w:tc>
          <w:tcPr>
            <w:tcW w:w="1276" w:type="dxa"/>
            <w:vMerge w:val="continue"/>
            <w:vAlign w:val="center"/>
          </w:tcPr>
          <w:p>
            <w:pPr>
              <w:adjustRightInd w:val="0"/>
              <w:snapToGrid w:val="0"/>
              <w:jc w:val="center"/>
              <w:rPr>
                <w:rFonts w:asciiTheme="minorEastAsia" w:hAnsiTheme="minorEastAsia" w:eastAsiaTheme="minorEastAsia"/>
                <w:szCs w:val="21"/>
              </w:rPr>
            </w:pPr>
          </w:p>
        </w:tc>
        <w:tc>
          <w:tcPr>
            <w:tcW w:w="6183"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投标人或其管理的项目近三年（</w:t>
            </w:r>
            <w:r>
              <w:rPr>
                <w:rFonts w:hint="eastAsia" w:cs="宋体" w:asciiTheme="minorEastAsia" w:hAnsiTheme="minorEastAsia" w:eastAsiaTheme="minorEastAsia"/>
                <w:szCs w:val="21"/>
              </w:rPr>
              <w:t>自投标截止日起往前追溯3年</w:t>
            </w:r>
            <w:r>
              <w:rPr>
                <w:rFonts w:hint="eastAsia" w:asciiTheme="minorEastAsia" w:hAnsiTheme="minorEastAsia" w:eastAsiaTheme="minorEastAsia"/>
                <w:szCs w:val="21"/>
              </w:rPr>
              <w:t>，以证书颁发日期为准）获得县级（含）以上人民政府（或机关部门）颁发的荣誉称号的，每个得2分，最高得6分</w:t>
            </w:r>
            <w:r>
              <w:rPr>
                <w:rFonts w:asciiTheme="minorEastAsia" w:hAnsiTheme="minorEastAsia" w:eastAsiaTheme="minorEastAsia"/>
                <w:szCs w:val="21"/>
              </w:rPr>
              <w:t>。</w:t>
            </w:r>
            <w:r>
              <w:rPr>
                <w:rFonts w:hint="eastAsia" w:asciiTheme="minorEastAsia" w:hAnsiTheme="minorEastAsia" w:eastAsiaTheme="minorEastAsia"/>
                <w:color w:val="FF0000"/>
                <w:szCs w:val="21"/>
              </w:rPr>
              <w:t>（</w:t>
            </w:r>
            <w:r>
              <w:rPr>
                <w:rFonts w:hint="eastAsia" w:cs="宋体" w:asciiTheme="minorEastAsia" w:hAnsiTheme="minorEastAsia" w:eastAsiaTheme="minorEastAsia"/>
                <w:color w:val="FF0000"/>
                <w:kern w:val="0"/>
                <w:szCs w:val="21"/>
              </w:rPr>
              <w:t>相关证书复印件提供在资信商务及技术文件中，原件备查）</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19" w:type="dxa"/>
            <w:vMerge w:val="continue"/>
            <w:vAlign w:val="center"/>
          </w:tcPr>
          <w:p>
            <w:pPr>
              <w:adjustRightInd w:val="0"/>
              <w:snapToGrid w:val="0"/>
              <w:jc w:val="center"/>
              <w:rPr>
                <w:rFonts w:cs="宋体" w:asciiTheme="minorEastAsia" w:hAnsiTheme="minorEastAsia" w:eastAsiaTheme="minorEastAsia"/>
                <w:kern w:val="0"/>
                <w:szCs w:val="21"/>
              </w:rPr>
            </w:pPr>
          </w:p>
        </w:tc>
        <w:tc>
          <w:tcPr>
            <w:tcW w:w="1276" w:type="dxa"/>
            <w:vAlign w:val="center"/>
          </w:tcPr>
          <w:p>
            <w:pPr>
              <w:adjustRightInd w:val="0"/>
              <w:snapToGrid w:val="0"/>
              <w:outlineLvl w:val="3"/>
              <w:rPr>
                <w:rFonts w:asciiTheme="minorEastAsia" w:hAnsiTheme="minorEastAsia" w:eastAsiaTheme="minorEastAsia"/>
                <w:szCs w:val="21"/>
              </w:rPr>
            </w:pPr>
            <w:r>
              <w:rPr>
                <w:rFonts w:hint="eastAsia" w:asciiTheme="minorEastAsia" w:hAnsiTheme="minorEastAsia" w:eastAsiaTheme="minorEastAsia"/>
                <w:szCs w:val="21"/>
              </w:rPr>
              <w:t>本地化服务</w:t>
            </w:r>
          </w:p>
          <w:p>
            <w:pPr>
              <w:adjustRightInd w:val="0"/>
              <w:snapToGrid w:val="0"/>
              <w:outlineLvl w:val="3"/>
              <w:rPr>
                <w:rFonts w:asciiTheme="minorEastAsia" w:hAnsiTheme="minorEastAsia" w:eastAsiaTheme="minorEastAsia"/>
                <w:szCs w:val="21"/>
              </w:rPr>
            </w:pPr>
            <w:r>
              <w:rPr>
                <w:rFonts w:hint="eastAsia" w:asciiTheme="minorEastAsia" w:hAnsiTheme="minorEastAsia" w:eastAsiaTheme="minorEastAsia"/>
                <w:szCs w:val="21"/>
              </w:rPr>
              <w:t>（3分）</w:t>
            </w:r>
          </w:p>
        </w:tc>
        <w:tc>
          <w:tcPr>
            <w:tcW w:w="6183"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投标人注册地在嘉善县内或已在嘉善县内依法注册设有分支机构的得3分；投标人注册地在嘉善县外嘉兴市内或已在嘉善县外嘉兴市内依法注册设有分支机构的得2分；投标人注册地在嘉兴市外浙江省内或已在嘉兴市外浙江省内依法注册设有分支机构的得1分；否则不得分。</w:t>
            </w:r>
            <w:r>
              <w:rPr>
                <w:rFonts w:hint="eastAsia" w:cs="宋体" w:asciiTheme="minorEastAsia" w:hAnsiTheme="minorEastAsia" w:eastAsiaTheme="minorEastAsia"/>
                <w:color w:val="FF0000"/>
                <w:kern w:val="0"/>
                <w:szCs w:val="21"/>
              </w:rPr>
              <w:t>（注册地以营业执照地址为准，相关复印件提供在投标文件中，原件备查)</w:t>
            </w:r>
          </w:p>
        </w:tc>
        <w:tc>
          <w:tcPr>
            <w:tcW w:w="851"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819" w:type="dxa"/>
            <w:vMerge w:val="continue"/>
            <w:vAlign w:val="center"/>
          </w:tcPr>
          <w:p>
            <w:pPr>
              <w:adjustRightInd w:val="0"/>
              <w:snapToGrid w:val="0"/>
              <w:jc w:val="center"/>
              <w:rPr>
                <w:rFonts w:cs="宋体" w:asciiTheme="minorEastAsia" w:hAnsiTheme="minorEastAsia" w:eastAsiaTheme="minorEastAsia"/>
                <w:kern w:val="0"/>
                <w:szCs w:val="21"/>
              </w:rPr>
            </w:pPr>
          </w:p>
        </w:tc>
        <w:tc>
          <w:tcPr>
            <w:tcW w:w="1276" w:type="dxa"/>
            <w:vMerge w:val="restart"/>
            <w:vAlign w:val="center"/>
          </w:tcPr>
          <w:p>
            <w:pPr>
              <w:pStyle w:val="15"/>
              <w:adjustRightInd w:val="0"/>
              <w:snapToGrid w:val="0"/>
              <w:spacing w:line="240" w:lineRule="auto"/>
              <w:ind w:firstLine="0"/>
              <w:jc w:val="center"/>
              <w:rPr>
                <w:rFonts w:asciiTheme="minorEastAsia" w:hAnsiTheme="minorEastAsia" w:eastAsiaTheme="minorEastAsia"/>
                <w:sz w:val="21"/>
                <w:szCs w:val="21"/>
              </w:rPr>
            </w:pPr>
            <w:r>
              <w:rPr>
                <w:rFonts w:hint="eastAsia" w:asciiTheme="minorEastAsia" w:hAnsiTheme="minorEastAsia" w:eastAsiaTheme="minorEastAsia"/>
                <w:spacing w:val="0"/>
                <w:sz w:val="21"/>
                <w:szCs w:val="21"/>
              </w:rPr>
              <w:t>同类项目业绩（7分）</w:t>
            </w:r>
          </w:p>
        </w:tc>
        <w:tc>
          <w:tcPr>
            <w:tcW w:w="6183" w:type="dxa"/>
            <w:vAlign w:val="center"/>
          </w:tcPr>
          <w:p>
            <w:pPr>
              <w:adjustRightInd w:val="0"/>
              <w:snapToGrid w:val="0"/>
              <w:rPr>
                <w:rFonts w:asciiTheme="minorEastAsia" w:hAnsiTheme="minorEastAsia" w:eastAsiaTheme="minorEastAsia"/>
                <w:szCs w:val="21"/>
              </w:rPr>
            </w:pPr>
            <w:r>
              <w:rPr>
                <w:rFonts w:hint="eastAsia" w:cs="Arial" w:asciiTheme="minorEastAsia" w:hAnsiTheme="minorEastAsia" w:eastAsiaTheme="minorEastAsia"/>
                <w:kern w:val="0"/>
                <w:szCs w:val="21"/>
              </w:rPr>
              <w:t>近三年（自投标截止之日起向前追溯三年，</w:t>
            </w:r>
            <w:r>
              <w:rPr>
                <w:rFonts w:hint="eastAsia" w:cs="宋体" w:asciiTheme="minorEastAsia" w:hAnsiTheme="minorEastAsia" w:eastAsiaTheme="minorEastAsia"/>
                <w:kern w:val="0"/>
                <w:szCs w:val="21"/>
              </w:rPr>
              <w:t>以合同签订时间为准</w:t>
            </w:r>
            <w:r>
              <w:rPr>
                <w:rFonts w:hint="eastAsia" w:cs="Arial" w:asciiTheme="minorEastAsia" w:hAnsiTheme="minorEastAsia" w:eastAsiaTheme="minorEastAsia"/>
                <w:kern w:val="0"/>
                <w:szCs w:val="21"/>
              </w:rPr>
              <w:t>）投标人承接的</w:t>
            </w:r>
            <w:r>
              <w:rPr>
                <w:rFonts w:hint="eastAsia" w:asciiTheme="minorEastAsia" w:hAnsiTheme="minorEastAsia" w:eastAsiaTheme="minorEastAsia"/>
                <w:szCs w:val="21"/>
              </w:rPr>
              <w:t>500万元（含）-1000万元</w:t>
            </w:r>
            <w:r>
              <w:rPr>
                <w:rFonts w:hint="eastAsia" w:cs="Arial" w:asciiTheme="minorEastAsia" w:hAnsiTheme="minorEastAsia" w:eastAsiaTheme="minorEastAsia"/>
                <w:kern w:val="0"/>
                <w:szCs w:val="21"/>
              </w:rPr>
              <w:t>保洁服务的，每个项目得0.5分；承接的</w:t>
            </w:r>
            <w:r>
              <w:rPr>
                <w:rFonts w:hint="eastAsia" w:asciiTheme="minorEastAsia" w:hAnsiTheme="minorEastAsia" w:eastAsiaTheme="minorEastAsia"/>
                <w:szCs w:val="21"/>
              </w:rPr>
              <w:t>1000万元及以上</w:t>
            </w:r>
            <w:r>
              <w:rPr>
                <w:rFonts w:hint="eastAsia" w:cs="Arial" w:asciiTheme="minorEastAsia" w:hAnsiTheme="minorEastAsia" w:eastAsiaTheme="minorEastAsia"/>
                <w:kern w:val="0"/>
                <w:szCs w:val="21"/>
              </w:rPr>
              <w:t>保洁服务的，每个项目得1分；本项目</w:t>
            </w:r>
            <w:r>
              <w:rPr>
                <w:rFonts w:hint="eastAsia" w:asciiTheme="minorEastAsia" w:hAnsiTheme="minorEastAsia" w:eastAsiaTheme="minorEastAsia"/>
                <w:szCs w:val="21"/>
              </w:rPr>
              <w:t>最多得3分</w:t>
            </w:r>
          </w:p>
          <w:p>
            <w:pPr>
              <w:adjustRightInd w:val="0"/>
              <w:snapToGrid w:val="0"/>
              <w:rPr>
                <w:rFonts w:asciiTheme="minorEastAsia" w:hAnsiTheme="minorEastAsia" w:eastAsiaTheme="minorEastAsia"/>
                <w:szCs w:val="21"/>
              </w:rPr>
            </w:pPr>
            <w:r>
              <w:rPr>
                <w:rFonts w:hint="eastAsia" w:cs="宋体" w:asciiTheme="minorEastAsia" w:hAnsiTheme="minorEastAsia" w:eastAsiaTheme="minorEastAsia"/>
                <w:color w:val="FF0000"/>
                <w:kern w:val="0"/>
                <w:szCs w:val="21"/>
              </w:rPr>
              <w:t>（如合同包括保洁及其他内容的，以保洁部分价格为准，合同中未注明保洁金额的，需提供相关证明材料，合同及证明材料复印件提供资信商务及技术文件中，原件备查）</w:t>
            </w:r>
            <w:r>
              <w:rPr>
                <w:rFonts w:hint="eastAsia" w:hAnsi="宋体" w:cs="宋体"/>
                <w:kern w:val="0"/>
                <w:szCs w:val="21"/>
              </w:rPr>
              <w:t>。</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9" w:type="dxa"/>
            <w:vMerge w:val="continue"/>
            <w:vAlign w:val="center"/>
          </w:tcPr>
          <w:p>
            <w:pPr>
              <w:adjustRightInd w:val="0"/>
              <w:snapToGrid w:val="0"/>
              <w:jc w:val="center"/>
              <w:rPr>
                <w:rFonts w:cs="宋体" w:asciiTheme="minorEastAsia" w:hAnsiTheme="minorEastAsia" w:eastAsiaTheme="minorEastAsia"/>
                <w:kern w:val="0"/>
                <w:szCs w:val="21"/>
              </w:rPr>
            </w:pPr>
          </w:p>
        </w:tc>
        <w:tc>
          <w:tcPr>
            <w:tcW w:w="1276" w:type="dxa"/>
            <w:vMerge w:val="continue"/>
            <w:vAlign w:val="center"/>
          </w:tcPr>
          <w:p>
            <w:pPr>
              <w:pStyle w:val="15"/>
              <w:adjustRightInd w:val="0"/>
              <w:snapToGrid w:val="0"/>
              <w:spacing w:line="240" w:lineRule="auto"/>
              <w:ind w:firstLine="0"/>
              <w:jc w:val="center"/>
              <w:rPr>
                <w:rFonts w:asciiTheme="minorEastAsia" w:hAnsiTheme="minorEastAsia" w:eastAsiaTheme="minorEastAsia"/>
                <w:spacing w:val="0"/>
                <w:sz w:val="21"/>
                <w:szCs w:val="21"/>
              </w:rPr>
            </w:pPr>
          </w:p>
        </w:tc>
        <w:tc>
          <w:tcPr>
            <w:tcW w:w="6183" w:type="dxa"/>
            <w:vAlign w:val="center"/>
          </w:tcPr>
          <w:p>
            <w:pPr>
              <w:adjustRightInd w:val="0"/>
              <w:snapToGrid w:val="0"/>
              <w:rPr>
                <w:rFonts w:cs="Arial" w:asciiTheme="minorEastAsia" w:hAnsiTheme="minorEastAsia" w:eastAsiaTheme="minorEastAsia"/>
                <w:kern w:val="0"/>
                <w:szCs w:val="21"/>
              </w:rPr>
            </w:pPr>
            <w:r>
              <w:rPr>
                <w:rFonts w:hint="eastAsia" w:ascii="宋体" w:hAnsi="宋体" w:cs="Arial"/>
                <w:kern w:val="0"/>
                <w:szCs w:val="21"/>
              </w:rPr>
              <w:t>近三年（</w:t>
            </w:r>
            <w:r>
              <w:rPr>
                <w:rFonts w:hint="eastAsia" w:cs="Arial" w:asciiTheme="minorEastAsia" w:hAnsiTheme="minorEastAsia" w:eastAsiaTheme="minorEastAsia"/>
                <w:kern w:val="0"/>
                <w:szCs w:val="21"/>
              </w:rPr>
              <w:t>自投标截止之日起向前追溯三年，</w:t>
            </w:r>
            <w:r>
              <w:rPr>
                <w:rFonts w:hint="eastAsia" w:cs="宋体" w:asciiTheme="minorEastAsia" w:hAnsiTheme="minorEastAsia" w:eastAsiaTheme="minorEastAsia"/>
                <w:kern w:val="0"/>
                <w:szCs w:val="21"/>
              </w:rPr>
              <w:t>以合同签订时间为准</w:t>
            </w:r>
            <w:r>
              <w:rPr>
                <w:rFonts w:hint="eastAsia" w:ascii="宋体" w:hAnsi="宋体" w:cs="Arial"/>
                <w:kern w:val="0"/>
                <w:szCs w:val="21"/>
              </w:rPr>
              <w:t>）投标人承接</w:t>
            </w:r>
            <w:r>
              <w:rPr>
                <w:rFonts w:hint="eastAsia" w:ascii="宋体" w:hAnsi="宋体"/>
                <w:szCs w:val="21"/>
              </w:rPr>
              <w:t>过公共服务管理或物业管理业绩（单个项目占地或建筑面积）： 5000万平方米及以上的得2分；5000万平方米至1000万平方米（含）的，每个得1分；1000万平方米至100万平方米（含）的，每个得0.5分；本项最多得4分</w:t>
            </w:r>
            <w:r>
              <w:rPr>
                <w:rFonts w:hint="eastAsia" w:cs="宋体" w:asciiTheme="minorEastAsia" w:hAnsiTheme="minorEastAsia" w:eastAsiaTheme="minorEastAsia"/>
                <w:color w:val="FF0000"/>
                <w:kern w:val="0"/>
                <w:szCs w:val="21"/>
              </w:rPr>
              <w:t>（合同中如包含保洁的可重复得分，合同中未注明面积的，需提供相关证明材料，合同及证明材料复印件提供资信商务及技术文件中，原件备查）</w:t>
            </w:r>
            <w:r>
              <w:rPr>
                <w:rFonts w:hint="eastAsia" w:hAnsi="宋体" w:cs="宋体"/>
                <w:kern w:val="0"/>
                <w:szCs w:val="21"/>
              </w:rPr>
              <w:t>。</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19" w:type="dxa"/>
            <w:vMerge w:val="restart"/>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技术63分</w:t>
            </w:r>
          </w:p>
        </w:tc>
        <w:tc>
          <w:tcPr>
            <w:tcW w:w="1276"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工作方案</w:t>
            </w:r>
          </w:p>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（13分）</w:t>
            </w:r>
          </w:p>
        </w:tc>
        <w:tc>
          <w:tcPr>
            <w:tcW w:w="6183" w:type="dxa"/>
            <w:vAlign w:val="center"/>
          </w:tcPr>
          <w:p>
            <w:pPr>
              <w:adjustRightInd w:val="0"/>
              <w:snapToGrid w:val="0"/>
              <w:rPr>
                <w:rFonts w:asciiTheme="minorEastAsia" w:hAnsiTheme="minorEastAsia" w:eastAsiaTheme="minorEastAsia"/>
                <w:bCs/>
                <w:szCs w:val="21"/>
              </w:rPr>
            </w:pPr>
            <w:r>
              <w:rPr>
                <w:rFonts w:hint="eastAsia" w:asciiTheme="minorEastAsia" w:hAnsiTheme="minorEastAsia" w:eastAsiaTheme="minorEastAsia"/>
                <w:szCs w:val="21"/>
              </w:rPr>
              <w:t>根据本项目的特点，工作重点、难点，拟定项目总体目标、应对措施等</w:t>
            </w:r>
            <w:r>
              <w:rPr>
                <w:rFonts w:hint="eastAsia" w:asciiTheme="minorEastAsia" w:hAnsiTheme="minorEastAsia" w:eastAsiaTheme="minorEastAsia"/>
                <w:bCs/>
                <w:szCs w:val="21"/>
              </w:rPr>
              <w:t>工作方案。</w:t>
            </w:r>
          </w:p>
          <w:p>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方案全面且与项目相符、可行的，得10-13分；</w:t>
            </w:r>
          </w:p>
          <w:p>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方案较全面且与项目相符、可行的，得7-10分；</w:t>
            </w:r>
          </w:p>
          <w:p>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方案不全面且与项目相符、可行的，得4-7分；</w:t>
            </w:r>
          </w:p>
          <w:p>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无方案或方案与项目不符或不可行的，不得分。</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9" w:type="dxa"/>
            <w:vMerge w:val="continue"/>
            <w:vAlign w:val="center"/>
          </w:tcPr>
          <w:p>
            <w:pPr>
              <w:widowControl/>
              <w:adjustRightInd w:val="0"/>
              <w:snapToGrid w:val="0"/>
              <w:jc w:val="center"/>
              <w:rPr>
                <w:rFonts w:cs="宋体" w:asciiTheme="minorEastAsia" w:hAnsiTheme="minorEastAsia" w:eastAsiaTheme="minorEastAsia"/>
                <w:kern w:val="0"/>
                <w:szCs w:val="21"/>
              </w:rPr>
            </w:pPr>
          </w:p>
        </w:tc>
        <w:tc>
          <w:tcPr>
            <w:tcW w:w="1276"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日常作业计划（15分）</w:t>
            </w:r>
          </w:p>
        </w:tc>
        <w:tc>
          <w:tcPr>
            <w:tcW w:w="618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日常作业计划(包括城市道路保洁、背街小巷绿化带等公共区域保洁、公厕保洁、小区保洁、垃圾分类收集、垃圾容器保洁等）</w:t>
            </w:r>
          </w:p>
          <w:p>
            <w:pPr>
              <w:rPr>
                <w:rFonts w:asciiTheme="minorEastAsia" w:hAnsiTheme="minorEastAsia" w:eastAsiaTheme="minorEastAsia"/>
                <w:szCs w:val="21"/>
              </w:rPr>
            </w:pPr>
            <w:r>
              <w:rPr>
                <w:rFonts w:hint="eastAsia" w:asciiTheme="minorEastAsia" w:hAnsiTheme="minorEastAsia" w:eastAsiaTheme="minorEastAsia"/>
                <w:szCs w:val="21"/>
              </w:rPr>
              <w:t>具有详细分工、工作时间、人员安排等内容齐全，考虑全面且可行的，得12-15分；</w:t>
            </w:r>
          </w:p>
          <w:p>
            <w:pPr>
              <w:rPr>
                <w:rFonts w:asciiTheme="minorEastAsia" w:hAnsiTheme="minorEastAsia" w:eastAsiaTheme="minorEastAsia"/>
                <w:szCs w:val="21"/>
              </w:rPr>
            </w:pPr>
            <w:r>
              <w:rPr>
                <w:rFonts w:hint="eastAsia" w:asciiTheme="minorEastAsia" w:hAnsiTheme="minorEastAsia" w:eastAsiaTheme="minorEastAsia"/>
                <w:szCs w:val="21"/>
              </w:rPr>
              <w:t>分工、工作时间、人员安排等内容较齐全，考虑较全面但可行的，得9-12分；</w:t>
            </w:r>
          </w:p>
          <w:p>
            <w:pPr>
              <w:rPr>
                <w:rFonts w:asciiTheme="minorEastAsia" w:hAnsiTheme="minorEastAsia" w:eastAsiaTheme="minorEastAsia"/>
                <w:szCs w:val="21"/>
              </w:rPr>
            </w:pPr>
            <w:r>
              <w:rPr>
                <w:rFonts w:hint="eastAsia" w:asciiTheme="minorEastAsia" w:hAnsiTheme="minorEastAsia" w:eastAsiaTheme="minorEastAsia"/>
                <w:szCs w:val="21"/>
              </w:rPr>
              <w:t>分工、工作时间、人员安排等内容不齐全，或考虑不全面但可行的，得6-9分；</w:t>
            </w:r>
          </w:p>
          <w:p>
            <w:pPr>
              <w:rPr>
                <w:rFonts w:asciiTheme="minorEastAsia" w:hAnsiTheme="minorEastAsia" w:eastAsiaTheme="minorEastAsia"/>
                <w:szCs w:val="21"/>
              </w:rPr>
            </w:pPr>
            <w:r>
              <w:rPr>
                <w:rFonts w:hint="eastAsia" w:asciiTheme="minorEastAsia" w:hAnsiTheme="minorEastAsia" w:eastAsiaTheme="minorEastAsia"/>
                <w:bCs/>
                <w:szCs w:val="21"/>
              </w:rPr>
              <w:t>无方案或方案与项目不符或不可行的，不得分。</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9" w:type="dxa"/>
            <w:vMerge w:val="continue"/>
            <w:vAlign w:val="center"/>
          </w:tcPr>
          <w:p>
            <w:pPr>
              <w:widowControl/>
              <w:adjustRightInd w:val="0"/>
              <w:snapToGrid w:val="0"/>
              <w:jc w:val="center"/>
              <w:rPr>
                <w:rFonts w:cs="宋体" w:asciiTheme="minorEastAsia" w:hAnsiTheme="minorEastAsia" w:eastAsiaTheme="minorEastAsia"/>
                <w:kern w:val="0"/>
                <w:szCs w:val="21"/>
              </w:rPr>
            </w:pPr>
          </w:p>
        </w:tc>
        <w:tc>
          <w:tcPr>
            <w:tcW w:w="1276" w:type="dxa"/>
            <w:vAlign w:val="center"/>
          </w:tcPr>
          <w:p>
            <w:pPr>
              <w:pStyle w:val="20"/>
              <w:adjustRightInd w:val="0"/>
              <w:snapToGrid w:val="0"/>
              <w:spacing w:beforeLines="0" w:afterLines="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作业车辆配置情况</w:t>
            </w:r>
          </w:p>
          <w:p>
            <w:pPr>
              <w:pStyle w:val="20"/>
              <w:adjustRightInd w:val="0"/>
              <w:snapToGrid w:val="0"/>
              <w:spacing w:beforeLines="0" w:afterLines="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（10分</w:t>
            </w:r>
          </w:p>
        </w:tc>
        <w:tc>
          <w:tcPr>
            <w:tcW w:w="618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作业车辆包括垃圾清运电动车（侧翻桶封闭式）、垃圾清运车（桶换桶8桶车）、小型密闭式电动收运车、快速保洁电瓶车、高压冲洗车、3吨扫地车、8吨洒水车。</w:t>
            </w:r>
          </w:p>
          <w:p>
            <w:pPr>
              <w:rPr>
                <w:rFonts w:asciiTheme="minorEastAsia" w:hAnsiTheme="minorEastAsia" w:eastAsiaTheme="minorEastAsia"/>
                <w:szCs w:val="21"/>
              </w:rPr>
            </w:pPr>
            <w:r>
              <w:rPr>
                <w:rFonts w:hint="eastAsia" w:asciiTheme="minorEastAsia" w:hAnsiTheme="minorEastAsia" w:eastAsiaTheme="minorEastAsia"/>
                <w:szCs w:val="21"/>
              </w:rPr>
              <w:t>投标时以上作业车辆80%已配备，相应品牌、型号、配备情况等具有详细描述，并提供自有或租赁证明的，得8-10分；</w:t>
            </w:r>
          </w:p>
          <w:p>
            <w:pPr>
              <w:rPr>
                <w:rFonts w:asciiTheme="minorEastAsia" w:hAnsiTheme="minorEastAsia" w:eastAsiaTheme="minorEastAsia"/>
                <w:szCs w:val="21"/>
              </w:rPr>
            </w:pPr>
            <w:r>
              <w:rPr>
                <w:rFonts w:hint="eastAsia" w:asciiTheme="minorEastAsia" w:hAnsiTheme="minorEastAsia" w:eastAsiaTheme="minorEastAsia"/>
                <w:szCs w:val="21"/>
              </w:rPr>
              <w:t>投标时以上作业车辆50%-80%已配备，相应品牌、型号、配备情况等具有详细描述，并提供自有或租赁证明的，得5-8分；</w:t>
            </w:r>
          </w:p>
          <w:p>
            <w:pPr>
              <w:rPr>
                <w:rFonts w:asciiTheme="minorEastAsia" w:hAnsiTheme="minorEastAsia" w:eastAsiaTheme="minorEastAsia"/>
                <w:szCs w:val="21"/>
              </w:rPr>
            </w:pPr>
            <w:r>
              <w:rPr>
                <w:rFonts w:hint="eastAsia" w:asciiTheme="minorEastAsia" w:hAnsiTheme="minorEastAsia" w:eastAsiaTheme="minorEastAsia"/>
                <w:szCs w:val="21"/>
              </w:rPr>
              <w:t>投标时以上作业车辆50%以下已配备，相应品牌、型号、配备情况等具有详细描述，并提供自有或租赁证明的，3-5分；</w:t>
            </w:r>
          </w:p>
          <w:p>
            <w:pPr>
              <w:rPr>
                <w:rFonts w:asciiTheme="minorEastAsia" w:hAnsiTheme="minorEastAsia" w:eastAsiaTheme="minorEastAsia"/>
                <w:szCs w:val="21"/>
              </w:rPr>
            </w:pPr>
            <w:r>
              <w:rPr>
                <w:rFonts w:hint="eastAsia" w:asciiTheme="minorEastAsia" w:hAnsiTheme="minorEastAsia" w:eastAsiaTheme="minorEastAsia"/>
                <w:szCs w:val="21"/>
              </w:rPr>
              <w:t>投标时未有相关作业车辆需中标后配备的不得分。</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9" w:type="dxa"/>
            <w:vMerge w:val="continue"/>
            <w:vAlign w:val="center"/>
          </w:tcPr>
          <w:p>
            <w:pPr>
              <w:widowControl/>
              <w:adjustRightInd w:val="0"/>
              <w:snapToGrid w:val="0"/>
              <w:jc w:val="center"/>
              <w:rPr>
                <w:rFonts w:cs="宋体" w:asciiTheme="minorEastAsia" w:hAnsiTheme="minorEastAsia" w:eastAsiaTheme="minorEastAsia"/>
                <w:kern w:val="0"/>
                <w:szCs w:val="21"/>
              </w:rPr>
            </w:pPr>
          </w:p>
        </w:tc>
        <w:tc>
          <w:tcPr>
            <w:tcW w:w="1276"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质量管理措施（8分）</w:t>
            </w:r>
          </w:p>
        </w:tc>
        <w:tc>
          <w:tcPr>
            <w:tcW w:w="618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各岗位文明作业制度、人员培训计划等质量管理措施齐全，且可行的，得7-8分；</w:t>
            </w:r>
          </w:p>
          <w:p>
            <w:pPr>
              <w:rPr>
                <w:rFonts w:asciiTheme="minorEastAsia" w:hAnsiTheme="minorEastAsia" w:eastAsiaTheme="minorEastAsia"/>
                <w:szCs w:val="21"/>
              </w:rPr>
            </w:pPr>
            <w:r>
              <w:rPr>
                <w:rFonts w:hint="eastAsia" w:asciiTheme="minorEastAsia" w:hAnsiTheme="minorEastAsia" w:eastAsiaTheme="minorEastAsia"/>
                <w:szCs w:val="21"/>
              </w:rPr>
              <w:t>各岗位文明作业制度、人员培训计划等质量管理措施较齐全，且可行的，得6-7分；</w:t>
            </w:r>
          </w:p>
          <w:p>
            <w:pPr>
              <w:rPr>
                <w:rFonts w:asciiTheme="minorEastAsia" w:hAnsiTheme="minorEastAsia" w:eastAsiaTheme="minorEastAsia"/>
                <w:szCs w:val="21"/>
              </w:rPr>
            </w:pPr>
            <w:r>
              <w:rPr>
                <w:rFonts w:hint="eastAsia" w:asciiTheme="minorEastAsia" w:hAnsiTheme="minorEastAsia" w:eastAsiaTheme="minorEastAsia"/>
                <w:szCs w:val="21"/>
              </w:rPr>
              <w:t>各岗位文明作业制度、人员培训计划等质量管理措施不齐全，但可行的，得4-6分；</w:t>
            </w:r>
          </w:p>
          <w:p>
            <w:pPr>
              <w:rPr>
                <w:rFonts w:asciiTheme="minorEastAsia" w:hAnsiTheme="minorEastAsia" w:eastAsiaTheme="minorEastAsia"/>
                <w:szCs w:val="21"/>
              </w:rPr>
            </w:pPr>
            <w:r>
              <w:rPr>
                <w:rFonts w:hint="eastAsia" w:asciiTheme="minorEastAsia" w:hAnsiTheme="minorEastAsia" w:eastAsiaTheme="minorEastAsia"/>
                <w:szCs w:val="21"/>
              </w:rPr>
              <w:t>无相关内容或内容与招标不符的，不得分。</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9" w:type="dxa"/>
            <w:vMerge w:val="continue"/>
            <w:vAlign w:val="center"/>
          </w:tcPr>
          <w:p>
            <w:pPr>
              <w:widowControl/>
              <w:adjustRightInd w:val="0"/>
              <w:snapToGrid w:val="0"/>
              <w:jc w:val="center"/>
              <w:rPr>
                <w:rFonts w:cs="宋体" w:asciiTheme="minorEastAsia" w:hAnsiTheme="minorEastAsia" w:eastAsiaTheme="minorEastAsia"/>
                <w:kern w:val="0"/>
                <w:szCs w:val="21"/>
              </w:rPr>
            </w:pPr>
          </w:p>
        </w:tc>
        <w:tc>
          <w:tcPr>
            <w:tcW w:w="1276"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安全生产措施（8分）</w:t>
            </w:r>
          </w:p>
        </w:tc>
        <w:tc>
          <w:tcPr>
            <w:tcW w:w="618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具有安全管理制度、作业人员劳动保护、意外事件应急预案等安全生产措施齐全，且可行的，得7-8分；</w:t>
            </w:r>
          </w:p>
          <w:p>
            <w:pPr>
              <w:rPr>
                <w:rFonts w:asciiTheme="minorEastAsia" w:hAnsiTheme="minorEastAsia" w:eastAsiaTheme="minorEastAsia"/>
                <w:szCs w:val="21"/>
              </w:rPr>
            </w:pPr>
            <w:r>
              <w:rPr>
                <w:rFonts w:hint="eastAsia" w:asciiTheme="minorEastAsia" w:hAnsiTheme="minorEastAsia" w:eastAsiaTheme="minorEastAsia"/>
                <w:szCs w:val="21"/>
              </w:rPr>
              <w:t>具有安全管理制度、作业人员劳动保护、意外事件应急预案等安全生产措施较齐全，且可行的，得6-7分；</w:t>
            </w:r>
          </w:p>
          <w:p>
            <w:pPr>
              <w:rPr>
                <w:rFonts w:asciiTheme="minorEastAsia" w:hAnsiTheme="minorEastAsia" w:eastAsiaTheme="minorEastAsia"/>
                <w:szCs w:val="21"/>
              </w:rPr>
            </w:pPr>
            <w:r>
              <w:rPr>
                <w:rFonts w:hint="eastAsia" w:asciiTheme="minorEastAsia" w:hAnsiTheme="minorEastAsia" w:eastAsiaTheme="minorEastAsia"/>
                <w:szCs w:val="21"/>
              </w:rPr>
              <w:t>具有安全管理制度、作业人员劳动保护、意外事件应急预案等安全生产措施不齐全，但可行的，得4-6分；</w:t>
            </w:r>
          </w:p>
          <w:p>
            <w:pPr>
              <w:rPr>
                <w:rFonts w:asciiTheme="minorEastAsia" w:hAnsiTheme="minorEastAsia" w:eastAsiaTheme="minorEastAsia"/>
                <w:szCs w:val="21"/>
              </w:rPr>
            </w:pPr>
            <w:r>
              <w:rPr>
                <w:rFonts w:hint="eastAsia" w:asciiTheme="minorEastAsia" w:hAnsiTheme="minorEastAsia" w:eastAsiaTheme="minorEastAsia"/>
                <w:szCs w:val="21"/>
              </w:rPr>
              <w:t>无相关内容或内容与招标不符的，不得分。</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9" w:type="dxa"/>
            <w:vMerge w:val="continue"/>
            <w:vAlign w:val="center"/>
          </w:tcPr>
          <w:p>
            <w:pPr>
              <w:widowControl/>
              <w:adjustRightInd w:val="0"/>
              <w:snapToGrid w:val="0"/>
              <w:jc w:val="center"/>
              <w:rPr>
                <w:rFonts w:cs="宋体" w:asciiTheme="minorEastAsia" w:hAnsiTheme="minorEastAsia" w:eastAsiaTheme="minorEastAsia"/>
                <w:kern w:val="0"/>
                <w:szCs w:val="21"/>
              </w:rPr>
            </w:pPr>
          </w:p>
        </w:tc>
        <w:tc>
          <w:tcPr>
            <w:tcW w:w="1276" w:type="dxa"/>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拟投入项目人员</w:t>
            </w:r>
          </w:p>
          <w:p>
            <w:pPr>
              <w:adjustRightInd w:val="0"/>
              <w:snapToGrid w:val="0"/>
              <w:jc w:val="center"/>
              <w:rPr>
                <w:rFonts w:asciiTheme="minorEastAsia" w:hAnsiTheme="minorEastAsia" w:eastAsiaTheme="minorEastAsia"/>
                <w:szCs w:val="21"/>
              </w:rPr>
            </w:pPr>
            <w:r>
              <w:rPr>
                <w:rFonts w:hint="eastAsia" w:cs="宋体" w:asciiTheme="minorEastAsia" w:hAnsiTheme="minorEastAsia" w:eastAsiaTheme="minorEastAsia"/>
                <w:szCs w:val="21"/>
              </w:rPr>
              <w:t>（9分）</w:t>
            </w:r>
          </w:p>
        </w:tc>
        <w:tc>
          <w:tcPr>
            <w:tcW w:w="6183"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全域公共服务管理项目经理具有物业经理上岗证书（或注册物业管理师证书）和环卫保洁类服务三年及以上从</w:t>
            </w:r>
            <w:r>
              <w:rPr>
                <w:rFonts w:hint="eastAsia" w:cs="宋体" w:asciiTheme="minorEastAsia" w:hAnsiTheme="minorEastAsia" w:eastAsiaTheme="minorEastAsia"/>
                <w:kern w:val="0"/>
                <w:szCs w:val="21"/>
              </w:rPr>
              <w:t>业经验的得3分。</w:t>
            </w:r>
            <w:r>
              <w:rPr>
                <w:rFonts w:hint="eastAsia" w:cs="宋体" w:asciiTheme="minorEastAsia" w:hAnsiTheme="minorEastAsia" w:eastAsiaTheme="minorEastAsia"/>
                <w:color w:val="FF0000"/>
                <w:kern w:val="0"/>
                <w:szCs w:val="21"/>
              </w:rPr>
              <w:t>（相关证书复印件、</w:t>
            </w:r>
            <w:r>
              <w:rPr>
                <w:rFonts w:hint="eastAsia" w:asciiTheme="minorEastAsia" w:hAnsiTheme="minorEastAsia" w:eastAsiaTheme="minorEastAsia"/>
                <w:color w:val="FF0000"/>
                <w:szCs w:val="21"/>
              </w:rPr>
              <w:t>开标截止期前半年内任何连续三个月投标人或其分支机构为其缴纳的社保证明材</w:t>
            </w:r>
            <w:r>
              <w:rPr>
                <w:rFonts w:hint="eastAsia" w:cs="宋体" w:asciiTheme="minorEastAsia" w:hAnsiTheme="minorEastAsia" w:eastAsiaTheme="minorEastAsia"/>
                <w:color w:val="FF0000"/>
                <w:kern w:val="0"/>
                <w:szCs w:val="21"/>
              </w:rPr>
              <w:t>料复印件(社保部门盖章的参保证明复印件，或者经由社保系统自助拉取的参保证明、能够证明其从业经验的服务合同或采购人出具的从业证明材料）提供在资信商务及技术文件中，没有不得分。）</w:t>
            </w:r>
          </w:p>
        </w:tc>
        <w:tc>
          <w:tcPr>
            <w:tcW w:w="851" w:type="dxa"/>
            <w:vAlign w:val="center"/>
          </w:tcPr>
          <w:p>
            <w:pPr>
              <w:adjustRightInd w:val="0"/>
              <w:snapToGrid w:val="0"/>
              <w:ind w:left="105" w:left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9" w:type="dxa"/>
            <w:vMerge w:val="continue"/>
            <w:vAlign w:val="center"/>
          </w:tcPr>
          <w:p>
            <w:pPr>
              <w:widowControl/>
              <w:adjustRightInd w:val="0"/>
              <w:snapToGrid w:val="0"/>
              <w:jc w:val="center"/>
              <w:rPr>
                <w:rFonts w:cs="宋体" w:asciiTheme="minorEastAsia" w:hAnsiTheme="minorEastAsia" w:eastAsiaTheme="minorEastAsia"/>
                <w:kern w:val="0"/>
                <w:szCs w:val="21"/>
              </w:rPr>
            </w:pPr>
          </w:p>
        </w:tc>
        <w:tc>
          <w:tcPr>
            <w:tcW w:w="1276" w:type="dxa"/>
            <w:vMerge w:val="continue"/>
            <w:vAlign w:val="center"/>
          </w:tcPr>
          <w:p>
            <w:pPr>
              <w:adjustRightInd w:val="0"/>
              <w:snapToGrid w:val="0"/>
              <w:jc w:val="center"/>
              <w:rPr>
                <w:rFonts w:asciiTheme="minorEastAsia" w:hAnsiTheme="minorEastAsia" w:eastAsiaTheme="minorEastAsia"/>
                <w:szCs w:val="21"/>
              </w:rPr>
            </w:pPr>
          </w:p>
        </w:tc>
        <w:tc>
          <w:tcPr>
            <w:tcW w:w="6183" w:type="dxa"/>
            <w:vAlign w:val="center"/>
          </w:tcPr>
          <w:p>
            <w:pPr>
              <w:adjustRightInd w:val="0"/>
              <w:snapToGrid w:val="0"/>
              <w:rPr>
                <w:rFonts w:cs="宋体" w:asciiTheme="minorEastAsia" w:hAnsiTheme="minorEastAsia" w:eastAsiaTheme="minorEastAsia"/>
                <w:kern w:val="0"/>
                <w:szCs w:val="21"/>
              </w:rPr>
            </w:pPr>
            <w:r>
              <w:rPr>
                <w:rFonts w:hint="eastAsia" w:ascii="宋体" w:hAnsi="宋体" w:cs="宋体"/>
                <w:bCs/>
                <w:color w:val="000000"/>
                <w:kern w:val="0"/>
                <w:sz w:val="20"/>
                <w:szCs w:val="20"/>
              </w:rPr>
              <w:t>其他人员</w:t>
            </w:r>
            <w:r>
              <w:rPr>
                <w:rFonts w:hint="eastAsia" w:cs="宋体" w:asciiTheme="minorEastAsia" w:hAnsiTheme="minorEastAsia" w:eastAsiaTheme="minorEastAsia"/>
                <w:szCs w:val="21"/>
              </w:rPr>
              <w:t>具有物业经理上岗证书（或注册物业管理师证书）和</w:t>
            </w:r>
            <w:r>
              <w:rPr>
                <w:rFonts w:hint="eastAsia" w:cs="宋体" w:asciiTheme="minorEastAsia" w:hAnsiTheme="minorEastAsia" w:eastAsiaTheme="minorEastAsia"/>
                <w:kern w:val="0"/>
                <w:szCs w:val="21"/>
              </w:rPr>
              <w:t>环卫保洁类服务一年及以上从业经验的，每人得2分，本项最多得6分。</w:t>
            </w:r>
            <w:r>
              <w:rPr>
                <w:rFonts w:hint="eastAsia" w:cs="宋体" w:asciiTheme="minorEastAsia" w:hAnsiTheme="minorEastAsia" w:eastAsiaTheme="minorEastAsia"/>
                <w:color w:val="FF0000"/>
                <w:kern w:val="0"/>
                <w:szCs w:val="21"/>
              </w:rPr>
              <w:t>（相关证书复印件、</w:t>
            </w:r>
            <w:r>
              <w:rPr>
                <w:rFonts w:hint="eastAsia" w:asciiTheme="minorEastAsia" w:hAnsiTheme="minorEastAsia" w:eastAsiaTheme="minorEastAsia"/>
                <w:color w:val="FF0000"/>
                <w:szCs w:val="21"/>
              </w:rPr>
              <w:t>开标截止期前半年内任何连续三个月投标人或其分支机构为其缴纳的社保证明材</w:t>
            </w:r>
            <w:r>
              <w:rPr>
                <w:rFonts w:hint="eastAsia" w:cs="宋体" w:asciiTheme="minorEastAsia" w:hAnsiTheme="minorEastAsia" w:eastAsiaTheme="minorEastAsia"/>
                <w:color w:val="FF0000"/>
                <w:kern w:val="0"/>
                <w:szCs w:val="21"/>
              </w:rPr>
              <w:t>料复印件(社保部门盖章的参保证明复印件，或者经由社保系统自助拉取的参保证明、能够证明其从业经验的服务合同或采购人出具的从业证明材料）提供在资信商务及技术文件中，没有不得分。）</w:t>
            </w:r>
          </w:p>
        </w:tc>
        <w:tc>
          <w:tcPr>
            <w:tcW w:w="851" w:type="dxa"/>
            <w:vAlign w:val="center"/>
          </w:tcPr>
          <w:p>
            <w:pPr>
              <w:adjustRightInd w:val="0"/>
              <w:snapToGrid w:val="0"/>
              <w:ind w:left="105" w:left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9"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w:t>
            </w:r>
          </w:p>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2分</w:t>
            </w:r>
          </w:p>
        </w:tc>
        <w:tc>
          <w:tcPr>
            <w:tcW w:w="1276"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标书质量</w:t>
            </w:r>
          </w:p>
        </w:tc>
        <w:tc>
          <w:tcPr>
            <w:tcW w:w="6183"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根据投标文件编制完整、格式规范、内容齐全、表述准确、条理清晰、节约环保，内容前后矛盾、页码错误等情况酌情打分。</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78" w:type="dxa"/>
            <w:gridSpan w:val="3"/>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  计</w:t>
            </w:r>
          </w:p>
        </w:tc>
        <w:tc>
          <w:tcPr>
            <w:tcW w:w="851" w:type="dxa"/>
            <w:vAlign w:val="center"/>
          </w:tcPr>
          <w:p>
            <w:pPr>
              <w:widowControl/>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85</w:t>
            </w:r>
          </w:p>
        </w:tc>
      </w:tr>
    </w:tbl>
    <w:p>
      <w:pPr>
        <w:adjustRightInd w:val="0"/>
        <w:snapToGrid w:val="0"/>
        <w:spacing w:line="360" w:lineRule="auto"/>
        <w:ind w:firstLine="470" w:firstLineChars="196"/>
        <w:rPr>
          <w:sz w:val="24"/>
        </w:rPr>
      </w:pPr>
      <w:r>
        <w:rPr>
          <w:rFonts w:hint="eastAsia"/>
          <w:sz w:val="24"/>
        </w:rPr>
        <w:t>注：1.资信商务分由评标委员会统一打分。以上内容所涉原件，投标人必须在投标时随身携带，在评标结束前评标委员会随时可能要求投标人提供原件进行核查；如评标委员会要求核查原件时投标人必须在评标委员会规定的时间内送达。若商务和技术标中未附上述资料或未能在规定的时间内将要求的资料原件送到的，按相应评分内容不得分处理。</w:t>
      </w:r>
    </w:p>
    <w:p>
      <w:pPr>
        <w:adjustRightInd w:val="0"/>
        <w:snapToGrid w:val="0"/>
        <w:spacing w:line="360" w:lineRule="auto"/>
        <w:ind w:firstLine="480" w:firstLineChars="200"/>
        <w:rPr>
          <w:sz w:val="24"/>
        </w:rPr>
      </w:pPr>
      <w:r>
        <w:rPr>
          <w:rFonts w:hint="eastAsia"/>
          <w:sz w:val="24"/>
        </w:rPr>
        <w:t>2.技术分、标书制作分由评标委员会成员按分值标准各自独立打分（缺项得零分），并记名。分值汇总时，单项分值为各评委分值的算术平均值，小数点后按四舍五入保留两位。</w:t>
      </w:r>
    </w:p>
    <w:p>
      <w:pPr>
        <w:numPr>
          <w:ilvl w:val="3"/>
          <w:numId w:val="54"/>
        </w:numPr>
        <w:tabs>
          <w:tab w:val="left" w:pos="1134"/>
        </w:tabs>
        <w:adjustRightInd w:val="0"/>
        <w:snapToGrid w:val="0"/>
        <w:spacing w:line="360" w:lineRule="auto"/>
        <w:ind w:left="0" w:firstLine="420"/>
        <w:rPr>
          <w:rFonts w:ascii="宋体" w:hAnsi="宋体"/>
          <w:b/>
          <w:bCs/>
          <w:sz w:val="24"/>
        </w:rPr>
      </w:pPr>
      <w:r>
        <w:rPr>
          <w:rFonts w:hint="eastAsia" w:ascii="宋体" w:hAnsi="宋体"/>
          <w:b/>
          <w:bCs/>
          <w:sz w:val="24"/>
        </w:rPr>
        <w:t>报价文件</w:t>
      </w:r>
      <w:r>
        <w:rPr>
          <w:rFonts w:ascii="宋体" w:hAnsi="宋体"/>
          <w:b/>
          <w:bCs/>
          <w:sz w:val="24"/>
        </w:rPr>
        <w:t>符合性检查</w:t>
      </w:r>
      <w:r>
        <w:rPr>
          <w:rFonts w:hint="eastAsia" w:ascii="宋体" w:hAnsi="宋体"/>
          <w:b/>
          <w:bCs/>
          <w:sz w:val="24"/>
        </w:rPr>
        <w:t>，报价文件有</w:t>
      </w:r>
      <w:r>
        <w:rPr>
          <w:rFonts w:ascii="宋体" w:hAnsi="宋体"/>
          <w:b/>
          <w:bCs/>
          <w:sz w:val="24"/>
        </w:rPr>
        <w:t>下列情况之一的，按照无效投标处理</w:t>
      </w:r>
      <w:r>
        <w:rPr>
          <w:rFonts w:hint="eastAsia" w:ascii="宋体" w:hAnsi="宋体"/>
          <w:b/>
          <w:bCs/>
          <w:sz w:val="24"/>
        </w:rPr>
        <w:t>：</w:t>
      </w:r>
    </w:p>
    <w:p>
      <w:pPr>
        <w:numPr>
          <w:ilvl w:val="0"/>
          <w:numId w:val="56"/>
        </w:numPr>
        <w:adjustRightInd w:val="0"/>
        <w:snapToGrid w:val="0"/>
        <w:spacing w:line="360" w:lineRule="auto"/>
        <w:ind w:firstLine="147"/>
        <w:rPr>
          <w:rFonts w:ascii="宋体" w:hAnsi="宋体"/>
          <w:sz w:val="24"/>
        </w:rPr>
      </w:pPr>
      <w:r>
        <w:rPr>
          <w:rFonts w:ascii="宋体" w:hAnsi="宋体"/>
          <w:sz w:val="24"/>
        </w:rPr>
        <w:t>未按照采购文件规定要求密封、签署、盖章的；</w:t>
      </w:r>
    </w:p>
    <w:p>
      <w:pPr>
        <w:numPr>
          <w:ilvl w:val="0"/>
          <w:numId w:val="56"/>
        </w:numPr>
        <w:adjustRightInd w:val="0"/>
        <w:snapToGrid w:val="0"/>
        <w:spacing w:line="360" w:lineRule="auto"/>
        <w:ind w:firstLine="147"/>
        <w:rPr>
          <w:rFonts w:ascii="宋体" w:hAnsi="宋体"/>
          <w:sz w:val="24"/>
        </w:rPr>
      </w:pPr>
      <w:r>
        <w:rPr>
          <w:rFonts w:hint="eastAsia" w:ascii="宋体" w:hAnsi="宋体"/>
          <w:sz w:val="24"/>
        </w:rPr>
        <w:t>未按照采购文件规定的格式填写或关键字迹模糊，无法辨认或随意增减采购项目的。</w:t>
      </w:r>
    </w:p>
    <w:p>
      <w:pPr>
        <w:numPr>
          <w:ilvl w:val="0"/>
          <w:numId w:val="56"/>
        </w:numPr>
        <w:adjustRightInd w:val="0"/>
        <w:snapToGrid w:val="0"/>
        <w:spacing w:line="360" w:lineRule="auto"/>
        <w:ind w:firstLine="147"/>
        <w:rPr>
          <w:rFonts w:ascii="宋体" w:hAnsi="宋体"/>
          <w:sz w:val="24"/>
        </w:rPr>
      </w:pPr>
      <w:r>
        <w:rPr>
          <w:rFonts w:hint="eastAsia" w:ascii="宋体" w:hAnsi="宋体"/>
          <w:sz w:val="24"/>
        </w:rPr>
        <w:t>同一份投标文件中如有两个或两个以上报价，且未书面声明最终报价的；</w:t>
      </w:r>
    </w:p>
    <w:p>
      <w:pPr>
        <w:numPr>
          <w:ilvl w:val="0"/>
          <w:numId w:val="56"/>
        </w:numPr>
        <w:adjustRightInd w:val="0"/>
        <w:snapToGrid w:val="0"/>
        <w:spacing w:line="360" w:lineRule="auto"/>
        <w:ind w:firstLine="147"/>
        <w:rPr>
          <w:rFonts w:ascii="宋体" w:hAnsi="宋体"/>
          <w:sz w:val="24"/>
        </w:rPr>
      </w:pPr>
      <w:r>
        <w:rPr>
          <w:rFonts w:ascii="宋体" w:hAnsi="宋体"/>
          <w:sz w:val="24"/>
        </w:rPr>
        <w:t>存在串标、抬标或弄虚作假情况的</w:t>
      </w:r>
      <w:r>
        <w:rPr>
          <w:rFonts w:hint="eastAsia" w:ascii="宋体" w:hAnsi="宋体"/>
          <w:sz w:val="24"/>
        </w:rPr>
        <w:t>。</w:t>
      </w:r>
    </w:p>
    <w:p>
      <w:pPr>
        <w:numPr>
          <w:ilvl w:val="0"/>
          <w:numId w:val="56"/>
        </w:numPr>
        <w:adjustRightInd w:val="0"/>
        <w:snapToGrid w:val="0"/>
        <w:spacing w:line="360" w:lineRule="auto"/>
        <w:ind w:firstLine="147"/>
        <w:rPr>
          <w:rFonts w:ascii="宋体" w:hAnsi="宋体"/>
          <w:sz w:val="24"/>
        </w:rPr>
      </w:pPr>
      <w:r>
        <w:rPr>
          <w:rFonts w:ascii="宋体" w:hAnsi="宋体"/>
          <w:sz w:val="24"/>
        </w:rPr>
        <w:t>不符合法律、法规和采购文件中规定的其他实质性要求的。</w:t>
      </w:r>
    </w:p>
    <w:p>
      <w:pPr>
        <w:numPr>
          <w:ilvl w:val="3"/>
          <w:numId w:val="54"/>
        </w:numPr>
        <w:tabs>
          <w:tab w:val="left" w:pos="1134"/>
        </w:tabs>
        <w:adjustRightInd w:val="0"/>
        <w:snapToGrid w:val="0"/>
        <w:spacing w:line="360" w:lineRule="auto"/>
        <w:ind w:left="0" w:firstLine="420"/>
        <w:rPr>
          <w:rFonts w:ascii="宋体" w:hAnsi="宋体"/>
          <w:b/>
          <w:bCs/>
          <w:sz w:val="24"/>
        </w:rPr>
      </w:pPr>
      <w:r>
        <w:rPr>
          <w:rFonts w:ascii="宋体" w:hAnsi="宋体"/>
          <w:b/>
          <w:bCs/>
          <w:sz w:val="24"/>
        </w:rPr>
        <w:t>价格分（</w:t>
      </w:r>
      <w:r>
        <w:rPr>
          <w:rFonts w:hint="eastAsia" w:ascii="宋体" w:hAnsi="宋体"/>
          <w:b/>
          <w:bCs/>
          <w:sz w:val="24"/>
        </w:rPr>
        <w:t>15分）</w:t>
      </w:r>
    </w:p>
    <w:p>
      <w:pPr>
        <w:pStyle w:val="15"/>
        <w:adjustRightInd w:val="0"/>
        <w:snapToGrid w:val="0"/>
        <w:spacing w:line="440" w:lineRule="exact"/>
        <w:ind w:firstLine="464" w:firstLineChars="200"/>
        <w:rPr>
          <w:rFonts w:hAnsi="宋体"/>
          <w:bCs/>
          <w:color w:val="FF0000"/>
          <w:sz w:val="24"/>
          <w:szCs w:val="24"/>
        </w:rPr>
      </w:pPr>
      <w:bookmarkStart w:id="138" w:name="_Toc513370306"/>
      <w:r>
        <w:rPr>
          <w:rFonts w:hint="eastAsia" w:hAnsi="宋体"/>
          <w:bCs/>
          <w:sz w:val="24"/>
          <w:szCs w:val="24"/>
        </w:rPr>
        <w:t>1.价格分采用低价优先法计算，即满足招标文件要求且投标价格最低的投标报价为评标基准价，其他投标人的价格分按照下列公式计算：</w:t>
      </w:r>
      <w:r>
        <w:rPr>
          <w:rFonts w:hint="eastAsia" w:hAnsi="宋体"/>
          <w:bCs/>
          <w:color w:val="FF0000"/>
          <w:sz w:val="24"/>
          <w:szCs w:val="24"/>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价格分=（评标基准价/投标报价）×15%×100</w:t>
      </w:r>
    </w:p>
    <w:p>
      <w:pPr>
        <w:pStyle w:val="15"/>
        <w:adjustRightInd w:val="0"/>
        <w:snapToGrid w:val="0"/>
        <w:spacing w:line="440" w:lineRule="exact"/>
        <w:ind w:firstLine="464" w:firstLineChars="200"/>
        <w:rPr>
          <w:b/>
          <w:bCs/>
          <w:kern w:val="44"/>
          <w:sz w:val="32"/>
          <w:szCs w:val="44"/>
        </w:rPr>
      </w:pPr>
      <w:r>
        <w:rPr>
          <w:rFonts w:hint="eastAsia" w:hAnsi="宋体"/>
          <w:bCs/>
          <w:sz w:val="24"/>
          <w:szCs w:val="24"/>
        </w:rPr>
        <w:t>2. 投标人的投标报价超过采购人设定的最高限</w:t>
      </w:r>
      <w:r>
        <w:rPr>
          <w:rFonts w:hint="eastAsia" w:hAnsi="宋体"/>
          <w:bCs/>
          <w:sz w:val="24"/>
          <w:szCs w:val="24"/>
          <w:highlight w:val="yellow"/>
        </w:rPr>
        <w:t>价(</w:t>
      </w:r>
      <w:r>
        <w:rPr>
          <w:rFonts w:hint="eastAsia" w:hAnsi="宋体"/>
          <w:color w:val="0000FF"/>
          <w:sz w:val="24"/>
          <w:highlight w:val="yellow"/>
        </w:rPr>
        <w:t>开标一览表中有一项报价高于最高限价即视为高于最高限价</w:t>
      </w:r>
      <w:r>
        <w:rPr>
          <w:rFonts w:hint="eastAsia" w:hAnsi="宋体"/>
          <w:bCs/>
          <w:sz w:val="24"/>
          <w:szCs w:val="24"/>
          <w:highlight w:val="yellow"/>
        </w:rPr>
        <w:t>)，将</w:t>
      </w:r>
      <w:r>
        <w:rPr>
          <w:rFonts w:hint="eastAsia" w:hAnsi="宋体"/>
          <w:bCs/>
          <w:sz w:val="24"/>
          <w:szCs w:val="24"/>
        </w:rPr>
        <w:t>作为无效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
      <w:pPr>
        <w:widowControl/>
        <w:jc w:val="left"/>
        <w:rPr>
          <w:b/>
          <w:bCs/>
          <w:kern w:val="44"/>
          <w:sz w:val="32"/>
          <w:szCs w:val="44"/>
        </w:rPr>
      </w:pPr>
    </w:p>
    <w:p>
      <w:pPr>
        <w:widowControl/>
        <w:jc w:val="left"/>
        <w:rPr>
          <w:b/>
          <w:bCs/>
          <w:kern w:val="44"/>
          <w:sz w:val="32"/>
          <w:szCs w:val="44"/>
        </w:rPr>
      </w:pPr>
      <w:r>
        <w:br w:type="page"/>
      </w:r>
    </w:p>
    <w:p>
      <w:pPr>
        <w:pStyle w:val="2"/>
      </w:pPr>
      <w:bookmarkStart w:id="139" w:name="_Toc38307000"/>
      <w:r>
        <w:rPr>
          <w:rFonts w:hint="eastAsia"/>
        </w:rPr>
        <w:t>第五章  采购合同格式</w:t>
      </w:r>
      <w:bookmarkEnd w:id="138"/>
      <w:bookmarkEnd w:id="139"/>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宋体" w:hAnsi="宋体" w:cs="Arial"/>
          <w:kern w:val="0"/>
          <w:sz w:val="28"/>
          <w:szCs w:val="28"/>
        </w:rPr>
      </w:pPr>
      <w:r>
        <w:rPr>
          <w:rFonts w:hint="eastAsia" w:ascii="宋体" w:hAnsi="宋体"/>
          <w:sz w:val="24"/>
        </w:rPr>
        <w:t xml:space="preserve">     </w:t>
      </w:r>
      <w:r>
        <w:rPr>
          <w:rFonts w:hint="eastAsia" w:ascii="宋体" w:hAnsi="宋体" w:cs="Arial"/>
          <w:kern w:val="0"/>
          <w:sz w:val="28"/>
          <w:szCs w:val="28"/>
        </w:rPr>
        <w:t>一、通用必备条款部分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u w:val="single"/>
        </w:rPr>
      </w:pPr>
      <w:r>
        <w:rPr>
          <w:rFonts w:hint="eastAsia" w:ascii="宋体" w:hAnsi="宋体" w:cs="Arial"/>
          <w:kern w:val="0"/>
          <w:sz w:val="24"/>
        </w:rPr>
        <w:t>采购人（以下称甲方）：</w:t>
      </w:r>
      <w:r>
        <w:rPr>
          <w:rFonts w:hint="eastAsia" w:ascii="宋体" w:hAnsi="宋体" w:cs="Arial"/>
          <w:kern w:val="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rPr>
      </w:pPr>
      <w:r>
        <w:rPr>
          <w:rFonts w:hint="eastAsia" w:ascii="宋体" w:hAnsi="宋体" w:cs="Arial"/>
          <w:kern w:val="0"/>
          <w:sz w:val="24"/>
        </w:rPr>
        <w:t>供应商（以下称乙方）：</w:t>
      </w:r>
      <w:r>
        <w:rPr>
          <w:rFonts w:hint="eastAsia" w:ascii="宋体" w:hAnsi="宋体" w:cs="Arial"/>
          <w:kern w:val="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rPr>
      </w:pPr>
      <w:r>
        <w:rPr>
          <w:rFonts w:hint="eastAsia" w:ascii="宋体" w:hAnsi="宋体" w:cs="Arial"/>
          <w:kern w:val="0"/>
          <w:sz w:val="24"/>
        </w:rPr>
        <w:t>代理机构：嘉兴市华信工程咨询有限公司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rPr>
      </w:pPr>
      <w:r>
        <w:rPr>
          <w:rFonts w:hint="eastAsia" w:ascii="宋体" w:hAnsi="宋体" w:cs="Arial"/>
          <w:kern w:val="0"/>
          <w:sz w:val="24"/>
        </w:rPr>
        <w:t>采购方式：公开招标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rPr>
      </w:pPr>
      <w:r>
        <w:rPr>
          <w:rFonts w:hint="eastAsia" w:ascii="宋体" w:hAnsi="宋体" w:cs="Arial"/>
          <w:kern w:val="0"/>
          <w:sz w:val="24"/>
        </w:rPr>
        <w:t>采购文件编号：</w:t>
      </w:r>
      <w:r>
        <w:rPr>
          <w:rFonts w:hint="eastAsia" w:ascii="宋体" w:hAnsi="宋体" w:cs="Arial"/>
          <w:kern w:val="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参照《中华人民共和国政府采购法》、《中华人民共和国合同法》等法律法规的规定，甲乙双方按照</w:t>
      </w:r>
      <w:r>
        <w:rPr>
          <w:rFonts w:hint="eastAsia" w:ascii="宋体" w:hAnsi="宋体" w:cs="Arial"/>
          <w:kern w:val="0"/>
          <w:sz w:val="24"/>
          <w:u w:val="single"/>
        </w:rPr>
        <w:t xml:space="preserve"> </w:t>
      </w:r>
      <w:r>
        <w:rPr>
          <w:rFonts w:hint="eastAsia" w:ascii="宋体" w:hAnsi="宋体"/>
          <w:sz w:val="24"/>
          <w:u w:val="single"/>
        </w:rPr>
        <w:t>天凝镇全域公共服务管理及镇区保洁服务项目</w:t>
      </w:r>
      <w:r>
        <w:rPr>
          <w:rFonts w:hint="eastAsia" w:ascii="宋体" w:hAnsi="宋体" w:cs="Arial"/>
          <w:kern w:val="0"/>
          <w:sz w:val="24"/>
          <w:u w:val="single"/>
        </w:rPr>
        <w:t xml:space="preserve">  </w:t>
      </w:r>
      <w:r>
        <w:rPr>
          <w:rFonts w:hint="eastAsia" w:ascii="宋体" w:hAnsi="宋体" w:cs="Arial"/>
          <w:kern w:val="0"/>
          <w:sz w:val="24"/>
        </w:rPr>
        <w:t>采购结果签订本合同。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第一条 合同组成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本次采购活动的相关文件为本合同的组成部分，这些文件包括但不限于：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（1）本合同文本；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（2）采购文件与投标文件（或采购响应文件）；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（3）中标或成交通知书；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第二条 合同标的与相关属性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1、本次采购的是</w:t>
      </w:r>
      <w:r>
        <w:rPr>
          <w:rFonts w:hint="eastAsia" w:ascii="宋体" w:hAnsi="宋体" w:cs="Arial"/>
          <w:kern w:val="0"/>
          <w:sz w:val="24"/>
          <w:u w:val="single"/>
        </w:rPr>
        <w:t xml:space="preserve">  </w:t>
      </w:r>
      <w:r>
        <w:rPr>
          <w:rFonts w:hint="eastAsia" w:ascii="宋体" w:hAnsi="宋体"/>
          <w:sz w:val="24"/>
          <w:u w:val="single"/>
        </w:rPr>
        <w:t xml:space="preserve">全域公共服务管理、集镇和工业园区保洁服务、中转站（资源化处理站）运作服务。服务期自2020年6月1日至2022年5月31日。如供应商履行情况良好，并经采购人与供应商协商一致同意可续签二年合同。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第三条 合同价款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1、本合同项下总价款为人民币（大写）</w:t>
      </w:r>
      <w:r>
        <w:rPr>
          <w:rFonts w:hint="eastAsia" w:ascii="宋体" w:hAnsi="宋体" w:cs="Arial"/>
          <w:b/>
          <w:kern w:val="0"/>
          <w:sz w:val="24"/>
          <w:u w:val="single"/>
        </w:rPr>
        <w:t xml:space="preserve">                          </w:t>
      </w:r>
      <w:r>
        <w:rPr>
          <w:rFonts w:hint="eastAsia" w:ascii="宋体" w:hAnsi="宋体" w:cs="Arial"/>
          <w:kern w:val="0"/>
          <w:sz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2、本合同总价款含所有税费</w:t>
      </w:r>
      <w:r>
        <w:rPr>
          <w:rFonts w:hint="eastAsia" w:ascii="宋体" w:hAnsi="宋体" w:cs="Arial"/>
          <w:kern w:val="0"/>
          <w:sz w:val="24"/>
          <w:u w:val="single"/>
        </w:rPr>
        <w:t>(包括完成本次招标内容所需的一切人员工资、奖金、保险、专用设备及工具、材料、服装、管理费、税费、利润、代理服务费等全部费用。)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3、本项目资金来源：</w:t>
      </w:r>
      <w:r>
        <w:rPr>
          <w:rFonts w:hint="eastAsia" w:ascii="宋体" w:hAnsi="宋体" w:cs="Arial"/>
          <w:kern w:val="0"/>
          <w:sz w:val="24"/>
          <w:u w:val="single"/>
        </w:rPr>
        <w:t xml:space="preserve">  </w:t>
      </w:r>
      <w:r>
        <w:rPr>
          <w:rFonts w:hint="eastAsia" w:ascii="宋体" w:hAnsi="宋体" w:cs="宋体"/>
          <w:kern w:val="0"/>
          <w:sz w:val="24"/>
          <w:u w:val="single"/>
        </w:rPr>
        <w:t>自筹</w:t>
      </w:r>
      <w:r>
        <w:rPr>
          <w:rFonts w:hint="eastAsia" w:ascii="宋体" w:hAnsi="宋体" w:cs="Arial"/>
          <w:kern w:val="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u w:val="single"/>
        </w:rPr>
      </w:pPr>
      <w:r>
        <w:rPr>
          <w:rFonts w:hint="eastAsia" w:ascii="宋体" w:hAnsi="宋体" w:cs="Arial"/>
          <w:kern w:val="0"/>
          <w:sz w:val="24"/>
        </w:rPr>
        <w:t>4、本合同付款方式：</w:t>
      </w:r>
      <w:r>
        <w:rPr>
          <w:rFonts w:hint="eastAsia" w:ascii="宋体" w:hAnsi="宋体" w:cs="Arial"/>
          <w:kern w:val="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第四条 履约保证金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本项目设置履约保证金，乙方应于</w:t>
      </w:r>
      <w:r>
        <w:rPr>
          <w:rFonts w:hint="eastAsia" w:ascii="宋体" w:hAnsi="宋体" w:cs="Arial"/>
          <w:kern w:val="0"/>
          <w:sz w:val="24"/>
          <w:u w:val="single"/>
        </w:rPr>
        <w:t xml:space="preserve"> 合同签订前 </w:t>
      </w:r>
      <w:r>
        <w:rPr>
          <w:rFonts w:hint="eastAsia" w:ascii="宋体" w:hAnsi="宋体" w:cs="Arial"/>
          <w:kern w:val="0"/>
          <w:sz w:val="24"/>
        </w:rPr>
        <w:t>向甲方提交履约保证金</w:t>
      </w:r>
      <w:r>
        <w:rPr>
          <w:rFonts w:hint="eastAsia" w:ascii="宋体" w:hAnsi="宋体" w:cs="Arial"/>
          <w:kern w:val="0"/>
          <w:sz w:val="24"/>
          <w:u w:val="single"/>
        </w:rPr>
        <w:t xml:space="preserve">    </w:t>
      </w:r>
      <w:r>
        <w:rPr>
          <w:rFonts w:hint="eastAsia" w:ascii="宋体" w:hAnsi="宋体" w:cs="Arial"/>
          <w:kern w:val="0"/>
          <w:sz w:val="24"/>
        </w:rPr>
        <w:t>元（</w:t>
      </w:r>
      <w:r>
        <w:rPr>
          <w:rFonts w:hint="eastAsia" w:ascii="宋体" w:hAnsi="宋体"/>
          <w:sz w:val="24"/>
        </w:rPr>
        <w:t>合同金额的5%</w:t>
      </w:r>
      <w:r>
        <w:rPr>
          <w:rFonts w:hint="eastAsia" w:ascii="宋体" w:hAnsi="宋体" w:cs="Arial"/>
          <w:kern w:val="0"/>
          <w:sz w:val="24"/>
        </w:rPr>
        <w:t>）。履约保证金</w:t>
      </w:r>
      <w:r>
        <w:rPr>
          <w:rFonts w:hint="eastAsia" w:ascii="宋体" w:hAnsi="宋体" w:cs="Arial"/>
          <w:kern w:val="0"/>
          <w:sz w:val="24"/>
          <w:u w:val="single"/>
        </w:rPr>
        <w:t xml:space="preserve">  </w:t>
      </w:r>
      <w:r>
        <w:rPr>
          <w:rFonts w:hint="eastAsia" w:ascii="宋体" w:hAnsi="宋体"/>
          <w:sz w:val="24"/>
          <w:u w:val="single"/>
        </w:rPr>
        <w:t>待合同履约完毕后</w:t>
      </w:r>
      <w:r>
        <w:rPr>
          <w:rFonts w:ascii="宋体" w:hAnsi="宋体"/>
          <w:sz w:val="24"/>
          <w:u w:val="single"/>
        </w:rPr>
        <w:t>无息退还</w:t>
      </w:r>
      <w:r>
        <w:rPr>
          <w:rFonts w:hint="eastAsia" w:ascii="宋体" w:hAnsi="宋体" w:cs="Arial"/>
          <w:kern w:val="0"/>
          <w:sz w:val="24"/>
          <w:u w:val="single"/>
        </w:rPr>
        <w:t xml:space="preserve">  </w:t>
      </w:r>
      <w:r>
        <w:rPr>
          <w:rFonts w:hint="eastAsia" w:ascii="宋体" w:hAnsi="宋体" w:cs="Arial"/>
          <w:kern w:val="0"/>
          <w:sz w:val="24"/>
        </w:rPr>
        <w:t>乙方。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第五条 合同的变更和终止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本合同一经签订，甲乙双方不得擅自终止合同或对合同实质性条款进行变更（确有特殊情况的除外）。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第六条 合同的转让与分包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本项目不允许转让与分包。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第七条 争议的解决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因履行本合同引起的或与本合同有关的争议，甲、乙双方应首先通过友好协商解决，如果协商不能解决争议，则采取以下第</w:t>
      </w:r>
      <w:r>
        <w:rPr>
          <w:rFonts w:hint="eastAsia" w:ascii="宋体" w:hAnsi="宋体" w:cs="Arial"/>
          <w:kern w:val="0"/>
          <w:sz w:val="24"/>
          <w:u w:val="single"/>
        </w:rPr>
        <w:t xml:space="preserve">    1     </w:t>
      </w:r>
      <w:r>
        <w:rPr>
          <w:rFonts w:hint="eastAsia" w:ascii="宋体" w:hAnsi="宋体" w:cs="Arial"/>
          <w:kern w:val="0"/>
          <w:sz w:val="24"/>
        </w:rPr>
        <w:t>种方式解决争议：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（1）向甲方所在地有管辖权的人民法院提起诉讼；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（2）向</w:t>
      </w:r>
      <w:r>
        <w:rPr>
          <w:rFonts w:hint="eastAsia" w:ascii="宋体" w:hAnsi="宋体" w:cs="Arial"/>
          <w:kern w:val="0"/>
          <w:sz w:val="24"/>
          <w:u w:val="single"/>
        </w:rPr>
        <w:t xml:space="preserve">   /     </w:t>
      </w:r>
      <w:r>
        <w:rPr>
          <w:rFonts w:hint="eastAsia" w:ascii="宋体" w:hAnsi="宋体" w:cs="Arial"/>
          <w:kern w:val="0"/>
          <w:sz w:val="24"/>
        </w:rPr>
        <w:t>仲裁委员申请仲裁。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第八条 合同备案及其他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Arial"/>
          <w:kern w:val="0"/>
          <w:sz w:val="24"/>
        </w:rPr>
      </w:pPr>
      <w:r>
        <w:rPr>
          <w:rFonts w:hint="eastAsia" w:ascii="宋体" w:hAnsi="宋体" w:cs="Arial"/>
          <w:kern w:val="0"/>
          <w:sz w:val="24"/>
        </w:rPr>
        <w:t>本合同一式</w:t>
      </w:r>
      <w:r>
        <w:rPr>
          <w:rFonts w:hint="eastAsia" w:ascii="宋体" w:hAnsi="宋体" w:cs="Arial"/>
          <w:kern w:val="0"/>
          <w:sz w:val="24"/>
          <w:u w:val="single"/>
        </w:rPr>
        <w:t xml:space="preserve">  六  </w:t>
      </w:r>
      <w:r>
        <w:rPr>
          <w:rFonts w:hint="eastAsia" w:ascii="宋体" w:hAnsi="宋体" w:cs="Arial"/>
          <w:kern w:val="0"/>
          <w:sz w:val="24"/>
        </w:rPr>
        <w:t>份，甲乙双方各执</w:t>
      </w:r>
      <w:r>
        <w:rPr>
          <w:rFonts w:hint="eastAsia" w:ascii="宋体" w:hAnsi="宋体" w:cs="Arial"/>
          <w:kern w:val="0"/>
          <w:sz w:val="24"/>
          <w:u w:val="single"/>
        </w:rPr>
        <w:t xml:space="preserve">  二  </w:t>
      </w:r>
      <w:r>
        <w:rPr>
          <w:rFonts w:hint="eastAsia" w:ascii="宋体" w:hAnsi="宋体" w:cs="Arial"/>
          <w:kern w:val="0"/>
          <w:sz w:val="24"/>
        </w:rPr>
        <w:t>份，招采办及</w:t>
      </w:r>
      <w:r>
        <w:rPr>
          <w:rFonts w:hint="eastAsia" w:ascii="宋体" w:hAnsi="宋体"/>
          <w:sz w:val="24"/>
        </w:rPr>
        <w:t>招标代理机构</w:t>
      </w:r>
      <w:r>
        <w:rPr>
          <w:rFonts w:hint="eastAsia" w:ascii="宋体" w:hAnsi="宋体" w:cs="Arial"/>
          <w:kern w:val="0"/>
          <w:sz w:val="24"/>
        </w:rPr>
        <w:t>各执</w:t>
      </w:r>
      <w:r>
        <w:rPr>
          <w:rFonts w:hint="eastAsia" w:ascii="宋体" w:hAnsi="宋体" w:cs="Arial"/>
          <w:kern w:val="0"/>
          <w:sz w:val="24"/>
          <w:u w:val="single"/>
        </w:rPr>
        <w:t xml:space="preserve">  一  </w:t>
      </w:r>
      <w:r>
        <w:rPr>
          <w:rFonts w:hint="eastAsia" w:ascii="宋体" w:hAnsi="宋体" w:cs="Arial"/>
          <w:kern w:val="0"/>
          <w:sz w:val="24"/>
        </w:rPr>
        <w:t xml:space="preserve">份。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宋体" w:hAnsi="宋体" w:cs="Arial"/>
          <w:kern w:val="0"/>
          <w:sz w:val="24"/>
        </w:rPr>
      </w:pPr>
      <w:r>
        <w:rPr>
          <w:rFonts w:hint="eastAsia" w:ascii="宋体" w:hAnsi="宋体" w:cs="Arial"/>
          <w:kern w:val="0"/>
          <w:sz w:val="24"/>
        </w:rPr>
        <w:t>二、特殊专用条款部分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 xml:space="preserve">第一条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u w:val="single"/>
        </w:rPr>
      </w:pPr>
      <w:r>
        <w:rPr>
          <w:rFonts w:hint="eastAsia" w:ascii="宋体" w:hAnsi="宋体" w:cs="Arial"/>
          <w:kern w:val="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1" w:firstLineChars="200"/>
        <w:jc w:val="left"/>
        <w:rPr>
          <w:rFonts w:ascii="宋体" w:hAnsi="宋体" w:cs="Arial"/>
          <w:b/>
          <w:kern w:val="0"/>
          <w:sz w:val="24"/>
        </w:rPr>
      </w:pPr>
      <w:r>
        <w:rPr>
          <w:rFonts w:hint="eastAsia" w:ascii="宋体" w:hAnsi="宋体" w:cs="Arial"/>
          <w:b/>
          <w:kern w:val="0"/>
          <w:sz w:val="24"/>
        </w:rPr>
        <w:t xml:space="preserve">第二条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Arial"/>
          <w:kern w:val="0"/>
          <w:sz w:val="24"/>
          <w:u w:val="single"/>
        </w:rPr>
      </w:pPr>
      <w:r>
        <w:rPr>
          <w:rFonts w:hint="eastAsia" w:ascii="宋体" w:hAnsi="宋体" w:cs="Arial"/>
          <w:kern w:val="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宋体" w:hAnsi="宋体" w:cs="Arial"/>
          <w:kern w:val="0"/>
          <w:sz w:val="24"/>
        </w:rPr>
      </w:pPr>
    </w:p>
    <w:p>
      <w:pPr>
        <w:spacing w:line="480" w:lineRule="exact"/>
        <w:rPr>
          <w:rFonts w:ascii="宋体" w:hAnsi="宋体"/>
          <w:b/>
          <w:sz w:val="24"/>
        </w:rPr>
      </w:pPr>
      <w:r>
        <w:rPr>
          <w:rFonts w:hint="eastAsia" w:ascii="宋体" w:hAnsi="宋体"/>
          <w:b/>
          <w:sz w:val="24"/>
        </w:rPr>
        <w:t>采购人（甲方公章）                    供应商（乙方公章）：</w:t>
      </w:r>
    </w:p>
    <w:p>
      <w:pPr>
        <w:spacing w:line="480" w:lineRule="exact"/>
        <w:rPr>
          <w:rFonts w:ascii="宋体" w:hAnsi="宋体"/>
          <w:b/>
          <w:sz w:val="24"/>
        </w:rPr>
      </w:pPr>
      <w:r>
        <w:rPr>
          <w:rFonts w:hint="eastAsia" w:ascii="宋体" w:hAnsi="宋体"/>
          <w:b/>
          <w:sz w:val="24"/>
        </w:rPr>
        <w:t>法定代表人                            法定代表人</w:t>
      </w:r>
    </w:p>
    <w:p>
      <w:pPr>
        <w:spacing w:line="480" w:lineRule="exact"/>
        <w:rPr>
          <w:rFonts w:ascii="宋体" w:hAnsi="宋体"/>
          <w:b/>
          <w:sz w:val="24"/>
        </w:rPr>
      </w:pPr>
      <w:r>
        <w:rPr>
          <w:rFonts w:hint="eastAsia" w:ascii="宋体" w:hAnsi="宋体"/>
          <w:b/>
          <w:sz w:val="24"/>
        </w:rPr>
        <w:t xml:space="preserve">或被授权人（签字）：                   或被授权人（签字）：     </w:t>
      </w:r>
    </w:p>
    <w:p>
      <w:pPr>
        <w:spacing w:line="480" w:lineRule="exact"/>
        <w:rPr>
          <w:rFonts w:ascii="宋体" w:hAnsi="宋体"/>
          <w:b/>
          <w:sz w:val="24"/>
        </w:rPr>
      </w:pPr>
      <w:r>
        <w:rPr>
          <w:rFonts w:hint="eastAsia" w:ascii="宋体" w:hAnsi="宋体"/>
          <w:b/>
          <w:sz w:val="24"/>
        </w:rPr>
        <w:t xml:space="preserve">电话：                                电话：  </w:t>
      </w:r>
    </w:p>
    <w:p>
      <w:pPr>
        <w:spacing w:line="480" w:lineRule="exact"/>
        <w:ind w:right="480" w:firstLine="2160" w:firstLineChars="900"/>
        <w:jc w:val="center"/>
        <w:rPr>
          <w:rFonts w:ascii="宋体" w:hAnsi="宋体"/>
          <w:sz w:val="24"/>
        </w:rPr>
      </w:pPr>
      <w:r>
        <w:rPr>
          <w:rFonts w:hint="eastAsia" w:ascii="宋体" w:hAnsi="宋体"/>
          <w:sz w:val="24"/>
        </w:rPr>
        <w:t xml:space="preserve">              合同签订日期：     年    月   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宋体" w:hAnsi="宋体" w:cs="Arial"/>
          <w:kern w:val="0"/>
          <w:sz w:val="24"/>
        </w:rPr>
      </w:pPr>
      <w:r>
        <w:rPr>
          <w:rFonts w:hint="eastAsia" w:ascii="宋体" w:hAnsi="宋体"/>
          <w:sz w:val="24"/>
        </w:rPr>
        <w:t>签约地点：</w:t>
      </w:r>
    </w:p>
    <w:p>
      <w:pPr>
        <w:widowControl/>
        <w:jc w:val="left"/>
        <w:rPr>
          <w:b/>
          <w:bCs/>
          <w:kern w:val="44"/>
          <w:sz w:val="32"/>
          <w:szCs w:val="44"/>
        </w:rPr>
      </w:pPr>
      <w:r>
        <w:br w:type="page"/>
      </w:r>
    </w:p>
    <w:p>
      <w:pPr>
        <w:pStyle w:val="2"/>
        <w:adjustRightInd w:val="0"/>
        <w:snapToGrid w:val="0"/>
        <w:spacing w:before="0" w:after="0" w:line="360" w:lineRule="auto"/>
      </w:pPr>
      <w:bookmarkStart w:id="140" w:name="_Toc38307001"/>
      <w:bookmarkStart w:id="141" w:name="_Toc513370307"/>
      <w:r>
        <w:rPr>
          <w:rFonts w:hint="eastAsia"/>
        </w:rPr>
        <w:t>第六章　投标文件格式</w:t>
      </w:r>
      <w:bookmarkEnd w:id="140"/>
      <w:bookmarkEnd w:id="141"/>
    </w:p>
    <w:p>
      <w:pPr>
        <w:snapToGrid w:val="0"/>
        <w:spacing w:beforeLines="50" w:after="50"/>
        <w:jc w:val="center"/>
        <w:outlineLvl w:val="1"/>
        <w:rPr>
          <w:rFonts w:ascii="宋体" w:hAnsi="宋体"/>
          <w:b/>
          <w:bCs/>
          <w:sz w:val="24"/>
        </w:rPr>
      </w:pPr>
      <w:bookmarkStart w:id="142" w:name="_Toc381081902"/>
      <w:bookmarkStart w:id="143" w:name="_Toc38307002"/>
      <w:r>
        <w:rPr>
          <w:rFonts w:hint="eastAsia" w:ascii="宋体" w:hAnsi="宋体"/>
          <w:b/>
          <w:bCs/>
          <w:sz w:val="24"/>
        </w:rPr>
        <w:t>一、投标文件外层包装及封面格式</w:t>
      </w:r>
      <w:bookmarkEnd w:id="142"/>
      <w:bookmarkEnd w:id="143"/>
    </w:p>
    <w:p>
      <w:pPr>
        <w:snapToGrid w:val="0"/>
        <w:spacing w:beforeLines="50" w:after="50"/>
        <w:rPr>
          <w:rFonts w:ascii="宋体" w:hAnsi="宋体"/>
          <w:b/>
          <w:sz w:val="24"/>
        </w:rPr>
      </w:pPr>
    </w:p>
    <w:p>
      <w:pPr>
        <w:snapToGrid w:val="0"/>
        <w:spacing w:beforeLines="50" w:after="50"/>
        <w:rPr>
          <w:rFonts w:ascii="宋体" w:hAnsi="宋体"/>
          <w:b/>
          <w:sz w:val="24"/>
        </w:rPr>
      </w:pPr>
      <w:r>
        <w:rPr>
          <w:rFonts w:ascii="宋体" w:hAnsi="宋体"/>
          <w:b/>
          <w:sz w:val="24"/>
        </w:rPr>
        <w:t>1.</w:t>
      </w:r>
      <w:r>
        <w:rPr>
          <w:rFonts w:hint="eastAsia" w:ascii="宋体" w:hAnsi="宋体"/>
          <w:b/>
          <w:sz w:val="24"/>
        </w:rPr>
        <w:t>所有投标文件的外包装封面格式</w:t>
      </w:r>
    </w:p>
    <w:p>
      <w:pPr>
        <w:snapToGrid w:val="0"/>
        <w:spacing w:beforeLines="50" w:after="50"/>
        <w:jc w:val="center"/>
        <w:rPr>
          <w:rFonts w:ascii="宋体" w:hAnsi="宋体"/>
          <w:b/>
          <w:bCs/>
          <w:sz w:val="32"/>
          <w:szCs w:val="32"/>
        </w:rPr>
      </w:pPr>
      <w:r>
        <w:rPr>
          <w:rFonts w:hint="eastAsia" w:ascii="宋体" w:hAnsi="宋体"/>
          <w:b/>
          <w:bCs/>
          <w:sz w:val="32"/>
          <w:szCs w:val="32"/>
        </w:rPr>
        <w:t>投</w:t>
      </w:r>
      <w:r>
        <w:rPr>
          <w:rFonts w:ascii="宋体" w:hAnsi="宋体"/>
          <w:b/>
          <w:bCs/>
          <w:sz w:val="32"/>
          <w:szCs w:val="32"/>
        </w:rPr>
        <w:t xml:space="preserve"> </w:t>
      </w:r>
      <w:r>
        <w:rPr>
          <w:rFonts w:hint="eastAsia" w:ascii="宋体" w:hAnsi="宋体"/>
          <w:b/>
          <w:bCs/>
          <w:sz w:val="32"/>
          <w:szCs w:val="32"/>
        </w:rPr>
        <w:t>标</w:t>
      </w:r>
      <w:r>
        <w:rPr>
          <w:rFonts w:ascii="宋体" w:hAnsi="宋体"/>
          <w:b/>
          <w:bCs/>
          <w:sz w:val="32"/>
          <w:szCs w:val="32"/>
        </w:rPr>
        <w:t xml:space="preserve"> </w:t>
      </w:r>
      <w:r>
        <w:rPr>
          <w:rFonts w:hint="eastAsia" w:ascii="宋体" w:hAnsi="宋体"/>
          <w:b/>
          <w:bCs/>
          <w:sz w:val="32"/>
          <w:szCs w:val="32"/>
        </w:rPr>
        <w:t>文</w:t>
      </w:r>
      <w:r>
        <w:rPr>
          <w:rFonts w:ascii="宋体" w:hAnsi="宋体"/>
          <w:b/>
          <w:bCs/>
          <w:sz w:val="32"/>
          <w:szCs w:val="32"/>
        </w:rPr>
        <w:t xml:space="preserve"> </w:t>
      </w:r>
      <w:r>
        <w:rPr>
          <w:rFonts w:hint="eastAsia" w:ascii="宋体" w:hAnsi="宋体"/>
          <w:b/>
          <w:bCs/>
          <w:sz w:val="32"/>
          <w:szCs w:val="32"/>
        </w:rPr>
        <w:t>件</w:t>
      </w:r>
    </w:p>
    <w:p>
      <w:pPr>
        <w:snapToGrid w:val="0"/>
        <w:spacing w:beforeLines="50" w:after="50"/>
        <w:rPr>
          <w:rFonts w:ascii="宋体" w:hAnsi="宋体"/>
          <w:bCs/>
          <w:sz w:val="24"/>
          <w:szCs w:val="20"/>
        </w:rPr>
      </w:pPr>
    </w:p>
    <w:p>
      <w:pPr>
        <w:snapToGrid w:val="0"/>
        <w:spacing w:line="360" w:lineRule="auto"/>
        <w:ind w:firstLine="1068" w:firstLineChars="445"/>
        <w:rPr>
          <w:rFonts w:ascii="宋体" w:hAnsi="宋体"/>
          <w:bCs/>
          <w:sz w:val="24"/>
          <w:szCs w:val="20"/>
        </w:rPr>
      </w:pPr>
      <w:r>
        <w:rPr>
          <w:rFonts w:hint="eastAsia" w:ascii="宋体" w:hAnsi="宋体"/>
          <w:bCs/>
          <w:sz w:val="24"/>
        </w:rPr>
        <w:t>项目名称：</w:t>
      </w:r>
    </w:p>
    <w:p>
      <w:pPr>
        <w:snapToGrid w:val="0"/>
        <w:spacing w:line="360" w:lineRule="auto"/>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pStyle w:val="9"/>
        <w:snapToGrid w:val="0"/>
        <w:spacing w:line="360" w:lineRule="auto"/>
        <w:ind w:firstLine="1068" w:firstLineChars="445"/>
        <w:rPr>
          <w:rFonts w:ascii="宋体" w:hAnsi="宋体"/>
          <w:bCs/>
          <w:sz w:val="24"/>
        </w:rPr>
      </w:pPr>
      <w:r>
        <w:rPr>
          <w:rFonts w:hint="eastAsia" w:ascii="宋体" w:hAnsi="宋体"/>
          <w:bCs/>
          <w:sz w:val="24"/>
        </w:rPr>
        <w:t>投标文件名称：</w:t>
      </w:r>
    </w:p>
    <w:p>
      <w:pPr>
        <w:pStyle w:val="9"/>
        <w:snapToGrid w:val="0"/>
        <w:spacing w:line="360" w:lineRule="auto"/>
        <w:ind w:firstLine="1068" w:firstLineChars="445"/>
        <w:rPr>
          <w:rFonts w:ascii="宋体" w:hAnsi="宋体"/>
          <w:bCs/>
          <w:sz w:val="24"/>
        </w:rPr>
      </w:pPr>
      <w:r>
        <w:rPr>
          <w:rFonts w:hint="eastAsia" w:ascii="宋体" w:hAnsi="宋体"/>
          <w:bCs/>
          <w:sz w:val="24"/>
        </w:rPr>
        <w:t>投标人（盖章）：</w:t>
      </w:r>
    </w:p>
    <w:p>
      <w:pPr>
        <w:pStyle w:val="9"/>
        <w:snapToGrid w:val="0"/>
        <w:spacing w:line="360" w:lineRule="auto"/>
        <w:ind w:firstLine="1068" w:firstLineChars="445"/>
        <w:rPr>
          <w:rFonts w:ascii="宋体" w:hAnsi="宋体"/>
          <w:bCs/>
          <w:sz w:val="24"/>
        </w:rPr>
      </w:pPr>
      <w:r>
        <w:rPr>
          <w:rFonts w:hint="eastAsia" w:ascii="宋体" w:hAnsi="宋体"/>
          <w:bCs/>
          <w:sz w:val="24"/>
        </w:rPr>
        <w:t>投标人地址：</w:t>
      </w:r>
    </w:p>
    <w:p>
      <w:pPr>
        <w:pStyle w:val="9"/>
        <w:snapToGrid w:val="0"/>
        <w:spacing w:line="360" w:lineRule="auto"/>
        <w:ind w:firstLine="1068" w:firstLineChars="445"/>
        <w:rPr>
          <w:rFonts w:ascii="宋体" w:hAnsi="宋体"/>
          <w:bCs/>
          <w:sz w:val="24"/>
        </w:rPr>
      </w:pPr>
      <w:r>
        <w:rPr>
          <w:rFonts w:hint="eastAsia" w:ascii="宋体" w:hAnsi="宋体"/>
          <w:bCs/>
          <w:sz w:val="24"/>
        </w:rPr>
        <w:t xml:space="preserve">在    </w:t>
      </w:r>
      <w:r>
        <w:rPr>
          <w:rFonts w:hint="eastAsia" w:ascii="宋体" w:hAnsi="宋体" w:cs="Arial"/>
          <w:sz w:val="24"/>
        </w:rPr>
        <w:t>年   月   日</w:t>
      </w:r>
      <w:r>
        <w:rPr>
          <w:rFonts w:hint="eastAsia" w:ascii="宋体" w:hAnsi="宋体"/>
          <w:bCs/>
          <w:sz w:val="24"/>
        </w:rPr>
        <w:t xml:space="preserve">   时   分之前不得启封</w:t>
      </w:r>
    </w:p>
    <w:p>
      <w:pPr>
        <w:snapToGrid w:val="0"/>
        <w:spacing w:beforeLines="50" w:after="50"/>
        <w:ind w:firstLine="1068" w:firstLineChars="445"/>
        <w:rPr>
          <w:rFonts w:ascii="宋体" w:hAnsi="宋体"/>
          <w:bCs/>
          <w:sz w:val="24"/>
          <w:szCs w:val="20"/>
        </w:rPr>
      </w:pPr>
    </w:p>
    <w:p>
      <w:pPr>
        <w:snapToGrid w:val="0"/>
        <w:spacing w:beforeLines="50" w:after="50"/>
        <w:ind w:firstLine="645"/>
        <w:jc w:val="center"/>
        <w:rPr>
          <w:rFonts w:ascii="宋体" w:hAnsi="宋体"/>
          <w:bCs/>
          <w:sz w:val="24"/>
          <w:szCs w:val="20"/>
        </w:rPr>
      </w:pP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snapToGrid w:val="0"/>
        <w:spacing w:beforeLines="50" w:after="50"/>
        <w:jc w:val="center"/>
        <w:rPr>
          <w:rFonts w:ascii="宋体" w:hAnsi="宋体"/>
          <w:sz w:val="24"/>
          <w:szCs w:val="20"/>
        </w:rPr>
      </w:pPr>
    </w:p>
    <w:p>
      <w:pPr>
        <w:snapToGrid w:val="0"/>
        <w:spacing w:beforeLines="50" w:after="50"/>
        <w:jc w:val="center"/>
        <w:rPr>
          <w:rFonts w:ascii="宋体" w:hAnsi="宋体"/>
          <w:sz w:val="24"/>
          <w:szCs w:val="20"/>
        </w:rPr>
      </w:pPr>
    </w:p>
    <w:p>
      <w:pPr>
        <w:snapToGrid w:val="0"/>
        <w:spacing w:beforeLines="50" w:after="50"/>
        <w:jc w:val="center"/>
        <w:rPr>
          <w:rFonts w:ascii="宋体" w:hAnsi="宋体"/>
          <w:sz w:val="24"/>
          <w:szCs w:val="20"/>
        </w:rPr>
      </w:pPr>
    </w:p>
    <w:p>
      <w:pPr>
        <w:snapToGrid w:val="0"/>
        <w:spacing w:beforeLines="50" w:after="50"/>
        <w:jc w:val="center"/>
        <w:rPr>
          <w:rFonts w:ascii="宋体" w:hAnsi="宋体"/>
          <w:sz w:val="24"/>
          <w:szCs w:val="20"/>
        </w:rPr>
      </w:pPr>
    </w:p>
    <w:p>
      <w:pPr>
        <w:snapToGrid w:val="0"/>
        <w:spacing w:beforeLines="50" w:after="50"/>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资信商务及技术文件封面格式：</w:t>
      </w:r>
      <w:r>
        <w:rPr>
          <w:rFonts w:ascii="宋体" w:hAnsi="宋体"/>
          <w:b/>
          <w:sz w:val="24"/>
        </w:rPr>
        <w:t xml:space="preserve"> </w:t>
      </w:r>
    </w:p>
    <w:p>
      <w:pPr>
        <w:snapToGrid w:val="0"/>
        <w:spacing w:beforeLines="50" w:after="50"/>
        <w:rPr>
          <w:rFonts w:ascii="宋体" w:hAnsi="宋体"/>
          <w:b/>
          <w:bCs/>
          <w:sz w:val="32"/>
          <w:szCs w:val="20"/>
        </w:rPr>
      </w:pPr>
      <w:r>
        <w:rPr>
          <w:rFonts w:ascii="宋体" w:hAnsi="宋体"/>
          <w:sz w:val="24"/>
        </w:rPr>
        <w:t xml:space="preserve">                                                    </w:t>
      </w:r>
      <w:r>
        <w:rPr>
          <w:rFonts w:hint="eastAsia" w:ascii="宋体" w:hAnsi="宋体"/>
          <w:b/>
          <w:bCs/>
        </w:rPr>
        <w:t>正本</w:t>
      </w:r>
      <w:r>
        <w:rPr>
          <w:rFonts w:ascii="宋体" w:hAnsi="宋体"/>
          <w:b/>
          <w:bCs/>
        </w:rPr>
        <w:t>/</w:t>
      </w:r>
      <w:r>
        <w:rPr>
          <w:rFonts w:hint="eastAsia" w:ascii="宋体" w:hAnsi="宋体"/>
          <w:b/>
          <w:bCs/>
        </w:rPr>
        <w:t>或副本</w:t>
      </w:r>
    </w:p>
    <w:p>
      <w:pPr>
        <w:snapToGrid w:val="0"/>
        <w:spacing w:beforeLines="50" w:after="50"/>
        <w:jc w:val="center"/>
        <w:rPr>
          <w:rFonts w:ascii="宋体" w:hAnsi="宋体"/>
          <w:b/>
          <w:bCs/>
          <w:sz w:val="32"/>
          <w:szCs w:val="32"/>
        </w:rPr>
      </w:pPr>
      <w:r>
        <w:rPr>
          <w:rFonts w:hint="eastAsia" w:ascii="宋体" w:hAnsi="宋体"/>
          <w:b/>
          <w:bCs/>
          <w:sz w:val="32"/>
          <w:szCs w:val="32"/>
        </w:rPr>
        <w:t>资信商务及</w:t>
      </w:r>
      <w:r>
        <w:rPr>
          <w:rFonts w:hint="eastAsia" w:ascii="宋体" w:hAnsi="宋体"/>
          <w:b/>
          <w:sz w:val="32"/>
          <w:szCs w:val="32"/>
        </w:rPr>
        <w:t>技术文件</w:t>
      </w:r>
    </w:p>
    <w:p>
      <w:pPr>
        <w:snapToGrid w:val="0"/>
        <w:spacing w:beforeLines="50" w:after="50"/>
        <w:rPr>
          <w:rFonts w:ascii="宋体" w:hAnsi="宋体"/>
          <w:bCs/>
          <w:sz w:val="24"/>
          <w:szCs w:val="20"/>
        </w:rPr>
      </w:pPr>
    </w:p>
    <w:p>
      <w:pPr>
        <w:snapToGrid w:val="0"/>
        <w:spacing w:line="360" w:lineRule="auto"/>
        <w:ind w:firstLine="1068" w:firstLineChars="445"/>
        <w:rPr>
          <w:rFonts w:ascii="宋体" w:hAnsi="宋体"/>
          <w:bCs/>
          <w:sz w:val="24"/>
        </w:rPr>
      </w:pPr>
      <w:r>
        <w:rPr>
          <w:rFonts w:hint="eastAsia" w:ascii="宋体" w:hAnsi="宋体"/>
          <w:bCs/>
          <w:sz w:val="24"/>
        </w:rPr>
        <w:t>项目名称：</w:t>
      </w:r>
    </w:p>
    <w:p>
      <w:pPr>
        <w:snapToGrid w:val="0"/>
        <w:spacing w:line="360" w:lineRule="auto"/>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snapToGrid w:val="0"/>
        <w:spacing w:line="360" w:lineRule="auto"/>
        <w:ind w:firstLine="1068" w:firstLineChars="445"/>
        <w:rPr>
          <w:rFonts w:ascii="宋体" w:hAnsi="宋体"/>
          <w:bCs/>
          <w:sz w:val="24"/>
        </w:rPr>
      </w:pPr>
      <w:r>
        <w:rPr>
          <w:rFonts w:hint="eastAsia" w:ascii="宋体" w:hAnsi="宋体"/>
          <w:bCs/>
          <w:sz w:val="24"/>
        </w:rPr>
        <w:t>投标人（盖章）：</w:t>
      </w:r>
    </w:p>
    <w:p>
      <w:pPr>
        <w:snapToGrid w:val="0"/>
        <w:spacing w:line="360" w:lineRule="auto"/>
        <w:ind w:firstLine="1068" w:firstLineChars="445"/>
        <w:rPr>
          <w:rFonts w:ascii="宋体" w:hAnsi="宋体"/>
          <w:bCs/>
          <w:sz w:val="24"/>
        </w:rPr>
      </w:pPr>
      <w:r>
        <w:rPr>
          <w:rFonts w:hint="eastAsia" w:ascii="宋体" w:hAnsi="宋体"/>
          <w:bCs/>
          <w:sz w:val="24"/>
        </w:rPr>
        <w:t>投标人地址：</w:t>
      </w:r>
    </w:p>
    <w:p>
      <w:pPr>
        <w:snapToGrid w:val="0"/>
        <w:spacing w:line="360" w:lineRule="auto"/>
        <w:ind w:firstLine="1068" w:firstLineChars="445"/>
        <w:rPr>
          <w:rFonts w:ascii="宋体" w:hAnsi="宋体"/>
          <w:bCs/>
          <w:sz w:val="24"/>
        </w:rPr>
      </w:pPr>
    </w:p>
    <w:p>
      <w:pPr>
        <w:snapToGrid w:val="0"/>
        <w:spacing w:beforeLines="50" w:after="50"/>
        <w:ind w:firstLine="645"/>
        <w:jc w:val="center"/>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napToGrid w:val="0"/>
        <w:spacing w:beforeLines="50" w:after="50"/>
        <w:ind w:firstLine="645"/>
        <w:jc w:val="center"/>
        <w:rPr>
          <w:rFonts w:ascii="宋体" w:hAnsi="宋体"/>
          <w:sz w:val="24"/>
        </w:rPr>
      </w:pPr>
    </w:p>
    <w:p>
      <w:pPr>
        <w:snapToGrid w:val="0"/>
        <w:spacing w:beforeLines="50" w:after="50"/>
        <w:ind w:firstLine="645"/>
        <w:jc w:val="center"/>
        <w:rPr>
          <w:rFonts w:ascii="宋体" w:hAnsi="宋体"/>
          <w:sz w:val="24"/>
        </w:rPr>
      </w:pPr>
    </w:p>
    <w:p>
      <w:pPr>
        <w:snapToGrid w:val="0"/>
        <w:spacing w:beforeLines="50" w:after="50"/>
        <w:ind w:firstLine="645"/>
        <w:jc w:val="center"/>
        <w:rPr>
          <w:rFonts w:ascii="宋体" w:hAnsi="宋体"/>
          <w:sz w:val="24"/>
        </w:rPr>
      </w:pPr>
    </w:p>
    <w:p>
      <w:pPr>
        <w:snapToGrid w:val="0"/>
        <w:spacing w:beforeLines="50" w:after="50"/>
        <w:ind w:firstLine="645"/>
        <w:jc w:val="center"/>
        <w:rPr>
          <w:rFonts w:ascii="宋体" w:hAnsi="宋体"/>
          <w:sz w:val="24"/>
        </w:rPr>
      </w:pPr>
    </w:p>
    <w:p>
      <w:pPr>
        <w:snapToGrid w:val="0"/>
        <w:spacing w:beforeLines="50" w:after="50"/>
        <w:rPr>
          <w:rFonts w:ascii="宋体" w:hAnsi="宋体"/>
          <w:sz w:val="24"/>
          <w:szCs w:val="20"/>
        </w:rPr>
      </w:pPr>
      <w:r>
        <w:rPr>
          <w:rFonts w:hint="eastAsia" w:ascii="宋体" w:hAnsi="宋体"/>
          <w:b/>
          <w:sz w:val="24"/>
        </w:rPr>
        <w:t>3．报价文件封面格式：</w:t>
      </w:r>
      <w:r>
        <w:rPr>
          <w:rFonts w:ascii="宋体" w:hAnsi="宋体"/>
          <w:b/>
          <w:sz w:val="24"/>
        </w:rPr>
        <w:t xml:space="preserve"> </w:t>
      </w:r>
    </w:p>
    <w:p>
      <w:pPr>
        <w:snapToGrid w:val="0"/>
        <w:spacing w:beforeLines="50" w:after="50"/>
        <w:rPr>
          <w:rFonts w:ascii="宋体" w:hAnsi="宋体"/>
          <w:b/>
          <w:bCs/>
          <w:sz w:val="32"/>
          <w:szCs w:val="20"/>
        </w:rPr>
      </w:pPr>
      <w:r>
        <w:rPr>
          <w:rFonts w:ascii="宋体" w:hAnsi="宋体"/>
          <w:sz w:val="24"/>
        </w:rPr>
        <w:t xml:space="preserve">                                                    </w:t>
      </w:r>
      <w:r>
        <w:rPr>
          <w:rFonts w:hint="eastAsia" w:ascii="宋体" w:hAnsi="宋体"/>
          <w:b/>
          <w:bCs/>
        </w:rPr>
        <w:t>正本</w:t>
      </w:r>
      <w:r>
        <w:rPr>
          <w:rFonts w:ascii="宋体" w:hAnsi="宋体"/>
          <w:b/>
          <w:bCs/>
        </w:rPr>
        <w:t>/</w:t>
      </w:r>
      <w:r>
        <w:rPr>
          <w:rFonts w:hint="eastAsia" w:ascii="宋体" w:hAnsi="宋体"/>
          <w:b/>
          <w:bCs/>
        </w:rPr>
        <w:t>或副本</w:t>
      </w:r>
    </w:p>
    <w:p>
      <w:pPr>
        <w:snapToGrid w:val="0"/>
        <w:spacing w:beforeLines="50" w:after="50"/>
        <w:jc w:val="center"/>
        <w:rPr>
          <w:rFonts w:ascii="宋体" w:hAnsi="宋体"/>
          <w:b/>
          <w:bCs/>
          <w:sz w:val="32"/>
          <w:szCs w:val="32"/>
        </w:rPr>
      </w:pPr>
      <w:r>
        <w:rPr>
          <w:rFonts w:hint="eastAsia" w:ascii="宋体" w:hAnsi="宋体"/>
          <w:b/>
          <w:bCs/>
          <w:sz w:val="32"/>
          <w:szCs w:val="32"/>
        </w:rPr>
        <w:t>报  价</w:t>
      </w:r>
      <w:r>
        <w:rPr>
          <w:rFonts w:ascii="宋体" w:hAnsi="宋体"/>
          <w:b/>
          <w:bCs/>
          <w:sz w:val="32"/>
          <w:szCs w:val="32"/>
        </w:rPr>
        <w:t xml:space="preserve"> </w:t>
      </w:r>
      <w:r>
        <w:rPr>
          <w:rFonts w:hint="eastAsia" w:ascii="宋体" w:hAnsi="宋体"/>
          <w:b/>
          <w:bCs/>
          <w:sz w:val="32"/>
          <w:szCs w:val="32"/>
        </w:rPr>
        <w:t>文</w:t>
      </w:r>
      <w:r>
        <w:rPr>
          <w:rFonts w:ascii="宋体" w:hAnsi="宋体"/>
          <w:b/>
          <w:bCs/>
          <w:sz w:val="32"/>
          <w:szCs w:val="32"/>
        </w:rPr>
        <w:t xml:space="preserve"> </w:t>
      </w:r>
      <w:r>
        <w:rPr>
          <w:rFonts w:hint="eastAsia" w:ascii="宋体" w:hAnsi="宋体"/>
          <w:b/>
          <w:bCs/>
          <w:sz w:val="32"/>
          <w:szCs w:val="32"/>
        </w:rPr>
        <w:t>件</w:t>
      </w:r>
    </w:p>
    <w:p>
      <w:pPr>
        <w:snapToGrid w:val="0"/>
        <w:spacing w:beforeLines="50" w:after="50" w:line="320" w:lineRule="exact"/>
        <w:ind w:firstLine="1068" w:firstLineChars="445"/>
        <w:rPr>
          <w:rFonts w:ascii="宋体" w:hAnsi="宋体"/>
          <w:bCs/>
          <w:sz w:val="24"/>
          <w:szCs w:val="20"/>
        </w:rPr>
      </w:pPr>
      <w:r>
        <w:rPr>
          <w:rFonts w:hint="eastAsia" w:ascii="宋体" w:hAnsi="宋体"/>
          <w:bCs/>
          <w:sz w:val="24"/>
        </w:rPr>
        <w:t>项目名称：</w:t>
      </w:r>
    </w:p>
    <w:p>
      <w:pPr>
        <w:snapToGrid w:val="0"/>
        <w:spacing w:beforeLines="50" w:after="50" w:line="320" w:lineRule="exact"/>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pStyle w:val="9"/>
        <w:snapToGrid w:val="0"/>
        <w:spacing w:before="50" w:after="50" w:line="320" w:lineRule="exact"/>
        <w:ind w:firstLine="1068" w:firstLineChars="445"/>
        <w:rPr>
          <w:rFonts w:ascii="宋体" w:hAnsi="宋体"/>
          <w:bCs/>
          <w:sz w:val="24"/>
        </w:rPr>
      </w:pPr>
      <w:r>
        <w:rPr>
          <w:rFonts w:hint="eastAsia" w:ascii="宋体" w:hAnsi="宋体"/>
          <w:bCs/>
          <w:sz w:val="24"/>
        </w:rPr>
        <w:t>投标人（盖章）：</w:t>
      </w:r>
    </w:p>
    <w:p>
      <w:pPr>
        <w:pStyle w:val="9"/>
        <w:snapToGrid w:val="0"/>
        <w:spacing w:before="50" w:after="50" w:line="320" w:lineRule="exact"/>
        <w:ind w:firstLine="1068" w:firstLineChars="445"/>
        <w:rPr>
          <w:rFonts w:ascii="宋体" w:hAnsi="宋体"/>
          <w:bCs/>
          <w:sz w:val="24"/>
        </w:rPr>
      </w:pPr>
      <w:r>
        <w:rPr>
          <w:rFonts w:hint="eastAsia" w:ascii="宋体" w:hAnsi="宋体"/>
          <w:bCs/>
          <w:sz w:val="24"/>
        </w:rPr>
        <w:t>投标人地址：</w:t>
      </w:r>
    </w:p>
    <w:p>
      <w:pPr>
        <w:snapToGrid w:val="0"/>
        <w:spacing w:beforeLines="50" w:after="50" w:line="360" w:lineRule="auto"/>
        <w:ind w:firstLine="645"/>
        <w:jc w:val="center"/>
        <w:rPr>
          <w:rFonts w:ascii="宋体" w:hAnsi="宋体"/>
          <w:sz w:val="24"/>
        </w:rPr>
      </w:pPr>
      <w:r>
        <w:rPr>
          <w:rFonts w:ascii="宋体" w:hAnsi="宋体"/>
          <w:sz w:val="24"/>
        </w:rPr>
        <w:t xml:space="preserve">                        </w:t>
      </w:r>
      <w:r>
        <w:rPr>
          <w:rFonts w:hint="eastAsia" w:ascii="宋体" w:hAnsi="宋体"/>
          <w:sz w:val="24"/>
        </w:rPr>
        <w:t xml:space="preserve">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napToGrid w:val="0"/>
        <w:spacing w:beforeLines="50" w:after="50" w:line="360" w:lineRule="auto"/>
        <w:ind w:firstLine="645"/>
        <w:jc w:val="center"/>
        <w:rPr>
          <w:rFonts w:ascii="宋体" w:hAnsi="宋体"/>
          <w:sz w:val="24"/>
        </w:rPr>
      </w:pPr>
    </w:p>
    <w:p>
      <w:pPr>
        <w:snapToGrid w:val="0"/>
        <w:spacing w:beforeLines="50" w:after="50" w:line="360" w:lineRule="auto"/>
        <w:ind w:firstLine="645"/>
        <w:jc w:val="center"/>
        <w:rPr>
          <w:rFonts w:ascii="宋体" w:hAnsi="宋体"/>
          <w:sz w:val="24"/>
        </w:rPr>
      </w:pPr>
    </w:p>
    <w:p>
      <w:pPr>
        <w:snapToGrid w:val="0"/>
        <w:spacing w:beforeLines="50" w:after="50"/>
        <w:jc w:val="center"/>
        <w:outlineLvl w:val="1"/>
        <w:rPr>
          <w:rFonts w:ascii="宋体" w:hAnsi="宋体"/>
          <w:b/>
          <w:bCs/>
          <w:sz w:val="28"/>
          <w:szCs w:val="28"/>
        </w:rPr>
      </w:pPr>
      <w:bookmarkStart w:id="144" w:name="_Toc38307003"/>
      <w:r>
        <w:rPr>
          <w:rFonts w:hint="eastAsia" w:ascii="宋体" w:hAnsi="宋体"/>
          <w:b/>
          <w:bCs/>
          <w:sz w:val="28"/>
          <w:szCs w:val="28"/>
        </w:rPr>
        <w:t>二、投标文件附件（附表）格式</w:t>
      </w:r>
      <w:bookmarkEnd w:id="144"/>
    </w:p>
    <w:p>
      <w:pPr>
        <w:snapToGrid w:val="0"/>
        <w:spacing w:beforeLines="50" w:after="50"/>
        <w:rPr>
          <w:rFonts w:ascii="宋体" w:hAnsi="宋体"/>
          <w:b/>
          <w:sz w:val="24"/>
        </w:rPr>
      </w:pPr>
    </w:p>
    <w:p>
      <w:pPr>
        <w:pStyle w:val="261"/>
        <w:numPr>
          <w:ilvl w:val="0"/>
          <w:numId w:val="57"/>
        </w:numPr>
        <w:snapToGrid w:val="0"/>
        <w:ind w:firstLineChars="0"/>
        <w:rPr>
          <w:rFonts w:ascii="宋体" w:hAnsi="宋体"/>
        </w:rPr>
      </w:pPr>
      <w:r>
        <w:rPr>
          <w:rFonts w:hint="eastAsia" w:ascii="宋体" w:hAnsi="宋体"/>
          <w:b/>
        </w:rPr>
        <w:t>资信商务及技术文件、报价文件目录</w:t>
      </w:r>
      <w:r>
        <w:rPr>
          <w:rFonts w:hint="eastAsia" w:ascii="宋体" w:hAnsi="宋体"/>
          <w:b/>
          <w:bCs/>
        </w:rPr>
        <w:t>（请按照“第二章投标人须知，</w:t>
      </w:r>
      <w:r>
        <w:rPr>
          <w:rFonts w:ascii="宋体" w:hAnsi="宋体"/>
          <w:b/>
          <w:bCs/>
        </w:rPr>
        <w:t>三、投标文件的编制</w:t>
      </w:r>
      <w:r>
        <w:rPr>
          <w:rFonts w:hint="eastAsia" w:ascii="宋体" w:hAnsi="宋体"/>
          <w:b/>
          <w:bCs/>
        </w:rPr>
        <w:t>”的顺序，结合评标办法自行编制目录）</w:t>
      </w:r>
    </w:p>
    <w:p>
      <w:pPr>
        <w:snapToGrid w:val="0"/>
        <w:spacing w:line="360" w:lineRule="auto"/>
        <w:rPr>
          <w:rFonts w:ascii="宋体" w:hAnsi="宋体"/>
          <w:b/>
          <w:bCs/>
          <w:sz w:val="24"/>
        </w:rPr>
      </w:pPr>
      <w:r>
        <w:rPr>
          <w:rFonts w:hint="eastAsia" w:ascii="宋体" w:hAnsi="宋体"/>
          <w:b/>
          <w:bCs/>
          <w:sz w:val="24"/>
        </w:rPr>
        <w:t>例如：</w:t>
      </w:r>
    </w:p>
    <w:p>
      <w:pPr>
        <w:snapToGrid w:val="0"/>
        <w:spacing w:line="360" w:lineRule="auto"/>
        <w:rPr>
          <w:rFonts w:ascii="宋体" w:hAnsi="宋体"/>
          <w:b/>
          <w:bCs/>
          <w:sz w:val="24"/>
        </w:rPr>
      </w:pPr>
      <w:r>
        <w:rPr>
          <w:rFonts w:hint="eastAsia" w:ascii="宋体" w:hAnsi="宋体"/>
          <w:b/>
          <w:bCs/>
          <w:sz w:val="24"/>
        </w:rPr>
        <w:t>资信商务及技术文件：</w:t>
      </w:r>
    </w:p>
    <w:p>
      <w:pPr>
        <w:numPr>
          <w:ilvl w:val="0"/>
          <w:numId w:val="58"/>
        </w:numPr>
        <w:snapToGrid w:val="0"/>
        <w:spacing w:line="360" w:lineRule="auto"/>
        <w:rPr>
          <w:rFonts w:ascii="宋体" w:hAnsi="宋体"/>
          <w:sz w:val="24"/>
        </w:rPr>
      </w:pPr>
      <w:r>
        <w:rPr>
          <w:rFonts w:hint="eastAsia" w:ascii="宋体" w:hAnsi="宋体"/>
          <w:sz w:val="24"/>
        </w:rPr>
        <w:t>资信商务及技术自评表—————————— —（页码）</w:t>
      </w:r>
    </w:p>
    <w:p>
      <w:pPr>
        <w:numPr>
          <w:ilvl w:val="0"/>
          <w:numId w:val="58"/>
        </w:numPr>
        <w:snapToGrid w:val="0"/>
        <w:spacing w:line="360" w:lineRule="auto"/>
        <w:rPr>
          <w:rFonts w:ascii="宋体" w:hAnsi="宋体"/>
          <w:sz w:val="24"/>
        </w:rPr>
      </w:pPr>
      <w:r>
        <w:rPr>
          <w:rFonts w:ascii="宋体" w:hAnsi="宋体"/>
          <w:sz w:val="24"/>
        </w:rPr>
        <w:t>资格文件要求的证明材料</w:t>
      </w:r>
      <w:r>
        <w:rPr>
          <w:rFonts w:hint="eastAsia" w:ascii="宋体" w:hAnsi="宋体"/>
          <w:sz w:val="24"/>
        </w:rPr>
        <w:t>———————————（页码）</w:t>
      </w:r>
    </w:p>
    <w:p>
      <w:pPr>
        <w:numPr>
          <w:ilvl w:val="0"/>
          <w:numId w:val="58"/>
        </w:numPr>
        <w:snapToGrid w:val="0"/>
        <w:spacing w:line="360" w:lineRule="auto"/>
        <w:rPr>
          <w:rFonts w:ascii="宋体" w:hAnsi="宋体"/>
          <w:sz w:val="24"/>
        </w:rPr>
      </w:pPr>
      <w:r>
        <w:rPr>
          <w:rFonts w:hint="eastAsia" w:ascii="宋体" w:hAnsi="宋体"/>
          <w:sz w:val="24"/>
        </w:rPr>
        <w:t>投标声明书—————————————————（页码）</w:t>
      </w:r>
    </w:p>
    <w:p>
      <w:pPr>
        <w:numPr>
          <w:ilvl w:val="0"/>
          <w:numId w:val="58"/>
        </w:numPr>
        <w:snapToGrid w:val="0"/>
        <w:spacing w:line="360" w:lineRule="auto"/>
        <w:rPr>
          <w:rFonts w:ascii="宋体" w:hAnsi="宋体"/>
          <w:sz w:val="24"/>
        </w:rPr>
      </w:pPr>
      <w:r>
        <w:rPr>
          <w:rFonts w:ascii="宋体" w:hAnsi="宋体"/>
          <w:sz w:val="24"/>
        </w:rPr>
        <w:t>法定代表人授权委托书</w:t>
      </w:r>
      <w:r>
        <w:rPr>
          <w:rFonts w:hint="eastAsia" w:ascii="宋体" w:hAnsi="宋体"/>
          <w:sz w:val="24"/>
        </w:rPr>
        <w:t>————————————（页码）</w:t>
      </w:r>
    </w:p>
    <w:p>
      <w:pPr>
        <w:snapToGrid w:val="0"/>
        <w:spacing w:beforeLines="50" w:after="50"/>
        <w:rPr>
          <w:rFonts w:ascii="宋体" w:hAnsi="宋体"/>
          <w:sz w:val="24"/>
          <w:szCs w:val="20"/>
        </w:rPr>
      </w:pPr>
    </w:p>
    <w:p>
      <w:pPr>
        <w:widowControl/>
        <w:jc w:val="left"/>
        <w:rPr>
          <w:rFonts w:ascii="宋体" w:hAnsi="宋体"/>
          <w:sz w:val="24"/>
          <w:szCs w:val="20"/>
        </w:rPr>
      </w:pPr>
      <w:r>
        <w:rPr>
          <w:rFonts w:ascii="宋体" w:hAnsi="宋体"/>
          <w:sz w:val="24"/>
          <w:szCs w:val="20"/>
        </w:rPr>
        <w:br w:type="page"/>
      </w:r>
    </w:p>
    <w:p>
      <w:pPr>
        <w:pStyle w:val="72"/>
        <w:numPr>
          <w:ilvl w:val="0"/>
          <w:numId w:val="57"/>
        </w:numPr>
        <w:snapToGrid w:val="0"/>
        <w:ind w:firstLineChars="0"/>
        <w:rPr>
          <w:rFonts w:ascii="宋体" w:hAnsi="宋体"/>
          <w:szCs w:val="20"/>
        </w:rPr>
      </w:pPr>
      <w:r>
        <w:rPr>
          <w:rFonts w:hint="eastAsia" w:ascii="宋体" w:hAnsi="宋体"/>
          <w:b/>
        </w:rPr>
        <w:t>资信商务及技术自评表格式</w:t>
      </w:r>
    </w:p>
    <w:p>
      <w:pPr>
        <w:autoSpaceDE w:val="0"/>
        <w:autoSpaceDN w:val="0"/>
        <w:adjustRightInd w:val="0"/>
        <w:spacing w:line="360" w:lineRule="auto"/>
        <w:jc w:val="center"/>
        <w:rPr>
          <w:rFonts w:ascii="宋体" w:hAnsi="宋体"/>
          <w:szCs w:val="20"/>
        </w:rPr>
      </w:pPr>
      <w:r>
        <w:rPr>
          <w:rFonts w:hint="eastAsia" w:ascii="宋体" w:hAnsi="宋体"/>
          <w:szCs w:val="20"/>
        </w:rPr>
        <w:t xml:space="preserve">  </w:t>
      </w:r>
    </w:p>
    <w:p>
      <w:pPr>
        <w:autoSpaceDE w:val="0"/>
        <w:autoSpaceDN w:val="0"/>
        <w:adjustRightInd w:val="0"/>
        <w:spacing w:line="360" w:lineRule="auto"/>
        <w:jc w:val="center"/>
        <w:rPr>
          <w:rFonts w:ascii="黑体" w:hAnsi="宋体" w:eastAsia="黑体" w:cs="宋体"/>
          <w:b/>
          <w:bCs/>
          <w:kern w:val="0"/>
          <w:sz w:val="32"/>
          <w:szCs w:val="32"/>
        </w:rPr>
      </w:pPr>
      <w:r>
        <w:rPr>
          <w:rFonts w:hint="eastAsia" w:ascii="宋体" w:hAnsi="宋体"/>
          <w:szCs w:val="20"/>
        </w:rPr>
        <w:t xml:space="preserve"> </w:t>
      </w:r>
      <w:r>
        <w:rPr>
          <w:rFonts w:hint="eastAsia"/>
          <w:b/>
          <w:sz w:val="24"/>
        </w:rPr>
        <w:t>资信商务及技术自评表</w:t>
      </w:r>
    </w:p>
    <w:p>
      <w:pPr>
        <w:spacing w:line="360" w:lineRule="auto"/>
        <w:rPr>
          <w:rFonts w:ascii="宋体" w:hAnsi="宋体" w:cs="宋体"/>
          <w:kern w:val="0"/>
          <w:sz w:val="24"/>
        </w:rPr>
      </w:pPr>
      <w:r>
        <w:rPr>
          <w:rFonts w:hint="eastAsia" w:ascii="宋体" w:hAnsi="宋体" w:cs="宋体"/>
          <w:kern w:val="0"/>
          <w:sz w:val="24"/>
        </w:rPr>
        <w:t xml:space="preserve">项目名称：                          </w:t>
      </w:r>
    </w:p>
    <w:p>
      <w:pPr>
        <w:spacing w:line="360" w:lineRule="auto"/>
        <w:rPr>
          <w:rFonts w:ascii="宋体" w:hAnsi="宋体" w:cs="宋体"/>
          <w:kern w:val="0"/>
          <w:sz w:val="20"/>
          <w:szCs w:val="20"/>
        </w:rPr>
      </w:pPr>
      <w:r>
        <w:rPr>
          <w:rFonts w:hint="eastAsia" w:ascii="宋体" w:hAnsi="宋体" w:cs="宋体"/>
          <w:kern w:val="0"/>
          <w:sz w:val="24"/>
        </w:rPr>
        <w:t>投标人名称：</w:t>
      </w:r>
    </w:p>
    <w:tbl>
      <w:tblPr>
        <w:tblStyle w:val="40"/>
        <w:tblW w:w="9002" w:type="dxa"/>
        <w:tblInd w:w="93" w:type="dxa"/>
        <w:tblLayout w:type="fixed"/>
        <w:tblCellMar>
          <w:top w:w="0" w:type="dxa"/>
          <w:left w:w="108" w:type="dxa"/>
          <w:bottom w:w="0" w:type="dxa"/>
          <w:right w:w="108" w:type="dxa"/>
        </w:tblCellMar>
      </w:tblPr>
      <w:tblGrid>
        <w:gridCol w:w="2020"/>
        <w:gridCol w:w="227"/>
        <w:gridCol w:w="380"/>
        <w:gridCol w:w="495"/>
        <w:gridCol w:w="1118"/>
        <w:gridCol w:w="509"/>
        <w:gridCol w:w="149"/>
        <w:gridCol w:w="1427"/>
        <w:gridCol w:w="420"/>
        <w:gridCol w:w="1030"/>
        <w:gridCol w:w="1227"/>
      </w:tblGrid>
      <w:tr>
        <w:tblPrEx>
          <w:tblCellMar>
            <w:top w:w="0" w:type="dxa"/>
            <w:left w:w="108" w:type="dxa"/>
            <w:bottom w:w="0" w:type="dxa"/>
            <w:right w:w="108" w:type="dxa"/>
          </w:tblCellMar>
        </w:tblPrEx>
        <w:trPr>
          <w:trHeight w:val="367" w:hRule="atLeast"/>
        </w:trPr>
        <w:tc>
          <w:tcPr>
            <w:tcW w:w="9002"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kern w:val="0"/>
                <w:sz w:val="20"/>
                <w:szCs w:val="20"/>
              </w:rPr>
            </w:pPr>
            <w:r>
              <w:rPr>
                <w:rFonts w:hint="eastAsia" w:ascii="宋体" w:hAnsi="宋体"/>
                <w:szCs w:val="21"/>
              </w:rPr>
              <w:t>投标人实力</w:t>
            </w:r>
            <w:r>
              <w:rPr>
                <w:rFonts w:hint="eastAsia" w:ascii="宋体" w:hAnsi="宋体" w:cs="宋体"/>
                <w:b/>
                <w:szCs w:val="21"/>
              </w:rPr>
              <w:t>（0-10分）</w:t>
            </w:r>
          </w:p>
        </w:tc>
      </w:tr>
      <w:tr>
        <w:tblPrEx>
          <w:tblCellMar>
            <w:top w:w="0" w:type="dxa"/>
            <w:left w:w="108" w:type="dxa"/>
            <w:bottom w:w="0" w:type="dxa"/>
            <w:right w:w="108" w:type="dxa"/>
          </w:tblCellMar>
        </w:tblPrEx>
        <w:trPr>
          <w:trHeight w:val="367" w:hRule="atLeast"/>
        </w:trPr>
        <w:tc>
          <w:tcPr>
            <w:tcW w:w="22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证书名称</w:t>
            </w:r>
          </w:p>
        </w:tc>
        <w:tc>
          <w:tcPr>
            <w:tcW w:w="265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有效时间（或颁发时间）</w:t>
            </w: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kern w:val="0"/>
                <w:sz w:val="20"/>
                <w:szCs w:val="20"/>
              </w:rPr>
            </w:pPr>
            <w:r>
              <w:rPr>
                <w:rFonts w:hint="eastAsia" w:ascii="宋体" w:hAnsi="宋体" w:cs="宋体"/>
                <w:bCs/>
                <w:kern w:val="0"/>
                <w:sz w:val="20"/>
                <w:szCs w:val="20"/>
              </w:rPr>
              <w:t>得分</w:t>
            </w: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页码</w:t>
            </w:r>
          </w:p>
        </w:tc>
      </w:tr>
      <w:tr>
        <w:tblPrEx>
          <w:tblCellMar>
            <w:top w:w="0" w:type="dxa"/>
            <w:left w:w="108" w:type="dxa"/>
            <w:bottom w:w="0" w:type="dxa"/>
            <w:right w:w="108" w:type="dxa"/>
          </w:tblCellMar>
        </w:tblPrEx>
        <w:trPr>
          <w:trHeight w:val="367" w:hRule="atLeast"/>
        </w:trPr>
        <w:tc>
          <w:tcPr>
            <w:tcW w:w="22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65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0"/>
                <w:szCs w:val="20"/>
              </w:rPr>
            </w:pP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2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65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0"/>
                <w:szCs w:val="20"/>
              </w:rPr>
            </w:pP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2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65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0"/>
                <w:szCs w:val="20"/>
              </w:rPr>
            </w:pP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2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65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0"/>
                <w:szCs w:val="20"/>
              </w:rPr>
            </w:pP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2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65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0"/>
                <w:szCs w:val="20"/>
              </w:rPr>
            </w:pP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4898"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小计</w:t>
            </w: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0"/>
                <w:szCs w:val="20"/>
              </w:rPr>
            </w:pP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9002"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szCs w:val="21"/>
              </w:rPr>
              <w:t>本地化服务（0-3分）</w:t>
            </w:r>
          </w:p>
        </w:tc>
      </w:tr>
      <w:tr>
        <w:tblPrEx>
          <w:tblCellMar>
            <w:top w:w="0" w:type="dxa"/>
            <w:left w:w="108" w:type="dxa"/>
            <w:bottom w:w="0" w:type="dxa"/>
            <w:right w:w="108" w:type="dxa"/>
          </w:tblCellMar>
        </w:tblPrEx>
        <w:trPr>
          <w:trHeight w:val="367" w:hRule="atLeast"/>
        </w:trPr>
        <w:tc>
          <w:tcPr>
            <w:tcW w:w="4898"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投标人或分支机构注册地</w:t>
            </w:r>
          </w:p>
        </w:tc>
        <w:tc>
          <w:tcPr>
            <w:tcW w:w="18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得分</w:t>
            </w: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页码</w:t>
            </w:r>
          </w:p>
        </w:tc>
      </w:tr>
      <w:tr>
        <w:tblPrEx>
          <w:tblCellMar>
            <w:top w:w="0" w:type="dxa"/>
            <w:left w:w="108" w:type="dxa"/>
            <w:bottom w:w="0" w:type="dxa"/>
            <w:right w:w="108" w:type="dxa"/>
          </w:tblCellMar>
        </w:tblPrEx>
        <w:trPr>
          <w:trHeight w:val="367" w:hRule="atLeast"/>
        </w:trPr>
        <w:tc>
          <w:tcPr>
            <w:tcW w:w="4898"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84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0"/>
                <w:szCs w:val="20"/>
              </w:rPr>
            </w:pPr>
          </w:p>
        </w:tc>
        <w:tc>
          <w:tcPr>
            <w:tcW w:w="225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9002"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0"/>
                <w:szCs w:val="20"/>
              </w:rPr>
            </w:pPr>
            <w:r>
              <w:rPr>
                <w:rFonts w:hint="eastAsia" w:ascii="宋体" w:hAnsi="宋体" w:cs="宋体"/>
                <w:b/>
                <w:szCs w:val="21"/>
              </w:rPr>
              <w:t>同类项目业绩（0-</w:t>
            </w:r>
            <w:r>
              <w:rPr>
                <w:rFonts w:hint="eastAsia" w:ascii="宋体" w:hAnsi="宋体" w:cs="宋体"/>
                <w:b/>
                <w:kern w:val="0"/>
                <w:szCs w:val="21"/>
              </w:rPr>
              <w:t>7分）</w:t>
            </w:r>
          </w:p>
        </w:tc>
      </w:tr>
      <w:tr>
        <w:tblPrEx>
          <w:tblCellMar>
            <w:top w:w="0" w:type="dxa"/>
            <w:left w:w="108" w:type="dxa"/>
            <w:bottom w:w="0" w:type="dxa"/>
            <w:right w:w="108" w:type="dxa"/>
          </w:tblCellMar>
        </w:tblPrEx>
        <w:trPr>
          <w:trHeight w:val="367" w:hRule="atLeast"/>
        </w:trPr>
        <w:tc>
          <w:tcPr>
            <w:tcW w:w="312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62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合同金额</w:t>
            </w:r>
          </w:p>
        </w:tc>
        <w:tc>
          <w:tcPr>
            <w:tcW w:w="15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合同签订时间</w:t>
            </w: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得分</w:t>
            </w:r>
          </w:p>
        </w:tc>
        <w:tc>
          <w:tcPr>
            <w:tcW w:w="1227"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页码</w:t>
            </w:r>
          </w:p>
        </w:tc>
      </w:tr>
      <w:tr>
        <w:tblPrEx>
          <w:tblCellMar>
            <w:top w:w="0" w:type="dxa"/>
            <w:left w:w="108" w:type="dxa"/>
            <w:bottom w:w="0" w:type="dxa"/>
            <w:right w:w="108" w:type="dxa"/>
          </w:tblCellMar>
        </w:tblPrEx>
        <w:trPr>
          <w:trHeight w:val="367" w:hRule="atLeast"/>
        </w:trPr>
        <w:tc>
          <w:tcPr>
            <w:tcW w:w="312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62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5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2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312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62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5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312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62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5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312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62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5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312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62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5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632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b/>
                <w:bCs/>
                <w:kern w:val="0"/>
                <w:sz w:val="20"/>
                <w:szCs w:val="20"/>
              </w:rPr>
              <w:t>小计</w:t>
            </w: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9002"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szCs w:val="21"/>
              </w:rPr>
              <w:t>拟投入项目人员（0-</w:t>
            </w:r>
            <w:r>
              <w:rPr>
                <w:rFonts w:hint="eastAsia" w:ascii="宋体" w:hAnsi="宋体" w:cs="宋体"/>
                <w:b/>
                <w:kern w:val="0"/>
                <w:szCs w:val="21"/>
              </w:rPr>
              <w:t>9分）</w:t>
            </w:r>
          </w:p>
        </w:tc>
      </w:tr>
      <w:tr>
        <w:tblPrEx>
          <w:tblCellMar>
            <w:top w:w="0" w:type="dxa"/>
            <w:left w:w="108" w:type="dxa"/>
            <w:bottom w:w="0" w:type="dxa"/>
            <w:right w:w="108" w:type="dxa"/>
          </w:tblCellMar>
        </w:tblPrEx>
        <w:trPr>
          <w:trHeight w:val="367" w:hRule="atLeast"/>
        </w:trPr>
        <w:tc>
          <w:tcPr>
            <w:tcW w:w="2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姓名</w:t>
            </w:r>
          </w:p>
        </w:tc>
        <w:tc>
          <w:tcPr>
            <w:tcW w:w="22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职务</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相关证书</w:t>
            </w: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得分</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页码</w:t>
            </w:r>
          </w:p>
        </w:tc>
      </w:tr>
      <w:tr>
        <w:tblPrEx>
          <w:tblCellMar>
            <w:top w:w="0" w:type="dxa"/>
            <w:left w:w="108" w:type="dxa"/>
            <w:bottom w:w="0" w:type="dxa"/>
            <w:right w:w="108" w:type="dxa"/>
          </w:tblCellMar>
        </w:tblPrEx>
        <w:trPr>
          <w:trHeight w:val="367" w:hRule="atLeast"/>
        </w:trPr>
        <w:tc>
          <w:tcPr>
            <w:tcW w:w="2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2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2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2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2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632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小计</w:t>
            </w: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367" w:hRule="atLeast"/>
        </w:trPr>
        <w:tc>
          <w:tcPr>
            <w:tcW w:w="262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0"/>
                <w:szCs w:val="20"/>
              </w:rPr>
            </w:pPr>
            <w:r>
              <w:rPr>
                <w:rFonts w:hint="eastAsia" w:ascii="宋体" w:hAnsi="宋体" w:cs="宋体"/>
                <w:b/>
                <w:kern w:val="0"/>
                <w:sz w:val="20"/>
                <w:szCs w:val="20"/>
              </w:rPr>
              <w:t>得分合计</w:t>
            </w:r>
          </w:p>
        </w:tc>
        <w:tc>
          <w:tcPr>
            <w:tcW w:w="637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r>
    </w:tbl>
    <w:p>
      <w:pPr>
        <w:pStyle w:val="72"/>
        <w:snapToGrid w:val="0"/>
        <w:ind w:firstLine="200" w:firstLineChars="100"/>
        <w:rPr>
          <w:rFonts w:ascii="宋体" w:hAnsi="宋体" w:cs="宋体"/>
          <w:kern w:val="0"/>
          <w:sz w:val="20"/>
          <w:szCs w:val="20"/>
        </w:rPr>
      </w:pPr>
    </w:p>
    <w:p>
      <w:pPr>
        <w:pStyle w:val="72"/>
        <w:snapToGrid w:val="0"/>
        <w:ind w:left="420" w:firstLine="0" w:firstLineChars="0"/>
        <w:rPr>
          <w:rFonts w:ascii="宋体" w:hAnsi="宋体"/>
          <w:szCs w:val="20"/>
        </w:rPr>
      </w:pPr>
      <w:r>
        <w:rPr>
          <w:rFonts w:hint="eastAsia" w:ascii="宋体" w:hAnsi="宋体" w:cs="宋体"/>
          <w:kern w:val="0"/>
          <w:sz w:val="20"/>
          <w:szCs w:val="20"/>
        </w:rPr>
        <w:t>注：以上得分需按评标细则要求在投标文件中提供相应证明材料复印件，否则不得分。</w:t>
      </w:r>
    </w:p>
    <w:p>
      <w:pPr>
        <w:pStyle w:val="72"/>
        <w:numPr>
          <w:ilvl w:val="0"/>
          <w:numId w:val="57"/>
        </w:numPr>
        <w:snapToGrid w:val="0"/>
        <w:ind w:firstLineChars="0"/>
        <w:rPr>
          <w:rFonts w:ascii="宋体" w:hAnsi="宋体"/>
          <w:b/>
          <w:bCs/>
        </w:rPr>
      </w:pPr>
      <w:r>
        <w:rPr>
          <w:rFonts w:ascii="宋体" w:hAnsi="宋体"/>
          <w:szCs w:val="20"/>
        </w:rPr>
        <w:br w:type="page"/>
      </w:r>
      <w:r>
        <w:rPr>
          <w:rFonts w:hint="eastAsia" w:ascii="宋体" w:hAnsi="宋体"/>
          <w:b/>
          <w:bCs/>
        </w:rPr>
        <w:t>资格文件要求的证明材料格式</w:t>
      </w:r>
    </w:p>
    <w:p>
      <w:pPr>
        <w:pStyle w:val="72"/>
        <w:snapToGrid w:val="0"/>
        <w:ind w:left="420" w:firstLine="0" w:firstLineChars="0"/>
        <w:rPr>
          <w:rFonts w:ascii="宋体" w:hAnsi="宋体"/>
          <w:b/>
          <w:bCs/>
        </w:rPr>
      </w:pPr>
    </w:p>
    <w:p>
      <w:pPr>
        <w:pStyle w:val="72"/>
        <w:snapToGrid w:val="0"/>
        <w:ind w:left="420" w:firstLine="0" w:firstLineChars="0"/>
        <w:jc w:val="center"/>
        <w:rPr>
          <w:rFonts w:ascii="宋体" w:hAnsi="宋体"/>
          <w:b/>
          <w:bCs/>
          <w:sz w:val="28"/>
          <w:szCs w:val="28"/>
        </w:rPr>
      </w:pPr>
      <w:bookmarkStart w:id="145" w:name="_Toc219619166"/>
      <w:r>
        <w:rPr>
          <w:rFonts w:hint="eastAsia" w:ascii="宋体" w:hAnsi="宋体"/>
          <w:b/>
          <w:bCs/>
          <w:sz w:val="28"/>
          <w:szCs w:val="28"/>
        </w:rPr>
        <w:t>资格文件要求的证明材料</w:t>
      </w:r>
    </w:p>
    <w:p>
      <w:pPr>
        <w:widowControl/>
        <w:jc w:val="left"/>
        <w:rPr>
          <w:rFonts w:ascii="宋体" w:hAnsi="宋体"/>
          <w:b/>
          <w:sz w:val="24"/>
        </w:rPr>
      </w:pPr>
    </w:p>
    <w:tbl>
      <w:tblPr>
        <w:tblStyle w:val="40"/>
        <w:tblpPr w:leftFromText="180" w:rightFromText="180" w:vertAnchor="page" w:horzAnchor="margin" w:tblpY="3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6018"/>
        <w:gridCol w:w="96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4" w:type="dxa"/>
          </w:tcPr>
          <w:p>
            <w:pPr>
              <w:jc w:val="center"/>
              <w:rPr>
                <w:b/>
                <w:bCs/>
                <w:sz w:val="24"/>
              </w:rPr>
            </w:pPr>
            <w:r>
              <w:rPr>
                <w:rFonts w:hint="eastAsia"/>
                <w:b/>
                <w:bCs/>
                <w:sz w:val="24"/>
              </w:rPr>
              <w:t>序</w:t>
            </w:r>
          </w:p>
          <w:p>
            <w:pPr>
              <w:jc w:val="center"/>
              <w:rPr>
                <w:b/>
                <w:bCs/>
                <w:sz w:val="24"/>
              </w:rPr>
            </w:pPr>
            <w:r>
              <w:rPr>
                <w:rFonts w:hint="eastAsia"/>
                <w:b/>
                <w:bCs/>
                <w:sz w:val="24"/>
              </w:rPr>
              <w:t>号</w:t>
            </w:r>
          </w:p>
        </w:tc>
        <w:tc>
          <w:tcPr>
            <w:tcW w:w="6018" w:type="dxa"/>
            <w:vAlign w:val="center"/>
          </w:tcPr>
          <w:p>
            <w:pPr>
              <w:ind w:left="-351" w:leftChars="-167" w:firstLine="351" w:firstLineChars="146"/>
              <w:jc w:val="center"/>
              <w:rPr>
                <w:b/>
                <w:bCs/>
                <w:sz w:val="24"/>
              </w:rPr>
            </w:pPr>
            <w:r>
              <w:rPr>
                <w:rFonts w:hint="eastAsia"/>
                <w:b/>
                <w:bCs/>
                <w:sz w:val="24"/>
              </w:rPr>
              <w:t>证明材料</w:t>
            </w:r>
          </w:p>
        </w:tc>
        <w:tc>
          <w:tcPr>
            <w:tcW w:w="964" w:type="dxa"/>
            <w:vAlign w:val="center"/>
          </w:tcPr>
          <w:p>
            <w:pPr>
              <w:jc w:val="center"/>
              <w:rPr>
                <w:b/>
                <w:bCs/>
                <w:sz w:val="24"/>
              </w:rPr>
            </w:pPr>
            <w:r>
              <w:rPr>
                <w:rFonts w:hint="eastAsia"/>
                <w:b/>
                <w:bCs/>
                <w:sz w:val="24"/>
              </w:rPr>
              <w:t>所在 页码</w:t>
            </w:r>
          </w:p>
        </w:tc>
        <w:tc>
          <w:tcPr>
            <w:tcW w:w="827" w:type="dxa"/>
            <w:vAlign w:val="center"/>
          </w:tcPr>
          <w:p>
            <w:pPr>
              <w:ind w:left="-351" w:leftChars="-167" w:firstLine="351" w:firstLineChars="146"/>
              <w:jc w:val="center"/>
              <w:rPr>
                <w:b/>
                <w:bCs/>
                <w:sz w:val="24"/>
              </w:rPr>
            </w:pPr>
            <w:r>
              <w:rPr>
                <w:rFonts w:hint="eastAsia"/>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64" w:type="dxa"/>
            <w:vAlign w:val="center"/>
          </w:tcPr>
          <w:p>
            <w:pPr>
              <w:pStyle w:val="72"/>
              <w:numPr>
                <w:ilvl w:val="0"/>
                <w:numId w:val="59"/>
              </w:numPr>
              <w:ind w:left="0" w:firstLine="113" w:firstLineChars="0"/>
              <w:jc w:val="center"/>
              <w:rPr>
                <w:rFonts w:ascii="宋体" w:hAnsi="宋体" w:cs="宋体"/>
              </w:rPr>
            </w:pPr>
          </w:p>
        </w:tc>
        <w:tc>
          <w:tcPr>
            <w:tcW w:w="6018" w:type="dxa"/>
            <w:vAlign w:val="center"/>
          </w:tcPr>
          <w:p>
            <w:pPr>
              <w:ind w:left="105" w:leftChars="50" w:right="105" w:rightChars="50"/>
              <w:jc w:val="left"/>
              <w:rPr>
                <w:rFonts w:ascii="宋体" w:hAnsi="宋体" w:cs="宋体"/>
                <w:sz w:val="24"/>
              </w:rPr>
            </w:pPr>
            <w:r>
              <w:rPr>
                <w:rFonts w:hint="eastAsia" w:ascii="宋体" w:hAnsi="宋体"/>
                <w:sz w:val="24"/>
              </w:rPr>
              <w:t>企业</w:t>
            </w:r>
            <w:r>
              <w:rPr>
                <w:rFonts w:ascii="宋体" w:hAnsi="宋体"/>
                <w:sz w:val="24"/>
              </w:rPr>
              <w:t>营业执照</w:t>
            </w:r>
            <w:r>
              <w:rPr>
                <w:rFonts w:hint="eastAsia" w:ascii="宋体" w:hAnsi="宋体"/>
                <w:sz w:val="24"/>
              </w:rPr>
              <w:t>副本复印件</w:t>
            </w:r>
            <w:r>
              <w:rPr>
                <w:rFonts w:hint="eastAsia" w:ascii="宋体" w:hAnsi="宋体" w:cs="宋体"/>
                <w:sz w:val="24"/>
              </w:rPr>
              <w:t>及法定代表人身份证</w:t>
            </w:r>
            <w:r>
              <w:rPr>
                <w:rFonts w:hint="eastAsia" w:ascii="宋体" w:hAnsi="宋体"/>
                <w:sz w:val="24"/>
              </w:rPr>
              <w:t>复印件</w:t>
            </w:r>
          </w:p>
        </w:tc>
        <w:tc>
          <w:tcPr>
            <w:tcW w:w="964" w:type="dxa"/>
            <w:vAlign w:val="center"/>
          </w:tcPr>
          <w:p>
            <w:pPr>
              <w:ind w:left="-351" w:leftChars="-167" w:firstLine="350" w:firstLineChars="146"/>
              <w:jc w:val="center"/>
              <w:rPr>
                <w:rFonts w:ascii="宋体" w:hAnsi="宋体" w:cs="宋体"/>
                <w:sz w:val="24"/>
              </w:rPr>
            </w:pPr>
          </w:p>
        </w:tc>
        <w:tc>
          <w:tcPr>
            <w:tcW w:w="827" w:type="dxa"/>
            <w:vAlign w:val="center"/>
          </w:tcPr>
          <w:p>
            <w:pPr>
              <w:ind w:left="-351" w:leftChars="-167" w:firstLine="350" w:firstLineChars="14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64" w:type="dxa"/>
            <w:vAlign w:val="center"/>
          </w:tcPr>
          <w:p>
            <w:pPr>
              <w:pStyle w:val="72"/>
              <w:numPr>
                <w:ilvl w:val="0"/>
                <w:numId w:val="59"/>
              </w:numPr>
              <w:ind w:left="0" w:firstLine="113" w:firstLineChars="0"/>
              <w:jc w:val="center"/>
              <w:rPr>
                <w:rFonts w:ascii="宋体" w:hAnsi="宋体" w:cs="宋体"/>
              </w:rPr>
            </w:pPr>
          </w:p>
        </w:tc>
        <w:tc>
          <w:tcPr>
            <w:tcW w:w="6018" w:type="dxa"/>
            <w:vAlign w:val="center"/>
          </w:tcPr>
          <w:p>
            <w:pPr>
              <w:ind w:left="105" w:leftChars="50" w:right="105" w:rightChars="50"/>
              <w:jc w:val="left"/>
              <w:rPr>
                <w:rFonts w:ascii="宋体" w:hAnsi="宋体"/>
                <w:sz w:val="24"/>
              </w:rPr>
            </w:pPr>
            <w:r>
              <w:rPr>
                <w:rFonts w:hint="eastAsia" w:ascii="宋体" w:hAnsi="宋体" w:cs="宋体"/>
                <w:sz w:val="24"/>
              </w:rPr>
              <w:t>具有履行合同所必需的设备和专业技术能力</w:t>
            </w:r>
            <w:r>
              <w:rPr>
                <w:rFonts w:ascii="宋体" w:hAnsi="宋体"/>
                <w:sz w:val="24"/>
              </w:rPr>
              <w:t>的证明材料</w:t>
            </w:r>
          </w:p>
        </w:tc>
        <w:tc>
          <w:tcPr>
            <w:tcW w:w="964" w:type="dxa"/>
            <w:vAlign w:val="center"/>
          </w:tcPr>
          <w:p>
            <w:pPr>
              <w:ind w:left="-351" w:leftChars="-167" w:firstLine="350" w:firstLineChars="146"/>
              <w:jc w:val="center"/>
              <w:rPr>
                <w:rFonts w:ascii="宋体" w:hAnsi="宋体" w:cs="宋体"/>
                <w:sz w:val="24"/>
              </w:rPr>
            </w:pPr>
          </w:p>
        </w:tc>
        <w:tc>
          <w:tcPr>
            <w:tcW w:w="827" w:type="dxa"/>
            <w:vAlign w:val="center"/>
          </w:tcPr>
          <w:p>
            <w:pPr>
              <w:ind w:left="-351" w:leftChars="-167" w:firstLine="350" w:firstLineChars="14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64" w:type="dxa"/>
            <w:vAlign w:val="center"/>
          </w:tcPr>
          <w:p>
            <w:pPr>
              <w:pStyle w:val="72"/>
              <w:numPr>
                <w:ilvl w:val="0"/>
                <w:numId w:val="59"/>
              </w:numPr>
              <w:ind w:left="0" w:firstLine="113" w:firstLineChars="0"/>
              <w:jc w:val="center"/>
              <w:rPr>
                <w:rFonts w:ascii="宋体" w:hAnsi="宋体" w:cs="宋体"/>
              </w:rPr>
            </w:pPr>
          </w:p>
        </w:tc>
        <w:tc>
          <w:tcPr>
            <w:tcW w:w="6018" w:type="dxa"/>
            <w:vAlign w:val="center"/>
          </w:tcPr>
          <w:p>
            <w:pPr>
              <w:ind w:left="105" w:leftChars="50" w:right="105" w:rightChars="50"/>
              <w:jc w:val="left"/>
              <w:rPr>
                <w:rFonts w:ascii="宋体" w:hAnsi="宋体"/>
                <w:sz w:val="24"/>
              </w:rPr>
            </w:pPr>
            <w:r>
              <w:rPr>
                <w:rFonts w:hint="eastAsia" w:ascii="宋体" w:hAnsi="宋体"/>
                <w:sz w:val="24"/>
              </w:rPr>
              <w:t>开标截止期前半年内任何连续三个月的财务报告</w:t>
            </w:r>
            <w:r>
              <w:rPr>
                <w:rFonts w:ascii="宋体" w:hAnsi="宋体"/>
                <w:sz w:val="24"/>
              </w:rPr>
              <w:t>（开业不满一</w:t>
            </w:r>
            <w:r>
              <w:rPr>
                <w:rFonts w:hint="eastAsia" w:ascii="宋体" w:hAnsi="宋体"/>
                <w:sz w:val="24"/>
              </w:rPr>
              <w:t>个季度</w:t>
            </w:r>
            <w:r>
              <w:rPr>
                <w:rFonts w:ascii="宋体" w:hAnsi="宋体"/>
                <w:sz w:val="24"/>
              </w:rPr>
              <w:t>的投标人应出具验资报告</w:t>
            </w:r>
            <w:r>
              <w:rPr>
                <w:rFonts w:hint="eastAsia" w:ascii="宋体" w:hAnsi="宋体"/>
                <w:sz w:val="24"/>
              </w:rPr>
              <w:t>或最近月份的财务报告</w:t>
            </w:r>
            <w:r>
              <w:rPr>
                <w:rFonts w:ascii="宋体" w:hAnsi="宋体"/>
                <w:sz w:val="24"/>
              </w:rPr>
              <w:t>）</w:t>
            </w:r>
            <w:r>
              <w:rPr>
                <w:rFonts w:hint="eastAsia" w:ascii="宋体" w:hAnsi="宋体"/>
                <w:sz w:val="24"/>
              </w:rPr>
              <w:t>复印件</w:t>
            </w:r>
          </w:p>
        </w:tc>
        <w:tc>
          <w:tcPr>
            <w:tcW w:w="964" w:type="dxa"/>
            <w:vAlign w:val="center"/>
          </w:tcPr>
          <w:p>
            <w:pPr>
              <w:ind w:left="-351" w:leftChars="-167" w:firstLine="350" w:firstLineChars="146"/>
              <w:jc w:val="center"/>
              <w:rPr>
                <w:rFonts w:ascii="宋体" w:hAnsi="宋体" w:cs="宋体"/>
                <w:sz w:val="24"/>
              </w:rPr>
            </w:pPr>
          </w:p>
        </w:tc>
        <w:tc>
          <w:tcPr>
            <w:tcW w:w="827" w:type="dxa"/>
            <w:vAlign w:val="center"/>
          </w:tcPr>
          <w:p>
            <w:pPr>
              <w:ind w:left="-351" w:leftChars="-167" w:firstLine="350" w:firstLineChars="14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64" w:type="dxa"/>
            <w:vAlign w:val="center"/>
          </w:tcPr>
          <w:p>
            <w:pPr>
              <w:pStyle w:val="72"/>
              <w:numPr>
                <w:ilvl w:val="0"/>
                <w:numId w:val="59"/>
              </w:numPr>
              <w:ind w:left="0" w:firstLine="113" w:firstLineChars="0"/>
              <w:jc w:val="center"/>
              <w:rPr>
                <w:rFonts w:ascii="宋体" w:hAnsi="宋体" w:cs="宋体"/>
              </w:rPr>
            </w:pPr>
          </w:p>
        </w:tc>
        <w:tc>
          <w:tcPr>
            <w:tcW w:w="6018" w:type="dxa"/>
            <w:vAlign w:val="center"/>
          </w:tcPr>
          <w:p>
            <w:pPr>
              <w:ind w:left="105" w:leftChars="50" w:right="105" w:rightChars="50"/>
              <w:jc w:val="left"/>
              <w:rPr>
                <w:rFonts w:ascii="宋体" w:hAnsi="宋体" w:cs="宋体"/>
                <w:color w:val="000000"/>
                <w:sz w:val="24"/>
              </w:rPr>
            </w:pPr>
            <w:r>
              <w:rPr>
                <w:rFonts w:hint="eastAsia" w:ascii="宋体" w:hAnsi="宋体"/>
                <w:sz w:val="24"/>
              </w:rPr>
              <w:t>开标截止期前半年内任何连续三个月</w:t>
            </w:r>
            <w:r>
              <w:rPr>
                <w:rFonts w:hint="eastAsia" w:ascii="宋体" w:hAnsi="宋体" w:cs="宋体"/>
                <w:color w:val="000000"/>
                <w:sz w:val="24"/>
              </w:rPr>
              <w:t>的税收缴纳证明</w:t>
            </w:r>
          </w:p>
          <w:p>
            <w:pPr>
              <w:ind w:left="105" w:leftChars="50" w:right="105" w:rightChars="50"/>
              <w:jc w:val="left"/>
              <w:rPr>
                <w:rFonts w:ascii="宋体" w:hAnsi="宋体"/>
                <w:sz w:val="24"/>
              </w:rPr>
            </w:pPr>
            <w:r>
              <w:rPr>
                <w:rFonts w:hint="eastAsia" w:ascii="宋体" w:hAnsi="宋体" w:cs="宋体"/>
                <w:color w:val="000000"/>
                <w:sz w:val="24"/>
              </w:rPr>
              <w:t>(税费凭证复印件或完税证明或依法免缴税费的证明或银行出具缴费凭证)</w:t>
            </w:r>
          </w:p>
        </w:tc>
        <w:tc>
          <w:tcPr>
            <w:tcW w:w="964" w:type="dxa"/>
            <w:vAlign w:val="center"/>
          </w:tcPr>
          <w:p>
            <w:pPr>
              <w:ind w:left="-351" w:leftChars="-167" w:firstLine="350" w:firstLineChars="146"/>
              <w:jc w:val="center"/>
              <w:rPr>
                <w:rFonts w:ascii="宋体" w:hAnsi="宋体" w:cs="宋体"/>
                <w:sz w:val="24"/>
              </w:rPr>
            </w:pPr>
          </w:p>
        </w:tc>
        <w:tc>
          <w:tcPr>
            <w:tcW w:w="827" w:type="dxa"/>
            <w:vAlign w:val="center"/>
          </w:tcPr>
          <w:p>
            <w:pPr>
              <w:ind w:left="-351" w:leftChars="-167" w:firstLine="350" w:firstLineChars="14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564" w:type="dxa"/>
            <w:vAlign w:val="center"/>
          </w:tcPr>
          <w:p>
            <w:pPr>
              <w:pStyle w:val="72"/>
              <w:numPr>
                <w:ilvl w:val="0"/>
                <w:numId w:val="59"/>
              </w:numPr>
              <w:ind w:left="0" w:firstLine="113" w:firstLineChars="0"/>
              <w:jc w:val="center"/>
              <w:rPr>
                <w:rFonts w:ascii="宋体" w:hAnsi="宋体" w:cs="宋体"/>
              </w:rPr>
            </w:pPr>
          </w:p>
        </w:tc>
        <w:tc>
          <w:tcPr>
            <w:tcW w:w="6018" w:type="dxa"/>
            <w:vAlign w:val="center"/>
          </w:tcPr>
          <w:p>
            <w:pPr>
              <w:ind w:left="105" w:leftChars="50" w:right="105" w:rightChars="50"/>
              <w:jc w:val="left"/>
              <w:rPr>
                <w:rFonts w:ascii="宋体" w:hAnsi="宋体" w:cs="宋体"/>
                <w:color w:val="000000"/>
                <w:sz w:val="24"/>
              </w:rPr>
            </w:pPr>
            <w:r>
              <w:rPr>
                <w:rFonts w:hint="eastAsia" w:ascii="宋体" w:hAnsi="宋体"/>
                <w:sz w:val="24"/>
              </w:rPr>
              <w:t>开标截止期前半年内任何连续三个月</w:t>
            </w:r>
            <w:r>
              <w:rPr>
                <w:rFonts w:hint="eastAsia" w:ascii="宋体" w:hAnsi="宋体" w:cs="宋体"/>
                <w:color w:val="000000"/>
                <w:sz w:val="24"/>
              </w:rPr>
              <w:t>的社会保障缴纳证明</w:t>
            </w:r>
          </w:p>
          <w:p>
            <w:pPr>
              <w:ind w:left="105" w:leftChars="50" w:right="105" w:rightChars="50"/>
              <w:jc w:val="left"/>
              <w:rPr>
                <w:rFonts w:ascii="宋体" w:hAnsi="宋体"/>
                <w:sz w:val="24"/>
              </w:rPr>
            </w:pPr>
            <w:r>
              <w:rPr>
                <w:rFonts w:hint="eastAsia" w:ascii="宋体" w:hAnsi="宋体" w:cs="宋体"/>
                <w:color w:val="000000"/>
                <w:sz w:val="24"/>
              </w:rPr>
              <w:t>(社会保险缴纳证明或银行出具缴费凭证)</w:t>
            </w:r>
          </w:p>
        </w:tc>
        <w:tc>
          <w:tcPr>
            <w:tcW w:w="964" w:type="dxa"/>
            <w:vAlign w:val="center"/>
          </w:tcPr>
          <w:p>
            <w:pPr>
              <w:ind w:left="-351" w:leftChars="-167" w:firstLine="350" w:firstLineChars="146"/>
              <w:jc w:val="center"/>
              <w:rPr>
                <w:rFonts w:ascii="宋体" w:hAnsi="宋体" w:cs="宋体"/>
                <w:sz w:val="24"/>
              </w:rPr>
            </w:pPr>
          </w:p>
        </w:tc>
        <w:tc>
          <w:tcPr>
            <w:tcW w:w="827" w:type="dxa"/>
            <w:vAlign w:val="center"/>
          </w:tcPr>
          <w:p>
            <w:pPr>
              <w:ind w:left="-351" w:leftChars="-167" w:firstLine="350" w:firstLineChars="146"/>
              <w:jc w:val="center"/>
              <w:rPr>
                <w:rFonts w:ascii="宋体" w:hAnsi="宋体" w:cs="宋体"/>
                <w:sz w:val="24"/>
              </w:rPr>
            </w:pPr>
          </w:p>
        </w:tc>
      </w:tr>
    </w:tbl>
    <w:p>
      <w:pPr>
        <w:widowControl/>
        <w:jc w:val="left"/>
        <w:rPr>
          <w:rFonts w:ascii="宋体" w:hAnsi="宋体"/>
          <w:b/>
          <w:sz w:val="24"/>
        </w:rPr>
      </w:pPr>
    </w:p>
    <w:p>
      <w:pPr>
        <w:widowControl/>
        <w:jc w:val="left"/>
        <w:rPr>
          <w:rFonts w:ascii="宋体" w:hAnsi="宋体"/>
          <w:b/>
          <w:sz w:val="24"/>
          <w:szCs w:val="22"/>
        </w:rPr>
      </w:pPr>
      <w:r>
        <w:rPr>
          <w:rFonts w:ascii="宋体" w:hAnsi="宋体"/>
          <w:b/>
        </w:rPr>
        <w:br w:type="page"/>
      </w:r>
    </w:p>
    <w:p>
      <w:pPr>
        <w:pStyle w:val="72"/>
        <w:numPr>
          <w:ilvl w:val="0"/>
          <w:numId w:val="57"/>
        </w:numPr>
        <w:snapToGrid w:val="0"/>
        <w:ind w:firstLineChars="0"/>
        <w:rPr>
          <w:rFonts w:ascii="宋体" w:hAnsi="宋体"/>
          <w:b/>
        </w:rPr>
      </w:pPr>
      <w:r>
        <w:rPr>
          <w:rFonts w:hint="eastAsia" w:ascii="宋体" w:hAnsi="宋体"/>
          <w:b/>
        </w:rPr>
        <w:t>投标声明书</w:t>
      </w:r>
      <w:r>
        <w:rPr>
          <w:rFonts w:hint="eastAsia" w:ascii="宋体" w:hAnsi="宋体"/>
          <w:b/>
          <w:bCs/>
        </w:rPr>
        <w:t>格式</w:t>
      </w:r>
    </w:p>
    <w:p>
      <w:pPr>
        <w:snapToGrid w:val="0"/>
        <w:spacing w:beforeLines="50" w:after="50"/>
        <w:jc w:val="center"/>
        <w:rPr>
          <w:rFonts w:ascii="宋体" w:hAnsi="宋体"/>
          <w:b/>
          <w:sz w:val="32"/>
          <w:szCs w:val="32"/>
        </w:rPr>
      </w:pPr>
      <w:r>
        <w:rPr>
          <w:rFonts w:hint="eastAsia" w:ascii="宋体" w:hAnsi="宋体"/>
          <w:b/>
          <w:sz w:val="32"/>
          <w:szCs w:val="32"/>
        </w:rPr>
        <w:t>投标声明书</w:t>
      </w:r>
    </w:p>
    <w:p>
      <w:pPr>
        <w:snapToGrid w:val="0"/>
        <w:spacing w:beforeLines="50" w:after="50" w:line="400" w:lineRule="exact"/>
        <w:rPr>
          <w:rFonts w:ascii="宋体" w:hAnsi="宋体"/>
          <w:sz w:val="24"/>
          <w:szCs w:val="20"/>
          <w:u w:val="single"/>
        </w:rPr>
      </w:pPr>
      <w:r>
        <w:rPr>
          <w:rFonts w:hint="eastAsia" w:ascii="宋体" w:hAnsi="宋体"/>
          <w:sz w:val="24"/>
        </w:rPr>
        <w:t>致：</w:t>
      </w:r>
      <w:r>
        <w:rPr>
          <w:rFonts w:hint="eastAsia" w:hAnsi="宋体"/>
          <w:sz w:val="24"/>
          <w:u w:val="single"/>
        </w:rPr>
        <w:t>嘉善县天凝镇人民政府</w:t>
      </w:r>
    </w:p>
    <w:p>
      <w:pPr>
        <w:snapToGrid w:val="0"/>
        <w:spacing w:beforeLines="50" w:after="50" w:line="360" w:lineRule="auto"/>
        <w:ind w:firstLine="720" w:firstLineChars="300"/>
        <w:rPr>
          <w:rFonts w:ascii="宋体" w:hAnsi="宋体"/>
          <w:sz w:val="24"/>
        </w:rPr>
      </w:pPr>
      <w:r>
        <w:rPr>
          <w:rFonts w:hint="eastAsia" w:ascii="宋体" w:hAnsi="宋体"/>
          <w:sz w:val="24"/>
          <w:u w:val="single"/>
        </w:rPr>
        <w:t xml:space="preserve">           </w:t>
      </w:r>
      <w:r>
        <w:rPr>
          <w:rFonts w:hint="eastAsia" w:ascii="宋体" w:hAnsi="宋体"/>
          <w:sz w:val="24"/>
        </w:rPr>
        <w:t>（投标人名称）系中华人民共和国合法企业，经营地址</w:t>
      </w:r>
      <w:r>
        <w:rPr>
          <w:rFonts w:ascii="宋体" w:hAnsi="宋体"/>
          <w:sz w:val="24"/>
          <w:u w:val="single"/>
        </w:rPr>
        <w:t xml:space="preserve">                               </w:t>
      </w:r>
      <w:r>
        <w:rPr>
          <w:rFonts w:hint="eastAsia" w:ascii="宋体" w:hAnsi="宋体"/>
          <w:sz w:val="24"/>
        </w:rPr>
        <w:t>。</w:t>
      </w:r>
    </w:p>
    <w:p>
      <w:pPr>
        <w:snapToGrid w:val="0"/>
        <w:spacing w:beforeLines="50" w:after="50" w:line="360" w:lineRule="auto"/>
        <w:ind w:firstLine="645"/>
        <w:rPr>
          <w:rFonts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（投标人名称）的法定代表人，我方愿意参加贵方组织的</w:t>
      </w:r>
      <w:r>
        <w:rPr>
          <w:rFonts w:hint="eastAsia" w:ascii="宋体" w:hAnsi="宋体"/>
          <w:sz w:val="24"/>
          <w:u w:val="single"/>
        </w:rPr>
        <w:t xml:space="preserve">                    采购项目</w:t>
      </w:r>
      <w:r>
        <w:rPr>
          <w:rFonts w:hint="eastAsia" w:ascii="宋体" w:hAnsi="宋体"/>
          <w:sz w:val="24"/>
        </w:rPr>
        <w:t>的投标，为便于贵方公正、择优地确定中标供应商及其投标产品和服务，我方就本次投标有关事项郑重声明如下：</w:t>
      </w:r>
    </w:p>
    <w:p>
      <w:pPr>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我方向贵方提交的所有投标文件、资料都是准确的和真实的。</w:t>
      </w:r>
    </w:p>
    <w:p>
      <w:pPr>
        <w:snapToGrid w:val="0"/>
        <w:spacing w:beforeLines="50" w:line="360" w:lineRule="auto"/>
        <w:ind w:firstLine="480" w:firstLineChars="200"/>
        <w:rPr>
          <w:rFonts w:ascii="宋体" w:hAnsi="宋体"/>
          <w:sz w:val="24"/>
        </w:rPr>
      </w:pPr>
      <w:r>
        <w:rPr>
          <w:rFonts w:ascii="宋体" w:hAnsi="宋体"/>
          <w:sz w:val="24"/>
        </w:rPr>
        <w:t>2.</w:t>
      </w:r>
      <w:r>
        <w:rPr>
          <w:rFonts w:hint="eastAsia" w:ascii="宋体" w:hAnsi="宋体"/>
          <w:sz w:val="24"/>
        </w:rPr>
        <w:t>我方不是采购人的附属机构；在获知本项目采购信息后，与采购人聘请的为此项目提供咨询服务的公司及其附属机构没有任何联系。</w:t>
      </w:r>
    </w:p>
    <w:p>
      <w:pPr>
        <w:snapToGrid w:val="0"/>
        <w:spacing w:beforeLines="50" w:line="360" w:lineRule="auto"/>
        <w:ind w:firstLine="480" w:firstLineChars="200"/>
        <w:rPr>
          <w:rFonts w:hAnsi="宋体"/>
          <w:sz w:val="24"/>
        </w:rPr>
      </w:pPr>
      <w:r>
        <w:rPr>
          <w:rFonts w:ascii="宋体" w:hAnsi="宋体"/>
          <w:sz w:val="24"/>
        </w:rPr>
        <w:t>3.</w:t>
      </w:r>
      <w:r>
        <w:rPr>
          <w:rFonts w:hint="eastAsia" w:hAnsi="宋体"/>
          <w:sz w:val="24"/>
        </w:rPr>
        <w:t>我方及由本人担任法定代表人的其他机构最近三年内被通报或者被处罚的违法行为有：（若有，请如实填写；若无，请作出“参加政府采购活动前三年内，在经营活动中没有重大违法记录”的承诺）</w:t>
      </w:r>
    </w:p>
    <w:p>
      <w:pPr>
        <w:snapToGrid w:val="0"/>
        <w:spacing w:beforeLines="50" w:line="360" w:lineRule="auto"/>
        <w:ind w:firstLine="480" w:firstLineChars="200"/>
        <w:rPr>
          <w:rFonts w:ascii="宋体" w:hAnsi="宋体"/>
          <w:sz w:val="24"/>
          <w:u w:val="single"/>
        </w:rPr>
      </w:pPr>
      <w:r>
        <w:rPr>
          <w:rFonts w:hint="eastAsia" w:ascii="宋体" w:hAnsi="宋体"/>
          <w:sz w:val="24"/>
          <w:u w:val="single"/>
        </w:rPr>
        <w:t>　　　　　　　　　　　　　　　　　　　　　　　　　　　</w:t>
      </w:r>
    </w:p>
    <w:p>
      <w:pPr>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以上事项如有虚假或隐瞒，我方愿意承担一切后果，并不再寻求任何旨在减轻或免除法律责任的辩解。</w:t>
      </w:r>
    </w:p>
    <w:p>
      <w:pPr>
        <w:pStyle w:val="17"/>
        <w:tabs>
          <w:tab w:val="left" w:pos="939"/>
        </w:tabs>
        <w:snapToGrid w:val="0"/>
        <w:spacing w:line="400" w:lineRule="exact"/>
        <w:ind w:left="773" w:leftChars="150" w:hanging="458" w:hangingChars="191"/>
        <w:rPr>
          <w:rFonts w:ascii="宋体" w:hAnsi="宋体"/>
          <w:sz w:val="24"/>
        </w:rPr>
      </w:pPr>
    </w:p>
    <w:p>
      <w:pPr>
        <w:snapToGrid w:val="0"/>
        <w:spacing w:beforeLines="50" w:line="400" w:lineRule="exact"/>
        <w:ind w:firstLine="200"/>
        <w:rPr>
          <w:rFonts w:ascii="宋体" w:hAnsi="宋体"/>
          <w:sz w:val="24"/>
          <w:szCs w:val="20"/>
          <w:u w:val="single"/>
        </w:rPr>
      </w:pPr>
      <w:r>
        <w:rPr>
          <w:rFonts w:hint="eastAsia" w:ascii="宋体" w:hAnsi="宋体"/>
          <w:sz w:val="24"/>
        </w:rPr>
        <w:t>法定代表人或被授权人签字（或盖章）：</w:t>
      </w:r>
      <w:r>
        <w:rPr>
          <w:rFonts w:ascii="宋体" w:hAnsi="宋体"/>
          <w:sz w:val="24"/>
          <w:u w:val="single"/>
        </w:rPr>
        <w:t xml:space="preserve">             </w:t>
      </w:r>
    </w:p>
    <w:p>
      <w:pPr>
        <w:snapToGrid w:val="0"/>
        <w:spacing w:beforeLines="50" w:after="50" w:line="400" w:lineRule="exact"/>
        <w:ind w:firstLine="240" w:firstLineChars="100"/>
        <w:rPr>
          <w:rFonts w:ascii="宋体" w:hAnsi="宋体"/>
          <w:sz w:val="24"/>
        </w:rPr>
      </w:pPr>
      <w:r>
        <w:rPr>
          <w:rFonts w:hint="eastAsia" w:ascii="宋体" w:hAnsi="宋体"/>
          <w:bCs/>
          <w:sz w:val="24"/>
        </w:rPr>
        <w:t>投标人（盖章）</w:t>
      </w:r>
      <w:r>
        <w:rPr>
          <w:rFonts w:hint="eastAsia" w:ascii="宋体" w:hAnsi="宋体"/>
          <w:sz w:val="24"/>
        </w:rPr>
        <w:t>：</w:t>
      </w:r>
      <w:r>
        <w:rPr>
          <w:rFonts w:ascii="宋体" w:hAnsi="宋体"/>
          <w:sz w:val="24"/>
          <w:u w:val="single"/>
        </w:rPr>
        <w:t xml:space="preserve">               </w:t>
      </w:r>
      <w:r>
        <w:rPr>
          <w:rFonts w:ascii="宋体" w:hAnsi="宋体"/>
          <w:sz w:val="24"/>
        </w:rPr>
        <w:t xml:space="preserve">                      </w:t>
      </w:r>
    </w:p>
    <w:p>
      <w:pPr>
        <w:snapToGrid w:val="0"/>
        <w:spacing w:beforeLines="50" w:after="50" w:line="400" w:lineRule="exact"/>
        <w:ind w:firstLine="240" w:firstLineChars="100"/>
        <w:rPr>
          <w:rFonts w:ascii="宋体" w:hAnsi="宋体"/>
          <w:sz w:val="24"/>
        </w:rPr>
      </w:pPr>
    </w:p>
    <w:p>
      <w:pPr>
        <w:pStyle w:val="67"/>
        <w:spacing w:line="360" w:lineRule="auto"/>
        <w:jc w:val="right"/>
        <w:rPr>
          <w:rFonts w:hAnsi="宋体" w:eastAsia="宋体"/>
          <w:sz w:val="24"/>
          <w:szCs w:val="24"/>
        </w:rPr>
      </w:pPr>
      <w:r>
        <w:rPr>
          <w:rFonts w:hint="eastAsia" w:hAnsi="宋体" w:eastAsia="宋体"/>
          <w:sz w:val="24"/>
          <w:szCs w:val="24"/>
        </w:rPr>
        <w:t>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72"/>
        <w:numPr>
          <w:ilvl w:val="0"/>
          <w:numId w:val="57"/>
        </w:numPr>
        <w:snapToGrid w:val="0"/>
        <w:ind w:firstLineChars="0"/>
        <w:rPr>
          <w:rFonts w:ascii="宋体" w:hAnsi="宋体"/>
          <w:b/>
        </w:rPr>
      </w:pPr>
      <w:r>
        <w:rPr>
          <w:rFonts w:ascii="宋体" w:hAnsi="宋体"/>
          <w:b/>
        </w:rPr>
        <w:br w:type="page"/>
      </w:r>
      <w:r>
        <w:rPr>
          <w:rFonts w:hint="eastAsia" w:ascii="宋体" w:hAnsi="宋体"/>
          <w:b/>
        </w:rPr>
        <w:t>法定代表人授权委托书</w:t>
      </w:r>
      <w:r>
        <w:rPr>
          <w:rFonts w:hint="eastAsia" w:ascii="宋体" w:hAnsi="宋体"/>
          <w:b/>
          <w:bCs/>
        </w:rPr>
        <w:t>格式</w:t>
      </w:r>
    </w:p>
    <w:p>
      <w:pPr>
        <w:snapToGrid w:val="0"/>
        <w:spacing w:beforeLines="50" w:after="50" w:line="360" w:lineRule="auto"/>
        <w:jc w:val="center"/>
        <w:rPr>
          <w:rFonts w:ascii="宋体" w:hAnsi="宋体"/>
          <w:b/>
          <w:sz w:val="32"/>
          <w:szCs w:val="32"/>
        </w:rPr>
      </w:pPr>
      <w:r>
        <w:rPr>
          <w:rFonts w:hint="eastAsia" w:ascii="宋体" w:hAnsi="宋体"/>
          <w:b/>
          <w:sz w:val="32"/>
          <w:szCs w:val="32"/>
        </w:rPr>
        <w:t>法定代表人授权委托书</w:t>
      </w:r>
    </w:p>
    <w:p>
      <w:pPr>
        <w:snapToGrid w:val="0"/>
        <w:spacing w:beforeLines="50" w:after="50" w:line="360" w:lineRule="auto"/>
        <w:rPr>
          <w:rFonts w:ascii="宋体" w:hAnsi="宋体"/>
          <w:b/>
          <w:bCs/>
          <w:sz w:val="24"/>
          <w:szCs w:val="20"/>
        </w:rPr>
      </w:pPr>
      <w:r>
        <w:rPr>
          <w:rFonts w:hint="eastAsia" w:ascii="宋体" w:hAnsi="宋体"/>
          <w:bCs/>
          <w:sz w:val="24"/>
        </w:rPr>
        <w:t>致:嘉善县天凝镇人民政府</w:t>
      </w:r>
    </w:p>
    <w:p>
      <w:pPr>
        <w:snapToGrid w:val="0"/>
        <w:spacing w:beforeLines="50" w:after="50" w:line="360" w:lineRule="auto"/>
        <w:ind w:firstLine="720" w:firstLineChars="300"/>
        <w:rPr>
          <w:rFonts w:ascii="宋体" w:hAnsi="宋体"/>
          <w:sz w:val="24"/>
          <w:szCs w:val="20"/>
        </w:rPr>
      </w:pPr>
      <w:r>
        <w:rPr>
          <w:rFonts w:hint="eastAsia" w:ascii="宋体" w:hAnsi="宋体"/>
          <w:sz w:val="24"/>
        </w:rPr>
        <w:t>我</w:t>
      </w:r>
      <w:r>
        <w:rPr>
          <w:rFonts w:ascii="宋体" w:hAnsi="宋体"/>
          <w:sz w:val="24"/>
        </w:rPr>
        <w:t>_</w:t>
      </w:r>
      <w:r>
        <w:rPr>
          <w:rFonts w:hint="eastAsia" w:ascii="宋体" w:hAnsi="宋体"/>
          <w:sz w:val="24"/>
          <w:u w:val="single"/>
        </w:rPr>
        <w:t xml:space="preserve">           </w:t>
      </w:r>
      <w:r>
        <w:rPr>
          <w:rFonts w:hint="eastAsia" w:ascii="宋体" w:hAnsi="宋体"/>
          <w:sz w:val="24"/>
        </w:rPr>
        <w:t>（姓名）系</w:t>
      </w:r>
      <w:r>
        <w:rPr>
          <w:rFonts w:ascii="宋体" w:hAnsi="宋体"/>
          <w:sz w:val="24"/>
        </w:rPr>
        <w:t>_</w:t>
      </w:r>
      <w:r>
        <w:rPr>
          <w:rFonts w:hint="eastAsia" w:ascii="宋体" w:hAnsi="宋体"/>
          <w:sz w:val="24"/>
          <w:u w:val="single"/>
        </w:rPr>
        <w:t xml:space="preserve">            </w:t>
      </w:r>
      <w:r>
        <w:rPr>
          <w:rFonts w:hint="eastAsia" w:ascii="宋体" w:hAnsi="宋体"/>
          <w:sz w:val="24"/>
        </w:rPr>
        <w:t xml:space="preserve"> （投标人名称）的法定代表人，现授权委托</w:t>
      </w:r>
      <w:r>
        <w:rPr>
          <w:rFonts w:ascii="宋体" w:hAnsi="宋体"/>
          <w:sz w:val="24"/>
          <w:u w:val="single"/>
        </w:rPr>
        <w:t xml:space="preserve">             </w:t>
      </w:r>
      <w:r>
        <w:rPr>
          <w:rFonts w:hint="eastAsia" w:ascii="宋体" w:hAnsi="宋体"/>
          <w:sz w:val="24"/>
        </w:rPr>
        <w:t>（姓名）以我方的名义参加</w:t>
      </w:r>
      <w:r>
        <w:rPr>
          <w:rFonts w:hint="eastAsia" w:ascii="宋体" w:hAnsi="宋体"/>
          <w:sz w:val="24"/>
          <w:u w:val="single"/>
        </w:rPr>
        <w:t xml:space="preserve">           政府采购项目</w:t>
      </w:r>
      <w:r>
        <w:rPr>
          <w:rFonts w:hint="eastAsia" w:ascii="宋体" w:hAnsi="宋体"/>
          <w:sz w:val="24"/>
        </w:rPr>
        <w:t>的投标活动，并代表我方全权办理针对上述项目的投标、开标、评标、签约等具体事务和签署相关文件。</w:t>
      </w:r>
    </w:p>
    <w:p>
      <w:pPr>
        <w:snapToGrid w:val="0"/>
        <w:spacing w:beforeLines="50" w:after="50" w:line="360" w:lineRule="auto"/>
        <w:rPr>
          <w:rFonts w:ascii="宋体" w:hAnsi="宋体"/>
          <w:sz w:val="24"/>
          <w:szCs w:val="20"/>
        </w:rPr>
      </w:pPr>
      <w:r>
        <w:rPr>
          <w:rFonts w:ascii="宋体" w:hAnsi="宋体"/>
          <w:sz w:val="24"/>
        </w:rPr>
        <w:t xml:space="preserve">    </w:t>
      </w:r>
      <w:r>
        <w:rPr>
          <w:rFonts w:hint="eastAsia" w:ascii="宋体" w:hAnsi="宋体"/>
          <w:sz w:val="24"/>
        </w:rPr>
        <w:t>我方对被授权人的签字事项负全部责任。</w:t>
      </w:r>
    </w:p>
    <w:p>
      <w:pPr>
        <w:snapToGrid w:val="0"/>
        <w:spacing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pPr>
        <w:snapToGrid w:val="0"/>
        <w:spacing w:beforeLines="50" w:after="50" w:line="360" w:lineRule="auto"/>
        <w:ind w:firstLine="480"/>
        <w:rPr>
          <w:rFonts w:ascii="宋体" w:hAnsi="宋体"/>
          <w:sz w:val="24"/>
          <w:szCs w:val="20"/>
        </w:rPr>
      </w:pPr>
      <w:r>
        <w:rPr>
          <w:rFonts w:hint="eastAsia" w:ascii="宋体" w:hAnsi="宋体"/>
          <w:sz w:val="24"/>
        </w:rPr>
        <w:t>被授权人无转委托权，特此委托。</w:t>
      </w:r>
    </w:p>
    <w:p>
      <w:pPr>
        <w:snapToGrid w:val="0"/>
        <w:spacing w:beforeLines="50" w:after="50" w:line="360" w:lineRule="auto"/>
        <w:rPr>
          <w:rFonts w:ascii="宋体" w:hAnsi="宋体"/>
          <w:sz w:val="24"/>
          <w:szCs w:val="20"/>
        </w:rPr>
      </w:pPr>
    </w:p>
    <w:p>
      <w:pPr>
        <w:snapToGrid w:val="0"/>
        <w:spacing w:beforeLines="50" w:after="50" w:line="360" w:lineRule="auto"/>
        <w:rPr>
          <w:rFonts w:ascii="宋体" w:hAnsi="宋体"/>
          <w:sz w:val="24"/>
          <w:szCs w:val="20"/>
          <w:u w:val="single"/>
        </w:rPr>
      </w:pPr>
      <w:r>
        <w:rPr>
          <w:rFonts w:hint="eastAsia" w:ascii="宋体" w:hAnsi="宋体"/>
          <w:sz w:val="24"/>
        </w:rPr>
        <w:t>法定代表人签字（或盖章）：</w:t>
      </w:r>
      <w:r>
        <w:rPr>
          <w:rFonts w:ascii="宋体" w:hAnsi="宋体"/>
          <w:sz w:val="24"/>
          <w:u w:val="single"/>
        </w:rPr>
        <w:t xml:space="preserve">          </w:t>
      </w:r>
      <w:r>
        <w:rPr>
          <w:rFonts w:ascii="宋体" w:hAnsi="宋体"/>
          <w:sz w:val="24"/>
        </w:rPr>
        <w:t xml:space="preserve">  </w:t>
      </w:r>
      <w:r>
        <w:rPr>
          <w:rFonts w:hint="eastAsia" w:ascii="宋体" w:hAnsi="宋体"/>
          <w:sz w:val="24"/>
        </w:rPr>
        <w:t>被授权人签字（或盖章）：</w:t>
      </w:r>
      <w:r>
        <w:rPr>
          <w:rFonts w:ascii="宋体" w:hAnsi="宋体"/>
          <w:sz w:val="24"/>
          <w:u w:val="single"/>
        </w:rPr>
        <w:t xml:space="preserve">          </w:t>
      </w:r>
    </w:p>
    <w:p>
      <w:pPr>
        <w:snapToGrid w:val="0"/>
        <w:spacing w:beforeLines="50" w:after="50" w:line="360" w:lineRule="auto"/>
        <w:ind w:firstLine="960" w:firstLineChars="400"/>
        <w:rPr>
          <w:rFonts w:ascii="宋体" w:hAnsi="宋体"/>
          <w:sz w:val="24"/>
          <w:u w:val="single"/>
        </w:rPr>
      </w:pPr>
      <w:r>
        <w:rPr>
          <w:rFonts w:hint="eastAsia" w:ascii="宋体" w:hAnsi="宋体"/>
          <w:sz w:val="24"/>
        </w:rPr>
        <w:t>职务：</w:t>
      </w:r>
      <w:r>
        <w:rPr>
          <w:rFonts w:ascii="宋体" w:hAnsi="宋体"/>
          <w:sz w:val="24"/>
          <w:u w:val="single"/>
        </w:rPr>
        <w:t xml:space="preserve">           </w:t>
      </w:r>
      <w:r>
        <w:rPr>
          <w:rFonts w:ascii="宋体" w:hAnsi="宋体"/>
          <w:sz w:val="24"/>
        </w:rPr>
        <w:t xml:space="preserve">                          </w:t>
      </w:r>
      <w:r>
        <w:rPr>
          <w:rFonts w:hint="eastAsia" w:ascii="宋体" w:hAnsi="宋体"/>
          <w:sz w:val="24"/>
        </w:rPr>
        <w:t>职务：</w:t>
      </w:r>
      <w:r>
        <w:rPr>
          <w:rFonts w:ascii="宋体" w:hAnsi="宋体"/>
          <w:sz w:val="24"/>
          <w:u w:val="single"/>
        </w:rPr>
        <w:t xml:space="preserve">           </w:t>
      </w:r>
    </w:p>
    <w:p>
      <w:pPr>
        <w:snapToGrid w:val="0"/>
        <w:spacing w:beforeLines="50" w:after="50" w:line="360" w:lineRule="auto"/>
        <w:rPr>
          <w:rFonts w:ascii="宋体" w:hAnsi="宋体"/>
          <w:sz w:val="24"/>
          <w:szCs w:val="20"/>
        </w:rPr>
      </w:pPr>
    </w:p>
    <w:p>
      <w:pPr>
        <w:snapToGrid w:val="0"/>
        <w:spacing w:beforeLines="50" w:after="50" w:line="360" w:lineRule="auto"/>
        <w:rPr>
          <w:rFonts w:ascii="宋体" w:hAnsi="宋体"/>
          <w:sz w:val="24"/>
        </w:rPr>
      </w:pPr>
      <w:r>
        <w:rPr>
          <w:rFonts w:hint="eastAsia" w:ascii="宋体" w:hAnsi="宋体"/>
          <w:sz w:val="24"/>
        </w:rPr>
        <w:t>法定代表人身份证粘贴处（正反面）       被授权人身份证粘贴处（正反面）</w:t>
      </w:r>
    </w:p>
    <w:p>
      <w:pPr>
        <w:snapToGrid w:val="0"/>
        <w:spacing w:beforeLines="50" w:after="50" w:line="360" w:lineRule="auto"/>
        <w:rPr>
          <w:rFonts w:ascii="宋体" w:hAnsi="宋体"/>
          <w:sz w:val="24"/>
        </w:rPr>
      </w:pPr>
    </w:p>
    <w:p>
      <w:pPr>
        <w:snapToGrid w:val="0"/>
        <w:spacing w:beforeLines="50" w:after="50" w:line="360" w:lineRule="auto"/>
        <w:rPr>
          <w:rFonts w:ascii="宋体" w:hAnsi="宋体"/>
          <w:sz w:val="24"/>
        </w:rPr>
      </w:pPr>
    </w:p>
    <w:p>
      <w:pPr>
        <w:snapToGrid w:val="0"/>
        <w:spacing w:beforeLines="50" w:after="50" w:line="360" w:lineRule="auto"/>
        <w:rPr>
          <w:rFonts w:ascii="宋体" w:hAnsi="宋体"/>
          <w:sz w:val="24"/>
        </w:rPr>
      </w:pPr>
      <w:r>
        <w:rPr>
          <w:rFonts w:hint="eastAsia" w:ascii="宋体" w:hAnsi="宋体"/>
          <w:bCs/>
          <w:sz w:val="24"/>
        </w:rPr>
        <w:t>投标人（盖章）</w:t>
      </w:r>
      <w:r>
        <w:rPr>
          <w:rFonts w:hint="eastAsia" w:ascii="宋体" w:hAnsi="宋体"/>
          <w:sz w:val="24"/>
        </w:rPr>
        <w:t>：</w:t>
      </w:r>
    </w:p>
    <w:p>
      <w:pPr>
        <w:snapToGrid w:val="0"/>
        <w:spacing w:beforeLines="50" w:after="50" w:line="360" w:lineRule="auto"/>
        <w:rPr>
          <w:rFonts w:ascii="宋体" w:hAnsi="宋体"/>
          <w:sz w:val="24"/>
          <w:szCs w:val="20"/>
        </w:rPr>
      </w:pPr>
    </w:p>
    <w:p>
      <w:pPr>
        <w:snapToGrid w:val="0"/>
        <w:spacing w:beforeLines="50" w:after="50" w:line="360" w:lineRule="auto"/>
        <w:rPr>
          <w:rFonts w:ascii="宋体" w:hAnsi="宋体"/>
          <w:sz w:val="24"/>
          <w:szCs w:val="20"/>
        </w:rPr>
      </w:pPr>
    </w:p>
    <w:p>
      <w:pPr>
        <w:snapToGrid w:val="0"/>
        <w:spacing w:beforeLines="50" w:after="50"/>
        <w:jc w:val="right"/>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67"/>
        <w:spacing w:line="360" w:lineRule="auto"/>
        <w:rPr>
          <w:rFonts w:hAnsi="宋体"/>
          <w:sz w:val="24"/>
        </w:rPr>
      </w:pPr>
    </w:p>
    <w:p>
      <w:pPr>
        <w:snapToGrid w:val="0"/>
        <w:spacing w:beforeLines="50" w:after="50" w:line="360" w:lineRule="auto"/>
        <w:rPr>
          <w:rFonts w:ascii="宋体" w:hAnsi="宋体"/>
          <w:sz w:val="24"/>
        </w:rPr>
      </w:pPr>
      <w:r>
        <w:rPr>
          <w:rFonts w:hint="eastAsia" w:hAnsi="宋体"/>
          <w:b/>
          <w:sz w:val="28"/>
          <w:szCs w:val="28"/>
        </w:rPr>
        <w:t>注：此表请放一页，如要放2页及以上请在每页上都加盖公章。</w:t>
      </w:r>
    </w:p>
    <w:p>
      <w:pPr>
        <w:snapToGrid w:val="0"/>
        <w:spacing w:beforeLines="50" w:after="50"/>
        <w:jc w:val="left"/>
        <w:rPr>
          <w:rFonts w:ascii="宋体" w:hAnsi="宋体"/>
          <w:sz w:val="24"/>
        </w:rPr>
      </w:pPr>
    </w:p>
    <w:p>
      <w:pPr>
        <w:pStyle w:val="72"/>
        <w:numPr>
          <w:ilvl w:val="0"/>
          <w:numId w:val="57"/>
        </w:numPr>
        <w:snapToGrid w:val="0"/>
        <w:ind w:firstLineChars="0"/>
        <w:rPr>
          <w:rFonts w:ascii="宋体" w:hAnsi="宋体"/>
          <w:b/>
        </w:rPr>
      </w:pPr>
      <w:r>
        <w:rPr>
          <w:rFonts w:hint="eastAsia" w:ascii="宋体" w:hAnsi="宋体"/>
          <w:b/>
        </w:rPr>
        <w:t>法定代表人身份证明书</w:t>
      </w:r>
      <w:r>
        <w:rPr>
          <w:rFonts w:hint="eastAsia" w:ascii="宋体" w:hAnsi="宋体"/>
          <w:b/>
          <w:bCs/>
        </w:rPr>
        <w:t>格式</w:t>
      </w:r>
    </w:p>
    <w:p>
      <w:pPr>
        <w:spacing w:line="380" w:lineRule="exact"/>
        <w:jc w:val="left"/>
        <w:rPr>
          <w:rFonts w:ascii="宋体" w:hAnsi="宋体"/>
          <w:b/>
          <w:sz w:val="36"/>
          <w:szCs w:val="36"/>
        </w:rPr>
      </w:pPr>
    </w:p>
    <w:p>
      <w:pPr>
        <w:spacing w:line="380" w:lineRule="exact"/>
        <w:jc w:val="center"/>
        <w:rPr>
          <w:rFonts w:ascii="宋体" w:hAnsi="宋体"/>
          <w:b/>
          <w:sz w:val="36"/>
          <w:szCs w:val="36"/>
        </w:rPr>
      </w:pPr>
      <w:r>
        <w:rPr>
          <w:rFonts w:ascii="宋体" w:hAnsi="宋体"/>
          <w:b/>
          <w:sz w:val="36"/>
          <w:szCs w:val="36"/>
        </w:rPr>
        <w:t>法定代表人</w:t>
      </w:r>
      <w:r>
        <w:rPr>
          <w:rFonts w:hint="eastAsia" w:ascii="宋体" w:hAnsi="宋体"/>
          <w:b/>
          <w:sz w:val="36"/>
          <w:szCs w:val="36"/>
        </w:rPr>
        <w:t>身份</w:t>
      </w:r>
      <w:r>
        <w:rPr>
          <w:rFonts w:ascii="宋体" w:hAnsi="宋体"/>
          <w:b/>
          <w:sz w:val="36"/>
          <w:szCs w:val="36"/>
        </w:rPr>
        <w:t>证明书</w:t>
      </w:r>
    </w:p>
    <w:p>
      <w:pPr>
        <w:spacing w:line="500" w:lineRule="exact"/>
        <w:jc w:val="center"/>
        <w:rPr>
          <w:rFonts w:ascii="Calibri" w:hAnsi="Calibri" w:cs="Arial"/>
          <w:bCs/>
          <w:sz w:val="28"/>
        </w:rPr>
      </w:pPr>
    </w:p>
    <w:p>
      <w:pPr>
        <w:spacing w:line="480" w:lineRule="auto"/>
        <w:ind w:firstLine="480" w:firstLineChars="200"/>
        <w:rPr>
          <w:rFonts w:ascii="Calibri" w:hAnsi="Calibri" w:cs="Arial"/>
          <w:sz w:val="24"/>
        </w:rPr>
      </w:pPr>
      <w:r>
        <w:rPr>
          <w:rFonts w:ascii="Calibri" w:hAnsi="Calibri" w:cs="Arial"/>
          <w:sz w:val="24"/>
        </w:rPr>
        <w:t>投标人名称：</w:t>
      </w:r>
      <w:r>
        <w:rPr>
          <w:rFonts w:ascii="Calibri" w:hAnsi="Calibri" w:cs="Arial"/>
          <w:sz w:val="24"/>
          <w:u w:val="single"/>
        </w:rPr>
        <w:t xml:space="preserve">                                </w:t>
      </w:r>
      <w:r>
        <w:rPr>
          <w:rFonts w:ascii="Calibri" w:hAnsi="Calibri" w:cs="Arial"/>
          <w:sz w:val="24"/>
        </w:rPr>
        <w:t xml:space="preserve"> </w:t>
      </w:r>
    </w:p>
    <w:p>
      <w:pPr>
        <w:spacing w:line="480" w:lineRule="auto"/>
        <w:ind w:firstLine="480" w:firstLineChars="200"/>
        <w:rPr>
          <w:rFonts w:ascii="Calibri" w:hAnsi="Calibri" w:cs="Arial"/>
          <w:sz w:val="24"/>
        </w:rPr>
      </w:pPr>
      <w:r>
        <w:rPr>
          <w:rFonts w:ascii="Calibri" w:hAnsi="Calibri" w:cs="Arial"/>
          <w:sz w:val="24"/>
        </w:rPr>
        <w:t>单位性质：</w:t>
      </w:r>
      <w:r>
        <w:rPr>
          <w:rFonts w:ascii="Calibri" w:hAnsi="Calibri" w:cs="Arial"/>
          <w:sz w:val="24"/>
          <w:u w:val="single"/>
        </w:rPr>
        <w:t xml:space="preserve">                                  </w:t>
      </w:r>
      <w:r>
        <w:rPr>
          <w:rFonts w:ascii="Calibri" w:hAnsi="Calibri" w:cs="Arial"/>
          <w:sz w:val="24"/>
        </w:rPr>
        <w:t xml:space="preserve"> </w:t>
      </w:r>
    </w:p>
    <w:p>
      <w:pPr>
        <w:spacing w:line="480" w:lineRule="auto"/>
        <w:ind w:firstLine="480" w:firstLineChars="200"/>
        <w:rPr>
          <w:rFonts w:ascii="Calibri" w:hAnsi="Calibri" w:cs="Arial"/>
          <w:sz w:val="24"/>
        </w:rPr>
      </w:pPr>
      <w:r>
        <w:rPr>
          <w:rFonts w:ascii="Calibri" w:hAnsi="Calibri" w:cs="Arial"/>
          <w:sz w:val="24"/>
        </w:rPr>
        <w:t>地址：</w:t>
      </w:r>
      <w:r>
        <w:rPr>
          <w:rFonts w:ascii="Calibri" w:hAnsi="Calibri" w:cs="Arial"/>
          <w:sz w:val="24"/>
          <w:u w:val="single"/>
        </w:rPr>
        <w:t xml:space="preserve">                                     </w:t>
      </w:r>
      <w:r>
        <w:rPr>
          <w:rFonts w:ascii="Calibri" w:hAnsi="Calibri" w:cs="Arial"/>
          <w:sz w:val="24"/>
        </w:rPr>
        <w:t xml:space="preserve"> </w:t>
      </w:r>
    </w:p>
    <w:p>
      <w:pPr>
        <w:spacing w:line="480" w:lineRule="auto"/>
        <w:ind w:firstLine="480" w:firstLineChars="200"/>
        <w:rPr>
          <w:rFonts w:ascii="Calibri" w:hAnsi="Calibri" w:cs="Arial"/>
          <w:sz w:val="24"/>
        </w:rPr>
      </w:pPr>
      <w:r>
        <w:rPr>
          <w:rFonts w:ascii="Calibri" w:hAnsi="Calibri" w:cs="Arial"/>
          <w:sz w:val="24"/>
        </w:rPr>
        <w:t>成立时间：</w:t>
      </w:r>
      <w:r>
        <w:rPr>
          <w:rFonts w:ascii="Calibri" w:hAnsi="Calibri" w:cs="Arial"/>
          <w:sz w:val="24"/>
          <w:u w:val="single"/>
        </w:rPr>
        <w:t xml:space="preserve">        </w:t>
      </w:r>
      <w:r>
        <w:rPr>
          <w:rFonts w:ascii="Calibri" w:hAnsi="Calibri" w:cs="Arial"/>
          <w:sz w:val="24"/>
        </w:rPr>
        <w:t>年</w:t>
      </w:r>
      <w:r>
        <w:rPr>
          <w:rFonts w:ascii="Calibri" w:hAnsi="Calibri" w:cs="Arial"/>
          <w:sz w:val="24"/>
          <w:u w:val="single"/>
        </w:rPr>
        <w:t xml:space="preserve">    </w:t>
      </w:r>
      <w:r>
        <w:rPr>
          <w:rFonts w:ascii="Calibri" w:hAnsi="Calibri" w:cs="Arial"/>
          <w:sz w:val="24"/>
        </w:rPr>
        <w:t>月</w:t>
      </w:r>
      <w:r>
        <w:rPr>
          <w:rFonts w:ascii="Calibri" w:hAnsi="Calibri" w:cs="Arial"/>
          <w:sz w:val="24"/>
          <w:u w:val="single"/>
        </w:rPr>
        <w:t xml:space="preserve">    </w:t>
      </w:r>
      <w:r>
        <w:rPr>
          <w:rFonts w:ascii="Calibri" w:hAnsi="Calibri" w:cs="Arial"/>
          <w:sz w:val="24"/>
        </w:rPr>
        <w:t>日</w:t>
      </w:r>
    </w:p>
    <w:p>
      <w:pPr>
        <w:spacing w:line="480" w:lineRule="auto"/>
        <w:ind w:firstLine="480" w:firstLineChars="200"/>
        <w:rPr>
          <w:rFonts w:ascii="Calibri" w:hAnsi="Calibri" w:cs="Arial"/>
          <w:sz w:val="24"/>
        </w:rPr>
      </w:pPr>
      <w:r>
        <w:rPr>
          <w:rFonts w:ascii="Calibri" w:hAnsi="Calibri" w:cs="Arial"/>
          <w:sz w:val="24"/>
        </w:rPr>
        <w:t>经营期限：</w:t>
      </w:r>
      <w:r>
        <w:rPr>
          <w:rFonts w:ascii="Calibri" w:hAnsi="Calibri" w:cs="Arial"/>
          <w:sz w:val="24"/>
          <w:u w:val="single"/>
        </w:rPr>
        <w:t xml:space="preserve">                                </w:t>
      </w:r>
      <w:r>
        <w:rPr>
          <w:rFonts w:ascii="Calibri" w:hAnsi="Calibri" w:cs="Arial"/>
          <w:sz w:val="24"/>
        </w:rPr>
        <w:t xml:space="preserve"> </w:t>
      </w:r>
    </w:p>
    <w:p>
      <w:pPr>
        <w:spacing w:line="480" w:lineRule="auto"/>
        <w:ind w:firstLine="480" w:firstLineChars="200"/>
        <w:rPr>
          <w:rFonts w:ascii="Calibri" w:hAnsi="Calibri" w:cs="Arial"/>
          <w:sz w:val="24"/>
        </w:rPr>
      </w:pPr>
      <w:r>
        <w:rPr>
          <w:rFonts w:ascii="Calibri" w:hAnsi="Calibri" w:cs="Arial"/>
          <w:sz w:val="24"/>
        </w:rPr>
        <w:t>姓名：</w:t>
      </w:r>
      <w:r>
        <w:rPr>
          <w:rFonts w:ascii="Calibri" w:hAnsi="Calibri" w:cs="Arial"/>
          <w:sz w:val="24"/>
          <w:u w:val="single"/>
        </w:rPr>
        <w:t xml:space="preserve">   </w:t>
      </w:r>
      <w:r>
        <w:rPr>
          <w:rFonts w:hint="eastAsia" w:ascii="Calibri" w:hAnsi="Calibri" w:cs="Arial"/>
          <w:sz w:val="24"/>
          <w:u w:val="single"/>
        </w:rPr>
        <w:t xml:space="preserve">  （</w:t>
      </w:r>
      <w:r>
        <w:rPr>
          <w:rFonts w:hint="eastAsia" w:ascii="Calibri" w:hAnsi="Calibri" w:cs="Arial"/>
          <w:sz w:val="24"/>
        </w:rPr>
        <w:t>身份证号：</w:t>
      </w:r>
      <w:r>
        <w:rPr>
          <w:rFonts w:hint="eastAsia" w:ascii="Calibri" w:hAnsi="Calibri" w:cs="Arial"/>
          <w:sz w:val="24"/>
          <w:u w:val="single"/>
        </w:rPr>
        <w:t xml:space="preserve">           </w:t>
      </w:r>
      <w:r>
        <w:rPr>
          <w:rFonts w:ascii="Calibri" w:hAnsi="Calibri" w:cs="Arial"/>
          <w:sz w:val="24"/>
        </w:rPr>
        <w:t>年龄：</w:t>
      </w:r>
      <w:r>
        <w:rPr>
          <w:rFonts w:ascii="Calibri" w:hAnsi="Calibri" w:cs="Arial"/>
          <w:sz w:val="24"/>
          <w:u w:val="single"/>
        </w:rPr>
        <w:t xml:space="preserve">    </w:t>
      </w:r>
      <w:r>
        <w:rPr>
          <w:rFonts w:hint="eastAsia" w:ascii="Calibri" w:hAnsi="Calibri" w:cs="Arial"/>
          <w:sz w:val="24"/>
        </w:rPr>
        <w:t>）</w:t>
      </w:r>
      <w:r>
        <w:rPr>
          <w:rFonts w:ascii="Calibri" w:hAnsi="Calibri" w:cs="Arial"/>
          <w:sz w:val="24"/>
        </w:rPr>
        <w:t>系</w:t>
      </w:r>
      <w:r>
        <w:rPr>
          <w:rFonts w:ascii="Calibri" w:hAnsi="Calibri" w:cs="Arial"/>
          <w:sz w:val="24"/>
          <w:u w:val="single"/>
        </w:rPr>
        <w:t xml:space="preserve">            </w:t>
      </w:r>
      <w:r>
        <w:rPr>
          <w:rFonts w:ascii="Calibri" w:hAnsi="Calibri" w:cs="Arial"/>
          <w:sz w:val="24"/>
        </w:rPr>
        <w:t>（投标人名称）的法定代表人。</w:t>
      </w:r>
    </w:p>
    <w:p>
      <w:pPr>
        <w:spacing w:line="480" w:lineRule="auto"/>
        <w:ind w:firstLine="960" w:firstLineChars="400"/>
        <w:rPr>
          <w:rFonts w:ascii="Calibri" w:hAnsi="Calibri" w:cs="Arial"/>
          <w:sz w:val="24"/>
        </w:rPr>
      </w:pPr>
      <w:r>
        <w:rPr>
          <w:rFonts w:ascii="Calibri" w:hAnsi="Calibri" w:cs="Arial"/>
          <w:sz w:val="24"/>
        </w:rPr>
        <w:t>特此证明。</w:t>
      </w:r>
    </w:p>
    <w:p>
      <w:pPr>
        <w:spacing w:line="480" w:lineRule="auto"/>
        <w:ind w:firstLine="480" w:firstLineChars="200"/>
        <w:rPr>
          <w:rFonts w:ascii="Calibri" w:hAnsi="Calibri" w:cs="Arial"/>
          <w:sz w:val="24"/>
        </w:rPr>
      </w:pPr>
    </w:p>
    <w:p>
      <w:pPr>
        <w:spacing w:line="480" w:lineRule="auto"/>
        <w:ind w:firstLine="480" w:firstLineChars="200"/>
        <w:rPr>
          <w:rFonts w:ascii="Calibri" w:hAnsi="Calibri" w:cs="Arial"/>
          <w:sz w:val="24"/>
        </w:rPr>
      </w:pPr>
    </w:p>
    <w:p>
      <w:pPr>
        <w:pStyle w:val="20"/>
        <w:spacing w:before="120" w:after="120" w:line="400" w:lineRule="atLeast"/>
        <w:ind w:left="420" w:leftChars="200" w:firstLine="480"/>
        <w:rPr>
          <w:rFonts w:ascii="Calibri" w:hAnsi="Calibri" w:cs="Arial"/>
        </w:rPr>
      </w:pPr>
      <w:r>
        <w:rPr>
          <w:rFonts w:hint="eastAsia" w:hAnsi="宋体"/>
          <w:bCs/>
        </w:rPr>
        <w:t>投标人（盖章）</w:t>
      </w:r>
      <w:r>
        <w:rPr>
          <w:rFonts w:ascii="Calibri" w:hAnsi="Calibri" w:cs="Arial"/>
        </w:rPr>
        <w:t>：</w:t>
      </w:r>
      <w:r>
        <w:rPr>
          <w:rFonts w:ascii="Calibri" w:hAnsi="Calibri" w:cs="Arial"/>
        </w:rPr>
        <w:cr/>
      </w:r>
    </w:p>
    <w:p>
      <w:pPr>
        <w:pStyle w:val="20"/>
        <w:spacing w:before="120" w:after="120" w:line="400" w:lineRule="atLeast"/>
        <w:ind w:firstLine="840" w:firstLineChars="350"/>
        <w:rPr>
          <w:rFonts w:ascii="Calibri" w:hAnsi="Calibri" w:cs="Arial"/>
        </w:rPr>
      </w:pPr>
      <w:r>
        <w:rPr>
          <w:rFonts w:ascii="Calibri" w:hAnsi="Calibri" w:cs="Arial"/>
        </w:rPr>
        <w:t>日    期：</w:t>
      </w:r>
    </w:p>
    <w:p>
      <w:pPr>
        <w:spacing w:line="380" w:lineRule="exact"/>
        <w:rPr>
          <w:rFonts w:ascii="宋体" w:hAnsi="宋体"/>
          <w:sz w:val="32"/>
          <w:szCs w:val="32"/>
        </w:rPr>
      </w:pPr>
    </w:p>
    <w:p>
      <w:pPr>
        <w:spacing w:line="380" w:lineRule="exact"/>
        <w:rPr>
          <w:rFonts w:ascii="宋体" w:hAnsi="宋体"/>
          <w:sz w:val="24"/>
        </w:rPr>
      </w:pPr>
    </w:p>
    <w:p>
      <w:pPr>
        <w:spacing w:line="380" w:lineRule="exact"/>
        <w:rPr>
          <w:rFonts w:ascii="宋体" w:hAnsi="宋体"/>
          <w:sz w:val="24"/>
        </w:rPr>
      </w:pPr>
    </w:p>
    <w:p>
      <w:pPr>
        <w:pStyle w:val="80"/>
        <w:ind w:firstLine="360"/>
        <w:rPr>
          <w:b w:val="0"/>
        </w:rPr>
      </w:pPr>
      <w:r>
        <w:rPr>
          <w:rFonts w:hint="eastAsia"/>
          <w:b w:val="0"/>
        </w:rPr>
        <w:t>附：法定代表人身份证双面复印件</w:t>
      </w:r>
    </w:p>
    <w:p>
      <w:pPr>
        <w:pStyle w:val="80"/>
        <w:ind w:firstLine="360"/>
        <w:rPr>
          <w:b w:val="0"/>
        </w:rPr>
      </w:pPr>
    </w:p>
    <w:p>
      <w:pPr>
        <w:snapToGrid w:val="0"/>
        <w:spacing w:beforeLines="50" w:after="50" w:line="360" w:lineRule="auto"/>
        <w:rPr>
          <w:rFonts w:ascii="宋体" w:hAnsi="宋体"/>
          <w:sz w:val="24"/>
        </w:rPr>
      </w:pPr>
      <w:r>
        <w:rPr>
          <w:rFonts w:hint="eastAsia" w:hAnsi="宋体"/>
          <w:b/>
          <w:sz w:val="28"/>
          <w:szCs w:val="28"/>
        </w:rPr>
        <w:t>注：此表请放一页，如要放2页及以上请在每页上都加盖公章。</w:t>
      </w:r>
    </w:p>
    <w:p>
      <w:pPr>
        <w:pStyle w:val="72"/>
        <w:numPr>
          <w:ilvl w:val="0"/>
          <w:numId w:val="57"/>
        </w:numPr>
        <w:snapToGrid w:val="0"/>
        <w:ind w:firstLineChars="0"/>
        <w:rPr>
          <w:rFonts w:ascii="宋体" w:hAnsi="宋体"/>
          <w:b/>
        </w:rPr>
      </w:pPr>
      <w:r>
        <w:rPr>
          <w:b/>
        </w:rPr>
        <w:br w:type="page"/>
      </w:r>
      <w:r>
        <w:rPr>
          <w:rFonts w:hint="eastAsia" w:ascii="宋体" w:hAnsi="宋体"/>
          <w:b/>
        </w:rPr>
        <w:t>诚信承诺书格式</w:t>
      </w:r>
    </w:p>
    <w:p>
      <w:pPr>
        <w:spacing w:line="360" w:lineRule="auto"/>
        <w:jc w:val="center"/>
        <w:rPr>
          <w:rFonts w:ascii="宋体" w:hAnsi="宋体"/>
          <w:b/>
          <w:sz w:val="24"/>
        </w:rPr>
      </w:pPr>
      <w:r>
        <w:rPr>
          <w:rFonts w:hint="eastAsia" w:ascii="宋体" w:hAnsi="宋体"/>
          <w:b/>
          <w:sz w:val="24"/>
        </w:rPr>
        <w:t>诚信承诺书</w:t>
      </w:r>
    </w:p>
    <w:p>
      <w:pPr>
        <w:spacing w:line="360" w:lineRule="auto"/>
        <w:rPr>
          <w:rFonts w:ascii="宋体" w:hAnsi="宋体"/>
          <w:sz w:val="24"/>
        </w:rPr>
      </w:pPr>
      <w:r>
        <w:rPr>
          <w:rFonts w:hint="eastAsia" w:ascii="宋体" w:hAnsi="宋体"/>
          <w:sz w:val="24"/>
          <w:u w:val="single"/>
        </w:rPr>
        <w:t xml:space="preserve">（采购人或招标组织机构）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我方在参加贵单位的＿＿＿＿＿＿＿＿＿＿政府采购项目的招投标活动中，郑重承诺如下：</w:t>
      </w:r>
    </w:p>
    <w:p>
      <w:pPr>
        <w:numPr>
          <w:ilvl w:val="0"/>
          <w:numId w:val="60"/>
        </w:numPr>
        <w:spacing w:line="360" w:lineRule="auto"/>
        <w:rPr>
          <w:rFonts w:ascii="宋体" w:hAnsi="宋体"/>
          <w:sz w:val="24"/>
        </w:rPr>
      </w:pPr>
      <w:r>
        <w:rPr>
          <w:rFonts w:hint="eastAsia" w:ascii="宋体" w:hAnsi="宋体"/>
          <w:sz w:val="24"/>
        </w:rPr>
        <w:t>我方申报的所有资料都是真实、准确、完整的；</w:t>
      </w:r>
    </w:p>
    <w:p>
      <w:pPr>
        <w:numPr>
          <w:ilvl w:val="0"/>
          <w:numId w:val="60"/>
        </w:numPr>
        <w:spacing w:line="360" w:lineRule="auto"/>
        <w:rPr>
          <w:rFonts w:ascii="宋体" w:hAnsi="宋体"/>
          <w:sz w:val="24"/>
        </w:rPr>
      </w:pPr>
      <w:r>
        <w:rPr>
          <w:rFonts w:hint="eastAsia" w:ascii="宋体" w:hAnsi="宋体"/>
          <w:sz w:val="24"/>
        </w:rPr>
        <w:t>我方无资质挂靠情形，保证不参与串标、围标及抬标；</w:t>
      </w:r>
    </w:p>
    <w:p>
      <w:pPr>
        <w:numPr>
          <w:ilvl w:val="0"/>
          <w:numId w:val="60"/>
        </w:numPr>
        <w:spacing w:line="360" w:lineRule="auto"/>
        <w:rPr>
          <w:rFonts w:ascii="宋体" w:hAnsi="宋体"/>
          <w:sz w:val="24"/>
        </w:rPr>
      </w:pPr>
      <w:r>
        <w:rPr>
          <w:rFonts w:hint="eastAsia" w:ascii="宋体" w:hAnsi="宋体"/>
          <w:sz w:val="24"/>
        </w:rPr>
        <w:t>我方未处于被各级行政主管部门做出停止市场行为处罚的期限内；</w:t>
      </w:r>
    </w:p>
    <w:p>
      <w:pPr>
        <w:numPr>
          <w:ilvl w:val="0"/>
          <w:numId w:val="60"/>
        </w:numPr>
        <w:spacing w:line="360" w:lineRule="auto"/>
        <w:rPr>
          <w:rFonts w:ascii="宋体" w:hAnsi="宋体"/>
          <w:sz w:val="24"/>
        </w:rPr>
      </w:pPr>
      <w:r>
        <w:rPr>
          <w:rFonts w:hint="eastAsia" w:ascii="宋体" w:hAnsi="宋体"/>
          <w:sz w:val="24"/>
        </w:rPr>
        <w:t>我方参加本项目政府采购活动前3年内在经营活动中没有重大违法记录、没有受到行政处罚、行政处理（含通报）或记入不良行为；</w:t>
      </w:r>
    </w:p>
    <w:p>
      <w:pPr>
        <w:numPr>
          <w:ilvl w:val="0"/>
          <w:numId w:val="60"/>
        </w:numPr>
        <w:spacing w:line="360" w:lineRule="auto"/>
        <w:rPr>
          <w:rFonts w:ascii="宋体" w:hAnsi="宋体"/>
          <w:sz w:val="24"/>
        </w:rPr>
      </w:pPr>
      <w:r>
        <w:rPr>
          <w:rFonts w:hint="eastAsia" w:ascii="宋体" w:hAnsi="宋体"/>
          <w:sz w:val="24"/>
        </w:rPr>
        <w:t>我方法人代表、主要负责人所在的公司在近三年内没有违法违规行为；</w:t>
      </w:r>
    </w:p>
    <w:p>
      <w:pPr>
        <w:numPr>
          <w:ilvl w:val="0"/>
          <w:numId w:val="60"/>
        </w:numPr>
        <w:spacing w:line="360" w:lineRule="auto"/>
        <w:rPr>
          <w:rFonts w:ascii="宋体" w:hAnsi="宋体"/>
          <w:sz w:val="24"/>
        </w:rPr>
      </w:pPr>
      <w:r>
        <w:rPr>
          <w:rFonts w:hint="eastAsia" w:ascii="宋体" w:hAnsi="宋体"/>
          <w:sz w:val="24"/>
        </w:rPr>
        <w:t>若我方中标，将严格按照规定及时与采购人签订合同；</w:t>
      </w:r>
    </w:p>
    <w:p>
      <w:pPr>
        <w:numPr>
          <w:ilvl w:val="0"/>
          <w:numId w:val="60"/>
        </w:numPr>
        <w:spacing w:line="360" w:lineRule="auto"/>
        <w:rPr>
          <w:rFonts w:ascii="宋体" w:hAnsi="宋体"/>
          <w:sz w:val="24"/>
        </w:rPr>
      </w:pPr>
      <w:r>
        <w:rPr>
          <w:rFonts w:hint="eastAsia" w:ascii="宋体" w:hAnsi="宋体"/>
          <w:sz w:val="24"/>
        </w:rPr>
        <w:t>若我方中标，将严格按照招标文件要求及投标文件承诺的报价、质量、服务期、投标方案、项目负责人等内容组织实施；</w:t>
      </w:r>
    </w:p>
    <w:p>
      <w:pPr>
        <w:spacing w:line="360" w:lineRule="auto"/>
        <w:ind w:firstLine="480" w:firstLineChars="200"/>
        <w:rPr>
          <w:rFonts w:ascii="宋体" w:hAnsi="宋体"/>
          <w:sz w:val="24"/>
        </w:rPr>
      </w:pPr>
      <w:r>
        <w:rPr>
          <w:rFonts w:hint="eastAsia" w:ascii="宋体" w:hAnsi="宋体"/>
          <w:sz w:val="24"/>
        </w:rPr>
        <w:t>我方若违反上述承诺，隐瞒、提供虚假资料或不按招标文件要求组织实施或参与串标、抬标及围标等行为，被贵方发现或被他人举报查实，无条件接受采购人、行政监管部门作出的取消投标资格、中标资格、解除合同、拒绝后续政府采购投标、不良行为记录等的处罚。对造成的损失，任何法律和经济责任完全由我方负责。</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r>
        <w:rPr>
          <w:rFonts w:hint="eastAsia" w:ascii="宋体" w:hAnsi="宋体"/>
          <w:bCs/>
          <w:sz w:val="24"/>
        </w:rPr>
        <w:t>投标人（盖章）</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投标人代表（签名）：＿＿＿＿＿＿＿＿＿＿＿＿＿＿＿      </w:t>
      </w: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年＿＿月＿＿日</w:t>
      </w:r>
    </w:p>
    <w:p>
      <w:pPr>
        <w:pStyle w:val="67"/>
        <w:spacing w:line="360" w:lineRule="auto"/>
        <w:rPr>
          <w:rFonts w:hAnsi="宋体"/>
          <w:sz w:val="24"/>
        </w:rPr>
      </w:pPr>
    </w:p>
    <w:p>
      <w:pPr>
        <w:pStyle w:val="67"/>
        <w:spacing w:line="360" w:lineRule="auto"/>
        <w:rPr>
          <w:rFonts w:hAnsi="宋体"/>
          <w:sz w:val="24"/>
        </w:rPr>
      </w:pPr>
    </w:p>
    <w:p>
      <w:pPr>
        <w:pStyle w:val="67"/>
        <w:spacing w:line="360" w:lineRule="auto"/>
        <w:rPr>
          <w:rFonts w:hAnsi="宋体"/>
          <w:sz w:val="24"/>
        </w:rPr>
      </w:pPr>
    </w:p>
    <w:p>
      <w:pPr>
        <w:pStyle w:val="67"/>
        <w:spacing w:line="360" w:lineRule="auto"/>
        <w:rPr>
          <w:rFonts w:hAnsi="宋体"/>
          <w:sz w:val="24"/>
        </w:rPr>
      </w:pPr>
    </w:p>
    <w:p>
      <w:pPr>
        <w:widowControl/>
        <w:jc w:val="left"/>
        <w:rPr>
          <w:rFonts w:ascii="Calibri" w:hAnsi="宋体"/>
          <w:b/>
          <w:sz w:val="24"/>
          <w:szCs w:val="22"/>
        </w:rPr>
      </w:pPr>
      <w:r>
        <w:rPr>
          <w:rFonts w:hAnsi="宋体"/>
          <w:b/>
        </w:rPr>
        <w:br w:type="page"/>
      </w:r>
    </w:p>
    <w:p>
      <w:pPr>
        <w:pStyle w:val="72"/>
        <w:numPr>
          <w:ilvl w:val="0"/>
          <w:numId w:val="57"/>
        </w:numPr>
        <w:snapToGrid w:val="0"/>
        <w:ind w:firstLineChars="0"/>
        <w:rPr>
          <w:rFonts w:hAnsi="宋体"/>
          <w:b/>
        </w:rPr>
      </w:pPr>
      <w:r>
        <w:rPr>
          <w:rFonts w:hint="eastAsia" w:hAnsi="宋体"/>
          <w:b/>
        </w:rPr>
        <w:t>同类项目业绩一览表（保洁）格式</w:t>
      </w:r>
    </w:p>
    <w:p>
      <w:pPr>
        <w:pStyle w:val="92"/>
        <w:spacing w:line="360" w:lineRule="auto"/>
        <w:jc w:val="center"/>
        <w:rPr>
          <w:rFonts w:hAnsi="宋体" w:eastAsia="宋体"/>
          <w:b/>
          <w:sz w:val="24"/>
          <w:szCs w:val="24"/>
        </w:rPr>
      </w:pPr>
      <w:r>
        <w:rPr>
          <w:rFonts w:hint="eastAsia" w:hAnsi="宋体" w:eastAsia="宋体"/>
          <w:b/>
          <w:sz w:val="24"/>
          <w:szCs w:val="24"/>
        </w:rPr>
        <w:t>同类项目业绩一览表（保洁）</w:t>
      </w:r>
    </w:p>
    <w:tbl>
      <w:tblPr>
        <w:tblStyle w:val="40"/>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295"/>
        <w:gridCol w:w="1489"/>
        <w:gridCol w:w="1936"/>
        <w:gridCol w:w="1311"/>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1" w:type="dxa"/>
            <w:vAlign w:val="center"/>
          </w:tcPr>
          <w:p>
            <w:pPr>
              <w:jc w:val="center"/>
              <w:rPr>
                <w:rFonts w:ascii="宋体" w:hAnsi="宋体"/>
                <w:b/>
                <w:szCs w:val="21"/>
              </w:rPr>
            </w:pPr>
            <w:r>
              <w:rPr>
                <w:rFonts w:hint="eastAsia" w:ascii="宋体" w:hAnsi="宋体"/>
                <w:b/>
                <w:szCs w:val="21"/>
              </w:rPr>
              <w:t>序号</w:t>
            </w:r>
          </w:p>
        </w:tc>
        <w:tc>
          <w:tcPr>
            <w:tcW w:w="2295" w:type="dxa"/>
            <w:vAlign w:val="center"/>
          </w:tcPr>
          <w:p>
            <w:pPr>
              <w:jc w:val="center"/>
              <w:rPr>
                <w:rFonts w:ascii="宋体" w:hAnsi="宋体"/>
                <w:b/>
                <w:szCs w:val="21"/>
              </w:rPr>
            </w:pPr>
            <w:r>
              <w:rPr>
                <w:rFonts w:hint="eastAsia" w:ascii="宋体" w:hAnsi="宋体"/>
                <w:b/>
                <w:szCs w:val="21"/>
              </w:rPr>
              <w:t>采购人名称</w:t>
            </w:r>
          </w:p>
        </w:tc>
        <w:tc>
          <w:tcPr>
            <w:tcW w:w="1489" w:type="dxa"/>
            <w:vAlign w:val="center"/>
          </w:tcPr>
          <w:p>
            <w:pPr>
              <w:jc w:val="center"/>
              <w:rPr>
                <w:rFonts w:ascii="宋体" w:hAnsi="宋体"/>
                <w:b/>
                <w:szCs w:val="21"/>
              </w:rPr>
            </w:pPr>
            <w:r>
              <w:rPr>
                <w:rFonts w:hint="eastAsia" w:ascii="宋体" w:hAnsi="宋体"/>
                <w:b/>
                <w:szCs w:val="21"/>
              </w:rPr>
              <w:t>项目名称</w:t>
            </w:r>
          </w:p>
        </w:tc>
        <w:tc>
          <w:tcPr>
            <w:tcW w:w="1936" w:type="dxa"/>
            <w:vAlign w:val="center"/>
          </w:tcPr>
          <w:p>
            <w:pPr>
              <w:tabs>
                <w:tab w:val="left" w:pos="6252"/>
              </w:tabs>
              <w:jc w:val="center"/>
              <w:rPr>
                <w:rFonts w:ascii="宋体" w:hAnsi="宋体"/>
                <w:b/>
                <w:szCs w:val="21"/>
              </w:rPr>
            </w:pPr>
            <w:r>
              <w:rPr>
                <w:rFonts w:hint="eastAsia" w:ascii="宋体" w:hAnsi="宋体"/>
                <w:b/>
                <w:szCs w:val="21"/>
              </w:rPr>
              <w:t>规模</w:t>
            </w:r>
          </w:p>
        </w:tc>
        <w:tc>
          <w:tcPr>
            <w:tcW w:w="1311" w:type="dxa"/>
            <w:vAlign w:val="center"/>
          </w:tcPr>
          <w:p>
            <w:pPr>
              <w:tabs>
                <w:tab w:val="left" w:pos="6252"/>
              </w:tabs>
              <w:jc w:val="center"/>
              <w:rPr>
                <w:rFonts w:ascii="宋体" w:hAnsi="宋体"/>
                <w:b/>
                <w:szCs w:val="21"/>
              </w:rPr>
            </w:pPr>
            <w:r>
              <w:rPr>
                <w:rFonts w:hint="eastAsia" w:ascii="宋体" w:hAnsi="宋体"/>
                <w:b/>
                <w:szCs w:val="21"/>
              </w:rPr>
              <w:t>合同金额</w:t>
            </w:r>
          </w:p>
          <w:p>
            <w:pPr>
              <w:tabs>
                <w:tab w:val="left" w:pos="6252"/>
              </w:tabs>
              <w:jc w:val="center"/>
              <w:rPr>
                <w:rFonts w:ascii="宋体" w:hAnsi="宋体"/>
                <w:b/>
                <w:szCs w:val="21"/>
              </w:rPr>
            </w:pPr>
            <w:r>
              <w:rPr>
                <w:rFonts w:hint="eastAsia" w:ascii="宋体" w:hAnsi="宋体"/>
                <w:b/>
                <w:szCs w:val="21"/>
              </w:rPr>
              <w:t>（万元）</w:t>
            </w:r>
          </w:p>
        </w:tc>
        <w:tc>
          <w:tcPr>
            <w:tcW w:w="1822" w:type="dxa"/>
            <w:vAlign w:val="center"/>
          </w:tcPr>
          <w:p>
            <w:pPr>
              <w:tabs>
                <w:tab w:val="left" w:pos="6252"/>
              </w:tabs>
              <w:jc w:val="center"/>
              <w:rPr>
                <w:rFonts w:ascii="宋体" w:hAnsi="宋体"/>
                <w:b/>
                <w:szCs w:val="21"/>
              </w:rPr>
            </w:pPr>
            <w:r>
              <w:rPr>
                <w:rFonts w:hint="eastAsia" w:ascii="宋体" w:hAnsi="宋体"/>
                <w:b/>
                <w:szCs w:val="21"/>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31" w:type="dxa"/>
            <w:vAlign w:val="center"/>
          </w:tcPr>
          <w:p>
            <w:pPr>
              <w:jc w:val="center"/>
              <w:rPr>
                <w:rFonts w:ascii="宋体" w:hAnsi="宋体"/>
                <w:szCs w:val="21"/>
              </w:rPr>
            </w:pPr>
            <w:r>
              <w:rPr>
                <w:rFonts w:hint="eastAsia" w:ascii="宋体" w:hAnsi="宋体"/>
                <w:szCs w:val="21"/>
              </w:rPr>
              <w:t>1</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1" w:type="dxa"/>
            <w:vAlign w:val="center"/>
          </w:tcPr>
          <w:p>
            <w:pPr>
              <w:jc w:val="center"/>
              <w:rPr>
                <w:rFonts w:ascii="宋体" w:hAnsi="宋体"/>
                <w:szCs w:val="21"/>
              </w:rPr>
            </w:pPr>
            <w:r>
              <w:rPr>
                <w:rFonts w:hint="eastAsia" w:ascii="宋体" w:hAnsi="宋体"/>
                <w:szCs w:val="21"/>
              </w:rPr>
              <w:t>2</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31" w:type="dxa"/>
            <w:vAlign w:val="center"/>
          </w:tcPr>
          <w:p>
            <w:pPr>
              <w:jc w:val="center"/>
              <w:rPr>
                <w:rFonts w:ascii="宋体" w:hAnsi="宋体"/>
                <w:szCs w:val="21"/>
              </w:rPr>
            </w:pPr>
            <w:r>
              <w:rPr>
                <w:rFonts w:hint="eastAsia" w:ascii="宋体" w:hAnsi="宋体"/>
                <w:szCs w:val="21"/>
              </w:rPr>
              <w:t>3</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31" w:type="dxa"/>
            <w:vAlign w:val="center"/>
          </w:tcPr>
          <w:p>
            <w:pPr>
              <w:jc w:val="center"/>
              <w:rPr>
                <w:rFonts w:ascii="宋体" w:hAnsi="宋体"/>
                <w:szCs w:val="21"/>
              </w:rPr>
            </w:pPr>
            <w:r>
              <w:rPr>
                <w:rFonts w:hint="eastAsia" w:ascii="宋体" w:hAnsi="宋体"/>
                <w:szCs w:val="21"/>
              </w:rPr>
              <w:t>……</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bl>
    <w:p>
      <w:pPr>
        <w:pStyle w:val="91"/>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注：本表业绩为投标人近三年（自投标截止之日起向前追溯三年，以合同签订时间为准）承接的保洁服务（如合同包括保洁及其他内容的，评标以保洁部分价格为准，合同中未注明保洁金额的，需提供相关证明材料），后附合同及证明材料复印件。</w:t>
      </w:r>
    </w:p>
    <w:p>
      <w:pPr>
        <w:snapToGrid w:val="0"/>
        <w:spacing w:beforeLines="50" w:line="400" w:lineRule="exact"/>
        <w:ind w:firstLine="200"/>
        <w:rPr>
          <w:rFonts w:ascii="宋体" w:hAnsi="宋体"/>
          <w:b/>
          <w:szCs w:val="21"/>
        </w:rPr>
      </w:pPr>
    </w:p>
    <w:p>
      <w:pPr>
        <w:snapToGrid w:val="0"/>
        <w:spacing w:beforeLines="50" w:line="400" w:lineRule="exact"/>
        <w:ind w:firstLine="200"/>
        <w:rPr>
          <w:rFonts w:ascii="宋体" w:hAnsi="宋体"/>
          <w:sz w:val="24"/>
          <w:szCs w:val="20"/>
          <w:u w:val="single"/>
        </w:rPr>
      </w:pPr>
      <w:r>
        <w:rPr>
          <w:rFonts w:hint="eastAsia" w:ascii="宋体" w:hAnsi="宋体"/>
          <w:sz w:val="24"/>
        </w:rPr>
        <w:t>被授权人签字（或盖章）：</w:t>
      </w:r>
      <w:r>
        <w:rPr>
          <w:rFonts w:ascii="宋体" w:hAnsi="宋体"/>
          <w:sz w:val="24"/>
          <w:u w:val="single"/>
        </w:rPr>
        <w:t xml:space="preserve">             </w:t>
      </w:r>
    </w:p>
    <w:p>
      <w:pPr>
        <w:snapToGrid w:val="0"/>
        <w:spacing w:beforeLines="50" w:after="50" w:line="400" w:lineRule="exact"/>
        <w:ind w:firstLine="240" w:firstLineChars="100"/>
        <w:rPr>
          <w:rFonts w:hAnsi="宋体"/>
          <w:sz w:val="24"/>
        </w:rPr>
      </w:pPr>
      <w:r>
        <w:rPr>
          <w:rFonts w:hint="eastAsia" w:ascii="宋体" w:hAnsi="宋体"/>
          <w:sz w:val="24"/>
        </w:rPr>
        <w:t>投标人（盖章）</w:t>
      </w:r>
      <w:r>
        <w:rPr>
          <w:rFonts w:hint="eastAsia" w:hAnsi="宋体"/>
          <w:sz w:val="24"/>
        </w:rPr>
        <w:t>：</w:t>
      </w:r>
      <w:r>
        <w:rPr>
          <w:rFonts w:hAnsi="宋体"/>
          <w:sz w:val="24"/>
        </w:rPr>
        <w:t xml:space="preserve">    </w:t>
      </w:r>
    </w:p>
    <w:p>
      <w:pPr>
        <w:snapToGrid w:val="0"/>
        <w:spacing w:beforeLines="50" w:after="50" w:line="400" w:lineRule="exact"/>
        <w:ind w:firstLine="240" w:firstLineChars="100"/>
        <w:rPr>
          <w:rFonts w:hAnsi="宋体"/>
          <w:sz w:val="24"/>
        </w:rPr>
      </w:pPr>
      <w:r>
        <w:rPr>
          <w:rFonts w:ascii="宋体" w:hAnsi="宋体"/>
          <w:sz w:val="24"/>
        </w:rPr>
        <w:t xml:space="preserve">                 </w:t>
      </w:r>
      <w:r>
        <w:rPr>
          <w:rFonts w:hint="eastAsia" w:ascii="宋体"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p>
    <w:p>
      <w:pPr>
        <w:pStyle w:val="67"/>
        <w:spacing w:line="360" w:lineRule="auto"/>
        <w:rPr>
          <w:rFonts w:hAnsi="宋体" w:eastAsia="宋体"/>
          <w:b/>
          <w:sz w:val="24"/>
          <w:szCs w:val="24"/>
        </w:rPr>
      </w:pPr>
    </w:p>
    <w:p>
      <w:pPr>
        <w:pStyle w:val="67"/>
        <w:spacing w:line="360" w:lineRule="auto"/>
        <w:ind w:right="480"/>
        <w:rPr>
          <w:rFonts w:hAnsi="宋体" w:eastAsia="宋体"/>
          <w:sz w:val="24"/>
          <w:szCs w:val="24"/>
        </w:rPr>
      </w:pPr>
    </w:p>
    <w:p>
      <w:pPr>
        <w:widowControl/>
        <w:jc w:val="left"/>
        <w:rPr>
          <w:rFonts w:hAnsi="宋体"/>
          <w:b/>
        </w:rPr>
      </w:pPr>
      <w:r>
        <w:rPr>
          <w:rFonts w:hAnsi="宋体"/>
          <w:b/>
        </w:rPr>
        <w:br w:type="page"/>
      </w:r>
    </w:p>
    <w:p>
      <w:pPr>
        <w:pStyle w:val="72"/>
        <w:numPr>
          <w:ilvl w:val="0"/>
          <w:numId w:val="57"/>
        </w:numPr>
        <w:snapToGrid w:val="0"/>
        <w:ind w:firstLineChars="0"/>
        <w:rPr>
          <w:rFonts w:hAnsi="宋体"/>
          <w:b/>
        </w:rPr>
      </w:pPr>
      <w:r>
        <w:rPr>
          <w:rFonts w:hint="eastAsia" w:hAnsi="宋体"/>
          <w:b/>
        </w:rPr>
        <w:t>同类项目业绩一览表（</w:t>
      </w:r>
      <w:r>
        <w:rPr>
          <w:rFonts w:hint="eastAsia" w:ascii="宋体" w:hAnsi="宋体"/>
          <w:b/>
          <w:szCs w:val="24"/>
        </w:rPr>
        <w:t>公共服务管理或物业管理</w:t>
      </w:r>
      <w:r>
        <w:rPr>
          <w:rFonts w:hint="eastAsia" w:hAnsi="宋体"/>
          <w:b/>
        </w:rPr>
        <w:t>）格式</w:t>
      </w:r>
    </w:p>
    <w:p>
      <w:pPr>
        <w:pStyle w:val="92"/>
        <w:spacing w:line="360" w:lineRule="auto"/>
        <w:jc w:val="center"/>
        <w:rPr>
          <w:rFonts w:hAnsi="宋体" w:eastAsia="宋体"/>
          <w:b/>
          <w:sz w:val="24"/>
          <w:szCs w:val="24"/>
        </w:rPr>
      </w:pPr>
      <w:r>
        <w:rPr>
          <w:rFonts w:hint="eastAsia" w:hAnsi="宋体" w:eastAsia="宋体"/>
          <w:b/>
          <w:sz w:val="24"/>
          <w:szCs w:val="24"/>
        </w:rPr>
        <w:t>同类项目业绩一览表（公共服务管理或物业管理）</w:t>
      </w:r>
    </w:p>
    <w:tbl>
      <w:tblPr>
        <w:tblStyle w:val="40"/>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295"/>
        <w:gridCol w:w="1489"/>
        <w:gridCol w:w="1936"/>
        <w:gridCol w:w="1311"/>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1" w:type="dxa"/>
            <w:vAlign w:val="center"/>
          </w:tcPr>
          <w:p>
            <w:pPr>
              <w:jc w:val="center"/>
              <w:rPr>
                <w:rFonts w:ascii="宋体" w:hAnsi="宋体"/>
                <w:b/>
                <w:szCs w:val="21"/>
              </w:rPr>
            </w:pPr>
            <w:r>
              <w:rPr>
                <w:rFonts w:hint="eastAsia" w:ascii="宋体" w:hAnsi="宋体"/>
                <w:b/>
                <w:szCs w:val="21"/>
              </w:rPr>
              <w:t>序号</w:t>
            </w:r>
          </w:p>
        </w:tc>
        <w:tc>
          <w:tcPr>
            <w:tcW w:w="2295" w:type="dxa"/>
            <w:vAlign w:val="center"/>
          </w:tcPr>
          <w:p>
            <w:pPr>
              <w:jc w:val="center"/>
              <w:rPr>
                <w:rFonts w:ascii="宋体" w:hAnsi="宋体"/>
                <w:b/>
                <w:szCs w:val="21"/>
              </w:rPr>
            </w:pPr>
            <w:r>
              <w:rPr>
                <w:rFonts w:hint="eastAsia" w:ascii="宋体" w:hAnsi="宋体"/>
                <w:b/>
                <w:szCs w:val="21"/>
              </w:rPr>
              <w:t>采购人名称</w:t>
            </w:r>
          </w:p>
        </w:tc>
        <w:tc>
          <w:tcPr>
            <w:tcW w:w="1489" w:type="dxa"/>
            <w:vAlign w:val="center"/>
          </w:tcPr>
          <w:p>
            <w:pPr>
              <w:jc w:val="center"/>
              <w:rPr>
                <w:rFonts w:ascii="宋体" w:hAnsi="宋体"/>
                <w:b/>
                <w:szCs w:val="21"/>
              </w:rPr>
            </w:pPr>
            <w:r>
              <w:rPr>
                <w:rFonts w:hint="eastAsia" w:ascii="宋体" w:hAnsi="宋体"/>
                <w:b/>
                <w:szCs w:val="21"/>
              </w:rPr>
              <w:t>项目名称</w:t>
            </w:r>
          </w:p>
        </w:tc>
        <w:tc>
          <w:tcPr>
            <w:tcW w:w="1936" w:type="dxa"/>
            <w:vAlign w:val="center"/>
          </w:tcPr>
          <w:p>
            <w:pPr>
              <w:tabs>
                <w:tab w:val="left" w:pos="6252"/>
              </w:tabs>
              <w:jc w:val="center"/>
              <w:rPr>
                <w:rFonts w:ascii="宋体" w:hAnsi="宋体"/>
                <w:b/>
                <w:szCs w:val="21"/>
              </w:rPr>
            </w:pPr>
            <w:r>
              <w:rPr>
                <w:rFonts w:hint="eastAsia" w:ascii="宋体" w:hAnsi="宋体"/>
                <w:b/>
                <w:szCs w:val="21"/>
              </w:rPr>
              <w:t>规模</w:t>
            </w:r>
          </w:p>
        </w:tc>
        <w:tc>
          <w:tcPr>
            <w:tcW w:w="1311" w:type="dxa"/>
            <w:vAlign w:val="center"/>
          </w:tcPr>
          <w:p>
            <w:pPr>
              <w:tabs>
                <w:tab w:val="left" w:pos="6252"/>
              </w:tabs>
              <w:jc w:val="center"/>
              <w:rPr>
                <w:rFonts w:ascii="宋体" w:hAnsi="宋体"/>
                <w:b/>
                <w:szCs w:val="21"/>
              </w:rPr>
            </w:pPr>
            <w:r>
              <w:rPr>
                <w:rFonts w:hint="eastAsia" w:ascii="宋体" w:hAnsi="宋体"/>
                <w:b/>
                <w:szCs w:val="21"/>
              </w:rPr>
              <w:t>合同金额</w:t>
            </w:r>
          </w:p>
          <w:p>
            <w:pPr>
              <w:tabs>
                <w:tab w:val="left" w:pos="6252"/>
              </w:tabs>
              <w:jc w:val="center"/>
              <w:rPr>
                <w:rFonts w:ascii="宋体" w:hAnsi="宋体"/>
                <w:b/>
                <w:szCs w:val="21"/>
              </w:rPr>
            </w:pPr>
            <w:r>
              <w:rPr>
                <w:rFonts w:hint="eastAsia" w:ascii="宋体" w:hAnsi="宋体"/>
                <w:b/>
                <w:szCs w:val="21"/>
              </w:rPr>
              <w:t>（万元）</w:t>
            </w:r>
          </w:p>
        </w:tc>
        <w:tc>
          <w:tcPr>
            <w:tcW w:w="1822" w:type="dxa"/>
            <w:vAlign w:val="center"/>
          </w:tcPr>
          <w:p>
            <w:pPr>
              <w:tabs>
                <w:tab w:val="left" w:pos="6252"/>
              </w:tabs>
              <w:jc w:val="center"/>
              <w:rPr>
                <w:rFonts w:ascii="宋体" w:hAnsi="宋体"/>
                <w:b/>
                <w:szCs w:val="21"/>
              </w:rPr>
            </w:pPr>
            <w:r>
              <w:rPr>
                <w:rFonts w:hint="eastAsia" w:ascii="宋体" w:hAnsi="宋体"/>
                <w:b/>
                <w:szCs w:val="21"/>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31" w:type="dxa"/>
            <w:vAlign w:val="center"/>
          </w:tcPr>
          <w:p>
            <w:pPr>
              <w:jc w:val="center"/>
              <w:rPr>
                <w:rFonts w:ascii="宋体" w:hAnsi="宋体"/>
                <w:szCs w:val="21"/>
              </w:rPr>
            </w:pPr>
            <w:r>
              <w:rPr>
                <w:rFonts w:hint="eastAsia" w:ascii="宋体" w:hAnsi="宋体"/>
                <w:szCs w:val="21"/>
              </w:rPr>
              <w:t>1</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31" w:type="dxa"/>
            <w:vAlign w:val="center"/>
          </w:tcPr>
          <w:p>
            <w:pPr>
              <w:jc w:val="center"/>
              <w:rPr>
                <w:rFonts w:ascii="宋体" w:hAnsi="宋体"/>
                <w:szCs w:val="21"/>
              </w:rPr>
            </w:pPr>
            <w:r>
              <w:rPr>
                <w:rFonts w:hint="eastAsia" w:ascii="宋体" w:hAnsi="宋体"/>
                <w:szCs w:val="21"/>
              </w:rPr>
              <w:t>2</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31" w:type="dxa"/>
            <w:vAlign w:val="center"/>
          </w:tcPr>
          <w:p>
            <w:pPr>
              <w:jc w:val="center"/>
              <w:rPr>
                <w:rFonts w:ascii="宋体" w:hAnsi="宋体"/>
                <w:szCs w:val="21"/>
              </w:rPr>
            </w:pPr>
            <w:r>
              <w:rPr>
                <w:rFonts w:hint="eastAsia" w:ascii="宋体" w:hAnsi="宋体"/>
                <w:szCs w:val="21"/>
              </w:rPr>
              <w:t>3</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31" w:type="dxa"/>
            <w:vAlign w:val="center"/>
          </w:tcPr>
          <w:p>
            <w:pPr>
              <w:jc w:val="center"/>
              <w:rPr>
                <w:rFonts w:ascii="宋体" w:hAnsi="宋体"/>
                <w:szCs w:val="21"/>
              </w:rPr>
            </w:pPr>
            <w:r>
              <w:rPr>
                <w:rFonts w:hint="eastAsia" w:ascii="宋体" w:hAnsi="宋体"/>
                <w:szCs w:val="21"/>
              </w:rPr>
              <w:t>……</w:t>
            </w:r>
          </w:p>
        </w:tc>
        <w:tc>
          <w:tcPr>
            <w:tcW w:w="2295" w:type="dxa"/>
            <w:vAlign w:val="center"/>
          </w:tcPr>
          <w:p>
            <w:pPr>
              <w:jc w:val="center"/>
              <w:rPr>
                <w:rFonts w:ascii="宋体" w:hAnsi="宋体"/>
                <w:szCs w:val="21"/>
              </w:rPr>
            </w:pPr>
          </w:p>
        </w:tc>
        <w:tc>
          <w:tcPr>
            <w:tcW w:w="1489" w:type="dxa"/>
          </w:tcPr>
          <w:p>
            <w:pPr>
              <w:jc w:val="center"/>
              <w:rPr>
                <w:rFonts w:ascii="宋体" w:hAnsi="宋体"/>
                <w:szCs w:val="21"/>
              </w:rPr>
            </w:pPr>
          </w:p>
        </w:tc>
        <w:tc>
          <w:tcPr>
            <w:tcW w:w="1936" w:type="dxa"/>
          </w:tcPr>
          <w:p>
            <w:pPr>
              <w:jc w:val="center"/>
              <w:rPr>
                <w:rFonts w:ascii="宋体" w:hAnsi="宋体"/>
                <w:szCs w:val="21"/>
              </w:rPr>
            </w:pPr>
          </w:p>
        </w:tc>
        <w:tc>
          <w:tcPr>
            <w:tcW w:w="1311" w:type="dxa"/>
            <w:vAlign w:val="center"/>
          </w:tcPr>
          <w:p>
            <w:pPr>
              <w:jc w:val="center"/>
              <w:rPr>
                <w:rFonts w:ascii="宋体" w:hAnsi="宋体"/>
                <w:szCs w:val="21"/>
              </w:rPr>
            </w:pPr>
          </w:p>
        </w:tc>
        <w:tc>
          <w:tcPr>
            <w:tcW w:w="1822" w:type="dxa"/>
            <w:vAlign w:val="center"/>
          </w:tcPr>
          <w:p>
            <w:pPr>
              <w:jc w:val="center"/>
              <w:rPr>
                <w:rFonts w:ascii="宋体" w:hAnsi="宋体"/>
                <w:szCs w:val="21"/>
              </w:rPr>
            </w:pPr>
          </w:p>
        </w:tc>
      </w:tr>
    </w:tbl>
    <w:p>
      <w:pPr>
        <w:pStyle w:val="91"/>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注：本表业绩为投标人近三年（自投标截止之日起向前追溯三年，以合同签订时间为准）承接的公共服务管理或物业管理业绩（如合同中未注明面积的，需提供相关证明材料），后附合同及证明材料复印件。</w:t>
      </w:r>
    </w:p>
    <w:p>
      <w:pPr>
        <w:snapToGrid w:val="0"/>
        <w:spacing w:beforeLines="50" w:line="400" w:lineRule="exact"/>
        <w:ind w:firstLine="200"/>
        <w:rPr>
          <w:rFonts w:ascii="宋体" w:hAnsi="宋体"/>
          <w:b/>
          <w:szCs w:val="21"/>
        </w:rPr>
      </w:pPr>
    </w:p>
    <w:p>
      <w:pPr>
        <w:snapToGrid w:val="0"/>
        <w:spacing w:beforeLines="50" w:line="400" w:lineRule="exact"/>
        <w:ind w:firstLine="200"/>
        <w:rPr>
          <w:rFonts w:ascii="宋体" w:hAnsi="宋体"/>
          <w:sz w:val="24"/>
          <w:szCs w:val="20"/>
          <w:u w:val="single"/>
        </w:rPr>
      </w:pPr>
      <w:r>
        <w:rPr>
          <w:rFonts w:hint="eastAsia" w:ascii="宋体" w:hAnsi="宋体"/>
          <w:sz w:val="24"/>
        </w:rPr>
        <w:t>被授权人签字（或盖章）：</w:t>
      </w:r>
      <w:r>
        <w:rPr>
          <w:rFonts w:ascii="宋体" w:hAnsi="宋体"/>
          <w:sz w:val="24"/>
          <w:u w:val="single"/>
        </w:rPr>
        <w:t xml:space="preserve">             </w:t>
      </w:r>
    </w:p>
    <w:p>
      <w:pPr>
        <w:snapToGrid w:val="0"/>
        <w:spacing w:beforeLines="50" w:after="50" w:line="400" w:lineRule="exact"/>
        <w:ind w:firstLine="240" w:firstLineChars="100"/>
        <w:rPr>
          <w:rFonts w:hAnsi="宋体"/>
          <w:sz w:val="24"/>
        </w:rPr>
      </w:pPr>
      <w:r>
        <w:rPr>
          <w:rFonts w:hint="eastAsia" w:ascii="宋体" w:hAnsi="宋体"/>
          <w:sz w:val="24"/>
        </w:rPr>
        <w:t>投标人（盖章）</w:t>
      </w:r>
      <w:r>
        <w:rPr>
          <w:rFonts w:hint="eastAsia" w:hAnsi="宋体"/>
          <w:sz w:val="24"/>
        </w:rPr>
        <w:t>：</w:t>
      </w:r>
      <w:r>
        <w:rPr>
          <w:rFonts w:hAnsi="宋体"/>
          <w:sz w:val="24"/>
        </w:rPr>
        <w:t xml:space="preserve">    </w:t>
      </w:r>
    </w:p>
    <w:p>
      <w:pPr>
        <w:snapToGrid w:val="0"/>
        <w:spacing w:beforeLines="50" w:after="50" w:line="400" w:lineRule="exact"/>
        <w:ind w:firstLine="240" w:firstLineChars="100"/>
        <w:rPr>
          <w:rFonts w:hAnsi="宋体"/>
          <w:sz w:val="24"/>
        </w:rPr>
      </w:pPr>
      <w:r>
        <w:rPr>
          <w:rFonts w:ascii="宋体" w:hAnsi="宋体"/>
          <w:sz w:val="24"/>
        </w:rPr>
        <w:t xml:space="preserve">                 </w:t>
      </w:r>
      <w:r>
        <w:rPr>
          <w:rFonts w:hint="eastAsia" w:ascii="宋体"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p>
    <w:p>
      <w:pPr>
        <w:widowControl/>
        <w:jc w:val="left"/>
        <w:rPr>
          <w:rFonts w:hAnsi="宋体"/>
          <w:b/>
        </w:rPr>
      </w:pPr>
      <w:r>
        <w:rPr>
          <w:rFonts w:hAnsi="宋体"/>
          <w:b/>
        </w:rPr>
        <w:br w:type="page"/>
      </w:r>
    </w:p>
    <w:p>
      <w:pPr>
        <w:pStyle w:val="72"/>
        <w:numPr>
          <w:ilvl w:val="0"/>
          <w:numId w:val="57"/>
        </w:numPr>
        <w:snapToGrid w:val="0"/>
        <w:ind w:firstLineChars="0"/>
        <w:rPr>
          <w:rFonts w:hAnsi="宋体"/>
          <w:b/>
        </w:rPr>
      </w:pPr>
      <w:r>
        <w:rPr>
          <w:rFonts w:hint="eastAsia" w:hAnsi="宋体"/>
          <w:b/>
        </w:rPr>
        <w:t>拟投入本项目人员一览表格式</w:t>
      </w:r>
    </w:p>
    <w:p>
      <w:pPr>
        <w:spacing w:line="380" w:lineRule="exact"/>
        <w:jc w:val="center"/>
        <w:rPr>
          <w:rFonts w:hAnsi="宋体"/>
          <w:b/>
        </w:rPr>
      </w:pPr>
    </w:p>
    <w:p>
      <w:pPr>
        <w:spacing w:line="380" w:lineRule="exact"/>
        <w:jc w:val="center"/>
        <w:rPr>
          <w:rFonts w:ascii="宋体" w:hAnsi="宋体"/>
          <w:b/>
          <w:bCs/>
          <w:sz w:val="36"/>
          <w:szCs w:val="36"/>
        </w:rPr>
      </w:pPr>
      <w:r>
        <w:rPr>
          <w:rFonts w:hint="eastAsia" w:ascii="宋体" w:hAnsi="宋体"/>
          <w:b/>
          <w:bCs/>
          <w:sz w:val="36"/>
          <w:szCs w:val="36"/>
        </w:rPr>
        <w:t>拟投入本项目人员一览表</w:t>
      </w:r>
    </w:p>
    <w:tbl>
      <w:tblPr>
        <w:tblStyle w:val="40"/>
        <w:tblW w:w="96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
        <w:gridCol w:w="1567"/>
        <w:gridCol w:w="988"/>
        <w:gridCol w:w="997"/>
        <w:gridCol w:w="992"/>
        <w:gridCol w:w="1418"/>
        <w:gridCol w:w="1275"/>
        <w:gridCol w:w="15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序号</w:t>
            </w: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姓名</w:t>
            </w:r>
          </w:p>
        </w:tc>
        <w:tc>
          <w:tcPr>
            <w:tcW w:w="988"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性别</w:t>
            </w:r>
          </w:p>
        </w:tc>
        <w:tc>
          <w:tcPr>
            <w:tcW w:w="99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年龄</w:t>
            </w: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学历</w:t>
            </w:r>
          </w:p>
        </w:tc>
        <w:tc>
          <w:tcPr>
            <w:tcW w:w="1418"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从事本工作时间</w:t>
            </w: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本项目岗位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1</w:t>
            </w: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2</w:t>
            </w: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3</w:t>
            </w: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4</w:t>
            </w: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5</w:t>
            </w: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w:t>
            </w:r>
          </w:p>
        </w:tc>
        <w:tc>
          <w:tcPr>
            <w:tcW w:w="156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9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6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pStyle w:val="72"/>
        <w:autoSpaceDE w:val="0"/>
        <w:autoSpaceDN w:val="0"/>
        <w:adjustRightInd w:val="0"/>
        <w:snapToGrid w:val="0"/>
        <w:spacing w:before="120" w:after="120" w:line="240" w:lineRule="auto"/>
        <w:ind w:firstLine="0" w:firstLineChars="0"/>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注：本表只需填写拟投入本项目的现有人员，人员相关证书复印件、开标截止期前半年内任何连续三个月投标人或其分支机构为其缴纳的社保证明材料复印件(社保部门盖章的参保证明复印件，或者经由社保系统自助拉取的参保证明)、评标办法中需要的相关服务合同或从业证明材料（如有）。</w:t>
      </w:r>
    </w:p>
    <w:p>
      <w:pPr>
        <w:pStyle w:val="72"/>
        <w:autoSpaceDE w:val="0"/>
        <w:autoSpaceDN w:val="0"/>
        <w:adjustRightInd w:val="0"/>
        <w:snapToGrid w:val="0"/>
        <w:spacing w:before="120" w:after="120" w:line="240" w:lineRule="auto"/>
        <w:ind w:firstLine="0" w:firstLineChars="0"/>
        <w:jc w:val="left"/>
        <w:rPr>
          <w:rFonts w:cs="宋体" w:asciiTheme="minorEastAsia" w:hAnsiTheme="minorEastAsia" w:eastAsiaTheme="minorEastAsia"/>
          <w:color w:val="FF0000"/>
          <w:kern w:val="0"/>
          <w:szCs w:val="21"/>
        </w:rPr>
      </w:pPr>
    </w:p>
    <w:p>
      <w:pPr>
        <w:spacing w:line="380" w:lineRule="exact"/>
        <w:rPr>
          <w:rFonts w:ascii="宋体" w:hAnsi="宋体"/>
          <w:bCs/>
          <w:sz w:val="24"/>
        </w:rPr>
      </w:pPr>
    </w:p>
    <w:p>
      <w:pPr>
        <w:spacing w:line="480" w:lineRule="auto"/>
        <w:ind w:firstLine="566" w:firstLineChars="236"/>
        <w:jc w:val="left"/>
        <w:rPr>
          <w:rFonts w:ascii="宋体" w:hAnsi="宋体"/>
          <w:sz w:val="24"/>
        </w:rPr>
      </w:pPr>
      <w:r>
        <w:rPr>
          <w:rFonts w:hint="eastAsia" w:ascii="宋体" w:hAnsi="宋体"/>
          <w:sz w:val="24"/>
        </w:rPr>
        <w:t xml:space="preserve">投标人 (盖章)： </w:t>
      </w:r>
    </w:p>
    <w:p>
      <w:pPr>
        <w:spacing w:line="480" w:lineRule="auto"/>
        <w:ind w:firstLine="566" w:firstLineChars="236"/>
        <w:jc w:val="left"/>
        <w:rPr>
          <w:rFonts w:ascii="宋体" w:hAnsi="宋体"/>
          <w:sz w:val="24"/>
        </w:rPr>
      </w:pPr>
      <w:r>
        <w:rPr>
          <w:rFonts w:hint="eastAsia" w:ascii="宋体" w:hAnsi="宋体"/>
          <w:sz w:val="24"/>
        </w:rPr>
        <w:t>法定代表人或授权代表人（签字或盖章）：</w:t>
      </w:r>
    </w:p>
    <w:p>
      <w:pPr>
        <w:spacing w:line="480" w:lineRule="auto"/>
        <w:ind w:firstLine="566" w:firstLineChars="236"/>
        <w:jc w:val="left"/>
        <w:rPr>
          <w:rFonts w:ascii="宋体" w:hAnsi="宋体"/>
          <w:sz w:val="24"/>
        </w:rPr>
      </w:pPr>
      <w:r>
        <w:rPr>
          <w:rFonts w:hint="eastAsia" w:ascii="宋体" w:hAnsi="宋体"/>
          <w:sz w:val="24"/>
        </w:rPr>
        <w:t>日期：</w:t>
      </w:r>
    </w:p>
    <w:p>
      <w:pPr>
        <w:widowControl/>
        <w:jc w:val="left"/>
        <w:rPr>
          <w:rFonts w:ascii="Calibri" w:hAnsi="宋体"/>
          <w:b/>
          <w:sz w:val="24"/>
          <w:szCs w:val="22"/>
        </w:rPr>
      </w:pPr>
      <w:r>
        <w:rPr>
          <w:rFonts w:hAnsi="宋体"/>
          <w:b/>
        </w:rPr>
        <w:br w:type="page"/>
      </w:r>
    </w:p>
    <w:p>
      <w:pPr>
        <w:pStyle w:val="72"/>
        <w:numPr>
          <w:ilvl w:val="0"/>
          <w:numId w:val="57"/>
        </w:numPr>
        <w:snapToGrid w:val="0"/>
        <w:ind w:firstLineChars="0"/>
        <w:rPr>
          <w:rFonts w:hAnsi="宋体"/>
          <w:b/>
        </w:rPr>
      </w:pPr>
      <w:r>
        <w:rPr>
          <w:rFonts w:hint="eastAsia" w:hAnsi="宋体"/>
          <w:b/>
        </w:rPr>
        <w:t>拟投入本项目设备一览表格式</w:t>
      </w:r>
    </w:p>
    <w:p>
      <w:pPr>
        <w:spacing w:line="380" w:lineRule="exact"/>
        <w:jc w:val="center"/>
        <w:rPr>
          <w:rFonts w:hAnsi="宋体"/>
          <w:b/>
        </w:rPr>
      </w:pPr>
    </w:p>
    <w:p>
      <w:pPr>
        <w:spacing w:line="380" w:lineRule="exact"/>
        <w:jc w:val="center"/>
        <w:rPr>
          <w:rFonts w:ascii="宋体" w:hAnsi="宋体"/>
          <w:b/>
          <w:bCs/>
          <w:sz w:val="36"/>
          <w:szCs w:val="36"/>
        </w:rPr>
      </w:pPr>
      <w:r>
        <w:rPr>
          <w:rFonts w:hint="eastAsia" w:ascii="宋体" w:hAnsi="宋体"/>
          <w:b/>
          <w:bCs/>
          <w:sz w:val="36"/>
          <w:szCs w:val="36"/>
        </w:rPr>
        <w:t>拟投入本项目设备一览表</w:t>
      </w:r>
    </w:p>
    <w:tbl>
      <w:tblPr>
        <w:tblStyle w:val="40"/>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
        <w:gridCol w:w="1993"/>
        <w:gridCol w:w="988"/>
        <w:gridCol w:w="1706"/>
        <w:gridCol w:w="992"/>
        <w:gridCol w:w="944"/>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09" w:type="dxa"/>
            <w:vMerge w:val="restart"/>
            <w:tcBorders>
              <w:top w:val="single" w:color="auto" w:sz="4" w:space="0"/>
              <w:left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序号</w:t>
            </w:r>
          </w:p>
        </w:tc>
        <w:tc>
          <w:tcPr>
            <w:tcW w:w="1993"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设备名称</w:t>
            </w:r>
          </w:p>
        </w:tc>
        <w:tc>
          <w:tcPr>
            <w:tcW w:w="98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w:t>
            </w:r>
          </w:p>
        </w:tc>
        <w:tc>
          <w:tcPr>
            <w:tcW w:w="170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szCs w:val="21"/>
              </w:rPr>
              <w:t>规格型号</w:t>
            </w:r>
          </w:p>
        </w:tc>
        <w:tc>
          <w:tcPr>
            <w:tcW w:w="3826" w:type="dxa"/>
            <w:gridSpan w:val="4"/>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cs="宋体"/>
                <w:color w:val="000000"/>
                <w:kern w:val="0"/>
                <w:sz w:val="21"/>
                <w:szCs w:val="21"/>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09" w:type="dxa"/>
            <w:vMerge w:val="continue"/>
            <w:tcBorders>
              <w:left w:val="single" w:color="auto" w:sz="4" w:space="0"/>
              <w:right w:val="single" w:color="auto" w:sz="4" w:space="0"/>
            </w:tcBorders>
            <w:vAlign w:val="center"/>
          </w:tcPr>
          <w:p>
            <w:pPr>
              <w:pStyle w:val="24"/>
              <w:jc w:val="center"/>
              <w:rPr>
                <w:rFonts w:ascii="宋体" w:hAnsi="宋体"/>
                <w:sz w:val="21"/>
                <w:szCs w:val="21"/>
              </w:rPr>
            </w:pPr>
          </w:p>
        </w:tc>
        <w:tc>
          <w:tcPr>
            <w:tcW w:w="1993"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Cs w:val="21"/>
              </w:rPr>
            </w:pPr>
          </w:p>
        </w:tc>
        <w:tc>
          <w:tcPr>
            <w:tcW w:w="98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Cs w:val="21"/>
              </w:rPr>
            </w:pPr>
          </w:p>
        </w:tc>
        <w:tc>
          <w:tcPr>
            <w:tcW w:w="1706" w:type="dxa"/>
            <w:vMerge w:val="continue"/>
            <w:tcBorders>
              <w:left w:val="single" w:color="auto" w:sz="4" w:space="0"/>
              <w:right w:val="single" w:color="auto" w:sz="4" w:space="0"/>
            </w:tcBorders>
            <w:vAlign w:val="center"/>
          </w:tcPr>
          <w:p>
            <w:pPr>
              <w:widowControl/>
              <w:jc w:val="center"/>
              <w:rPr>
                <w:szCs w:val="21"/>
              </w:rPr>
            </w:pPr>
          </w:p>
        </w:tc>
        <w:tc>
          <w:tcPr>
            <w:tcW w:w="992" w:type="dxa"/>
            <w:vMerge w:val="restart"/>
            <w:tcBorders>
              <w:top w:val="single" w:color="auto" w:sz="4" w:space="0"/>
              <w:left w:val="single" w:color="auto" w:sz="4" w:space="0"/>
              <w:right w:val="single" w:color="auto" w:sz="4" w:space="0"/>
            </w:tcBorders>
            <w:vAlign w:val="center"/>
          </w:tcPr>
          <w:p>
            <w:pPr>
              <w:pStyle w:val="24"/>
              <w:jc w:val="center"/>
              <w:rPr>
                <w:rFonts w:ascii="宋体" w:hAnsi="宋体" w:cs="宋体"/>
                <w:color w:val="000000"/>
                <w:kern w:val="0"/>
                <w:sz w:val="21"/>
                <w:szCs w:val="21"/>
              </w:rPr>
            </w:pPr>
            <w:r>
              <w:rPr>
                <w:rFonts w:hint="eastAsia" w:ascii="宋体" w:hAnsi="宋体" w:cs="宋体"/>
                <w:color w:val="000000"/>
                <w:kern w:val="0"/>
                <w:sz w:val="21"/>
                <w:szCs w:val="21"/>
              </w:rPr>
              <w:t>小计</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sz w:val="21"/>
                <w:szCs w:val="21"/>
              </w:rPr>
              <w:t>其     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809" w:type="dxa"/>
            <w:vMerge w:val="continue"/>
            <w:tcBorders>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199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98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706" w:type="dxa"/>
            <w:vMerge w:val="continue"/>
            <w:tcBorders>
              <w:left w:val="single" w:color="auto" w:sz="4" w:space="0"/>
              <w:bottom w:val="single" w:color="auto" w:sz="4" w:space="0"/>
              <w:right w:val="single" w:color="auto" w:sz="4" w:space="0"/>
            </w:tcBorders>
            <w:vAlign w:val="center"/>
          </w:tcPr>
          <w:p>
            <w:pPr>
              <w:widowControl/>
              <w:jc w:val="center"/>
              <w:rPr>
                <w:szCs w:val="21"/>
              </w:rPr>
            </w:pPr>
          </w:p>
        </w:tc>
        <w:tc>
          <w:tcPr>
            <w:tcW w:w="992" w:type="dxa"/>
            <w:vMerge w:val="continue"/>
            <w:tcBorders>
              <w:left w:val="single" w:color="auto" w:sz="4" w:space="0"/>
              <w:bottom w:val="single" w:color="auto" w:sz="4" w:space="0"/>
              <w:right w:val="single" w:color="auto" w:sz="4" w:space="0"/>
            </w:tcBorders>
            <w:vAlign w:val="center"/>
          </w:tcPr>
          <w:p>
            <w:pPr>
              <w:pStyle w:val="24"/>
              <w:jc w:val="center"/>
              <w:rPr>
                <w:rFonts w:ascii="宋体" w:hAnsi="宋体" w:cs="宋体"/>
                <w:color w:val="000000"/>
                <w:kern w:val="0"/>
                <w:sz w:val="21"/>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自有</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新购</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1</w:t>
            </w:r>
          </w:p>
        </w:tc>
        <w:tc>
          <w:tcPr>
            <w:tcW w:w="1993"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ind w:left="-533" w:leftChars="-254" w:firstLine="533" w:firstLineChars="254"/>
              <w:jc w:val="center"/>
              <w:rPr>
                <w:rFonts w:ascii="宋体" w:hAnsi="宋体"/>
                <w:sz w:val="21"/>
                <w:szCs w:val="21"/>
              </w:rPr>
            </w:pPr>
          </w:p>
        </w:tc>
        <w:tc>
          <w:tcPr>
            <w:tcW w:w="944" w:type="dxa"/>
            <w:tcBorders>
              <w:top w:val="single" w:color="auto" w:sz="4" w:space="0"/>
              <w:left w:val="single" w:color="auto" w:sz="4" w:space="0"/>
              <w:bottom w:val="single" w:color="auto" w:sz="4" w:space="0"/>
              <w:right w:val="single" w:color="auto" w:sz="4" w:space="0"/>
            </w:tcBorders>
          </w:tcPr>
          <w:p>
            <w:pPr>
              <w:pStyle w:val="24"/>
              <w:ind w:right="317" w:rightChars="151"/>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2</w:t>
            </w:r>
          </w:p>
        </w:tc>
        <w:tc>
          <w:tcPr>
            <w:tcW w:w="1993"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44"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3</w:t>
            </w:r>
          </w:p>
        </w:tc>
        <w:tc>
          <w:tcPr>
            <w:tcW w:w="1993"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44"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4</w:t>
            </w:r>
          </w:p>
        </w:tc>
        <w:tc>
          <w:tcPr>
            <w:tcW w:w="1993"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44"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r>
              <w:rPr>
                <w:rFonts w:hint="eastAsia" w:ascii="宋体" w:hAnsi="宋体"/>
                <w:sz w:val="21"/>
                <w:szCs w:val="21"/>
              </w:rPr>
              <w:t>5</w:t>
            </w:r>
          </w:p>
        </w:tc>
        <w:tc>
          <w:tcPr>
            <w:tcW w:w="1993"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88"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c>
          <w:tcPr>
            <w:tcW w:w="944"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tcPr>
          <w:p>
            <w:pPr>
              <w:pStyle w:val="24"/>
              <w:jc w:val="center"/>
              <w:rPr>
                <w:rFonts w:ascii="宋体" w:hAnsi="宋体"/>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2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98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94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94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pStyle w:val="72"/>
        <w:autoSpaceDE w:val="0"/>
        <w:autoSpaceDN w:val="0"/>
        <w:adjustRightInd w:val="0"/>
        <w:snapToGrid w:val="0"/>
        <w:spacing w:before="120" w:after="120" w:line="240" w:lineRule="auto"/>
        <w:ind w:firstLine="0" w:firstLineChars="0"/>
        <w:jc w:val="left"/>
        <w:rPr>
          <w:rFonts w:ascii="宋体" w:hAnsi="宋体"/>
          <w:sz w:val="21"/>
          <w:szCs w:val="21"/>
        </w:rPr>
      </w:pPr>
      <w:r>
        <w:rPr>
          <w:rFonts w:hint="eastAsia" w:ascii="宋体" w:hAnsi="宋体"/>
          <w:sz w:val="21"/>
          <w:szCs w:val="21"/>
        </w:rPr>
        <w:t>注：本表设备如为自有或租赁的需提供相关证明材料。</w:t>
      </w:r>
    </w:p>
    <w:p>
      <w:pPr>
        <w:spacing w:line="380" w:lineRule="exact"/>
        <w:rPr>
          <w:rFonts w:ascii="宋体" w:hAnsi="宋体"/>
          <w:bCs/>
          <w:sz w:val="24"/>
        </w:rPr>
      </w:pPr>
    </w:p>
    <w:p>
      <w:pPr>
        <w:spacing w:line="480" w:lineRule="auto"/>
        <w:ind w:firstLine="566" w:firstLineChars="236"/>
        <w:jc w:val="left"/>
        <w:rPr>
          <w:rFonts w:ascii="宋体" w:hAnsi="宋体"/>
          <w:sz w:val="24"/>
        </w:rPr>
      </w:pPr>
      <w:r>
        <w:rPr>
          <w:rFonts w:hint="eastAsia" w:ascii="宋体" w:hAnsi="宋体"/>
          <w:sz w:val="24"/>
        </w:rPr>
        <w:t xml:space="preserve">投标人 (盖章)： </w:t>
      </w:r>
    </w:p>
    <w:p>
      <w:pPr>
        <w:spacing w:line="480" w:lineRule="auto"/>
        <w:ind w:firstLine="566" w:firstLineChars="236"/>
        <w:jc w:val="left"/>
        <w:rPr>
          <w:rFonts w:ascii="宋体" w:hAnsi="宋体"/>
          <w:sz w:val="24"/>
        </w:rPr>
      </w:pPr>
      <w:r>
        <w:rPr>
          <w:rFonts w:hint="eastAsia" w:ascii="宋体" w:hAnsi="宋体"/>
          <w:sz w:val="24"/>
        </w:rPr>
        <w:t>法定代表人或授权代表人（签字或盖章）：</w:t>
      </w:r>
    </w:p>
    <w:p>
      <w:pPr>
        <w:spacing w:line="480" w:lineRule="auto"/>
        <w:ind w:firstLine="566" w:firstLineChars="236"/>
        <w:jc w:val="left"/>
        <w:rPr>
          <w:rFonts w:ascii="宋体" w:hAnsi="宋体"/>
          <w:sz w:val="24"/>
        </w:rPr>
      </w:pPr>
      <w:r>
        <w:rPr>
          <w:rFonts w:hint="eastAsia" w:ascii="宋体" w:hAnsi="宋体"/>
          <w:sz w:val="24"/>
        </w:rPr>
        <w:t>日期：</w:t>
      </w:r>
    </w:p>
    <w:p>
      <w:pPr>
        <w:pStyle w:val="72"/>
        <w:snapToGrid w:val="0"/>
        <w:ind w:left="420" w:firstLine="0" w:firstLineChars="0"/>
        <w:rPr>
          <w:rFonts w:hAnsi="宋体"/>
          <w:b/>
        </w:rPr>
      </w:pPr>
    </w:p>
    <w:p>
      <w:pPr>
        <w:widowControl/>
        <w:jc w:val="left"/>
        <w:rPr>
          <w:rFonts w:ascii="Calibri" w:hAnsi="宋体"/>
          <w:b/>
          <w:sz w:val="24"/>
          <w:szCs w:val="22"/>
        </w:rPr>
      </w:pPr>
    </w:p>
    <w:p>
      <w:pPr>
        <w:widowControl/>
        <w:jc w:val="left"/>
        <w:rPr>
          <w:rFonts w:ascii="Calibri" w:hAnsi="宋体"/>
          <w:b/>
          <w:sz w:val="24"/>
          <w:szCs w:val="22"/>
        </w:rPr>
      </w:pPr>
      <w:r>
        <w:rPr>
          <w:rFonts w:hAnsi="宋体"/>
          <w:b/>
        </w:rPr>
        <w:br w:type="page"/>
      </w:r>
    </w:p>
    <w:p>
      <w:pPr>
        <w:pStyle w:val="72"/>
        <w:numPr>
          <w:ilvl w:val="0"/>
          <w:numId w:val="57"/>
        </w:numPr>
        <w:snapToGrid w:val="0"/>
        <w:ind w:firstLineChars="0"/>
        <w:rPr>
          <w:rFonts w:hAnsi="宋体"/>
          <w:b/>
        </w:rPr>
      </w:pPr>
      <w:r>
        <w:rPr>
          <w:rFonts w:hint="eastAsia" w:hAnsi="宋体"/>
          <w:b/>
        </w:rPr>
        <w:t>承诺函格式</w:t>
      </w:r>
    </w:p>
    <w:p>
      <w:pPr>
        <w:pStyle w:val="72"/>
        <w:snapToGrid w:val="0"/>
        <w:ind w:left="420" w:firstLine="0" w:firstLineChars="0"/>
        <w:jc w:val="center"/>
        <w:rPr>
          <w:rFonts w:hAnsi="宋体"/>
          <w:b/>
          <w:sz w:val="32"/>
          <w:szCs w:val="32"/>
        </w:rPr>
      </w:pPr>
      <w:r>
        <w:rPr>
          <w:rFonts w:hint="eastAsia" w:hAnsi="宋体"/>
          <w:b/>
          <w:sz w:val="32"/>
          <w:szCs w:val="32"/>
        </w:rPr>
        <w:t>承诺函</w:t>
      </w:r>
    </w:p>
    <w:p>
      <w:pPr>
        <w:snapToGrid w:val="0"/>
        <w:spacing w:line="360" w:lineRule="auto"/>
        <w:rPr>
          <w:rFonts w:ascii="宋体" w:hAnsi="宋体"/>
          <w:sz w:val="24"/>
        </w:rPr>
      </w:pPr>
    </w:p>
    <w:p>
      <w:pPr>
        <w:snapToGrid w:val="0"/>
        <w:spacing w:line="480" w:lineRule="auto"/>
        <w:rPr>
          <w:rFonts w:ascii="宋体" w:hAnsi="宋体"/>
          <w:sz w:val="24"/>
          <w:szCs w:val="20"/>
        </w:rPr>
      </w:pPr>
      <w:r>
        <w:rPr>
          <w:rFonts w:hint="eastAsia" w:ascii="宋体" w:hAnsi="宋体"/>
          <w:sz w:val="24"/>
        </w:rPr>
        <w:t>致：</w:t>
      </w:r>
      <w:r>
        <w:rPr>
          <w:rFonts w:ascii="宋体" w:hAnsi="宋体"/>
          <w:sz w:val="24"/>
          <w:u w:val="single"/>
        </w:rPr>
        <w:t>嘉善县天凝镇人民政府</w:t>
      </w:r>
    </w:p>
    <w:p>
      <w:pPr>
        <w:spacing w:line="480" w:lineRule="auto"/>
        <w:ind w:firstLine="480" w:firstLineChars="200"/>
        <w:rPr>
          <w:rFonts w:ascii="宋体" w:hAnsi="宋体"/>
          <w:sz w:val="24"/>
        </w:rPr>
      </w:pPr>
      <w:r>
        <w:rPr>
          <w:rFonts w:hint="eastAsia" w:ascii="宋体" w:hAnsi="宋体"/>
          <w:sz w:val="24"/>
        </w:rPr>
        <w:t xml:space="preserve">如我公司中标承诺如下： </w:t>
      </w:r>
    </w:p>
    <w:p>
      <w:pPr>
        <w:numPr>
          <w:ilvl w:val="0"/>
          <w:numId w:val="61"/>
        </w:numPr>
        <w:autoSpaceDE w:val="0"/>
        <w:autoSpaceDN w:val="0"/>
        <w:adjustRightInd w:val="0"/>
        <w:spacing w:line="360" w:lineRule="auto"/>
        <w:ind w:left="0" w:firstLine="480" w:firstLineChars="200"/>
        <w:rPr>
          <w:rFonts w:ascii="宋体" w:hAnsi="宋体"/>
          <w:sz w:val="24"/>
        </w:rPr>
      </w:pPr>
      <w:r>
        <w:rPr>
          <w:rFonts w:hint="eastAsia" w:ascii="宋体" w:hAnsi="宋体"/>
          <w:sz w:val="24"/>
        </w:rPr>
        <w:t>我公司投入本项目所有人员、机械车辆、设备等均按招标要求在合同签订后15天内安排到位，如果不到位采购人可视我公司违约，单方面解除合同。</w:t>
      </w:r>
    </w:p>
    <w:p>
      <w:pPr>
        <w:numPr>
          <w:ilvl w:val="0"/>
          <w:numId w:val="61"/>
        </w:numPr>
        <w:autoSpaceDE w:val="0"/>
        <w:autoSpaceDN w:val="0"/>
        <w:adjustRightInd w:val="0"/>
        <w:spacing w:line="360" w:lineRule="auto"/>
        <w:ind w:left="0" w:firstLine="480" w:firstLineChars="200"/>
        <w:rPr>
          <w:rFonts w:ascii="宋体" w:hAnsi="宋体"/>
          <w:sz w:val="24"/>
        </w:rPr>
      </w:pPr>
      <w:r>
        <w:rPr>
          <w:rFonts w:hint="eastAsia" w:ascii="宋体" w:hAnsi="宋体"/>
          <w:sz w:val="24"/>
        </w:rPr>
        <w:t>招聘的服务人员相对固定，为所有作业人员购买人身意外保险（意外伤害死亡赔偿最低不得低于40万，保险时间不得小于本项目服务期）。在合同签订后15天内将全部服务人员名册（包括姓名、身份证号码、保险等信息）报送采购人备案。如我公司未按招标要求提供服务人员名册备案，或投标人员未在服务人员名册中的，采购人可视我公司违约，单方面解除合同。</w:t>
      </w:r>
    </w:p>
    <w:p>
      <w:pPr>
        <w:pStyle w:val="72"/>
        <w:snapToGrid w:val="0"/>
        <w:ind w:left="420" w:firstLine="0" w:firstLineChars="0"/>
        <w:rPr>
          <w:rFonts w:hAnsi="宋体"/>
          <w:b/>
        </w:rPr>
      </w:pPr>
    </w:p>
    <w:p>
      <w:pPr>
        <w:pStyle w:val="72"/>
        <w:snapToGrid w:val="0"/>
        <w:ind w:left="420" w:firstLine="0" w:firstLineChars="0"/>
        <w:rPr>
          <w:rFonts w:hAnsi="宋体"/>
          <w:b/>
        </w:rPr>
      </w:pPr>
    </w:p>
    <w:p>
      <w:pPr>
        <w:spacing w:line="480" w:lineRule="auto"/>
        <w:ind w:firstLine="566" w:firstLineChars="236"/>
        <w:jc w:val="left"/>
        <w:rPr>
          <w:rFonts w:ascii="宋体" w:hAnsi="宋体"/>
          <w:sz w:val="24"/>
        </w:rPr>
      </w:pPr>
      <w:r>
        <w:rPr>
          <w:rFonts w:hint="eastAsia" w:ascii="宋体" w:hAnsi="宋体"/>
          <w:sz w:val="24"/>
        </w:rPr>
        <w:t xml:space="preserve">投标人 (盖章)： </w:t>
      </w:r>
    </w:p>
    <w:p>
      <w:pPr>
        <w:spacing w:line="480" w:lineRule="auto"/>
        <w:ind w:firstLine="566" w:firstLineChars="236"/>
        <w:jc w:val="left"/>
        <w:rPr>
          <w:rFonts w:ascii="宋体" w:hAnsi="宋体"/>
          <w:sz w:val="24"/>
        </w:rPr>
      </w:pPr>
      <w:r>
        <w:rPr>
          <w:rFonts w:hint="eastAsia" w:ascii="宋体" w:hAnsi="宋体"/>
          <w:sz w:val="24"/>
        </w:rPr>
        <w:t>法定代表人或授权代表人（签字或盖章）：</w:t>
      </w:r>
    </w:p>
    <w:p>
      <w:pPr>
        <w:spacing w:line="480" w:lineRule="auto"/>
        <w:ind w:firstLine="566" w:firstLineChars="236"/>
        <w:jc w:val="left"/>
        <w:rPr>
          <w:rFonts w:ascii="宋体" w:hAnsi="宋体"/>
          <w:sz w:val="24"/>
        </w:rPr>
      </w:pPr>
      <w:r>
        <w:rPr>
          <w:rFonts w:hint="eastAsia" w:ascii="宋体" w:hAnsi="宋体"/>
          <w:sz w:val="24"/>
        </w:rPr>
        <w:t>日期：</w:t>
      </w:r>
    </w:p>
    <w:p>
      <w:pPr>
        <w:pStyle w:val="72"/>
        <w:numPr>
          <w:ilvl w:val="0"/>
          <w:numId w:val="57"/>
        </w:numPr>
        <w:snapToGrid w:val="0"/>
        <w:ind w:firstLineChars="0"/>
        <w:rPr>
          <w:rFonts w:hAnsi="宋体"/>
          <w:b/>
        </w:rPr>
      </w:pPr>
      <w:r>
        <w:rPr>
          <w:rFonts w:hAnsi="宋体"/>
          <w:b/>
        </w:rPr>
        <w:br w:type="page"/>
      </w:r>
      <w:r>
        <w:rPr>
          <w:rFonts w:hint="eastAsia" w:hAnsi="宋体"/>
          <w:b/>
        </w:rPr>
        <w:t>投标函格式</w:t>
      </w:r>
    </w:p>
    <w:p>
      <w:pPr>
        <w:snapToGrid w:val="0"/>
        <w:spacing w:beforeLines="50" w:after="50"/>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napToGrid w:val="0"/>
        <w:spacing w:line="360" w:lineRule="auto"/>
        <w:rPr>
          <w:rFonts w:ascii="宋体" w:hAnsi="宋体"/>
          <w:sz w:val="24"/>
          <w:szCs w:val="20"/>
        </w:rPr>
      </w:pPr>
      <w:r>
        <w:rPr>
          <w:rFonts w:hint="eastAsia" w:ascii="宋体" w:hAnsi="宋体"/>
          <w:sz w:val="24"/>
        </w:rPr>
        <w:t>致：</w:t>
      </w:r>
      <w:r>
        <w:rPr>
          <w:rFonts w:ascii="宋体" w:hAnsi="宋体"/>
          <w:sz w:val="24"/>
          <w:u w:val="single"/>
        </w:rPr>
        <w:t>嘉善县天凝镇人民政府</w:t>
      </w:r>
    </w:p>
    <w:p>
      <w:pPr>
        <w:snapToGrid w:val="0"/>
        <w:spacing w:beforeLines="50" w:after="50" w:line="360" w:lineRule="auto"/>
        <w:ind w:firstLine="480" w:firstLineChars="200"/>
        <w:rPr>
          <w:rFonts w:ascii="宋体" w:hAnsi="宋体"/>
          <w:bCs/>
          <w:sz w:val="24"/>
          <w:szCs w:val="20"/>
        </w:rPr>
      </w:pPr>
      <w:r>
        <w:rPr>
          <w:rFonts w:hint="eastAsia" w:ascii="宋体"/>
          <w:sz w:val="24"/>
        </w:rPr>
        <w:t>我方已全面阅读和研究了</w:t>
      </w:r>
      <w:r>
        <w:rPr>
          <w:rFonts w:hint="eastAsia" w:ascii="宋体"/>
          <w:sz w:val="24"/>
          <w:u w:val="single"/>
        </w:rPr>
        <w:t xml:space="preserve"> </w:t>
      </w:r>
      <w:r>
        <w:rPr>
          <w:rFonts w:hint="eastAsia" w:ascii="宋体" w:hAnsi="宋体"/>
          <w:sz w:val="24"/>
          <w:u w:val="single"/>
        </w:rPr>
        <w:t xml:space="preserve">     （项目名称）     </w:t>
      </w:r>
      <w:r>
        <w:rPr>
          <w:rFonts w:hint="eastAsia" w:ascii="宋体" w:hAnsi="宋体"/>
          <w:sz w:val="24"/>
        </w:rPr>
        <w:t>的招标公告（项目编号：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），正式授权</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（投标人代表姓名）</w:t>
      </w:r>
      <w:r>
        <w:rPr>
          <w:rFonts w:ascii="宋体" w:hAnsi="宋体"/>
          <w:sz w:val="24"/>
          <w:u w:val="single"/>
        </w:rPr>
        <w:t xml:space="preserve">  </w:t>
      </w:r>
      <w:r>
        <w:rPr>
          <w:rFonts w:hint="eastAsia" w:ascii="宋体" w:hAnsi="宋体"/>
          <w:sz w:val="24"/>
        </w:rPr>
        <w:t>代表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（投标人名称）   </w:t>
      </w:r>
      <w:r>
        <w:rPr>
          <w:rFonts w:hint="eastAsia" w:ascii="宋体" w:hAnsi="宋体"/>
          <w:sz w:val="24"/>
        </w:rPr>
        <w:t>提交资信商务及技术文件、报价文件正本各</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w:t>
      </w:r>
    </w:p>
    <w:p>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投标人在投标之前已经与贵方进行了充分的沟通，完全理解并接受招标文件的各项规定和要求，对招标文件的合理性、合法性不再有异议。</w:t>
      </w:r>
    </w:p>
    <w:p>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本投标有效期自开标日起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90天  </w:t>
      </w:r>
      <w:r>
        <w:rPr>
          <w:rFonts w:hint="eastAsia" w:ascii="宋体" w:hAnsi="宋体"/>
          <w:sz w:val="24"/>
        </w:rPr>
        <w:t>。</w:t>
      </w:r>
    </w:p>
    <w:p>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如中标，本投标文件至本项目合同履行完毕止均保持有效，本投标人将按“招标文件”及政府采购法律、法规的规定履行合同责任和义务。</w:t>
      </w:r>
    </w:p>
    <w:p>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投标人同意按照贵方要求提供与投标有关的一切数据或资料。</w:t>
      </w:r>
    </w:p>
    <w:p>
      <w:pPr>
        <w:snapToGrid w:val="0"/>
        <w:spacing w:line="360" w:lineRule="auto"/>
        <w:ind w:firstLine="480" w:firstLineChars="200"/>
        <w:rPr>
          <w:rFonts w:ascii="宋体" w:hAnsi="宋体"/>
          <w:sz w:val="24"/>
        </w:rPr>
      </w:pPr>
      <w:r>
        <w:rPr>
          <w:rFonts w:ascii="宋体" w:hAnsi="宋体"/>
          <w:sz w:val="24"/>
        </w:rPr>
        <w:t>6.</w:t>
      </w:r>
      <w:r>
        <w:rPr>
          <w:rFonts w:hint="eastAsia" w:ascii="宋体" w:hAnsi="宋体"/>
          <w:sz w:val="24"/>
        </w:rPr>
        <w:t>与本投标有关的一切正式往来信函请寄：</w:t>
      </w:r>
    </w:p>
    <w:p>
      <w:pPr>
        <w:snapToGrid w:val="0"/>
        <w:spacing w:line="360" w:lineRule="auto"/>
        <w:ind w:firstLine="480" w:firstLineChars="200"/>
        <w:rPr>
          <w:rFonts w:ascii="宋体" w:hAnsi="宋体"/>
          <w:sz w:val="24"/>
          <w:szCs w:val="20"/>
        </w:rPr>
      </w:pPr>
    </w:p>
    <w:p>
      <w:pPr>
        <w:snapToGrid w:val="0"/>
        <w:spacing w:line="360" w:lineRule="auto"/>
        <w:rPr>
          <w:rFonts w:ascii="宋体" w:hAnsi="宋体"/>
          <w:sz w:val="24"/>
          <w:szCs w:val="20"/>
        </w:rPr>
      </w:pPr>
      <w:r>
        <w:rPr>
          <w:rFonts w:hint="eastAsia" w:ascii="宋体" w:hAnsi="宋体"/>
          <w:sz w:val="24"/>
        </w:rPr>
        <w:t>地址：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邮编：</w:t>
      </w:r>
      <w:r>
        <w:rPr>
          <w:rFonts w:ascii="宋体" w:hAnsi="宋体"/>
          <w:sz w:val="24"/>
        </w:rPr>
        <w:t xml:space="preserve">__________   </w:t>
      </w:r>
      <w:r>
        <w:rPr>
          <w:rFonts w:hint="eastAsia" w:ascii="宋体" w:hAnsi="宋体"/>
          <w:sz w:val="24"/>
        </w:rPr>
        <w:t>电话：</w:t>
      </w:r>
      <w:r>
        <w:rPr>
          <w:rFonts w:ascii="宋体" w:hAnsi="宋体"/>
          <w:sz w:val="24"/>
        </w:rPr>
        <w:t>______________</w:t>
      </w:r>
    </w:p>
    <w:p>
      <w:pPr>
        <w:snapToGrid w:val="0"/>
        <w:spacing w:line="360" w:lineRule="auto"/>
        <w:rPr>
          <w:rFonts w:ascii="宋体" w:hAnsi="宋体"/>
          <w:sz w:val="24"/>
          <w:szCs w:val="20"/>
        </w:rPr>
      </w:pPr>
      <w:r>
        <w:rPr>
          <w:rFonts w:hint="eastAsia" w:ascii="宋体" w:hAnsi="宋体"/>
          <w:sz w:val="24"/>
        </w:rPr>
        <w:t>传真：</w:t>
      </w:r>
      <w:r>
        <w:rPr>
          <w:rFonts w:ascii="宋体" w:hAnsi="宋体"/>
          <w:sz w:val="24"/>
        </w:rPr>
        <w:t>______________</w:t>
      </w:r>
      <w:r>
        <w:rPr>
          <w:rFonts w:hint="eastAsia" w:ascii="宋体" w:hAnsi="宋体"/>
          <w:sz w:val="24"/>
        </w:rPr>
        <w:t>投标人代表姓名：</w:t>
      </w:r>
      <w:r>
        <w:rPr>
          <w:rFonts w:ascii="宋体" w:hAnsi="宋体"/>
          <w:sz w:val="24"/>
        </w:rPr>
        <w:t xml:space="preserve">__________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napToGrid w:val="0"/>
        <w:spacing w:line="360" w:lineRule="auto"/>
        <w:rPr>
          <w:rFonts w:ascii="宋体" w:hAnsi="宋体"/>
          <w:sz w:val="24"/>
          <w:szCs w:val="20"/>
        </w:rPr>
      </w:pPr>
      <w:r>
        <w:rPr>
          <w:rFonts w:hint="eastAsia" w:ascii="宋体" w:hAnsi="宋体"/>
          <w:sz w:val="24"/>
        </w:rPr>
        <w:t>投标人（盖章）</w:t>
      </w:r>
      <w:r>
        <w:rPr>
          <w:rFonts w:ascii="宋体" w:hAnsi="宋体"/>
          <w:sz w:val="24"/>
        </w:rPr>
        <w:t>:___________________</w:t>
      </w:r>
    </w:p>
    <w:p>
      <w:pPr>
        <w:snapToGrid w:val="0"/>
        <w:spacing w:line="360" w:lineRule="auto"/>
        <w:rPr>
          <w:rFonts w:ascii="宋体" w:hAnsi="宋体"/>
          <w:sz w:val="24"/>
          <w:szCs w:val="20"/>
        </w:rPr>
      </w:pPr>
      <w:r>
        <w:rPr>
          <w:rFonts w:hint="eastAsia"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银行帐号：</w:t>
      </w:r>
      <w:r>
        <w:rPr>
          <w:rFonts w:ascii="宋体" w:hAnsi="宋体"/>
          <w:sz w:val="24"/>
          <w:u w:val="single"/>
        </w:rPr>
        <w:t xml:space="preserve">                    </w:t>
      </w:r>
      <w:r>
        <w:rPr>
          <w:rFonts w:ascii="宋体" w:hAnsi="宋体"/>
          <w:sz w:val="24"/>
        </w:rPr>
        <w:t xml:space="preserve"> </w:t>
      </w:r>
    </w:p>
    <w:p>
      <w:pPr>
        <w:snapToGrid w:val="0"/>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___________          </w:t>
      </w:r>
      <w:r>
        <w:rPr>
          <w:rFonts w:hint="eastAsia" w:ascii="宋体" w:hAnsi="宋体"/>
          <w:sz w:val="24"/>
        </w:rPr>
        <w:t>日期</w:t>
      </w:r>
      <w:r>
        <w:rPr>
          <w:rFonts w:ascii="宋体" w:hAnsi="宋体"/>
          <w:sz w:val="24"/>
        </w:rPr>
        <w:t>:_____</w:t>
      </w:r>
      <w:r>
        <w:rPr>
          <w:rFonts w:hint="eastAsia" w:ascii="宋体" w:hAnsi="宋体"/>
          <w:sz w:val="24"/>
        </w:rPr>
        <w:t>年</w:t>
      </w:r>
      <w:r>
        <w:rPr>
          <w:rFonts w:ascii="宋体" w:hAnsi="宋体"/>
          <w:sz w:val="24"/>
        </w:rPr>
        <w:t>___</w:t>
      </w:r>
      <w:r>
        <w:rPr>
          <w:rFonts w:hint="eastAsia" w:ascii="宋体" w:hAnsi="宋体"/>
          <w:sz w:val="24"/>
        </w:rPr>
        <w:t>月</w:t>
      </w:r>
      <w:r>
        <w:rPr>
          <w:rFonts w:ascii="宋体" w:hAnsi="宋体"/>
          <w:sz w:val="24"/>
        </w:rPr>
        <w:t>___</w:t>
      </w:r>
      <w:r>
        <w:rPr>
          <w:rFonts w:hint="eastAsia" w:ascii="宋体" w:hAnsi="宋体"/>
          <w:sz w:val="24"/>
        </w:rPr>
        <w:t>日</w:t>
      </w:r>
    </w:p>
    <w:p>
      <w:pPr>
        <w:snapToGrid w:val="0"/>
        <w:spacing w:before="50" w:after="50"/>
      </w:pPr>
    </w:p>
    <w:p>
      <w:pPr>
        <w:snapToGrid w:val="0"/>
        <w:spacing w:before="50" w:after="50"/>
      </w:pPr>
    </w:p>
    <w:p>
      <w:pPr>
        <w:snapToGrid w:val="0"/>
        <w:spacing w:before="50" w:after="50"/>
      </w:pPr>
    </w:p>
    <w:p>
      <w:pPr>
        <w:snapToGrid w:val="0"/>
        <w:spacing w:before="50" w:after="50"/>
      </w:pPr>
    </w:p>
    <w:bookmarkEnd w:id="145"/>
    <w:p>
      <w:pPr>
        <w:widowControl/>
        <w:jc w:val="left"/>
        <w:rPr>
          <w:rFonts w:ascii="Calibri" w:hAnsi="宋体"/>
          <w:b/>
          <w:sz w:val="24"/>
          <w:szCs w:val="22"/>
        </w:rPr>
      </w:pPr>
      <w:r>
        <w:rPr>
          <w:rFonts w:hAnsi="宋体"/>
          <w:b/>
        </w:rPr>
        <w:br w:type="page"/>
      </w:r>
    </w:p>
    <w:p>
      <w:pPr>
        <w:pStyle w:val="72"/>
        <w:numPr>
          <w:ilvl w:val="0"/>
          <w:numId w:val="57"/>
        </w:numPr>
        <w:snapToGrid w:val="0"/>
        <w:ind w:firstLineChars="0"/>
        <w:rPr>
          <w:rFonts w:hAnsi="宋体"/>
          <w:b/>
        </w:rPr>
      </w:pPr>
      <w:r>
        <w:rPr>
          <w:rFonts w:hint="eastAsia" w:hAnsi="宋体"/>
          <w:b/>
        </w:rPr>
        <w:t>开标一览表</w:t>
      </w:r>
    </w:p>
    <w:p>
      <w:pPr>
        <w:snapToGrid w:val="0"/>
        <w:spacing w:before="50" w:after="50" w:line="360" w:lineRule="auto"/>
        <w:jc w:val="center"/>
        <w:rPr>
          <w:rFonts w:ascii="宋体" w:hAnsi="宋体"/>
          <w:b/>
          <w:sz w:val="44"/>
          <w:szCs w:val="44"/>
        </w:rPr>
      </w:pPr>
      <w:r>
        <w:rPr>
          <w:rFonts w:hint="eastAsia" w:ascii="宋体" w:hAnsi="宋体"/>
          <w:b/>
          <w:sz w:val="44"/>
          <w:szCs w:val="44"/>
        </w:rPr>
        <w:t>开标一览表</w:t>
      </w:r>
    </w:p>
    <w:p>
      <w:pPr>
        <w:snapToGrid w:val="0"/>
        <w:spacing w:before="50" w:after="50" w:line="360" w:lineRule="auto"/>
        <w:jc w:val="left"/>
        <w:rPr>
          <w:rFonts w:ascii="宋体" w:hAnsi="宋体"/>
          <w:sz w:val="24"/>
        </w:rPr>
      </w:pPr>
      <w:r>
        <w:rPr>
          <w:rFonts w:hint="eastAsia" w:ascii="宋体" w:hAnsi="宋体"/>
          <w:sz w:val="24"/>
        </w:rPr>
        <w:t>项目名称：</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napToGrid w:val="0"/>
        <w:spacing w:before="50" w:after="50" w:line="360" w:lineRule="auto"/>
        <w:jc w:val="left"/>
        <w:rPr>
          <w:rFonts w:ascii="宋体" w:hAnsi="宋体"/>
          <w:sz w:val="24"/>
          <w:u w:val="single"/>
        </w:rPr>
      </w:pPr>
      <w:r>
        <w:rPr>
          <w:rFonts w:hint="eastAsia" w:ascii="宋体" w:hAnsi="宋体"/>
          <w:sz w:val="24"/>
        </w:rPr>
        <w:t>项目编号：</w:t>
      </w:r>
      <w:r>
        <w:rPr>
          <w:rFonts w:ascii="宋体" w:hAnsi="宋体"/>
          <w:sz w:val="24"/>
          <w:u w:val="single"/>
        </w:rPr>
        <w:t xml:space="preserve">      </w:t>
      </w:r>
      <w:r>
        <w:rPr>
          <w:rFonts w:hint="eastAsia" w:ascii="宋体" w:hAnsi="宋体"/>
          <w:sz w:val="24"/>
          <w:u w:val="single"/>
        </w:rPr>
        <w:t xml:space="preserve">                                   </w:t>
      </w:r>
    </w:p>
    <w:tbl>
      <w:tblPr>
        <w:tblStyle w:val="40"/>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268"/>
        <w:gridCol w:w="467"/>
        <w:gridCol w:w="1418"/>
        <w:gridCol w:w="991"/>
        <w:gridCol w:w="169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71"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735"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项目内容</w:t>
            </w:r>
          </w:p>
        </w:tc>
        <w:tc>
          <w:tcPr>
            <w:tcW w:w="1418"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年服务费（万元）</w:t>
            </w:r>
          </w:p>
        </w:tc>
        <w:tc>
          <w:tcPr>
            <w:tcW w:w="991"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数量</w:t>
            </w:r>
          </w:p>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（年）</w:t>
            </w:r>
          </w:p>
        </w:tc>
        <w:tc>
          <w:tcPr>
            <w:tcW w:w="1697"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合价</w:t>
            </w:r>
          </w:p>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（万元）</w:t>
            </w:r>
          </w:p>
        </w:tc>
        <w:tc>
          <w:tcPr>
            <w:tcW w:w="1513" w:type="dxa"/>
            <w:vAlign w:val="center"/>
          </w:tcPr>
          <w:p>
            <w:pPr>
              <w:adjustRightInd w:val="0"/>
              <w:snapToGrid w:val="0"/>
              <w:jc w:val="center"/>
              <w:rPr>
                <w:rFonts w:asciiTheme="minorEastAsia" w:hAnsiTheme="minorEastAsia" w:eastAsiaTheme="minorEastAsia"/>
                <w:color w:val="FF0000"/>
                <w:sz w:val="24"/>
              </w:rPr>
            </w:pPr>
            <w:r>
              <w:rPr>
                <w:rFonts w:hint="eastAsia" w:asciiTheme="minorEastAsia" w:hAnsiTheme="minorEastAsia" w:eastAsiaTheme="minorEastAsia"/>
                <w:color w:val="FF0000"/>
                <w:sz w:val="24"/>
              </w:rPr>
              <w:t>最高限价</w:t>
            </w:r>
          </w:p>
          <w:p>
            <w:pPr>
              <w:adjustRightInd w:val="0"/>
              <w:snapToGrid w:val="0"/>
              <w:jc w:val="center"/>
              <w:rPr>
                <w:rFonts w:asciiTheme="minorEastAsia" w:hAnsiTheme="minorEastAsia" w:eastAsiaTheme="minorEastAsia"/>
                <w:color w:val="FF0000"/>
                <w:sz w:val="24"/>
              </w:rPr>
            </w:pPr>
            <w:r>
              <w:rPr>
                <w:rFonts w:hint="eastAsia" w:asciiTheme="minorEastAsia" w:hAnsiTheme="minorEastAsia" w:eastAsiaTheme="minorEastAsia"/>
                <w:color w:val="FF000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71" w:type="dxa"/>
            <w:vAlign w:val="center"/>
          </w:tcPr>
          <w:p>
            <w:pPr>
              <w:pStyle w:val="72"/>
              <w:widowControl/>
              <w:numPr>
                <w:ilvl w:val="0"/>
                <w:numId w:val="62"/>
              </w:numPr>
              <w:adjustRightInd w:val="0"/>
              <w:snapToGrid w:val="0"/>
              <w:spacing w:line="240" w:lineRule="auto"/>
              <w:ind w:left="0" w:firstLine="113" w:firstLineChars="0"/>
              <w:jc w:val="center"/>
              <w:rPr>
                <w:rFonts w:cs="宋体" w:asciiTheme="minorEastAsia" w:hAnsiTheme="minorEastAsia" w:eastAsiaTheme="minorEastAsia"/>
                <w:kern w:val="0"/>
                <w:szCs w:val="24"/>
              </w:rPr>
            </w:pPr>
          </w:p>
        </w:tc>
        <w:tc>
          <w:tcPr>
            <w:tcW w:w="2735" w:type="dxa"/>
            <w:gridSpan w:val="2"/>
            <w:vAlign w:val="center"/>
          </w:tcPr>
          <w:p>
            <w:pPr>
              <w:jc w:val="center"/>
              <w:rPr>
                <w:rFonts w:ascii="宋体" w:hAnsi="宋体" w:cs="宋体"/>
                <w:color w:val="000000"/>
                <w:szCs w:val="21"/>
              </w:rPr>
            </w:pPr>
            <w:r>
              <w:rPr>
                <w:rFonts w:hint="eastAsia"/>
                <w:color w:val="000000"/>
                <w:szCs w:val="21"/>
              </w:rPr>
              <w:t>全域公共服务管理</w:t>
            </w:r>
          </w:p>
        </w:tc>
        <w:tc>
          <w:tcPr>
            <w:tcW w:w="1418" w:type="dxa"/>
            <w:vAlign w:val="center"/>
          </w:tcPr>
          <w:p>
            <w:pPr>
              <w:adjustRightInd w:val="0"/>
              <w:snapToGrid w:val="0"/>
              <w:jc w:val="center"/>
              <w:rPr>
                <w:rFonts w:asciiTheme="minorEastAsia" w:hAnsiTheme="minorEastAsia" w:eastAsiaTheme="minorEastAsia"/>
                <w:sz w:val="24"/>
              </w:rPr>
            </w:pPr>
          </w:p>
        </w:tc>
        <w:tc>
          <w:tcPr>
            <w:tcW w:w="991"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697" w:type="dxa"/>
            <w:vAlign w:val="center"/>
          </w:tcPr>
          <w:p>
            <w:pPr>
              <w:adjustRightInd w:val="0"/>
              <w:snapToGrid w:val="0"/>
              <w:jc w:val="center"/>
              <w:rPr>
                <w:rFonts w:asciiTheme="minorEastAsia" w:hAnsiTheme="minorEastAsia" w:eastAsiaTheme="minorEastAsia"/>
                <w:sz w:val="24"/>
              </w:rPr>
            </w:pPr>
          </w:p>
        </w:tc>
        <w:tc>
          <w:tcPr>
            <w:tcW w:w="1513" w:type="dxa"/>
            <w:vAlign w:val="center"/>
          </w:tcPr>
          <w:p>
            <w:pPr>
              <w:adjustRightInd w:val="0"/>
              <w:snapToGrid w:val="0"/>
              <w:jc w:val="center"/>
              <w:rPr>
                <w:rFonts w:asciiTheme="minorEastAsia" w:hAnsiTheme="minorEastAsia" w:eastAsiaTheme="minorEastAsia"/>
                <w:color w:val="FF0000"/>
                <w:sz w:val="24"/>
              </w:rPr>
            </w:pPr>
            <w:r>
              <w:rPr>
                <w:rFonts w:hint="eastAsia" w:asciiTheme="minorEastAsia" w:hAnsiTheme="minorEastAsia" w:eastAsiaTheme="minorEastAsia"/>
                <w:color w:val="FF0000"/>
                <w:sz w:val="24"/>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71" w:type="dxa"/>
            <w:vAlign w:val="center"/>
          </w:tcPr>
          <w:p>
            <w:pPr>
              <w:pStyle w:val="72"/>
              <w:widowControl/>
              <w:numPr>
                <w:ilvl w:val="0"/>
                <w:numId w:val="62"/>
              </w:numPr>
              <w:adjustRightInd w:val="0"/>
              <w:snapToGrid w:val="0"/>
              <w:spacing w:line="240" w:lineRule="auto"/>
              <w:ind w:left="0" w:firstLine="113" w:firstLineChars="0"/>
              <w:jc w:val="center"/>
              <w:rPr>
                <w:rFonts w:cs="宋体" w:asciiTheme="minorEastAsia" w:hAnsiTheme="minorEastAsia" w:eastAsiaTheme="minorEastAsia"/>
                <w:kern w:val="0"/>
                <w:szCs w:val="24"/>
              </w:rPr>
            </w:pPr>
          </w:p>
        </w:tc>
        <w:tc>
          <w:tcPr>
            <w:tcW w:w="2735" w:type="dxa"/>
            <w:gridSpan w:val="2"/>
            <w:vAlign w:val="center"/>
          </w:tcPr>
          <w:p>
            <w:pPr>
              <w:jc w:val="center"/>
              <w:rPr>
                <w:rFonts w:ascii="宋体" w:hAnsi="宋体" w:cs="宋体"/>
                <w:color w:val="000000"/>
                <w:szCs w:val="21"/>
              </w:rPr>
            </w:pPr>
            <w:r>
              <w:rPr>
                <w:rFonts w:hint="eastAsia"/>
                <w:color w:val="000000"/>
                <w:szCs w:val="21"/>
              </w:rPr>
              <w:t>集镇和工业园区保洁服务</w:t>
            </w:r>
          </w:p>
        </w:tc>
        <w:tc>
          <w:tcPr>
            <w:tcW w:w="1418" w:type="dxa"/>
            <w:vAlign w:val="center"/>
          </w:tcPr>
          <w:p>
            <w:pPr>
              <w:adjustRightInd w:val="0"/>
              <w:snapToGrid w:val="0"/>
              <w:jc w:val="center"/>
              <w:rPr>
                <w:rFonts w:asciiTheme="minorEastAsia" w:hAnsiTheme="minorEastAsia" w:eastAsiaTheme="minorEastAsia"/>
                <w:sz w:val="24"/>
              </w:rPr>
            </w:pPr>
          </w:p>
        </w:tc>
        <w:tc>
          <w:tcPr>
            <w:tcW w:w="991"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697" w:type="dxa"/>
            <w:vAlign w:val="center"/>
          </w:tcPr>
          <w:p>
            <w:pPr>
              <w:adjustRightInd w:val="0"/>
              <w:snapToGrid w:val="0"/>
              <w:jc w:val="center"/>
              <w:rPr>
                <w:rFonts w:asciiTheme="minorEastAsia" w:hAnsiTheme="minorEastAsia" w:eastAsiaTheme="minorEastAsia"/>
                <w:sz w:val="24"/>
              </w:rPr>
            </w:pPr>
          </w:p>
        </w:tc>
        <w:tc>
          <w:tcPr>
            <w:tcW w:w="1513" w:type="dxa"/>
            <w:vAlign w:val="center"/>
          </w:tcPr>
          <w:p>
            <w:pPr>
              <w:adjustRightInd w:val="0"/>
              <w:snapToGrid w:val="0"/>
              <w:jc w:val="center"/>
              <w:rPr>
                <w:rFonts w:asciiTheme="minorEastAsia" w:hAnsiTheme="minorEastAsia" w:eastAsiaTheme="minorEastAsia"/>
                <w:color w:val="FF0000"/>
                <w:sz w:val="24"/>
              </w:rPr>
            </w:pPr>
            <w:r>
              <w:rPr>
                <w:rFonts w:hint="eastAsia" w:asciiTheme="minorEastAsia" w:hAnsiTheme="minorEastAsia" w:eastAsiaTheme="minorEastAsia"/>
                <w:color w:val="FF0000"/>
                <w:sz w:val="24"/>
              </w:rPr>
              <w:t>1689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jc w:val="center"/>
        </w:trPr>
        <w:tc>
          <w:tcPr>
            <w:tcW w:w="771" w:type="dxa"/>
            <w:vAlign w:val="center"/>
          </w:tcPr>
          <w:p>
            <w:pPr>
              <w:pStyle w:val="72"/>
              <w:widowControl/>
              <w:numPr>
                <w:ilvl w:val="0"/>
                <w:numId w:val="62"/>
              </w:numPr>
              <w:adjustRightInd w:val="0"/>
              <w:snapToGrid w:val="0"/>
              <w:spacing w:line="240" w:lineRule="auto"/>
              <w:ind w:left="0" w:firstLine="113" w:firstLineChars="0"/>
              <w:jc w:val="center"/>
              <w:rPr>
                <w:rFonts w:cs="宋体" w:asciiTheme="minorEastAsia" w:hAnsiTheme="minorEastAsia" w:eastAsiaTheme="minorEastAsia"/>
                <w:kern w:val="0"/>
                <w:szCs w:val="24"/>
              </w:rPr>
            </w:pPr>
          </w:p>
        </w:tc>
        <w:tc>
          <w:tcPr>
            <w:tcW w:w="2735" w:type="dxa"/>
            <w:gridSpan w:val="2"/>
            <w:vAlign w:val="center"/>
          </w:tcPr>
          <w:p>
            <w:pPr>
              <w:jc w:val="center"/>
              <w:rPr>
                <w:rFonts w:ascii="宋体" w:hAnsi="宋体" w:cs="宋体"/>
                <w:color w:val="000000"/>
                <w:szCs w:val="21"/>
              </w:rPr>
            </w:pPr>
            <w:r>
              <w:rPr>
                <w:rFonts w:hint="eastAsia"/>
                <w:color w:val="000000"/>
                <w:szCs w:val="21"/>
              </w:rPr>
              <w:t>中转站（资源化处理站）运作服务</w:t>
            </w:r>
          </w:p>
        </w:tc>
        <w:tc>
          <w:tcPr>
            <w:tcW w:w="1418" w:type="dxa"/>
            <w:vAlign w:val="center"/>
          </w:tcPr>
          <w:p>
            <w:pPr>
              <w:adjustRightInd w:val="0"/>
              <w:snapToGrid w:val="0"/>
              <w:jc w:val="center"/>
              <w:rPr>
                <w:rFonts w:asciiTheme="minorEastAsia" w:hAnsiTheme="minorEastAsia" w:eastAsiaTheme="minorEastAsia"/>
                <w:sz w:val="24"/>
              </w:rPr>
            </w:pPr>
          </w:p>
        </w:tc>
        <w:tc>
          <w:tcPr>
            <w:tcW w:w="991"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697" w:type="dxa"/>
            <w:vAlign w:val="center"/>
          </w:tcPr>
          <w:p>
            <w:pPr>
              <w:adjustRightInd w:val="0"/>
              <w:snapToGrid w:val="0"/>
              <w:jc w:val="center"/>
              <w:rPr>
                <w:rFonts w:asciiTheme="minorEastAsia" w:hAnsiTheme="minorEastAsia" w:eastAsiaTheme="minorEastAsia"/>
                <w:sz w:val="24"/>
              </w:rPr>
            </w:pPr>
          </w:p>
        </w:tc>
        <w:tc>
          <w:tcPr>
            <w:tcW w:w="1513" w:type="dxa"/>
            <w:vAlign w:val="center"/>
          </w:tcPr>
          <w:p>
            <w:pPr>
              <w:adjustRightInd w:val="0"/>
              <w:snapToGrid w:val="0"/>
              <w:jc w:val="center"/>
              <w:rPr>
                <w:rFonts w:asciiTheme="minorEastAsia" w:hAnsiTheme="minorEastAsia" w:eastAsiaTheme="minorEastAsia"/>
                <w:color w:val="FF0000"/>
                <w:sz w:val="24"/>
              </w:rPr>
            </w:pPr>
            <w:r>
              <w:rPr>
                <w:rFonts w:hint="eastAsia" w:asciiTheme="minorEastAsia" w:hAnsiTheme="minorEastAsia" w:eastAsiaTheme="minorEastAsia"/>
                <w:color w:val="FF0000"/>
                <w:sz w:val="24"/>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71" w:type="dxa"/>
            <w:vAlign w:val="center"/>
          </w:tcPr>
          <w:p>
            <w:pPr>
              <w:pStyle w:val="72"/>
              <w:widowControl/>
              <w:numPr>
                <w:ilvl w:val="0"/>
                <w:numId w:val="62"/>
              </w:numPr>
              <w:adjustRightInd w:val="0"/>
              <w:snapToGrid w:val="0"/>
              <w:spacing w:line="240" w:lineRule="auto"/>
              <w:ind w:left="0" w:firstLine="113" w:firstLineChars="0"/>
              <w:jc w:val="center"/>
              <w:rPr>
                <w:rFonts w:cs="宋体" w:asciiTheme="minorEastAsia" w:hAnsiTheme="minorEastAsia" w:eastAsiaTheme="minorEastAsia"/>
                <w:kern w:val="0"/>
                <w:szCs w:val="24"/>
              </w:rPr>
            </w:pPr>
          </w:p>
        </w:tc>
        <w:tc>
          <w:tcPr>
            <w:tcW w:w="2735" w:type="dxa"/>
            <w:gridSpan w:val="2"/>
            <w:vAlign w:val="center"/>
          </w:tcPr>
          <w:p>
            <w:pPr>
              <w:jc w:val="center"/>
              <w:rPr>
                <w:rFonts w:ascii="宋体" w:hAnsi="宋体" w:cs="宋体"/>
                <w:color w:val="000000"/>
                <w:szCs w:val="21"/>
              </w:rPr>
            </w:pPr>
            <w:r>
              <w:rPr>
                <w:rFonts w:hint="eastAsia"/>
                <w:color w:val="000000"/>
                <w:szCs w:val="21"/>
              </w:rPr>
              <w:t>暂列金</w:t>
            </w:r>
          </w:p>
        </w:tc>
        <w:tc>
          <w:tcPr>
            <w:tcW w:w="1418"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40</w:t>
            </w:r>
          </w:p>
        </w:tc>
        <w:tc>
          <w:tcPr>
            <w:tcW w:w="991"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697"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80</w:t>
            </w:r>
          </w:p>
        </w:tc>
        <w:tc>
          <w:tcPr>
            <w:tcW w:w="1513" w:type="dxa"/>
            <w:vAlign w:val="center"/>
          </w:tcPr>
          <w:p>
            <w:pPr>
              <w:adjustRightInd w:val="0"/>
              <w:snapToGrid w:val="0"/>
              <w:jc w:val="center"/>
              <w:rPr>
                <w:rFonts w:asciiTheme="minorEastAsia" w:hAnsiTheme="minorEastAsia" w:eastAsiaTheme="minorEastAsia"/>
                <w:color w:val="FF0000"/>
                <w:sz w:val="24"/>
              </w:rPr>
            </w:pPr>
            <w:r>
              <w:rPr>
                <w:rFonts w:hint="eastAsia" w:asciiTheme="minorEastAsia" w:hAnsiTheme="minorEastAsia" w:eastAsiaTheme="minorEastAsia"/>
                <w:color w:val="FF000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3506" w:type="dxa"/>
            <w:gridSpan w:val="3"/>
            <w:vAlign w:val="center"/>
          </w:tcPr>
          <w:p>
            <w:pPr>
              <w:widowControl/>
              <w:adjustRightInd w:val="0"/>
              <w:snapToGrid w:val="0"/>
              <w:jc w:val="center"/>
              <w:rPr>
                <w:rFonts w:cs="宋体" w:asciiTheme="minorEastAsia" w:hAnsiTheme="minorEastAsia" w:eastAsiaTheme="minorEastAsia"/>
                <w:kern w:val="0"/>
                <w:sz w:val="24"/>
              </w:rPr>
            </w:pPr>
            <w:r>
              <w:rPr>
                <w:rFonts w:hint="eastAsia" w:asciiTheme="minorEastAsia" w:hAnsiTheme="minorEastAsia" w:eastAsiaTheme="minorEastAsia"/>
                <w:sz w:val="24"/>
              </w:rPr>
              <w:t>总报价（小写）</w:t>
            </w:r>
          </w:p>
        </w:tc>
        <w:tc>
          <w:tcPr>
            <w:tcW w:w="1418" w:type="dxa"/>
            <w:vAlign w:val="center"/>
          </w:tcPr>
          <w:p>
            <w:pPr>
              <w:adjustRightInd w:val="0"/>
              <w:snapToGrid w:val="0"/>
              <w:jc w:val="center"/>
              <w:rPr>
                <w:rFonts w:asciiTheme="minorEastAsia" w:hAnsiTheme="minorEastAsia" w:eastAsiaTheme="minorEastAsia"/>
                <w:sz w:val="24"/>
              </w:rPr>
            </w:pPr>
          </w:p>
        </w:tc>
        <w:tc>
          <w:tcPr>
            <w:tcW w:w="991" w:type="dxa"/>
            <w:vAlign w:val="center"/>
          </w:tcPr>
          <w:p>
            <w:pPr>
              <w:adjustRightInd w:val="0"/>
              <w:snapToGrid w:val="0"/>
              <w:jc w:val="center"/>
              <w:rPr>
                <w:rFonts w:asciiTheme="minorEastAsia" w:hAnsiTheme="minorEastAsia" w:eastAsiaTheme="minorEastAsia"/>
                <w:sz w:val="24"/>
              </w:rPr>
            </w:pPr>
          </w:p>
        </w:tc>
        <w:tc>
          <w:tcPr>
            <w:tcW w:w="1697" w:type="dxa"/>
            <w:vAlign w:val="center"/>
          </w:tcPr>
          <w:p>
            <w:pPr>
              <w:adjustRightInd w:val="0"/>
              <w:snapToGrid w:val="0"/>
              <w:jc w:val="center"/>
              <w:rPr>
                <w:rFonts w:asciiTheme="minorEastAsia" w:hAnsiTheme="minorEastAsia" w:eastAsiaTheme="minorEastAsia"/>
                <w:sz w:val="24"/>
              </w:rPr>
            </w:pPr>
          </w:p>
        </w:tc>
        <w:tc>
          <w:tcPr>
            <w:tcW w:w="1513" w:type="dxa"/>
            <w:vAlign w:val="center"/>
          </w:tcPr>
          <w:p>
            <w:pPr>
              <w:adjustRightInd w:val="0"/>
              <w:snapToGrid w:val="0"/>
              <w:jc w:val="center"/>
              <w:rPr>
                <w:rFonts w:asciiTheme="minorEastAsia" w:hAnsiTheme="minorEastAsia" w:eastAsiaTheme="minorEastAsia"/>
                <w:color w:val="FF0000"/>
                <w:sz w:val="24"/>
              </w:rPr>
            </w:pPr>
            <w:r>
              <w:rPr>
                <w:rFonts w:hint="eastAsia" w:asciiTheme="minorEastAsia" w:hAnsiTheme="minorEastAsia" w:eastAsiaTheme="minorEastAsia"/>
                <w:color w:val="FF0000"/>
                <w:sz w:val="24"/>
              </w:rPr>
              <w:t>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3039" w:type="dxa"/>
            <w:gridSpan w:val="2"/>
            <w:vAlign w:val="center"/>
          </w:tcPr>
          <w:p>
            <w:pPr>
              <w:widowControl/>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总报价（大写）</w:t>
            </w:r>
          </w:p>
        </w:tc>
        <w:tc>
          <w:tcPr>
            <w:tcW w:w="6086" w:type="dxa"/>
            <w:gridSpan w:val="5"/>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人民币:</w:t>
            </w:r>
          </w:p>
        </w:tc>
      </w:tr>
    </w:tbl>
    <w:p>
      <w:pPr>
        <w:snapToGrid w:val="0"/>
        <w:ind w:firstLine="420" w:firstLineChars="200"/>
        <w:jc w:val="left"/>
        <w:rPr>
          <w:rFonts w:ascii="宋体" w:hAnsi="宋体"/>
          <w:szCs w:val="21"/>
        </w:rPr>
      </w:pPr>
      <w:r>
        <w:rPr>
          <w:rFonts w:hint="eastAsia" w:ascii="宋体" w:hAnsi="宋体"/>
          <w:color w:val="FF0000"/>
          <w:szCs w:val="21"/>
        </w:rPr>
        <w:t>注：</w:t>
      </w:r>
    </w:p>
    <w:p>
      <w:pPr>
        <w:snapToGrid w:val="0"/>
        <w:ind w:firstLine="420" w:firstLineChars="200"/>
        <w:jc w:val="left"/>
        <w:rPr>
          <w:rFonts w:ascii="宋体" w:hAnsi="宋体"/>
          <w:color w:val="FF0000"/>
          <w:szCs w:val="21"/>
        </w:rPr>
      </w:pPr>
      <w:r>
        <w:rPr>
          <w:rFonts w:hint="eastAsia" w:ascii="宋体" w:hAnsi="宋体"/>
          <w:color w:val="FF0000"/>
          <w:szCs w:val="21"/>
        </w:rPr>
        <w:t>1、本表序号1-3的年服务费应与“14.1-14.3投标报价明细表”中的“总价”金额一致。</w:t>
      </w:r>
    </w:p>
    <w:p>
      <w:pPr>
        <w:snapToGrid w:val="0"/>
        <w:ind w:firstLine="420" w:firstLineChars="200"/>
        <w:jc w:val="left"/>
        <w:rPr>
          <w:rFonts w:ascii="宋体" w:hAnsi="宋体"/>
          <w:color w:val="FF0000"/>
          <w:szCs w:val="21"/>
        </w:rPr>
      </w:pPr>
      <w:r>
        <w:rPr>
          <w:rFonts w:hint="eastAsia" w:ascii="宋体" w:hAnsi="宋体" w:cs="黑体"/>
          <w:color w:val="FF0000"/>
          <w:kern w:val="0"/>
          <w:szCs w:val="21"/>
        </w:rPr>
        <w:t>2、本项目设暂列金40万元/年，用于本项目</w:t>
      </w:r>
      <w:r>
        <w:rPr>
          <w:rFonts w:ascii="微软雅黑" w:hAnsi="微软雅黑"/>
          <w:color w:val="FF0000"/>
          <w:szCs w:val="21"/>
          <w:shd w:val="clear" w:color="auto" w:fill="FFFFFF"/>
        </w:rPr>
        <w:t>未确定或者不可预见的服务</w:t>
      </w:r>
      <w:r>
        <w:rPr>
          <w:rFonts w:hint="eastAsia" w:ascii="微软雅黑" w:hAnsi="微软雅黑"/>
          <w:color w:val="FF0000"/>
          <w:szCs w:val="21"/>
          <w:shd w:val="clear" w:color="auto" w:fill="FFFFFF"/>
        </w:rPr>
        <w:t>费用（</w:t>
      </w:r>
      <w:r>
        <w:rPr>
          <w:rFonts w:hint="eastAsia" w:ascii="宋体" w:hAnsi="宋体"/>
          <w:color w:val="FF0000"/>
        </w:rPr>
        <w:t>如支援服务费、大型无主垃圾清运费等</w:t>
      </w:r>
      <w:r>
        <w:rPr>
          <w:rFonts w:hint="eastAsia" w:ascii="微软雅黑" w:hAnsi="微软雅黑"/>
          <w:color w:val="FF0000"/>
          <w:szCs w:val="21"/>
          <w:shd w:val="clear" w:color="auto" w:fill="FFFFFF"/>
        </w:rPr>
        <w:t>），</w:t>
      </w:r>
      <w:r>
        <w:rPr>
          <w:rFonts w:hint="eastAsia" w:ascii="宋体" w:hAnsi="宋体" w:cs="黑体"/>
          <w:color w:val="FF0000"/>
          <w:kern w:val="0"/>
          <w:szCs w:val="21"/>
        </w:rPr>
        <w:t>投标时费用不得更改，结算时按实际发生金额支付。</w:t>
      </w:r>
    </w:p>
    <w:p>
      <w:pPr>
        <w:snapToGrid w:val="0"/>
        <w:ind w:firstLine="420" w:firstLineChars="200"/>
        <w:rPr>
          <w:rFonts w:ascii="宋体" w:hAnsi="宋体"/>
          <w:color w:val="FF0000"/>
          <w:szCs w:val="21"/>
        </w:rPr>
      </w:pPr>
      <w:r>
        <w:rPr>
          <w:rFonts w:hint="eastAsia" w:ascii="宋体" w:hAnsi="宋体"/>
          <w:color w:val="FF0000"/>
          <w:szCs w:val="21"/>
        </w:rPr>
        <w:t>3、报价一经涂改，应在涂改处加盖单位公章或者由法定代表人或被授权人签字或盖章，否则其投标作无效标处理。</w:t>
      </w:r>
    </w:p>
    <w:p>
      <w:pPr>
        <w:snapToGrid w:val="0"/>
        <w:ind w:left="-4" w:leftChars="-2" w:right="-817" w:rightChars="-389" w:firstLine="497" w:firstLineChars="237"/>
        <w:rPr>
          <w:rFonts w:ascii="宋体" w:hAnsi="宋体"/>
          <w:color w:val="FF0000"/>
          <w:szCs w:val="21"/>
        </w:rPr>
      </w:pPr>
      <w:r>
        <w:rPr>
          <w:rFonts w:hint="eastAsia" w:ascii="宋体" w:hAnsi="宋体"/>
          <w:color w:val="FF0000"/>
          <w:szCs w:val="21"/>
          <w:highlight w:val="yellow"/>
        </w:rPr>
        <w:t>4、本表合价有一项报价高于相对应的最高限价的，将作为无效标。</w:t>
      </w:r>
    </w:p>
    <w:p>
      <w:pPr>
        <w:snapToGrid w:val="0"/>
        <w:ind w:left="-4" w:leftChars="-2" w:right="-817" w:rightChars="-389" w:firstLine="568" w:firstLineChars="237"/>
        <w:rPr>
          <w:rFonts w:ascii="宋体" w:hAnsi="宋体"/>
          <w:sz w:val="24"/>
        </w:rPr>
      </w:pPr>
    </w:p>
    <w:p>
      <w:pPr>
        <w:snapToGrid w:val="0"/>
        <w:spacing w:line="480" w:lineRule="auto"/>
        <w:ind w:left="-4" w:leftChars="-2" w:right="-817" w:rightChars="-389" w:firstLine="568" w:firstLineChars="237"/>
        <w:rPr>
          <w:rFonts w:ascii="宋体" w:hAnsi="宋体"/>
          <w:sz w:val="24"/>
          <w:szCs w:val="20"/>
        </w:rPr>
      </w:pPr>
      <w:r>
        <w:rPr>
          <w:rFonts w:hint="eastAsia" w:ascii="宋体" w:hAnsi="宋体"/>
          <w:sz w:val="24"/>
        </w:rPr>
        <w:t>法定代表人或被授权人签字：</w:t>
      </w:r>
      <w:r>
        <w:rPr>
          <w:rFonts w:ascii="宋体" w:hAnsi="宋体"/>
          <w:sz w:val="24"/>
          <w:u w:val="single"/>
        </w:rPr>
        <w:t xml:space="preserve"> </w:t>
      </w:r>
      <w:r>
        <w:rPr>
          <w:rFonts w:hint="eastAsia" w:ascii="宋体" w:hAnsi="宋体"/>
          <w:sz w:val="24"/>
          <w:u w:val="single"/>
        </w:rPr>
        <w:t xml:space="preserve">                               </w:t>
      </w:r>
    </w:p>
    <w:p>
      <w:pPr>
        <w:snapToGrid w:val="0"/>
        <w:spacing w:line="480" w:lineRule="auto"/>
        <w:ind w:left="-4" w:leftChars="-2" w:right="-817" w:rightChars="-389" w:firstLine="568" w:firstLineChars="237"/>
        <w:rPr>
          <w:rFonts w:ascii="宋体" w:hAnsi="宋体"/>
          <w:sz w:val="24"/>
        </w:rPr>
      </w:pPr>
      <w:r>
        <w:rPr>
          <w:rFonts w:hint="eastAsia" w:ascii="宋体" w:hAnsi="宋体"/>
          <w:sz w:val="24"/>
        </w:rPr>
        <w:t xml:space="preserve">投标人（盖章）：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before="50" w:after="50" w:line="480" w:lineRule="auto"/>
        <w:ind w:left="-2" w:leftChars="-1" w:right="-817" w:rightChars="-389" w:firstLine="4800" w:firstLineChars="2000"/>
        <w:rPr>
          <w:rFonts w:ascii="宋体" w:hAnsi="宋体"/>
          <w:sz w:val="24"/>
          <w:szCs w:val="20"/>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widowControl/>
        <w:spacing w:line="360" w:lineRule="auto"/>
        <w:ind w:left="212" w:hanging="572"/>
        <w:rPr>
          <w:b/>
        </w:rPr>
        <w:sectPr>
          <w:headerReference r:id="rId5" w:type="default"/>
          <w:footerReference r:id="rId6" w:type="default"/>
          <w:pgSz w:w="11906" w:h="16838"/>
          <w:pgMar w:top="1440" w:right="1701" w:bottom="1440" w:left="1843" w:header="851" w:footer="851" w:gutter="0"/>
          <w:pgNumType w:start="1"/>
          <w:cols w:space="720" w:num="1"/>
          <w:docGrid w:linePitch="312" w:charSpace="0"/>
        </w:sectPr>
      </w:pPr>
    </w:p>
    <w:p>
      <w:pPr>
        <w:pStyle w:val="72"/>
        <w:numPr>
          <w:ilvl w:val="0"/>
          <w:numId w:val="57"/>
        </w:numPr>
        <w:snapToGrid w:val="0"/>
        <w:ind w:firstLineChars="0"/>
        <w:rPr>
          <w:rFonts w:hAnsi="宋体"/>
          <w:b/>
        </w:rPr>
      </w:pPr>
      <w:r>
        <w:rPr>
          <w:rFonts w:hint="eastAsia" w:hAnsi="宋体"/>
          <w:b/>
        </w:rPr>
        <w:t>投标报价明细表格式</w:t>
      </w:r>
    </w:p>
    <w:p>
      <w:pPr>
        <w:pStyle w:val="67"/>
        <w:jc w:val="center"/>
        <w:rPr>
          <w:rFonts w:hAnsi="宋体" w:eastAsia="宋体"/>
          <w:b/>
          <w:sz w:val="28"/>
          <w:szCs w:val="28"/>
        </w:rPr>
      </w:pPr>
      <w:r>
        <w:rPr>
          <w:rFonts w:hint="eastAsia" w:hAnsi="宋体" w:eastAsia="宋体"/>
          <w:b/>
          <w:sz w:val="28"/>
          <w:szCs w:val="28"/>
        </w:rPr>
        <w:t>14.1  投标报价明细表（全域公共服务管理）</w:t>
      </w:r>
    </w:p>
    <w:tbl>
      <w:tblPr>
        <w:tblStyle w:val="41"/>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857"/>
        <w:gridCol w:w="2062"/>
        <w:gridCol w:w="815"/>
        <w:gridCol w:w="1075"/>
        <w:gridCol w:w="1206"/>
        <w:gridCol w:w="137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blHeader/>
          <w:jc w:val="center"/>
        </w:trPr>
        <w:tc>
          <w:tcPr>
            <w:tcW w:w="760" w:type="dxa"/>
            <w:vAlign w:val="center"/>
          </w:tcPr>
          <w:p>
            <w:pPr>
              <w:adjustRightInd w:val="0"/>
              <w:snapToGrid w:val="0"/>
              <w:jc w:val="center"/>
              <w:rPr>
                <w:szCs w:val="21"/>
              </w:rPr>
            </w:pPr>
            <w:r>
              <w:rPr>
                <w:rFonts w:hint="eastAsia"/>
                <w:szCs w:val="21"/>
              </w:rPr>
              <w:t>序号</w:t>
            </w:r>
          </w:p>
        </w:tc>
        <w:tc>
          <w:tcPr>
            <w:tcW w:w="2954" w:type="dxa"/>
            <w:gridSpan w:val="2"/>
            <w:vAlign w:val="center"/>
          </w:tcPr>
          <w:p>
            <w:pPr>
              <w:adjustRightInd w:val="0"/>
              <w:snapToGrid w:val="0"/>
              <w:jc w:val="center"/>
              <w:rPr>
                <w:szCs w:val="21"/>
              </w:rPr>
            </w:pPr>
            <w:r>
              <w:rPr>
                <w:rFonts w:hint="eastAsia"/>
                <w:szCs w:val="21"/>
              </w:rPr>
              <w:t>项目内容</w:t>
            </w:r>
          </w:p>
        </w:tc>
        <w:tc>
          <w:tcPr>
            <w:tcW w:w="695" w:type="dxa"/>
            <w:vAlign w:val="center"/>
          </w:tcPr>
          <w:p>
            <w:pPr>
              <w:adjustRightInd w:val="0"/>
              <w:snapToGrid w:val="0"/>
              <w:ind w:left="388" w:hanging="388" w:hangingChars="185"/>
              <w:jc w:val="center"/>
              <w:rPr>
                <w:szCs w:val="21"/>
              </w:rPr>
            </w:pPr>
            <w:r>
              <w:rPr>
                <w:rFonts w:hint="eastAsia"/>
                <w:szCs w:val="21"/>
              </w:rPr>
              <w:t>单位</w:t>
            </w:r>
          </w:p>
        </w:tc>
        <w:tc>
          <w:tcPr>
            <w:tcW w:w="1091" w:type="dxa"/>
            <w:vAlign w:val="center"/>
          </w:tcPr>
          <w:p>
            <w:pPr>
              <w:adjustRightInd w:val="0"/>
              <w:snapToGrid w:val="0"/>
              <w:jc w:val="center"/>
              <w:rPr>
                <w:szCs w:val="21"/>
              </w:rPr>
            </w:pPr>
            <w:r>
              <w:rPr>
                <w:rFonts w:hint="eastAsia"/>
                <w:szCs w:val="21"/>
              </w:rPr>
              <w:t>数量</w:t>
            </w:r>
          </w:p>
        </w:tc>
        <w:tc>
          <w:tcPr>
            <w:tcW w:w="1220" w:type="dxa"/>
            <w:vAlign w:val="center"/>
          </w:tcPr>
          <w:p>
            <w:pPr>
              <w:adjustRightInd w:val="0"/>
              <w:snapToGrid w:val="0"/>
              <w:jc w:val="center"/>
              <w:rPr>
                <w:szCs w:val="21"/>
              </w:rPr>
            </w:pPr>
            <w:r>
              <w:rPr>
                <w:rFonts w:hint="eastAsia"/>
                <w:szCs w:val="21"/>
              </w:rPr>
              <w:t>单价</w:t>
            </w:r>
          </w:p>
          <w:p>
            <w:pPr>
              <w:adjustRightInd w:val="0"/>
              <w:snapToGrid w:val="0"/>
              <w:jc w:val="center"/>
              <w:rPr>
                <w:szCs w:val="21"/>
              </w:rPr>
            </w:pPr>
            <w:r>
              <w:rPr>
                <w:rFonts w:hint="eastAsia" w:asciiTheme="minorEastAsia" w:hAnsiTheme="minorEastAsia" w:eastAsiaTheme="minorEastAsia"/>
                <w:szCs w:val="21"/>
              </w:rPr>
              <w:t>（元/年</w:t>
            </w:r>
            <w:r>
              <w:rPr>
                <w:rFonts w:asciiTheme="minorEastAsia" w:hAnsiTheme="minorEastAsia" w:eastAsiaTheme="minorEastAsia"/>
                <w:szCs w:val="21"/>
              </w:rPr>
              <w:t>）</w:t>
            </w:r>
          </w:p>
        </w:tc>
        <w:tc>
          <w:tcPr>
            <w:tcW w:w="1397" w:type="dxa"/>
            <w:vAlign w:val="center"/>
          </w:tcPr>
          <w:p>
            <w:pPr>
              <w:adjustRightInd w:val="0"/>
              <w:snapToGrid w:val="0"/>
              <w:jc w:val="center"/>
              <w:rPr>
                <w:szCs w:val="21"/>
              </w:rPr>
            </w:pPr>
            <w:r>
              <w:rPr>
                <w:rFonts w:hint="eastAsia"/>
                <w:szCs w:val="21"/>
              </w:rPr>
              <w:t>合价</w:t>
            </w:r>
            <w:r>
              <w:rPr>
                <w:rFonts w:hint="eastAsia" w:asciiTheme="minorEastAsia" w:hAnsiTheme="minorEastAsia" w:eastAsiaTheme="minorEastAsia"/>
                <w:szCs w:val="21"/>
              </w:rPr>
              <w:t>/元</w:t>
            </w:r>
          </w:p>
        </w:tc>
        <w:tc>
          <w:tcPr>
            <w:tcW w:w="1428" w:type="dxa"/>
            <w:vAlign w:val="center"/>
          </w:tcPr>
          <w:p>
            <w:pPr>
              <w:adjustRightInd w:val="0"/>
              <w:snapToGrid w:val="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restart"/>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restart"/>
            <w:vAlign w:val="center"/>
          </w:tcPr>
          <w:p>
            <w:pPr>
              <w:adjustRightInd w:val="0"/>
              <w:snapToGrid w:val="0"/>
              <w:jc w:val="center"/>
              <w:rPr>
                <w:rFonts w:ascii="宋体" w:hAnsi="宋体" w:cs="宋体"/>
                <w:szCs w:val="21"/>
              </w:rPr>
            </w:pPr>
            <w:r>
              <w:rPr>
                <w:rFonts w:hint="eastAsia" w:ascii="宋体" w:hAnsi="宋体" w:cs="宋体"/>
                <w:szCs w:val="21"/>
              </w:rPr>
              <w:t>人员</w:t>
            </w:r>
            <w:r>
              <w:rPr>
                <w:rFonts w:hint="eastAsia" w:ascii="宋体" w:hAnsi="宋体"/>
                <w:szCs w:val="21"/>
              </w:rPr>
              <w:t>薪酬</w:t>
            </w:r>
          </w:p>
        </w:tc>
        <w:tc>
          <w:tcPr>
            <w:tcW w:w="209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项目经理</w:t>
            </w:r>
          </w:p>
        </w:tc>
        <w:tc>
          <w:tcPr>
            <w:tcW w:w="695" w:type="dxa"/>
            <w:vAlign w:val="center"/>
          </w:tcPr>
          <w:p>
            <w:pPr>
              <w:adjustRightInd w:val="0"/>
              <w:snapToGrid w:val="0"/>
              <w:jc w:val="center"/>
              <w:rPr>
                <w:szCs w:val="21"/>
              </w:rP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szCs w:val="21"/>
              </w:rPr>
            </w:pPr>
          </w:p>
        </w:tc>
        <w:tc>
          <w:tcPr>
            <w:tcW w:w="209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项目主管</w:t>
            </w:r>
          </w:p>
        </w:tc>
        <w:tc>
          <w:tcPr>
            <w:tcW w:w="695" w:type="dxa"/>
            <w:vAlign w:val="center"/>
          </w:tcPr>
          <w:p>
            <w:pPr>
              <w:adjustRightInd w:val="0"/>
              <w:snapToGrid w:val="0"/>
              <w:jc w:val="center"/>
              <w:rPr>
                <w:szCs w:val="21"/>
              </w:rP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szCs w:val="21"/>
              </w:rPr>
            </w:pPr>
          </w:p>
        </w:tc>
        <w:tc>
          <w:tcPr>
            <w:tcW w:w="209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文员</w:t>
            </w:r>
          </w:p>
        </w:tc>
        <w:tc>
          <w:tcPr>
            <w:tcW w:w="695" w:type="dxa"/>
            <w:vAlign w:val="center"/>
          </w:tcPr>
          <w:p>
            <w:pPr>
              <w:adjustRightInd w:val="0"/>
              <w:snapToGrid w:val="0"/>
              <w:jc w:val="center"/>
              <w:rPr>
                <w:szCs w:val="21"/>
              </w:rP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szCs w:val="21"/>
              </w:rPr>
            </w:pPr>
          </w:p>
        </w:tc>
        <w:tc>
          <w:tcPr>
            <w:tcW w:w="209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工业园区(安全生产)监管员</w:t>
            </w:r>
          </w:p>
        </w:tc>
        <w:tc>
          <w:tcPr>
            <w:tcW w:w="695" w:type="dxa"/>
            <w:vAlign w:val="center"/>
          </w:tcPr>
          <w:p>
            <w:pPr>
              <w:adjustRightInd w:val="0"/>
              <w:snapToGrid w:val="0"/>
              <w:jc w:val="center"/>
              <w:rPr>
                <w:szCs w:val="21"/>
              </w:rP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szCs w:val="21"/>
              </w:rPr>
            </w:pPr>
          </w:p>
        </w:tc>
        <w:tc>
          <w:tcPr>
            <w:tcW w:w="209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农贸市场管理员</w:t>
            </w:r>
          </w:p>
        </w:tc>
        <w:tc>
          <w:tcPr>
            <w:tcW w:w="695" w:type="dxa"/>
            <w:vAlign w:val="center"/>
          </w:tcPr>
          <w:p>
            <w:pPr>
              <w:adjustRightInd w:val="0"/>
              <w:snapToGrid w:val="0"/>
              <w:jc w:val="cente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szCs w:val="21"/>
              </w:rPr>
            </w:pPr>
          </w:p>
        </w:tc>
        <w:tc>
          <w:tcPr>
            <w:tcW w:w="209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镇政府保安</w:t>
            </w:r>
          </w:p>
        </w:tc>
        <w:tc>
          <w:tcPr>
            <w:tcW w:w="695" w:type="dxa"/>
            <w:vAlign w:val="center"/>
          </w:tcPr>
          <w:p>
            <w:pPr>
              <w:adjustRightInd w:val="0"/>
              <w:snapToGrid w:val="0"/>
              <w:jc w:val="center"/>
              <w:rPr>
                <w:szCs w:val="21"/>
              </w:rP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szCs w:val="21"/>
              </w:rPr>
            </w:pPr>
          </w:p>
        </w:tc>
        <w:tc>
          <w:tcPr>
            <w:tcW w:w="2092"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保洁</w:t>
            </w:r>
            <w:r>
              <w:rPr>
                <w:rFonts w:hint="eastAsia" w:ascii="宋体" w:hAnsi="宋体" w:cs="宋体"/>
                <w:color w:val="000000"/>
                <w:kern w:val="0"/>
                <w:sz w:val="20"/>
                <w:szCs w:val="20"/>
              </w:rPr>
              <w:t>（四位一体人居环境整治）、垃圾分类工作监管人员</w:t>
            </w:r>
          </w:p>
        </w:tc>
        <w:tc>
          <w:tcPr>
            <w:tcW w:w="695" w:type="dxa"/>
            <w:vAlign w:val="center"/>
          </w:tcPr>
          <w:p>
            <w:pPr>
              <w:adjustRightInd w:val="0"/>
              <w:snapToGrid w:val="0"/>
              <w:jc w:val="cente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pPr>
            <w:r>
              <w:rPr>
                <w:rFonts w:hint="eastAsia"/>
                <w:szCs w:val="21"/>
              </w:rPr>
              <w:t>数量≥7人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szCs w:val="21"/>
              </w:rPr>
            </w:pPr>
          </w:p>
        </w:tc>
        <w:tc>
          <w:tcPr>
            <w:tcW w:w="209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市容市貌、安全、治安辅助管理人员</w:t>
            </w:r>
          </w:p>
        </w:tc>
        <w:tc>
          <w:tcPr>
            <w:tcW w:w="695" w:type="dxa"/>
            <w:vAlign w:val="center"/>
          </w:tcPr>
          <w:p>
            <w:pPr>
              <w:adjustRightInd w:val="0"/>
              <w:snapToGrid w:val="0"/>
              <w:jc w:val="cente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pPr>
            <w:r>
              <w:rPr>
                <w:rFonts w:hint="eastAsia"/>
                <w:szCs w:val="21"/>
              </w:rPr>
              <w:t>数量≥13人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760" w:type="dxa"/>
            <w:vAlign w:val="center"/>
          </w:tcPr>
          <w:p>
            <w:pPr>
              <w:pStyle w:val="72"/>
              <w:numPr>
                <w:ilvl w:val="0"/>
                <w:numId w:val="63"/>
              </w:numPr>
              <w:adjustRightInd w:val="0"/>
              <w:snapToGrid w:val="0"/>
              <w:spacing w:line="240" w:lineRule="auto"/>
              <w:ind w:firstLineChars="0"/>
              <w:jc w:val="center"/>
              <w:rPr>
                <w:sz w:val="21"/>
                <w:szCs w:val="21"/>
              </w:rPr>
            </w:pPr>
          </w:p>
        </w:tc>
        <w:tc>
          <w:tcPr>
            <w:tcW w:w="2954" w:type="dxa"/>
            <w:gridSpan w:val="2"/>
            <w:vAlign w:val="center"/>
          </w:tcPr>
          <w:p>
            <w:pPr>
              <w:adjustRightInd w:val="0"/>
              <w:snapToGrid w:val="0"/>
              <w:jc w:val="center"/>
              <w:rPr>
                <w:szCs w:val="21"/>
              </w:rPr>
            </w:pPr>
            <w:r>
              <w:rPr>
                <w:rFonts w:hint="eastAsia" w:ascii="宋体" w:hAnsi="宋体"/>
                <w:szCs w:val="21"/>
              </w:rPr>
              <w:t>人身意外伤害险</w:t>
            </w:r>
          </w:p>
        </w:tc>
        <w:tc>
          <w:tcPr>
            <w:tcW w:w="695" w:type="dxa"/>
            <w:vAlign w:val="center"/>
          </w:tcPr>
          <w:p>
            <w:pPr>
              <w:adjustRightInd w:val="0"/>
              <w:snapToGrid w:val="0"/>
              <w:jc w:val="center"/>
              <w:rPr>
                <w:szCs w:val="21"/>
              </w:rPr>
            </w:pPr>
            <w:r>
              <w:rPr>
                <w:rFonts w:hint="eastAsia"/>
                <w:szCs w:val="21"/>
              </w:rPr>
              <w:t>人</w:t>
            </w:r>
          </w:p>
        </w:tc>
        <w:tc>
          <w:tcPr>
            <w:tcW w:w="1091" w:type="dxa"/>
            <w:vAlign w:val="center"/>
          </w:tcPr>
          <w:p>
            <w:pPr>
              <w:adjustRightInd w:val="0"/>
              <w:snapToGrid w:val="0"/>
              <w:jc w:val="center"/>
              <w:rPr>
                <w:rFonts w:ascii="宋体" w:hAnsi="宋体" w:cs="宋体"/>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数量≥36人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60" w:type="dxa"/>
            <w:vMerge w:val="restart"/>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restart"/>
            <w:vAlign w:val="center"/>
          </w:tcPr>
          <w:p>
            <w:pPr>
              <w:adjustRightInd w:val="0"/>
              <w:snapToGrid w:val="0"/>
              <w:jc w:val="center"/>
              <w:rPr>
                <w:rFonts w:ascii="宋体" w:hAnsi="宋体" w:cs="宋体"/>
                <w:szCs w:val="21"/>
              </w:rPr>
            </w:pPr>
            <w:r>
              <w:rPr>
                <w:rFonts w:hint="eastAsia" w:ascii="宋体" w:hAnsi="宋体" w:cs="宋体"/>
                <w:kern w:val="0"/>
                <w:szCs w:val="21"/>
              </w:rPr>
              <w:t>服装、工具</w:t>
            </w:r>
          </w:p>
        </w:tc>
        <w:tc>
          <w:tcPr>
            <w:tcW w:w="2092" w:type="dxa"/>
            <w:vAlign w:val="center"/>
          </w:tcPr>
          <w:p>
            <w:pPr>
              <w:adjustRightInd w:val="0"/>
              <w:snapToGrid w:val="0"/>
              <w:jc w:val="center"/>
              <w:rPr>
                <w:szCs w:val="21"/>
              </w:rPr>
            </w:pPr>
            <w:r>
              <w:rPr>
                <w:rFonts w:hint="eastAsia" w:ascii="宋体" w:hAnsi="宋体" w:cs="宋体"/>
                <w:kern w:val="0"/>
                <w:szCs w:val="21"/>
              </w:rPr>
              <w:t>服装</w:t>
            </w:r>
          </w:p>
        </w:tc>
        <w:tc>
          <w:tcPr>
            <w:tcW w:w="695" w:type="dxa"/>
            <w:vAlign w:val="center"/>
          </w:tcPr>
          <w:p>
            <w:pPr>
              <w:adjustRightInd w:val="0"/>
              <w:snapToGrid w:val="0"/>
              <w:jc w:val="center"/>
              <w:rPr>
                <w:szCs w:val="21"/>
              </w:rPr>
            </w:pPr>
            <w:r>
              <w:rPr>
                <w:rFonts w:hint="eastAsia"/>
                <w:szCs w:val="21"/>
              </w:rPr>
              <w:t>份</w:t>
            </w:r>
          </w:p>
        </w:tc>
        <w:tc>
          <w:tcPr>
            <w:tcW w:w="1091" w:type="dxa"/>
            <w:vAlign w:val="center"/>
          </w:tcPr>
          <w:p>
            <w:pPr>
              <w:adjustRightInd w:val="0"/>
              <w:snapToGrid w:val="0"/>
              <w:jc w:val="center"/>
              <w:rPr>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r>
              <w:rPr>
                <w:rFonts w:hint="eastAsia"/>
                <w:szCs w:val="21"/>
              </w:rPr>
              <w:t>数量≥36人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60" w:type="dxa"/>
            <w:vMerge w:val="continue"/>
            <w:vAlign w:val="center"/>
          </w:tcPr>
          <w:p>
            <w:pPr>
              <w:pStyle w:val="72"/>
              <w:numPr>
                <w:ilvl w:val="0"/>
                <w:numId w:val="63"/>
              </w:numPr>
              <w:adjustRightInd w:val="0"/>
              <w:snapToGrid w:val="0"/>
              <w:spacing w:line="240" w:lineRule="auto"/>
              <w:ind w:firstLineChars="0"/>
              <w:jc w:val="center"/>
              <w:rPr>
                <w:sz w:val="21"/>
                <w:szCs w:val="21"/>
              </w:rPr>
            </w:pPr>
          </w:p>
        </w:tc>
        <w:tc>
          <w:tcPr>
            <w:tcW w:w="862" w:type="dxa"/>
            <w:vMerge w:val="continue"/>
            <w:vAlign w:val="center"/>
          </w:tcPr>
          <w:p>
            <w:pPr>
              <w:adjustRightInd w:val="0"/>
              <w:snapToGrid w:val="0"/>
              <w:jc w:val="center"/>
              <w:rPr>
                <w:rFonts w:ascii="宋体" w:hAnsi="宋体" w:cs="宋体"/>
                <w:kern w:val="0"/>
                <w:szCs w:val="21"/>
              </w:rPr>
            </w:pPr>
          </w:p>
        </w:tc>
        <w:tc>
          <w:tcPr>
            <w:tcW w:w="2092"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工具</w:t>
            </w:r>
          </w:p>
        </w:tc>
        <w:tc>
          <w:tcPr>
            <w:tcW w:w="695" w:type="dxa"/>
            <w:vAlign w:val="center"/>
          </w:tcPr>
          <w:p>
            <w:pPr>
              <w:adjustRightInd w:val="0"/>
              <w:snapToGrid w:val="0"/>
              <w:jc w:val="center"/>
              <w:rPr>
                <w:szCs w:val="21"/>
              </w:rPr>
            </w:pPr>
            <w:r>
              <w:rPr>
                <w:rFonts w:hint="eastAsia"/>
                <w:szCs w:val="21"/>
              </w:rPr>
              <w:t>项</w:t>
            </w:r>
          </w:p>
        </w:tc>
        <w:tc>
          <w:tcPr>
            <w:tcW w:w="1091" w:type="dxa"/>
            <w:vAlign w:val="center"/>
          </w:tcPr>
          <w:p>
            <w:pPr>
              <w:adjustRightInd w:val="0"/>
              <w:snapToGrid w:val="0"/>
              <w:jc w:val="center"/>
              <w:rPr>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widowControl/>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60" w:type="dxa"/>
            <w:vAlign w:val="center"/>
          </w:tcPr>
          <w:p>
            <w:pPr>
              <w:pStyle w:val="72"/>
              <w:numPr>
                <w:ilvl w:val="0"/>
                <w:numId w:val="63"/>
              </w:numPr>
              <w:adjustRightInd w:val="0"/>
              <w:snapToGrid w:val="0"/>
              <w:spacing w:line="240" w:lineRule="auto"/>
              <w:ind w:firstLineChars="0"/>
              <w:jc w:val="center"/>
              <w:rPr>
                <w:sz w:val="21"/>
                <w:szCs w:val="21"/>
              </w:rPr>
            </w:pPr>
          </w:p>
        </w:tc>
        <w:tc>
          <w:tcPr>
            <w:tcW w:w="862"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2092" w:type="dxa"/>
            <w:vAlign w:val="center"/>
          </w:tcPr>
          <w:p>
            <w:pPr>
              <w:adjustRightInd w:val="0"/>
              <w:snapToGrid w:val="0"/>
              <w:jc w:val="center"/>
              <w:rPr>
                <w:szCs w:val="21"/>
              </w:rPr>
            </w:pPr>
          </w:p>
        </w:tc>
        <w:tc>
          <w:tcPr>
            <w:tcW w:w="695" w:type="dxa"/>
            <w:vAlign w:val="center"/>
          </w:tcPr>
          <w:p>
            <w:pPr>
              <w:adjustRightInd w:val="0"/>
              <w:snapToGrid w:val="0"/>
              <w:jc w:val="center"/>
              <w:rPr>
                <w:szCs w:val="21"/>
              </w:rPr>
            </w:pPr>
          </w:p>
        </w:tc>
        <w:tc>
          <w:tcPr>
            <w:tcW w:w="1091" w:type="dxa"/>
            <w:vAlign w:val="center"/>
          </w:tcPr>
          <w:p>
            <w:pPr>
              <w:adjustRightInd w:val="0"/>
              <w:snapToGrid w:val="0"/>
              <w:jc w:val="center"/>
              <w:rPr>
                <w:szCs w:val="21"/>
              </w:rPr>
            </w:pPr>
          </w:p>
        </w:tc>
        <w:tc>
          <w:tcPr>
            <w:tcW w:w="1220" w:type="dxa"/>
            <w:vAlign w:val="center"/>
          </w:tcPr>
          <w:p>
            <w:pPr>
              <w:adjustRightInd w:val="0"/>
              <w:snapToGrid w:val="0"/>
              <w:jc w:val="center"/>
              <w:rPr>
                <w:szCs w:val="21"/>
              </w:rPr>
            </w:pP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60" w:type="dxa"/>
            <w:vAlign w:val="center"/>
          </w:tcPr>
          <w:p>
            <w:pPr>
              <w:pStyle w:val="72"/>
              <w:numPr>
                <w:ilvl w:val="0"/>
                <w:numId w:val="63"/>
              </w:numPr>
              <w:adjustRightInd w:val="0"/>
              <w:snapToGrid w:val="0"/>
              <w:spacing w:line="240" w:lineRule="auto"/>
              <w:ind w:firstLineChars="0"/>
              <w:jc w:val="center"/>
              <w:rPr>
                <w:sz w:val="21"/>
                <w:szCs w:val="21"/>
              </w:rPr>
            </w:pPr>
          </w:p>
        </w:tc>
        <w:tc>
          <w:tcPr>
            <w:tcW w:w="2954" w:type="dxa"/>
            <w:gridSpan w:val="2"/>
            <w:vAlign w:val="center"/>
          </w:tcPr>
          <w:p>
            <w:pPr>
              <w:adjustRightInd w:val="0"/>
              <w:snapToGrid w:val="0"/>
              <w:jc w:val="center"/>
              <w:rPr>
                <w:szCs w:val="21"/>
              </w:rPr>
            </w:pPr>
            <w:r>
              <w:rPr>
                <w:rFonts w:hint="eastAsia" w:ascii="宋体" w:hAnsi="宋体" w:cs="宋体"/>
                <w:kern w:val="0"/>
                <w:szCs w:val="21"/>
              </w:rPr>
              <w:t>小计</w:t>
            </w:r>
          </w:p>
        </w:tc>
        <w:tc>
          <w:tcPr>
            <w:tcW w:w="3005" w:type="dxa"/>
            <w:gridSpan w:val="3"/>
            <w:vAlign w:val="center"/>
          </w:tcPr>
          <w:p>
            <w:pPr>
              <w:adjustRightInd w:val="0"/>
              <w:snapToGrid w:val="0"/>
              <w:jc w:val="center"/>
              <w:rPr>
                <w:szCs w:val="21"/>
              </w:rPr>
            </w:pPr>
            <w:r>
              <w:rPr>
                <w:rFonts w:hint="eastAsia"/>
                <w:szCs w:val="21"/>
              </w:rPr>
              <w:t>（1）+（2）+（3）+（4）</w:t>
            </w: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60" w:type="dxa"/>
            <w:vAlign w:val="center"/>
          </w:tcPr>
          <w:p>
            <w:pPr>
              <w:pStyle w:val="72"/>
              <w:numPr>
                <w:ilvl w:val="0"/>
                <w:numId w:val="63"/>
              </w:numPr>
              <w:adjustRightInd w:val="0"/>
              <w:snapToGrid w:val="0"/>
              <w:spacing w:line="240" w:lineRule="auto"/>
              <w:ind w:firstLineChars="0"/>
              <w:jc w:val="center"/>
              <w:rPr>
                <w:sz w:val="21"/>
                <w:szCs w:val="21"/>
              </w:rPr>
            </w:pPr>
          </w:p>
        </w:tc>
        <w:tc>
          <w:tcPr>
            <w:tcW w:w="2954" w:type="dxa"/>
            <w:gridSpan w:val="2"/>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管理费及利润</w:t>
            </w:r>
          </w:p>
        </w:tc>
        <w:tc>
          <w:tcPr>
            <w:tcW w:w="3005" w:type="dxa"/>
            <w:gridSpan w:val="3"/>
            <w:vAlign w:val="center"/>
          </w:tcPr>
          <w:p>
            <w:pPr>
              <w:adjustRightInd w:val="0"/>
              <w:snapToGrid w:val="0"/>
              <w:jc w:val="center"/>
              <w:rPr>
                <w:szCs w:val="21"/>
                <w:u w:val="single"/>
              </w:rPr>
            </w:pPr>
            <w:r>
              <w:rPr>
                <w:rFonts w:hint="eastAsia"/>
                <w:szCs w:val="21"/>
              </w:rPr>
              <w:t>（5）×</w:t>
            </w:r>
            <w:r>
              <w:rPr>
                <w:rFonts w:hint="eastAsia"/>
                <w:szCs w:val="21"/>
                <w:u w:val="single"/>
              </w:rPr>
              <w:t xml:space="preserve">       %</w:t>
            </w:r>
          </w:p>
        </w:tc>
        <w:tc>
          <w:tcPr>
            <w:tcW w:w="1397" w:type="dxa"/>
            <w:vAlign w:val="center"/>
          </w:tcPr>
          <w:p>
            <w:pPr>
              <w:adjustRightInd w:val="0"/>
              <w:snapToGrid w:val="0"/>
              <w:jc w:val="center"/>
              <w:rPr>
                <w:szCs w:val="21"/>
              </w:rPr>
            </w:pPr>
          </w:p>
        </w:tc>
        <w:tc>
          <w:tcPr>
            <w:tcW w:w="1428" w:type="dxa"/>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60" w:type="dxa"/>
            <w:vAlign w:val="center"/>
          </w:tcPr>
          <w:p>
            <w:pPr>
              <w:pStyle w:val="72"/>
              <w:numPr>
                <w:ilvl w:val="0"/>
                <w:numId w:val="63"/>
              </w:numPr>
              <w:adjustRightInd w:val="0"/>
              <w:snapToGrid w:val="0"/>
              <w:spacing w:line="240" w:lineRule="auto"/>
              <w:ind w:firstLineChars="0"/>
              <w:jc w:val="center"/>
              <w:rPr>
                <w:sz w:val="21"/>
                <w:szCs w:val="21"/>
              </w:rPr>
            </w:pPr>
          </w:p>
        </w:tc>
        <w:tc>
          <w:tcPr>
            <w:tcW w:w="2954" w:type="dxa"/>
            <w:gridSpan w:val="2"/>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税金</w:t>
            </w:r>
          </w:p>
        </w:tc>
        <w:tc>
          <w:tcPr>
            <w:tcW w:w="3005" w:type="dxa"/>
            <w:gridSpan w:val="3"/>
            <w:vAlign w:val="center"/>
          </w:tcPr>
          <w:p>
            <w:pPr>
              <w:adjustRightInd w:val="0"/>
              <w:snapToGrid w:val="0"/>
              <w:jc w:val="center"/>
              <w:rPr>
                <w:szCs w:val="21"/>
              </w:rPr>
            </w:pPr>
            <w:r>
              <w:rPr>
                <w:rFonts w:hint="eastAsia"/>
                <w:szCs w:val="21"/>
              </w:rPr>
              <w:t>【（5）+（6）】 ×</w:t>
            </w:r>
            <w:r>
              <w:rPr>
                <w:rFonts w:hint="eastAsia"/>
                <w:szCs w:val="21"/>
                <w:u w:val="single"/>
              </w:rPr>
              <w:t xml:space="preserve">       %</w:t>
            </w:r>
          </w:p>
        </w:tc>
        <w:tc>
          <w:tcPr>
            <w:tcW w:w="1397" w:type="dxa"/>
            <w:vAlign w:val="center"/>
          </w:tcPr>
          <w:p>
            <w:pPr>
              <w:adjustRightInd w:val="0"/>
              <w:snapToGrid w:val="0"/>
              <w:jc w:val="center"/>
              <w:rPr>
                <w:szCs w:val="21"/>
              </w:rPr>
            </w:pPr>
          </w:p>
        </w:tc>
        <w:tc>
          <w:tcPr>
            <w:tcW w:w="1428" w:type="dxa"/>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60" w:type="dxa"/>
            <w:vAlign w:val="center"/>
          </w:tcPr>
          <w:p>
            <w:pPr>
              <w:pStyle w:val="72"/>
              <w:numPr>
                <w:ilvl w:val="0"/>
                <w:numId w:val="63"/>
              </w:numPr>
              <w:adjustRightInd w:val="0"/>
              <w:snapToGrid w:val="0"/>
              <w:spacing w:line="240" w:lineRule="auto"/>
              <w:ind w:firstLineChars="0"/>
              <w:jc w:val="center"/>
              <w:rPr>
                <w:sz w:val="21"/>
                <w:szCs w:val="21"/>
              </w:rPr>
            </w:pPr>
          </w:p>
        </w:tc>
        <w:tc>
          <w:tcPr>
            <w:tcW w:w="2954"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总价</w:t>
            </w:r>
          </w:p>
        </w:tc>
        <w:tc>
          <w:tcPr>
            <w:tcW w:w="3005" w:type="dxa"/>
            <w:gridSpan w:val="3"/>
            <w:vAlign w:val="center"/>
          </w:tcPr>
          <w:p>
            <w:pPr>
              <w:adjustRightInd w:val="0"/>
              <w:snapToGrid w:val="0"/>
              <w:jc w:val="center"/>
              <w:rPr>
                <w:szCs w:val="21"/>
              </w:rPr>
            </w:pPr>
            <w:r>
              <w:rPr>
                <w:rFonts w:hint="eastAsia"/>
                <w:szCs w:val="21"/>
              </w:rPr>
              <w:t>（5）+（6）+（7）</w:t>
            </w:r>
          </w:p>
        </w:tc>
        <w:tc>
          <w:tcPr>
            <w:tcW w:w="1397" w:type="dxa"/>
            <w:vAlign w:val="center"/>
          </w:tcPr>
          <w:p>
            <w:pPr>
              <w:adjustRightInd w:val="0"/>
              <w:snapToGrid w:val="0"/>
              <w:jc w:val="center"/>
              <w:rPr>
                <w:szCs w:val="21"/>
              </w:rPr>
            </w:pPr>
          </w:p>
        </w:tc>
        <w:tc>
          <w:tcPr>
            <w:tcW w:w="1428" w:type="dxa"/>
            <w:vAlign w:val="center"/>
          </w:tcPr>
          <w:p>
            <w:pPr>
              <w:adjustRightInd w:val="0"/>
              <w:snapToGrid w:val="0"/>
              <w:jc w:val="center"/>
              <w:rPr>
                <w:szCs w:val="21"/>
              </w:rPr>
            </w:pPr>
          </w:p>
        </w:tc>
      </w:tr>
    </w:tbl>
    <w:p>
      <w:pPr>
        <w:pStyle w:val="20"/>
        <w:adjustRightInd w:val="0"/>
        <w:snapToGrid w:val="0"/>
        <w:spacing w:beforeLines="0" w:afterLines="0" w:line="240" w:lineRule="auto"/>
        <w:ind w:firstLine="283" w:firstLineChars="13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注：</w:t>
      </w:r>
    </w:p>
    <w:p>
      <w:pPr>
        <w:pStyle w:val="20"/>
        <w:numPr>
          <w:ilvl w:val="0"/>
          <w:numId w:val="64"/>
        </w:numPr>
        <w:adjustRightInd w:val="0"/>
        <w:snapToGrid w:val="0"/>
        <w:spacing w:beforeLines="0" w:afterLines="0" w:line="240" w:lineRule="auto"/>
        <w:ind w:left="0" w:firstLine="337" w:firstLineChars="135"/>
        <w:rPr>
          <w:rFonts w:hAnsi="宋体"/>
          <w:spacing w:val="20"/>
          <w:sz w:val="21"/>
          <w:szCs w:val="21"/>
        </w:rPr>
      </w:pPr>
      <w:r>
        <w:rPr>
          <w:rFonts w:hint="eastAsia" w:hAnsi="宋体"/>
          <w:spacing w:val="20"/>
          <w:sz w:val="21"/>
          <w:szCs w:val="21"/>
        </w:rPr>
        <w:t>本表总价为年度服务费，表格格式不得修改，但项目内容供应商可根据自身情况进行增加，</w:t>
      </w:r>
      <w:r>
        <w:rPr>
          <w:rFonts w:hint="eastAsia" w:asciiTheme="minorEastAsia" w:hAnsiTheme="minorEastAsia" w:eastAsiaTheme="minorEastAsia"/>
          <w:spacing w:val="20"/>
          <w:sz w:val="21"/>
          <w:szCs w:val="21"/>
        </w:rPr>
        <w:t>未列入本表的费用，视作已全部考虑在其他投标报价中</w:t>
      </w:r>
      <w:r>
        <w:rPr>
          <w:rFonts w:hint="eastAsia" w:hAnsi="宋体"/>
          <w:spacing w:val="20"/>
          <w:sz w:val="21"/>
          <w:szCs w:val="21"/>
        </w:rPr>
        <w:t>。</w:t>
      </w:r>
    </w:p>
    <w:p>
      <w:pPr>
        <w:pStyle w:val="20"/>
        <w:numPr>
          <w:ilvl w:val="0"/>
          <w:numId w:val="64"/>
        </w:numPr>
        <w:adjustRightInd w:val="0"/>
        <w:snapToGrid w:val="0"/>
        <w:spacing w:beforeLines="0" w:afterLines="0" w:line="240" w:lineRule="auto"/>
        <w:ind w:left="0" w:firstLine="337" w:firstLineChars="135"/>
        <w:rPr>
          <w:rFonts w:asciiTheme="minorEastAsia" w:hAnsiTheme="minorEastAsia" w:eastAsiaTheme="minorEastAsia" w:cstheme="minorBidi"/>
          <w:spacing w:val="20"/>
          <w:sz w:val="21"/>
          <w:szCs w:val="21"/>
        </w:rPr>
      </w:pPr>
      <w:r>
        <w:rPr>
          <w:rFonts w:hint="eastAsia" w:asciiTheme="minorEastAsia" w:hAnsiTheme="minorEastAsia" w:eastAsiaTheme="minorEastAsia" w:cstheme="minorBidi"/>
          <w:spacing w:val="20"/>
          <w:sz w:val="21"/>
          <w:szCs w:val="21"/>
        </w:rPr>
        <w:t>人员薪酬包括含工资、福利、社保、加班费等所有费用,其中人员工资必须符合本县当年最低工资标准和浙政办发〔2009〕190号《浙江省关于进一步改善环卫工人工作生活条件促进环卫事业持续健康发展的若干意见》规定，确保其月工资收入不低于当地最低工资标准的110%(即1980元/月*12=23760元/年)，人工工资报价低于该标准的作废标处理。</w:t>
      </w:r>
    </w:p>
    <w:p>
      <w:pPr>
        <w:pStyle w:val="20"/>
        <w:adjustRightInd w:val="0"/>
        <w:snapToGrid w:val="0"/>
        <w:spacing w:beforeLines="0" w:afterLines="0" w:line="240" w:lineRule="auto"/>
        <w:ind w:left="338"/>
        <w:rPr>
          <w:rFonts w:asciiTheme="minorEastAsia" w:hAnsiTheme="minorEastAsia" w:eastAsiaTheme="minorEastAsia" w:cstheme="minorBidi"/>
          <w:spacing w:val="20"/>
          <w:sz w:val="21"/>
          <w:szCs w:val="21"/>
        </w:rPr>
      </w:pPr>
    </w:p>
    <w:p>
      <w:pPr>
        <w:pStyle w:val="20"/>
        <w:adjustRightInd w:val="0"/>
        <w:snapToGrid w:val="0"/>
        <w:spacing w:beforeLines="0" w:afterLines="0" w:line="240" w:lineRule="auto"/>
        <w:ind w:left="338"/>
        <w:rPr>
          <w:rFonts w:asciiTheme="minorEastAsia" w:hAnsiTheme="minorEastAsia" w:eastAsiaTheme="minorEastAsia" w:cstheme="minorBidi"/>
          <w:spacing w:val="20"/>
          <w:sz w:val="21"/>
          <w:szCs w:val="21"/>
        </w:rPr>
      </w:pPr>
    </w:p>
    <w:p>
      <w:pPr>
        <w:snapToGrid w:val="0"/>
        <w:rPr>
          <w:rFonts w:ascii="宋体" w:hAnsi="宋体"/>
          <w:sz w:val="24"/>
        </w:rPr>
      </w:pPr>
      <w:r>
        <w:rPr>
          <w:rFonts w:hint="eastAsia" w:ascii="宋体" w:hAnsi="宋体"/>
          <w:sz w:val="24"/>
        </w:rPr>
        <w:t>法定代表人或被授权人签字（或盖章）：</w:t>
      </w:r>
      <w:r>
        <w:rPr>
          <w:rFonts w:ascii="宋体" w:hAnsi="宋体"/>
          <w:sz w:val="24"/>
        </w:rPr>
        <w:t xml:space="preserve">          </w:t>
      </w:r>
    </w:p>
    <w:p>
      <w:pPr>
        <w:snapToGrid w:val="0"/>
        <w:rPr>
          <w:rFonts w:ascii="宋体" w:hAnsi="宋体"/>
          <w:spacing w:val="20"/>
          <w:sz w:val="24"/>
        </w:rPr>
      </w:pPr>
      <w:r>
        <w:rPr>
          <w:rFonts w:hint="eastAsia" w:ascii="宋体" w:hAnsi="宋体"/>
          <w:sz w:val="24"/>
        </w:rPr>
        <w:t>投标人（盖章）：</w:t>
      </w:r>
      <w:r>
        <w:rPr>
          <w:rFonts w:ascii="宋体" w:hAnsi="宋体"/>
          <w:sz w:val="24"/>
        </w:rPr>
        <w:t xml:space="preserve">   </w:t>
      </w:r>
      <w:r>
        <w:rPr>
          <w:rFonts w:ascii="宋体" w:hAnsi="宋体"/>
          <w:spacing w:val="20"/>
          <w:sz w:val="24"/>
        </w:rPr>
        <w:t xml:space="preserve">      </w:t>
      </w:r>
      <w:r>
        <w:rPr>
          <w:rFonts w:hint="eastAsia" w:ascii="宋体" w:hAnsi="宋体"/>
          <w:spacing w:val="20"/>
          <w:sz w:val="24"/>
        </w:rPr>
        <w:t xml:space="preserve">            </w:t>
      </w:r>
    </w:p>
    <w:p>
      <w:pPr>
        <w:snapToGrid w:val="0"/>
        <w:rPr>
          <w:rFonts w:ascii="宋体" w:hAnsi="宋体"/>
          <w:b/>
          <w:sz w:val="24"/>
        </w:rPr>
      </w:pPr>
      <w:r>
        <w:rPr>
          <w:rFonts w:hint="eastAsia"/>
          <w:sz w:val="24"/>
        </w:rPr>
        <w:t>日期：      年   月    日</w:t>
      </w:r>
      <w:r>
        <w:rPr>
          <w:rFonts w:hAnsi="宋体"/>
          <w:b/>
          <w:sz w:val="24"/>
        </w:rPr>
        <w:br w:type="page"/>
      </w:r>
    </w:p>
    <w:p>
      <w:pPr>
        <w:pStyle w:val="67"/>
        <w:jc w:val="center"/>
        <w:rPr>
          <w:rFonts w:hAnsi="宋体" w:eastAsia="宋体"/>
          <w:b/>
          <w:sz w:val="28"/>
          <w:szCs w:val="28"/>
        </w:rPr>
      </w:pPr>
      <w:r>
        <w:rPr>
          <w:rFonts w:hint="eastAsia" w:hAnsi="宋体" w:eastAsia="宋体"/>
          <w:b/>
          <w:sz w:val="28"/>
          <w:szCs w:val="28"/>
        </w:rPr>
        <w:t>14.2  投标报价明细表（集镇和工业园区保洁）</w:t>
      </w:r>
    </w:p>
    <w:tbl>
      <w:tblPr>
        <w:tblStyle w:val="4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59"/>
        <w:gridCol w:w="2066"/>
        <w:gridCol w:w="815"/>
        <w:gridCol w:w="1078"/>
        <w:gridCol w:w="1209"/>
        <w:gridCol w:w="1378"/>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62" w:type="dxa"/>
            <w:vAlign w:val="center"/>
          </w:tcPr>
          <w:p>
            <w:pPr>
              <w:adjustRightInd w:val="0"/>
              <w:snapToGrid w:val="0"/>
              <w:jc w:val="center"/>
              <w:rPr>
                <w:szCs w:val="21"/>
              </w:rPr>
            </w:pPr>
            <w:r>
              <w:rPr>
                <w:rFonts w:hint="eastAsia"/>
                <w:szCs w:val="21"/>
              </w:rPr>
              <w:t>序号</w:t>
            </w:r>
          </w:p>
        </w:tc>
        <w:tc>
          <w:tcPr>
            <w:tcW w:w="2962" w:type="dxa"/>
            <w:gridSpan w:val="2"/>
            <w:vAlign w:val="center"/>
          </w:tcPr>
          <w:p>
            <w:pPr>
              <w:adjustRightInd w:val="0"/>
              <w:snapToGrid w:val="0"/>
              <w:jc w:val="center"/>
              <w:rPr>
                <w:szCs w:val="21"/>
              </w:rPr>
            </w:pPr>
            <w:r>
              <w:rPr>
                <w:rFonts w:hint="eastAsia"/>
                <w:szCs w:val="21"/>
              </w:rPr>
              <w:t>项目内容</w:t>
            </w:r>
          </w:p>
        </w:tc>
        <w:tc>
          <w:tcPr>
            <w:tcW w:w="697" w:type="dxa"/>
            <w:vAlign w:val="center"/>
          </w:tcPr>
          <w:p>
            <w:pPr>
              <w:adjustRightInd w:val="0"/>
              <w:snapToGrid w:val="0"/>
              <w:ind w:left="388" w:hanging="388" w:hangingChars="185"/>
              <w:jc w:val="center"/>
              <w:rPr>
                <w:szCs w:val="21"/>
              </w:rPr>
            </w:pPr>
            <w:r>
              <w:rPr>
                <w:rFonts w:hint="eastAsia"/>
                <w:szCs w:val="21"/>
              </w:rPr>
              <w:t>单位</w:t>
            </w:r>
          </w:p>
        </w:tc>
        <w:tc>
          <w:tcPr>
            <w:tcW w:w="1094" w:type="dxa"/>
            <w:vAlign w:val="center"/>
          </w:tcPr>
          <w:p>
            <w:pPr>
              <w:adjustRightInd w:val="0"/>
              <w:snapToGrid w:val="0"/>
              <w:jc w:val="center"/>
              <w:rPr>
                <w:szCs w:val="21"/>
              </w:rPr>
            </w:pPr>
            <w:r>
              <w:rPr>
                <w:rFonts w:hint="eastAsia"/>
                <w:szCs w:val="21"/>
              </w:rPr>
              <w:t>数量</w:t>
            </w:r>
          </w:p>
        </w:tc>
        <w:tc>
          <w:tcPr>
            <w:tcW w:w="1223" w:type="dxa"/>
            <w:vAlign w:val="center"/>
          </w:tcPr>
          <w:p>
            <w:pPr>
              <w:adjustRightInd w:val="0"/>
              <w:snapToGrid w:val="0"/>
              <w:jc w:val="center"/>
              <w:rPr>
                <w:szCs w:val="21"/>
              </w:rPr>
            </w:pPr>
            <w:r>
              <w:rPr>
                <w:rFonts w:hint="eastAsia"/>
                <w:szCs w:val="21"/>
              </w:rPr>
              <w:t>单价</w:t>
            </w:r>
          </w:p>
          <w:p>
            <w:pPr>
              <w:adjustRightInd w:val="0"/>
              <w:snapToGrid w:val="0"/>
              <w:jc w:val="center"/>
              <w:rPr>
                <w:szCs w:val="21"/>
              </w:rPr>
            </w:pPr>
            <w:r>
              <w:rPr>
                <w:rFonts w:hint="eastAsia" w:asciiTheme="minorEastAsia" w:hAnsiTheme="minorEastAsia" w:eastAsiaTheme="minorEastAsia"/>
                <w:szCs w:val="21"/>
              </w:rPr>
              <w:t>（元/年</w:t>
            </w:r>
            <w:r>
              <w:rPr>
                <w:rFonts w:asciiTheme="minorEastAsia" w:hAnsiTheme="minorEastAsia" w:eastAsiaTheme="minorEastAsia"/>
                <w:szCs w:val="21"/>
              </w:rPr>
              <w:t>）</w:t>
            </w:r>
          </w:p>
        </w:tc>
        <w:tc>
          <w:tcPr>
            <w:tcW w:w="1401" w:type="dxa"/>
            <w:vAlign w:val="center"/>
          </w:tcPr>
          <w:p>
            <w:pPr>
              <w:adjustRightInd w:val="0"/>
              <w:snapToGrid w:val="0"/>
              <w:jc w:val="center"/>
              <w:rPr>
                <w:szCs w:val="21"/>
              </w:rPr>
            </w:pPr>
            <w:r>
              <w:rPr>
                <w:rFonts w:hint="eastAsia"/>
                <w:szCs w:val="21"/>
              </w:rPr>
              <w:t>合价</w:t>
            </w:r>
            <w:r>
              <w:rPr>
                <w:rFonts w:hint="eastAsia" w:asciiTheme="minorEastAsia" w:hAnsiTheme="minorEastAsia" w:eastAsiaTheme="minorEastAsia"/>
                <w:szCs w:val="21"/>
              </w:rPr>
              <w:t>/元</w:t>
            </w:r>
          </w:p>
        </w:tc>
        <w:tc>
          <w:tcPr>
            <w:tcW w:w="1431" w:type="dxa"/>
            <w:vAlign w:val="center"/>
          </w:tcPr>
          <w:p>
            <w:pPr>
              <w:adjustRightInd w:val="0"/>
              <w:snapToGrid w:val="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restart"/>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restart"/>
            <w:vAlign w:val="center"/>
          </w:tcPr>
          <w:p>
            <w:pPr>
              <w:adjustRightInd w:val="0"/>
              <w:snapToGrid w:val="0"/>
              <w:jc w:val="center"/>
              <w:rPr>
                <w:rFonts w:ascii="宋体" w:hAnsi="宋体" w:cs="宋体"/>
                <w:szCs w:val="21"/>
              </w:rPr>
            </w:pPr>
            <w:r>
              <w:rPr>
                <w:rFonts w:hint="eastAsia" w:ascii="宋体" w:hAnsi="宋体" w:cs="宋体"/>
                <w:szCs w:val="21"/>
              </w:rPr>
              <w:t>人员</w:t>
            </w:r>
            <w:r>
              <w:rPr>
                <w:rFonts w:hint="eastAsia" w:ascii="宋体" w:hAnsi="宋体"/>
                <w:szCs w:val="21"/>
              </w:rPr>
              <w:t>薪酬</w:t>
            </w:r>
          </w:p>
        </w:tc>
        <w:tc>
          <w:tcPr>
            <w:tcW w:w="2098" w:type="dxa"/>
            <w:vAlign w:val="center"/>
          </w:tcPr>
          <w:p>
            <w:pPr>
              <w:adjustRightInd w:val="0"/>
              <w:snapToGrid w:val="0"/>
              <w:jc w:val="center"/>
              <w:rPr>
                <w:rFonts w:ascii="宋体" w:hAnsi="宋体" w:cs="宋体"/>
                <w:szCs w:val="21"/>
              </w:rPr>
            </w:pPr>
            <w:r>
              <w:rPr>
                <w:rFonts w:hint="eastAsia" w:cs="宋体" w:asciiTheme="minorEastAsia" w:hAnsiTheme="minorEastAsia" w:eastAsiaTheme="minorEastAsia"/>
                <w:color w:val="000000"/>
                <w:szCs w:val="21"/>
              </w:rPr>
              <w:t>项目经理</w:t>
            </w:r>
          </w:p>
        </w:tc>
        <w:tc>
          <w:tcPr>
            <w:tcW w:w="697" w:type="dxa"/>
            <w:vAlign w:val="center"/>
          </w:tcPr>
          <w:p>
            <w:pPr>
              <w:adjustRightInd w:val="0"/>
              <w:snapToGrid w:val="0"/>
              <w:jc w:val="center"/>
              <w:rPr>
                <w:szCs w:val="21"/>
              </w:rP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jc w:val="center"/>
              <w:rPr>
                <w:szCs w:val="21"/>
              </w:rPr>
            </w:pPr>
            <w:r>
              <w:rPr>
                <w:rFonts w:hint="eastAsia"/>
                <w:szCs w:val="21"/>
              </w:rPr>
              <w:t>组长</w:t>
            </w:r>
          </w:p>
        </w:tc>
        <w:tc>
          <w:tcPr>
            <w:tcW w:w="697" w:type="dxa"/>
            <w:vAlign w:val="center"/>
          </w:tcPr>
          <w:p>
            <w:pPr>
              <w:adjustRightInd w:val="0"/>
              <w:snapToGrid w:val="0"/>
              <w:jc w:val="center"/>
              <w:rPr>
                <w:szCs w:val="21"/>
              </w:rP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jc w:val="center"/>
              <w:rPr>
                <w:szCs w:val="21"/>
              </w:rPr>
            </w:pPr>
            <w:r>
              <w:rPr>
                <w:rFonts w:hint="eastAsia"/>
                <w:szCs w:val="21"/>
              </w:rPr>
              <w:t>仓管</w:t>
            </w:r>
          </w:p>
        </w:tc>
        <w:tc>
          <w:tcPr>
            <w:tcW w:w="697" w:type="dxa"/>
            <w:vAlign w:val="center"/>
          </w:tcPr>
          <w:p>
            <w:pPr>
              <w:adjustRightInd w:val="0"/>
              <w:snapToGrid w:val="0"/>
              <w:jc w:val="center"/>
              <w:rPr>
                <w:szCs w:val="21"/>
              </w:rP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ind w:left="50" w:right="50"/>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城市道路、背街小巷、绿化带等公共区域、公厕保洁人员</w:t>
            </w:r>
          </w:p>
        </w:tc>
        <w:tc>
          <w:tcPr>
            <w:tcW w:w="697" w:type="dxa"/>
            <w:vAlign w:val="center"/>
          </w:tcPr>
          <w:p>
            <w:pPr>
              <w:adjustRightInd w:val="0"/>
              <w:snapToGrid w:val="0"/>
              <w:jc w:val="center"/>
              <w:rPr>
                <w:szCs w:val="21"/>
              </w:rP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数量≥111人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ind w:left="50" w:right="50"/>
              <w:jc w:val="left"/>
              <w:rPr>
                <w:rFonts w:ascii="宋体" w:hAnsi="宋体" w:cs="宋体"/>
                <w:szCs w:val="21"/>
              </w:rPr>
            </w:pPr>
            <w:r>
              <w:rPr>
                <w:rFonts w:hint="eastAsia" w:ascii="宋体" w:hAnsi="宋体" w:cs="宋体"/>
                <w:szCs w:val="21"/>
              </w:rPr>
              <w:t>开放式小区保洁员</w:t>
            </w:r>
          </w:p>
        </w:tc>
        <w:tc>
          <w:tcPr>
            <w:tcW w:w="697" w:type="dxa"/>
            <w:vAlign w:val="center"/>
          </w:tcPr>
          <w:p>
            <w:pPr>
              <w:adjustRightInd w:val="0"/>
              <w:snapToGrid w:val="0"/>
              <w:jc w:val="cente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ind w:left="50" w:right="50"/>
              <w:jc w:val="left"/>
              <w:rPr>
                <w:rFonts w:ascii="宋体" w:hAnsi="宋体" w:cs="宋体"/>
                <w:szCs w:val="21"/>
              </w:rPr>
            </w:pPr>
            <w:r>
              <w:rPr>
                <w:rFonts w:hint="eastAsia" w:ascii="宋体" w:hAnsi="宋体" w:cs="宋体"/>
                <w:szCs w:val="21"/>
              </w:rPr>
              <w:t>垃圾分类收集员</w:t>
            </w:r>
          </w:p>
        </w:tc>
        <w:tc>
          <w:tcPr>
            <w:tcW w:w="697" w:type="dxa"/>
            <w:vAlign w:val="center"/>
          </w:tcPr>
          <w:p>
            <w:pPr>
              <w:adjustRightInd w:val="0"/>
              <w:snapToGrid w:val="0"/>
              <w:jc w:val="cente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pPr>
            <w:r>
              <w:rPr>
                <w:rFonts w:hint="eastAsia"/>
                <w:szCs w:val="21"/>
              </w:rPr>
              <w:t>数量≥19人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ind w:left="50" w:right="50"/>
              <w:jc w:val="left"/>
              <w:rPr>
                <w:rFonts w:ascii="宋体" w:hAnsi="宋体" w:cs="宋体"/>
                <w:szCs w:val="21"/>
              </w:rPr>
            </w:pPr>
            <w:r>
              <w:rPr>
                <w:rFonts w:hint="eastAsia" w:ascii="宋体" w:hAnsi="宋体" w:cs="宋体"/>
                <w:szCs w:val="21"/>
              </w:rPr>
              <w:t>垃圾容器保洁员</w:t>
            </w:r>
          </w:p>
        </w:tc>
        <w:tc>
          <w:tcPr>
            <w:tcW w:w="697" w:type="dxa"/>
            <w:vAlign w:val="center"/>
          </w:tcPr>
          <w:p>
            <w:pPr>
              <w:adjustRightInd w:val="0"/>
              <w:snapToGrid w:val="0"/>
              <w:jc w:val="cente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pPr>
            <w:r>
              <w:rPr>
                <w:rFonts w:hint="eastAsia"/>
                <w:szCs w:val="21"/>
              </w:rPr>
              <w:t>数量≥6人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ind w:left="50" w:right="50"/>
              <w:jc w:val="left"/>
              <w:rPr>
                <w:rFonts w:ascii="宋体" w:hAnsi="宋体" w:cs="宋体"/>
                <w:szCs w:val="21"/>
              </w:rPr>
            </w:pPr>
            <w:r>
              <w:rPr>
                <w:rFonts w:hint="eastAsia" w:ascii="宋体" w:hAnsi="宋体" w:cs="宋体"/>
                <w:szCs w:val="21"/>
              </w:rPr>
              <w:t>机动保洁员</w:t>
            </w:r>
          </w:p>
        </w:tc>
        <w:tc>
          <w:tcPr>
            <w:tcW w:w="697" w:type="dxa"/>
            <w:vAlign w:val="center"/>
          </w:tcPr>
          <w:p>
            <w:pPr>
              <w:adjustRightInd w:val="0"/>
              <w:snapToGrid w:val="0"/>
              <w:jc w:val="cente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pPr>
            <w:r>
              <w:rPr>
                <w:rFonts w:hint="eastAsia"/>
                <w:szCs w:val="21"/>
              </w:rPr>
              <w:t>数量≥9人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adjustRightInd w:val="0"/>
              <w:snapToGrid w:val="0"/>
              <w:ind w:left="50" w:right="5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扫地车、洒水车驾驶员</w:t>
            </w:r>
          </w:p>
        </w:tc>
        <w:tc>
          <w:tcPr>
            <w:tcW w:w="697" w:type="dxa"/>
            <w:vAlign w:val="center"/>
          </w:tcPr>
          <w:p>
            <w:pPr>
              <w:adjustRightInd w:val="0"/>
              <w:snapToGrid w:val="0"/>
              <w:jc w:val="cente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62" w:type="dxa"/>
            <w:vAlign w:val="center"/>
          </w:tcPr>
          <w:p>
            <w:pPr>
              <w:pStyle w:val="72"/>
              <w:numPr>
                <w:ilvl w:val="0"/>
                <w:numId w:val="65"/>
              </w:numPr>
              <w:adjustRightInd w:val="0"/>
              <w:snapToGrid w:val="0"/>
              <w:spacing w:line="240" w:lineRule="auto"/>
              <w:ind w:firstLineChars="0"/>
              <w:jc w:val="center"/>
              <w:rPr>
                <w:sz w:val="21"/>
                <w:szCs w:val="21"/>
              </w:rPr>
            </w:pPr>
          </w:p>
        </w:tc>
        <w:tc>
          <w:tcPr>
            <w:tcW w:w="2962" w:type="dxa"/>
            <w:gridSpan w:val="2"/>
            <w:vAlign w:val="center"/>
          </w:tcPr>
          <w:p>
            <w:pPr>
              <w:adjustRightInd w:val="0"/>
              <w:snapToGrid w:val="0"/>
              <w:jc w:val="center"/>
              <w:rPr>
                <w:szCs w:val="21"/>
              </w:rPr>
            </w:pPr>
            <w:r>
              <w:rPr>
                <w:rFonts w:hint="eastAsia" w:ascii="宋体" w:hAnsi="宋体"/>
                <w:szCs w:val="21"/>
              </w:rPr>
              <w:t>人身意外伤害险</w:t>
            </w:r>
          </w:p>
        </w:tc>
        <w:tc>
          <w:tcPr>
            <w:tcW w:w="697" w:type="dxa"/>
            <w:vAlign w:val="center"/>
          </w:tcPr>
          <w:p>
            <w:pPr>
              <w:adjustRightInd w:val="0"/>
              <w:snapToGrid w:val="0"/>
              <w:jc w:val="center"/>
              <w:rPr>
                <w:szCs w:val="21"/>
              </w:rPr>
            </w:pPr>
            <w:r>
              <w:rPr>
                <w:rFonts w:hint="eastAsia"/>
                <w:szCs w:val="21"/>
              </w:rPr>
              <w:t>人</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数量≥164人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762" w:type="dxa"/>
            <w:vMerge w:val="restart"/>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restart"/>
            <w:vAlign w:val="center"/>
          </w:tcPr>
          <w:p>
            <w:pPr>
              <w:adjustRightInd w:val="0"/>
              <w:snapToGrid w:val="0"/>
              <w:jc w:val="center"/>
              <w:rPr>
                <w:rFonts w:ascii="宋体" w:hAnsi="宋体" w:cs="宋体"/>
                <w:szCs w:val="21"/>
              </w:rPr>
            </w:pPr>
            <w:r>
              <w:rPr>
                <w:rFonts w:hint="eastAsia" w:ascii="宋体" w:hAnsi="宋体" w:cs="宋体"/>
                <w:kern w:val="0"/>
                <w:szCs w:val="21"/>
              </w:rPr>
              <w:t>机械车辆(运行费用</w:t>
            </w:r>
          </w:p>
        </w:tc>
        <w:tc>
          <w:tcPr>
            <w:tcW w:w="209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垃圾清运电动车（侧翻桶封闭式）</w:t>
            </w:r>
          </w:p>
        </w:tc>
        <w:tc>
          <w:tcPr>
            <w:tcW w:w="697" w:type="dxa"/>
            <w:vAlign w:val="center"/>
          </w:tcPr>
          <w:p>
            <w:pPr>
              <w:adjustRightInd w:val="0"/>
              <w:snapToGrid w:val="0"/>
              <w:jc w:val="center"/>
            </w:pPr>
            <w:r>
              <w:rPr>
                <w:rFonts w:hint="eastAsia"/>
                <w:szCs w:val="21"/>
              </w:rPr>
              <w:t>辆</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rFonts w:ascii="宋体" w:hAnsi="宋体" w:cs="宋体"/>
                <w:szCs w:val="21"/>
              </w:rPr>
            </w:pPr>
            <w:r>
              <w:rPr>
                <w:rFonts w:hint="eastAsia"/>
                <w:szCs w:val="21"/>
              </w:rPr>
              <w:t>数量≥12辆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kern w:val="0"/>
                <w:szCs w:val="21"/>
              </w:rPr>
            </w:pPr>
          </w:p>
        </w:tc>
        <w:tc>
          <w:tcPr>
            <w:tcW w:w="209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垃圾清运车（桶换桶8桶车）</w:t>
            </w:r>
          </w:p>
        </w:tc>
        <w:tc>
          <w:tcPr>
            <w:tcW w:w="697" w:type="dxa"/>
            <w:vAlign w:val="center"/>
          </w:tcPr>
          <w:p>
            <w:pPr>
              <w:adjustRightInd w:val="0"/>
              <w:snapToGrid w:val="0"/>
              <w:jc w:val="center"/>
              <w:rPr>
                <w:szCs w:val="21"/>
              </w:rPr>
            </w:pPr>
            <w:r>
              <w:rPr>
                <w:rFonts w:hint="eastAsia"/>
                <w:szCs w:val="21"/>
              </w:rPr>
              <w:t>辆</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kern w:val="0"/>
                <w:szCs w:val="21"/>
              </w:rPr>
            </w:pPr>
          </w:p>
        </w:tc>
        <w:tc>
          <w:tcPr>
            <w:tcW w:w="209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小型密闭式电动收运车</w:t>
            </w:r>
          </w:p>
        </w:tc>
        <w:tc>
          <w:tcPr>
            <w:tcW w:w="697" w:type="dxa"/>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辆</w:t>
            </w:r>
          </w:p>
        </w:tc>
        <w:tc>
          <w:tcPr>
            <w:tcW w:w="1094" w:type="dxa"/>
            <w:vAlign w:val="center"/>
          </w:tcPr>
          <w:p>
            <w:pPr>
              <w:adjustRightInd w:val="0"/>
              <w:snapToGrid w:val="0"/>
              <w:jc w:val="center"/>
              <w:rPr>
                <w:rFonts w:ascii="宋体" w:hAnsi="宋体" w:cs="宋体"/>
                <w:color w:val="000000"/>
                <w:kern w:val="0"/>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数量≥8辆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快速保洁电瓶车</w:t>
            </w:r>
          </w:p>
        </w:tc>
        <w:tc>
          <w:tcPr>
            <w:tcW w:w="697" w:type="dxa"/>
            <w:vAlign w:val="center"/>
          </w:tcPr>
          <w:p>
            <w:pPr>
              <w:adjustRightInd w:val="0"/>
              <w:snapToGrid w:val="0"/>
              <w:jc w:val="center"/>
            </w:pPr>
            <w:r>
              <w:rPr>
                <w:rFonts w:hint="eastAsia"/>
                <w:szCs w:val="21"/>
              </w:rPr>
              <w:t>辆</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rFonts w:ascii="宋体" w:hAnsi="宋体" w:cs="宋体"/>
                <w:szCs w:val="21"/>
              </w:rPr>
            </w:pPr>
            <w:r>
              <w:rPr>
                <w:rFonts w:hint="eastAsia"/>
                <w:szCs w:val="21"/>
              </w:rPr>
              <w:t>数量≥1辆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高压冲洗车</w:t>
            </w:r>
          </w:p>
        </w:tc>
        <w:tc>
          <w:tcPr>
            <w:tcW w:w="697" w:type="dxa"/>
            <w:vAlign w:val="center"/>
          </w:tcPr>
          <w:p>
            <w:pPr>
              <w:adjustRightInd w:val="0"/>
              <w:snapToGrid w:val="0"/>
              <w:jc w:val="center"/>
            </w:pPr>
            <w:r>
              <w:rPr>
                <w:rFonts w:hint="eastAsia"/>
                <w:szCs w:val="21"/>
              </w:rPr>
              <w:t>辆</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rFonts w:ascii="宋体" w:hAnsi="宋体" w:cs="宋体"/>
                <w:szCs w:val="21"/>
              </w:rPr>
            </w:pPr>
            <w:r>
              <w:rPr>
                <w:rFonts w:hint="eastAsia"/>
                <w:szCs w:val="21"/>
              </w:rPr>
              <w:t>数量≥3辆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3吨扫地车</w:t>
            </w:r>
          </w:p>
        </w:tc>
        <w:tc>
          <w:tcPr>
            <w:tcW w:w="697" w:type="dxa"/>
            <w:vAlign w:val="center"/>
          </w:tcPr>
          <w:p>
            <w:pPr>
              <w:adjustRightInd w:val="0"/>
              <w:snapToGrid w:val="0"/>
              <w:jc w:val="center"/>
            </w:pPr>
            <w:r>
              <w:rPr>
                <w:rFonts w:hint="eastAsia"/>
                <w:szCs w:val="21"/>
              </w:rPr>
              <w:t>辆</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jc w:val="center"/>
            </w:pPr>
            <w:r>
              <w:rPr>
                <w:rFonts w:hint="eastAsia"/>
                <w:szCs w:val="21"/>
              </w:rPr>
              <w:t>数量≥1辆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8吨洒水车</w:t>
            </w:r>
          </w:p>
        </w:tc>
        <w:tc>
          <w:tcPr>
            <w:tcW w:w="697" w:type="dxa"/>
            <w:vAlign w:val="center"/>
          </w:tcPr>
          <w:p>
            <w:pPr>
              <w:adjustRightInd w:val="0"/>
              <w:snapToGrid w:val="0"/>
              <w:jc w:val="center"/>
              <w:rPr>
                <w:szCs w:val="21"/>
              </w:rPr>
            </w:pPr>
            <w:r>
              <w:rPr>
                <w:rFonts w:hint="eastAsia"/>
                <w:szCs w:val="21"/>
              </w:rPr>
              <w:t>辆</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jc w:val="center"/>
            </w:pPr>
            <w:r>
              <w:rPr>
                <w:rFonts w:hint="eastAsia"/>
                <w:szCs w:val="21"/>
              </w:rPr>
              <w:t>数量≥1辆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szCs w:val="21"/>
              </w:rPr>
            </w:pPr>
          </w:p>
        </w:tc>
        <w:tc>
          <w:tcPr>
            <w:tcW w:w="2098" w:type="dxa"/>
            <w:vAlign w:val="center"/>
          </w:tcPr>
          <w:p>
            <w:pPr>
              <w:widowControl/>
              <w:jc w:val="center"/>
              <w:rPr>
                <w:rFonts w:ascii="宋体" w:hAnsi="宋体" w:cs="宋体"/>
                <w:color w:val="000000"/>
                <w:kern w:val="0"/>
                <w:szCs w:val="21"/>
              </w:rPr>
            </w:pPr>
            <w:r>
              <w:rPr>
                <w:rFonts w:hint="eastAsia" w:ascii="宋体" w:hAnsi="宋体" w:cs="宋体"/>
                <w:szCs w:val="21"/>
              </w:rPr>
              <w:t>人力垃圾车等</w:t>
            </w:r>
          </w:p>
        </w:tc>
        <w:tc>
          <w:tcPr>
            <w:tcW w:w="697" w:type="dxa"/>
            <w:vAlign w:val="center"/>
          </w:tcPr>
          <w:p>
            <w:pPr>
              <w:adjustRightInd w:val="0"/>
              <w:snapToGrid w:val="0"/>
              <w:jc w:val="center"/>
            </w:pPr>
            <w:r>
              <w:rPr>
                <w:rFonts w:hint="eastAsia"/>
                <w:szCs w:val="21"/>
              </w:rPr>
              <w:t>辆</w:t>
            </w:r>
          </w:p>
        </w:tc>
        <w:tc>
          <w:tcPr>
            <w:tcW w:w="1094" w:type="dxa"/>
            <w:vAlign w:val="center"/>
          </w:tcPr>
          <w:p>
            <w:pPr>
              <w:adjustRightInd w:val="0"/>
              <w:snapToGrid w:val="0"/>
              <w:jc w:val="center"/>
              <w:rPr>
                <w:rFonts w:ascii="宋体" w:hAnsi="宋体" w:cs="宋体"/>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rFonts w:ascii="宋体" w:hAnsi="宋体" w:cs="宋体"/>
                <w:szCs w:val="21"/>
              </w:rPr>
            </w:pPr>
            <w:r>
              <w:rPr>
                <w:rFonts w:hint="eastAsia" w:ascii="宋体" w:hAnsi="宋体" w:cs="宋体"/>
                <w:color w:val="000000"/>
                <w:kern w:val="0"/>
                <w:szCs w:val="21"/>
              </w:rPr>
              <w:t>数量≥120辆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762" w:type="dxa"/>
            <w:vMerge w:val="restart"/>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restart"/>
            <w:vAlign w:val="center"/>
          </w:tcPr>
          <w:p>
            <w:pPr>
              <w:adjustRightInd w:val="0"/>
              <w:snapToGrid w:val="0"/>
              <w:jc w:val="center"/>
              <w:rPr>
                <w:rFonts w:ascii="宋体" w:hAnsi="宋体" w:cs="宋体"/>
                <w:szCs w:val="21"/>
              </w:rPr>
            </w:pPr>
            <w:r>
              <w:rPr>
                <w:rFonts w:hint="eastAsia" w:ascii="宋体" w:hAnsi="宋体" w:cs="宋体"/>
                <w:kern w:val="0"/>
                <w:szCs w:val="21"/>
              </w:rPr>
              <w:t>服装、工具</w:t>
            </w:r>
          </w:p>
        </w:tc>
        <w:tc>
          <w:tcPr>
            <w:tcW w:w="2098" w:type="dxa"/>
            <w:vAlign w:val="center"/>
          </w:tcPr>
          <w:p>
            <w:pPr>
              <w:adjustRightInd w:val="0"/>
              <w:snapToGrid w:val="0"/>
              <w:jc w:val="center"/>
              <w:rPr>
                <w:szCs w:val="21"/>
              </w:rPr>
            </w:pPr>
            <w:r>
              <w:rPr>
                <w:rFonts w:hint="eastAsia" w:ascii="宋体" w:hAnsi="宋体" w:cs="宋体"/>
                <w:kern w:val="0"/>
                <w:szCs w:val="21"/>
              </w:rPr>
              <w:t>服装</w:t>
            </w:r>
          </w:p>
        </w:tc>
        <w:tc>
          <w:tcPr>
            <w:tcW w:w="697" w:type="dxa"/>
            <w:vAlign w:val="center"/>
          </w:tcPr>
          <w:p>
            <w:pPr>
              <w:adjustRightInd w:val="0"/>
              <w:snapToGrid w:val="0"/>
              <w:jc w:val="center"/>
              <w:rPr>
                <w:szCs w:val="21"/>
              </w:rPr>
            </w:pPr>
            <w:r>
              <w:rPr>
                <w:rFonts w:hint="eastAsia"/>
                <w:szCs w:val="21"/>
              </w:rPr>
              <w:t>份</w:t>
            </w:r>
          </w:p>
        </w:tc>
        <w:tc>
          <w:tcPr>
            <w:tcW w:w="1094" w:type="dxa"/>
            <w:vAlign w:val="center"/>
          </w:tcPr>
          <w:p>
            <w:pPr>
              <w:adjustRightInd w:val="0"/>
              <w:snapToGrid w:val="0"/>
              <w:jc w:val="center"/>
              <w:rPr>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r>
              <w:rPr>
                <w:rFonts w:hint="eastAsia"/>
                <w:szCs w:val="21"/>
              </w:rPr>
              <w:t>数量≥164份，每份包括</w:t>
            </w:r>
            <w:r>
              <w:rPr>
                <w:rFonts w:hint="eastAsia" w:ascii="宋体" w:hAnsi="宋体" w:cs="宋体"/>
                <w:kern w:val="0"/>
                <w:szCs w:val="21"/>
              </w:rPr>
              <w:t>反光雨衣1套，反光服2套，夹克、袖套、帽子等2套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dxa"/>
            <w:vMerge w:val="continue"/>
            <w:vAlign w:val="center"/>
          </w:tcPr>
          <w:p>
            <w:pPr>
              <w:pStyle w:val="72"/>
              <w:numPr>
                <w:ilvl w:val="0"/>
                <w:numId w:val="65"/>
              </w:numPr>
              <w:adjustRightInd w:val="0"/>
              <w:snapToGrid w:val="0"/>
              <w:spacing w:line="240" w:lineRule="auto"/>
              <w:ind w:firstLineChars="0"/>
              <w:jc w:val="center"/>
              <w:rPr>
                <w:sz w:val="21"/>
                <w:szCs w:val="21"/>
              </w:rPr>
            </w:pPr>
          </w:p>
        </w:tc>
        <w:tc>
          <w:tcPr>
            <w:tcW w:w="864" w:type="dxa"/>
            <w:vMerge w:val="continue"/>
            <w:vAlign w:val="center"/>
          </w:tcPr>
          <w:p>
            <w:pPr>
              <w:adjustRightInd w:val="0"/>
              <w:snapToGrid w:val="0"/>
              <w:jc w:val="center"/>
              <w:rPr>
                <w:rFonts w:ascii="宋体" w:hAnsi="宋体" w:cs="宋体"/>
                <w:kern w:val="0"/>
                <w:szCs w:val="21"/>
              </w:rPr>
            </w:pPr>
          </w:p>
        </w:tc>
        <w:tc>
          <w:tcPr>
            <w:tcW w:w="2098"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工具</w:t>
            </w:r>
          </w:p>
        </w:tc>
        <w:tc>
          <w:tcPr>
            <w:tcW w:w="697" w:type="dxa"/>
            <w:vAlign w:val="center"/>
          </w:tcPr>
          <w:p>
            <w:pPr>
              <w:adjustRightInd w:val="0"/>
              <w:snapToGrid w:val="0"/>
              <w:jc w:val="center"/>
              <w:rPr>
                <w:szCs w:val="21"/>
              </w:rPr>
            </w:pPr>
            <w:r>
              <w:rPr>
                <w:rFonts w:hint="eastAsia"/>
                <w:szCs w:val="21"/>
              </w:rPr>
              <w:t>项</w:t>
            </w:r>
          </w:p>
        </w:tc>
        <w:tc>
          <w:tcPr>
            <w:tcW w:w="1094" w:type="dxa"/>
            <w:vAlign w:val="center"/>
          </w:tcPr>
          <w:p>
            <w:pPr>
              <w:adjustRightInd w:val="0"/>
              <w:snapToGrid w:val="0"/>
              <w:jc w:val="center"/>
              <w:rPr>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widowControl/>
              <w:adjustRightInd w:val="0"/>
              <w:snapToGrid w:val="0"/>
              <w:jc w:val="center"/>
              <w:rPr>
                <w:szCs w:val="21"/>
              </w:rPr>
            </w:pPr>
            <w:r>
              <w:rPr>
                <w:rFonts w:hint="eastAsia" w:ascii="宋体" w:hAnsi="宋体" w:cs="宋体"/>
                <w:kern w:val="0"/>
                <w:szCs w:val="21"/>
              </w:rPr>
              <w:t>包括扫帚、簸箕、铁铲、夹子、涂料、消杀药水等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dxa"/>
            <w:vAlign w:val="center"/>
          </w:tcPr>
          <w:p>
            <w:pPr>
              <w:pStyle w:val="72"/>
              <w:numPr>
                <w:ilvl w:val="0"/>
                <w:numId w:val="65"/>
              </w:numPr>
              <w:adjustRightInd w:val="0"/>
              <w:snapToGrid w:val="0"/>
              <w:spacing w:line="240" w:lineRule="auto"/>
              <w:ind w:firstLineChars="0"/>
              <w:jc w:val="center"/>
              <w:rPr>
                <w:sz w:val="21"/>
                <w:szCs w:val="21"/>
              </w:rPr>
            </w:pPr>
          </w:p>
        </w:tc>
        <w:tc>
          <w:tcPr>
            <w:tcW w:w="864"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2098" w:type="dxa"/>
            <w:vAlign w:val="center"/>
          </w:tcPr>
          <w:p>
            <w:pPr>
              <w:adjustRightInd w:val="0"/>
              <w:snapToGrid w:val="0"/>
              <w:jc w:val="center"/>
              <w:rPr>
                <w:szCs w:val="21"/>
              </w:rPr>
            </w:pPr>
          </w:p>
        </w:tc>
        <w:tc>
          <w:tcPr>
            <w:tcW w:w="697" w:type="dxa"/>
            <w:vAlign w:val="center"/>
          </w:tcPr>
          <w:p>
            <w:pPr>
              <w:adjustRightInd w:val="0"/>
              <w:snapToGrid w:val="0"/>
              <w:jc w:val="center"/>
              <w:rPr>
                <w:szCs w:val="21"/>
              </w:rPr>
            </w:pPr>
          </w:p>
        </w:tc>
        <w:tc>
          <w:tcPr>
            <w:tcW w:w="1094" w:type="dxa"/>
            <w:vAlign w:val="center"/>
          </w:tcPr>
          <w:p>
            <w:pPr>
              <w:adjustRightInd w:val="0"/>
              <w:snapToGrid w:val="0"/>
              <w:jc w:val="center"/>
              <w:rPr>
                <w:szCs w:val="21"/>
              </w:rPr>
            </w:pPr>
          </w:p>
        </w:tc>
        <w:tc>
          <w:tcPr>
            <w:tcW w:w="1223" w:type="dxa"/>
            <w:vAlign w:val="center"/>
          </w:tcPr>
          <w:p>
            <w:pPr>
              <w:adjustRightInd w:val="0"/>
              <w:snapToGrid w:val="0"/>
              <w:jc w:val="center"/>
              <w:rPr>
                <w:szCs w:val="21"/>
              </w:rPr>
            </w:pP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dxa"/>
            <w:vAlign w:val="center"/>
          </w:tcPr>
          <w:p>
            <w:pPr>
              <w:pStyle w:val="72"/>
              <w:numPr>
                <w:ilvl w:val="0"/>
                <w:numId w:val="65"/>
              </w:numPr>
              <w:adjustRightInd w:val="0"/>
              <w:snapToGrid w:val="0"/>
              <w:spacing w:line="240" w:lineRule="auto"/>
              <w:ind w:firstLineChars="0"/>
              <w:jc w:val="center"/>
              <w:rPr>
                <w:sz w:val="21"/>
                <w:szCs w:val="21"/>
              </w:rPr>
            </w:pPr>
          </w:p>
        </w:tc>
        <w:tc>
          <w:tcPr>
            <w:tcW w:w="2962" w:type="dxa"/>
            <w:gridSpan w:val="2"/>
            <w:vAlign w:val="center"/>
          </w:tcPr>
          <w:p>
            <w:pPr>
              <w:adjustRightInd w:val="0"/>
              <w:snapToGrid w:val="0"/>
              <w:jc w:val="center"/>
              <w:rPr>
                <w:szCs w:val="21"/>
              </w:rPr>
            </w:pPr>
            <w:r>
              <w:rPr>
                <w:rFonts w:hint="eastAsia" w:ascii="宋体" w:hAnsi="宋体" w:cs="宋体"/>
                <w:kern w:val="0"/>
                <w:szCs w:val="21"/>
              </w:rPr>
              <w:t>小计</w:t>
            </w:r>
          </w:p>
        </w:tc>
        <w:tc>
          <w:tcPr>
            <w:tcW w:w="3014" w:type="dxa"/>
            <w:gridSpan w:val="3"/>
            <w:vAlign w:val="center"/>
          </w:tcPr>
          <w:p>
            <w:pPr>
              <w:adjustRightInd w:val="0"/>
              <w:snapToGrid w:val="0"/>
              <w:jc w:val="center"/>
              <w:rPr>
                <w:szCs w:val="21"/>
              </w:rPr>
            </w:pPr>
            <w:r>
              <w:rPr>
                <w:rFonts w:hint="eastAsia"/>
                <w:szCs w:val="21"/>
              </w:rPr>
              <w:t>（1）+（2）+（3）+（4）+（5）</w:t>
            </w: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762" w:type="dxa"/>
            <w:vAlign w:val="center"/>
          </w:tcPr>
          <w:p>
            <w:pPr>
              <w:pStyle w:val="72"/>
              <w:numPr>
                <w:ilvl w:val="0"/>
                <w:numId w:val="65"/>
              </w:numPr>
              <w:adjustRightInd w:val="0"/>
              <w:snapToGrid w:val="0"/>
              <w:spacing w:line="240" w:lineRule="auto"/>
              <w:ind w:firstLineChars="0"/>
              <w:jc w:val="center"/>
              <w:rPr>
                <w:sz w:val="21"/>
                <w:szCs w:val="21"/>
              </w:rPr>
            </w:pPr>
          </w:p>
        </w:tc>
        <w:tc>
          <w:tcPr>
            <w:tcW w:w="2962" w:type="dxa"/>
            <w:gridSpan w:val="2"/>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管理费及利润</w:t>
            </w:r>
          </w:p>
        </w:tc>
        <w:tc>
          <w:tcPr>
            <w:tcW w:w="3014" w:type="dxa"/>
            <w:gridSpan w:val="3"/>
            <w:vAlign w:val="center"/>
          </w:tcPr>
          <w:p>
            <w:pPr>
              <w:adjustRightInd w:val="0"/>
              <w:snapToGrid w:val="0"/>
              <w:jc w:val="center"/>
              <w:rPr>
                <w:szCs w:val="21"/>
                <w:u w:val="single"/>
              </w:rPr>
            </w:pPr>
            <w:r>
              <w:rPr>
                <w:rFonts w:hint="eastAsia"/>
                <w:szCs w:val="21"/>
              </w:rPr>
              <w:t>（6）×</w:t>
            </w:r>
            <w:r>
              <w:rPr>
                <w:rFonts w:hint="eastAsia"/>
                <w:szCs w:val="21"/>
                <w:u w:val="single"/>
              </w:rPr>
              <w:t xml:space="preserve">       %</w:t>
            </w:r>
          </w:p>
        </w:tc>
        <w:tc>
          <w:tcPr>
            <w:tcW w:w="1401" w:type="dxa"/>
            <w:vAlign w:val="center"/>
          </w:tcPr>
          <w:p>
            <w:pPr>
              <w:adjustRightInd w:val="0"/>
              <w:snapToGrid w:val="0"/>
              <w:jc w:val="center"/>
              <w:rPr>
                <w:szCs w:val="21"/>
              </w:rPr>
            </w:pPr>
          </w:p>
        </w:tc>
        <w:tc>
          <w:tcPr>
            <w:tcW w:w="1431" w:type="dxa"/>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dxa"/>
            <w:vAlign w:val="center"/>
          </w:tcPr>
          <w:p>
            <w:pPr>
              <w:pStyle w:val="72"/>
              <w:numPr>
                <w:ilvl w:val="0"/>
                <w:numId w:val="65"/>
              </w:numPr>
              <w:adjustRightInd w:val="0"/>
              <w:snapToGrid w:val="0"/>
              <w:spacing w:line="240" w:lineRule="auto"/>
              <w:ind w:firstLineChars="0"/>
              <w:jc w:val="center"/>
              <w:rPr>
                <w:sz w:val="21"/>
                <w:szCs w:val="21"/>
              </w:rPr>
            </w:pPr>
          </w:p>
        </w:tc>
        <w:tc>
          <w:tcPr>
            <w:tcW w:w="2962" w:type="dxa"/>
            <w:gridSpan w:val="2"/>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税金</w:t>
            </w:r>
          </w:p>
        </w:tc>
        <w:tc>
          <w:tcPr>
            <w:tcW w:w="3014" w:type="dxa"/>
            <w:gridSpan w:val="3"/>
            <w:vAlign w:val="center"/>
          </w:tcPr>
          <w:p>
            <w:pPr>
              <w:adjustRightInd w:val="0"/>
              <w:snapToGrid w:val="0"/>
              <w:jc w:val="center"/>
              <w:rPr>
                <w:szCs w:val="21"/>
              </w:rPr>
            </w:pPr>
            <w:r>
              <w:rPr>
                <w:rFonts w:hint="eastAsia"/>
                <w:szCs w:val="21"/>
              </w:rPr>
              <w:t>【（6）+（7）】 ×</w:t>
            </w:r>
            <w:r>
              <w:rPr>
                <w:rFonts w:hint="eastAsia"/>
                <w:szCs w:val="21"/>
                <w:u w:val="single"/>
              </w:rPr>
              <w:t xml:space="preserve">       %</w:t>
            </w:r>
          </w:p>
        </w:tc>
        <w:tc>
          <w:tcPr>
            <w:tcW w:w="1401" w:type="dxa"/>
            <w:vAlign w:val="center"/>
          </w:tcPr>
          <w:p>
            <w:pPr>
              <w:adjustRightInd w:val="0"/>
              <w:snapToGrid w:val="0"/>
              <w:jc w:val="center"/>
              <w:rPr>
                <w:szCs w:val="21"/>
              </w:rPr>
            </w:pPr>
          </w:p>
        </w:tc>
        <w:tc>
          <w:tcPr>
            <w:tcW w:w="1431" w:type="dxa"/>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dxa"/>
            <w:vAlign w:val="center"/>
          </w:tcPr>
          <w:p>
            <w:pPr>
              <w:pStyle w:val="72"/>
              <w:numPr>
                <w:ilvl w:val="0"/>
                <w:numId w:val="65"/>
              </w:numPr>
              <w:adjustRightInd w:val="0"/>
              <w:snapToGrid w:val="0"/>
              <w:spacing w:line="240" w:lineRule="auto"/>
              <w:ind w:firstLineChars="0"/>
              <w:jc w:val="center"/>
              <w:rPr>
                <w:sz w:val="21"/>
                <w:szCs w:val="21"/>
              </w:rPr>
            </w:pPr>
          </w:p>
        </w:tc>
        <w:tc>
          <w:tcPr>
            <w:tcW w:w="2962"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总价</w:t>
            </w:r>
          </w:p>
        </w:tc>
        <w:tc>
          <w:tcPr>
            <w:tcW w:w="3014" w:type="dxa"/>
            <w:gridSpan w:val="3"/>
            <w:vAlign w:val="center"/>
          </w:tcPr>
          <w:p>
            <w:pPr>
              <w:adjustRightInd w:val="0"/>
              <w:snapToGrid w:val="0"/>
              <w:jc w:val="center"/>
              <w:rPr>
                <w:szCs w:val="21"/>
              </w:rPr>
            </w:pPr>
            <w:r>
              <w:rPr>
                <w:rFonts w:hint="eastAsia"/>
                <w:szCs w:val="21"/>
              </w:rPr>
              <w:t>（6）+（7）+（8）</w:t>
            </w:r>
          </w:p>
        </w:tc>
        <w:tc>
          <w:tcPr>
            <w:tcW w:w="1401" w:type="dxa"/>
            <w:vAlign w:val="center"/>
          </w:tcPr>
          <w:p>
            <w:pPr>
              <w:adjustRightInd w:val="0"/>
              <w:snapToGrid w:val="0"/>
              <w:jc w:val="center"/>
              <w:rPr>
                <w:szCs w:val="21"/>
              </w:rPr>
            </w:pPr>
          </w:p>
        </w:tc>
        <w:tc>
          <w:tcPr>
            <w:tcW w:w="1431" w:type="dxa"/>
            <w:vAlign w:val="center"/>
          </w:tcPr>
          <w:p>
            <w:pPr>
              <w:adjustRightInd w:val="0"/>
              <w:snapToGrid w:val="0"/>
              <w:jc w:val="center"/>
              <w:rPr>
                <w:szCs w:val="21"/>
              </w:rPr>
            </w:pPr>
          </w:p>
        </w:tc>
      </w:tr>
    </w:tbl>
    <w:p>
      <w:pPr>
        <w:pStyle w:val="20"/>
        <w:adjustRightInd w:val="0"/>
        <w:snapToGrid w:val="0"/>
        <w:spacing w:beforeLines="0" w:afterLines="0" w:line="240" w:lineRule="auto"/>
        <w:ind w:firstLine="283" w:firstLineChars="13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注：</w:t>
      </w:r>
    </w:p>
    <w:p>
      <w:pPr>
        <w:pStyle w:val="20"/>
        <w:numPr>
          <w:ilvl w:val="0"/>
          <w:numId w:val="64"/>
        </w:numPr>
        <w:adjustRightInd w:val="0"/>
        <w:snapToGrid w:val="0"/>
        <w:spacing w:beforeLines="0" w:afterLines="0" w:line="240" w:lineRule="auto"/>
        <w:ind w:left="0" w:firstLine="337" w:firstLineChars="135"/>
        <w:rPr>
          <w:rFonts w:hAnsi="宋体"/>
          <w:spacing w:val="20"/>
          <w:sz w:val="21"/>
          <w:szCs w:val="21"/>
        </w:rPr>
      </w:pPr>
      <w:r>
        <w:rPr>
          <w:rFonts w:hint="eastAsia" w:hAnsi="宋体"/>
          <w:spacing w:val="20"/>
          <w:sz w:val="21"/>
          <w:szCs w:val="21"/>
        </w:rPr>
        <w:t>本表总价为年度服务费，表格格式不得修改，但项目内容供应商可根据自身情况进行增加，</w:t>
      </w:r>
      <w:r>
        <w:rPr>
          <w:rFonts w:hint="eastAsia" w:asciiTheme="minorEastAsia" w:hAnsiTheme="minorEastAsia" w:eastAsiaTheme="minorEastAsia"/>
          <w:spacing w:val="20"/>
          <w:sz w:val="21"/>
          <w:szCs w:val="21"/>
        </w:rPr>
        <w:t>未列入本表的费用，视作已全部考虑在其他投标报价中</w:t>
      </w:r>
      <w:r>
        <w:rPr>
          <w:rFonts w:hint="eastAsia" w:hAnsi="宋体"/>
          <w:spacing w:val="20"/>
          <w:sz w:val="21"/>
          <w:szCs w:val="21"/>
        </w:rPr>
        <w:t>。</w:t>
      </w:r>
    </w:p>
    <w:p>
      <w:pPr>
        <w:pStyle w:val="20"/>
        <w:numPr>
          <w:ilvl w:val="0"/>
          <w:numId w:val="64"/>
        </w:numPr>
        <w:adjustRightInd w:val="0"/>
        <w:snapToGrid w:val="0"/>
        <w:spacing w:beforeLines="0" w:afterLines="0" w:line="240" w:lineRule="auto"/>
        <w:ind w:left="0" w:firstLine="337" w:firstLineChars="135"/>
        <w:rPr>
          <w:rFonts w:asciiTheme="minorEastAsia" w:hAnsiTheme="minorEastAsia" w:eastAsiaTheme="minorEastAsia" w:cstheme="minorBidi"/>
          <w:spacing w:val="20"/>
          <w:sz w:val="21"/>
          <w:szCs w:val="21"/>
        </w:rPr>
      </w:pPr>
      <w:r>
        <w:rPr>
          <w:rFonts w:hint="eastAsia" w:asciiTheme="minorEastAsia" w:hAnsiTheme="minorEastAsia" w:eastAsiaTheme="minorEastAsia" w:cstheme="minorBidi"/>
          <w:spacing w:val="20"/>
          <w:sz w:val="21"/>
          <w:szCs w:val="21"/>
        </w:rPr>
        <w:t>人员薪酬包括含工资、福利、社保、加班费等所有费用,其中人员工资必须符合本县当年最低工资标准和浙政办发〔2009〕190号《浙江省关于进一步改善环卫工人工作生活条件促进环卫事业持续健康发展的若干意见》规定，确保其月工资收入不低于当地最低工资标准的110%(即1980元/月*12=23760元/年)，人工工资报价低于该标准的作废标处理。</w:t>
      </w:r>
    </w:p>
    <w:p>
      <w:pPr>
        <w:pStyle w:val="20"/>
        <w:numPr>
          <w:ilvl w:val="0"/>
          <w:numId w:val="64"/>
        </w:numPr>
        <w:adjustRightInd w:val="0"/>
        <w:snapToGrid w:val="0"/>
        <w:spacing w:beforeLines="0" w:afterLines="0" w:line="240" w:lineRule="auto"/>
        <w:ind w:left="0" w:firstLine="337" w:firstLineChars="135"/>
        <w:rPr>
          <w:rFonts w:asciiTheme="minorEastAsia" w:hAnsiTheme="minorEastAsia" w:eastAsiaTheme="minorEastAsia" w:cstheme="minorBidi"/>
          <w:spacing w:val="20"/>
          <w:sz w:val="21"/>
          <w:szCs w:val="21"/>
        </w:rPr>
      </w:pPr>
      <w:r>
        <w:rPr>
          <w:rFonts w:hint="eastAsia" w:asciiTheme="minorEastAsia" w:hAnsiTheme="minorEastAsia" w:eastAsiaTheme="minorEastAsia" w:cstheme="minorBidi"/>
          <w:spacing w:val="20"/>
          <w:sz w:val="21"/>
          <w:szCs w:val="21"/>
        </w:rPr>
        <w:t>本项目所使用的保洁设备允许租赁或自有，相关费用考虑在报价中。机械车辆(运行费用）包括折旧费（租赁费）、保险、维修及易损件更换、油耗等，不包括人工费。</w:t>
      </w:r>
    </w:p>
    <w:p>
      <w:pPr>
        <w:snapToGrid w:val="0"/>
        <w:spacing w:before="50" w:after="50" w:line="480" w:lineRule="auto"/>
        <w:rPr>
          <w:rFonts w:ascii="宋体" w:hAnsi="宋体"/>
          <w:sz w:val="24"/>
        </w:rPr>
      </w:pPr>
    </w:p>
    <w:p>
      <w:pPr>
        <w:snapToGrid w:val="0"/>
        <w:spacing w:before="50" w:after="50" w:line="480" w:lineRule="auto"/>
        <w:rPr>
          <w:rFonts w:ascii="宋体" w:hAnsi="宋体"/>
          <w:sz w:val="24"/>
        </w:rPr>
      </w:pPr>
      <w:r>
        <w:rPr>
          <w:rFonts w:hint="eastAsia" w:ascii="宋体" w:hAnsi="宋体"/>
          <w:sz w:val="24"/>
        </w:rPr>
        <w:t>法定代表人或被授权人签字（或盖章）：</w:t>
      </w:r>
      <w:r>
        <w:rPr>
          <w:rFonts w:ascii="宋体" w:hAnsi="宋体"/>
          <w:sz w:val="24"/>
        </w:rPr>
        <w:t xml:space="preserve">          </w:t>
      </w:r>
    </w:p>
    <w:p>
      <w:pPr>
        <w:snapToGrid w:val="0"/>
        <w:spacing w:before="50" w:after="50" w:line="480" w:lineRule="auto"/>
        <w:rPr>
          <w:rFonts w:ascii="宋体" w:hAnsi="宋体"/>
          <w:spacing w:val="20"/>
          <w:sz w:val="24"/>
        </w:rPr>
      </w:pPr>
      <w:r>
        <w:rPr>
          <w:rFonts w:hint="eastAsia" w:ascii="宋体" w:hAnsi="宋体"/>
          <w:sz w:val="24"/>
        </w:rPr>
        <w:t>投标人（盖章）：</w:t>
      </w:r>
      <w:r>
        <w:rPr>
          <w:rFonts w:ascii="宋体" w:hAnsi="宋体"/>
          <w:sz w:val="24"/>
        </w:rPr>
        <w:t xml:space="preserve">   </w:t>
      </w:r>
      <w:r>
        <w:rPr>
          <w:rFonts w:ascii="宋体" w:hAnsi="宋体"/>
          <w:spacing w:val="20"/>
          <w:sz w:val="24"/>
        </w:rPr>
        <w:t xml:space="preserve">      </w:t>
      </w:r>
      <w:r>
        <w:rPr>
          <w:rFonts w:hint="eastAsia" w:ascii="宋体" w:hAnsi="宋体"/>
          <w:spacing w:val="20"/>
          <w:sz w:val="24"/>
        </w:rPr>
        <w:t xml:space="preserve">            </w:t>
      </w:r>
    </w:p>
    <w:p>
      <w:pPr>
        <w:snapToGrid w:val="0"/>
        <w:spacing w:before="50" w:after="50" w:line="480" w:lineRule="auto"/>
        <w:rPr>
          <w:sz w:val="24"/>
        </w:rPr>
      </w:pPr>
      <w:r>
        <w:rPr>
          <w:rFonts w:hint="eastAsia"/>
          <w:sz w:val="24"/>
        </w:rPr>
        <w:t>日期：      年   月    日</w:t>
      </w:r>
    </w:p>
    <w:p>
      <w:pPr>
        <w:widowControl/>
        <w:jc w:val="left"/>
        <w:rPr>
          <w:rFonts w:ascii="宋体" w:hAnsi="宋体"/>
          <w:b/>
          <w:sz w:val="24"/>
        </w:rPr>
      </w:pPr>
      <w:r>
        <w:rPr>
          <w:rFonts w:hAnsi="宋体"/>
          <w:b/>
          <w:sz w:val="24"/>
        </w:rPr>
        <w:br w:type="page"/>
      </w:r>
    </w:p>
    <w:p>
      <w:pPr>
        <w:pStyle w:val="67"/>
        <w:jc w:val="center"/>
        <w:rPr>
          <w:rFonts w:hAnsi="宋体" w:eastAsia="宋体"/>
          <w:b/>
          <w:sz w:val="28"/>
          <w:szCs w:val="28"/>
        </w:rPr>
      </w:pPr>
      <w:r>
        <w:rPr>
          <w:rFonts w:hint="eastAsia" w:hAnsi="宋体" w:eastAsia="宋体"/>
          <w:b/>
          <w:sz w:val="28"/>
          <w:szCs w:val="28"/>
        </w:rPr>
        <w:t>14.3  投标报价明细表（中转站（资源化处理站）运作服务）</w:t>
      </w:r>
    </w:p>
    <w:tbl>
      <w:tblPr>
        <w:tblStyle w:val="41"/>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339"/>
        <w:gridCol w:w="815"/>
        <w:gridCol w:w="1092"/>
        <w:gridCol w:w="1228"/>
        <w:gridCol w:w="140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jc w:val="center"/>
        </w:trPr>
        <w:tc>
          <w:tcPr>
            <w:tcW w:w="770" w:type="dxa"/>
            <w:vAlign w:val="center"/>
          </w:tcPr>
          <w:p>
            <w:pPr>
              <w:adjustRightInd w:val="0"/>
              <w:snapToGrid w:val="0"/>
              <w:jc w:val="center"/>
              <w:rPr>
                <w:szCs w:val="21"/>
              </w:rPr>
            </w:pPr>
            <w:r>
              <w:rPr>
                <w:rFonts w:hint="eastAsia"/>
                <w:szCs w:val="21"/>
              </w:rPr>
              <w:t>序号</w:t>
            </w:r>
          </w:p>
        </w:tc>
        <w:tc>
          <w:tcPr>
            <w:tcW w:w="2377" w:type="dxa"/>
            <w:vAlign w:val="center"/>
          </w:tcPr>
          <w:p>
            <w:pPr>
              <w:adjustRightInd w:val="0"/>
              <w:snapToGrid w:val="0"/>
              <w:jc w:val="center"/>
              <w:rPr>
                <w:szCs w:val="21"/>
              </w:rPr>
            </w:pPr>
            <w:r>
              <w:rPr>
                <w:rFonts w:hint="eastAsia"/>
                <w:szCs w:val="21"/>
              </w:rPr>
              <w:t>项目内容</w:t>
            </w:r>
          </w:p>
        </w:tc>
        <w:tc>
          <w:tcPr>
            <w:tcW w:w="705" w:type="dxa"/>
            <w:vAlign w:val="center"/>
          </w:tcPr>
          <w:p>
            <w:pPr>
              <w:adjustRightInd w:val="0"/>
              <w:snapToGrid w:val="0"/>
              <w:ind w:left="388" w:hanging="388" w:hangingChars="185"/>
              <w:jc w:val="center"/>
              <w:rPr>
                <w:szCs w:val="21"/>
              </w:rPr>
            </w:pPr>
            <w:r>
              <w:rPr>
                <w:rFonts w:hint="eastAsia"/>
                <w:szCs w:val="21"/>
              </w:rPr>
              <w:t>单位</w:t>
            </w:r>
          </w:p>
        </w:tc>
        <w:tc>
          <w:tcPr>
            <w:tcW w:w="1106" w:type="dxa"/>
            <w:vAlign w:val="center"/>
          </w:tcPr>
          <w:p>
            <w:pPr>
              <w:adjustRightInd w:val="0"/>
              <w:snapToGrid w:val="0"/>
              <w:jc w:val="center"/>
              <w:rPr>
                <w:szCs w:val="21"/>
              </w:rPr>
            </w:pPr>
            <w:r>
              <w:rPr>
                <w:rFonts w:hint="eastAsia"/>
                <w:szCs w:val="21"/>
              </w:rPr>
              <w:t>数量</w:t>
            </w:r>
          </w:p>
        </w:tc>
        <w:tc>
          <w:tcPr>
            <w:tcW w:w="1236" w:type="dxa"/>
            <w:vAlign w:val="center"/>
          </w:tcPr>
          <w:p>
            <w:pPr>
              <w:adjustRightInd w:val="0"/>
              <w:snapToGrid w:val="0"/>
              <w:jc w:val="center"/>
              <w:rPr>
                <w:szCs w:val="21"/>
              </w:rPr>
            </w:pPr>
            <w:r>
              <w:rPr>
                <w:rFonts w:hint="eastAsia"/>
                <w:szCs w:val="21"/>
              </w:rPr>
              <w:t>单价</w:t>
            </w:r>
          </w:p>
          <w:p>
            <w:pPr>
              <w:adjustRightInd w:val="0"/>
              <w:snapToGrid w:val="0"/>
              <w:jc w:val="center"/>
              <w:rPr>
                <w:szCs w:val="21"/>
              </w:rPr>
            </w:pPr>
            <w:r>
              <w:rPr>
                <w:rFonts w:hint="eastAsia" w:asciiTheme="minorEastAsia" w:hAnsiTheme="minorEastAsia" w:eastAsiaTheme="minorEastAsia"/>
                <w:szCs w:val="21"/>
              </w:rPr>
              <w:t>（元/年</w:t>
            </w:r>
            <w:r>
              <w:rPr>
                <w:rFonts w:asciiTheme="minorEastAsia" w:hAnsiTheme="minorEastAsia" w:eastAsiaTheme="minorEastAsia"/>
                <w:szCs w:val="21"/>
              </w:rPr>
              <w:t>）</w:t>
            </w:r>
          </w:p>
        </w:tc>
        <w:tc>
          <w:tcPr>
            <w:tcW w:w="1417" w:type="dxa"/>
            <w:vAlign w:val="center"/>
          </w:tcPr>
          <w:p>
            <w:pPr>
              <w:adjustRightInd w:val="0"/>
              <w:snapToGrid w:val="0"/>
              <w:jc w:val="center"/>
              <w:rPr>
                <w:szCs w:val="21"/>
              </w:rPr>
            </w:pPr>
            <w:r>
              <w:rPr>
                <w:rFonts w:hint="eastAsia"/>
                <w:szCs w:val="21"/>
              </w:rPr>
              <w:t>合价</w:t>
            </w:r>
            <w:r>
              <w:rPr>
                <w:rFonts w:hint="eastAsia" w:asciiTheme="minorEastAsia" w:hAnsiTheme="minorEastAsia" w:eastAsiaTheme="minorEastAsia"/>
                <w:szCs w:val="21"/>
              </w:rPr>
              <w:t>/元</w:t>
            </w:r>
          </w:p>
        </w:tc>
        <w:tc>
          <w:tcPr>
            <w:tcW w:w="1883" w:type="dxa"/>
            <w:vAlign w:val="center"/>
          </w:tcPr>
          <w:p>
            <w:pPr>
              <w:adjustRightInd w:val="0"/>
              <w:snapToGrid w:val="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adjustRightInd w:val="0"/>
              <w:snapToGrid w:val="0"/>
              <w:jc w:val="center"/>
              <w:rPr>
                <w:rFonts w:ascii="宋体" w:hAnsi="宋体" w:cs="宋体"/>
                <w:szCs w:val="21"/>
              </w:rPr>
            </w:pPr>
            <w:r>
              <w:rPr>
                <w:rFonts w:hint="eastAsia" w:cs="宋体" w:asciiTheme="minorEastAsia" w:hAnsiTheme="minorEastAsia" w:eastAsiaTheme="minorEastAsia"/>
                <w:color w:val="000000"/>
                <w:szCs w:val="21"/>
              </w:rPr>
              <w:t>运维人员</w:t>
            </w:r>
            <w:r>
              <w:rPr>
                <w:rFonts w:hint="eastAsia" w:ascii="宋体" w:hAnsi="宋体"/>
                <w:szCs w:val="21"/>
              </w:rPr>
              <w:t>薪酬</w:t>
            </w:r>
          </w:p>
        </w:tc>
        <w:tc>
          <w:tcPr>
            <w:tcW w:w="705" w:type="dxa"/>
            <w:vAlign w:val="center"/>
          </w:tcPr>
          <w:p>
            <w:pPr>
              <w:adjustRightInd w:val="0"/>
              <w:snapToGrid w:val="0"/>
              <w:jc w:val="center"/>
              <w:rPr>
                <w:szCs w:val="21"/>
              </w:rPr>
            </w:pPr>
            <w:r>
              <w:rPr>
                <w:rFonts w:hint="eastAsia"/>
                <w:szCs w:val="21"/>
              </w:rPr>
              <w:t>人</w:t>
            </w:r>
          </w:p>
        </w:tc>
        <w:tc>
          <w:tcPr>
            <w:tcW w:w="1106" w:type="dxa"/>
            <w:vAlign w:val="center"/>
          </w:tcPr>
          <w:p>
            <w:pPr>
              <w:adjustRightInd w:val="0"/>
              <w:snapToGrid w:val="0"/>
              <w:jc w:val="center"/>
              <w:rPr>
                <w:rFonts w:ascii="宋体" w:hAnsi="宋体" w:cs="宋体"/>
                <w:szCs w:val="21"/>
              </w:rPr>
            </w:pPr>
          </w:p>
        </w:tc>
        <w:tc>
          <w:tcPr>
            <w:tcW w:w="1236" w:type="dxa"/>
            <w:vAlign w:val="center"/>
          </w:tcPr>
          <w:p>
            <w:pPr>
              <w:adjustRightInd w:val="0"/>
              <w:snapToGrid w:val="0"/>
              <w:jc w:val="center"/>
              <w:rPr>
                <w:szCs w:val="21"/>
              </w:rPr>
            </w:pPr>
          </w:p>
        </w:tc>
        <w:tc>
          <w:tcPr>
            <w:tcW w:w="1417" w:type="dxa"/>
            <w:vAlign w:val="center"/>
          </w:tcPr>
          <w:p>
            <w:pPr>
              <w:adjustRightInd w:val="0"/>
              <w:snapToGrid w:val="0"/>
              <w:jc w:val="center"/>
              <w:rPr>
                <w:szCs w:val="21"/>
              </w:rPr>
            </w:pPr>
          </w:p>
        </w:tc>
        <w:tc>
          <w:tcPr>
            <w:tcW w:w="1883" w:type="dxa"/>
            <w:vAlign w:val="center"/>
          </w:tcPr>
          <w:p>
            <w:pPr>
              <w:adjustRightInd w:val="0"/>
              <w:snapToGrid w:val="0"/>
              <w:jc w:val="center"/>
              <w:rPr>
                <w:szCs w:val="21"/>
              </w:rPr>
            </w:pPr>
            <w:r>
              <w:rPr>
                <w:rFonts w:hint="eastAsia"/>
                <w:szCs w:val="21"/>
              </w:rPr>
              <w:t>数量6人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adjustRightInd w:val="0"/>
              <w:snapToGrid w:val="0"/>
              <w:jc w:val="center"/>
              <w:rPr>
                <w:szCs w:val="21"/>
              </w:rPr>
            </w:pPr>
            <w:r>
              <w:rPr>
                <w:rFonts w:hint="eastAsia" w:ascii="宋体" w:hAnsi="宋体"/>
                <w:szCs w:val="21"/>
              </w:rPr>
              <w:t>人身意外伤害险</w:t>
            </w:r>
          </w:p>
        </w:tc>
        <w:tc>
          <w:tcPr>
            <w:tcW w:w="705" w:type="dxa"/>
            <w:vAlign w:val="center"/>
          </w:tcPr>
          <w:p>
            <w:pPr>
              <w:adjustRightInd w:val="0"/>
              <w:snapToGrid w:val="0"/>
              <w:jc w:val="center"/>
              <w:rPr>
                <w:szCs w:val="21"/>
              </w:rPr>
            </w:pPr>
            <w:r>
              <w:rPr>
                <w:rFonts w:hint="eastAsia"/>
                <w:szCs w:val="21"/>
              </w:rPr>
              <w:t>人</w:t>
            </w:r>
          </w:p>
        </w:tc>
        <w:tc>
          <w:tcPr>
            <w:tcW w:w="1106" w:type="dxa"/>
            <w:vAlign w:val="center"/>
          </w:tcPr>
          <w:p>
            <w:pPr>
              <w:adjustRightInd w:val="0"/>
              <w:snapToGrid w:val="0"/>
              <w:jc w:val="center"/>
              <w:rPr>
                <w:rFonts w:ascii="宋体" w:hAnsi="宋体" w:cs="宋体"/>
                <w:szCs w:val="21"/>
              </w:rPr>
            </w:pPr>
          </w:p>
        </w:tc>
        <w:tc>
          <w:tcPr>
            <w:tcW w:w="1236" w:type="dxa"/>
            <w:vAlign w:val="center"/>
          </w:tcPr>
          <w:p>
            <w:pPr>
              <w:adjustRightInd w:val="0"/>
              <w:snapToGrid w:val="0"/>
              <w:jc w:val="center"/>
              <w:rPr>
                <w:szCs w:val="21"/>
              </w:rPr>
            </w:pPr>
          </w:p>
        </w:tc>
        <w:tc>
          <w:tcPr>
            <w:tcW w:w="1417" w:type="dxa"/>
            <w:vAlign w:val="center"/>
          </w:tcPr>
          <w:p>
            <w:pPr>
              <w:adjustRightInd w:val="0"/>
              <w:snapToGrid w:val="0"/>
              <w:jc w:val="center"/>
              <w:rPr>
                <w:szCs w:val="21"/>
              </w:rPr>
            </w:pPr>
          </w:p>
        </w:tc>
        <w:tc>
          <w:tcPr>
            <w:tcW w:w="1883" w:type="dxa"/>
            <w:vAlign w:val="center"/>
          </w:tcPr>
          <w:p>
            <w:pPr>
              <w:adjustRightInd w:val="0"/>
              <w:snapToGrid w:val="0"/>
              <w:jc w:val="center"/>
              <w:rPr>
                <w:szCs w:val="21"/>
              </w:rPr>
            </w:pPr>
            <w:r>
              <w:rPr>
                <w:rFonts w:hint="eastAsia"/>
                <w:szCs w:val="21"/>
              </w:rPr>
              <w:t>数量6人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adjustRightInd w:val="0"/>
              <w:snapToGrid w:val="0"/>
              <w:jc w:val="center"/>
              <w:rPr>
                <w:rFonts w:ascii="宋体" w:hAnsi="宋体"/>
                <w:szCs w:val="21"/>
              </w:rPr>
            </w:pPr>
            <w:r>
              <w:rPr>
                <w:rFonts w:hint="eastAsia" w:ascii="宋体" w:hAnsi="宋体" w:cs="宋体"/>
                <w:kern w:val="0"/>
                <w:szCs w:val="21"/>
              </w:rPr>
              <w:t>服装</w:t>
            </w:r>
          </w:p>
        </w:tc>
        <w:tc>
          <w:tcPr>
            <w:tcW w:w="705" w:type="dxa"/>
            <w:vAlign w:val="center"/>
          </w:tcPr>
          <w:p>
            <w:pPr>
              <w:adjustRightInd w:val="0"/>
              <w:snapToGrid w:val="0"/>
              <w:jc w:val="center"/>
              <w:rPr>
                <w:szCs w:val="21"/>
              </w:rPr>
            </w:pPr>
            <w:r>
              <w:rPr>
                <w:rFonts w:hint="eastAsia"/>
                <w:szCs w:val="21"/>
              </w:rPr>
              <w:t>份</w:t>
            </w:r>
          </w:p>
        </w:tc>
        <w:tc>
          <w:tcPr>
            <w:tcW w:w="1106" w:type="dxa"/>
            <w:vAlign w:val="center"/>
          </w:tcPr>
          <w:p>
            <w:pPr>
              <w:adjustRightInd w:val="0"/>
              <w:snapToGrid w:val="0"/>
              <w:jc w:val="center"/>
              <w:rPr>
                <w:rFonts w:ascii="宋体" w:hAnsi="宋体" w:cs="宋体"/>
                <w:szCs w:val="21"/>
              </w:rPr>
            </w:pPr>
          </w:p>
        </w:tc>
        <w:tc>
          <w:tcPr>
            <w:tcW w:w="1236" w:type="dxa"/>
            <w:vAlign w:val="center"/>
          </w:tcPr>
          <w:p>
            <w:pPr>
              <w:adjustRightInd w:val="0"/>
              <w:snapToGrid w:val="0"/>
              <w:jc w:val="center"/>
              <w:rPr>
                <w:szCs w:val="21"/>
              </w:rPr>
            </w:pPr>
          </w:p>
        </w:tc>
        <w:tc>
          <w:tcPr>
            <w:tcW w:w="1417" w:type="dxa"/>
            <w:vAlign w:val="center"/>
          </w:tcPr>
          <w:p>
            <w:pPr>
              <w:adjustRightInd w:val="0"/>
              <w:snapToGrid w:val="0"/>
              <w:jc w:val="center"/>
              <w:rPr>
                <w:szCs w:val="21"/>
              </w:rPr>
            </w:pPr>
          </w:p>
        </w:tc>
        <w:tc>
          <w:tcPr>
            <w:tcW w:w="1883" w:type="dxa"/>
            <w:vAlign w:val="center"/>
          </w:tcPr>
          <w:p>
            <w:pPr>
              <w:adjustRightInd w:val="0"/>
              <w:snapToGrid w:val="0"/>
              <w:jc w:val="center"/>
              <w:rPr>
                <w:szCs w:val="21"/>
              </w:rPr>
            </w:pPr>
            <w:r>
              <w:rPr>
                <w:rFonts w:hint="eastAsia"/>
                <w:szCs w:val="21"/>
              </w:rPr>
              <w:t>数量6人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维修费</w:t>
            </w:r>
          </w:p>
        </w:tc>
        <w:tc>
          <w:tcPr>
            <w:tcW w:w="705" w:type="dxa"/>
            <w:vAlign w:val="center"/>
          </w:tcPr>
          <w:p>
            <w:pPr>
              <w:adjustRightInd w:val="0"/>
              <w:snapToGrid w:val="0"/>
              <w:jc w:val="center"/>
              <w:rPr>
                <w:szCs w:val="21"/>
              </w:rPr>
            </w:pPr>
            <w:r>
              <w:rPr>
                <w:rFonts w:hint="eastAsia"/>
                <w:szCs w:val="21"/>
              </w:rPr>
              <w:t>项</w:t>
            </w:r>
          </w:p>
        </w:tc>
        <w:tc>
          <w:tcPr>
            <w:tcW w:w="1106"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236" w:type="dxa"/>
            <w:vAlign w:val="center"/>
          </w:tcPr>
          <w:p>
            <w:pPr>
              <w:adjustRightInd w:val="0"/>
              <w:snapToGrid w:val="0"/>
              <w:jc w:val="center"/>
              <w:rPr>
                <w:szCs w:val="21"/>
              </w:rPr>
            </w:pPr>
            <w:r>
              <w:rPr>
                <w:rFonts w:hint="eastAsia"/>
                <w:szCs w:val="21"/>
              </w:rPr>
              <w:t>120000</w:t>
            </w:r>
          </w:p>
        </w:tc>
        <w:tc>
          <w:tcPr>
            <w:tcW w:w="1417" w:type="dxa"/>
            <w:vAlign w:val="center"/>
          </w:tcPr>
          <w:p>
            <w:pPr>
              <w:adjustRightInd w:val="0"/>
              <w:snapToGrid w:val="0"/>
              <w:jc w:val="center"/>
              <w:rPr>
                <w:szCs w:val="21"/>
              </w:rPr>
            </w:pPr>
            <w:r>
              <w:rPr>
                <w:rFonts w:hint="eastAsia"/>
                <w:szCs w:val="21"/>
              </w:rPr>
              <w:t>120000</w:t>
            </w:r>
          </w:p>
        </w:tc>
        <w:tc>
          <w:tcPr>
            <w:tcW w:w="1883"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adjustRightInd w:val="0"/>
              <w:snapToGrid w:val="0"/>
              <w:jc w:val="center"/>
              <w:rPr>
                <w:szCs w:val="21"/>
              </w:rPr>
            </w:pPr>
            <w:r>
              <w:rPr>
                <w:rFonts w:hint="eastAsia" w:ascii="宋体" w:hAnsi="宋体" w:cs="宋体"/>
                <w:szCs w:val="21"/>
              </w:rPr>
              <w:t>...</w:t>
            </w:r>
          </w:p>
        </w:tc>
        <w:tc>
          <w:tcPr>
            <w:tcW w:w="705" w:type="dxa"/>
            <w:vAlign w:val="center"/>
          </w:tcPr>
          <w:p>
            <w:pPr>
              <w:adjustRightInd w:val="0"/>
              <w:snapToGrid w:val="0"/>
              <w:jc w:val="center"/>
              <w:rPr>
                <w:szCs w:val="21"/>
              </w:rPr>
            </w:pPr>
          </w:p>
        </w:tc>
        <w:tc>
          <w:tcPr>
            <w:tcW w:w="1106" w:type="dxa"/>
            <w:vAlign w:val="center"/>
          </w:tcPr>
          <w:p>
            <w:pPr>
              <w:adjustRightInd w:val="0"/>
              <w:snapToGrid w:val="0"/>
              <w:jc w:val="center"/>
              <w:rPr>
                <w:szCs w:val="21"/>
              </w:rPr>
            </w:pPr>
          </w:p>
        </w:tc>
        <w:tc>
          <w:tcPr>
            <w:tcW w:w="1236" w:type="dxa"/>
            <w:vAlign w:val="center"/>
          </w:tcPr>
          <w:p>
            <w:pPr>
              <w:adjustRightInd w:val="0"/>
              <w:snapToGrid w:val="0"/>
              <w:jc w:val="center"/>
              <w:rPr>
                <w:szCs w:val="21"/>
              </w:rPr>
            </w:pPr>
          </w:p>
        </w:tc>
        <w:tc>
          <w:tcPr>
            <w:tcW w:w="1417" w:type="dxa"/>
            <w:vAlign w:val="center"/>
          </w:tcPr>
          <w:p>
            <w:pPr>
              <w:adjustRightInd w:val="0"/>
              <w:snapToGrid w:val="0"/>
              <w:jc w:val="center"/>
              <w:rPr>
                <w:szCs w:val="21"/>
              </w:rPr>
            </w:pPr>
          </w:p>
        </w:tc>
        <w:tc>
          <w:tcPr>
            <w:tcW w:w="1883"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adjustRightInd w:val="0"/>
              <w:snapToGrid w:val="0"/>
              <w:jc w:val="center"/>
              <w:rPr>
                <w:szCs w:val="21"/>
              </w:rPr>
            </w:pPr>
            <w:r>
              <w:rPr>
                <w:rFonts w:hint="eastAsia" w:ascii="宋体" w:hAnsi="宋体" w:cs="宋体"/>
                <w:kern w:val="0"/>
                <w:szCs w:val="21"/>
              </w:rPr>
              <w:t>小计</w:t>
            </w:r>
          </w:p>
        </w:tc>
        <w:tc>
          <w:tcPr>
            <w:tcW w:w="3047" w:type="dxa"/>
            <w:gridSpan w:val="3"/>
            <w:vAlign w:val="center"/>
          </w:tcPr>
          <w:p>
            <w:pPr>
              <w:adjustRightInd w:val="0"/>
              <w:snapToGrid w:val="0"/>
              <w:jc w:val="center"/>
              <w:rPr>
                <w:szCs w:val="21"/>
              </w:rPr>
            </w:pPr>
            <w:r>
              <w:rPr>
                <w:rFonts w:hint="eastAsia"/>
                <w:szCs w:val="21"/>
              </w:rPr>
              <w:t>（1）+（2）+（3）+（4）+（5）</w:t>
            </w:r>
          </w:p>
        </w:tc>
        <w:tc>
          <w:tcPr>
            <w:tcW w:w="1417" w:type="dxa"/>
            <w:vAlign w:val="center"/>
          </w:tcPr>
          <w:p>
            <w:pPr>
              <w:adjustRightInd w:val="0"/>
              <w:snapToGrid w:val="0"/>
              <w:jc w:val="center"/>
              <w:rPr>
                <w:szCs w:val="21"/>
              </w:rPr>
            </w:pPr>
          </w:p>
        </w:tc>
        <w:tc>
          <w:tcPr>
            <w:tcW w:w="1883"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管理费及利润</w:t>
            </w:r>
          </w:p>
        </w:tc>
        <w:tc>
          <w:tcPr>
            <w:tcW w:w="3047" w:type="dxa"/>
            <w:gridSpan w:val="3"/>
            <w:vAlign w:val="center"/>
          </w:tcPr>
          <w:p>
            <w:pPr>
              <w:adjustRightInd w:val="0"/>
              <w:snapToGrid w:val="0"/>
              <w:jc w:val="center"/>
              <w:rPr>
                <w:szCs w:val="21"/>
                <w:u w:val="single"/>
              </w:rPr>
            </w:pPr>
            <w:r>
              <w:rPr>
                <w:rFonts w:hint="eastAsia"/>
                <w:szCs w:val="21"/>
              </w:rPr>
              <w:t>（6）×</w:t>
            </w:r>
            <w:r>
              <w:rPr>
                <w:rFonts w:hint="eastAsia"/>
                <w:szCs w:val="21"/>
                <w:u w:val="single"/>
              </w:rPr>
              <w:t xml:space="preserve">       %</w:t>
            </w:r>
          </w:p>
        </w:tc>
        <w:tc>
          <w:tcPr>
            <w:tcW w:w="1417" w:type="dxa"/>
            <w:vAlign w:val="center"/>
          </w:tcPr>
          <w:p>
            <w:pPr>
              <w:adjustRightInd w:val="0"/>
              <w:snapToGrid w:val="0"/>
              <w:jc w:val="center"/>
              <w:rPr>
                <w:szCs w:val="21"/>
              </w:rPr>
            </w:pPr>
          </w:p>
        </w:tc>
        <w:tc>
          <w:tcPr>
            <w:tcW w:w="1883" w:type="dxa"/>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税金</w:t>
            </w:r>
          </w:p>
        </w:tc>
        <w:tc>
          <w:tcPr>
            <w:tcW w:w="3047" w:type="dxa"/>
            <w:gridSpan w:val="3"/>
            <w:vAlign w:val="center"/>
          </w:tcPr>
          <w:p>
            <w:pPr>
              <w:adjustRightInd w:val="0"/>
              <w:snapToGrid w:val="0"/>
              <w:jc w:val="center"/>
              <w:rPr>
                <w:szCs w:val="21"/>
              </w:rPr>
            </w:pPr>
            <w:r>
              <w:rPr>
                <w:rFonts w:hint="eastAsia"/>
                <w:szCs w:val="21"/>
              </w:rPr>
              <w:t>【（6）+（7）】 ×</w:t>
            </w:r>
            <w:r>
              <w:rPr>
                <w:rFonts w:hint="eastAsia"/>
                <w:szCs w:val="21"/>
                <w:u w:val="single"/>
              </w:rPr>
              <w:t xml:space="preserve">       %</w:t>
            </w:r>
          </w:p>
        </w:tc>
        <w:tc>
          <w:tcPr>
            <w:tcW w:w="1417" w:type="dxa"/>
            <w:vAlign w:val="center"/>
          </w:tcPr>
          <w:p>
            <w:pPr>
              <w:adjustRightInd w:val="0"/>
              <w:snapToGrid w:val="0"/>
              <w:jc w:val="center"/>
              <w:rPr>
                <w:szCs w:val="21"/>
              </w:rPr>
            </w:pPr>
          </w:p>
        </w:tc>
        <w:tc>
          <w:tcPr>
            <w:tcW w:w="1883" w:type="dxa"/>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70" w:type="dxa"/>
            <w:vAlign w:val="center"/>
          </w:tcPr>
          <w:p>
            <w:pPr>
              <w:pStyle w:val="72"/>
              <w:numPr>
                <w:ilvl w:val="0"/>
                <w:numId w:val="66"/>
              </w:numPr>
              <w:adjustRightInd w:val="0"/>
              <w:snapToGrid w:val="0"/>
              <w:spacing w:line="240" w:lineRule="auto"/>
              <w:ind w:firstLineChars="0"/>
              <w:jc w:val="center"/>
              <w:rPr>
                <w:sz w:val="21"/>
                <w:szCs w:val="21"/>
              </w:rPr>
            </w:pPr>
          </w:p>
        </w:tc>
        <w:tc>
          <w:tcPr>
            <w:tcW w:w="2377"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总价</w:t>
            </w:r>
          </w:p>
        </w:tc>
        <w:tc>
          <w:tcPr>
            <w:tcW w:w="3047" w:type="dxa"/>
            <w:gridSpan w:val="3"/>
            <w:vAlign w:val="center"/>
          </w:tcPr>
          <w:p>
            <w:pPr>
              <w:adjustRightInd w:val="0"/>
              <w:snapToGrid w:val="0"/>
              <w:jc w:val="center"/>
              <w:rPr>
                <w:szCs w:val="21"/>
              </w:rPr>
            </w:pPr>
            <w:r>
              <w:rPr>
                <w:rFonts w:hint="eastAsia"/>
                <w:szCs w:val="21"/>
              </w:rPr>
              <w:t>（6）+（7）+（8）</w:t>
            </w:r>
          </w:p>
        </w:tc>
        <w:tc>
          <w:tcPr>
            <w:tcW w:w="1417" w:type="dxa"/>
            <w:vAlign w:val="center"/>
          </w:tcPr>
          <w:p>
            <w:pPr>
              <w:adjustRightInd w:val="0"/>
              <w:snapToGrid w:val="0"/>
              <w:jc w:val="center"/>
              <w:rPr>
                <w:szCs w:val="21"/>
              </w:rPr>
            </w:pPr>
          </w:p>
        </w:tc>
        <w:tc>
          <w:tcPr>
            <w:tcW w:w="1883" w:type="dxa"/>
            <w:vAlign w:val="center"/>
          </w:tcPr>
          <w:p>
            <w:pPr>
              <w:adjustRightInd w:val="0"/>
              <w:snapToGrid w:val="0"/>
              <w:jc w:val="center"/>
              <w:rPr>
                <w:szCs w:val="21"/>
              </w:rPr>
            </w:pPr>
          </w:p>
        </w:tc>
      </w:tr>
    </w:tbl>
    <w:p>
      <w:pPr>
        <w:pStyle w:val="20"/>
        <w:adjustRightInd w:val="0"/>
        <w:snapToGrid w:val="0"/>
        <w:spacing w:beforeLines="0" w:afterLines="0" w:line="240" w:lineRule="auto"/>
        <w:ind w:firstLine="283" w:firstLineChars="135"/>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注：</w:t>
      </w:r>
    </w:p>
    <w:p>
      <w:pPr>
        <w:pStyle w:val="20"/>
        <w:numPr>
          <w:ilvl w:val="0"/>
          <w:numId w:val="67"/>
        </w:numPr>
        <w:adjustRightInd w:val="0"/>
        <w:snapToGrid w:val="0"/>
        <w:spacing w:beforeLines="0" w:afterLines="0" w:line="240" w:lineRule="auto"/>
        <w:ind w:left="0" w:firstLine="337" w:firstLineChars="135"/>
        <w:rPr>
          <w:rFonts w:hAnsi="宋体"/>
          <w:spacing w:val="20"/>
          <w:sz w:val="21"/>
          <w:szCs w:val="21"/>
        </w:rPr>
      </w:pPr>
      <w:r>
        <w:rPr>
          <w:rFonts w:hint="eastAsia" w:hAnsi="宋体"/>
          <w:spacing w:val="20"/>
          <w:sz w:val="21"/>
          <w:szCs w:val="21"/>
        </w:rPr>
        <w:t>本表总价为年度服务费，表格格式不得修改，但项目内容供应商可根据自身情况进行增加，</w:t>
      </w:r>
      <w:r>
        <w:rPr>
          <w:rFonts w:hint="eastAsia" w:asciiTheme="minorEastAsia" w:hAnsiTheme="minorEastAsia" w:eastAsiaTheme="minorEastAsia"/>
          <w:spacing w:val="20"/>
          <w:sz w:val="21"/>
          <w:szCs w:val="21"/>
        </w:rPr>
        <w:t>未列入本表的费用，视作已全部考虑在其他投标报价中</w:t>
      </w:r>
      <w:r>
        <w:rPr>
          <w:rFonts w:hint="eastAsia" w:hAnsi="宋体"/>
          <w:spacing w:val="20"/>
          <w:sz w:val="21"/>
          <w:szCs w:val="21"/>
        </w:rPr>
        <w:t>。</w:t>
      </w:r>
    </w:p>
    <w:p>
      <w:pPr>
        <w:pStyle w:val="20"/>
        <w:numPr>
          <w:ilvl w:val="0"/>
          <w:numId w:val="67"/>
        </w:numPr>
        <w:adjustRightInd w:val="0"/>
        <w:snapToGrid w:val="0"/>
        <w:spacing w:beforeLines="0" w:afterLines="0" w:line="240" w:lineRule="auto"/>
        <w:ind w:left="0" w:firstLine="337" w:firstLineChars="135"/>
        <w:rPr>
          <w:rFonts w:hAnsi="宋体"/>
          <w:spacing w:val="20"/>
          <w:sz w:val="21"/>
          <w:szCs w:val="21"/>
        </w:rPr>
      </w:pPr>
      <w:r>
        <w:rPr>
          <w:rFonts w:hint="eastAsia" w:asciiTheme="minorEastAsia" w:hAnsiTheme="minorEastAsia" w:eastAsiaTheme="minorEastAsia" w:cstheme="minorBidi"/>
          <w:spacing w:val="20"/>
          <w:sz w:val="21"/>
          <w:szCs w:val="21"/>
        </w:rPr>
        <w:t>人员薪酬包括含工资、福利、社保、加班费等所有费用,其中人员工资必须符合本县当年最低工资标准和浙政办发〔2009〕190号《浙江省关于进一步改善环卫工人工作生活条件促进环卫事业持续健康发展的若干意见》规定，确保其月工</w:t>
      </w:r>
      <w:r>
        <w:rPr>
          <w:rFonts w:hint="eastAsia" w:hAnsi="宋体"/>
          <w:spacing w:val="20"/>
          <w:sz w:val="21"/>
          <w:szCs w:val="21"/>
        </w:rPr>
        <w:t>资收入不低于当地最低工资标准的110%(即1980元/月*12=23760元/年)，人工工资报价低于该标准的作废标处理。</w:t>
      </w:r>
    </w:p>
    <w:p>
      <w:pPr>
        <w:pStyle w:val="20"/>
        <w:numPr>
          <w:ilvl w:val="0"/>
          <w:numId w:val="67"/>
        </w:numPr>
        <w:adjustRightInd w:val="0"/>
        <w:snapToGrid w:val="0"/>
        <w:spacing w:beforeLines="0" w:afterLines="0" w:line="240" w:lineRule="auto"/>
        <w:ind w:left="0" w:firstLine="337" w:firstLineChars="135"/>
        <w:rPr>
          <w:rFonts w:hAnsi="宋体"/>
          <w:color w:val="FF0000"/>
          <w:spacing w:val="20"/>
          <w:sz w:val="21"/>
          <w:szCs w:val="21"/>
        </w:rPr>
      </w:pPr>
      <w:r>
        <w:rPr>
          <w:rFonts w:hint="eastAsia" w:hAnsi="宋体"/>
          <w:color w:val="FF0000"/>
          <w:spacing w:val="20"/>
          <w:sz w:val="21"/>
          <w:szCs w:val="21"/>
        </w:rPr>
        <w:t>维修费（含服务期内润滑油脂、易损易耗件、垃圾处理药剂耗材及设备维修费用等采用总价包干方式，不论实际发生金额多少，每年按12万元支付，以后不作调整。各投标人须将相关风险费考虑在其他投标报价中。</w:t>
      </w:r>
    </w:p>
    <w:p>
      <w:pPr>
        <w:widowControl/>
        <w:jc w:val="center"/>
        <w:rPr>
          <w:sz w:val="24"/>
        </w:rPr>
      </w:pPr>
    </w:p>
    <w:p>
      <w:pPr>
        <w:widowControl/>
        <w:jc w:val="center"/>
        <w:rPr>
          <w:sz w:val="24"/>
        </w:rPr>
      </w:pPr>
    </w:p>
    <w:p>
      <w:pPr>
        <w:pStyle w:val="20"/>
        <w:adjustRightInd w:val="0"/>
        <w:snapToGrid w:val="0"/>
        <w:spacing w:beforeLines="0" w:afterLines="0" w:line="240" w:lineRule="auto"/>
        <w:ind w:left="338"/>
        <w:rPr>
          <w:rFonts w:asciiTheme="minorEastAsia" w:hAnsiTheme="minorEastAsia" w:eastAsiaTheme="minorEastAsia" w:cstheme="minorBidi"/>
          <w:spacing w:val="20"/>
          <w:sz w:val="21"/>
          <w:szCs w:val="21"/>
        </w:rPr>
      </w:pPr>
    </w:p>
    <w:p>
      <w:pPr>
        <w:snapToGrid w:val="0"/>
        <w:spacing w:line="360" w:lineRule="auto"/>
        <w:rPr>
          <w:rFonts w:ascii="宋体" w:hAnsi="宋体"/>
          <w:sz w:val="24"/>
        </w:rPr>
      </w:pPr>
      <w:r>
        <w:rPr>
          <w:rFonts w:hint="eastAsia" w:ascii="宋体" w:hAnsi="宋体"/>
          <w:sz w:val="24"/>
        </w:rPr>
        <w:t>法定代表人或被授权人签字（或盖章）：</w:t>
      </w:r>
      <w:r>
        <w:rPr>
          <w:rFonts w:ascii="宋体" w:hAnsi="宋体"/>
          <w:sz w:val="24"/>
        </w:rPr>
        <w:t xml:space="preserve">          </w:t>
      </w:r>
    </w:p>
    <w:p>
      <w:pPr>
        <w:snapToGrid w:val="0"/>
        <w:spacing w:line="360" w:lineRule="auto"/>
        <w:rPr>
          <w:rFonts w:ascii="宋体" w:hAnsi="宋体"/>
          <w:spacing w:val="20"/>
          <w:sz w:val="24"/>
        </w:rPr>
      </w:pPr>
      <w:r>
        <w:rPr>
          <w:rFonts w:hint="eastAsia" w:ascii="宋体" w:hAnsi="宋体"/>
          <w:sz w:val="24"/>
        </w:rPr>
        <w:t>投标人（盖章）：</w:t>
      </w:r>
      <w:r>
        <w:rPr>
          <w:rFonts w:ascii="宋体" w:hAnsi="宋体"/>
          <w:sz w:val="24"/>
        </w:rPr>
        <w:t xml:space="preserve">   </w:t>
      </w:r>
      <w:r>
        <w:rPr>
          <w:rFonts w:ascii="宋体" w:hAnsi="宋体"/>
          <w:spacing w:val="20"/>
          <w:sz w:val="24"/>
        </w:rPr>
        <w:t xml:space="preserve">      </w:t>
      </w:r>
      <w:r>
        <w:rPr>
          <w:rFonts w:hint="eastAsia" w:ascii="宋体" w:hAnsi="宋体"/>
          <w:spacing w:val="20"/>
          <w:sz w:val="24"/>
        </w:rPr>
        <w:t xml:space="preserve">            </w:t>
      </w:r>
    </w:p>
    <w:p>
      <w:pPr>
        <w:snapToGrid w:val="0"/>
        <w:spacing w:line="360" w:lineRule="auto"/>
        <w:rPr>
          <w:sz w:val="24"/>
        </w:rPr>
      </w:pPr>
      <w:r>
        <w:rPr>
          <w:rFonts w:hint="eastAsia"/>
          <w:sz w:val="24"/>
        </w:rPr>
        <w:t>日期：      年   月    日</w:t>
      </w:r>
    </w:p>
    <w:p>
      <w:pPr>
        <w:widowControl/>
        <w:jc w:val="center"/>
        <w:rPr>
          <w:sz w:val="24"/>
        </w:rPr>
      </w:pPr>
      <w:r>
        <w:rPr>
          <w:sz w:val="24"/>
        </w:rPr>
        <w:t xml:space="preserve"> </w:t>
      </w:r>
    </w:p>
    <w:p>
      <w:pPr>
        <w:widowControl/>
        <w:jc w:val="left"/>
        <w:rPr>
          <w:rFonts w:ascii="黑体" w:eastAsia="黑体"/>
          <w:b/>
          <w:bCs/>
          <w:kern w:val="44"/>
          <w:sz w:val="32"/>
          <w:szCs w:val="44"/>
        </w:rPr>
      </w:pPr>
      <w:bookmarkStart w:id="146" w:name="_Toc466552759"/>
      <w:bookmarkStart w:id="147" w:name="_Toc488933837"/>
      <w:bookmarkStart w:id="148" w:name="_Toc470618338"/>
      <w:bookmarkStart w:id="149" w:name="_Toc489793134"/>
      <w:bookmarkStart w:id="150" w:name="_Toc472324115"/>
      <w:bookmarkStart w:id="151" w:name="_Toc500775335"/>
    </w:p>
    <w:p>
      <w:pPr>
        <w:widowControl/>
        <w:jc w:val="left"/>
        <w:rPr>
          <w:rFonts w:ascii="黑体" w:eastAsia="黑体"/>
          <w:b/>
          <w:bCs/>
          <w:kern w:val="44"/>
          <w:sz w:val="32"/>
          <w:szCs w:val="44"/>
        </w:rPr>
      </w:pPr>
      <w:bookmarkStart w:id="152" w:name="_Toc513370308"/>
      <w:r>
        <w:rPr>
          <w:rFonts w:ascii="黑体" w:eastAsia="黑体"/>
        </w:rPr>
        <w:br w:type="page"/>
      </w:r>
    </w:p>
    <w:p>
      <w:pPr>
        <w:pStyle w:val="2"/>
        <w:adjustRightInd w:val="0"/>
        <w:snapToGrid w:val="0"/>
        <w:spacing w:before="0" w:after="0" w:line="360" w:lineRule="auto"/>
        <w:rPr>
          <w:rFonts w:ascii="黑体" w:hAnsi="宋体" w:eastAsia="黑体"/>
          <w:b w:val="0"/>
          <w:bCs w:val="0"/>
          <w:sz w:val="36"/>
        </w:rPr>
      </w:pPr>
      <w:bookmarkStart w:id="153" w:name="_Toc38307004"/>
      <w:r>
        <w:rPr>
          <w:rFonts w:hint="eastAsia" w:ascii="黑体" w:eastAsia="黑体"/>
        </w:rPr>
        <w:t>第七章　附件</w:t>
      </w:r>
      <w:bookmarkEnd w:id="146"/>
      <w:bookmarkEnd w:id="147"/>
      <w:bookmarkEnd w:id="148"/>
      <w:bookmarkEnd w:id="149"/>
      <w:bookmarkEnd w:id="150"/>
      <w:bookmarkEnd w:id="151"/>
      <w:bookmarkEnd w:id="152"/>
      <w:bookmarkEnd w:id="153"/>
    </w:p>
    <w:p>
      <w:pPr>
        <w:pStyle w:val="20"/>
        <w:snapToGrid w:val="0"/>
        <w:spacing w:before="120" w:after="120" w:line="360" w:lineRule="auto"/>
        <w:jc w:val="left"/>
        <w:outlineLvl w:val="2"/>
        <w:rPr>
          <w:rFonts w:ascii="Times New Roman" w:hAnsi="Times New Roman"/>
          <w:b/>
          <w:bCs/>
          <w:kern w:val="44"/>
        </w:rPr>
      </w:pPr>
      <w:bookmarkStart w:id="154" w:name="_Toc38307005"/>
      <w:r>
        <w:rPr>
          <w:rFonts w:hint="eastAsia" w:ascii="Times New Roman" w:hAnsi="Times New Roman"/>
          <w:b/>
          <w:bCs/>
          <w:kern w:val="44"/>
        </w:rPr>
        <w:t>附件1</w:t>
      </w:r>
      <w:r>
        <w:rPr>
          <w:rFonts w:hint="eastAsia" w:hAnsi="宋体" w:cs="宋体"/>
          <w:b/>
          <w:bCs/>
          <w:color w:val="000000"/>
          <w:kern w:val="0"/>
        </w:rPr>
        <w:t>天凝镇天凝社区道路清扫保洁面积汇总表</w:t>
      </w:r>
      <w:bookmarkEnd w:id="154"/>
    </w:p>
    <w:tbl>
      <w:tblPr>
        <w:tblStyle w:val="40"/>
        <w:tblW w:w="10196" w:type="dxa"/>
        <w:jc w:val="center"/>
        <w:tblLayout w:type="autofit"/>
        <w:tblCellMar>
          <w:top w:w="0" w:type="dxa"/>
          <w:left w:w="108" w:type="dxa"/>
          <w:bottom w:w="0" w:type="dxa"/>
          <w:right w:w="108" w:type="dxa"/>
        </w:tblCellMar>
      </w:tblPr>
      <w:tblGrid>
        <w:gridCol w:w="700"/>
        <w:gridCol w:w="1200"/>
        <w:gridCol w:w="1260"/>
        <w:gridCol w:w="1276"/>
        <w:gridCol w:w="960"/>
        <w:gridCol w:w="960"/>
        <w:gridCol w:w="960"/>
        <w:gridCol w:w="960"/>
        <w:gridCol w:w="960"/>
        <w:gridCol w:w="960"/>
      </w:tblGrid>
      <w:tr>
        <w:tblPrEx>
          <w:tblCellMar>
            <w:top w:w="0" w:type="dxa"/>
            <w:left w:w="108" w:type="dxa"/>
            <w:bottom w:w="0" w:type="dxa"/>
            <w:right w:w="108" w:type="dxa"/>
          </w:tblCellMar>
        </w:tblPrEx>
        <w:trPr>
          <w:trHeight w:val="492" w:hRule="atLeast"/>
          <w:tblHeader/>
          <w:jc w:val="center"/>
        </w:trPr>
        <w:tc>
          <w:tcPr>
            <w:tcW w:w="10196" w:type="dxa"/>
            <w:gridSpan w:val="10"/>
            <w:tcBorders>
              <w:top w:val="single" w:color="auto" w:sz="8" w:space="0"/>
              <w:left w:val="single" w:color="auto" w:sz="8" w:space="0"/>
              <w:bottom w:val="nil"/>
              <w:right w:val="single" w:color="000000"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天凝镇天凝社区道路清扫保洁面积汇总表</w:t>
            </w:r>
          </w:p>
        </w:tc>
      </w:tr>
      <w:tr>
        <w:tblPrEx>
          <w:tblCellMar>
            <w:top w:w="0" w:type="dxa"/>
            <w:left w:w="108" w:type="dxa"/>
            <w:bottom w:w="0" w:type="dxa"/>
            <w:right w:w="108" w:type="dxa"/>
          </w:tblCellMar>
        </w:tblPrEx>
        <w:trPr>
          <w:trHeight w:val="288" w:hRule="atLeast"/>
          <w:tblHeader/>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道路名称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起——至</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主路面积</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（长*宽）</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行人道</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面积</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绿化带</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面积</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花坛面积</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支路面积</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桥</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总面积</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下塘街</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天粮桥---天阳南路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514*4.17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14*1.6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2165</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桥弄</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东方红村道--圆通桥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113*3.25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442</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古镇路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轮船码头---天阳路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531*4.69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679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28*3.6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3320</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兴贤东路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东方路---东升路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701*14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10787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92*2.2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1638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16*12.3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22638</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南长溇南桩头厂-东方路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588*9.95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11551</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东方路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康凝路---凝溪东路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661*14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2478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440*4.62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1714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223*9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17486</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东顺桥</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凝溪东路-塘北路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310*7.5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2325</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兴贤西路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东升路---天阳路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430*8.2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4640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9062</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昌盛路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古镇路---凝溪路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278*7.4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213*3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3643</w:t>
            </w:r>
          </w:p>
        </w:tc>
      </w:tr>
      <w:tr>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昌盛路小区</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天凝大街</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东升路---天阳路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429*10.94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2626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7397</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天成路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兴贤东路--凝溪东路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119*4.41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1763</w:t>
            </w:r>
          </w:p>
        </w:tc>
      </w:tr>
      <w:tr>
        <w:tblPrEx>
          <w:tblCellMar>
            <w:top w:w="0" w:type="dxa"/>
            <w:left w:w="108" w:type="dxa"/>
            <w:bottom w:w="0" w:type="dxa"/>
            <w:right w:w="108" w:type="dxa"/>
          </w:tblCellMar>
        </w:tblPrEx>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农贸市场周围</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2213</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东兴路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兴贤东路--凝溪公路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149*8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2429</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东升路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兴贤路---凝溪公路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145*9.2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875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2281</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少年路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兴贤路---凝溪公路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768</w:t>
            </w:r>
          </w:p>
        </w:tc>
      </w:tr>
      <w:tr>
        <w:tblPrEx>
          <w:tblCellMar>
            <w:top w:w="0" w:type="dxa"/>
            <w:left w:w="108" w:type="dxa"/>
            <w:bottom w:w="0" w:type="dxa"/>
            <w:right w:w="108" w:type="dxa"/>
          </w:tblCellMar>
        </w:tblPrEx>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少年路五弄</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1117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1117</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人民路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古镇路---凝溪路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259*8.1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1532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1156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4786</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康宁路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天阳庙桥--东方路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420*16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264*9.16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181*16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12034</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天欣路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兴贤东路--凝溪东路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161*7.1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2479</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天德路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卜家场---兴贤东路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386*12.8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76*3.25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8542</w:t>
            </w:r>
          </w:p>
        </w:tc>
      </w:tr>
      <w:tr>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市民广场</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1579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2565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15419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1709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21514</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人民北路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天凝大桥--小学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239*6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2685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264*7.4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6073</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塘北路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小学教师楼-停车场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140*7.2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1672</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塘北路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天基水泥厂-东顺大桥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687*7.23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1162*2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93*7.5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8139</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朝东埭</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古镇路---东市河桥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261*1.9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1341</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尹家弄</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古镇路--兴贤路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108*1.6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槽坊弄</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古镇路--尹家弄</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83*2.22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229</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倪家弄</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古镇路--人民路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103*2.32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669</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凝溪路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东升路---殷家港桥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490*11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9364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6120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77*7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21413</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凝溪东路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栅口桥---东升路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12817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368*11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5331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24087</w:t>
            </w:r>
          </w:p>
        </w:tc>
      </w:tr>
      <w:tr>
        <w:tblPrEx>
          <w:tblCellMar>
            <w:top w:w="0" w:type="dxa"/>
            <w:left w:w="108" w:type="dxa"/>
            <w:bottom w:w="0" w:type="dxa"/>
            <w:right w:w="108" w:type="dxa"/>
          </w:tblCellMar>
        </w:tblPrEx>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渔民村东场</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w:t>
            </w:r>
          </w:p>
        </w:tc>
      </w:tr>
      <w:tr>
        <w:tblPrEx>
          <w:tblCellMar>
            <w:top w:w="0" w:type="dxa"/>
            <w:left w:w="108" w:type="dxa"/>
            <w:bottom w:w="0" w:type="dxa"/>
            <w:right w:w="108" w:type="dxa"/>
          </w:tblCellMar>
        </w:tblPrEx>
        <w:trPr>
          <w:trHeight w:val="64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天阳路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原里泽构件北侧大桥---凝溪路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305*12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1425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345*9.7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16.5*7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15120</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天阳南路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许巷桥--天阳桥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1178*7.77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10156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3570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416</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23295</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凝星路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杨树溇-城亿紧固厂</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790*9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6850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1700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15660</w:t>
            </w:r>
          </w:p>
        </w:tc>
      </w:tr>
      <w:tr>
        <w:tblPrEx>
          <w:tblCellMar>
            <w:top w:w="0" w:type="dxa"/>
            <w:left w:w="108" w:type="dxa"/>
            <w:bottom w:w="0" w:type="dxa"/>
            <w:right w:w="108" w:type="dxa"/>
          </w:tblCellMar>
        </w:tblPrEx>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凝红路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牛桥--广业路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838*11.77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4923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3649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2177</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20612</w:t>
            </w:r>
          </w:p>
        </w:tc>
      </w:tr>
      <w:tr>
        <w:tblPrEx>
          <w:tblCellMar>
            <w:top w:w="0" w:type="dxa"/>
            <w:left w:w="108" w:type="dxa"/>
            <w:bottom w:w="0" w:type="dxa"/>
            <w:right w:w="108" w:type="dxa"/>
          </w:tblCellMar>
        </w:tblPrEx>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广业路</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凝红路-薛家闸村道</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523*9</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372*5.5</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304</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7057</w:t>
            </w:r>
          </w:p>
        </w:tc>
      </w:tr>
      <w:tr>
        <w:trPr>
          <w:trHeight w:val="432"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农贸市场</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南、北、西周边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3365</w:t>
            </w:r>
          </w:p>
        </w:tc>
      </w:tr>
      <w:tr>
        <w:tblPrEx>
          <w:tblCellMar>
            <w:top w:w="0" w:type="dxa"/>
            <w:left w:w="108" w:type="dxa"/>
            <w:bottom w:w="0" w:type="dxa"/>
            <w:right w:w="108" w:type="dxa"/>
          </w:tblCellMar>
        </w:tblPrEx>
        <w:trPr>
          <w:trHeight w:val="64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中石化加油站西天凝大桥南桥堍</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r>
      <w:tr>
        <w:tblPrEx>
          <w:tblCellMar>
            <w:top w:w="0" w:type="dxa"/>
            <w:left w:w="108" w:type="dxa"/>
            <w:bottom w:w="0" w:type="dxa"/>
            <w:right w:w="108" w:type="dxa"/>
          </w:tblCellMar>
        </w:tblPrEx>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东顺村五珠浜</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26670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26670</w:t>
            </w:r>
          </w:p>
        </w:tc>
      </w:tr>
      <w:tr>
        <w:tblPrEx>
          <w:tblCellMar>
            <w:top w:w="0" w:type="dxa"/>
            <w:left w:w="108" w:type="dxa"/>
            <w:bottom w:w="0" w:type="dxa"/>
            <w:right w:w="108" w:type="dxa"/>
          </w:tblCellMar>
        </w:tblPrEx>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东顺停车场</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r>
      <w:tr>
        <w:trPr>
          <w:trHeight w:val="288"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南雪塘公园</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w:t>
            </w:r>
          </w:p>
        </w:tc>
      </w:tr>
      <w:tr>
        <w:tblPrEx>
          <w:tblCellMar>
            <w:top w:w="0" w:type="dxa"/>
            <w:left w:w="108" w:type="dxa"/>
            <w:bottom w:w="0" w:type="dxa"/>
            <w:right w:w="108" w:type="dxa"/>
          </w:tblCellMar>
        </w:tblPrEx>
        <w:trPr>
          <w:trHeight w:val="864"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天凝大道西段（关阳庙桥至天凝幼儿园以西）</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19800</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nil"/>
              <w:bottom w:val="single" w:color="auto" w:sz="4" w:space="0"/>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19800</w:t>
            </w:r>
          </w:p>
        </w:tc>
      </w:tr>
      <w:tr>
        <w:tblPrEx>
          <w:tblCellMar>
            <w:top w:w="0" w:type="dxa"/>
            <w:left w:w="108" w:type="dxa"/>
            <w:bottom w:w="0" w:type="dxa"/>
            <w:right w:w="108" w:type="dxa"/>
          </w:tblCellMar>
        </w:tblPrEx>
        <w:trPr>
          <w:trHeight w:val="288"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13座公厕</w:t>
            </w:r>
          </w:p>
        </w:tc>
        <w:tc>
          <w:tcPr>
            <w:tcW w:w="7336"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少年路公厕、2小商品商场公厕、3朝东埭公厕、4园通桥公厕、5农贸市场外公厕、6农贸市场内公厕、7汽车站公厕、8文化中心书场公厕、9盛家浜小区公公厕、10凝溪河公厕、11东顺停车场公厕、12五芳斋西停车场、13书场内公厕。</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344238</w:t>
            </w:r>
          </w:p>
        </w:tc>
      </w:tr>
    </w:tbl>
    <w:p>
      <w:pPr>
        <w:pStyle w:val="20"/>
        <w:snapToGrid w:val="0"/>
        <w:spacing w:before="120" w:after="120" w:line="360" w:lineRule="auto"/>
        <w:jc w:val="left"/>
        <w:rPr>
          <w:rFonts w:ascii="Times New Roman" w:hAnsi="Times New Roman"/>
          <w:b/>
          <w:bCs/>
          <w:kern w:val="44"/>
          <w:sz w:val="32"/>
          <w:szCs w:val="44"/>
        </w:rPr>
      </w:pPr>
    </w:p>
    <w:p>
      <w:pPr>
        <w:widowControl/>
        <w:jc w:val="left"/>
        <w:rPr>
          <w:b/>
          <w:bCs/>
          <w:kern w:val="44"/>
          <w:sz w:val="32"/>
          <w:szCs w:val="44"/>
        </w:rPr>
      </w:pPr>
      <w:r>
        <w:rPr>
          <w:b/>
          <w:bCs/>
          <w:kern w:val="44"/>
          <w:sz w:val="32"/>
          <w:szCs w:val="44"/>
        </w:rPr>
        <w:br w:type="page"/>
      </w:r>
    </w:p>
    <w:p>
      <w:pPr>
        <w:pStyle w:val="20"/>
        <w:snapToGrid w:val="0"/>
        <w:spacing w:before="120" w:after="120" w:line="360" w:lineRule="auto"/>
        <w:jc w:val="left"/>
        <w:outlineLvl w:val="2"/>
        <w:rPr>
          <w:rFonts w:ascii="Times New Roman" w:hAnsi="Times New Roman"/>
          <w:b/>
          <w:bCs/>
          <w:kern w:val="44"/>
        </w:rPr>
      </w:pPr>
      <w:bookmarkStart w:id="155" w:name="_Toc38307006"/>
      <w:r>
        <w:rPr>
          <w:rFonts w:hint="eastAsia" w:ascii="Times New Roman" w:hAnsi="Times New Roman"/>
          <w:b/>
          <w:bCs/>
          <w:kern w:val="44"/>
        </w:rPr>
        <w:t>附件2</w:t>
      </w:r>
      <w:r>
        <w:rPr>
          <w:rFonts w:hint="eastAsia" w:cs="宋体" w:asciiTheme="minorEastAsia" w:hAnsiTheme="minorEastAsia" w:eastAsiaTheme="minorEastAsia"/>
          <w:b/>
          <w:bCs/>
          <w:color w:val="000000"/>
          <w:kern w:val="0"/>
        </w:rPr>
        <w:t>天凝镇洪溪社区道路清扫保洁面积汇总表</w:t>
      </w:r>
      <w:bookmarkEnd w:id="155"/>
    </w:p>
    <w:tbl>
      <w:tblPr>
        <w:tblStyle w:val="40"/>
        <w:tblW w:w="9799" w:type="dxa"/>
        <w:jc w:val="center"/>
        <w:tblLayout w:type="autofit"/>
        <w:tblCellMar>
          <w:top w:w="0" w:type="dxa"/>
          <w:left w:w="108" w:type="dxa"/>
          <w:bottom w:w="0" w:type="dxa"/>
          <w:right w:w="108" w:type="dxa"/>
        </w:tblCellMar>
      </w:tblPr>
      <w:tblGrid>
        <w:gridCol w:w="556"/>
        <w:gridCol w:w="1073"/>
        <w:gridCol w:w="2111"/>
        <w:gridCol w:w="1746"/>
        <w:gridCol w:w="1116"/>
        <w:gridCol w:w="1206"/>
        <w:gridCol w:w="936"/>
        <w:gridCol w:w="1055"/>
      </w:tblGrid>
      <w:tr>
        <w:tblPrEx>
          <w:tblCellMar>
            <w:top w:w="0" w:type="dxa"/>
            <w:left w:w="108" w:type="dxa"/>
            <w:bottom w:w="0" w:type="dxa"/>
            <w:right w:w="108" w:type="dxa"/>
          </w:tblCellMar>
        </w:tblPrEx>
        <w:trPr>
          <w:trHeight w:val="492" w:hRule="atLeast"/>
          <w:tblHeader/>
          <w:jc w:val="center"/>
        </w:trPr>
        <w:tc>
          <w:tcPr>
            <w:tcW w:w="9799" w:type="dxa"/>
            <w:gridSpan w:val="8"/>
            <w:tcBorders>
              <w:top w:val="single" w:color="auto" w:sz="8" w:space="0"/>
              <w:left w:val="single" w:color="auto" w:sz="8" w:space="0"/>
              <w:bottom w:val="nil"/>
              <w:right w:val="single" w:color="000000" w:sz="8" w:space="0"/>
            </w:tcBorders>
            <w:shd w:val="clear" w:color="auto" w:fill="auto"/>
            <w:vAlign w:val="center"/>
          </w:tcPr>
          <w:p>
            <w:pPr>
              <w:widowControl/>
              <w:adjustRightInd w:val="0"/>
              <w:snapToGrid w:val="0"/>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天凝镇洪溪社区道路清扫保洁面积汇总表</w:t>
            </w:r>
          </w:p>
        </w:tc>
      </w:tr>
      <w:tr>
        <w:trPr>
          <w:trHeight w:val="492" w:hRule="atLeast"/>
          <w:tblHeader/>
          <w:jc w:val="center"/>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序号</w:t>
            </w:r>
          </w:p>
        </w:tc>
        <w:tc>
          <w:tcPr>
            <w:tcW w:w="107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道路名称</w:t>
            </w:r>
          </w:p>
        </w:tc>
        <w:tc>
          <w:tcPr>
            <w:tcW w:w="211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起——至</w:t>
            </w:r>
          </w:p>
        </w:tc>
        <w:tc>
          <w:tcPr>
            <w:tcW w:w="174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机动车道路面积</w:t>
            </w:r>
          </w:p>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w:t>
            </w:r>
            <w:r>
              <w:rPr>
                <w:rFonts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宽）</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非机动车道路面积</w:t>
            </w: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彩砖人行道面积</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绿化面积</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总面积</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信用社----洪溪村路口      （信用社至西到底）</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392*13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392*3.5*2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3.5*2</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7847</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吉阳路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市场东大门----南洪兴路（吉阳路向北到农贸市场）东大门取中）</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64.5*7</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64.5*3.5*2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903</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洪仁药店----吉阳路口      （老信用社至西到底）</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122.5*13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122.5*3.5*2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2450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吉阳路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市场东大门---人民路口（吉阳路向南至农贸市场东大门取中）</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89*7</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89*3.5*2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1246</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市场北大门----宝善路       （宝善路向北至洪溪村地界）</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95*21.3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95*3.5*2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2688.5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南新路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小桥南（原政府边）--垃圾站</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310*8</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310*3.3</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3503</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小桥北---卫生院</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320*8</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320*4.15*2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5216</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洪兴路东</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岔口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35*13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150*5</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35*3.5*2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1450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卫生院——安兰桥-南人民路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160*2</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160*2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人民路农工商---河岔口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112*8</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112*3*2</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1568</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斜红中路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信用社---洪仁药店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136*8.4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136*6</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136*3*2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192*1</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2966.4</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吉阳北路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老信用社---信用社</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70*7.2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504</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公园西北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87*10.5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87*2.25*2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50*1</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1355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公园西南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87*10</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87*2.25*2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80*1</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1341.5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公园西边 南--北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80*7</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公园</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56*29</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1624</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斜红南路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新厕所---大桥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398*12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260*4.25*2</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260*3.5*2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8806</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小桥----北新厕所</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138*5</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138*4</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1242</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停车场前（岔口）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50*18</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电信所前（岔口)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60*16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60*4.3</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1218</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洪兴路中学前（岔口）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80*13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80*7.6</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1648</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绿化</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557*1</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557</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斜红北路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正大药店--斜塘桥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387*10</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387*7</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387*2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7353</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斜红北路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人民路正大药房----南新路口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88*8</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88*3*2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1232</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小学</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62*13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62*4*2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1302</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绿化</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362*1.2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292*1.2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784.8</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农贸市场保洁</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3000</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集镇小区</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南新路东小区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50*4.5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人民路北蒋富明西边（粮管所小区）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斜红路东供销社宿舍小区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斜红路东教师宿舍小区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斜红路东教师宿舍小区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公园北边小区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137*3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411</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公园西边人民路--北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95*5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人民路北理发店西</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人民路北小区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人民路北小区南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304.5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人民路南小区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市场北吉阳路——宝善路中间小区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95*5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市场北吉阳路——宝善路中间小区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吉阳路东小区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市场南门东--西</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市场南门西小区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市场南门东小区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宝善路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166*6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120*3.5</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1416</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市场南门---洪兴路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洪兴路南浦字门厂宿舍小区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洪兴路北小区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洪兴路南小区一条</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160*3.5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洪兴路南小区二条</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160*5.5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洪兴路南小区三条</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140*3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斜红路西新厕所 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农技站宿舍小区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斜红路东机关宿舍小区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斜红北路小区</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北新街</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南安澜桥至球场边</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112*3.5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392</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原卫生院后--洪溪村往西</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49*3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147</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中新街</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安澜桥---东大街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100*3.2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320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安澜桥---东大街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25*3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75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西大街</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中心街---南大街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46*3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138</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南大街</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西大街----东大街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150*3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450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东大街</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南大街---老广播站桥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30*3</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40*4</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70*4</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60*3</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710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北大街</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北新街----东大街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110*2.5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275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人民路西</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宝善路---洪溪路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3.5*86</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301</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人民路西</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宝善路---洪溪路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3*130</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390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人民路西段</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洪溪村管理</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180*13.6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2448</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人民路西段</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132.5*9.6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1272</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洪溪村管理</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洪兴路---洪泰路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191*9.6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1833.6</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洪兴路西</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彩砖南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81*3.5</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283.5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130*2.5</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325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西北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3.3*102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336.6</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洪兴路---沈北泾桥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135*15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2025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新宝善路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166*6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996</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洪溪路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人民路--洪兴路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196*6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196*2</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196*6</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2744</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养老中心路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洪溪路---养老中心门口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157*7.2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1130.4</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洪福路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东至大桥 西至福善粮仓</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1210（410*7；300*10.5；370*8；130*17）</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11190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老洪溪大桥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550*12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金洪路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东至俞家木桥西至高升路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1380+850（680*12；700*7；850*7）</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19010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新大桥</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572.5*11.5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125*2*2</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7083.75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荆杨路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东至乐荆桥老村部西至干洪路口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880*12.5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11000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天凝大道东段</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东至庄浜西至干洪路口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570*12.5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7125</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薛宅桥路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南至庄浜北至荆杨路口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583*7</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4081</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荆杨路东</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薛家宅基---乐荆桥村口</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241*12.4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2988.4</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天凝大道</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东至干洪路口西至关杨庙桥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1890*16.5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31185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天凝大道</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富兴印染西侧向北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150*6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900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派出所向北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洪南村段</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200*16.5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400*2.5</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40*16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南龙房产</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门前</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180*2.6</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180*5</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1368</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西</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68*3.5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238</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店面前</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197*4.4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197*2.5</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180*12.2</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3555.3</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洪泰路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东小桥---马塔塘桥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186*12.4;300*12.4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6026.4</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洪泰路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马塔塘桥----丁凝公路</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185*12.4</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2294</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洪泰路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路口---洪溪大桥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9*11.5</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50*11.5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678.5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烟草前</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84*12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1008</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彩砖北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70*3</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210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彩砖南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80*3</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240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98</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文化中心南路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红绿灯---小桥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100*12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1200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99</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彩砖北面</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100*3.5</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350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三角花坛</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100*7</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700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108*12.6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1360.8</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西</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70*12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840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三角花坛</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北</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70*6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420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三角花坛</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三角花坛---洪福路路口（东）</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150*12.6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1890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洪福路-天洪路（西）</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106</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福善泾路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洪福路-天洪路（中）</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300*6</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1800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107</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塘北路</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老大桥-新大桥</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1200*12</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14400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108</w:t>
            </w:r>
          </w:p>
        </w:tc>
        <w:tc>
          <w:tcPr>
            <w:tcW w:w="4930"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集镇其余绿化</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8422.5</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8422.5</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109</w:t>
            </w:r>
          </w:p>
        </w:tc>
        <w:tc>
          <w:tcPr>
            <w:tcW w:w="4930"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工业区（洪福路、金洪路、莉扬路、天凝大道、薛宅桥路、等）</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96207.4</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96207.4</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110</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重阳公园</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111</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桥下公园</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112</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窑墩</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700</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113</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老卫生院沿湖</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114</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街心花园</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w:t>
            </w: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115</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申嘉湖高速</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r>
      <w:tr>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116</w:t>
            </w:r>
          </w:p>
        </w:tc>
        <w:tc>
          <w:tcPr>
            <w:tcW w:w="1073" w:type="dxa"/>
            <w:tcBorders>
              <w:top w:val="nil"/>
              <w:left w:val="nil"/>
              <w:bottom w:val="single" w:color="auto" w:sz="4" w:space="0"/>
              <w:right w:val="single" w:color="auto" w:sz="4" w:space="0"/>
            </w:tcBorders>
            <w:shd w:val="clear" w:color="auto" w:fill="auto"/>
            <w:vAlign w:val="center"/>
          </w:tcPr>
          <w:p>
            <w:pPr>
              <w:adjustRightInd w:val="0"/>
              <w:snapToGrid w:val="0"/>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12座公厕</w:t>
            </w:r>
          </w:p>
        </w:tc>
        <w:tc>
          <w:tcPr>
            <w:tcW w:w="711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1吉阳路公厕、2人民路街心花园公厕、3人民路中学公厕、4洪兴路公厕、5南新路垃圾站公厕、6洪溪汽车站公厕、7洪溪篮球馆公厕、8洪溪停车场公厕、9老街公厕、10南大街公厕、11屠宰场公厕、12农贸市场内公厕</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492"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7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1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1746"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06"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346842.85</w:t>
            </w:r>
          </w:p>
        </w:tc>
      </w:tr>
    </w:tbl>
    <w:p>
      <w:pPr>
        <w:pStyle w:val="20"/>
        <w:snapToGrid w:val="0"/>
        <w:spacing w:before="120" w:after="120" w:line="360" w:lineRule="auto"/>
        <w:jc w:val="left"/>
        <w:rPr>
          <w:rFonts w:ascii="Times New Roman" w:hAnsi="Times New Roman"/>
          <w:b/>
          <w:bCs/>
          <w:kern w:val="44"/>
        </w:rPr>
      </w:pPr>
    </w:p>
    <w:p>
      <w:pPr>
        <w:widowControl/>
        <w:jc w:val="left"/>
        <w:rPr>
          <w:b/>
          <w:bCs/>
          <w:kern w:val="44"/>
          <w:sz w:val="24"/>
        </w:rPr>
      </w:pPr>
      <w:r>
        <w:rPr>
          <w:b/>
          <w:bCs/>
          <w:kern w:val="44"/>
        </w:rPr>
        <w:br w:type="page"/>
      </w:r>
    </w:p>
    <w:p>
      <w:pPr>
        <w:pStyle w:val="20"/>
        <w:snapToGrid w:val="0"/>
        <w:spacing w:before="120" w:after="120" w:line="360" w:lineRule="auto"/>
        <w:jc w:val="left"/>
        <w:rPr>
          <w:rFonts w:ascii="Times New Roman" w:hAnsi="Times New Roman"/>
          <w:b/>
          <w:bCs/>
          <w:kern w:val="44"/>
        </w:rPr>
      </w:pPr>
    </w:p>
    <w:p>
      <w:pPr>
        <w:pStyle w:val="20"/>
        <w:snapToGrid w:val="0"/>
        <w:spacing w:before="120" w:after="120" w:line="360" w:lineRule="auto"/>
        <w:jc w:val="left"/>
        <w:outlineLvl w:val="2"/>
        <w:rPr>
          <w:rFonts w:ascii="Times New Roman" w:hAnsi="Times New Roman"/>
          <w:b/>
          <w:bCs/>
          <w:kern w:val="44"/>
        </w:rPr>
      </w:pPr>
      <w:bookmarkStart w:id="156" w:name="_Toc38307007"/>
      <w:r>
        <w:rPr>
          <w:rFonts w:hint="eastAsia" w:ascii="Times New Roman" w:hAnsi="Times New Roman"/>
          <w:b/>
          <w:bCs/>
          <w:kern w:val="44"/>
        </w:rPr>
        <w:t xml:space="preserve">附件3 </w:t>
      </w:r>
      <w:r>
        <w:rPr>
          <w:rFonts w:hint="eastAsia" w:cs="宋体" w:asciiTheme="minorEastAsia" w:hAnsiTheme="minorEastAsia" w:eastAsiaTheme="minorEastAsia"/>
          <w:b/>
          <w:bCs/>
          <w:color w:val="000000"/>
          <w:kern w:val="0"/>
        </w:rPr>
        <w:t>天凝镇杨庙社区道路清扫保洁面积汇总表</w:t>
      </w:r>
      <w:bookmarkEnd w:id="156"/>
    </w:p>
    <w:tbl>
      <w:tblPr>
        <w:tblStyle w:val="40"/>
        <w:tblW w:w="9640" w:type="dxa"/>
        <w:jc w:val="center"/>
        <w:tblLayout w:type="autofit"/>
        <w:tblCellMar>
          <w:top w:w="0" w:type="dxa"/>
          <w:left w:w="108" w:type="dxa"/>
          <w:bottom w:w="0" w:type="dxa"/>
          <w:right w:w="108" w:type="dxa"/>
        </w:tblCellMar>
      </w:tblPr>
      <w:tblGrid>
        <w:gridCol w:w="952"/>
        <w:gridCol w:w="1366"/>
        <w:gridCol w:w="3421"/>
        <w:gridCol w:w="1026"/>
        <w:gridCol w:w="958"/>
        <w:gridCol w:w="960"/>
        <w:gridCol w:w="957"/>
      </w:tblGrid>
      <w:tr>
        <w:tblPrEx>
          <w:tblCellMar>
            <w:top w:w="0" w:type="dxa"/>
            <w:left w:w="108" w:type="dxa"/>
            <w:bottom w:w="0" w:type="dxa"/>
            <w:right w:w="108" w:type="dxa"/>
          </w:tblCellMar>
        </w:tblPrEx>
        <w:trPr>
          <w:trHeight w:val="420" w:hRule="atLeast"/>
          <w:tblHeader/>
          <w:jc w:val="center"/>
        </w:trPr>
        <w:tc>
          <w:tcPr>
            <w:tcW w:w="96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天凝镇杨庙社区道路清扫保洁面积汇总表</w:t>
            </w:r>
          </w:p>
        </w:tc>
      </w:tr>
      <w:tr>
        <w:tblPrEx>
          <w:tblCellMar>
            <w:top w:w="0" w:type="dxa"/>
            <w:left w:w="108" w:type="dxa"/>
            <w:bottom w:w="0" w:type="dxa"/>
            <w:right w:w="108" w:type="dxa"/>
          </w:tblCellMar>
        </w:tblPrEx>
        <w:trPr>
          <w:trHeight w:val="420" w:hRule="atLeast"/>
          <w:tblHeader/>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道路名称</w:t>
            </w:r>
          </w:p>
        </w:tc>
        <w:tc>
          <w:tcPr>
            <w:tcW w:w="34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起——至</w:t>
            </w:r>
          </w:p>
        </w:tc>
        <w:tc>
          <w:tcPr>
            <w:tcW w:w="10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道路面积</w:t>
            </w:r>
            <w:r>
              <w:rPr>
                <w:rFonts w:asciiTheme="minorEastAsia" w:hAnsiTheme="minorEastAsia" w:eastAsiaTheme="minorEastAsia"/>
                <w:b/>
                <w:color w:val="000000"/>
                <w:kern w:val="0"/>
                <w:sz w:val="18"/>
                <w:szCs w:val="18"/>
              </w:rPr>
              <w:t xml:space="preserve"> </w:t>
            </w:r>
            <w:r>
              <w:rPr>
                <w:rFonts w:hint="eastAsia" w:cs="宋体" w:asciiTheme="minorEastAsia" w:hAnsiTheme="minorEastAsia" w:eastAsiaTheme="minorEastAsia"/>
                <w:b/>
                <w:color w:val="000000"/>
                <w:kern w:val="0"/>
                <w:sz w:val="18"/>
                <w:szCs w:val="18"/>
              </w:rPr>
              <w:t>（长</w:t>
            </w:r>
            <w:r>
              <w:rPr>
                <w:rFonts w:asciiTheme="minorEastAsia" w:hAnsiTheme="minorEastAsia" w:eastAsiaTheme="minorEastAsia"/>
                <w:b/>
                <w:color w:val="000000"/>
                <w:kern w:val="0"/>
                <w:sz w:val="18"/>
                <w:szCs w:val="18"/>
              </w:rPr>
              <w:t>*</w:t>
            </w:r>
            <w:r>
              <w:rPr>
                <w:rFonts w:hint="eastAsia" w:cs="宋体" w:asciiTheme="minorEastAsia" w:hAnsiTheme="minorEastAsia" w:eastAsiaTheme="minorEastAsia"/>
                <w:b/>
                <w:color w:val="000000"/>
                <w:kern w:val="0"/>
                <w:sz w:val="18"/>
                <w:szCs w:val="18"/>
              </w:rPr>
              <w:t>宽）</w:t>
            </w:r>
          </w:p>
        </w:tc>
        <w:tc>
          <w:tcPr>
            <w:tcW w:w="9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彩砖人行道面积</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绿化面积</w:t>
            </w:r>
          </w:p>
        </w:tc>
        <w:tc>
          <w:tcPr>
            <w:tcW w:w="9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总面积</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宏杨东路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振杨饭店口----中学桥</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150*11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2850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码头路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麟溪北路底----中学桥西</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千佳岛弄</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千佳岛河边----宏杨东路口</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50*4</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中学桥边建康修车店----向北河北</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原小商品市场北路、中路及南北路（宏杨路-安定路）</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80*4</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麟溪南路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老百姓药店口---大天线接口</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380*11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380*4*2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7220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汽车站前</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30*10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汽车站北弄</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汽车站</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3000</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麟溪北路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唐忠华店口----码头路（市河）</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180*11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180*4*2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3420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干部宿舍弄</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码头路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庆丰桥东---麟溪北路口</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安定西路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老百姓药店口----农贸市场东门</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150*8</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庆丰南路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农工商口----麟溪药店</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90*4</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农贸市场东广场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100*20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炒瓜子弄</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自来水厂宿舍</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安定路</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供销社宿舍楼</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庆丰南路开放式小区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粮管所宿舍楼</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庆丰南路开放式小区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原水机站宿舍</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原华联超市南面</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50*5</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安定东路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零食铺------育才路口</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150*8</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兴贤路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油条店口----装潢店口</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150*6</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150*2*2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小商品南路</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小学宿舍</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原派出所西弄</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50*4</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兴贤路开放式2个小区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宏杨西路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正大药店---农贸市场北门</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180*11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180*4*2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3420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庆丰北路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老农商银行---庆丰桥</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110*5</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信用社宿舍楼</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庆丰北路开放式小区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50*2</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地税宿舍楼</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庆丰北路开放式小区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屠宰场路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原海事处口---市河南</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码头路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庆丰桥西---河岸</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菜场北广场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35*30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1050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菜场西南面</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160*5</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菜场东广场北</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bottom"/>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粮管所朝东埭</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宏杨路延伸段</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粮管所桥---大天线</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160*4</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粮仓四周</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100*6</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老街</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原轮船码头---东木桥</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原轮船码头---西木桥</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350*3.5</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1225</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张家弄</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原政府口南---市河</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140*6</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840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科教路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原政府口西---原小学口</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150*9</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150*4*2</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原政府后--小桥</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原政府后--老中学宿舍前</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第一桥---向北</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100*2.5</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原敬老院---洗车铺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农贸市场内部</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6200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育才路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健民路口---新农商银行</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470*10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420*3*2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120*6</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7940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中学宿舍楼</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育才路</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50*2</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健民路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中学桥北-----市河边</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140*4</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老医院宿舍楼</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市河边小路</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300*2</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工业区</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光明路口--蝴蝶港</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800*3</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东麟花苑、福馨花苑小区门口</w:t>
            </w:r>
          </w:p>
        </w:tc>
        <w:tc>
          <w:tcPr>
            <w:tcW w:w="102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6800</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杨庙大道</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东麟花园门口-----洪三线</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2160*11.1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1675*3*2</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34026</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东信路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杨庙大道口----裕隆纺织厂</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1950*12</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1740*3*2</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33840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大天线</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裕隆纺织厂门口----原小学车站路</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2870*3*2</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17220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创业园</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7268</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7268</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小学路</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杨庙大道口----小学</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500*8</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500*2*2</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杨庙文化中心</w:t>
            </w:r>
          </w:p>
        </w:tc>
        <w:tc>
          <w:tcPr>
            <w:tcW w:w="342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广场</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3410</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7068</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10478</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龙炎前路</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180*5</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大唐前路</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400*5</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欣创前路</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210*8</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1680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宏霖前路</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265*7</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1855</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窑厂前路</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265*7</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1855</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填埋场前</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90*2.5</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225</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箱包厂前</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125*8</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原垃圾场公园</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20000</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两个口袋公园和屠宰场公园</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w:t>
            </w:r>
          </w:p>
        </w:tc>
      </w:tr>
      <w:tr>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南星桥西</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58"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71</w:t>
            </w:r>
          </w:p>
        </w:tc>
        <w:tc>
          <w:tcPr>
            <w:tcW w:w="1366"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7座公厕</w:t>
            </w:r>
          </w:p>
        </w:tc>
        <w:tc>
          <w:tcPr>
            <w:tcW w:w="6365" w:type="dxa"/>
            <w:gridSpan w:val="4"/>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kern w:val="0"/>
                <w:sz w:val="18"/>
                <w:szCs w:val="18"/>
              </w:rPr>
            </w:pPr>
            <w:r>
              <w:rPr>
                <w:rFonts w:hint="eastAsia" w:asciiTheme="minorEastAsia" w:hAnsiTheme="minorEastAsia" w:eastAsiaTheme="minorEastAsia"/>
                <w:color w:val="000000"/>
                <w:sz w:val="18"/>
                <w:szCs w:val="18"/>
              </w:rPr>
              <w:t>1粮管所公厕、2西木桥公厕、3第一桥公厕、4小商品市场公厕、5农贸市场公厕、6庆丰路公厕、7屠宰场公厕</w:t>
            </w:r>
            <w:r>
              <w:rPr>
                <w:rFonts w:hint="eastAsia" w:cs="宋体" w:asciiTheme="minorEastAsia" w:hAnsiTheme="minorEastAsia" w:eastAsiaTheme="minorEastAsia"/>
                <w:color w:val="000000"/>
                <w:kern w:val="0"/>
                <w:sz w:val="18"/>
                <w:szCs w:val="18"/>
              </w:rPr>
              <w:t>　</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420" w:hRule="atLeast"/>
          <w:jc w:val="center"/>
        </w:trPr>
        <w:tc>
          <w:tcPr>
            <w:tcW w:w="952" w:type="dxa"/>
            <w:tcBorders>
              <w:top w:val="nil"/>
              <w:left w:val="single" w:color="auto" w:sz="4" w:space="0"/>
              <w:bottom w:val="single" w:color="auto" w:sz="4" w:space="0"/>
              <w:right w:val="single" w:color="auto" w:sz="4" w:space="0"/>
            </w:tcBorders>
            <w:shd w:val="clear" w:color="auto" w:fill="auto"/>
          </w:tcPr>
          <w:p>
            <w:pPr>
              <w:widowControl/>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　</w:t>
            </w:r>
          </w:p>
        </w:tc>
        <w:tc>
          <w:tcPr>
            <w:tcW w:w="136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合计</w:t>
            </w:r>
          </w:p>
        </w:tc>
        <w:tc>
          <w:tcPr>
            <w:tcW w:w="342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109661</w:t>
            </w: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13840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61566</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207567</w:t>
            </w:r>
          </w:p>
        </w:tc>
      </w:tr>
    </w:tbl>
    <w:p>
      <w:pPr>
        <w:pStyle w:val="20"/>
        <w:snapToGrid w:val="0"/>
        <w:spacing w:before="120" w:after="120" w:line="360" w:lineRule="auto"/>
        <w:jc w:val="left"/>
        <w:rPr>
          <w:rFonts w:ascii="Times New Roman" w:hAnsi="Times New Roman"/>
          <w:b/>
          <w:bCs/>
          <w:kern w:val="44"/>
        </w:rPr>
      </w:pPr>
    </w:p>
    <w:p>
      <w:pPr>
        <w:widowControl/>
        <w:jc w:val="left"/>
        <w:rPr>
          <w:b/>
          <w:bCs/>
          <w:kern w:val="44"/>
          <w:sz w:val="24"/>
        </w:rPr>
      </w:pPr>
      <w:r>
        <w:rPr>
          <w:b/>
          <w:bCs/>
          <w:kern w:val="44"/>
        </w:rPr>
        <w:br w:type="page"/>
      </w:r>
    </w:p>
    <w:p>
      <w:pPr>
        <w:adjustRightInd w:val="0"/>
        <w:snapToGrid w:val="0"/>
        <w:spacing w:line="360" w:lineRule="auto"/>
        <w:rPr>
          <w:rFonts w:ascii="宋体" w:hAnsi="宋体" w:cs="宋体"/>
          <w:color w:val="000000"/>
          <w:kern w:val="0"/>
          <w:sz w:val="24"/>
        </w:rPr>
        <w:sectPr>
          <w:headerReference r:id="rId7" w:type="default"/>
          <w:footerReference r:id="rId8" w:type="default"/>
          <w:footerReference r:id="rId9" w:type="even"/>
          <w:pgSz w:w="11907" w:h="16840"/>
          <w:pgMar w:top="1134" w:right="1474" w:bottom="1134" w:left="1474" w:header="851" w:footer="992" w:gutter="0"/>
          <w:cols w:space="720" w:num="1"/>
          <w:docGrid w:linePitch="602" w:charSpace="-1675"/>
        </w:sectPr>
      </w:pPr>
      <w:bookmarkStart w:id="157" w:name="_Toc37183296"/>
    </w:p>
    <w:p>
      <w:pPr>
        <w:adjustRightInd w:val="0"/>
        <w:snapToGrid w:val="0"/>
        <w:spacing w:line="360" w:lineRule="auto"/>
        <w:jc w:val="left"/>
        <w:outlineLvl w:val="2"/>
        <w:rPr>
          <w:b/>
          <w:bCs/>
          <w:kern w:val="44"/>
          <w:sz w:val="24"/>
        </w:rPr>
      </w:pPr>
      <w:bookmarkStart w:id="158" w:name="_Toc38307008"/>
      <w:r>
        <w:rPr>
          <w:rFonts w:hint="eastAsia"/>
          <w:b/>
          <w:bCs/>
          <w:kern w:val="44"/>
          <w:sz w:val="24"/>
        </w:rPr>
        <w:t>附件4</w:t>
      </w:r>
      <w:bookmarkEnd w:id="157"/>
      <w:r>
        <w:rPr>
          <w:rFonts w:hint="eastAsia"/>
          <w:b/>
          <w:bCs/>
          <w:kern w:val="44"/>
          <w:sz w:val="24"/>
        </w:rPr>
        <w:t xml:space="preserve"> 天凝镇集镇和工业园区保洁服务考核办法</w:t>
      </w:r>
      <w:bookmarkEnd w:id="158"/>
    </w:p>
    <w:p>
      <w:pPr>
        <w:adjustRightInd w:val="0"/>
        <w:snapToGrid w:val="0"/>
        <w:spacing w:line="360" w:lineRule="auto"/>
        <w:jc w:val="center"/>
        <w:rPr>
          <w:rFonts w:ascii="宋体" w:hAnsi="宋体" w:cs="仿宋"/>
          <w:sz w:val="32"/>
          <w:szCs w:val="32"/>
        </w:rPr>
      </w:pPr>
      <w:r>
        <w:rPr>
          <w:rFonts w:hint="eastAsia" w:ascii="宋体" w:hAnsi="宋体"/>
          <w:sz w:val="32"/>
          <w:szCs w:val="32"/>
        </w:rPr>
        <w:t>天凝镇集镇和工业园区保洁服务考核办法</w:t>
      </w:r>
    </w:p>
    <w:p>
      <w:pPr>
        <w:pStyle w:val="72"/>
        <w:numPr>
          <w:ilvl w:val="0"/>
          <w:numId w:val="68"/>
        </w:numPr>
        <w:adjustRightInd w:val="0"/>
        <w:snapToGrid w:val="0"/>
        <w:ind w:firstLineChars="0"/>
        <w:rPr>
          <w:rFonts w:ascii="宋体" w:hAnsi="宋体" w:cs="仿宋"/>
          <w:szCs w:val="24"/>
        </w:rPr>
      </w:pPr>
      <w:r>
        <w:rPr>
          <w:rFonts w:hint="eastAsia" w:ascii="宋体" w:hAnsi="宋体" w:cs="仿宋"/>
          <w:szCs w:val="24"/>
        </w:rPr>
        <w:t>检查考核方式</w:t>
      </w:r>
    </w:p>
    <w:p>
      <w:pPr>
        <w:adjustRightInd w:val="0"/>
        <w:snapToGrid w:val="0"/>
        <w:spacing w:line="360" w:lineRule="auto"/>
        <w:ind w:firstLine="424" w:firstLineChars="177"/>
        <w:jc w:val="left"/>
        <w:rPr>
          <w:rFonts w:ascii="宋体" w:hAnsi="宋体" w:cs="仿宋"/>
          <w:sz w:val="24"/>
        </w:rPr>
      </w:pPr>
      <w:r>
        <w:rPr>
          <w:rFonts w:hint="eastAsia" w:ascii="宋体" w:hAnsi="宋体" w:cs="仿宋"/>
          <w:sz w:val="24"/>
        </w:rPr>
        <w:t>采用明查与暗查相结合的办法，时间不定，其中明查不少于1次，明查时要求中标供应商随同检查，其余均为暗查，采购人对照《天凝镇全域公共服务管理及镇区保洁服务项目月度检查评分表》进行考核。每次考核检查情况，用书面形式记录，辅于必要的图片或音像，考核人员签字。</w:t>
      </w:r>
    </w:p>
    <w:p>
      <w:pPr>
        <w:pStyle w:val="72"/>
        <w:numPr>
          <w:ilvl w:val="0"/>
          <w:numId w:val="68"/>
        </w:numPr>
        <w:adjustRightInd w:val="0"/>
        <w:snapToGrid w:val="0"/>
        <w:ind w:firstLineChars="0"/>
        <w:rPr>
          <w:rFonts w:ascii="宋体" w:hAnsi="宋体" w:cs="仿宋"/>
          <w:szCs w:val="24"/>
        </w:rPr>
      </w:pPr>
      <w:r>
        <w:rPr>
          <w:rFonts w:hint="eastAsia" w:ascii="宋体" w:hAnsi="宋体" w:cs="仿宋"/>
        </w:rPr>
        <w:t>合格标准</w:t>
      </w:r>
    </w:p>
    <w:p>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根据检查结果月累计扣分，考核分90分及以上为合格，低于90分为当月考核不合格。</w:t>
      </w:r>
    </w:p>
    <w:p>
      <w:pPr>
        <w:pStyle w:val="72"/>
        <w:numPr>
          <w:ilvl w:val="0"/>
          <w:numId w:val="68"/>
        </w:numPr>
        <w:adjustRightInd w:val="0"/>
        <w:snapToGrid w:val="0"/>
        <w:ind w:firstLineChars="0"/>
        <w:rPr>
          <w:rFonts w:ascii="宋体" w:hAnsi="宋体" w:cs="仿宋"/>
          <w:szCs w:val="24"/>
        </w:rPr>
      </w:pPr>
      <w:r>
        <w:rPr>
          <w:rFonts w:hint="eastAsia" w:ascii="宋体" w:hAnsi="宋体" w:cs="仿宋"/>
        </w:rPr>
        <w:t>考核</w:t>
      </w:r>
      <w:r>
        <w:rPr>
          <w:rFonts w:hint="eastAsia" w:ascii="宋体" w:hAnsi="宋体" w:cs="仿宋"/>
          <w:szCs w:val="24"/>
        </w:rPr>
        <w:t>计算标准</w:t>
      </w:r>
    </w:p>
    <w:p>
      <w:pPr>
        <w:pStyle w:val="72"/>
        <w:numPr>
          <w:ilvl w:val="0"/>
          <w:numId w:val="69"/>
        </w:numPr>
        <w:adjustRightInd w:val="0"/>
        <w:snapToGrid w:val="0"/>
        <w:ind w:firstLineChars="0"/>
        <w:jc w:val="left"/>
        <w:rPr>
          <w:rFonts w:ascii="宋体" w:hAnsi="宋体" w:cs="仿宋"/>
        </w:rPr>
      </w:pPr>
      <w:r>
        <w:rPr>
          <w:rFonts w:hint="eastAsia" w:ascii="宋体" w:hAnsi="宋体" w:cs="仿宋"/>
        </w:rPr>
        <w:t>月考核分在95分（含）以上不作计分扣款，排名扣款按实际情况为准；</w:t>
      </w:r>
    </w:p>
    <w:p>
      <w:pPr>
        <w:pStyle w:val="72"/>
        <w:numPr>
          <w:ilvl w:val="0"/>
          <w:numId w:val="69"/>
        </w:numPr>
        <w:adjustRightInd w:val="0"/>
        <w:snapToGrid w:val="0"/>
        <w:ind w:firstLineChars="0"/>
        <w:jc w:val="left"/>
        <w:rPr>
          <w:rFonts w:ascii="宋体" w:hAnsi="宋体" w:cs="仿宋"/>
        </w:rPr>
      </w:pPr>
      <w:r>
        <w:rPr>
          <w:rFonts w:hint="eastAsia" w:ascii="宋体" w:hAnsi="宋体" w:cs="仿宋"/>
        </w:rPr>
        <w:t>月考核分在90（含）-95分，每分扣1000元；</w:t>
      </w:r>
    </w:p>
    <w:p>
      <w:pPr>
        <w:pStyle w:val="72"/>
        <w:numPr>
          <w:ilvl w:val="0"/>
          <w:numId w:val="69"/>
        </w:numPr>
        <w:adjustRightInd w:val="0"/>
        <w:snapToGrid w:val="0"/>
        <w:ind w:firstLineChars="0"/>
        <w:jc w:val="left"/>
        <w:rPr>
          <w:rFonts w:ascii="宋体" w:hAnsi="宋体" w:cs="仿宋"/>
        </w:rPr>
      </w:pPr>
      <w:r>
        <w:rPr>
          <w:rFonts w:hint="eastAsia" w:ascii="宋体" w:hAnsi="宋体" w:cs="仿宋"/>
        </w:rPr>
        <w:t>月考核分在85（含）-90分，每分扣3000元；</w:t>
      </w:r>
    </w:p>
    <w:p>
      <w:pPr>
        <w:pStyle w:val="72"/>
        <w:numPr>
          <w:ilvl w:val="0"/>
          <w:numId w:val="69"/>
        </w:numPr>
        <w:adjustRightInd w:val="0"/>
        <w:snapToGrid w:val="0"/>
        <w:ind w:firstLineChars="0"/>
        <w:jc w:val="left"/>
        <w:rPr>
          <w:rFonts w:ascii="宋体" w:hAnsi="宋体" w:cs="仿宋"/>
        </w:rPr>
      </w:pPr>
      <w:r>
        <w:rPr>
          <w:rFonts w:hint="eastAsia" w:ascii="宋体" w:hAnsi="宋体" w:cs="仿宋"/>
        </w:rPr>
        <w:t>月考核分85分以下，每分扣5000元；</w:t>
      </w:r>
    </w:p>
    <w:p>
      <w:pPr>
        <w:pStyle w:val="72"/>
        <w:numPr>
          <w:ilvl w:val="0"/>
          <w:numId w:val="69"/>
        </w:numPr>
        <w:adjustRightInd w:val="0"/>
        <w:snapToGrid w:val="0"/>
        <w:ind w:firstLineChars="0"/>
        <w:jc w:val="left"/>
        <w:rPr>
          <w:rFonts w:ascii="宋体" w:hAnsi="宋体" w:cs="仿宋"/>
        </w:rPr>
      </w:pPr>
      <w:r>
        <w:rPr>
          <w:rFonts w:hint="eastAsia" w:ascii="宋体" w:hAnsi="宋体" w:cs="仿宋"/>
        </w:rPr>
        <w:t>县“四位一体”办集镇月考核第5位为合格，每低1位扣3000元，每高1位奖3000元，以此类推，实际暗访抽查集镇数量以县考核为准。</w:t>
      </w:r>
    </w:p>
    <w:p>
      <w:pPr>
        <w:pStyle w:val="72"/>
        <w:numPr>
          <w:ilvl w:val="0"/>
          <w:numId w:val="69"/>
        </w:numPr>
        <w:adjustRightInd w:val="0"/>
        <w:snapToGrid w:val="0"/>
        <w:ind w:firstLineChars="0"/>
        <w:jc w:val="left"/>
        <w:rPr>
          <w:rFonts w:ascii="宋体" w:hAnsi="宋体" w:cs="仿宋"/>
          <w:szCs w:val="24"/>
        </w:rPr>
      </w:pPr>
      <w:r>
        <w:rPr>
          <w:rFonts w:hint="eastAsia" w:ascii="宋体" w:hAnsi="宋体" w:cs="仿宋"/>
          <w:szCs w:val="24"/>
        </w:rPr>
        <w:t>县通报经核实的每次按5000元扣款，以通报内容（含口头通报、书面通报、督查单）经</w:t>
      </w:r>
      <w:r>
        <w:rPr>
          <w:rFonts w:hint="eastAsia" w:ascii="宋体" w:hAnsi="宋体" w:cs="仿宋"/>
        </w:rPr>
        <w:t>采购人</w:t>
      </w:r>
      <w:r>
        <w:rPr>
          <w:rFonts w:hint="eastAsia" w:ascii="宋体" w:hAnsi="宋体" w:cs="仿宋"/>
          <w:szCs w:val="24"/>
        </w:rPr>
        <w:t>核实后为保洁责任范围内的事实为准。</w:t>
      </w:r>
    </w:p>
    <w:p>
      <w:pPr>
        <w:pStyle w:val="72"/>
        <w:numPr>
          <w:ilvl w:val="0"/>
          <w:numId w:val="69"/>
        </w:numPr>
        <w:adjustRightInd w:val="0"/>
        <w:snapToGrid w:val="0"/>
        <w:ind w:firstLineChars="0"/>
        <w:jc w:val="left"/>
        <w:rPr>
          <w:rFonts w:ascii="宋体" w:hAnsi="宋体" w:cs="仿宋"/>
          <w:szCs w:val="24"/>
        </w:rPr>
      </w:pPr>
      <w:r>
        <w:rPr>
          <w:rFonts w:hint="eastAsia" w:ascii="宋体" w:hAnsi="宋体" w:cs="仿宋"/>
          <w:szCs w:val="24"/>
        </w:rPr>
        <w:t>中标单位实际保洁人数低于招标文件核定人数情况下，缺岗人员按实际发生数扣除相应费用。</w:t>
      </w:r>
    </w:p>
    <w:p>
      <w:pPr>
        <w:pStyle w:val="72"/>
        <w:numPr>
          <w:ilvl w:val="0"/>
          <w:numId w:val="69"/>
        </w:numPr>
        <w:adjustRightInd w:val="0"/>
        <w:snapToGrid w:val="0"/>
        <w:ind w:firstLineChars="0"/>
        <w:jc w:val="left"/>
        <w:rPr>
          <w:rFonts w:ascii="宋体" w:hAnsi="宋体" w:cs="仿宋"/>
          <w:szCs w:val="24"/>
        </w:rPr>
      </w:pPr>
      <w:r>
        <w:rPr>
          <w:rFonts w:hint="eastAsia" w:ascii="宋体" w:hAnsi="宋体" w:cs="仿宋"/>
          <w:szCs w:val="24"/>
        </w:rPr>
        <w:t>中标单位机械车辆未到位前或车辆修理期间，按实际到位数量和使用数量支付费用（标准按投标报价为准），差额数扣除。</w:t>
      </w:r>
    </w:p>
    <w:p>
      <w:pPr>
        <w:pStyle w:val="72"/>
        <w:numPr>
          <w:ilvl w:val="0"/>
          <w:numId w:val="68"/>
        </w:numPr>
        <w:adjustRightInd w:val="0"/>
        <w:snapToGrid w:val="0"/>
        <w:ind w:firstLineChars="0"/>
        <w:rPr>
          <w:rFonts w:ascii="宋体" w:hAnsi="宋体" w:cs="仿宋"/>
          <w:szCs w:val="24"/>
        </w:rPr>
      </w:pPr>
      <w:r>
        <w:rPr>
          <w:rFonts w:hint="eastAsia" w:ascii="宋体" w:hAnsi="宋体" w:cs="仿宋"/>
          <w:szCs w:val="24"/>
        </w:rPr>
        <w:t>考核扣款结算方式。</w:t>
      </w:r>
      <w:r>
        <w:rPr>
          <w:rFonts w:hint="eastAsia" w:ascii="宋体" w:hAnsi="宋体" w:cs="仿宋"/>
        </w:rPr>
        <w:t>采购人</w:t>
      </w:r>
      <w:r>
        <w:rPr>
          <w:rFonts w:hint="eastAsia" w:ascii="宋体" w:hAnsi="宋体" w:cs="仿宋"/>
          <w:szCs w:val="24"/>
        </w:rPr>
        <w:t>负责于每月底汇总考核结果，计算出当月考核</w:t>
      </w:r>
      <w:r>
        <w:rPr>
          <w:rFonts w:hint="eastAsia" w:ascii="宋体" w:hAnsi="宋体" w:cs="仿宋"/>
        </w:rPr>
        <w:t>得分</w:t>
      </w:r>
      <w:r>
        <w:rPr>
          <w:rFonts w:hint="eastAsia" w:ascii="宋体" w:hAnsi="宋体" w:cs="仿宋"/>
          <w:szCs w:val="24"/>
        </w:rPr>
        <w:t>，在下月初承包款发放时扣除。</w:t>
      </w:r>
    </w:p>
    <w:p>
      <w:pPr>
        <w:pStyle w:val="72"/>
        <w:numPr>
          <w:ilvl w:val="0"/>
          <w:numId w:val="68"/>
        </w:numPr>
        <w:adjustRightInd w:val="0"/>
        <w:snapToGrid w:val="0"/>
        <w:ind w:firstLineChars="0"/>
        <w:rPr>
          <w:rFonts w:ascii="宋体" w:hAnsi="宋体" w:cs="仿宋"/>
          <w:szCs w:val="24"/>
        </w:rPr>
      </w:pPr>
      <w:r>
        <w:rPr>
          <w:rFonts w:hint="eastAsia" w:ascii="宋体" w:hAnsi="宋体" w:cs="仿宋"/>
          <w:szCs w:val="24"/>
        </w:rPr>
        <w:t>中标单位月考核连续二个月不合格者或年累计三个月考核结果不合格的；县“四位一体”集镇（任一集镇）考核排名连续两次排名末三位或者年累计三个月排名末三位的；因环境卫生等问题被上级部门通报的，经</w:t>
      </w:r>
      <w:r>
        <w:rPr>
          <w:rFonts w:hint="eastAsia" w:ascii="宋体" w:hAnsi="宋体" w:cs="仿宋"/>
        </w:rPr>
        <w:t>采购人</w:t>
      </w:r>
      <w:r>
        <w:rPr>
          <w:rFonts w:hint="eastAsia" w:ascii="宋体" w:hAnsi="宋体" w:cs="仿宋"/>
          <w:szCs w:val="24"/>
        </w:rPr>
        <w:t>核实后为保洁责任范围内的，年累计三次。出现上述情况的，</w:t>
      </w:r>
      <w:r>
        <w:rPr>
          <w:rFonts w:hint="eastAsia" w:ascii="宋体" w:hAnsi="宋体" w:cs="仿宋"/>
        </w:rPr>
        <w:t>采购人</w:t>
      </w:r>
      <w:r>
        <w:rPr>
          <w:rFonts w:hint="eastAsia" w:ascii="宋体" w:hAnsi="宋体" w:cs="仿宋"/>
          <w:szCs w:val="24"/>
        </w:rPr>
        <w:t>有权单方面提出解约，终止合同。由于终止合同所引起的一切损失由中标单位负责。</w:t>
      </w:r>
    </w:p>
    <w:p>
      <w:pPr>
        <w:pStyle w:val="72"/>
        <w:numPr>
          <w:ilvl w:val="0"/>
          <w:numId w:val="68"/>
        </w:numPr>
        <w:adjustRightInd w:val="0"/>
        <w:snapToGrid w:val="0"/>
        <w:ind w:firstLineChars="0"/>
        <w:rPr>
          <w:rFonts w:ascii="宋体" w:hAnsi="宋体" w:cs="仿宋"/>
          <w:szCs w:val="24"/>
        </w:rPr>
      </w:pPr>
      <w:r>
        <w:rPr>
          <w:rFonts w:hint="eastAsia" w:ascii="宋体" w:hAnsi="宋体" w:cs="仿宋"/>
          <w:szCs w:val="24"/>
        </w:rPr>
        <w:t>中标单位有无故拖延7天以上未发放工人工资的，发包方有权单方面提出解约，终止合同。</w:t>
      </w:r>
    </w:p>
    <w:p>
      <w:pPr>
        <w:pStyle w:val="72"/>
        <w:numPr>
          <w:ilvl w:val="0"/>
          <w:numId w:val="68"/>
        </w:numPr>
        <w:adjustRightInd w:val="0"/>
        <w:snapToGrid w:val="0"/>
        <w:ind w:firstLineChars="0"/>
        <w:rPr>
          <w:rFonts w:ascii="宋体" w:hAnsi="宋体" w:cs="仿宋"/>
          <w:szCs w:val="24"/>
        </w:rPr>
      </w:pPr>
      <w:r>
        <w:rPr>
          <w:rFonts w:hint="eastAsia" w:ascii="宋体" w:hAnsi="宋体" w:cs="仿宋"/>
          <w:szCs w:val="24"/>
        </w:rPr>
        <w:t>本办法解释权归嘉善县天凝镇人民政府。</w:t>
      </w: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p>
    <w:p>
      <w:pPr>
        <w:adjustRightInd w:val="0"/>
        <w:snapToGrid w:val="0"/>
        <w:spacing w:line="360" w:lineRule="auto"/>
        <w:jc w:val="left"/>
        <w:outlineLvl w:val="2"/>
        <w:rPr>
          <w:b/>
          <w:bCs/>
          <w:kern w:val="44"/>
          <w:sz w:val="24"/>
        </w:rPr>
      </w:pPr>
      <w:bookmarkStart w:id="159" w:name="_Toc38307009"/>
      <w:r>
        <w:rPr>
          <w:rFonts w:hint="eastAsia"/>
          <w:b/>
          <w:bCs/>
          <w:kern w:val="44"/>
          <w:sz w:val="24"/>
        </w:rPr>
        <w:t>附件5 天凝镇垃圾中转站、资源化处理站服务考核办法</w:t>
      </w:r>
      <w:bookmarkEnd w:id="159"/>
    </w:p>
    <w:p>
      <w:pPr>
        <w:adjustRightInd w:val="0"/>
        <w:snapToGrid w:val="0"/>
        <w:spacing w:line="360" w:lineRule="auto"/>
        <w:jc w:val="left"/>
        <w:rPr>
          <w:b/>
          <w:bCs/>
          <w:kern w:val="44"/>
        </w:rPr>
      </w:pPr>
    </w:p>
    <w:p>
      <w:pPr>
        <w:adjustRightInd w:val="0"/>
        <w:snapToGrid w:val="0"/>
        <w:spacing w:line="360" w:lineRule="auto"/>
        <w:jc w:val="center"/>
        <w:rPr>
          <w:rFonts w:ascii="宋体" w:hAnsi="宋体" w:cs="仿宋"/>
          <w:sz w:val="32"/>
          <w:szCs w:val="32"/>
        </w:rPr>
      </w:pPr>
      <w:r>
        <w:rPr>
          <w:rFonts w:hint="eastAsia" w:ascii="宋体" w:hAnsi="宋体"/>
          <w:sz w:val="32"/>
          <w:szCs w:val="32"/>
        </w:rPr>
        <w:t>天凝镇垃圾中转站、资源化处理站服务考核办法</w:t>
      </w:r>
    </w:p>
    <w:p>
      <w:pPr>
        <w:pStyle w:val="72"/>
        <w:numPr>
          <w:ilvl w:val="0"/>
          <w:numId w:val="70"/>
        </w:numPr>
        <w:adjustRightInd w:val="0"/>
        <w:snapToGrid w:val="0"/>
        <w:ind w:firstLine="704" w:firstLineChars="0"/>
        <w:jc w:val="left"/>
        <w:rPr>
          <w:rFonts w:ascii="宋体" w:hAnsi="宋体" w:cs="仿宋"/>
          <w:szCs w:val="24"/>
        </w:rPr>
      </w:pPr>
      <w:r>
        <w:rPr>
          <w:rFonts w:hint="eastAsia" w:ascii="宋体" w:hAnsi="宋体" w:cs="仿宋"/>
          <w:szCs w:val="24"/>
        </w:rPr>
        <w:t>检查考核方式</w:t>
      </w:r>
    </w:p>
    <w:p>
      <w:pPr>
        <w:adjustRightInd w:val="0"/>
        <w:snapToGrid w:val="0"/>
        <w:spacing w:line="360" w:lineRule="auto"/>
        <w:ind w:firstLine="424" w:firstLineChars="177"/>
        <w:jc w:val="left"/>
        <w:rPr>
          <w:rFonts w:ascii="宋体" w:hAnsi="宋体" w:cs="仿宋"/>
          <w:sz w:val="24"/>
        </w:rPr>
      </w:pPr>
      <w:r>
        <w:rPr>
          <w:rFonts w:hint="eastAsia" w:ascii="宋体" w:hAnsi="宋体" w:cs="仿宋"/>
          <w:sz w:val="24"/>
        </w:rPr>
        <w:t>采用现场抽查和调取监控检查相结合的办法，时间不定，每次考核检查情况，用书面形式记录，辅于必要的图片或音像，考核人员签字。</w:t>
      </w:r>
    </w:p>
    <w:p>
      <w:pPr>
        <w:pStyle w:val="72"/>
        <w:numPr>
          <w:ilvl w:val="0"/>
          <w:numId w:val="70"/>
        </w:numPr>
        <w:adjustRightInd w:val="0"/>
        <w:snapToGrid w:val="0"/>
        <w:ind w:firstLineChars="0"/>
        <w:rPr>
          <w:rFonts w:ascii="宋体" w:hAnsi="宋体" w:cs="仿宋"/>
          <w:szCs w:val="24"/>
        </w:rPr>
      </w:pPr>
      <w:r>
        <w:rPr>
          <w:rFonts w:hint="eastAsia" w:ascii="宋体" w:hAnsi="宋体" w:cs="仿宋"/>
          <w:szCs w:val="24"/>
        </w:rPr>
        <w:t>工作要求</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按照谁运营谁负责的原则，完成采购人交办的各项工作。落实安全生产、消防责任制等各项规章制度。相关工作制度要醒目上墙。</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准时开门，工作人员及时到位，工作实行定人、定岗专人管理负责制。工作人员不得迟到、早退、脱岗。</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工作人员对生产、设备、安全、卫生等工作全面负责，因操作不当引起的设备损坏，相关费用有中标单位承担。</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站点内严禁作业车辆私自拉线充电。</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垃圾中转站实行全过程管理，做到倾倒有序，文明操作，作业过程中不得捡拾垃圾。及时清理地面，确保地面干净无垃圾、无污水。按要求及时、准确做好相关台账记录，每月汇总并上报。</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严禁工业垃圾、建筑垃圾等不合规定的垃圾倾倒入压缩机。</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资源化处理站工作人员需严格把关进料，进料前需对易腐垃圾进行初步筛选，必要时未分类到位的易腐垃圾可拒收。按要求及时、准确做好相关台账记录，每月汇总并上报。</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工作人员应具有备设备的相关保养等技能，中标单位认真做好定期保养、检修等工作，并做好台账记录。</w:t>
      </w:r>
    </w:p>
    <w:p>
      <w:pPr>
        <w:numPr>
          <w:ilvl w:val="0"/>
          <w:numId w:val="71"/>
        </w:num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设备损坏应及时告知采购单位，并联系维保单位进行维修，除去不可抗力因素原则上做到在5天内将机器修复。</w:t>
      </w:r>
    </w:p>
    <w:p>
      <w:pPr>
        <w:pStyle w:val="72"/>
        <w:numPr>
          <w:ilvl w:val="0"/>
          <w:numId w:val="70"/>
        </w:numPr>
        <w:adjustRightInd w:val="0"/>
        <w:snapToGrid w:val="0"/>
        <w:ind w:firstLineChars="0"/>
        <w:rPr>
          <w:rFonts w:ascii="宋体" w:hAnsi="宋体" w:cs="仿宋"/>
          <w:szCs w:val="24"/>
        </w:rPr>
      </w:pPr>
      <w:r>
        <w:rPr>
          <w:rFonts w:hint="eastAsia" w:ascii="宋体" w:hAnsi="宋体" w:cs="仿宋"/>
          <w:szCs w:val="24"/>
        </w:rPr>
        <w:t>考核计算标准</w:t>
      </w:r>
    </w:p>
    <w:p>
      <w:pPr>
        <w:numPr>
          <w:ilvl w:val="0"/>
          <w:numId w:val="72"/>
        </w:numPr>
        <w:adjustRightInd w:val="0"/>
        <w:snapToGrid w:val="0"/>
        <w:spacing w:line="360" w:lineRule="auto"/>
        <w:jc w:val="left"/>
        <w:rPr>
          <w:rFonts w:ascii="宋体" w:hAnsi="宋体" w:cs="仿宋"/>
        </w:rPr>
      </w:pPr>
      <w:r>
        <w:rPr>
          <w:rFonts w:hint="eastAsia" w:ascii="宋体" w:hAnsi="宋体" w:cs="仿宋"/>
          <w:sz w:val="24"/>
        </w:rPr>
        <w:t>工作人员迟到、早退、脱岗的，一次扣500元。</w:t>
      </w:r>
    </w:p>
    <w:p>
      <w:pPr>
        <w:numPr>
          <w:ilvl w:val="0"/>
          <w:numId w:val="72"/>
        </w:numPr>
        <w:adjustRightInd w:val="0"/>
        <w:snapToGrid w:val="0"/>
        <w:spacing w:line="360" w:lineRule="auto"/>
        <w:jc w:val="left"/>
        <w:rPr>
          <w:rFonts w:ascii="宋体" w:hAnsi="宋体" w:cs="仿宋"/>
        </w:rPr>
      </w:pPr>
      <w:r>
        <w:rPr>
          <w:rFonts w:hint="eastAsia" w:ascii="宋体" w:hAnsi="宋体" w:cs="仿宋"/>
          <w:sz w:val="24"/>
        </w:rPr>
        <w:t>未做好站点保洁工作的，一次扣500元。</w:t>
      </w:r>
    </w:p>
    <w:p>
      <w:pPr>
        <w:numPr>
          <w:ilvl w:val="0"/>
          <w:numId w:val="72"/>
        </w:numPr>
        <w:adjustRightInd w:val="0"/>
        <w:snapToGrid w:val="0"/>
        <w:spacing w:line="360" w:lineRule="auto"/>
        <w:jc w:val="left"/>
        <w:rPr>
          <w:rFonts w:ascii="宋体" w:hAnsi="宋体" w:cs="仿宋"/>
        </w:rPr>
      </w:pPr>
      <w:r>
        <w:rPr>
          <w:rFonts w:hint="eastAsia" w:ascii="宋体" w:hAnsi="宋体" w:cs="仿宋"/>
          <w:sz w:val="24"/>
        </w:rPr>
        <w:t>发现私自拉线充电的，一次扣500元。</w:t>
      </w:r>
    </w:p>
    <w:p>
      <w:pPr>
        <w:numPr>
          <w:ilvl w:val="0"/>
          <w:numId w:val="72"/>
        </w:numPr>
        <w:adjustRightInd w:val="0"/>
        <w:snapToGrid w:val="0"/>
        <w:spacing w:line="360" w:lineRule="auto"/>
        <w:jc w:val="left"/>
        <w:rPr>
          <w:rFonts w:ascii="宋体" w:hAnsi="宋体" w:cs="仿宋"/>
        </w:rPr>
      </w:pPr>
      <w:r>
        <w:rPr>
          <w:rFonts w:hint="eastAsia" w:ascii="宋体" w:hAnsi="宋体" w:cs="仿宋"/>
          <w:sz w:val="24"/>
        </w:rPr>
        <w:t>中转站作业过程中，有捡拾垃圾现象的，一次扣1000元。</w:t>
      </w:r>
    </w:p>
    <w:p>
      <w:pPr>
        <w:numPr>
          <w:ilvl w:val="0"/>
          <w:numId w:val="72"/>
        </w:numPr>
        <w:adjustRightInd w:val="0"/>
        <w:snapToGrid w:val="0"/>
        <w:spacing w:line="360" w:lineRule="auto"/>
        <w:jc w:val="left"/>
        <w:rPr>
          <w:rFonts w:ascii="宋体" w:hAnsi="宋体" w:cs="仿宋"/>
        </w:rPr>
      </w:pPr>
      <w:r>
        <w:rPr>
          <w:rFonts w:hint="eastAsia" w:ascii="宋体" w:hAnsi="宋体" w:cs="仿宋"/>
          <w:sz w:val="24"/>
        </w:rPr>
        <w:t>工业垃圾等不符合规定的垃圾倾倒入压缩机的，一次扣2000元。</w:t>
      </w:r>
    </w:p>
    <w:p>
      <w:pPr>
        <w:numPr>
          <w:ilvl w:val="0"/>
          <w:numId w:val="72"/>
        </w:numPr>
        <w:adjustRightInd w:val="0"/>
        <w:snapToGrid w:val="0"/>
        <w:spacing w:line="360" w:lineRule="auto"/>
        <w:jc w:val="left"/>
        <w:rPr>
          <w:rFonts w:ascii="宋体" w:hAnsi="宋体" w:cs="仿宋"/>
        </w:rPr>
      </w:pPr>
      <w:r>
        <w:rPr>
          <w:rFonts w:hint="eastAsia" w:ascii="宋体" w:hAnsi="宋体" w:cs="仿宋"/>
          <w:sz w:val="24"/>
        </w:rPr>
        <w:t>工作人员不按操作规程，违规操作的，一次扣2000元，引起设备损坏的一次扣5000元。</w:t>
      </w:r>
    </w:p>
    <w:p>
      <w:pPr>
        <w:numPr>
          <w:ilvl w:val="0"/>
          <w:numId w:val="72"/>
        </w:numPr>
        <w:adjustRightInd w:val="0"/>
        <w:snapToGrid w:val="0"/>
        <w:spacing w:line="360" w:lineRule="auto"/>
        <w:jc w:val="left"/>
        <w:rPr>
          <w:rFonts w:ascii="宋体" w:hAnsi="宋体" w:cs="仿宋"/>
        </w:rPr>
      </w:pPr>
      <w:r>
        <w:rPr>
          <w:rFonts w:hint="eastAsia" w:ascii="宋体" w:hAnsi="宋体" w:cs="仿宋"/>
          <w:sz w:val="24"/>
        </w:rPr>
        <w:t>设备修复不及时，每增加一天扣款1000元，设备单台设备全年无损坏维修的奖励5000元。</w:t>
      </w:r>
    </w:p>
    <w:p>
      <w:pPr>
        <w:pStyle w:val="72"/>
        <w:numPr>
          <w:ilvl w:val="0"/>
          <w:numId w:val="70"/>
        </w:numPr>
        <w:adjustRightInd w:val="0"/>
        <w:snapToGrid w:val="0"/>
        <w:ind w:firstLineChars="0"/>
        <w:rPr>
          <w:rFonts w:ascii="宋体" w:hAnsi="宋体" w:cs="仿宋"/>
          <w:szCs w:val="24"/>
        </w:rPr>
      </w:pPr>
      <w:r>
        <w:rPr>
          <w:rFonts w:hint="eastAsia" w:ascii="宋体" w:hAnsi="宋体" w:cs="仿宋"/>
          <w:szCs w:val="24"/>
        </w:rPr>
        <w:t>本办法解释权归嘉善县天凝镇人民政府。</w:t>
      </w:r>
    </w:p>
    <w:p>
      <w:pPr>
        <w:adjustRightInd w:val="0"/>
        <w:snapToGrid w:val="0"/>
        <w:spacing w:line="360" w:lineRule="auto"/>
        <w:rPr>
          <w:rFonts w:ascii="宋体" w:hAnsi="宋体" w:cs="仿宋"/>
          <w:sz w:val="24"/>
        </w:rPr>
        <w:sectPr>
          <w:headerReference r:id="rId10" w:type="default"/>
          <w:footerReference r:id="rId11" w:type="default"/>
          <w:pgSz w:w="11906" w:h="16838"/>
          <w:pgMar w:top="1440" w:right="1274" w:bottom="1440" w:left="1800" w:header="851" w:footer="992" w:gutter="0"/>
          <w:cols w:space="425" w:num="1"/>
          <w:docGrid w:type="lines" w:linePitch="312" w:charSpace="0"/>
        </w:sectPr>
      </w:pPr>
    </w:p>
    <w:p>
      <w:pPr>
        <w:adjustRightInd w:val="0"/>
        <w:snapToGrid w:val="0"/>
        <w:spacing w:line="360" w:lineRule="auto"/>
        <w:jc w:val="left"/>
        <w:outlineLvl w:val="2"/>
        <w:rPr>
          <w:b/>
          <w:bCs/>
          <w:kern w:val="44"/>
          <w:sz w:val="24"/>
        </w:rPr>
      </w:pPr>
      <w:bookmarkStart w:id="160" w:name="_Toc38307010"/>
      <w:r>
        <w:rPr>
          <w:rFonts w:hint="eastAsia"/>
          <w:b/>
          <w:bCs/>
          <w:kern w:val="44"/>
          <w:sz w:val="24"/>
        </w:rPr>
        <w:t>附件6 天凝镇全域公共服务管理及镇区保洁服务项目月度检查评分表</w:t>
      </w:r>
      <w:bookmarkEnd w:id="160"/>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天凝镇全域公共服务管理及镇区保洁服务项目月度检查评分表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040"/>
        <w:gridCol w:w="1417"/>
        <w:gridCol w:w="3261"/>
        <w:gridCol w:w="2835"/>
        <w:gridCol w:w="354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86" w:type="dxa"/>
            <w:vAlign w:val="center"/>
          </w:tcPr>
          <w:p>
            <w:pPr>
              <w:jc w:val="center"/>
              <w:rPr>
                <w:rFonts w:ascii="宋体" w:hAnsi="宋体"/>
                <w:b/>
                <w:szCs w:val="21"/>
              </w:rPr>
            </w:pPr>
            <w:r>
              <w:rPr>
                <w:rFonts w:hint="eastAsia" w:ascii="宋体" w:hAnsi="宋体"/>
                <w:b/>
                <w:szCs w:val="21"/>
              </w:rPr>
              <w:t>序号</w:t>
            </w:r>
          </w:p>
        </w:tc>
        <w:tc>
          <w:tcPr>
            <w:tcW w:w="1040" w:type="dxa"/>
            <w:vAlign w:val="center"/>
          </w:tcPr>
          <w:p>
            <w:pPr>
              <w:jc w:val="center"/>
              <w:rPr>
                <w:rFonts w:ascii="宋体" w:hAnsi="宋体"/>
                <w:b/>
                <w:szCs w:val="21"/>
              </w:rPr>
            </w:pPr>
            <w:r>
              <w:rPr>
                <w:rFonts w:hint="eastAsia" w:ascii="宋体" w:hAnsi="宋体"/>
                <w:b/>
                <w:szCs w:val="21"/>
              </w:rPr>
              <w:t>类别</w:t>
            </w:r>
          </w:p>
        </w:tc>
        <w:tc>
          <w:tcPr>
            <w:tcW w:w="1417" w:type="dxa"/>
            <w:vAlign w:val="center"/>
          </w:tcPr>
          <w:p>
            <w:pPr>
              <w:jc w:val="center"/>
              <w:rPr>
                <w:rFonts w:ascii="宋体" w:hAnsi="宋体"/>
                <w:b/>
                <w:szCs w:val="21"/>
              </w:rPr>
            </w:pPr>
            <w:r>
              <w:rPr>
                <w:rFonts w:hint="eastAsia" w:ascii="宋体" w:hAnsi="宋体"/>
                <w:b/>
                <w:szCs w:val="21"/>
              </w:rPr>
              <w:t>检查内容</w:t>
            </w:r>
          </w:p>
        </w:tc>
        <w:tc>
          <w:tcPr>
            <w:tcW w:w="3261" w:type="dxa"/>
            <w:vAlign w:val="center"/>
          </w:tcPr>
          <w:p>
            <w:pPr>
              <w:jc w:val="center"/>
              <w:rPr>
                <w:rFonts w:ascii="宋体" w:hAnsi="宋体"/>
                <w:b/>
                <w:szCs w:val="21"/>
              </w:rPr>
            </w:pPr>
            <w:r>
              <w:rPr>
                <w:rFonts w:hint="eastAsia" w:ascii="宋体" w:hAnsi="宋体"/>
                <w:b/>
                <w:szCs w:val="21"/>
              </w:rPr>
              <w:t>检查标准</w:t>
            </w:r>
          </w:p>
        </w:tc>
        <w:tc>
          <w:tcPr>
            <w:tcW w:w="2835" w:type="dxa"/>
            <w:vAlign w:val="center"/>
          </w:tcPr>
          <w:p>
            <w:pPr>
              <w:jc w:val="center"/>
              <w:rPr>
                <w:rFonts w:ascii="宋体" w:hAnsi="宋体"/>
                <w:b/>
                <w:szCs w:val="21"/>
              </w:rPr>
            </w:pPr>
            <w:r>
              <w:rPr>
                <w:rFonts w:hint="eastAsia" w:ascii="宋体" w:hAnsi="宋体"/>
                <w:b/>
                <w:szCs w:val="21"/>
              </w:rPr>
              <w:t>个性评分标准</w:t>
            </w:r>
          </w:p>
        </w:tc>
        <w:tc>
          <w:tcPr>
            <w:tcW w:w="3543" w:type="dxa"/>
            <w:vAlign w:val="center"/>
          </w:tcPr>
          <w:p>
            <w:pPr>
              <w:jc w:val="center"/>
              <w:rPr>
                <w:rFonts w:ascii="宋体" w:hAnsi="宋体"/>
                <w:b/>
                <w:szCs w:val="21"/>
              </w:rPr>
            </w:pPr>
            <w:r>
              <w:rPr>
                <w:rFonts w:hint="eastAsia" w:ascii="宋体" w:hAnsi="宋体"/>
                <w:b/>
                <w:szCs w:val="21"/>
              </w:rPr>
              <w:t>共性评分标准</w:t>
            </w:r>
          </w:p>
        </w:tc>
        <w:tc>
          <w:tcPr>
            <w:tcW w:w="1005" w:type="dxa"/>
            <w:vAlign w:val="center"/>
          </w:tcPr>
          <w:p>
            <w:pPr>
              <w:jc w:val="center"/>
              <w:rPr>
                <w:rFonts w:ascii="宋体" w:hAnsi="宋体"/>
                <w:b/>
                <w:szCs w:val="21"/>
              </w:rPr>
            </w:pPr>
            <w:r>
              <w:rPr>
                <w:rFonts w:hint="eastAsia" w:ascii="宋体" w:hAnsi="宋体"/>
                <w:b/>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86" w:type="dxa"/>
            <w:vMerge w:val="restart"/>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1</w:t>
            </w:r>
          </w:p>
        </w:tc>
        <w:tc>
          <w:tcPr>
            <w:tcW w:w="1040" w:type="dxa"/>
            <w:vMerge w:val="restart"/>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镇区</w:t>
            </w:r>
          </w:p>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保洁</w:t>
            </w:r>
          </w:p>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50</w:t>
            </w:r>
            <w:r>
              <w:rPr>
                <w:rFonts w:asciiTheme="minorEastAsia" w:hAnsiTheme="minorEastAsia" w:eastAsiaTheme="minorEastAsia"/>
                <w:szCs w:val="21"/>
              </w:rPr>
              <w:t>）</w:t>
            </w:r>
          </w:p>
        </w:tc>
        <w:tc>
          <w:tcPr>
            <w:tcW w:w="1417" w:type="dxa"/>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主次道路、背街小巷</w:t>
            </w:r>
          </w:p>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10</w:t>
            </w:r>
            <w:r>
              <w:rPr>
                <w:rFonts w:asciiTheme="minorEastAsia" w:hAnsiTheme="minorEastAsia" w:eastAsiaTheme="minorEastAsia"/>
                <w:szCs w:val="21"/>
              </w:rPr>
              <w:t>分）</w:t>
            </w:r>
          </w:p>
        </w:tc>
        <w:tc>
          <w:tcPr>
            <w:tcW w:w="3261"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主次道路和背街小巷按要求配备果壳箱、垃圾桶等环卫设施，路面、绿化带、附属设施干净整洁（无垃圾、无污水、无污迹）。</w:t>
            </w:r>
          </w:p>
        </w:tc>
        <w:tc>
          <w:tcPr>
            <w:tcW w:w="2835"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1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①</w:t>
            </w:r>
            <w:r>
              <w:rPr>
                <w:rFonts w:asciiTheme="minorEastAsia" w:hAnsiTheme="minorEastAsia" w:eastAsiaTheme="minorEastAsia"/>
                <w:szCs w:val="21"/>
              </w:rPr>
              <w:fldChar w:fldCharType="end"/>
            </w:r>
            <w:r>
              <w:rPr>
                <w:rFonts w:hint="eastAsia" w:asciiTheme="minorEastAsia" w:hAnsiTheme="minorEastAsia" w:eastAsiaTheme="minorEastAsia"/>
                <w:szCs w:val="21"/>
              </w:rPr>
              <w:t>生活垃圾未按要求分类收集，发现一次扣2分，未用密闭专用设备分类收集，发现一次扣5分。</w:t>
            </w:r>
          </w:p>
        </w:tc>
        <w:tc>
          <w:tcPr>
            <w:tcW w:w="3543" w:type="dxa"/>
            <w:vMerge w:val="restart"/>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1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①</w:t>
            </w:r>
            <w:r>
              <w:rPr>
                <w:rFonts w:asciiTheme="minorEastAsia" w:hAnsiTheme="minorEastAsia" w:eastAsiaTheme="minorEastAsia"/>
                <w:szCs w:val="21"/>
              </w:rPr>
              <w:fldChar w:fldCharType="end"/>
            </w:r>
            <w:r>
              <w:rPr>
                <w:rFonts w:asciiTheme="minorEastAsia" w:hAnsiTheme="minorEastAsia" w:eastAsiaTheme="minorEastAsia"/>
                <w:szCs w:val="21"/>
              </w:rPr>
              <w:t>发现果壳箱、垃圾桶等环卫、市政设施不全每处扣</w:t>
            </w:r>
            <w:r>
              <w:rPr>
                <w:rFonts w:hint="eastAsia" w:asciiTheme="minorEastAsia" w:hAnsiTheme="minorEastAsia" w:eastAsiaTheme="minorEastAsia"/>
                <w:szCs w:val="21"/>
              </w:rPr>
              <w:t>1</w:t>
            </w:r>
            <w:r>
              <w:rPr>
                <w:rFonts w:asciiTheme="minorEastAsia" w:hAnsiTheme="minorEastAsia" w:eastAsiaTheme="minorEastAsia"/>
                <w:szCs w:val="21"/>
              </w:rPr>
              <w:t>分，污损每处扣0.</w:t>
            </w:r>
            <w:r>
              <w:rPr>
                <w:rFonts w:hint="eastAsia" w:asciiTheme="minorEastAsia" w:hAnsiTheme="minorEastAsia" w:eastAsiaTheme="minorEastAsia"/>
                <w:szCs w:val="21"/>
              </w:rPr>
              <w:t>5</w:t>
            </w:r>
            <w:r>
              <w:rPr>
                <w:rFonts w:asciiTheme="minorEastAsia" w:hAnsiTheme="minorEastAsia" w:eastAsiaTheme="minorEastAsia"/>
                <w:szCs w:val="21"/>
              </w:rPr>
              <w:t>分，垃圾外溢每处扣</w:t>
            </w:r>
            <w:r>
              <w:rPr>
                <w:rFonts w:hint="eastAsia" w:asciiTheme="minorEastAsia" w:hAnsiTheme="minorEastAsia" w:eastAsiaTheme="minorEastAsia"/>
                <w:szCs w:val="21"/>
              </w:rPr>
              <w:t>1</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2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②</w:t>
            </w:r>
            <w:r>
              <w:rPr>
                <w:rFonts w:asciiTheme="minorEastAsia" w:hAnsiTheme="minorEastAsia" w:eastAsiaTheme="minorEastAsia"/>
                <w:szCs w:val="21"/>
              </w:rPr>
              <w:fldChar w:fldCharType="end"/>
            </w:r>
            <w:r>
              <w:rPr>
                <w:rFonts w:asciiTheme="minorEastAsia" w:hAnsiTheme="minorEastAsia" w:eastAsiaTheme="minorEastAsia"/>
                <w:szCs w:val="21"/>
              </w:rPr>
              <w:t>成堆成片垃圾每处扣</w:t>
            </w:r>
            <w:r>
              <w:rPr>
                <w:rFonts w:hint="eastAsia" w:asciiTheme="minorEastAsia" w:hAnsiTheme="minorEastAsia" w:eastAsiaTheme="minorEastAsia"/>
                <w:szCs w:val="21"/>
              </w:rPr>
              <w:t>2</w:t>
            </w:r>
            <w:r>
              <w:rPr>
                <w:rFonts w:asciiTheme="minorEastAsia" w:hAnsiTheme="minorEastAsia" w:eastAsiaTheme="minorEastAsia"/>
                <w:szCs w:val="21"/>
              </w:rPr>
              <w:t>分，零星垃圾每处扣0.</w:t>
            </w:r>
            <w:r>
              <w:rPr>
                <w:rFonts w:hint="eastAsia" w:asciiTheme="minorEastAsia" w:hAnsiTheme="minorEastAsia" w:eastAsiaTheme="minorEastAsia"/>
                <w:szCs w:val="21"/>
              </w:rPr>
              <w:t>5</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3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③</w:t>
            </w:r>
            <w:r>
              <w:rPr>
                <w:rFonts w:asciiTheme="minorEastAsia" w:hAnsiTheme="minorEastAsia" w:eastAsiaTheme="minorEastAsia"/>
                <w:szCs w:val="21"/>
              </w:rPr>
              <w:fldChar w:fldCharType="end"/>
            </w:r>
            <w:r>
              <w:rPr>
                <w:rFonts w:asciiTheme="minorEastAsia" w:hAnsiTheme="minorEastAsia" w:eastAsiaTheme="minorEastAsia"/>
                <w:szCs w:val="21"/>
              </w:rPr>
              <w:t>乱堆放严重影响环境的每处扣</w:t>
            </w:r>
            <w:r>
              <w:rPr>
                <w:rFonts w:hint="eastAsia" w:asciiTheme="minorEastAsia" w:hAnsiTheme="minorEastAsia" w:eastAsiaTheme="minorEastAsia"/>
                <w:szCs w:val="21"/>
              </w:rPr>
              <w:t>2</w:t>
            </w:r>
            <w:r>
              <w:rPr>
                <w:rFonts w:asciiTheme="minorEastAsia" w:hAnsiTheme="minorEastAsia" w:eastAsiaTheme="minorEastAsia"/>
                <w:szCs w:val="21"/>
              </w:rPr>
              <w:t>分，零星乱堆放的每处扣</w:t>
            </w:r>
            <w:r>
              <w:rPr>
                <w:rFonts w:hint="eastAsia" w:asciiTheme="minorEastAsia" w:hAnsiTheme="minorEastAsia" w:eastAsiaTheme="minorEastAsia"/>
                <w:szCs w:val="21"/>
              </w:rPr>
              <w:t>1</w:t>
            </w:r>
            <w:r>
              <w:rPr>
                <w:rFonts w:asciiTheme="minorEastAsia" w:hAnsiTheme="minorEastAsia" w:eastAsiaTheme="minorEastAsia"/>
                <w:szCs w:val="21"/>
              </w:rPr>
              <w:t>分</w:t>
            </w:r>
            <w:r>
              <w:rPr>
                <w:rFonts w:hint="eastAsia" w:asciiTheme="minorEastAsia" w:hAnsiTheme="minorEastAsia" w:eastAsiaTheme="minorEastAsia"/>
                <w:szCs w:val="21"/>
              </w:rPr>
              <w:t>，覆盖物凌乱、杂乱扣1分</w:t>
            </w:r>
            <w:r>
              <w:rPr>
                <w:rFonts w:asciiTheme="minorEastAsia" w:hAnsiTheme="minorEastAsia" w:eastAsiaTheme="minorEastAsia"/>
                <w:szCs w:val="21"/>
              </w:rPr>
              <w:t>；乱牵乱挂、乱摆乱占、乱拉乱搭严重影响环境的，每发现一处扣</w:t>
            </w:r>
            <w:r>
              <w:rPr>
                <w:rFonts w:hint="eastAsia" w:asciiTheme="minorEastAsia" w:hAnsiTheme="minorEastAsia" w:eastAsiaTheme="minorEastAsia"/>
                <w:szCs w:val="21"/>
              </w:rPr>
              <w:t>1</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4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④</w:t>
            </w:r>
            <w:r>
              <w:rPr>
                <w:rFonts w:asciiTheme="minorEastAsia" w:hAnsiTheme="minorEastAsia" w:eastAsiaTheme="minorEastAsia"/>
                <w:szCs w:val="21"/>
              </w:rPr>
              <w:fldChar w:fldCharType="end"/>
            </w:r>
            <w:r>
              <w:rPr>
                <w:rFonts w:asciiTheme="minorEastAsia" w:hAnsiTheme="minorEastAsia" w:eastAsiaTheme="minorEastAsia"/>
                <w:szCs w:val="21"/>
              </w:rPr>
              <w:t>发现地面积泥、积水、油污每处扣</w:t>
            </w:r>
            <w:r>
              <w:rPr>
                <w:rFonts w:hint="eastAsia" w:asciiTheme="minorEastAsia" w:hAnsiTheme="minorEastAsia" w:eastAsiaTheme="minorEastAsia"/>
                <w:szCs w:val="21"/>
              </w:rPr>
              <w:t>1</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5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⑤</w:t>
            </w:r>
            <w:r>
              <w:rPr>
                <w:rFonts w:asciiTheme="minorEastAsia" w:hAnsiTheme="minorEastAsia" w:eastAsiaTheme="minorEastAsia"/>
                <w:szCs w:val="21"/>
              </w:rPr>
              <w:fldChar w:fldCharType="end"/>
            </w:r>
            <w:r>
              <w:rPr>
                <w:rFonts w:asciiTheme="minorEastAsia" w:hAnsiTheme="minorEastAsia" w:eastAsiaTheme="minorEastAsia"/>
                <w:szCs w:val="21"/>
              </w:rPr>
              <w:t>发现焚烧垃圾现象每次扣0.5分，发现焚烧痕迹每次扣0.</w:t>
            </w:r>
            <w:r>
              <w:rPr>
                <w:rFonts w:hint="eastAsia" w:asciiTheme="minorEastAsia" w:hAnsiTheme="minorEastAsia" w:eastAsiaTheme="minorEastAsia"/>
                <w:szCs w:val="21"/>
              </w:rPr>
              <w:t>5</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6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⑥</w:t>
            </w:r>
            <w:r>
              <w:rPr>
                <w:rFonts w:asciiTheme="minorEastAsia" w:hAnsiTheme="minorEastAsia" w:eastAsiaTheme="minorEastAsia"/>
                <w:szCs w:val="21"/>
              </w:rPr>
              <w:fldChar w:fldCharType="end"/>
            </w:r>
            <w:r>
              <w:rPr>
                <w:rFonts w:asciiTheme="minorEastAsia" w:hAnsiTheme="minorEastAsia" w:eastAsiaTheme="minorEastAsia"/>
                <w:szCs w:val="21"/>
              </w:rPr>
              <w:t>发现乱涂写、乱张贴</w:t>
            </w:r>
            <w:r>
              <w:rPr>
                <w:rFonts w:hint="eastAsia" w:asciiTheme="minorEastAsia" w:hAnsiTheme="minorEastAsia" w:eastAsiaTheme="minorEastAsia"/>
                <w:szCs w:val="21"/>
              </w:rPr>
              <w:t>、牛皮鲜等每处</w:t>
            </w:r>
            <w:r>
              <w:rPr>
                <w:rFonts w:asciiTheme="minorEastAsia" w:hAnsiTheme="minorEastAsia" w:eastAsiaTheme="minorEastAsia"/>
                <w:szCs w:val="21"/>
              </w:rPr>
              <w:t>扣0.</w:t>
            </w:r>
            <w:r>
              <w:rPr>
                <w:rFonts w:hint="eastAsia" w:asciiTheme="minorEastAsia" w:hAnsiTheme="minorEastAsia" w:eastAsiaTheme="minorEastAsia"/>
                <w:szCs w:val="21"/>
              </w:rPr>
              <w:t>2</w:t>
            </w:r>
            <w:r>
              <w:rPr>
                <w:rFonts w:asciiTheme="minorEastAsia" w:hAnsiTheme="minorEastAsia" w:eastAsiaTheme="minorEastAsia"/>
                <w:szCs w:val="21"/>
              </w:rPr>
              <w:t>分</w:t>
            </w:r>
            <w:r>
              <w:rPr>
                <w:rFonts w:hint="eastAsia" w:asciiTheme="minorEastAsia" w:hAnsiTheme="minorEastAsia" w:eastAsiaTheme="minorEastAsia"/>
                <w:szCs w:val="21"/>
              </w:rPr>
              <w:t>；</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7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⑦</w:t>
            </w:r>
            <w:r>
              <w:rPr>
                <w:rFonts w:asciiTheme="minorEastAsia" w:hAnsiTheme="minorEastAsia" w:eastAsiaTheme="minorEastAsia"/>
                <w:szCs w:val="21"/>
              </w:rPr>
              <w:fldChar w:fldCharType="end"/>
            </w:r>
            <w:r>
              <w:rPr>
                <w:rFonts w:asciiTheme="minorEastAsia" w:hAnsiTheme="minorEastAsia" w:eastAsiaTheme="minorEastAsia"/>
                <w:szCs w:val="21"/>
              </w:rPr>
              <w:t>发现卫生死角每处扣</w:t>
            </w:r>
            <w:r>
              <w:rPr>
                <w:rFonts w:hint="eastAsia" w:asciiTheme="minorEastAsia" w:hAnsiTheme="minorEastAsia" w:eastAsiaTheme="minorEastAsia"/>
                <w:szCs w:val="21"/>
              </w:rPr>
              <w:t>3</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8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⑧</w:t>
            </w:r>
            <w:r>
              <w:rPr>
                <w:rFonts w:asciiTheme="minorEastAsia" w:hAnsiTheme="minorEastAsia" w:eastAsiaTheme="minorEastAsia"/>
                <w:szCs w:val="21"/>
              </w:rPr>
              <w:fldChar w:fldCharType="end"/>
            </w:r>
            <w:r>
              <w:rPr>
                <w:rFonts w:asciiTheme="minorEastAsia" w:hAnsiTheme="minorEastAsia" w:eastAsiaTheme="minorEastAsia"/>
                <w:szCs w:val="21"/>
              </w:rPr>
              <w:t>每发现一只牛、羊、猪、狗等大型动物尸体扣</w:t>
            </w:r>
            <w:r>
              <w:rPr>
                <w:rFonts w:hint="eastAsia" w:asciiTheme="minorEastAsia" w:hAnsiTheme="minorEastAsia" w:eastAsiaTheme="minorEastAsia"/>
                <w:szCs w:val="21"/>
              </w:rPr>
              <w:t>5</w:t>
            </w:r>
            <w:r>
              <w:rPr>
                <w:rFonts w:asciiTheme="minorEastAsia" w:hAnsiTheme="minorEastAsia" w:eastAsiaTheme="minorEastAsia"/>
                <w:szCs w:val="21"/>
              </w:rPr>
              <w:t>分，每发现一只鸡、鸭、鹅等小型动物尸体扣</w:t>
            </w:r>
            <w:r>
              <w:rPr>
                <w:rFonts w:hint="eastAsia" w:asciiTheme="minorEastAsia" w:hAnsiTheme="minorEastAsia" w:eastAsiaTheme="minorEastAsia"/>
                <w:szCs w:val="21"/>
              </w:rPr>
              <w:t>2</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9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⑨</w:t>
            </w:r>
            <w:r>
              <w:rPr>
                <w:rFonts w:asciiTheme="minorEastAsia" w:hAnsiTheme="minorEastAsia" w:eastAsiaTheme="minorEastAsia"/>
                <w:szCs w:val="21"/>
              </w:rPr>
              <w:fldChar w:fldCharType="end"/>
            </w:r>
            <w:r>
              <w:rPr>
                <w:rFonts w:asciiTheme="minorEastAsia" w:hAnsiTheme="minorEastAsia" w:eastAsiaTheme="minorEastAsia"/>
                <w:szCs w:val="21"/>
              </w:rPr>
              <w:t>发现露天粪缸、粪桶、简易棚厕、直排厕所和旱厕的，每处扣</w:t>
            </w:r>
            <w:r>
              <w:rPr>
                <w:rFonts w:hint="eastAsia" w:asciiTheme="minorEastAsia" w:hAnsiTheme="minorEastAsia" w:eastAsiaTheme="minorEastAsia"/>
                <w:szCs w:val="21"/>
              </w:rPr>
              <w:t>2</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10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⑩</w:t>
            </w:r>
            <w:r>
              <w:rPr>
                <w:rFonts w:asciiTheme="minorEastAsia" w:hAnsiTheme="minorEastAsia" w:eastAsiaTheme="minorEastAsia"/>
                <w:szCs w:val="21"/>
              </w:rPr>
              <w:fldChar w:fldCharType="end"/>
            </w:r>
            <w:r>
              <w:rPr>
                <w:rFonts w:asciiTheme="minorEastAsia" w:hAnsiTheme="minorEastAsia" w:eastAsiaTheme="minorEastAsia"/>
                <w:szCs w:val="21"/>
              </w:rPr>
              <w:t>发现油烟</w:t>
            </w:r>
            <w:r>
              <w:rPr>
                <w:rFonts w:hint="eastAsia" w:asciiTheme="minorEastAsia" w:hAnsiTheme="minorEastAsia" w:eastAsiaTheme="minorEastAsia"/>
                <w:szCs w:val="21"/>
              </w:rPr>
              <w:t>、污水、雨水</w:t>
            </w:r>
            <w:r>
              <w:rPr>
                <w:rFonts w:asciiTheme="minorEastAsia" w:hAnsiTheme="minorEastAsia" w:eastAsiaTheme="minorEastAsia"/>
                <w:szCs w:val="21"/>
              </w:rPr>
              <w:t>等管道破损外溢的每处扣</w:t>
            </w:r>
            <w:r>
              <w:rPr>
                <w:rFonts w:hint="eastAsia" w:asciiTheme="minorEastAsia" w:hAnsiTheme="minorEastAsia" w:eastAsiaTheme="minorEastAsia"/>
                <w:szCs w:val="21"/>
              </w:rPr>
              <w:t>0.5分</w:t>
            </w:r>
            <w:r>
              <w:rPr>
                <w:rFonts w:asciiTheme="minorEastAsia" w:hAnsiTheme="minorEastAsia" w:eastAsiaTheme="minorEastAsia"/>
                <w:szCs w:val="21"/>
              </w:rPr>
              <w:t>；发现</w:t>
            </w:r>
            <w:r>
              <w:rPr>
                <w:rFonts w:hint="eastAsia" w:asciiTheme="minorEastAsia" w:hAnsiTheme="minorEastAsia" w:eastAsiaTheme="minorEastAsia"/>
                <w:szCs w:val="21"/>
              </w:rPr>
              <w:t>油烟污水</w:t>
            </w:r>
            <w:r>
              <w:rPr>
                <w:rFonts w:asciiTheme="minorEastAsia" w:hAnsiTheme="minorEastAsia" w:eastAsiaTheme="minorEastAsia"/>
                <w:szCs w:val="21"/>
              </w:rPr>
              <w:t>及</w:t>
            </w:r>
            <w:r>
              <w:rPr>
                <w:rFonts w:hint="eastAsia" w:asciiTheme="minorEastAsia" w:hAnsiTheme="minorEastAsia" w:eastAsiaTheme="minorEastAsia"/>
                <w:szCs w:val="21"/>
              </w:rPr>
              <w:t>生活</w:t>
            </w:r>
            <w:r>
              <w:rPr>
                <w:rFonts w:asciiTheme="minorEastAsia" w:hAnsiTheme="minorEastAsia" w:eastAsiaTheme="minorEastAsia"/>
                <w:szCs w:val="21"/>
              </w:rPr>
              <w:t>污水直排每处扣0.5分；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（11）占用公共绿地等公共设施成片晾晒的每处扣1分，零星晾晒的每处扣0.</w:t>
            </w:r>
            <w:r>
              <w:rPr>
                <w:rFonts w:hint="eastAsia" w:asciiTheme="minorEastAsia" w:hAnsiTheme="minorEastAsia" w:eastAsiaTheme="minorEastAsia"/>
                <w:szCs w:val="21"/>
              </w:rPr>
              <w:t>5</w:t>
            </w:r>
            <w:r>
              <w:rPr>
                <w:rFonts w:asciiTheme="minorEastAsia" w:hAnsiTheme="minorEastAsia" w:eastAsiaTheme="minorEastAsia"/>
                <w:szCs w:val="21"/>
              </w:rPr>
              <w:t>分</w:t>
            </w:r>
            <w:r>
              <w:rPr>
                <w:rFonts w:hint="eastAsia" w:asciiTheme="minorEastAsia" w:hAnsiTheme="minorEastAsia" w:eastAsiaTheme="minorEastAsia"/>
                <w:szCs w:val="21"/>
              </w:rPr>
              <w:t>，发现公共绿地、健身等公共区域长期废置、杂草丛生的扣0.5分</w:t>
            </w:r>
            <w:r>
              <w:rPr>
                <w:rFonts w:asciiTheme="minorEastAsia" w:hAnsiTheme="minorEastAsia" w:eastAsiaTheme="minorEastAsia"/>
                <w:szCs w:val="21"/>
              </w:rPr>
              <w:t>；</w:t>
            </w:r>
          </w:p>
          <w:p>
            <w:pPr>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（12）发现公共绿地、绿化带断株、死株、毁绿种菜等现象的每处扣0.3分</w:t>
            </w:r>
          </w:p>
          <w:p>
            <w:pPr>
              <w:ind w:left="105" w:leftChars="50" w:right="105" w:rightChars="50"/>
              <w:rPr>
                <w:rFonts w:asciiTheme="minorEastAsia" w:hAnsiTheme="minorEastAsia" w:eastAsiaTheme="minorEastAsia"/>
                <w:szCs w:val="21"/>
              </w:rPr>
            </w:pPr>
          </w:p>
        </w:tc>
        <w:tc>
          <w:tcPr>
            <w:tcW w:w="1005" w:type="dxa"/>
            <w:vAlign w:val="center"/>
          </w:tcPr>
          <w:p>
            <w:pPr>
              <w:ind w:left="105" w:leftChars="50" w:right="105" w:rightChars="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1040" w:type="dxa"/>
            <w:vMerge w:val="continue"/>
            <w:vAlign w:val="center"/>
          </w:tcPr>
          <w:p>
            <w:pPr>
              <w:ind w:left="105" w:leftChars="50" w:right="105" w:rightChars="50"/>
              <w:jc w:val="center"/>
              <w:rPr>
                <w:rFonts w:asciiTheme="minorEastAsia" w:hAnsiTheme="minorEastAsia" w:eastAsiaTheme="minorEastAsia"/>
                <w:szCs w:val="21"/>
              </w:rPr>
            </w:pPr>
          </w:p>
        </w:tc>
        <w:tc>
          <w:tcPr>
            <w:tcW w:w="1417" w:type="dxa"/>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居民小区</w:t>
            </w:r>
          </w:p>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10</w:t>
            </w:r>
            <w:r>
              <w:rPr>
                <w:rFonts w:asciiTheme="minorEastAsia" w:hAnsiTheme="minorEastAsia" w:eastAsiaTheme="minorEastAsia"/>
                <w:szCs w:val="21"/>
              </w:rPr>
              <w:t>分）</w:t>
            </w:r>
          </w:p>
        </w:tc>
        <w:tc>
          <w:tcPr>
            <w:tcW w:w="3261"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非封闭式居民小区垃圾房、桶、箱等环卫设施齐全，路面、绿化带、房前屋后、公共区域干净整洁（无垃圾、无污水、无污迹）。无散养家禽。</w:t>
            </w:r>
          </w:p>
        </w:tc>
        <w:tc>
          <w:tcPr>
            <w:tcW w:w="2835"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1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①</w:t>
            </w:r>
            <w:r>
              <w:rPr>
                <w:rFonts w:asciiTheme="minorEastAsia" w:hAnsiTheme="minorEastAsia" w:eastAsiaTheme="minorEastAsia"/>
                <w:szCs w:val="21"/>
              </w:rPr>
              <w:fldChar w:fldCharType="end"/>
            </w:r>
            <w:r>
              <w:rPr>
                <w:rFonts w:asciiTheme="minorEastAsia" w:hAnsiTheme="minorEastAsia" w:eastAsiaTheme="minorEastAsia"/>
                <w:szCs w:val="21"/>
              </w:rPr>
              <w:t>发现</w:t>
            </w:r>
            <w:r>
              <w:rPr>
                <w:rFonts w:hint="eastAsia" w:asciiTheme="minorEastAsia" w:hAnsiTheme="minorEastAsia" w:eastAsiaTheme="minorEastAsia"/>
                <w:szCs w:val="21"/>
              </w:rPr>
              <w:t>饲养</w:t>
            </w:r>
            <w:r>
              <w:rPr>
                <w:rFonts w:asciiTheme="minorEastAsia" w:hAnsiTheme="minorEastAsia" w:eastAsiaTheme="minorEastAsia"/>
                <w:szCs w:val="21"/>
              </w:rPr>
              <w:t>家禽每处扣</w:t>
            </w:r>
            <w:r>
              <w:rPr>
                <w:rFonts w:hint="eastAsia" w:asciiTheme="minorEastAsia" w:hAnsiTheme="minorEastAsia" w:eastAsiaTheme="minorEastAsia"/>
                <w:szCs w:val="21"/>
              </w:rPr>
              <w:t>1</w:t>
            </w:r>
            <w:r>
              <w:rPr>
                <w:rFonts w:asciiTheme="minorEastAsia" w:hAnsiTheme="minorEastAsia" w:eastAsiaTheme="minorEastAsia"/>
                <w:szCs w:val="21"/>
              </w:rPr>
              <w:t>分。</w:t>
            </w:r>
          </w:p>
        </w:tc>
        <w:tc>
          <w:tcPr>
            <w:tcW w:w="3543" w:type="dxa"/>
            <w:vMerge w:val="continue"/>
            <w:vAlign w:val="center"/>
          </w:tcPr>
          <w:p>
            <w:pPr>
              <w:ind w:left="105" w:leftChars="50" w:right="105" w:rightChars="50"/>
              <w:rPr>
                <w:rFonts w:asciiTheme="minorEastAsia" w:hAnsiTheme="minorEastAsia" w:eastAsiaTheme="minorEastAsia"/>
                <w:szCs w:val="21"/>
              </w:rPr>
            </w:pPr>
          </w:p>
        </w:tc>
        <w:tc>
          <w:tcPr>
            <w:tcW w:w="1005" w:type="dxa"/>
            <w:vAlign w:val="center"/>
          </w:tcPr>
          <w:p>
            <w:pPr>
              <w:ind w:left="105" w:leftChars="50" w:right="105" w:rightChars="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1040" w:type="dxa"/>
            <w:vMerge w:val="continue"/>
            <w:vAlign w:val="center"/>
          </w:tcPr>
          <w:p>
            <w:pPr>
              <w:ind w:left="105" w:leftChars="50" w:right="105" w:rightChars="50"/>
              <w:jc w:val="center"/>
              <w:rPr>
                <w:rFonts w:asciiTheme="minorEastAsia" w:hAnsiTheme="minorEastAsia" w:eastAsiaTheme="minorEastAsia"/>
                <w:szCs w:val="21"/>
              </w:rPr>
            </w:pPr>
          </w:p>
        </w:tc>
        <w:tc>
          <w:tcPr>
            <w:tcW w:w="1417" w:type="dxa"/>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公共场所、农贸市场等公共场所（</w:t>
            </w:r>
            <w:r>
              <w:rPr>
                <w:rFonts w:hint="eastAsia" w:asciiTheme="minorEastAsia" w:hAnsiTheme="minorEastAsia" w:eastAsiaTheme="minorEastAsia"/>
                <w:szCs w:val="21"/>
              </w:rPr>
              <w:t>15</w:t>
            </w:r>
            <w:r>
              <w:rPr>
                <w:rFonts w:asciiTheme="minorEastAsia" w:hAnsiTheme="minorEastAsia" w:eastAsiaTheme="minorEastAsia"/>
                <w:szCs w:val="21"/>
              </w:rPr>
              <w:t>分）</w:t>
            </w:r>
          </w:p>
        </w:tc>
        <w:tc>
          <w:tcPr>
            <w:tcW w:w="3261"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农贸市场、学校、医院、车站、公园等公共场所及城郊结合部等重点区域干净整洁（无垃圾、无污水、无污迹）；果壳箱、垃圾桶等环卫设施齐全；无自行处理、焚烧垃圾现象。</w:t>
            </w:r>
          </w:p>
        </w:tc>
        <w:tc>
          <w:tcPr>
            <w:tcW w:w="2835"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1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①</w:t>
            </w:r>
            <w:r>
              <w:rPr>
                <w:rFonts w:asciiTheme="minorEastAsia" w:hAnsiTheme="minorEastAsia" w:eastAsiaTheme="minorEastAsia"/>
                <w:szCs w:val="21"/>
              </w:rPr>
              <w:fldChar w:fldCharType="end"/>
            </w:r>
            <w:r>
              <w:rPr>
                <w:rFonts w:asciiTheme="minorEastAsia" w:hAnsiTheme="minorEastAsia" w:eastAsiaTheme="minorEastAsia"/>
                <w:szCs w:val="21"/>
              </w:rPr>
              <w:t>农贸市场等公共场所环境脏乱差的扣3分；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2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②</w:t>
            </w:r>
            <w:r>
              <w:rPr>
                <w:rFonts w:asciiTheme="minorEastAsia" w:hAnsiTheme="minorEastAsia" w:eastAsiaTheme="minorEastAsia"/>
                <w:szCs w:val="21"/>
              </w:rPr>
              <w:fldChar w:fldCharType="end"/>
            </w:r>
            <w:r>
              <w:rPr>
                <w:rFonts w:asciiTheme="minorEastAsia" w:hAnsiTheme="minorEastAsia" w:eastAsiaTheme="minorEastAsia"/>
                <w:szCs w:val="21"/>
              </w:rPr>
              <w:t>发现农贸市场点外设摊、摆放严重不规</w:t>
            </w:r>
            <w:r>
              <w:rPr>
                <w:rFonts w:hint="eastAsia" w:asciiTheme="minorEastAsia" w:hAnsiTheme="minorEastAsia" w:eastAsiaTheme="minorEastAsia"/>
                <w:szCs w:val="21"/>
              </w:rPr>
              <w:t>范的扣2分，零星的每处扣0.5</w:t>
            </w:r>
            <w:r>
              <w:rPr>
                <w:rFonts w:asciiTheme="minorEastAsia" w:hAnsiTheme="minorEastAsia" w:eastAsiaTheme="minorEastAsia"/>
                <w:szCs w:val="21"/>
              </w:rPr>
              <w:t>分。</w:t>
            </w:r>
          </w:p>
        </w:tc>
        <w:tc>
          <w:tcPr>
            <w:tcW w:w="3543" w:type="dxa"/>
            <w:vMerge w:val="continue"/>
            <w:vAlign w:val="center"/>
          </w:tcPr>
          <w:p>
            <w:pPr>
              <w:ind w:left="105" w:leftChars="50" w:right="105" w:rightChars="50"/>
              <w:rPr>
                <w:rFonts w:asciiTheme="minorEastAsia" w:hAnsiTheme="minorEastAsia" w:eastAsiaTheme="minorEastAsia"/>
                <w:szCs w:val="21"/>
              </w:rPr>
            </w:pPr>
          </w:p>
        </w:tc>
        <w:tc>
          <w:tcPr>
            <w:tcW w:w="1005" w:type="dxa"/>
            <w:vAlign w:val="center"/>
          </w:tcPr>
          <w:p>
            <w:pPr>
              <w:ind w:left="105" w:leftChars="50" w:right="105" w:rightChars="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1040" w:type="dxa"/>
            <w:vMerge w:val="continue"/>
            <w:vAlign w:val="center"/>
          </w:tcPr>
          <w:p>
            <w:pPr>
              <w:ind w:left="105" w:leftChars="50" w:right="105" w:rightChars="50"/>
              <w:jc w:val="center"/>
              <w:rPr>
                <w:rFonts w:asciiTheme="minorEastAsia" w:hAnsiTheme="minorEastAsia" w:eastAsiaTheme="minorEastAsia"/>
                <w:szCs w:val="21"/>
              </w:rPr>
            </w:pPr>
          </w:p>
        </w:tc>
        <w:tc>
          <w:tcPr>
            <w:tcW w:w="1417" w:type="dxa"/>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公共厕所、压缩式垃圾中转站</w:t>
            </w:r>
          </w:p>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15</w:t>
            </w:r>
            <w:r>
              <w:rPr>
                <w:rFonts w:asciiTheme="minorEastAsia" w:hAnsiTheme="minorEastAsia" w:eastAsiaTheme="minorEastAsia"/>
                <w:szCs w:val="21"/>
              </w:rPr>
              <w:t>分）</w:t>
            </w:r>
          </w:p>
        </w:tc>
        <w:tc>
          <w:tcPr>
            <w:tcW w:w="3261"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公共厕所设施齐全，地面清洁，学校、医院、车站、公园及景点等公共场所公共厕所达到二类标准，无粪桶（缸）、旱厕、简易棚厕；压缩式垃圾中转站整洁；垃圾转运、处理过程中无“跑冒滴漏”现象，周边环境整洁，无臭味、蝇蛆、蛛网，杂物堆积摆放有序。</w:t>
            </w:r>
          </w:p>
        </w:tc>
        <w:tc>
          <w:tcPr>
            <w:tcW w:w="2835"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1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①</w:t>
            </w:r>
            <w:r>
              <w:rPr>
                <w:rFonts w:asciiTheme="minorEastAsia" w:hAnsiTheme="minorEastAsia" w:eastAsiaTheme="minorEastAsia"/>
                <w:szCs w:val="21"/>
              </w:rPr>
              <w:fldChar w:fldCharType="end"/>
            </w:r>
            <w:r>
              <w:rPr>
                <w:rFonts w:asciiTheme="minorEastAsia" w:hAnsiTheme="minorEastAsia" w:eastAsiaTheme="minorEastAsia"/>
                <w:szCs w:val="21"/>
              </w:rPr>
              <w:t>公共厕所、压缩式垃圾中转站或周边环境脏乱差的扣3分；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2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②</w:t>
            </w:r>
            <w:r>
              <w:rPr>
                <w:rFonts w:asciiTheme="minorEastAsia" w:hAnsiTheme="minorEastAsia" w:eastAsiaTheme="minorEastAsia"/>
                <w:szCs w:val="21"/>
              </w:rPr>
              <w:fldChar w:fldCharType="end"/>
            </w:r>
            <w:r>
              <w:rPr>
                <w:rFonts w:asciiTheme="minorEastAsia" w:hAnsiTheme="minorEastAsia" w:eastAsiaTheme="minorEastAsia"/>
                <w:szCs w:val="21"/>
              </w:rPr>
              <w:t>发现管理不规范，每处扣</w:t>
            </w:r>
            <w:r>
              <w:rPr>
                <w:rFonts w:hint="eastAsia" w:asciiTheme="minorEastAsia" w:hAnsiTheme="minorEastAsia" w:eastAsiaTheme="minorEastAsia"/>
                <w:szCs w:val="21"/>
              </w:rPr>
              <w:t>1</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3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③</w:t>
            </w:r>
            <w:r>
              <w:rPr>
                <w:rFonts w:asciiTheme="minorEastAsia" w:hAnsiTheme="minorEastAsia" w:eastAsiaTheme="minorEastAsia"/>
                <w:szCs w:val="21"/>
              </w:rPr>
              <w:fldChar w:fldCharType="end"/>
            </w:r>
            <w:r>
              <w:rPr>
                <w:rFonts w:asciiTheme="minorEastAsia" w:hAnsiTheme="minorEastAsia" w:eastAsiaTheme="minorEastAsia"/>
                <w:szCs w:val="21"/>
              </w:rPr>
              <w:t>发现照明、洗手等环卫、市政设施不全扣</w:t>
            </w:r>
            <w:r>
              <w:rPr>
                <w:rFonts w:hint="eastAsia" w:asciiTheme="minorEastAsia" w:hAnsiTheme="minorEastAsia" w:eastAsiaTheme="minorEastAsia"/>
                <w:szCs w:val="21"/>
              </w:rPr>
              <w:t>1</w:t>
            </w:r>
            <w:r>
              <w:rPr>
                <w:rFonts w:asciiTheme="minorEastAsia" w:hAnsiTheme="minorEastAsia" w:eastAsiaTheme="minorEastAsia"/>
                <w:szCs w:val="21"/>
              </w:rPr>
              <w:t>分，污损每处扣0.</w:t>
            </w:r>
            <w:r>
              <w:rPr>
                <w:rFonts w:hint="eastAsia" w:asciiTheme="minorEastAsia" w:hAnsiTheme="minorEastAsia" w:eastAsiaTheme="minorEastAsia"/>
                <w:szCs w:val="21"/>
              </w:rPr>
              <w:t>5</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4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④</w:t>
            </w:r>
            <w:r>
              <w:rPr>
                <w:rFonts w:asciiTheme="minorEastAsia" w:hAnsiTheme="minorEastAsia" w:eastAsiaTheme="minorEastAsia"/>
                <w:szCs w:val="21"/>
              </w:rPr>
              <w:fldChar w:fldCharType="end"/>
            </w:r>
            <w:r>
              <w:rPr>
                <w:rFonts w:asciiTheme="minorEastAsia" w:hAnsiTheme="minorEastAsia" w:eastAsiaTheme="minorEastAsia"/>
                <w:szCs w:val="21"/>
              </w:rPr>
              <w:t>尿粪槽有垢便扣0.5分；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5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⑤</w:t>
            </w:r>
            <w:r>
              <w:rPr>
                <w:rFonts w:asciiTheme="minorEastAsia" w:hAnsiTheme="minorEastAsia" w:eastAsiaTheme="minorEastAsia"/>
                <w:szCs w:val="21"/>
              </w:rPr>
              <w:fldChar w:fldCharType="end"/>
            </w:r>
            <w:r>
              <w:rPr>
                <w:rFonts w:asciiTheme="minorEastAsia" w:hAnsiTheme="minorEastAsia" w:eastAsiaTheme="minorEastAsia"/>
                <w:szCs w:val="21"/>
              </w:rPr>
              <w:t>臭味重、有蝇蛆、蛛网扣</w:t>
            </w:r>
            <w:r>
              <w:rPr>
                <w:rFonts w:hint="eastAsia" w:asciiTheme="minorEastAsia" w:hAnsiTheme="minorEastAsia" w:eastAsiaTheme="minorEastAsia"/>
                <w:szCs w:val="21"/>
              </w:rPr>
              <w:t>1</w:t>
            </w:r>
            <w:r>
              <w:rPr>
                <w:rFonts w:asciiTheme="minorEastAsia" w:hAnsiTheme="minorEastAsia" w:eastAsiaTheme="minorEastAsia"/>
                <w:szCs w:val="21"/>
              </w:rPr>
              <w:t>分。</w:t>
            </w:r>
          </w:p>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6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⑥</w:t>
            </w:r>
            <w:r>
              <w:rPr>
                <w:rFonts w:asciiTheme="minorEastAsia" w:hAnsiTheme="minorEastAsia" w:eastAsiaTheme="minorEastAsia"/>
                <w:szCs w:val="21"/>
              </w:rPr>
              <w:fldChar w:fldCharType="end"/>
            </w:r>
            <w:r>
              <w:rPr>
                <w:rFonts w:asciiTheme="minorEastAsia" w:hAnsiTheme="minorEastAsia" w:eastAsiaTheme="minorEastAsia"/>
                <w:szCs w:val="21"/>
              </w:rPr>
              <w:t>垃圾转运过程中有“跑冒滴漏”现象的，每次扣</w:t>
            </w:r>
            <w:r>
              <w:rPr>
                <w:rFonts w:hint="eastAsia" w:asciiTheme="minorEastAsia" w:hAnsiTheme="minorEastAsia" w:eastAsiaTheme="minorEastAsia"/>
                <w:szCs w:val="21"/>
              </w:rPr>
              <w:t>2</w:t>
            </w:r>
            <w:r>
              <w:rPr>
                <w:rFonts w:asciiTheme="minorEastAsia" w:hAnsiTheme="minorEastAsia" w:eastAsiaTheme="minorEastAsia"/>
                <w:szCs w:val="21"/>
              </w:rPr>
              <w:t>分。</w:t>
            </w:r>
          </w:p>
        </w:tc>
        <w:tc>
          <w:tcPr>
            <w:tcW w:w="3543" w:type="dxa"/>
            <w:vMerge w:val="continue"/>
            <w:vAlign w:val="center"/>
          </w:tcPr>
          <w:p>
            <w:pPr>
              <w:ind w:left="105" w:leftChars="50" w:right="105" w:rightChars="50"/>
              <w:rPr>
                <w:rFonts w:asciiTheme="minorEastAsia" w:hAnsiTheme="minorEastAsia" w:eastAsiaTheme="minorEastAsia"/>
                <w:szCs w:val="21"/>
              </w:rPr>
            </w:pPr>
          </w:p>
        </w:tc>
        <w:tc>
          <w:tcPr>
            <w:tcW w:w="1005" w:type="dxa"/>
            <w:vAlign w:val="center"/>
          </w:tcPr>
          <w:p>
            <w:pPr>
              <w:ind w:left="105" w:leftChars="50" w:right="105" w:rightChars="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86" w:type="dxa"/>
            <w:vMerge w:val="restart"/>
            <w:vAlign w:val="center"/>
          </w:tcPr>
          <w:p>
            <w:pPr>
              <w:ind w:left="105" w:leftChars="50" w:right="105" w:rightChars="5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040" w:type="dxa"/>
            <w:vMerge w:val="restart"/>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道路   保洁</w:t>
            </w:r>
          </w:p>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30</w:t>
            </w:r>
            <w:r>
              <w:rPr>
                <w:rFonts w:asciiTheme="minorEastAsia" w:hAnsiTheme="minorEastAsia" w:eastAsiaTheme="minorEastAsia"/>
                <w:szCs w:val="21"/>
              </w:rPr>
              <w:t>）</w:t>
            </w:r>
          </w:p>
        </w:tc>
        <w:tc>
          <w:tcPr>
            <w:tcW w:w="1417" w:type="dxa"/>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路面</w:t>
            </w:r>
          </w:p>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15</w:t>
            </w:r>
            <w:r>
              <w:rPr>
                <w:rFonts w:asciiTheme="minorEastAsia" w:hAnsiTheme="minorEastAsia" w:eastAsiaTheme="minorEastAsia"/>
                <w:szCs w:val="21"/>
              </w:rPr>
              <w:t>分）</w:t>
            </w:r>
          </w:p>
        </w:tc>
        <w:tc>
          <w:tcPr>
            <w:tcW w:w="3261"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道路路面整洁，无垃圾，无积泥积水。</w:t>
            </w:r>
          </w:p>
        </w:tc>
        <w:tc>
          <w:tcPr>
            <w:tcW w:w="2835" w:type="dxa"/>
            <w:vAlign w:val="center"/>
          </w:tcPr>
          <w:p>
            <w:pPr>
              <w:ind w:left="105" w:leftChars="50" w:right="105" w:rightChars="50"/>
              <w:rPr>
                <w:rFonts w:asciiTheme="minorEastAsia" w:hAnsiTheme="minorEastAsia" w:eastAsiaTheme="minorEastAsia"/>
                <w:szCs w:val="21"/>
              </w:rPr>
            </w:pPr>
          </w:p>
        </w:tc>
        <w:tc>
          <w:tcPr>
            <w:tcW w:w="3543" w:type="dxa"/>
            <w:vMerge w:val="continue"/>
          </w:tcPr>
          <w:p>
            <w:pPr>
              <w:ind w:left="105" w:leftChars="50" w:right="105" w:rightChars="50"/>
              <w:rPr>
                <w:rFonts w:asciiTheme="minorEastAsia" w:hAnsiTheme="minorEastAsia" w:eastAsiaTheme="minorEastAsia"/>
                <w:szCs w:val="21"/>
              </w:rPr>
            </w:pPr>
          </w:p>
        </w:tc>
        <w:tc>
          <w:tcPr>
            <w:tcW w:w="1005" w:type="dxa"/>
          </w:tcPr>
          <w:p>
            <w:pPr>
              <w:ind w:left="105" w:leftChars="50" w:right="105" w:rightChars="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1040" w:type="dxa"/>
            <w:vMerge w:val="continue"/>
          </w:tcPr>
          <w:p>
            <w:pPr>
              <w:ind w:left="105" w:leftChars="50" w:right="105" w:rightChars="50"/>
              <w:jc w:val="center"/>
              <w:rPr>
                <w:rFonts w:asciiTheme="minorEastAsia" w:hAnsiTheme="minorEastAsia" w:eastAsiaTheme="minorEastAsia"/>
                <w:szCs w:val="21"/>
              </w:rPr>
            </w:pPr>
          </w:p>
        </w:tc>
        <w:tc>
          <w:tcPr>
            <w:tcW w:w="1417" w:type="dxa"/>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道路两侧边坡边沟、绿化带及公共设施（</w:t>
            </w:r>
            <w:r>
              <w:rPr>
                <w:rFonts w:hint="eastAsia" w:asciiTheme="minorEastAsia" w:hAnsiTheme="minorEastAsia" w:eastAsiaTheme="minorEastAsia"/>
                <w:szCs w:val="21"/>
              </w:rPr>
              <w:t>15</w:t>
            </w:r>
            <w:r>
              <w:rPr>
                <w:rFonts w:asciiTheme="minorEastAsia" w:hAnsiTheme="minorEastAsia" w:eastAsiaTheme="minorEastAsia"/>
                <w:szCs w:val="21"/>
              </w:rPr>
              <w:t>分）</w:t>
            </w:r>
          </w:p>
        </w:tc>
        <w:tc>
          <w:tcPr>
            <w:tcW w:w="3261"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道路两侧边坡边沟和绿化带整洁，无垃圾、无杂物、建筑材料堆放；公交站点等公共区域环境整洁，无垃圾。</w:t>
            </w:r>
          </w:p>
        </w:tc>
        <w:tc>
          <w:tcPr>
            <w:tcW w:w="2835"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 1 \* GB3 \* MERGEFORMAT </w:instrText>
            </w:r>
            <w:r>
              <w:rPr>
                <w:rFonts w:asciiTheme="minorEastAsia" w:hAnsiTheme="minorEastAsia" w:eastAsiaTheme="minorEastAsia"/>
                <w:szCs w:val="21"/>
              </w:rPr>
              <w:fldChar w:fldCharType="separate"/>
            </w:r>
            <w:r>
              <w:rPr>
                <w:rFonts w:asciiTheme="minorEastAsia" w:hAnsiTheme="minorEastAsia" w:eastAsiaTheme="minorEastAsia"/>
                <w:szCs w:val="21"/>
              </w:rPr>
              <w:t>①</w:t>
            </w:r>
            <w:r>
              <w:rPr>
                <w:rFonts w:asciiTheme="minorEastAsia" w:hAnsiTheme="minorEastAsia" w:eastAsiaTheme="minorEastAsia"/>
                <w:szCs w:val="21"/>
              </w:rPr>
              <w:fldChar w:fldCharType="end"/>
            </w:r>
            <w:r>
              <w:rPr>
                <w:rFonts w:asciiTheme="minorEastAsia" w:hAnsiTheme="minorEastAsia" w:eastAsiaTheme="minorEastAsia"/>
                <w:szCs w:val="21"/>
              </w:rPr>
              <w:t>发现僵尸车每处扣0.</w:t>
            </w:r>
            <w:r>
              <w:rPr>
                <w:rFonts w:hint="eastAsia" w:asciiTheme="minorEastAsia" w:hAnsiTheme="minorEastAsia" w:eastAsiaTheme="minorEastAsia"/>
                <w:szCs w:val="21"/>
              </w:rPr>
              <w:t>5</w:t>
            </w:r>
            <w:r>
              <w:rPr>
                <w:rFonts w:asciiTheme="minorEastAsia" w:hAnsiTheme="minorEastAsia" w:eastAsiaTheme="minorEastAsia"/>
                <w:szCs w:val="21"/>
              </w:rPr>
              <w:t>分。</w:t>
            </w:r>
          </w:p>
        </w:tc>
        <w:tc>
          <w:tcPr>
            <w:tcW w:w="3543" w:type="dxa"/>
            <w:vMerge w:val="continue"/>
          </w:tcPr>
          <w:p>
            <w:pPr>
              <w:ind w:left="105" w:leftChars="50" w:right="105" w:rightChars="50"/>
              <w:rPr>
                <w:rFonts w:asciiTheme="minorEastAsia" w:hAnsiTheme="minorEastAsia" w:eastAsiaTheme="minorEastAsia"/>
                <w:szCs w:val="21"/>
              </w:rPr>
            </w:pPr>
          </w:p>
        </w:tc>
        <w:tc>
          <w:tcPr>
            <w:tcW w:w="1005" w:type="dxa"/>
          </w:tcPr>
          <w:p>
            <w:pPr>
              <w:ind w:left="105" w:leftChars="50" w:right="105" w:rightChars="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86" w:type="dxa"/>
            <w:vMerge w:val="restart"/>
            <w:vAlign w:val="center"/>
          </w:tcPr>
          <w:p>
            <w:pPr>
              <w:ind w:left="105" w:leftChars="50" w:right="105" w:rightChars="5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57" w:type="dxa"/>
            <w:gridSpan w:val="2"/>
            <w:vMerge w:val="restart"/>
            <w:vAlign w:val="center"/>
          </w:tcPr>
          <w:p>
            <w:pPr>
              <w:ind w:left="105" w:leftChars="50" w:right="105" w:rightChars="50"/>
              <w:jc w:val="center"/>
              <w:rPr>
                <w:rFonts w:cs="宋体" w:asciiTheme="minorEastAsia" w:hAnsiTheme="minorEastAsia" w:eastAsiaTheme="minorEastAsia"/>
                <w:szCs w:val="21"/>
              </w:rPr>
            </w:pPr>
            <w:r>
              <w:rPr>
                <w:rFonts w:hint="eastAsia" w:ascii="宋体" w:hAnsi="宋体" w:cs="宋体"/>
                <w:szCs w:val="21"/>
              </w:rPr>
              <w:t>文明作业</w:t>
            </w:r>
          </w:p>
          <w:p>
            <w:pPr>
              <w:ind w:left="105" w:leftChars="50" w:right="105" w:rightChars="50"/>
              <w:jc w:val="center"/>
              <w:rPr>
                <w:rFonts w:ascii="宋体" w:hAnsi="宋体" w:cs="宋体"/>
                <w:szCs w:val="21"/>
              </w:rPr>
            </w:pPr>
            <w:r>
              <w:rPr>
                <w:rFonts w:hint="eastAsia" w:cs="宋体" w:asciiTheme="minorEastAsia" w:hAnsiTheme="minorEastAsia" w:eastAsiaTheme="minorEastAsia"/>
                <w:szCs w:val="21"/>
              </w:rPr>
              <w:t>（10分）</w:t>
            </w:r>
          </w:p>
        </w:tc>
        <w:tc>
          <w:tcPr>
            <w:tcW w:w="3261" w:type="dxa"/>
            <w:vAlign w:val="center"/>
          </w:tcPr>
          <w:p>
            <w:pPr>
              <w:ind w:left="105" w:leftChars="50" w:right="105" w:rightChars="50"/>
              <w:rPr>
                <w:rFonts w:ascii="宋体" w:hAnsi="宋体" w:cs="宋体"/>
                <w:szCs w:val="21"/>
              </w:rPr>
            </w:pPr>
            <w:r>
              <w:rPr>
                <w:rFonts w:hint="eastAsia" w:ascii="宋体" w:hAnsi="宋体" w:cs="宋体"/>
                <w:szCs w:val="21"/>
              </w:rPr>
              <w:t>工作人员</w:t>
            </w:r>
            <w:r>
              <w:rPr>
                <w:rFonts w:hint="eastAsia" w:cs="宋体" w:asciiTheme="minorEastAsia" w:hAnsiTheme="minorEastAsia" w:eastAsiaTheme="minorEastAsia"/>
                <w:szCs w:val="21"/>
              </w:rPr>
              <w:t>不迟到、不早退，</w:t>
            </w:r>
            <w:r>
              <w:rPr>
                <w:rFonts w:hint="eastAsia" w:ascii="宋体" w:hAnsi="宋体" w:cs="宋体"/>
                <w:szCs w:val="21"/>
              </w:rPr>
              <w:t>按</w:t>
            </w:r>
            <w:r>
              <w:rPr>
                <w:rFonts w:hint="eastAsia" w:cs="宋体" w:asciiTheme="minorEastAsia" w:hAnsiTheme="minorEastAsia" w:eastAsiaTheme="minorEastAsia"/>
                <w:szCs w:val="21"/>
              </w:rPr>
              <w:t>规</w:t>
            </w:r>
            <w:r>
              <w:rPr>
                <w:rFonts w:hint="eastAsia" w:ascii="宋体" w:hAnsi="宋体" w:cs="宋体"/>
                <w:szCs w:val="21"/>
              </w:rPr>
              <w:t>定着装，工作服装应保持整洁、反光标识明显</w:t>
            </w:r>
          </w:p>
        </w:tc>
        <w:tc>
          <w:tcPr>
            <w:tcW w:w="6378" w:type="dxa"/>
            <w:gridSpan w:val="2"/>
            <w:vAlign w:val="center"/>
          </w:tcPr>
          <w:p>
            <w:pPr>
              <w:ind w:left="105" w:leftChars="50" w:right="105" w:rightChars="50"/>
              <w:jc w:val="left"/>
              <w:rPr>
                <w:rFonts w:asciiTheme="minorEastAsia" w:hAnsiTheme="minorEastAsia" w:eastAsiaTheme="minorEastAsia"/>
                <w:szCs w:val="21"/>
              </w:rPr>
            </w:pPr>
            <w:r>
              <w:rPr>
                <w:rFonts w:hint="eastAsia" w:ascii="宋体" w:hAnsi="宋体" w:cs="宋体"/>
                <w:szCs w:val="21"/>
              </w:rPr>
              <w:t>保洁人员发生迟到、早退现象的每人次扣0.2分；保洁人员立岗、脱岗、坐岗的每人每项扣0.3分；作业人员上班时间做与工作无关的事,每人每次扣0.2分；2人以上聚集在同一地点休息每次扣0.2分，两班制保洁未做到在路面皎洁的每次扣0.2分；穿拖鞋、光背作业的每人次扣0.2分</w:t>
            </w:r>
            <w:r>
              <w:rPr>
                <w:rFonts w:hint="eastAsia" w:cs="宋体" w:asciiTheme="minorEastAsia" w:hAnsiTheme="minorEastAsia" w:eastAsiaTheme="minorEastAsia"/>
                <w:szCs w:val="21"/>
              </w:rPr>
              <w:t>；</w:t>
            </w:r>
            <w:r>
              <w:rPr>
                <w:rFonts w:hint="eastAsia" w:ascii="宋体" w:hAnsi="宋体" w:cs="宋体"/>
                <w:szCs w:val="21"/>
              </w:rPr>
              <w:t>不</w:t>
            </w:r>
            <w:r>
              <w:rPr>
                <w:rFonts w:hint="eastAsia" w:cs="宋体" w:asciiTheme="minorEastAsia" w:hAnsiTheme="minorEastAsia" w:eastAsiaTheme="minorEastAsia"/>
                <w:szCs w:val="21"/>
              </w:rPr>
              <w:t>按</w:t>
            </w:r>
            <w:r>
              <w:rPr>
                <w:rFonts w:hint="eastAsia" w:ascii="宋体" w:hAnsi="宋体" w:cs="宋体"/>
                <w:szCs w:val="21"/>
              </w:rPr>
              <w:t>规定着装或工作服装不整洁、反光标识剥落、缺损等现象每人扣0.2</w:t>
            </w:r>
            <w:r>
              <w:rPr>
                <w:rFonts w:hint="eastAsia" w:cs="宋体" w:asciiTheme="minorEastAsia" w:hAnsiTheme="minorEastAsia" w:eastAsiaTheme="minorEastAsia"/>
                <w:szCs w:val="21"/>
              </w:rPr>
              <w:t>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2457" w:type="dxa"/>
            <w:gridSpan w:val="2"/>
            <w:vMerge w:val="continue"/>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ind w:left="105" w:leftChars="50" w:right="105" w:rightChars="50"/>
              <w:rPr>
                <w:rFonts w:ascii="宋体" w:hAnsi="宋体" w:cs="宋体"/>
                <w:szCs w:val="21"/>
              </w:rPr>
            </w:pPr>
            <w:r>
              <w:rPr>
                <w:rFonts w:hint="eastAsia" w:ascii="宋体" w:hAnsi="宋体" w:cs="宋体"/>
                <w:szCs w:val="21"/>
              </w:rPr>
              <w:t>接到考核人员通知后及时到达现场、及时整改问题</w:t>
            </w:r>
          </w:p>
        </w:tc>
        <w:tc>
          <w:tcPr>
            <w:tcW w:w="6378" w:type="dxa"/>
            <w:gridSpan w:val="2"/>
            <w:vAlign w:val="center"/>
          </w:tcPr>
          <w:p>
            <w:pPr>
              <w:ind w:left="105" w:leftChars="50" w:right="105" w:rightChars="50"/>
              <w:rPr>
                <w:rFonts w:ascii="宋体" w:hAnsi="宋体" w:cs="宋体"/>
                <w:szCs w:val="21"/>
              </w:rPr>
            </w:pPr>
            <w:r>
              <w:rPr>
                <w:rFonts w:hint="eastAsia" w:ascii="宋体" w:hAnsi="宋体" w:cs="宋体"/>
                <w:szCs w:val="21"/>
              </w:rPr>
              <w:t>在接到考核人员通知10分钟未到达现场、发现问题不及时整改每次每项扣2分。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2457" w:type="dxa"/>
            <w:gridSpan w:val="2"/>
            <w:vMerge w:val="continue"/>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ind w:left="105" w:leftChars="50" w:right="105" w:rightChars="50"/>
              <w:rPr>
                <w:rFonts w:ascii="宋体" w:hAnsi="宋体" w:cs="宋体"/>
                <w:szCs w:val="21"/>
              </w:rPr>
            </w:pPr>
            <w:r>
              <w:rPr>
                <w:rFonts w:hint="eastAsia" w:ascii="宋体" w:hAnsi="宋体" w:cs="宋体"/>
                <w:szCs w:val="21"/>
              </w:rPr>
              <w:t>做到文明管理</w:t>
            </w:r>
          </w:p>
        </w:tc>
        <w:tc>
          <w:tcPr>
            <w:tcW w:w="6378" w:type="dxa"/>
            <w:gridSpan w:val="2"/>
            <w:vAlign w:val="center"/>
          </w:tcPr>
          <w:p>
            <w:pPr>
              <w:ind w:left="105" w:leftChars="50" w:right="105" w:rightChars="50"/>
              <w:rPr>
                <w:rFonts w:ascii="宋体" w:hAnsi="宋体" w:cs="宋体"/>
                <w:szCs w:val="21"/>
              </w:rPr>
            </w:pPr>
            <w:r>
              <w:rPr>
                <w:rFonts w:hint="eastAsia" w:ascii="宋体" w:hAnsi="宋体" w:cs="宋体"/>
                <w:szCs w:val="21"/>
              </w:rPr>
              <w:t>上班时间发生不文明事件（如同市民、同事吵架及大声喧哗等）或不配合管理的，每人每次0.5分；不配合监督方工作的每次扣0.5分。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2457" w:type="dxa"/>
            <w:gridSpan w:val="2"/>
            <w:vMerge w:val="continue"/>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ind w:left="105" w:leftChars="50" w:right="105" w:rightChars="50"/>
              <w:rPr>
                <w:rFonts w:cs="宋体" w:asciiTheme="minorEastAsia" w:hAnsiTheme="minorEastAsia" w:eastAsiaTheme="minorEastAsia"/>
                <w:szCs w:val="21"/>
              </w:rPr>
            </w:pPr>
            <w:r>
              <w:rPr>
                <w:rFonts w:hint="eastAsia" w:cs="宋体" w:asciiTheme="minorEastAsia" w:hAnsiTheme="minorEastAsia" w:eastAsiaTheme="minorEastAsia"/>
                <w:szCs w:val="21"/>
              </w:rPr>
              <w:t>作业工具配备齐全</w:t>
            </w:r>
          </w:p>
        </w:tc>
        <w:tc>
          <w:tcPr>
            <w:tcW w:w="6378" w:type="dxa"/>
            <w:gridSpan w:val="2"/>
            <w:vAlign w:val="center"/>
          </w:tcPr>
          <w:p>
            <w:pPr>
              <w:ind w:left="105" w:leftChars="50" w:right="105" w:rightChars="50"/>
              <w:rPr>
                <w:rFonts w:cs="宋体" w:asciiTheme="minorEastAsia" w:hAnsiTheme="minorEastAsia" w:eastAsiaTheme="minorEastAsia"/>
                <w:szCs w:val="21"/>
              </w:rPr>
            </w:pPr>
            <w:r>
              <w:rPr>
                <w:rFonts w:hint="eastAsia" w:ascii="宋体" w:hAnsi="宋体" w:cs="宋体"/>
                <w:szCs w:val="21"/>
              </w:rPr>
              <w:t>清卫工具及材料、保洁用清洁剂、洗涤剂、</w:t>
            </w:r>
            <w:r>
              <w:rPr>
                <w:rFonts w:hint="eastAsia" w:cs="宋体" w:asciiTheme="minorEastAsia" w:hAnsiTheme="minorEastAsia" w:eastAsiaTheme="minorEastAsia"/>
                <w:szCs w:val="21"/>
              </w:rPr>
              <w:t>消毒液、</w:t>
            </w:r>
            <w:r>
              <w:rPr>
                <w:rFonts w:hint="eastAsia" w:ascii="宋体" w:hAnsi="宋体" w:cs="宋体"/>
                <w:szCs w:val="21"/>
              </w:rPr>
              <w:t>生活垃圾袋等相关易耗品</w:t>
            </w:r>
            <w:r>
              <w:rPr>
                <w:rFonts w:hint="eastAsia" w:cs="宋体" w:asciiTheme="minorEastAsia" w:hAnsiTheme="minorEastAsia" w:eastAsiaTheme="minorEastAsia"/>
                <w:szCs w:val="21"/>
              </w:rPr>
              <w:t>配备不足的，每发现一次扣0.2分。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2457" w:type="dxa"/>
            <w:gridSpan w:val="2"/>
            <w:vMerge w:val="continue"/>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ind w:left="105" w:leftChars="50" w:right="105" w:rightChars="50"/>
              <w:rPr>
                <w:rFonts w:ascii="宋体" w:hAnsi="宋体" w:cs="宋体"/>
                <w:szCs w:val="21"/>
              </w:rPr>
            </w:pPr>
            <w:r>
              <w:rPr>
                <w:rFonts w:hint="eastAsia" w:ascii="宋体" w:hAnsi="宋体" w:cs="宋体"/>
                <w:szCs w:val="21"/>
              </w:rPr>
              <w:t>及时完成监督方下达的临时任务和突击任务</w:t>
            </w:r>
          </w:p>
        </w:tc>
        <w:tc>
          <w:tcPr>
            <w:tcW w:w="6378" w:type="dxa"/>
            <w:gridSpan w:val="2"/>
            <w:vAlign w:val="center"/>
          </w:tcPr>
          <w:p>
            <w:pPr>
              <w:widowControl/>
              <w:snapToGrid w:val="0"/>
              <w:ind w:left="105" w:leftChars="50" w:right="105" w:rightChars="50"/>
              <w:rPr>
                <w:rFonts w:ascii="宋体" w:hAnsi="宋体" w:cs="宋体"/>
                <w:szCs w:val="21"/>
              </w:rPr>
            </w:pPr>
            <w:r>
              <w:rPr>
                <w:rFonts w:hint="eastAsia" w:ascii="宋体" w:hAnsi="宋体" w:cs="宋体"/>
                <w:szCs w:val="21"/>
              </w:rPr>
              <w:t>未及时完成监督方下达的临时任务，无正当理由、遇大型活动或卫生检查，不配合或达不到上级标准，每项每次扣5分；不服从监督方管理或拒绝完成监督方下达的临时任务，每次扣</w:t>
            </w:r>
            <w:r>
              <w:rPr>
                <w:rFonts w:hint="eastAsia" w:cs="宋体" w:asciiTheme="minorEastAsia" w:hAnsiTheme="minorEastAsia" w:eastAsiaTheme="minorEastAsia"/>
                <w:szCs w:val="21"/>
              </w:rPr>
              <w:t>5</w:t>
            </w:r>
            <w:r>
              <w:rPr>
                <w:rFonts w:hint="eastAsia" w:ascii="宋体" w:hAnsi="宋体" w:cs="宋体"/>
                <w:szCs w:val="21"/>
              </w:rPr>
              <w:t>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restart"/>
            <w:vAlign w:val="center"/>
          </w:tcPr>
          <w:p>
            <w:pPr>
              <w:ind w:left="105" w:leftChars="50" w:right="105" w:rightChars="5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57" w:type="dxa"/>
            <w:gridSpan w:val="2"/>
            <w:vMerge w:val="restart"/>
            <w:vAlign w:val="center"/>
          </w:tcPr>
          <w:p>
            <w:pPr>
              <w:ind w:left="105" w:leftChars="50" w:right="105" w:rightChars="50"/>
              <w:jc w:val="center"/>
              <w:rPr>
                <w:rFonts w:cs="宋体" w:asciiTheme="minorEastAsia" w:hAnsiTheme="minorEastAsia" w:eastAsiaTheme="minorEastAsia"/>
                <w:szCs w:val="21"/>
              </w:rPr>
            </w:pPr>
            <w:r>
              <w:rPr>
                <w:rFonts w:hint="eastAsia" w:ascii="宋体" w:hAnsi="宋体" w:cs="宋体"/>
                <w:szCs w:val="21"/>
              </w:rPr>
              <w:t>安全</w:t>
            </w:r>
            <w:r>
              <w:rPr>
                <w:rFonts w:hint="eastAsia" w:cs="宋体" w:asciiTheme="minorEastAsia" w:hAnsiTheme="minorEastAsia" w:eastAsiaTheme="minorEastAsia"/>
                <w:szCs w:val="21"/>
              </w:rPr>
              <w:t>、技能</w:t>
            </w:r>
            <w:r>
              <w:rPr>
                <w:rFonts w:hint="eastAsia" w:ascii="宋体" w:hAnsi="宋体" w:cs="宋体"/>
                <w:szCs w:val="21"/>
              </w:rPr>
              <w:t>管理</w:t>
            </w:r>
          </w:p>
          <w:p>
            <w:pPr>
              <w:ind w:left="105" w:leftChars="50" w:right="105" w:right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（10分）</w:t>
            </w:r>
          </w:p>
        </w:tc>
        <w:tc>
          <w:tcPr>
            <w:tcW w:w="3261" w:type="dxa"/>
            <w:vAlign w:val="center"/>
          </w:tcPr>
          <w:p>
            <w:pPr>
              <w:widowControl/>
              <w:ind w:left="105" w:leftChars="50" w:right="105" w:rightChars="50"/>
              <w:rPr>
                <w:rFonts w:ascii="宋体" w:hAnsi="宋体" w:cs="宋体"/>
                <w:szCs w:val="21"/>
              </w:rPr>
            </w:pPr>
            <w:r>
              <w:rPr>
                <w:rFonts w:hint="eastAsia" w:ascii="宋体" w:hAnsi="宋体" w:cs="宋体"/>
                <w:szCs w:val="21"/>
              </w:rPr>
              <w:t>作业车辆严格遵守交通规则，不准逆向行驶，靠边停放，作业时主动避开行人和车辆</w:t>
            </w:r>
          </w:p>
        </w:tc>
        <w:tc>
          <w:tcPr>
            <w:tcW w:w="6378" w:type="dxa"/>
            <w:gridSpan w:val="2"/>
            <w:vAlign w:val="center"/>
          </w:tcPr>
          <w:p>
            <w:pPr>
              <w:widowControl/>
              <w:ind w:left="105" w:leftChars="50" w:right="105" w:rightChars="50"/>
              <w:rPr>
                <w:rFonts w:ascii="宋体" w:hAnsi="宋体" w:cs="宋体"/>
                <w:szCs w:val="21"/>
              </w:rPr>
            </w:pPr>
            <w:r>
              <w:rPr>
                <w:rFonts w:hint="eastAsia" w:ascii="宋体" w:hAnsi="宋体" w:cs="宋体"/>
                <w:szCs w:val="21"/>
              </w:rPr>
              <w:t>车辆未靠侧石停放或影响交通安全的扣1分；因作业不当，引发交通事故的扣3分。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2457" w:type="dxa"/>
            <w:gridSpan w:val="2"/>
            <w:vMerge w:val="continue"/>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widowControl/>
              <w:ind w:left="105" w:leftChars="50" w:right="105" w:rightChars="50"/>
              <w:rPr>
                <w:rFonts w:ascii="宋体" w:hAnsi="宋体" w:cs="宋体"/>
                <w:szCs w:val="21"/>
              </w:rPr>
            </w:pPr>
            <w:r>
              <w:rPr>
                <w:rFonts w:hint="eastAsia" w:ascii="宋体" w:hAnsi="宋体" w:cs="宋体"/>
                <w:szCs w:val="21"/>
              </w:rPr>
              <w:t>作业人员上岗前进行安全教育，有书面材料和签字记录，作业时穿安全工作服</w:t>
            </w:r>
          </w:p>
        </w:tc>
        <w:tc>
          <w:tcPr>
            <w:tcW w:w="6378" w:type="dxa"/>
            <w:gridSpan w:val="2"/>
            <w:vAlign w:val="center"/>
          </w:tcPr>
          <w:p>
            <w:pPr>
              <w:widowControl/>
              <w:ind w:left="105" w:leftChars="50" w:right="105" w:rightChars="50"/>
              <w:rPr>
                <w:rFonts w:ascii="宋体" w:hAnsi="宋体" w:cs="宋体"/>
                <w:szCs w:val="21"/>
              </w:rPr>
            </w:pPr>
            <w:r>
              <w:rPr>
                <w:rFonts w:hint="eastAsia" w:ascii="宋体" w:hAnsi="宋体" w:cs="宋体"/>
                <w:szCs w:val="21"/>
              </w:rPr>
              <w:t>垃圾分类知识培训，每年不少于2次，缺少一次扣2分。抽查垃圾分类知识未达90分以上，每人每次扣0.5分。未有安全教育或无记录的每项扣1分；作业人员作业时未穿反光安全环卫工作服的每人次扣0.2分；作业时穿拖鞋的每人每次扣0.2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2457" w:type="dxa"/>
            <w:gridSpan w:val="2"/>
            <w:vMerge w:val="continue"/>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widowControl/>
              <w:ind w:left="105" w:leftChars="50" w:right="105" w:rightChars="50"/>
              <w:rPr>
                <w:rFonts w:ascii="宋体" w:hAnsi="宋体" w:cs="宋体"/>
                <w:szCs w:val="21"/>
              </w:rPr>
            </w:pPr>
            <w:r>
              <w:rPr>
                <w:rFonts w:hint="eastAsia" w:ascii="宋体" w:hAnsi="宋体" w:cs="宋体"/>
                <w:szCs w:val="21"/>
              </w:rPr>
              <w:t>安全生产台帐齐全，事故有记录，每月上报</w:t>
            </w:r>
          </w:p>
        </w:tc>
        <w:tc>
          <w:tcPr>
            <w:tcW w:w="6378" w:type="dxa"/>
            <w:gridSpan w:val="2"/>
            <w:vAlign w:val="center"/>
          </w:tcPr>
          <w:p>
            <w:pPr>
              <w:widowControl/>
              <w:snapToGrid w:val="0"/>
              <w:ind w:left="105" w:leftChars="50" w:right="105" w:rightChars="50"/>
              <w:rPr>
                <w:rFonts w:ascii="宋体" w:hAnsi="宋体" w:cs="宋体"/>
                <w:szCs w:val="21"/>
              </w:rPr>
            </w:pPr>
            <w:r>
              <w:rPr>
                <w:rFonts w:hint="eastAsia" w:ascii="宋体" w:hAnsi="宋体" w:cs="宋体"/>
                <w:szCs w:val="21"/>
              </w:rPr>
              <w:t>无台帐或每月5日前未上交的扣1分；环卫工人作业期间每发生一起意外事故扣1分；发生一起责任事故扣2分；重大事故未在2小时内上报的扣5分；不妥善处理的扣3分。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Merge w:val="continue"/>
            <w:vAlign w:val="center"/>
          </w:tcPr>
          <w:p>
            <w:pPr>
              <w:ind w:left="105" w:leftChars="50" w:right="105" w:rightChars="50"/>
              <w:jc w:val="center"/>
              <w:rPr>
                <w:rFonts w:asciiTheme="minorEastAsia" w:hAnsiTheme="minorEastAsia" w:eastAsiaTheme="minorEastAsia"/>
                <w:szCs w:val="21"/>
              </w:rPr>
            </w:pPr>
          </w:p>
        </w:tc>
        <w:tc>
          <w:tcPr>
            <w:tcW w:w="2457" w:type="dxa"/>
            <w:gridSpan w:val="2"/>
            <w:vMerge w:val="continue"/>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widowControl/>
              <w:ind w:left="105" w:leftChars="50" w:right="105" w:rightChars="50"/>
              <w:rPr>
                <w:rFonts w:ascii="宋体" w:hAnsi="宋体" w:cs="宋体"/>
                <w:szCs w:val="21"/>
              </w:rPr>
            </w:pPr>
            <w:r>
              <w:rPr>
                <w:rFonts w:hint="eastAsia" w:ascii="宋体" w:hAnsi="宋体" w:cs="宋体"/>
                <w:szCs w:val="21"/>
              </w:rPr>
              <w:t>应建立安全工作制度，保障职工合法权益，健全有限空间作业和应急抗灾机制</w:t>
            </w:r>
          </w:p>
        </w:tc>
        <w:tc>
          <w:tcPr>
            <w:tcW w:w="6378" w:type="dxa"/>
            <w:gridSpan w:val="2"/>
            <w:vAlign w:val="center"/>
          </w:tcPr>
          <w:p>
            <w:pPr>
              <w:widowControl/>
              <w:ind w:left="105" w:leftChars="50" w:right="105" w:rightChars="50"/>
              <w:rPr>
                <w:rFonts w:ascii="宋体" w:hAnsi="宋体" w:cs="宋体"/>
                <w:szCs w:val="21"/>
              </w:rPr>
            </w:pPr>
            <w:r>
              <w:rPr>
                <w:rFonts w:hint="eastAsia" w:ascii="宋体" w:hAnsi="宋体" w:cs="宋体"/>
                <w:szCs w:val="21"/>
              </w:rPr>
              <w:t>无安全工作制度的扣1分；未给职工缴纳险种的每人每项扣1分，并强制扣缴；有限空间作业未定期进行安全急救培训扣1分，不采取中毒窒息防范措施扣1.5分；应急机制不完善扣2分。</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Align w:val="center"/>
          </w:tcPr>
          <w:p>
            <w:pPr>
              <w:ind w:left="105" w:leftChars="50" w:right="105" w:rightChars="50"/>
              <w:jc w:val="center"/>
              <w:rPr>
                <w:rFonts w:asciiTheme="minorEastAsia" w:hAnsiTheme="minorEastAsia" w:eastAsiaTheme="minorEastAsia"/>
                <w:szCs w:val="21"/>
              </w:rPr>
            </w:pPr>
          </w:p>
        </w:tc>
        <w:tc>
          <w:tcPr>
            <w:tcW w:w="2457" w:type="dxa"/>
            <w:gridSpan w:val="2"/>
            <w:vAlign w:val="center"/>
          </w:tcPr>
          <w:p>
            <w:pPr>
              <w:ind w:left="105" w:leftChars="50" w:right="105" w:rightChars="50"/>
              <w:rPr>
                <w:rFonts w:cs="宋体" w:asciiTheme="minorEastAsia" w:hAnsiTheme="minorEastAsia" w:eastAsiaTheme="minorEastAsia"/>
                <w:szCs w:val="21"/>
              </w:rPr>
            </w:pPr>
          </w:p>
        </w:tc>
        <w:tc>
          <w:tcPr>
            <w:tcW w:w="3261" w:type="dxa"/>
            <w:vAlign w:val="center"/>
          </w:tcPr>
          <w:p>
            <w:pPr>
              <w:widowControl/>
              <w:ind w:left="105" w:leftChars="50" w:right="105" w:rightChars="50"/>
              <w:rPr>
                <w:rFonts w:cs="宋体" w:asciiTheme="minorEastAsia" w:hAnsiTheme="minorEastAsia" w:eastAsiaTheme="minorEastAsia"/>
                <w:szCs w:val="21"/>
              </w:rPr>
            </w:pPr>
            <w:r>
              <w:rPr>
                <w:rFonts w:hint="eastAsia" w:asciiTheme="minorEastAsia" w:hAnsiTheme="minorEastAsia" w:eastAsiaTheme="minorEastAsia"/>
                <w:szCs w:val="21"/>
              </w:rPr>
              <w:t>加强保洁人员培训、考勤、考核，保洁人员每天考勤每月考核，管理员每季培训不少于1次，保洁人员每年培训不少于2次。</w:t>
            </w:r>
          </w:p>
        </w:tc>
        <w:tc>
          <w:tcPr>
            <w:tcW w:w="6378" w:type="dxa"/>
            <w:gridSpan w:val="2"/>
            <w:vAlign w:val="center"/>
          </w:tcPr>
          <w:p>
            <w:pPr>
              <w:widowControl/>
              <w:ind w:left="105" w:leftChars="50" w:right="105" w:rightChars="50"/>
              <w:rPr>
                <w:rFonts w:cs="宋体" w:asciiTheme="minorEastAsia" w:hAnsiTheme="minorEastAsia" w:eastAsiaTheme="minorEastAsia"/>
                <w:szCs w:val="21"/>
              </w:rPr>
            </w:pPr>
            <w:r>
              <w:rPr>
                <w:rFonts w:hint="eastAsia" w:cs="宋体" w:asciiTheme="minorEastAsia" w:hAnsiTheme="minorEastAsia" w:eastAsiaTheme="minorEastAsia"/>
                <w:szCs w:val="21"/>
              </w:rPr>
              <w:t>未通过考核上岗的，每发现一次扣0.5分.人</w:t>
            </w:r>
          </w:p>
        </w:tc>
        <w:tc>
          <w:tcPr>
            <w:tcW w:w="1005" w:type="dxa"/>
          </w:tcPr>
          <w:p>
            <w:pPr>
              <w:ind w:left="105" w:leftChars="50" w:right="105" w:right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6" w:type="dxa"/>
            <w:vAlign w:val="center"/>
          </w:tcPr>
          <w:p>
            <w:pPr>
              <w:ind w:left="105" w:leftChars="50" w:right="105" w:rightChars="5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57" w:type="dxa"/>
            <w:gridSpan w:val="2"/>
            <w:vAlign w:val="center"/>
          </w:tcPr>
          <w:p>
            <w:pPr>
              <w:ind w:left="105" w:leftChars="50" w:right="105" w:rightChars="50"/>
              <w:jc w:val="center"/>
              <w:rPr>
                <w:rFonts w:asciiTheme="minorEastAsia" w:hAnsiTheme="minorEastAsia" w:eastAsiaTheme="minorEastAsia"/>
                <w:szCs w:val="21"/>
              </w:rPr>
            </w:pPr>
            <w:r>
              <w:rPr>
                <w:rFonts w:asciiTheme="minorEastAsia" w:hAnsiTheme="minorEastAsia" w:eastAsiaTheme="minorEastAsia"/>
                <w:szCs w:val="21"/>
              </w:rPr>
              <w:t xml:space="preserve">整改反馈   </w:t>
            </w:r>
          </w:p>
        </w:tc>
        <w:tc>
          <w:tcPr>
            <w:tcW w:w="3261" w:type="dxa"/>
            <w:vAlign w:val="center"/>
          </w:tcPr>
          <w:p>
            <w:pPr>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对上期问题进行回访检查及问题整改情况</w:t>
            </w:r>
          </w:p>
        </w:tc>
        <w:tc>
          <w:tcPr>
            <w:tcW w:w="6378" w:type="dxa"/>
            <w:gridSpan w:val="2"/>
            <w:vAlign w:val="center"/>
          </w:tcPr>
          <w:p>
            <w:pPr>
              <w:spacing w:line="260" w:lineRule="exact"/>
              <w:rPr>
                <w:szCs w:val="21"/>
              </w:rPr>
            </w:pPr>
            <w:r>
              <w:rPr>
                <w:szCs w:val="21"/>
              </w:rPr>
              <w:fldChar w:fldCharType="begin"/>
            </w:r>
            <w:r>
              <w:rPr>
                <w:szCs w:val="21"/>
              </w:rPr>
              <w:instrText xml:space="preserve"> = 1 \* GB3 \* MERGEFORMAT </w:instrText>
            </w:r>
            <w:r>
              <w:rPr>
                <w:szCs w:val="21"/>
              </w:rPr>
              <w:fldChar w:fldCharType="separate"/>
            </w:r>
            <w:r>
              <w:rPr>
                <w:rFonts w:hint="eastAsia" w:ascii="宋体" w:hAnsi="宋体" w:cs="宋体"/>
                <w:szCs w:val="21"/>
              </w:rPr>
              <w:t>①</w:t>
            </w:r>
            <w:r>
              <w:rPr>
                <w:szCs w:val="21"/>
              </w:rPr>
              <w:fldChar w:fldCharType="end"/>
            </w:r>
            <w:r>
              <w:rPr>
                <w:szCs w:val="21"/>
              </w:rPr>
              <w:t>月度回访对照月度检查评分表打分，集体审核确定回访扣分；</w:t>
            </w:r>
          </w:p>
          <w:p>
            <w:pPr>
              <w:ind w:left="105" w:leftChars="50" w:right="105" w:rightChars="50"/>
              <w:rPr>
                <w:rFonts w:asciiTheme="minorEastAsia" w:hAnsiTheme="minorEastAsia" w:eastAsiaTheme="minorEastAsia"/>
                <w:szCs w:val="21"/>
              </w:rPr>
            </w:pPr>
            <w:r>
              <w:rPr>
                <w:szCs w:val="21"/>
              </w:rPr>
              <w:fldChar w:fldCharType="begin"/>
            </w:r>
            <w:r>
              <w:rPr>
                <w:szCs w:val="21"/>
              </w:rPr>
              <w:instrText xml:space="preserve"> = 2 \* GB3 \* MERGEFORMAT </w:instrText>
            </w:r>
            <w:r>
              <w:rPr>
                <w:szCs w:val="21"/>
              </w:rPr>
              <w:fldChar w:fldCharType="separate"/>
            </w:r>
            <w:r>
              <w:rPr>
                <w:rFonts w:hint="eastAsia" w:ascii="宋体" w:hAnsi="宋体" w:cs="宋体"/>
                <w:szCs w:val="21"/>
              </w:rPr>
              <w:t>②</w:t>
            </w:r>
            <w:r>
              <w:rPr>
                <w:szCs w:val="21"/>
              </w:rPr>
              <w:fldChar w:fldCharType="end"/>
            </w:r>
            <w:r>
              <w:rPr>
                <w:szCs w:val="21"/>
              </w:rPr>
              <w:t>月度检查及回访问题整改率不到9</w:t>
            </w:r>
            <w:r>
              <w:rPr>
                <w:rFonts w:hint="eastAsia"/>
                <w:szCs w:val="21"/>
              </w:rPr>
              <w:t>6</w:t>
            </w:r>
            <w:r>
              <w:rPr>
                <w:szCs w:val="21"/>
              </w:rPr>
              <w:t>%的，每下降1%扣0.</w:t>
            </w:r>
            <w:r>
              <w:rPr>
                <w:rFonts w:hint="eastAsia"/>
                <w:szCs w:val="21"/>
              </w:rPr>
              <w:t>5</w:t>
            </w:r>
            <w:r>
              <w:rPr>
                <w:szCs w:val="21"/>
              </w:rPr>
              <w:t>分。</w:t>
            </w:r>
          </w:p>
        </w:tc>
        <w:tc>
          <w:tcPr>
            <w:tcW w:w="1005" w:type="dxa"/>
          </w:tcPr>
          <w:p>
            <w:pPr>
              <w:ind w:left="105" w:leftChars="50" w:right="105" w:rightChars="50"/>
              <w:jc w:val="center"/>
              <w:rPr>
                <w:rFonts w:asciiTheme="minorEastAsia" w:hAnsiTheme="minorEastAsia" w:eastAsiaTheme="minorEastAsia"/>
                <w:szCs w:val="21"/>
              </w:rPr>
            </w:pPr>
          </w:p>
        </w:tc>
      </w:tr>
    </w:tbl>
    <w:p>
      <w:pPr>
        <w:adjustRightInd w:val="0"/>
        <w:snapToGrid w:val="0"/>
        <w:spacing w:line="360" w:lineRule="auto"/>
        <w:rPr>
          <w:rFonts w:ascii="宋体" w:hAnsi="宋体" w:cs="仿宋"/>
          <w:sz w:val="24"/>
        </w:rPr>
      </w:pPr>
    </w:p>
    <w:p>
      <w:pPr>
        <w:adjustRightInd w:val="0"/>
        <w:snapToGrid w:val="0"/>
        <w:spacing w:line="360" w:lineRule="auto"/>
        <w:rPr>
          <w:sz w:val="24"/>
        </w:rPr>
      </w:pPr>
    </w:p>
    <w:p>
      <w:pPr>
        <w:pStyle w:val="20"/>
        <w:snapToGrid w:val="0"/>
        <w:spacing w:before="120" w:after="120" w:line="360" w:lineRule="auto"/>
        <w:jc w:val="left"/>
        <w:rPr>
          <w:rFonts w:ascii="Times New Roman" w:hAnsi="Times New Roman"/>
          <w:b/>
          <w:bCs/>
          <w:kern w:val="44"/>
        </w:rPr>
      </w:pPr>
    </w:p>
    <w:p>
      <w:pPr>
        <w:snapToGrid w:val="0"/>
        <w:spacing w:before="50" w:after="50" w:line="360" w:lineRule="auto"/>
        <w:rPr>
          <w:rFonts w:ascii="宋体" w:hAnsi="宋体"/>
          <w:b/>
          <w:sz w:val="24"/>
        </w:rPr>
      </w:pPr>
    </w:p>
    <w:p>
      <w:pPr>
        <w:widowControl/>
        <w:jc w:val="left"/>
        <w:rPr>
          <w:b/>
          <w:bCs/>
          <w:kern w:val="44"/>
          <w:sz w:val="24"/>
        </w:rPr>
      </w:pPr>
      <w:r>
        <w:rPr>
          <w:b/>
          <w:bCs/>
          <w:kern w:val="44"/>
        </w:rPr>
        <w:br w:type="page"/>
      </w:r>
    </w:p>
    <w:p>
      <w:pPr>
        <w:pStyle w:val="20"/>
        <w:snapToGrid w:val="0"/>
        <w:spacing w:before="120" w:after="120" w:line="360" w:lineRule="auto"/>
        <w:jc w:val="left"/>
        <w:outlineLvl w:val="2"/>
        <w:rPr>
          <w:rFonts w:ascii="Times New Roman" w:hAnsi="Times New Roman"/>
          <w:b/>
          <w:bCs/>
          <w:kern w:val="44"/>
        </w:rPr>
      </w:pPr>
      <w:bookmarkStart w:id="161" w:name="_Toc38307011"/>
      <w:r>
        <w:rPr>
          <w:rFonts w:hint="eastAsia" w:ascii="Times New Roman" w:hAnsi="Times New Roman"/>
          <w:b/>
          <w:bCs/>
          <w:kern w:val="44"/>
        </w:rPr>
        <w:t>附件7 招标代理服务收费标准</w:t>
      </w:r>
      <w:bookmarkEnd w:id="161"/>
    </w:p>
    <w:p>
      <w:pPr>
        <w:spacing w:line="480" w:lineRule="auto"/>
        <w:jc w:val="center"/>
      </w:pPr>
    </w:p>
    <w:p>
      <w:pPr>
        <w:spacing w:line="480" w:lineRule="auto"/>
        <w:jc w:val="center"/>
      </w:pPr>
      <w:r>
        <w:drawing>
          <wp:inline distT="0" distB="0" distL="0" distR="0">
            <wp:extent cx="5534025" cy="2838450"/>
            <wp:effectExtent l="19050" t="0" r="9525" b="0"/>
            <wp:docPr id="3" name="图片 1" descr="xinsrc_0a6538811622437f98ef988296690e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xinsrc_0a6538811622437f98ef988296690e39"/>
                    <pic:cNvPicPr>
                      <a:picLocks noChangeAspect="true" noChangeArrowheads="true"/>
                    </pic:cNvPicPr>
                  </pic:nvPicPr>
                  <pic:blipFill>
                    <a:blip r:embed="rId14" cstate="print"/>
                    <a:srcRect/>
                    <a:stretch>
                      <a:fillRect/>
                    </a:stretch>
                  </pic:blipFill>
                  <pic:spPr>
                    <a:xfrm>
                      <a:off x="0" y="0"/>
                      <a:ext cx="5534025" cy="2838450"/>
                    </a:xfrm>
                    <a:prstGeom prst="rect">
                      <a:avLst/>
                    </a:prstGeom>
                    <a:noFill/>
                    <a:ln w="9525">
                      <a:noFill/>
                      <a:miter lim="800000"/>
                      <a:headEnd/>
                      <a:tailEnd/>
                    </a:ln>
                  </pic:spPr>
                </pic:pic>
              </a:graphicData>
            </a:graphic>
          </wp:inline>
        </w:drawing>
      </w:r>
      <w:r>
        <w:rPr>
          <w:rFonts w:hint="eastAsia"/>
        </w:rPr>
        <w:t xml:space="preserve"> </w:t>
      </w:r>
    </w:p>
    <w:p>
      <w:pPr>
        <w:numPr>
          <w:ilvl w:val="0"/>
          <w:numId w:val="73"/>
        </w:numPr>
        <w:adjustRightInd w:val="0"/>
        <w:snapToGrid w:val="0"/>
        <w:spacing w:line="360" w:lineRule="auto"/>
        <w:ind w:left="0" w:firstLine="1134"/>
        <w:jc w:val="left"/>
        <w:rPr>
          <w:sz w:val="24"/>
        </w:rPr>
      </w:pPr>
      <w:r>
        <w:rPr>
          <w:sz w:val="24"/>
        </w:rPr>
        <w:t>本表费率计算的收费为招标代理服务全过程的收费基准价格</w:t>
      </w:r>
      <w:r>
        <w:rPr>
          <w:rFonts w:hint="eastAsia"/>
          <w:sz w:val="24"/>
        </w:rPr>
        <w:t>。</w:t>
      </w:r>
    </w:p>
    <w:p>
      <w:pPr>
        <w:numPr>
          <w:ilvl w:val="0"/>
          <w:numId w:val="73"/>
        </w:numPr>
        <w:adjustRightInd w:val="0"/>
        <w:snapToGrid w:val="0"/>
        <w:spacing w:line="360" w:lineRule="auto"/>
        <w:ind w:left="0" w:firstLine="1134"/>
        <w:jc w:val="left"/>
        <w:rPr>
          <w:sz w:val="24"/>
        </w:rPr>
      </w:pPr>
      <w:r>
        <w:rPr>
          <w:sz w:val="24"/>
        </w:rPr>
        <w:t>招标代理服务收费按差额定率累进法计算。</w:t>
      </w:r>
    </w:p>
    <w:p>
      <w:pPr>
        <w:snapToGrid w:val="0"/>
        <w:spacing w:before="50" w:after="50" w:line="360" w:lineRule="auto"/>
        <w:rPr>
          <w:rFonts w:ascii="宋体" w:hAnsi="宋体"/>
          <w:b/>
          <w:sz w:val="24"/>
        </w:rPr>
      </w:pPr>
    </w:p>
    <w:p>
      <w:pPr>
        <w:snapToGrid w:val="0"/>
        <w:spacing w:before="50" w:after="50" w:line="360" w:lineRule="auto"/>
        <w:rPr>
          <w:rFonts w:ascii="宋体" w:hAnsi="宋体"/>
          <w:b/>
          <w:sz w:val="24"/>
        </w:rPr>
      </w:pPr>
    </w:p>
    <w:sectPr>
      <w:footerReference r:id="rId12" w:type="even"/>
      <w:pgSz w:w="16838" w:h="11906" w:orient="landscape"/>
      <w:pgMar w:top="1797" w:right="1440" w:bottom="1797" w:left="1440" w:header="851" w:footer="992" w:gutter="0"/>
      <w:cols w:space="720" w:num="1"/>
      <w:docGrid w:linePitch="602"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Helvetica">
    <w:altName w:val="DejaVu Sans"/>
    <w:panose1 w:val="020B0604020202020204"/>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000101FF" w:csb1="00000000"/>
  </w:font>
  <w:font w:name="Lucida Sans">
    <w:altName w:val="Noto Sans"/>
    <w:panose1 w:val="020B0602030504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创艺简标宋">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䡡湄楮札䍓ⵆ潮瑳">
    <w:panose1 w:val="02010609000101010101"/>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4"/>
      </w:rPr>
    </w:pPr>
    <w:r>
      <w:fldChar w:fldCharType="begin"/>
    </w:r>
    <w:r>
      <w:rPr>
        <w:rStyle w:val="44"/>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Style w:val="44"/>
        <w:rFonts w:ascii="宋体" w:hAnsi="宋体" w:eastAsia="宋体"/>
        <w:sz w:val="28"/>
        <w:u w:val="single"/>
      </w:rPr>
    </w:pPr>
    <w:r>
      <w:rPr>
        <w:rStyle w:val="44"/>
        <w:rFonts w:hint="eastAsia"/>
        <w:sz w:val="28"/>
        <w:u w:val="single"/>
      </w:rPr>
      <w:t xml:space="preserve">          </w:t>
    </w:r>
    <w:r>
      <w:rPr>
        <w:rStyle w:val="44"/>
        <w:rFonts w:hint="eastAsia" w:ascii="宋体" w:hAnsi="宋体" w:eastAsia="宋体"/>
        <w:sz w:val="28"/>
        <w:u w:val="single"/>
      </w:rPr>
      <w:t xml:space="preserve">                                                                     </w:t>
    </w:r>
  </w:p>
  <w:p>
    <w:pPr>
      <w:pStyle w:val="25"/>
      <w:ind w:right="360"/>
      <w:rPr>
        <w:rFonts w:ascii="宋体" w:hAnsi="宋体" w:eastAsia="宋体"/>
        <w:sz w:val="28"/>
        <w:u w:val="single"/>
      </w:rPr>
    </w:pPr>
    <w:r>
      <w:rPr>
        <w:rStyle w:val="44"/>
        <w:rFonts w:hint="eastAsia" w:ascii="宋体" w:hAnsi="宋体" w:eastAsia="宋体"/>
      </w:rPr>
      <w:t xml:space="preserve">嘉兴市华信工程咨询有限公司                   </w:t>
    </w:r>
    <w:r>
      <w:rPr>
        <w:rFonts w:ascii="宋体" w:hAnsi="宋体" w:eastAsia="宋体"/>
      </w:rPr>
      <w:fldChar w:fldCharType="begin"/>
    </w:r>
    <w:r>
      <w:rPr>
        <w:rStyle w:val="44"/>
        <w:rFonts w:ascii="宋体" w:hAnsi="宋体" w:eastAsia="宋体"/>
      </w:rPr>
      <w:instrText xml:space="preserve"> PAGE </w:instrText>
    </w:r>
    <w:r>
      <w:rPr>
        <w:rFonts w:ascii="宋体" w:hAnsi="宋体" w:eastAsia="宋体"/>
      </w:rPr>
      <w:fldChar w:fldCharType="separate"/>
    </w:r>
    <w:r>
      <w:rPr>
        <w:rStyle w:val="44"/>
        <w:rFonts w:ascii="宋体" w:hAnsi="宋体" w:eastAsia="宋体"/>
      </w:rPr>
      <w:t>17</w:t>
    </w:r>
    <w:r>
      <w:rPr>
        <w:rFonts w:ascii="宋体" w:hAnsi="宋体" w:eastAsia="宋体"/>
      </w:rPr>
      <w:fldChar w:fldCharType="end"/>
    </w:r>
    <w:r>
      <w:rPr>
        <w:rStyle w:val="44"/>
        <w:rFonts w:hint="eastAsia" w:ascii="宋体" w:hAnsi="宋体" w:eastAsia="宋体"/>
      </w:rPr>
      <w:tab/>
    </w:r>
    <w:r>
      <w:rPr>
        <w:rStyle w:val="44"/>
        <w:rFonts w:hint="eastAsia" w:ascii="宋体" w:hAnsi="宋体" w:eastAsia="宋体"/>
      </w:rPr>
      <w:t xml:space="preserve">             电话、传真：0573-84026676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Style w:val="44"/>
        <w:rFonts w:ascii="宋体" w:hAnsi="宋体" w:eastAsia="宋体"/>
        <w:u w:val="single"/>
      </w:rPr>
    </w:pPr>
    <w:r>
      <w:rPr>
        <w:rStyle w:val="44"/>
        <w:rFonts w:hint="eastAsia"/>
        <w:u w:val="single"/>
      </w:rPr>
      <w:t xml:space="preserve">          </w:t>
    </w:r>
    <w:r>
      <w:rPr>
        <w:rStyle w:val="44"/>
        <w:rFonts w:hint="eastAsia" w:ascii="宋体" w:hAnsi="宋体" w:eastAsia="宋体"/>
        <w:u w:val="single"/>
      </w:rPr>
      <w:t xml:space="preserve">                                                                                              </w:t>
    </w:r>
  </w:p>
  <w:p>
    <w:pPr>
      <w:pStyle w:val="25"/>
      <w:ind w:right="360" w:firstLine="90" w:firstLineChars="50"/>
      <w:rPr>
        <w:rFonts w:ascii="宋体" w:hAnsi="宋体" w:eastAsia="宋体"/>
      </w:rPr>
    </w:pPr>
    <w:r>
      <w:rPr>
        <w:rStyle w:val="44"/>
        <w:rFonts w:hint="eastAsia" w:ascii="宋体" w:hAnsi="宋体" w:eastAsia="宋体"/>
      </w:rPr>
      <w:t xml:space="preserve">   嘉兴市华信工程咨询有限公司                 </w:t>
    </w:r>
    <w:r>
      <w:rPr>
        <w:rFonts w:ascii="宋体" w:hAnsi="宋体" w:eastAsia="宋体"/>
      </w:rPr>
      <w:fldChar w:fldCharType="begin"/>
    </w:r>
    <w:r>
      <w:rPr>
        <w:rStyle w:val="44"/>
        <w:rFonts w:ascii="宋体" w:hAnsi="宋体" w:eastAsia="宋体"/>
      </w:rPr>
      <w:instrText xml:space="preserve"> PAGE </w:instrText>
    </w:r>
    <w:r>
      <w:rPr>
        <w:rFonts w:ascii="宋体" w:hAnsi="宋体" w:eastAsia="宋体"/>
      </w:rPr>
      <w:fldChar w:fldCharType="separate"/>
    </w:r>
    <w:r>
      <w:rPr>
        <w:rStyle w:val="44"/>
        <w:rFonts w:ascii="宋体" w:hAnsi="宋体" w:eastAsia="宋体"/>
      </w:rPr>
      <w:t>62</w:t>
    </w:r>
    <w:r>
      <w:rPr>
        <w:rFonts w:ascii="宋体" w:hAnsi="宋体" w:eastAsia="宋体"/>
      </w:rPr>
      <w:fldChar w:fldCharType="end"/>
    </w:r>
    <w:r>
      <w:rPr>
        <w:rStyle w:val="44"/>
        <w:rFonts w:hint="eastAsia" w:ascii="宋体" w:hAnsi="宋体" w:eastAsia="宋体"/>
      </w:rPr>
      <w:tab/>
    </w:r>
    <w:r>
      <w:rPr>
        <w:rStyle w:val="44"/>
        <w:rFonts w:hint="eastAsia" w:ascii="宋体" w:hAnsi="宋体" w:eastAsia="宋体"/>
      </w:rPr>
      <w:t xml:space="preserve">                  电话、传真：0573-84026676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4"/>
      </w:rPr>
    </w:pPr>
    <w:r>
      <w:fldChar w:fldCharType="begin"/>
    </w:r>
    <w:r>
      <w:rPr>
        <w:rStyle w:val="44"/>
      </w:rPr>
      <w:instrText xml:space="preserve">PAGE  </w:instrText>
    </w:r>
    <w:r>
      <w:fldChar w:fldCharType="end"/>
    </w:r>
  </w:p>
  <w:p>
    <w:pPr>
      <w:pStyle w:val="2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Style w:val="44"/>
        <w:rFonts w:ascii="宋体" w:hAnsi="宋体" w:eastAsia="宋体"/>
        <w:sz w:val="28"/>
        <w:u w:val="single"/>
      </w:rPr>
    </w:pPr>
    <w:r>
      <w:rPr>
        <w:rStyle w:val="44"/>
        <w:rFonts w:hint="eastAsia"/>
        <w:sz w:val="28"/>
        <w:u w:val="single"/>
      </w:rPr>
      <w:t xml:space="preserve">          </w:t>
    </w:r>
    <w:r>
      <w:rPr>
        <w:rStyle w:val="44"/>
        <w:rFonts w:hint="eastAsia" w:ascii="宋体" w:hAnsi="宋体" w:eastAsia="宋体"/>
        <w:sz w:val="28"/>
        <w:u w:val="single"/>
      </w:rPr>
      <w:t xml:space="preserve">                                                                     </w:t>
    </w:r>
  </w:p>
  <w:p>
    <w:pPr>
      <w:pStyle w:val="25"/>
      <w:ind w:right="360"/>
      <w:rPr>
        <w:rFonts w:ascii="宋体" w:hAnsi="宋体" w:eastAsia="宋体"/>
        <w:sz w:val="28"/>
        <w:u w:val="single"/>
      </w:rPr>
    </w:pPr>
    <w:r>
      <w:rPr>
        <w:rStyle w:val="44"/>
        <w:rFonts w:hint="eastAsia" w:ascii="宋体" w:hAnsi="宋体" w:eastAsia="宋体"/>
      </w:rPr>
      <w:t xml:space="preserve">嘉兴市华信工程咨询有限公司                   </w:t>
    </w:r>
    <w:r>
      <w:rPr>
        <w:rFonts w:ascii="宋体" w:hAnsi="宋体" w:eastAsia="宋体"/>
      </w:rPr>
      <w:fldChar w:fldCharType="begin"/>
    </w:r>
    <w:r>
      <w:rPr>
        <w:rStyle w:val="44"/>
        <w:rFonts w:ascii="宋体" w:hAnsi="宋体" w:eastAsia="宋体"/>
      </w:rPr>
      <w:instrText xml:space="preserve"> PAGE </w:instrText>
    </w:r>
    <w:r>
      <w:rPr>
        <w:rFonts w:ascii="宋体" w:hAnsi="宋体" w:eastAsia="宋体"/>
      </w:rPr>
      <w:fldChar w:fldCharType="separate"/>
    </w:r>
    <w:r>
      <w:rPr>
        <w:rStyle w:val="44"/>
        <w:rFonts w:ascii="宋体" w:hAnsi="宋体" w:eastAsia="宋体"/>
      </w:rPr>
      <w:t>71</w:t>
    </w:r>
    <w:r>
      <w:rPr>
        <w:rFonts w:ascii="宋体" w:hAnsi="宋体" w:eastAsia="宋体"/>
      </w:rPr>
      <w:fldChar w:fldCharType="end"/>
    </w:r>
    <w:r>
      <w:rPr>
        <w:rStyle w:val="44"/>
        <w:rFonts w:hint="eastAsia" w:ascii="宋体" w:hAnsi="宋体" w:eastAsia="宋体"/>
      </w:rPr>
      <w:tab/>
    </w:r>
    <w:r>
      <w:rPr>
        <w:rStyle w:val="44"/>
        <w:rFonts w:hint="eastAsia" w:ascii="宋体" w:hAnsi="宋体" w:eastAsia="宋体"/>
      </w:rPr>
      <w:t xml:space="preserve">             电话、传真：0573-84026676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4"/>
      </w:rPr>
    </w:pPr>
    <w:r>
      <w:fldChar w:fldCharType="begin"/>
    </w:r>
    <w:r>
      <w:rPr>
        <w:rStyle w:val="44"/>
      </w:rPr>
      <w:instrText xml:space="preserve">PAGE  </w:instrTex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szCs w:val="18"/>
      </w:rPr>
    </w:pPr>
    <w:r>
      <w:rPr>
        <w:rFonts w:hint="eastAsia" w:ascii="宋体" w:hAnsi="宋体"/>
        <w:szCs w:val="18"/>
      </w:rPr>
      <w:t>天凝镇全域公共服务管理及镇区保洁服务项目招标文件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ascii="宋体" w:hAnsi="宋体"/>
        <w:szCs w:val="18"/>
      </w:rPr>
      <w:t>大云镇公共服务管理项目(2019年度)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szCs w:val="18"/>
      </w:rPr>
    </w:pPr>
    <w:r>
      <w:rPr>
        <w:rFonts w:hint="eastAsia" w:ascii="宋体" w:hAnsi="宋体"/>
        <w:szCs w:val="18"/>
      </w:rPr>
      <w:t>天凝镇全域公共服务管理及镇区保洁服务项目招标文件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9E5A6"/>
    <w:multiLevelType w:val="singleLevel"/>
    <w:tmpl w:val="C0E9E5A6"/>
    <w:lvl w:ilvl="0" w:tentative="0">
      <w:start w:val="1"/>
      <w:numFmt w:val="decimal"/>
      <w:lvlText w:val="%1."/>
      <w:lvlJc w:val="left"/>
      <w:pPr>
        <w:tabs>
          <w:tab w:val="left" w:pos="312"/>
        </w:tabs>
      </w:pPr>
    </w:lvl>
  </w:abstractNum>
  <w:abstractNum w:abstractNumId="1">
    <w:nsid w:val="00000012"/>
    <w:multiLevelType w:val="singleLevel"/>
    <w:tmpl w:val="00000012"/>
    <w:lvl w:ilvl="0" w:tentative="0">
      <w:start w:val="1"/>
      <w:numFmt w:val="decimal"/>
      <w:pStyle w:val="16"/>
      <w:lvlText w:val="%1."/>
      <w:lvlJc w:val="left"/>
      <w:pPr>
        <w:tabs>
          <w:tab w:val="left" w:pos="1200"/>
        </w:tabs>
        <w:ind w:left="1200" w:hanging="360"/>
      </w:pPr>
    </w:lvl>
  </w:abstractNum>
  <w:abstractNum w:abstractNumId="2">
    <w:nsid w:val="019F6BBF"/>
    <w:multiLevelType w:val="multilevel"/>
    <w:tmpl w:val="019F6BB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231949"/>
    <w:multiLevelType w:val="multilevel"/>
    <w:tmpl w:val="02231949"/>
    <w:lvl w:ilvl="0" w:tentative="0">
      <w:start w:val="1"/>
      <w:numFmt w:val="decimal"/>
      <w:lvlText w:val="%1."/>
      <w:lvlJc w:val="righ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
    <w:nsid w:val="03B45144"/>
    <w:multiLevelType w:val="multilevel"/>
    <w:tmpl w:val="03B45144"/>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E15A60"/>
    <w:multiLevelType w:val="multilevel"/>
    <w:tmpl w:val="04E15A60"/>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8D755A8"/>
    <w:multiLevelType w:val="multilevel"/>
    <w:tmpl w:val="08D755A8"/>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A9B185C"/>
    <w:multiLevelType w:val="multilevel"/>
    <w:tmpl w:val="0A9B185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DE00C30"/>
    <w:multiLevelType w:val="multilevel"/>
    <w:tmpl w:val="0DE00C3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A16F7B"/>
    <w:multiLevelType w:val="multilevel"/>
    <w:tmpl w:val="11A16F7B"/>
    <w:lvl w:ilvl="0" w:tentative="0">
      <w:start w:val="1"/>
      <w:numFmt w:val="decimal"/>
      <w:lvlText w:val="%1."/>
      <w:lvlJc w:val="righ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0">
    <w:nsid w:val="12CD08B3"/>
    <w:multiLevelType w:val="multilevel"/>
    <w:tmpl w:val="12CD08B3"/>
    <w:lvl w:ilvl="0" w:tentative="0">
      <w:start w:val="1"/>
      <w:numFmt w:val="decimal"/>
      <w:lvlText w:val="（%1）"/>
      <w:lvlJc w:val="left"/>
      <w:pPr>
        <w:ind w:left="420" w:hanging="420"/>
      </w:pPr>
      <w:rPr>
        <w:rFonts w:hint="eastAsia"/>
        <w:color w:val="auto"/>
      </w:rPr>
    </w:lvl>
    <w:lvl w:ilvl="1" w:tentative="0">
      <w:start w:val="1"/>
      <w:numFmt w:val="decimal"/>
      <w:lvlText w:val="（%2）"/>
      <w:lvlJc w:val="left"/>
      <w:pPr>
        <w:ind w:left="1485" w:hanging="10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15215D"/>
    <w:multiLevelType w:val="multilevel"/>
    <w:tmpl w:val="1415215D"/>
    <w:lvl w:ilvl="0" w:tentative="0">
      <w:start w:val="1"/>
      <w:numFmt w:val="decimal"/>
      <w:lvlText w:val="%1、"/>
      <w:lvlJc w:val="left"/>
      <w:pPr>
        <w:ind w:left="892" w:hanging="420"/>
      </w:pPr>
      <w:rPr>
        <w:rFonts w:hint="eastAsia"/>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chineseCountingThousand"/>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2">
    <w:nsid w:val="168A7140"/>
    <w:multiLevelType w:val="multilevel"/>
    <w:tmpl w:val="168A71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16C068B2"/>
    <w:multiLevelType w:val="multilevel"/>
    <w:tmpl w:val="16C068B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7926F77"/>
    <w:multiLevelType w:val="multilevel"/>
    <w:tmpl w:val="17926F77"/>
    <w:lvl w:ilvl="0" w:tentative="0">
      <w:start w:val="1"/>
      <w:numFmt w:val="decimal"/>
      <w:lvlText w:val="%1、"/>
      <w:lvlJc w:val="left"/>
      <w:pPr>
        <w:ind w:left="892" w:hanging="420"/>
      </w:pPr>
      <w:rPr>
        <w:rFonts w:hint="eastAsia"/>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5">
    <w:nsid w:val="19015E47"/>
    <w:multiLevelType w:val="multilevel"/>
    <w:tmpl w:val="19015E47"/>
    <w:lvl w:ilvl="0" w:tentative="0">
      <w:start w:val="1"/>
      <w:numFmt w:val="decimal"/>
      <w:lvlText w:val="（%1）"/>
      <w:lvlJc w:val="left"/>
      <w:pPr>
        <w:ind w:left="127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9435A0A"/>
    <w:multiLevelType w:val="multilevel"/>
    <w:tmpl w:val="19435A0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1E49002B"/>
    <w:multiLevelType w:val="multilevel"/>
    <w:tmpl w:val="1E49002B"/>
    <w:lvl w:ilvl="0" w:tentative="0">
      <w:start w:val="1"/>
      <w:numFmt w:val="decimal"/>
      <w:lvlText w:val="%1)"/>
      <w:lvlJc w:val="left"/>
      <w:pPr>
        <w:ind w:left="420" w:hanging="420"/>
      </w:pPr>
      <w:rPr>
        <w:rFonts w:hint="eastAsia"/>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18">
    <w:nsid w:val="1E880EAB"/>
    <w:multiLevelType w:val="multilevel"/>
    <w:tmpl w:val="1E880EAB"/>
    <w:lvl w:ilvl="0" w:tentative="0">
      <w:start w:val="1"/>
      <w:numFmt w:val="decimal"/>
      <w:lvlText w:val="%1."/>
      <w:lvlJc w:val="left"/>
      <w:pPr>
        <w:ind w:left="900" w:hanging="4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1EF01AEC"/>
    <w:multiLevelType w:val="multilevel"/>
    <w:tmpl w:val="1EF01AEC"/>
    <w:lvl w:ilvl="0" w:tentative="0">
      <w:start w:val="1"/>
      <w:numFmt w:val="decimal"/>
      <w:lvlText w:val="（%1）"/>
      <w:lvlJc w:val="left"/>
      <w:pPr>
        <w:ind w:left="620" w:hanging="420"/>
      </w:pPr>
      <w:rPr>
        <w:rFonts w:hint="eastAsia"/>
      </w:rPr>
    </w:lvl>
    <w:lvl w:ilvl="1" w:tentative="0">
      <w:start w:val="1"/>
      <w:numFmt w:val="decimal"/>
      <w:lvlText w:val="%2、"/>
      <w:lvlJc w:val="left"/>
      <w:pPr>
        <w:ind w:left="840" w:hanging="84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0">
    <w:nsid w:val="1F983142"/>
    <w:multiLevelType w:val="multilevel"/>
    <w:tmpl w:val="1F98314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FF12235"/>
    <w:multiLevelType w:val="multilevel"/>
    <w:tmpl w:val="1FF122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064548B"/>
    <w:multiLevelType w:val="multilevel"/>
    <w:tmpl w:val="2064548B"/>
    <w:lvl w:ilvl="0" w:tentative="0">
      <w:start w:val="1"/>
      <w:numFmt w:val="decimal"/>
      <w:lvlText w:val="%1."/>
      <w:lvlJc w:val="righ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19C27EE"/>
    <w:multiLevelType w:val="multilevel"/>
    <w:tmpl w:val="219C27EE"/>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3EB2813"/>
    <w:multiLevelType w:val="multilevel"/>
    <w:tmpl w:val="23EB2813"/>
    <w:lvl w:ilvl="0" w:tentative="0">
      <w:start w:val="1"/>
      <w:numFmt w:val="decimal"/>
      <w:lvlText w:val="%1."/>
      <w:lvlJc w:val="left"/>
      <w:pPr>
        <w:tabs>
          <w:tab w:val="left" w:pos="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4FB61CF"/>
    <w:multiLevelType w:val="multilevel"/>
    <w:tmpl w:val="24FB61CF"/>
    <w:lvl w:ilvl="0" w:tentative="0">
      <w:start w:val="1"/>
      <w:numFmt w:val="decimal"/>
      <w:lvlText w:val="（%1）"/>
      <w:lvlJc w:val="left"/>
      <w:pPr>
        <w:ind w:left="198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60D0C9F"/>
    <w:multiLevelType w:val="multilevel"/>
    <w:tmpl w:val="260D0C9F"/>
    <w:lvl w:ilvl="0" w:tentative="0">
      <w:start w:val="1"/>
      <w:numFmt w:val="decimal"/>
      <w:lvlText w:val="1.%1"/>
      <w:lvlJc w:val="left"/>
      <w:pPr>
        <w:ind w:left="902" w:hanging="420"/>
      </w:pPr>
      <w:rPr>
        <w:rFonts w:hint="eastAsia" w:ascii="宋体" w:hAnsi="宋体" w:eastAsia="宋体"/>
        <w:b/>
        <w:sz w:val="24"/>
        <w:szCs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7">
    <w:nsid w:val="279656B2"/>
    <w:multiLevelType w:val="multilevel"/>
    <w:tmpl w:val="279656B2"/>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7C5819B"/>
    <w:multiLevelType w:val="singleLevel"/>
    <w:tmpl w:val="27C5819B"/>
    <w:lvl w:ilvl="0" w:tentative="0">
      <w:start w:val="1"/>
      <w:numFmt w:val="decimal"/>
      <w:lvlText w:val="%1."/>
      <w:lvlJc w:val="left"/>
      <w:pPr>
        <w:ind w:left="425" w:hanging="425"/>
      </w:pPr>
      <w:rPr>
        <w:rFonts w:hint="default"/>
      </w:rPr>
    </w:lvl>
  </w:abstractNum>
  <w:abstractNum w:abstractNumId="29">
    <w:nsid w:val="280869E8"/>
    <w:multiLevelType w:val="multilevel"/>
    <w:tmpl w:val="280869E8"/>
    <w:lvl w:ilvl="0" w:tentative="0">
      <w:start w:val="1"/>
      <w:numFmt w:val="bullet"/>
      <w:pStyle w:val="83"/>
      <w:lvlText w:val=""/>
      <w:lvlJc w:val="left"/>
      <w:pPr>
        <w:ind w:left="840" w:hanging="420"/>
      </w:pPr>
      <w:rPr>
        <w:rFonts w:hint="default" w:ascii="Wingdings" w:hAnsi="Wingdings"/>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0">
    <w:nsid w:val="28230117"/>
    <w:multiLevelType w:val="multilevel"/>
    <w:tmpl w:val="28230117"/>
    <w:lvl w:ilvl="0" w:tentative="0">
      <w:start w:val="1"/>
      <w:numFmt w:val="decimal"/>
      <w:lvlText w:val="（%1）"/>
      <w:lvlJc w:val="left"/>
      <w:pPr>
        <w:ind w:left="1124" w:hanging="420"/>
      </w:pPr>
      <w:rPr>
        <w:rFonts w:hint="eastAsia"/>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31">
    <w:nsid w:val="297946E9"/>
    <w:multiLevelType w:val="multilevel"/>
    <w:tmpl w:val="297946E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BA87F09"/>
    <w:multiLevelType w:val="multilevel"/>
    <w:tmpl w:val="2BA87F0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6D67E6"/>
    <w:multiLevelType w:val="multilevel"/>
    <w:tmpl w:val="2D6D67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0CB0B2F"/>
    <w:multiLevelType w:val="multilevel"/>
    <w:tmpl w:val="30CB0B2F"/>
    <w:lvl w:ilvl="0" w:tentative="0">
      <w:start w:val="1"/>
      <w:numFmt w:val="decimal"/>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23555CD"/>
    <w:multiLevelType w:val="multilevel"/>
    <w:tmpl w:val="323555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5B113E3"/>
    <w:multiLevelType w:val="multilevel"/>
    <w:tmpl w:val="35B113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96403C6"/>
    <w:multiLevelType w:val="multilevel"/>
    <w:tmpl w:val="396403C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3B0E4C61"/>
    <w:multiLevelType w:val="multilevel"/>
    <w:tmpl w:val="3B0E4C61"/>
    <w:lvl w:ilvl="0" w:tentative="0">
      <w:start w:val="1"/>
      <w:numFmt w:val="chineseCountingThousand"/>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9">
    <w:nsid w:val="402F11D9"/>
    <w:multiLevelType w:val="multilevel"/>
    <w:tmpl w:val="402F11D9"/>
    <w:lvl w:ilvl="0" w:tentative="0">
      <w:start w:val="1"/>
      <w:numFmt w:val="decimal"/>
      <w:lvlText w:val="（%1）"/>
      <w:lvlJc w:val="left"/>
      <w:pPr>
        <w:ind w:left="988" w:hanging="420"/>
      </w:pPr>
      <w:rPr>
        <w:rFonts w:hint="eastAsia"/>
      </w:rPr>
    </w:lvl>
    <w:lvl w:ilvl="1" w:tentative="0">
      <w:start w:val="1"/>
      <w:numFmt w:val="decimal"/>
      <w:lvlText w:val="%2."/>
      <w:lvlJc w:val="left"/>
      <w:pPr>
        <w:ind w:left="1544" w:hanging="360"/>
      </w:pPr>
      <w:rPr>
        <w:rFonts w:hint="default"/>
      </w:rPr>
    </w:lvl>
    <w:lvl w:ilvl="2" w:tentative="0">
      <w:start w:val="1"/>
      <w:numFmt w:val="japaneseCounting"/>
      <w:lvlText w:val="(%3)"/>
      <w:lvlJc w:val="left"/>
      <w:pPr>
        <w:ind w:left="2084" w:hanging="480"/>
      </w:pPr>
      <w:rPr>
        <w:rFonts w:hint="default"/>
      </w:rPr>
    </w:lvl>
    <w:lvl w:ilvl="3" w:tentative="0">
      <w:start w:val="1"/>
      <w:numFmt w:val="decimal"/>
      <w:lvlText w:val="%4."/>
      <w:lvlJc w:val="left"/>
      <w:pPr>
        <w:ind w:left="2444" w:hanging="420"/>
      </w:pPr>
    </w:lvl>
    <w:lvl w:ilvl="4" w:tentative="0">
      <w:start w:val="1"/>
      <w:numFmt w:val="lowerLetter"/>
      <w:lvlText w:val="%5)"/>
      <w:lvlJc w:val="left"/>
      <w:pPr>
        <w:ind w:left="2864" w:hanging="420"/>
      </w:pPr>
    </w:lvl>
    <w:lvl w:ilvl="5" w:tentative="0">
      <w:start w:val="1"/>
      <w:numFmt w:val="lowerRoman"/>
      <w:lvlText w:val="%6."/>
      <w:lvlJc w:val="right"/>
      <w:pPr>
        <w:ind w:left="3284" w:hanging="420"/>
      </w:pPr>
    </w:lvl>
    <w:lvl w:ilvl="6" w:tentative="0">
      <w:start w:val="1"/>
      <w:numFmt w:val="decimal"/>
      <w:lvlText w:val="%7."/>
      <w:lvlJc w:val="left"/>
      <w:pPr>
        <w:ind w:left="3704" w:hanging="420"/>
      </w:pPr>
    </w:lvl>
    <w:lvl w:ilvl="7" w:tentative="0">
      <w:start w:val="1"/>
      <w:numFmt w:val="lowerLetter"/>
      <w:lvlText w:val="%8)"/>
      <w:lvlJc w:val="left"/>
      <w:pPr>
        <w:ind w:left="4124" w:hanging="420"/>
      </w:pPr>
    </w:lvl>
    <w:lvl w:ilvl="8" w:tentative="0">
      <w:start w:val="1"/>
      <w:numFmt w:val="lowerRoman"/>
      <w:lvlText w:val="%9."/>
      <w:lvlJc w:val="right"/>
      <w:pPr>
        <w:ind w:left="4544" w:hanging="420"/>
      </w:pPr>
    </w:lvl>
  </w:abstractNum>
  <w:abstractNum w:abstractNumId="40">
    <w:nsid w:val="40497156"/>
    <w:multiLevelType w:val="multilevel"/>
    <w:tmpl w:val="4049715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547073C"/>
    <w:multiLevelType w:val="multilevel"/>
    <w:tmpl w:val="4547073C"/>
    <w:lvl w:ilvl="0" w:tentative="0">
      <w:start w:val="1"/>
      <w:numFmt w:val="decimal"/>
      <w:lvlText w:val="（%1）"/>
      <w:lvlJc w:val="left"/>
      <w:pPr>
        <w:ind w:left="988"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2">
    <w:nsid w:val="45AF0123"/>
    <w:multiLevelType w:val="multilevel"/>
    <w:tmpl w:val="45AF0123"/>
    <w:lvl w:ilvl="0" w:tentative="0">
      <w:start w:val="1"/>
      <w:numFmt w:val="decimal"/>
      <w:lvlText w:val="（%1）"/>
      <w:lvlJc w:val="left"/>
      <w:pPr>
        <w:ind w:left="127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6B976BF"/>
    <w:multiLevelType w:val="multilevel"/>
    <w:tmpl w:val="46B976BF"/>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47A83BE8"/>
    <w:multiLevelType w:val="multilevel"/>
    <w:tmpl w:val="47A83BE8"/>
    <w:lvl w:ilvl="0" w:tentative="0">
      <w:start w:val="1"/>
      <w:numFmt w:val="decimal"/>
      <w:lvlText w:val="（%1）"/>
      <w:lvlJc w:val="left"/>
      <w:pPr>
        <w:ind w:left="900" w:hanging="420"/>
      </w:pPr>
      <w:rPr>
        <w:rFonts w:hint="eastAsia"/>
      </w:rPr>
    </w:lvl>
    <w:lvl w:ilvl="1" w:tentative="0">
      <w:start w:val="1"/>
      <w:numFmt w:val="decimal"/>
      <w:lvlText w:val="2.%2"/>
      <w:lvlJc w:val="left"/>
      <w:pPr>
        <w:ind w:left="1320" w:hanging="420"/>
      </w:pPr>
      <w:rPr>
        <w:rFonts w:hint="eastAsia" w:ascii="宋体" w:hAnsi="宋体" w:eastAsia="宋体"/>
        <w:b w:val="0"/>
        <w:sz w:val="24"/>
        <w:szCs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49E10598"/>
    <w:multiLevelType w:val="multilevel"/>
    <w:tmpl w:val="49E10598"/>
    <w:lvl w:ilvl="0" w:tentative="0">
      <w:start w:val="1"/>
      <w:numFmt w:val="chineseCountingThousand"/>
      <w:lvlText w:val="%1、"/>
      <w:lvlJc w:val="left"/>
      <w:pPr>
        <w:ind w:left="703" w:hanging="420"/>
      </w:pPr>
      <w:rPr>
        <w:rFonts w:hint="eastAsia"/>
        <w:b/>
        <w:i w:val="0"/>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46">
    <w:nsid w:val="4EA55B0D"/>
    <w:multiLevelType w:val="multilevel"/>
    <w:tmpl w:val="4EA55B0D"/>
    <w:lvl w:ilvl="0" w:tentative="0">
      <w:start w:val="1"/>
      <w:numFmt w:val="lowerLetter"/>
      <w:lvlText w:val="%1."/>
      <w:lvlJc w:val="left"/>
      <w:pPr>
        <w:ind w:left="127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0E40F6F"/>
    <w:multiLevelType w:val="multilevel"/>
    <w:tmpl w:val="50E40F6F"/>
    <w:lvl w:ilvl="0" w:tentative="0">
      <w:start w:val="1"/>
      <w:numFmt w:val="decimal"/>
      <w:lvlText w:val="%1"/>
      <w:lvlJc w:val="left"/>
      <w:pPr>
        <w:ind w:left="420" w:hanging="420"/>
      </w:pPr>
      <w:rPr>
        <w:rFonts w:hint="default" w:asciiTheme="minorEastAsia" w:hAnsiTheme="minorEastAsia"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3C15909"/>
    <w:multiLevelType w:val="multilevel"/>
    <w:tmpl w:val="53C1590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54231B4F"/>
    <w:multiLevelType w:val="multilevel"/>
    <w:tmpl w:val="54231B4F"/>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0">
    <w:nsid w:val="54370033"/>
    <w:multiLevelType w:val="multilevel"/>
    <w:tmpl w:val="54370033"/>
    <w:lvl w:ilvl="0" w:tentative="0">
      <w:start w:val="1"/>
      <w:numFmt w:val="decimal"/>
      <w:lvlText w:val="%1、"/>
      <w:lvlJc w:val="left"/>
      <w:pPr>
        <w:ind w:left="1380" w:hanging="420"/>
      </w:pPr>
      <w:rPr>
        <w:rFonts w:hint="eastAsia"/>
      </w:rPr>
    </w:lvl>
    <w:lvl w:ilvl="1" w:tentative="0">
      <w:start w:val="1"/>
      <w:numFmt w:val="decimal"/>
      <w:lvlText w:val="%2."/>
      <w:lvlJc w:val="left"/>
      <w:pPr>
        <w:ind w:left="988" w:hanging="420"/>
      </w:pPr>
      <w:rPr>
        <w:rFonts w:hint="default"/>
        <w:color w:val="auto"/>
      </w:r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51">
    <w:nsid w:val="558B0BF9"/>
    <w:multiLevelType w:val="multilevel"/>
    <w:tmpl w:val="558B0BF9"/>
    <w:lvl w:ilvl="0" w:tentative="0">
      <w:start w:val="1"/>
      <w:numFmt w:val="decimal"/>
      <w:lvlText w:val="%1、"/>
      <w:lvlJc w:val="righ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730219D"/>
    <w:multiLevelType w:val="multilevel"/>
    <w:tmpl w:val="5730219D"/>
    <w:lvl w:ilvl="0" w:tentative="0">
      <w:start w:val="1"/>
      <w:numFmt w:val="japaneseCounting"/>
      <w:lvlText w:val="(%1)"/>
      <w:lvlJc w:val="left"/>
      <w:pPr>
        <w:ind w:left="514" w:hanging="420"/>
      </w:pPr>
      <w:rPr>
        <w:rFonts w:hint="default"/>
      </w:rPr>
    </w:lvl>
    <w:lvl w:ilvl="1" w:tentative="0">
      <w:start w:val="1"/>
      <w:numFmt w:val="lowerLetter"/>
      <w:lvlText w:val="%2)"/>
      <w:lvlJc w:val="left"/>
      <w:pPr>
        <w:ind w:left="934" w:hanging="420"/>
      </w:pPr>
    </w:lvl>
    <w:lvl w:ilvl="2" w:tentative="0">
      <w:start w:val="1"/>
      <w:numFmt w:val="lowerRoman"/>
      <w:lvlText w:val="%3."/>
      <w:lvlJc w:val="right"/>
      <w:pPr>
        <w:ind w:left="1354" w:hanging="420"/>
      </w:pPr>
    </w:lvl>
    <w:lvl w:ilvl="3" w:tentative="0">
      <w:start w:val="1"/>
      <w:numFmt w:val="decimal"/>
      <w:lvlText w:val="%4."/>
      <w:lvlJc w:val="left"/>
      <w:pPr>
        <w:ind w:left="1774" w:hanging="420"/>
      </w:pPr>
    </w:lvl>
    <w:lvl w:ilvl="4" w:tentative="0">
      <w:start w:val="1"/>
      <w:numFmt w:val="lowerLetter"/>
      <w:lvlText w:val="%5)"/>
      <w:lvlJc w:val="left"/>
      <w:pPr>
        <w:ind w:left="2194" w:hanging="420"/>
      </w:pPr>
    </w:lvl>
    <w:lvl w:ilvl="5" w:tentative="0">
      <w:start w:val="1"/>
      <w:numFmt w:val="lowerRoman"/>
      <w:lvlText w:val="%6."/>
      <w:lvlJc w:val="right"/>
      <w:pPr>
        <w:ind w:left="2614" w:hanging="420"/>
      </w:pPr>
    </w:lvl>
    <w:lvl w:ilvl="6" w:tentative="0">
      <w:start w:val="1"/>
      <w:numFmt w:val="decimal"/>
      <w:lvlText w:val="%7."/>
      <w:lvlJc w:val="left"/>
      <w:pPr>
        <w:ind w:left="3034" w:hanging="420"/>
      </w:pPr>
    </w:lvl>
    <w:lvl w:ilvl="7" w:tentative="0">
      <w:start w:val="1"/>
      <w:numFmt w:val="lowerLetter"/>
      <w:lvlText w:val="%8)"/>
      <w:lvlJc w:val="left"/>
      <w:pPr>
        <w:ind w:left="3454" w:hanging="420"/>
      </w:pPr>
    </w:lvl>
    <w:lvl w:ilvl="8" w:tentative="0">
      <w:start w:val="1"/>
      <w:numFmt w:val="lowerRoman"/>
      <w:lvlText w:val="%9."/>
      <w:lvlJc w:val="right"/>
      <w:pPr>
        <w:ind w:left="3874" w:hanging="420"/>
      </w:pPr>
    </w:lvl>
  </w:abstractNum>
  <w:abstractNum w:abstractNumId="53">
    <w:nsid w:val="57A77957"/>
    <w:multiLevelType w:val="multilevel"/>
    <w:tmpl w:val="57A7795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4">
    <w:nsid w:val="599A3F0E"/>
    <w:multiLevelType w:val="multilevel"/>
    <w:tmpl w:val="599A3F0E"/>
    <w:lvl w:ilvl="0" w:tentative="0">
      <w:start w:val="1"/>
      <w:numFmt w:val="decimal"/>
      <w:lvlText w:val="%1."/>
      <w:lvlJc w:val="left"/>
      <w:pPr>
        <w:ind w:left="900" w:hanging="4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5">
    <w:nsid w:val="5B01012F"/>
    <w:multiLevelType w:val="multilevel"/>
    <w:tmpl w:val="5B01012F"/>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decimal"/>
      <w:lvlText w:val="%3."/>
      <w:lvlJc w:val="left"/>
      <w:pPr>
        <w:ind w:left="1680" w:hanging="420"/>
      </w:pPr>
      <w:rPr>
        <w:rFonts w:hint="default"/>
        <w:color w:val="auto"/>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6">
    <w:nsid w:val="5D30453E"/>
    <w:multiLevelType w:val="multilevel"/>
    <w:tmpl w:val="5D30453E"/>
    <w:lvl w:ilvl="0" w:tentative="0">
      <w:start w:val="2"/>
      <w:numFmt w:val="decimal"/>
      <w:pStyle w:val="196"/>
      <w:lvlText w:val="%1、"/>
      <w:lvlJc w:val="left"/>
      <w:pPr>
        <w:ind w:left="872" w:hanging="39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7">
    <w:nsid w:val="5FE77395"/>
    <w:multiLevelType w:val="multilevel"/>
    <w:tmpl w:val="5FE77395"/>
    <w:lvl w:ilvl="0" w:tentative="0">
      <w:start w:val="1"/>
      <w:numFmt w:val="decimal"/>
      <w:lvlText w:val="（%1）"/>
      <w:lvlJc w:val="left"/>
      <w:pPr>
        <w:ind w:left="988" w:hanging="420"/>
      </w:pPr>
      <w:rPr>
        <w:rFonts w:hint="eastAsia"/>
      </w:rPr>
    </w:lvl>
    <w:lvl w:ilvl="1" w:tentative="0">
      <w:start w:val="1"/>
      <w:numFmt w:val="decimal"/>
      <w:lvlText w:val="%2."/>
      <w:lvlJc w:val="left"/>
      <w:pPr>
        <w:ind w:left="1544" w:hanging="360"/>
      </w:pPr>
      <w:rPr>
        <w:rFonts w:hint="default"/>
      </w:rPr>
    </w:lvl>
    <w:lvl w:ilvl="2" w:tentative="0">
      <w:start w:val="1"/>
      <w:numFmt w:val="japaneseCounting"/>
      <w:lvlText w:val="(%3)"/>
      <w:lvlJc w:val="left"/>
      <w:pPr>
        <w:ind w:left="2084" w:hanging="480"/>
      </w:pPr>
      <w:rPr>
        <w:rFonts w:hint="default"/>
      </w:rPr>
    </w:lvl>
    <w:lvl w:ilvl="3" w:tentative="0">
      <w:start w:val="1"/>
      <w:numFmt w:val="decimal"/>
      <w:lvlText w:val="%4."/>
      <w:lvlJc w:val="left"/>
      <w:pPr>
        <w:ind w:left="2444" w:hanging="420"/>
      </w:pPr>
    </w:lvl>
    <w:lvl w:ilvl="4" w:tentative="0">
      <w:start w:val="1"/>
      <w:numFmt w:val="lowerLetter"/>
      <w:lvlText w:val="%5)"/>
      <w:lvlJc w:val="left"/>
      <w:pPr>
        <w:ind w:left="2864" w:hanging="420"/>
      </w:pPr>
    </w:lvl>
    <w:lvl w:ilvl="5" w:tentative="0">
      <w:start w:val="1"/>
      <w:numFmt w:val="lowerRoman"/>
      <w:lvlText w:val="%6."/>
      <w:lvlJc w:val="right"/>
      <w:pPr>
        <w:ind w:left="3284" w:hanging="420"/>
      </w:pPr>
    </w:lvl>
    <w:lvl w:ilvl="6" w:tentative="0">
      <w:start w:val="1"/>
      <w:numFmt w:val="decimal"/>
      <w:lvlText w:val="%7."/>
      <w:lvlJc w:val="left"/>
      <w:pPr>
        <w:ind w:left="3704" w:hanging="420"/>
      </w:pPr>
    </w:lvl>
    <w:lvl w:ilvl="7" w:tentative="0">
      <w:start w:val="1"/>
      <w:numFmt w:val="lowerLetter"/>
      <w:lvlText w:val="%8)"/>
      <w:lvlJc w:val="left"/>
      <w:pPr>
        <w:ind w:left="4124" w:hanging="420"/>
      </w:pPr>
    </w:lvl>
    <w:lvl w:ilvl="8" w:tentative="0">
      <w:start w:val="1"/>
      <w:numFmt w:val="lowerRoman"/>
      <w:lvlText w:val="%9."/>
      <w:lvlJc w:val="right"/>
      <w:pPr>
        <w:ind w:left="4544" w:hanging="420"/>
      </w:pPr>
    </w:lvl>
  </w:abstractNum>
  <w:abstractNum w:abstractNumId="58">
    <w:nsid w:val="64832F3A"/>
    <w:multiLevelType w:val="multilevel"/>
    <w:tmpl w:val="64832F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53A7584"/>
    <w:multiLevelType w:val="singleLevel"/>
    <w:tmpl w:val="653A7584"/>
    <w:lvl w:ilvl="0" w:tentative="0">
      <w:start w:val="1"/>
      <w:numFmt w:val="chineseCounting"/>
      <w:suff w:val="nothing"/>
      <w:lvlText w:val="%1、"/>
      <w:lvlJc w:val="left"/>
      <w:pPr>
        <w:ind w:left="0" w:firstLine="420"/>
      </w:pPr>
      <w:rPr>
        <w:rFonts w:hint="eastAsia"/>
      </w:rPr>
    </w:lvl>
  </w:abstractNum>
  <w:abstractNum w:abstractNumId="60">
    <w:nsid w:val="66CE3169"/>
    <w:multiLevelType w:val="multilevel"/>
    <w:tmpl w:val="66CE3169"/>
    <w:lvl w:ilvl="0" w:tentative="0">
      <w:start w:val="1"/>
      <w:numFmt w:val="decimal"/>
      <w:lvlText w:val="2.1.%1"/>
      <w:lvlJc w:val="left"/>
      <w:pPr>
        <w:ind w:left="1271"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A074D3E"/>
    <w:multiLevelType w:val="multilevel"/>
    <w:tmpl w:val="6A074D3E"/>
    <w:lvl w:ilvl="0" w:tentative="0">
      <w:start w:val="1"/>
      <w:numFmt w:val="decimal"/>
      <w:lvlText w:val="%1."/>
      <w:lvlJc w:val="right"/>
      <w:pPr>
        <w:ind w:left="846" w:hanging="420"/>
      </w:pPr>
      <w:rPr>
        <w:rFonts w:hint="eastAsia"/>
        <w:b w:val="0"/>
        <w:color w:val="auto"/>
      </w:rPr>
    </w:lvl>
    <w:lvl w:ilvl="1" w:tentative="0">
      <w:start w:val="1"/>
      <w:numFmt w:val="japaneseCounting"/>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2">
    <w:nsid w:val="6DF402E4"/>
    <w:multiLevelType w:val="multilevel"/>
    <w:tmpl w:val="6DF402E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EA03E9D"/>
    <w:multiLevelType w:val="multilevel"/>
    <w:tmpl w:val="6EA03E9D"/>
    <w:lvl w:ilvl="0" w:tentative="0">
      <w:start w:val="1"/>
      <w:numFmt w:val="chineseCountingThousand"/>
      <w:lvlText w:val="(%1)"/>
      <w:lvlJc w:val="left"/>
      <w:pPr>
        <w:ind w:left="892" w:hanging="420"/>
      </w:p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chineseCountingThousand"/>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64">
    <w:nsid w:val="6EB853A0"/>
    <w:multiLevelType w:val="multilevel"/>
    <w:tmpl w:val="6EB853A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5">
    <w:nsid w:val="72D11297"/>
    <w:multiLevelType w:val="multilevel"/>
    <w:tmpl w:val="72D11297"/>
    <w:lvl w:ilvl="0" w:tentative="0">
      <w:start w:val="1"/>
      <w:numFmt w:val="chineseCountingThousand"/>
      <w:lvlText w:val="%1、"/>
      <w:lvlJc w:val="left"/>
      <w:pPr>
        <w:ind w:left="982" w:hanging="420"/>
      </w:pPr>
      <w:rPr>
        <w:b/>
        <w:i w:val="0"/>
      </w:rPr>
    </w:lvl>
    <w:lvl w:ilvl="1" w:tentative="0">
      <w:start w:val="1"/>
      <w:numFmt w:val="chineseCountingThousand"/>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6">
    <w:nsid w:val="739F6994"/>
    <w:multiLevelType w:val="multilevel"/>
    <w:tmpl w:val="739F6994"/>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4814293"/>
    <w:multiLevelType w:val="multilevel"/>
    <w:tmpl w:val="74814293"/>
    <w:lvl w:ilvl="0" w:tentative="0">
      <w:start w:val="1"/>
      <w:numFmt w:val="decimal"/>
      <w:lvlText w:val="1.%1"/>
      <w:lvlJc w:val="left"/>
      <w:pPr>
        <w:ind w:left="420" w:hanging="420"/>
      </w:pPr>
      <w:rPr>
        <w:rFonts w:hint="eastAsia" w:ascii="宋体" w:hAnsi="宋体" w:eastAsia="宋体"/>
        <w:b w:val="0"/>
        <w:sz w:val="24"/>
        <w:szCs w:val="24"/>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68">
    <w:nsid w:val="750F17D2"/>
    <w:multiLevelType w:val="multilevel"/>
    <w:tmpl w:val="750F17D2"/>
    <w:lvl w:ilvl="0" w:tentative="0">
      <w:start w:val="1"/>
      <w:numFmt w:val="chineseCountingThousand"/>
      <w:lvlText w:val="%1、"/>
      <w:lvlJc w:val="left"/>
      <w:pPr>
        <w:ind w:left="1402" w:hanging="420"/>
      </w:p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69">
    <w:nsid w:val="7A72309D"/>
    <w:multiLevelType w:val="multilevel"/>
    <w:tmpl w:val="7A72309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B651541"/>
    <w:multiLevelType w:val="multilevel"/>
    <w:tmpl w:val="7B651541"/>
    <w:lvl w:ilvl="0" w:tentative="0">
      <w:start w:val="1"/>
      <w:numFmt w:val="decimal"/>
      <w:lvlText w:val="%1"/>
      <w:lvlJc w:val="left"/>
      <w:pPr>
        <w:ind w:left="420" w:hanging="420"/>
      </w:pPr>
      <w:rPr>
        <w:rFonts w:hint="eastAsia"/>
      </w:rPr>
    </w:lvl>
    <w:lvl w:ilvl="1" w:tentative="0">
      <w:start w:val="1"/>
      <w:numFmt w:val="decimal"/>
      <w:lvlText w:val="(%2)"/>
      <w:lvlJc w:val="left"/>
      <w:pPr>
        <w:ind w:left="1404" w:hanging="984"/>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E2D61FD"/>
    <w:multiLevelType w:val="multilevel"/>
    <w:tmpl w:val="7E2D61FD"/>
    <w:lvl w:ilvl="0" w:tentative="0">
      <w:start w:val="1"/>
      <w:numFmt w:val="decimal"/>
      <w:lvlText w:val="（%1）"/>
      <w:lvlJc w:val="left"/>
      <w:pPr>
        <w:ind w:left="900" w:hanging="420"/>
      </w:pPr>
      <w:rPr>
        <w:rFonts w:hint="eastAsia"/>
      </w:rPr>
    </w:lvl>
    <w:lvl w:ilvl="1" w:tentative="0">
      <w:start w:val="1"/>
      <w:numFmt w:val="decimal"/>
      <w:lvlText w:val="（%2）"/>
      <w:lvlJc w:val="left"/>
      <w:pPr>
        <w:ind w:left="988"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2">
    <w:nsid w:val="7E985DE4"/>
    <w:multiLevelType w:val="multilevel"/>
    <w:tmpl w:val="7E985DE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9"/>
  </w:num>
  <w:num w:numId="3">
    <w:abstractNumId w:val="56"/>
  </w:num>
  <w:num w:numId="4">
    <w:abstractNumId w:val="45"/>
  </w:num>
  <w:num w:numId="5">
    <w:abstractNumId w:val="39"/>
  </w:num>
  <w:num w:numId="6">
    <w:abstractNumId w:val="61"/>
  </w:num>
  <w:num w:numId="7">
    <w:abstractNumId w:val="3"/>
  </w:num>
  <w:num w:numId="8">
    <w:abstractNumId w:val="19"/>
  </w:num>
  <w:num w:numId="9">
    <w:abstractNumId w:val="9"/>
  </w:num>
  <w:num w:numId="10">
    <w:abstractNumId w:val="40"/>
  </w:num>
  <w:num w:numId="11">
    <w:abstractNumId w:val="34"/>
  </w:num>
  <w:num w:numId="12">
    <w:abstractNumId w:val="54"/>
  </w:num>
  <w:num w:numId="13">
    <w:abstractNumId w:val="2"/>
  </w:num>
  <w:num w:numId="14">
    <w:abstractNumId w:val="37"/>
  </w:num>
  <w:num w:numId="15">
    <w:abstractNumId w:val="53"/>
  </w:num>
  <w:num w:numId="16">
    <w:abstractNumId w:val="12"/>
  </w:num>
  <w:num w:numId="17">
    <w:abstractNumId w:val="55"/>
  </w:num>
  <w:num w:numId="18">
    <w:abstractNumId w:val="49"/>
  </w:num>
  <w:num w:numId="19">
    <w:abstractNumId w:val="18"/>
  </w:num>
  <w:num w:numId="20">
    <w:abstractNumId w:val="43"/>
  </w:num>
  <w:num w:numId="21">
    <w:abstractNumId w:val="41"/>
  </w:num>
  <w:num w:numId="22">
    <w:abstractNumId w:val="23"/>
  </w:num>
  <w:num w:numId="23">
    <w:abstractNumId w:val="65"/>
  </w:num>
  <w:num w:numId="24">
    <w:abstractNumId w:val="57"/>
  </w:num>
  <w:num w:numId="25">
    <w:abstractNumId w:val="52"/>
  </w:num>
  <w:num w:numId="26">
    <w:abstractNumId w:val="50"/>
  </w:num>
  <w:num w:numId="27">
    <w:abstractNumId w:val="26"/>
  </w:num>
  <w:num w:numId="28">
    <w:abstractNumId w:val="7"/>
  </w:num>
  <w:num w:numId="29">
    <w:abstractNumId w:val="6"/>
  </w:num>
  <w:num w:numId="30">
    <w:abstractNumId w:val="20"/>
  </w:num>
  <w:num w:numId="31">
    <w:abstractNumId w:val="69"/>
  </w:num>
  <w:num w:numId="32">
    <w:abstractNumId w:val="22"/>
  </w:num>
  <w:num w:numId="33">
    <w:abstractNumId w:val="67"/>
  </w:num>
  <w:num w:numId="34">
    <w:abstractNumId w:val="44"/>
  </w:num>
  <w:num w:numId="35">
    <w:abstractNumId w:val="60"/>
  </w:num>
  <w:num w:numId="36">
    <w:abstractNumId w:val="16"/>
  </w:num>
  <w:num w:numId="37">
    <w:abstractNumId w:val="71"/>
  </w:num>
  <w:num w:numId="38">
    <w:abstractNumId w:val="27"/>
  </w:num>
  <w:num w:numId="39">
    <w:abstractNumId w:val="5"/>
  </w:num>
  <w:num w:numId="40">
    <w:abstractNumId w:val="30"/>
  </w:num>
  <w:num w:numId="41">
    <w:abstractNumId w:val="17"/>
  </w:num>
  <w:num w:numId="42">
    <w:abstractNumId w:val="10"/>
  </w:num>
  <w:num w:numId="43">
    <w:abstractNumId w:val="46"/>
  </w:num>
  <w:num w:numId="44">
    <w:abstractNumId w:val="42"/>
  </w:num>
  <w:num w:numId="45">
    <w:abstractNumId w:val="4"/>
  </w:num>
  <w:num w:numId="46">
    <w:abstractNumId w:val="15"/>
  </w:num>
  <w:num w:numId="47">
    <w:abstractNumId w:val="32"/>
  </w:num>
  <w:num w:numId="48">
    <w:abstractNumId w:val="47"/>
  </w:num>
  <w:num w:numId="49">
    <w:abstractNumId w:val="62"/>
  </w:num>
  <w:num w:numId="50">
    <w:abstractNumId w:val="66"/>
  </w:num>
  <w:num w:numId="51">
    <w:abstractNumId w:val="33"/>
  </w:num>
  <w:num w:numId="52">
    <w:abstractNumId w:val="68"/>
  </w:num>
  <w:num w:numId="53">
    <w:abstractNumId w:val="64"/>
  </w:num>
  <w:num w:numId="54">
    <w:abstractNumId w:val="63"/>
  </w:num>
  <w:num w:numId="55">
    <w:abstractNumId w:val="11"/>
  </w:num>
  <w:num w:numId="56">
    <w:abstractNumId w:val="24"/>
  </w:num>
  <w:num w:numId="57">
    <w:abstractNumId w:val="35"/>
  </w:num>
  <w:num w:numId="58">
    <w:abstractNumId w:val="8"/>
  </w:num>
  <w:num w:numId="59">
    <w:abstractNumId w:val="70"/>
  </w:num>
  <w:num w:numId="60">
    <w:abstractNumId w:val="14"/>
  </w:num>
  <w:num w:numId="61">
    <w:abstractNumId w:val="25"/>
  </w:num>
  <w:num w:numId="62">
    <w:abstractNumId w:val="72"/>
  </w:num>
  <w:num w:numId="63">
    <w:abstractNumId w:val="36"/>
  </w:num>
  <w:num w:numId="64">
    <w:abstractNumId w:val="21"/>
  </w:num>
  <w:num w:numId="65">
    <w:abstractNumId w:val="58"/>
  </w:num>
  <w:num w:numId="66">
    <w:abstractNumId w:val="31"/>
  </w:num>
  <w:num w:numId="67">
    <w:abstractNumId w:val="13"/>
  </w:num>
  <w:num w:numId="68">
    <w:abstractNumId w:val="38"/>
  </w:num>
  <w:num w:numId="69">
    <w:abstractNumId w:val="48"/>
  </w:num>
  <w:num w:numId="70">
    <w:abstractNumId w:val="59"/>
  </w:num>
  <w:num w:numId="71">
    <w:abstractNumId w:val="0"/>
  </w:num>
  <w:num w:numId="72">
    <w:abstractNumId w:val="28"/>
  </w:num>
  <w:num w:numId="7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BookNames" w:val="year1_2;filetype1_2"/>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172A27"/>
    <w:rsid w:val="000001CF"/>
    <w:rsid w:val="000011BE"/>
    <w:rsid w:val="00001FFB"/>
    <w:rsid w:val="000034F3"/>
    <w:rsid w:val="00003505"/>
    <w:rsid w:val="00005DDD"/>
    <w:rsid w:val="000061A9"/>
    <w:rsid w:val="000067A2"/>
    <w:rsid w:val="00010490"/>
    <w:rsid w:val="00011619"/>
    <w:rsid w:val="00011DA9"/>
    <w:rsid w:val="000144FC"/>
    <w:rsid w:val="00014600"/>
    <w:rsid w:val="0001464B"/>
    <w:rsid w:val="000158CB"/>
    <w:rsid w:val="00015AB8"/>
    <w:rsid w:val="000177F1"/>
    <w:rsid w:val="00017B25"/>
    <w:rsid w:val="00020410"/>
    <w:rsid w:val="0002126A"/>
    <w:rsid w:val="0002172B"/>
    <w:rsid w:val="00021C29"/>
    <w:rsid w:val="00021CE0"/>
    <w:rsid w:val="000235A1"/>
    <w:rsid w:val="000235BB"/>
    <w:rsid w:val="00023690"/>
    <w:rsid w:val="0002376A"/>
    <w:rsid w:val="00023C54"/>
    <w:rsid w:val="00023CBC"/>
    <w:rsid w:val="00024A31"/>
    <w:rsid w:val="00024AB7"/>
    <w:rsid w:val="00024FAB"/>
    <w:rsid w:val="00025399"/>
    <w:rsid w:val="00027458"/>
    <w:rsid w:val="0003031D"/>
    <w:rsid w:val="00030450"/>
    <w:rsid w:val="00030BCA"/>
    <w:rsid w:val="00031451"/>
    <w:rsid w:val="00031761"/>
    <w:rsid w:val="00031CD3"/>
    <w:rsid w:val="00031EAA"/>
    <w:rsid w:val="0003285D"/>
    <w:rsid w:val="00032976"/>
    <w:rsid w:val="00033425"/>
    <w:rsid w:val="000343B3"/>
    <w:rsid w:val="00036714"/>
    <w:rsid w:val="00036BA0"/>
    <w:rsid w:val="00036F1C"/>
    <w:rsid w:val="000374B7"/>
    <w:rsid w:val="00037662"/>
    <w:rsid w:val="00040318"/>
    <w:rsid w:val="0004043E"/>
    <w:rsid w:val="00040B9A"/>
    <w:rsid w:val="000410E8"/>
    <w:rsid w:val="00041C26"/>
    <w:rsid w:val="0004282D"/>
    <w:rsid w:val="00042D1A"/>
    <w:rsid w:val="000436AF"/>
    <w:rsid w:val="00044653"/>
    <w:rsid w:val="00044D0F"/>
    <w:rsid w:val="00047040"/>
    <w:rsid w:val="00047C7B"/>
    <w:rsid w:val="00050327"/>
    <w:rsid w:val="00051948"/>
    <w:rsid w:val="0005248E"/>
    <w:rsid w:val="0005393E"/>
    <w:rsid w:val="000539AC"/>
    <w:rsid w:val="0005416B"/>
    <w:rsid w:val="00054902"/>
    <w:rsid w:val="00055AB3"/>
    <w:rsid w:val="00056275"/>
    <w:rsid w:val="000562C2"/>
    <w:rsid w:val="00056DC1"/>
    <w:rsid w:val="000572FD"/>
    <w:rsid w:val="00057CFC"/>
    <w:rsid w:val="0006154E"/>
    <w:rsid w:val="00061D10"/>
    <w:rsid w:val="0006337E"/>
    <w:rsid w:val="00064AAC"/>
    <w:rsid w:val="00064DFE"/>
    <w:rsid w:val="00064EBB"/>
    <w:rsid w:val="000702D4"/>
    <w:rsid w:val="000703B6"/>
    <w:rsid w:val="00070C7B"/>
    <w:rsid w:val="000727D0"/>
    <w:rsid w:val="00072EDB"/>
    <w:rsid w:val="00073479"/>
    <w:rsid w:val="00073AFF"/>
    <w:rsid w:val="00074410"/>
    <w:rsid w:val="00074A36"/>
    <w:rsid w:val="00074DDA"/>
    <w:rsid w:val="00075C52"/>
    <w:rsid w:val="00080228"/>
    <w:rsid w:val="00080850"/>
    <w:rsid w:val="00080CA9"/>
    <w:rsid w:val="000819AF"/>
    <w:rsid w:val="000823B2"/>
    <w:rsid w:val="00082D66"/>
    <w:rsid w:val="00082EA5"/>
    <w:rsid w:val="000842EA"/>
    <w:rsid w:val="00084986"/>
    <w:rsid w:val="00084C50"/>
    <w:rsid w:val="00085C42"/>
    <w:rsid w:val="000911D9"/>
    <w:rsid w:val="00092406"/>
    <w:rsid w:val="00093CFF"/>
    <w:rsid w:val="00094491"/>
    <w:rsid w:val="000965A5"/>
    <w:rsid w:val="00097018"/>
    <w:rsid w:val="00097168"/>
    <w:rsid w:val="000A009C"/>
    <w:rsid w:val="000A01D8"/>
    <w:rsid w:val="000A1534"/>
    <w:rsid w:val="000A15FB"/>
    <w:rsid w:val="000A413D"/>
    <w:rsid w:val="000A58F9"/>
    <w:rsid w:val="000A6D62"/>
    <w:rsid w:val="000A7A7B"/>
    <w:rsid w:val="000B054E"/>
    <w:rsid w:val="000B0AF4"/>
    <w:rsid w:val="000B0BEE"/>
    <w:rsid w:val="000B20D6"/>
    <w:rsid w:val="000B3189"/>
    <w:rsid w:val="000B3722"/>
    <w:rsid w:val="000B3944"/>
    <w:rsid w:val="000B4470"/>
    <w:rsid w:val="000B496E"/>
    <w:rsid w:val="000B4AB6"/>
    <w:rsid w:val="000B4D88"/>
    <w:rsid w:val="000B65D6"/>
    <w:rsid w:val="000B67C0"/>
    <w:rsid w:val="000B7419"/>
    <w:rsid w:val="000B7C27"/>
    <w:rsid w:val="000C18B9"/>
    <w:rsid w:val="000C18BD"/>
    <w:rsid w:val="000C259D"/>
    <w:rsid w:val="000C321C"/>
    <w:rsid w:val="000C3525"/>
    <w:rsid w:val="000C46B4"/>
    <w:rsid w:val="000C51DB"/>
    <w:rsid w:val="000C6146"/>
    <w:rsid w:val="000C6F9B"/>
    <w:rsid w:val="000C710B"/>
    <w:rsid w:val="000D0D06"/>
    <w:rsid w:val="000D1D24"/>
    <w:rsid w:val="000D24B7"/>
    <w:rsid w:val="000D2AE1"/>
    <w:rsid w:val="000D2FD2"/>
    <w:rsid w:val="000D30DF"/>
    <w:rsid w:val="000D3CB3"/>
    <w:rsid w:val="000D5087"/>
    <w:rsid w:val="000D5758"/>
    <w:rsid w:val="000D62E2"/>
    <w:rsid w:val="000D657B"/>
    <w:rsid w:val="000D67F8"/>
    <w:rsid w:val="000D793F"/>
    <w:rsid w:val="000E079F"/>
    <w:rsid w:val="000E0CEC"/>
    <w:rsid w:val="000E2E4B"/>
    <w:rsid w:val="000E378C"/>
    <w:rsid w:val="000E3C6B"/>
    <w:rsid w:val="000E511E"/>
    <w:rsid w:val="000E5F3E"/>
    <w:rsid w:val="000E6213"/>
    <w:rsid w:val="000E69C7"/>
    <w:rsid w:val="000E75C8"/>
    <w:rsid w:val="000E7670"/>
    <w:rsid w:val="000E7F78"/>
    <w:rsid w:val="000F265F"/>
    <w:rsid w:val="000F33EC"/>
    <w:rsid w:val="000F51BF"/>
    <w:rsid w:val="00101514"/>
    <w:rsid w:val="00101CE5"/>
    <w:rsid w:val="00102A64"/>
    <w:rsid w:val="00102FE5"/>
    <w:rsid w:val="00103B55"/>
    <w:rsid w:val="00104A17"/>
    <w:rsid w:val="00104BAB"/>
    <w:rsid w:val="00104E87"/>
    <w:rsid w:val="001067F3"/>
    <w:rsid w:val="00106C58"/>
    <w:rsid w:val="00106CAA"/>
    <w:rsid w:val="00106CFD"/>
    <w:rsid w:val="00107168"/>
    <w:rsid w:val="00110123"/>
    <w:rsid w:val="00111C5B"/>
    <w:rsid w:val="001125F5"/>
    <w:rsid w:val="00114A57"/>
    <w:rsid w:val="001171C5"/>
    <w:rsid w:val="00117CDA"/>
    <w:rsid w:val="001204FB"/>
    <w:rsid w:val="00121BF9"/>
    <w:rsid w:val="00122142"/>
    <w:rsid w:val="001226C3"/>
    <w:rsid w:val="0012370B"/>
    <w:rsid w:val="00123AF4"/>
    <w:rsid w:val="00124593"/>
    <w:rsid w:val="001245F1"/>
    <w:rsid w:val="00125481"/>
    <w:rsid w:val="001257E7"/>
    <w:rsid w:val="00126B25"/>
    <w:rsid w:val="00126BA0"/>
    <w:rsid w:val="0013169D"/>
    <w:rsid w:val="00131775"/>
    <w:rsid w:val="0013183D"/>
    <w:rsid w:val="00132F41"/>
    <w:rsid w:val="00133052"/>
    <w:rsid w:val="0013398F"/>
    <w:rsid w:val="00133A85"/>
    <w:rsid w:val="00133F35"/>
    <w:rsid w:val="00133F4C"/>
    <w:rsid w:val="001345BF"/>
    <w:rsid w:val="00134C1E"/>
    <w:rsid w:val="00135402"/>
    <w:rsid w:val="0013629B"/>
    <w:rsid w:val="001404D6"/>
    <w:rsid w:val="00140A8F"/>
    <w:rsid w:val="0014159A"/>
    <w:rsid w:val="00141A27"/>
    <w:rsid w:val="00141E97"/>
    <w:rsid w:val="0014205F"/>
    <w:rsid w:val="001423E0"/>
    <w:rsid w:val="00143617"/>
    <w:rsid w:val="001438D6"/>
    <w:rsid w:val="001439BF"/>
    <w:rsid w:val="00143D78"/>
    <w:rsid w:val="00147AAA"/>
    <w:rsid w:val="00151291"/>
    <w:rsid w:val="00151B67"/>
    <w:rsid w:val="00151F5E"/>
    <w:rsid w:val="001524FF"/>
    <w:rsid w:val="001526BA"/>
    <w:rsid w:val="00152D0D"/>
    <w:rsid w:val="00154E0B"/>
    <w:rsid w:val="00155545"/>
    <w:rsid w:val="00156496"/>
    <w:rsid w:val="0015707B"/>
    <w:rsid w:val="00157633"/>
    <w:rsid w:val="0016120E"/>
    <w:rsid w:val="00161421"/>
    <w:rsid w:val="001622E8"/>
    <w:rsid w:val="0016251C"/>
    <w:rsid w:val="00162D76"/>
    <w:rsid w:val="00163408"/>
    <w:rsid w:val="00165741"/>
    <w:rsid w:val="00166A26"/>
    <w:rsid w:val="0016700A"/>
    <w:rsid w:val="00167821"/>
    <w:rsid w:val="00171E4B"/>
    <w:rsid w:val="0017287C"/>
    <w:rsid w:val="00172A27"/>
    <w:rsid w:val="00172D4E"/>
    <w:rsid w:val="00173375"/>
    <w:rsid w:val="001748AA"/>
    <w:rsid w:val="001749BE"/>
    <w:rsid w:val="001755E7"/>
    <w:rsid w:val="001771BF"/>
    <w:rsid w:val="00177759"/>
    <w:rsid w:val="0017777D"/>
    <w:rsid w:val="001814DC"/>
    <w:rsid w:val="001822B4"/>
    <w:rsid w:val="00182AF0"/>
    <w:rsid w:val="001831A5"/>
    <w:rsid w:val="0018543F"/>
    <w:rsid w:val="00185CAE"/>
    <w:rsid w:val="00186CAD"/>
    <w:rsid w:val="00186D1B"/>
    <w:rsid w:val="001873EE"/>
    <w:rsid w:val="001876A2"/>
    <w:rsid w:val="00187B39"/>
    <w:rsid w:val="00190BD8"/>
    <w:rsid w:val="00190E8C"/>
    <w:rsid w:val="00191B93"/>
    <w:rsid w:val="00194478"/>
    <w:rsid w:val="001949D5"/>
    <w:rsid w:val="00195B76"/>
    <w:rsid w:val="00195EF6"/>
    <w:rsid w:val="0019638C"/>
    <w:rsid w:val="00197258"/>
    <w:rsid w:val="001A0B1B"/>
    <w:rsid w:val="001A111D"/>
    <w:rsid w:val="001A2BDB"/>
    <w:rsid w:val="001A3C23"/>
    <w:rsid w:val="001A5431"/>
    <w:rsid w:val="001A70A4"/>
    <w:rsid w:val="001B20D3"/>
    <w:rsid w:val="001B3324"/>
    <w:rsid w:val="001B4762"/>
    <w:rsid w:val="001B4FDA"/>
    <w:rsid w:val="001B5328"/>
    <w:rsid w:val="001C01AC"/>
    <w:rsid w:val="001C027C"/>
    <w:rsid w:val="001C0561"/>
    <w:rsid w:val="001C0D38"/>
    <w:rsid w:val="001C30E1"/>
    <w:rsid w:val="001C3843"/>
    <w:rsid w:val="001C42EA"/>
    <w:rsid w:val="001C4FDD"/>
    <w:rsid w:val="001C6D03"/>
    <w:rsid w:val="001D067E"/>
    <w:rsid w:val="001D0DAD"/>
    <w:rsid w:val="001D243C"/>
    <w:rsid w:val="001D451A"/>
    <w:rsid w:val="001D650E"/>
    <w:rsid w:val="001D6EA0"/>
    <w:rsid w:val="001D7C95"/>
    <w:rsid w:val="001E115E"/>
    <w:rsid w:val="001E327E"/>
    <w:rsid w:val="001E4B36"/>
    <w:rsid w:val="001E60F0"/>
    <w:rsid w:val="001E6555"/>
    <w:rsid w:val="001E6933"/>
    <w:rsid w:val="001E743C"/>
    <w:rsid w:val="001F0703"/>
    <w:rsid w:val="001F0E17"/>
    <w:rsid w:val="001F16BB"/>
    <w:rsid w:val="001F21FE"/>
    <w:rsid w:val="001F4212"/>
    <w:rsid w:val="001F5BAB"/>
    <w:rsid w:val="001F6532"/>
    <w:rsid w:val="001F6A5D"/>
    <w:rsid w:val="001F6F4A"/>
    <w:rsid w:val="001F7678"/>
    <w:rsid w:val="001F7820"/>
    <w:rsid w:val="00200663"/>
    <w:rsid w:val="00200685"/>
    <w:rsid w:val="00200C7E"/>
    <w:rsid w:val="0020371B"/>
    <w:rsid w:val="0020381D"/>
    <w:rsid w:val="00204223"/>
    <w:rsid w:val="00206E7F"/>
    <w:rsid w:val="00207B41"/>
    <w:rsid w:val="00207C0C"/>
    <w:rsid w:val="002106E0"/>
    <w:rsid w:val="002108AF"/>
    <w:rsid w:val="0021115B"/>
    <w:rsid w:val="0021326F"/>
    <w:rsid w:val="0021347A"/>
    <w:rsid w:val="00213878"/>
    <w:rsid w:val="0021478C"/>
    <w:rsid w:val="002177C4"/>
    <w:rsid w:val="00220A00"/>
    <w:rsid w:val="002215A5"/>
    <w:rsid w:val="0022269E"/>
    <w:rsid w:val="00222D6C"/>
    <w:rsid w:val="0022347E"/>
    <w:rsid w:val="002238F2"/>
    <w:rsid w:val="0022461E"/>
    <w:rsid w:val="00225769"/>
    <w:rsid w:val="00226FFF"/>
    <w:rsid w:val="002270EC"/>
    <w:rsid w:val="00227B2D"/>
    <w:rsid w:val="00235159"/>
    <w:rsid w:val="002357A2"/>
    <w:rsid w:val="002372E7"/>
    <w:rsid w:val="00240981"/>
    <w:rsid w:val="00241C36"/>
    <w:rsid w:val="00242502"/>
    <w:rsid w:val="00243BCD"/>
    <w:rsid w:val="00244399"/>
    <w:rsid w:val="002454A6"/>
    <w:rsid w:val="00245818"/>
    <w:rsid w:val="00245FD3"/>
    <w:rsid w:val="002460ED"/>
    <w:rsid w:val="00246282"/>
    <w:rsid w:val="00247318"/>
    <w:rsid w:val="002473E0"/>
    <w:rsid w:val="00251163"/>
    <w:rsid w:val="00251653"/>
    <w:rsid w:val="00251B78"/>
    <w:rsid w:val="00251BE5"/>
    <w:rsid w:val="0025216B"/>
    <w:rsid w:val="002528A3"/>
    <w:rsid w:val="0025297A"/>
    <w:rsid w:val="00252B22"/>
    <w:rsid w:val="002530BB"/>
    <w:rsid w:val="00254B85"/>
    <w:rsid w:val="002556E5"/>
    <w:rsid w:val="0025722D"/>
    <w:rsid w:val="00257A16"/>
    <w:rsid w:val="00261C7B"/>
    <w:rsid w:val="00261CC5"/>
    <w:rsid w:val="0026258F"/>
    <w:rsid w:val="00263719"/>
    <w:rsid w:val="002637FA"/>
    <w:rsid w:val="00263FE4"/>
    <w:rsid w:val="00264247"/>
    <w:rsid w:val="00265544"/>
    <w:rsid w:val="0026680F"/>
    <w:rsid w:val="00271DF5"/>
    <w:rsid w:val="002723CB"/>
    <w:rsid w:val="002731C4"/>
    <w:rsid w:val="00273E77"/>
    <w:rsid w:val="00274716"/>
    <w:rsid w:val="00274B75"/>
    <w:rsid w:val="00275C84"/>
    <w:rsid w:val="00276FE0"/>
    <w:rsid w:val="00277114"/>
    <w:rsid w:val="0027797E"/>
    <w:rsid w:val="0028055A"/>
    <w:rsid w:val="00280C11"/>
    <w:rsid w:val="002818F1"/>
    <w:rsid w:val="00281B91"/>
    <w:rsid w:val="00282A09"/>
    <w:rsid w:val="002840AA"/>
    <w:rsid w:val="002843C5"/>
    <w:rsid w:val="00284DEF"/>
    <w:rsid w:val="002859B4"/>
    <w:rsid w:val="00285BA9"/>
    <w:rsid w:val="00285CBF"/>
    <w:rsid w:val="00286701"/>
    <w:rsid w:val="00290099"/>
    <w:rsid w:val="0029085C"/>
    <w:rsid w:val="00291324"/>
    <w:rsid w:val="00291953"/>
    <w:rsid w:val="00292BC0"/>
    <w:rsid w:val="00293212"/>
    <w:rsid w:val="0029416E"/>
    <w:rsid w:val="00294556"/>
    <w:rsid w:val="00294C69"/>
    <w:rsid w:val="00295E18"/>
    <w:rsid w:val="0029703E"/>
    <w:rsid w:val="002A1C68"/>
    <w:rsid w:val="002A3897"/>
    <w:rsid w:val="002A4647"/>
    <w:rsid w:val="002A4D2F"/>
    <w:rsid w:val="002A5C14"/>
    <w:rsid w:val="002A7287"/>
    <w:rsid w:val="002A741D"/>
    <w:rsid w:val="002A7C85"/>
    <w:rsid w:val="002B0136"/>
    <w:rsid w:val="002B1A64"/>
    <w:rsid w:val="002B1C2D"/>
    <w:rsid w:val="002B2776"/>
    <w:rsid w:val="002B2AD8"/>
    <w:rsid w:val="002B2B87"/>
    <w:rsid w:val="002B2CCE"/>
    <w:rsid w:val="002B352D"/>
    <w:rsid w:val="002B677C"/>
    <w:rsid w:val="002B7F3E"/>
    <w:rsid w:val="002C05A1"/>
    <w:rsid w:val="002C05DC"/>
    <w:rsid w:val="002C147D"/>
    <w:rsid w:val="002C28A3"/>
    <w:rsid w:val="002C2E39"/>
    <w:rsid w:val="002C31D1"/>
    <w:rsid w:val="002C3364"/>
    <w:rsid w:val="002C37FC"/>
    <w:rsid w:val="002C4224"/>
    <w:rsid w:val="002C42DE"/>
    <w:rsid w:val="002C5D98"/>
    <w:rsid w:val="002C70EF"/>
    <w:rsid w:val="002C7138"/>
    <w:rsid w:val="002D0975"/>
    <w:rsid w:val="002D0DA6"/>
    <w:rsid w:val="002D175D"/>
    <w:rsid w:val="002D20E3"/>
    <w:rsid w:val="002D3B1F"/>
    <w:rsid w:val="002D3F16"/>
    <w:rsid w:val="002D5409"/>
    <w:rsid w:val="002D5D1D"/>
    <w:rsid w:val="002D64D7"/>
    <w:rsid w:val="002D6E2D"/>
    <w:rsid w:val="002E03E7"/>
    <w:rsid w:val="002E0F75"/>
    <w:rsid w:val="002E27D3"/>
    <w:rsid w:val="002E3D96"/>
    <w:rsid w:val="002E4E6C"/>
    <w:rsid w:val="002E68A9"/>
    <w:rsid w:val="002E7D45"/>
    <w:rsid w:val="002E7EF6"/>
    <w:rsid w:val="002F0128"/>
    <w:rsid w:val="002F09C2"/>
    <w:rsid w:val="002F1B25"/>
    <w:rsid w:val="002F2808"/>
    <w:rsid w:val="002F2C8F"/>
    <w:rsid w:val="002F2F49"/>
    <w:rsid w:val="002F42EF"/>
    <w:rsid w:val="002F4A55"/>
    <w:rsid w:val="002F4E02"/>
    <w:rsid w:val="002F552B"/>
    <w:rsid w:val="002F6DBD"/>
    <w:rsid w:val="002F7C85"/>
    <w:rsid w:val="002F7DF1"/>
    <w:rsid w:val="002F7EFD"/>
    <w:rsid w:val="0030223C"/>
    <w:rsid w:val="0030255C"/>
    <w:rsid w:val="00302841"/>
    <w:rsid w:val="00303B5F"/>
    <w:rsid w:val="00304174"/>
    <w:rsid w:val="00304A8F"/>
    <w:rsid w:val="00305D53"/>
    <w:rsid w:val="003066DC"/>
    <w:rsid w:val="0030799B"/>
    <w:rsid w:val="0031160B"/>
    <w:rsid w:val="003127E2"/>
    <w:rsid w:val="00312DFA"/>
    <w:rsid w:val="00313E75"/>
    <w:rsid w:val="00314BC2"/>
    <w:rsid w:val="003165CB"/>
    <w:rsid w:val="00316CA9"/>
    <w:rsid w:val="003173F1"/>
    <w:rsid w:val="003175B7"/>
    <w:rsid w:val="00321D14"/>
    <w:rsid w:val="00321F46"/>
    <w:rsid w:val="003224F8"/>
    <w:rsid w:val="00323D6A"/>
    <w:rsid w:val="00323DD9"/>
    <w:rsid w:val="0032489B"/>
    <w:rsid w:val="00325181"/>
    <w:rsid w:val="0032536D"/>
    <w:rsid w:val="00325CDE"/>
    <w:rsid w:val="003273D4"/>
    <w:rsid w:val="00327EBA"/>
    <w:rsid w:val="00330583"/>
    <w:rsid w:val="00330BE7"/>
    <w:rsid w:val="00330D51"/>
    <w:rsid w:val="0033140D"/>
    <w:rsid w:val="00331708"/>
    <w:rsid w:val="00333B4F"/>
    <w:rsid w:val="00334955"/>
    <w:rsid w:val="00334CB4"/>
    <w:rsid w:val="003354C6"/>
    <w:rsid w:val="003356A8"/>
    <w:rsid w:val="00335930"/>
    <w:rsid w:val="00335A2C"/>
    <w:rsid w:val="00336681"/>
    <w:rsid w:val="003372BE"/>
    <w:rsid w:val="003401C4"/>
    <w:rsid w:val="00340ACB"/>
    <w:rsid w:val="00341552"/>
    <w:rsid w:val="00342437"/>
    <w:rsid w:val="0034480E"/>
    <w:rsid w:val="00345524"/>
    <w:rsid w:val="00345946"/>
    <w:rsid w:val="00345EA7"/>
    <w:rsid w:val="00346091"/>
    <w:rsid w:val="003461FE"/>
    <w:rsid w:val="00347D1A"/>
    <w:rsid w:val="00350F7F"/>
    <w:rsid w:val="0035111E"/>
    <w:rsid w:val="00351AA7"/>
    <w:rsid w:val="00353EFF"/>
    <w:rsid w:val="00354B67"/>
    <w:rsid w:val="00354CC7"/>
    <w:rsid w:val="00355321"/>
    <w:rsid w:val="0035613B"/>
    <w:rsid w:val="00356B0B"/>
    <w:rsid w:val="00360034"/>
    <w:rsid w:val="003616B6"/>
    <w:rsid w:val="00361882"/>
    <w:rsid w:val="00362368"/>
    <w:rsid w:val="0036242E"/>
    <w:rsid w:val="00362955"/>
    <w:rsid w:val="003647CE"/>
    <w:rsid w:val="00365239"/>
    <w:rsid w:val="00365445"/>
    <w:rsid w:val="00365FC9"/>
    <w:rsid w:val="00366093"/>
    <w:rsid w:val="0036714B"/>
    <w:rsid w:val="0036725B"/>
    <w:rsid w:val="00370743"/>
    <w:rsid w:val="0037289E"/>
    <w:rsid w:val="00374EE5"/>
    <w:rsid w:val="00375301"/>
    <w:rsid w:val="00375BF0"/>
    <w:rsid w:val="00375ED0"/>
    <w:rsid w:val="00376C40"/>
    <w:rsid w:val="00376D30"/>
    <w:rsid w:val="00376FA4"/>
    <w:rsid w:val="0038026F"/>
    <w:rsid w:val="0038071C"/>
    <w:rsid w:val="00381378"/>
    <w:rsid w:val="00381833"/>
    <w:rsid w:val="00382C80"/>
    <w:rsid w:val="00385F83"/>
    <w:rsid w:val="00386BD8"/>
    <w:rsid w:val="00390DDD"/>
    <w:rsid w:val="0039135B"/>
    <w:rsid w:val="003927AC"/>
    <w:rsid w:val="00392C48"/>
    <w:rsid w:val="00392CE0"/>
    <w:rsid w:val="00392E9F"/>
    <w:rsid w:val="003935D8"/>
    <w:rsid w:val="00395D35"/>
    <w:rsid w:val="0039656C"/>
    <w:rsid w:val="003970FD"/>
    <w:rsid w:val="003A0370"/>
    <w:rsid w:val="003A1534"/>
    <w:rsid w:val="003A180A"/>
    <w:rsid w:val="003A1CBF"/>
    <w:rsid w:val="003A1E47"/>
    <w:rsid w:val="003A2B6E"/>
    <w:rsid w:val="003A3712"/>
    <w:rsid w:val="003A37CB"/>
    <w:rsid w:val="003A46D0"/>
    <w:rsid w:val="003A5543"/>
    <w:rsid w:val="003A5A96"/>
    <w:rsid w:val="003A65E1"/>
    <w:rsid w:val="003A68C3"/>
    <w:rsid w:val="003A7842"/>
    <w:rsid w:val="003A78EA"/>
    <w:rsid w:val="003B0C0C"/>
    <w:rsid w:val="003B1004"/>
    <w:rsid w:val="003B1159"/>
    <w:rsid w:val="003B16A0"/>
    <w:rsid w:val="003B17D1"/>
    <w:rsid w:val="003B4721"/>
    <w:rsid w:val="003B4D02"/>
    <w:rsid w:val="003B6719"/>
    <w:rsid w:val="003B764C"/>
    <w:rsid w:val="003B786A"/>
    <w:rsid w:val="003C00A3"/>
    <w:rsid w:val="003C0ADA"/>
    <w:rsid w:val="003C176A"/>
    <w:rsid w:val="003C195B"/>
    <w:rsid w:val="003C1B5C"/>
    <w:rsid w:val="003C2174"/>
    <w:rsid w:val="003C2787"/>
    <w:rsid w:val="003C2881"/>
    <w:rsid w:val="003C2CB8"/>
    <w:rsid w:val="003C4FB6"/>
    <w:rsid w:val="003C5C18"/>
    <w:rsid w:val="003C5D8F"/>
    <w:rsid w:val="003C68DC"/>
    <w:rsid w:val="003D0C60"/>
    <w:rsid w:val="003D1B70"/>
    <w:rsid w:val="003D239A"/>
    <w:rsid w:val="003D4A0E"/>
    <w:rsid w:val="003D5783"/>
    <w:rsid w:val="003D606A"/>
    <w:rsid w:val="003D6A18"/>
    <w:rsid w:val="003D7C83"/>
    <w:rsid w:val="003E0682"/>
    <w:rsid w:val="003E0A2D"/>
    <w:rsid w:val="003E0ACF"/>
    <w:rsid w:val="003E11DD"/>
    <w:rsid w:val="003E129D"/>
    <w:rsid w:val="003E166E"/>
    <w:rsid w:val="003E1744"/>
    <w:rsid w:val="003E285A"/>
    <w:rsid w:val="003E3B2D"/>
    <w:rsid w:val="003E45A1"/>
    <w:rsid w:val="003E4745"/>
    <w:rsid w:val="003E4A76"/>
    <w:rsid w:val="003E6AC0"/>
    <w:rsid w:val="003E74F0"/>
    <w:rsid w:val="003F006C"/>
    <w:rsid w:val="003F04F6"/>
    <w:rsid w:val="003F09BD"/>
    <w:rsid w:val="003F2693"/>
    <w:rsid w:val="003F2DF2"/>
    <w:rsid w:val="003F353D"/>
    <w:rsid w:val="003F3577"/>
    <w:rsid w:val="003F45C1"/>
    <w:rsid w:val="003F6A67"/>
    <w:rsid w:val="003F6C24"/>
    <w:rsid w:val="00400827"/>
    <w:rsid w:val="00400C13"/>
    <w:rsid w:val="0040242B"/>
    <w:rsid w:val="00402A6D"/>
    <w:rsid w:val="00402B41"/>
    <w:rsid w:val="00404EF6"/>
    <w:rsid w:val="00405D6F"/>
    <w:rsid w:val="0040778C"/>
    <w:rsid w:val="00411F32"/>
    <w:rsid w:val="00412199"/>
    <w:rsid w:val="0041227D"/>
    <w:rsid w:val="004122AF"/>
    <w:rsid w:val="00412763"/>
    <w:rsid w:val="00413816"/>
    <w:rsid w:val="00413859"/>
    <w:rsid w:val="004142EB"/>
    <w:rsid w:val="004143ED"/>
    <w:rsid w:val="00414544"/>
    <w:rsid w:val="00415642"/>
    <w:rsid w:val="00416040"/>
    <w:rsid w:val="0041652D"/>
    <w:rsid w:val="004206EA"/>
    <w:rsid w:val="00420C20"/>
    <w:rsid w:val="00421ADB"/>
    <w:rsid w:val="00422447"/>
    <w:rsid w:val="004232A3"/>
    <w:rsid w:val="00423909"/>
    <w:rsid w:val="0042494B"/>
    <w:rsid w:val="00424C26"/>
    <w:rsid w:val="00425053"/>
    <w:rsid w:val="00425B22"/>
    <w:rsid w:val="00425EC9"/>
    <w:rsid w:val="00426486"/>
    <w:rsid w:val="00426A7D"/>
    <w:rsid w:val="00426D4F"/>
    <w:rsid w:val="00426DC2"/>
    <w:rsid w:val="00427A7A"/>
    <w:rsid w:val="00427D57"/>
    <w:rsid w:val="00432722"/>
    <w:rsid w:val="00432C50"/>
    <w:rsid w:val="0043307D"/>
    <w:rsid w:val="00433BA6"/>
    <w:rsid w:val="00435373"/>
    <w:rsid w:val="00436B7C"/>
    <w:rsid w:val="00437259"/>
    <w:rsid w:val="00437337"/>
    <w:rsid w:val="004378FD"/>
    <w:rsid w:val="00440533"/>
    <w:rsid w:val="004405C0"/>
    <w:rsid w:val="00442A26"/>
    <w:rsid w:val="0044362A"/>
    <w:rsid w:val="00443F4C"/>
    <w:rsid w:val="00444E3A"/>
    <w:rsid w:val="004459BD"/>
    <w:rsid w:val="00445F49"/>
    <w:rsid w:val="00446FD0"/>
    <w:rsid w:val="004473B0"/>
    <w:rsid w:val="00450BDF"/>
    <w:rsid w:val="00450EBD"/>
    <w:rsid w:val="00452A0C"/>
    <w:rsid w:val="004542EE"/>
    <w:rsid w:val="0045442C"/>
    <w:rsid w:val="00454481"/>
    <w:rsid w:val="00455A74"/>
    <w:rsid w:val="00456C4E"/>
    <w:rsid w:val="0045798D"/>
    <w:rsid w:val="00457B5C"/>
    <w:rsid w:val="00461B76"/>
    <w:rsid w:val="00462287"/>
    <w:rsid w:val="0046316B"/>
    <w:rsid w:val="004631AE"/>
    <w:rsid w:val="00463DE6"/>
    <w:rsid w:val="00465342"/>
    <w:rsid w:val="0046595B"/>
    <w:rsid w:val="004665F8"/>
    <w:rsid w:val="00466628"/>
    <w:rsid w:val="00466968"/>
    <w:rsid w:val="00466DBB"/>
    <w:rsid w:val="00467A31"/>
    <w:rsid w:val="00471167"/>
    <w:rsid w:val="004714E6"/>
    <w:rsid w:val="00471D78"/>
    <w:rsid w:val="004721F7"/>
    <w:rsid w:val="0047426D"/>
    <w:rsid w:val="00475ACD"/>
    <w:rsid w:val="00476AA6"/>
    <w:rsid w:val="004800DB"/>
    <w:rsid w:val="0048067B"/>
    <w:rsid w:val="00480C1F"/>
    <w:rsid w:val="0048155D"/>
    <w:rsid w:val="00481C66"/>
    <w:rsid w:val="0048209A"/>
    <w:rsid w:val="00483540"/>
    <w:rsid w:val="00483C7B"/>
    <w:rsid w:val="00484423"/>
    <w:rsid w:val="00484D32"/>
    <w:rsid w:val="0048518E"/>
    <w:rsid w:val="00485A2C"/>
    <w:rsid w:val="004878D8"/>
    <w:rsid w:val="004915DE"/>
    <w:rsid w:val="00491A69"/>
    <w:rsid w:val="00491CE9"/>
    <w:rsid w:val="004929B1"/>
    <w:rsid w:val="004939A1"/>
    <w:rsid w:val="00493B3D"/>
    <w:rsid w:val="00494936"/>
    <w:rsid w:val="00494FD8"/>
    <w:rsid w:val="00495656"/>
    <w:rsid w:val="004963F2"/>
    <w:rsid w:val="00497AC0"/>
    <w:rsid w:val="00497E3C"/>
    <w:rsid w:val="004A0175"/>
    <w:rsid w:val="004A0628"/>
    <w:rsid w:val="004A1244"/>
    <w:rsid w:val="004A14B1"/>
    <w:rsid w:val="004A1DB5"/>
    <w:rsid w:val="004A21A8"/>
    <w:rsid w:val="004A3238"/>
    <w:rsid w:val="004A35DC"/>
    <w:rsid w:val="004A37F6"/>
    <w:rsid w:val="004A40A8"/>
    <w:rsid w:val="004A4728"/>
    <w:rsid w:val="004A5343"/>
    <w:rsid w:val="004A55CD"/>
    <w:rsid w:val="004A55DC"/>
    <w:rsid w:val="004A56BC"/>
    <w:rsid w:val="004A59A9"/>
    <w:rsid w:val="004A68C5"/>
    <w:rsid w:val="004A6AD0"/>
    <w:rsid w:val="004A6E4A"/>
    <w:rsid w:val="004A71AC"/>
    <w:rsid w:val="004A72C1"/>
    <w:rsid w:val="004B2029"/>
    <w:rsid w:val="004B247D"/>
    <w:rsid w:val="004B2482"/>
    <w:rsid w:val="004B2BCD"/>
    <w:rsid w:val="004B4588"/>
    <w:rsid w:val="004B56AE"/>
    <w:rsid w:val="004B7A45"/>
    <w:rsid w:val="004C0065"/>
    <w:rsid w:val="004C00B0"/>
    <w:rsid w:val="004C02FE"/>
    <w:rsid w:val="004C0DBE"/>
    <w:rsid w:val="004C2204"/>
    <w:rsid w:val="004C2381"/>
    <w:rsid w:val="004C2DF3"/>
    <w:rsid w:val="004C2FC8"/>
    <w:rsid w:val="004C30A9"/>
    <w:rsid w:val="004C30F4"/>
    <w:rsid w:val="004C380A"/>
    <w:rsid w:val="004C3A90"/>
    <w:rsid w:val="004C4E52"/>
    <w:rsid w:val="004C4F13"/>
    <w:rsid w:val="004C5917"/>
    <w:rsid w:val="004C5DD6"/>
    <w:rsid w:val="004C68E3"/>
    <w:rsid w:val="004C7272"/>
    <w:rsid w:val="004D03A0"/>
    <w:rsid w:val="004D17F2"/>
    <w:rsid w:val="004D2CDF"/>
    <w:rsid w:val="004D302D"/>
    <w:rsid w:val="004D408A"/>
    <w:rsid w:val="004D428C"/>
    <w:rsid w:val="004D44F3"/>
    <w:rsid w:val="004D480E"/>
    <w:rsid w:val="004D5AAB"/>
    <w:rsid w:val="004D5B4C"/>
    <w:rsid w:val="004D6530"/>
    <w:rsid w:val="004D6BCA"/>
    <w:rsid w:val="004E010F"/>
    <w:rsid w:val="004E30BA"/>
    <w:rsid w:val="004E31CF"/>
    <w:rsid w:val="004E3640"/>
    <w:rsid w:val="004E4BEC"/>
    <w:rsid w:val="004E504A"/>
    <w:rsid w:val="004E5512"/>
    <w:rsid w:val="004E581D"/>
    <w:rsid w:val="004F07D4"/>
    <w:rsid w:val="004F08EC"/>
    <w:rsid w:val="004F1594"/>
    <w:rsid w:val="004F47B0"/>
    <w:rsid w:val="004F59A7"/>
    <w:rsid w:val="004F6C84"/>
    <w:rsid w:val="004F75A6"/>
    <w:rsid w:val="004F75F8"/>
    <w:rsid w:val="00500567"/>
    <w:rsid w:val="00500F76"/>
    <w:rsid w:val="0050118F"/>
    <w:rsid w:val="00501CD9"/>
    <w:rsid w:val="005021F2"/>
    <w:rsid w:val="005028A6"/>
    <w:rsid w:val="00502CA7"/>
    <w:rsid w:val="00502F3D"/>
    <w:rsid w:val="005034F5"/>
    <w:rsid w:val="00503B21"/>
    <w:rsid w:val="00507413"/>
    <w:rsid w:val="00507BA2"/>
    <w:rsid w:val="00507CC3"/>
    <w:rsid w:val="00510249"/>
    <w:rsid w:val="005126BD"/>
    <w:rsid w:val="00513AFE"/>
    <w:rsid w:val="00514178"/>
    <w:rsid w:val="00514871"/>
    <w:rsid w:val="00515593"/>
    <w:rsid w:val="00515A07"/>
    <w:rsid w:val="00515BE2"/>
    <w:rsid w:val="00515DA0"/>
    <w:rsid w:val="00515EAD"/>
    <w:rsid w:val="00516008"/>
    <w:rsid w:val="00516727"/>
    <w:rsid w:val="00516E35"/>
    <w:rsid w:val="005173A1"/>
    <w:rsid w:val="0052079D"/>
    <w:rsid w:val="005213C6"/>
    <w:rsid w:val="005214CF"/>
    <w:rsid w:val="005220C6"/>
    <w:rsid w:val="005222A9"/>
    <w:rsid w:val="00523A2F"/>
    <w:rsid w:val="0052506B"/>
    <w:rsid w:val="0052541F"/>
    <w:rsid w:val="00525A6A"/>
    <w:rsid w:val="00525BE0"/>
    <w:rsid w:val="00525E7F"/>
    <w:rsid w:val="00526C69"/>
    <w:rsid w:val="00527371"/>
    <w:rsid w:val="005306F0"/>
    <w:rsid w:val="00530EBA"/>
    <w:rsid w:val="00530FFC"/>
    <w:rsid w:val="00532136"/>
    <w:rsid w:val="005323D4"/>
    <w:rsid w:val="005324DD"/>
    <w:rsid w:val="005334E1"/>
    <w:rsid w:val="00533AE5"/>
    <w:rsid w:val="00533FE9"/>
    <w:rsid w:val="005359E8"/>
    <w:rsid w:val="00535A5C"/>
    <w:rsid w:val="00536111"/>
    <w:rsid w:val="00536119"/>
    <w:rsid w:val="00537090"/>
    <w:rsid w:val="0053710F"/>
    <w:rsid w:val="00537541"/>
    <w:rsid w:val="00537720"/>
    <w:rsid w:val="00540737"/>
    <w:rsid w:val="00540814"/>
    <w:rsid w:val="00541A10"/>
    <w:rsid w:val="00542A74"/>
    <w:rsid w:val="00543312"/>
    <w:rsid w:val="005437A9"/>
    <w:rsid w:val="005440A4"/>
    <w:rsid w:val="00544437"/>
    <w:rsid w:val="005444DA"/>
    <w:rsid w:val="0054479A"/>
    <w:rsid w:val="00546F28"/>
    <w:rsid w:val="00550419"/>
    <w:rsid w:val="00551131"/>
    <w:rsid w:val="005522D9"/>
    <w:rsid w:val="00552630"/>
    <w:rsid w:val="00552BC4"/>
    <w:rsid w:val="00553B6A"/>
    <w:rsid w:val="005550BE"/>
    <w:rsid w:val="005567AD"/>
    <w:rsid w:val="00560B21"/>
    <w:rsid w:val="00561332"/>
    <w:rsid w:val="00561671"/>
    <w:rsid w:val="00561936"/>
    <w:rsid w:val="00561BB4"/>
    <w:rsid w:val="00562359"/>
    <w:rsid w:val="00562957"/>
    <w:rsid w:val="00562AE4"/>
    <w:rsid w:val="00563120"/>
    <w:rsid w:val="00563433"/>
    <w:rsid w:val="00563FD1"/>
    <w:rsid w:val="005641A2"/>
    <w:rsid w:val="00565923"/>
    <w:rsid w:val="005661ED"/>
    <w:rsid w:val="00566388"/>
    <w:rsid w:val="0056753C"/>
    <w:rsid w:val="00567F16"/>
    <w:rsid w:val="005700E5"/>
    <w:rsid w:val="00571310"/>
    <w:rsid w:val="00571CC8"/>
    <w:rsid w:val="00572F10"/>
    <w:rsid w:val="00574007"/>
    <w:rsid w:val="00574312"/>
    <w:rsid w:val="00574609"/>
    <w:rsid w:val="00574760"/>
    <w:rsid w:val="0057526F"/>
    <w:rsid w:val="005756D3"/>
    <w:rsid w:val="005761D6"/>
    <w:rsid w:val="0057743B"/>
    <w:rsid w:val="00577F8E"/>
    <w:rsid w:val="00580228"/>
    <w:rsid w:val="00580D10"/>
    <w:rsid w:val="00580EAF"/>
    <w:rsid w:val="00581723"/>
    <w:rsid w:val="0058204C"/>
    <w:rsid w:val="00583817"/>
    <w:rsid w:val="00583996"/>
    <w:rsid w:val="005839D7"/>
    <w:rsid w:val="00583B68"/>
    <w:rsid w:val="00583BC5"/>
    <w:rsid w:val="00583D0C"/>
    <w:rsid w:val="00583EF1"/>
    <w:rsid w:val="005840C4"/>
    <w:rsid w:val="00584ADB"/>
    <w:rsid w:val="00584DAB"/>
    <w:rsid w:val="0058504C"/>
    <w:rsid w:val="0058507E"/>
    <w:rsid w:val="00585EFC"/>
    <w:rsid w:val="0058715C"/>
    <w:rsid w:val="00587CA0"/>
    <w:rsid w:val="00587FDA"/>
    <w:rsid w:val="005909DA"/>
    <w:rsid w:val="00591484"/>
    <w:rsid w:val="0059190C"/>
    <w:rsid w:val="00591C32"/>
    <w:rsid w:val="0059202E"/>
    <w:rsid w:val="00592297"/>
    <w:rsid w:val="005929C9"/>
    <w:rsid w:val="00593E3A"/>
    <w:rsid w:val="00595772"/>
    <w:rsid w:val="00595D73"/>
    <w:rsid w:val="005961E5"/>
    <w:rsid w:val="00597155"/>
    <w:rsid w:val="005A092E"/>
    <w:rsid w:val="005A128E"/>
    <w:rsid w:val="005A12BA"/>
    <w:rsid w:val="005A162D"/>
    <w:rsid w:val="005A2290"/>
    <w:rsid w:val="005A246E"/>
    <w:rsid w:val="005A2480"/>
    <w:rsid w:val="005A2A1C"/>
    <w:rsid w:val="005A3407"/>
    <w:rsid w:val="005A3807"/>
    <w:rsid w:val="005A456A"/>
    <w:rsid w:val="005A4BB1"/>
    <w:rsid w:val="005A4CC0"/>
    <w:rsid w:val="005A5134"/>
    <w:rsid w:val="005A5229"/>
    <w:rsid w:val="005A557D"/>
    <w:rsid w:val="005A5944"/>
    <w:rsid w:val="005A65ED"/>
    <w:rsid w:val="005A6645"/>
    <w:rsid w:val="005A7158"/>
    <w:rsid w:val="005A7389"/>
    <w:rsid w:val="005A74A8"/>
    <w:rsid w:val="005A7521"/>
    <w:rsid w:val="005B14B5"/>
    <w:rsid w:val="005B2535"/>
    <w:rsid w:val="005B2CEE"/>
    <w:rsid w:val="005B56E8"/>
    <w:rsid w:val="005B5ED9"/>
    <w:rsid w:val="005C0C0D"/>
    <w:rsid w:val="005C1460"/>
    <w:rsid w:val="005C3A85"/>
    <w:rsid w:val="005C4117"/>
    <w:rsid w:val="005C512E"/>
    <w:rsid w:val="005C6D13"/>
    <w:rsid w:val="005C727B"/>
    <w:rsid w:val="005C7B66"/>
    <w:rsid w:val="005D087A"/>
    <w:rsid w:val="005D11E7"/>
    <w:rsid w:val="005D1511"/>
    <w:rsid w:val="005D169A"/>
    <w:rsid w:val="005D19E9"/>
    <w:rsid w:val="005D2099"/>
    <w:rsid w:val="005D3154"/>
    <w:rsid w:val="005D499A"/>
    <w:rsid w:val="005D4CF6"/>
    <w:rsid w:val="005D644C"/>
    <w:rsid w:val="005D659A"/>
    <w:rsid w:val="005D7873"/>
    <w:rsid w:val="005D7C6E"/>
    <w:rsid w:val="005E01B0"/>
    <w:rsid w:val="005E0A71"/>
    <w:rsid w:val="005E0BF4"/>
    <w:rsid w:val="005E13BE"/>
    <w:rsid w:val="005E1C02"/>
    <w:rsid w:val="005E23F7"/>
    <w:rsid w:val="005E25C4"/>
    <w:rsid w:val="005E2C8E"/>
    <w:rsid w:val="005E337D"/>
    <w:rsid w:val="005E4319"/>
    <w:rsid w:val="005E49B7"/>
    <w:rsid w:val="005E72E9"/>
    <w:rsid w:val="005E789F"/>
    <w:rsid w:val="005F19DD"/>
    <w:rsid w:val="005F354E"/>
    <w:rsid w:val="005F3986"/>
    <w:rsid w:val="005F43F7"/>
    <w:rsid w:val="005F4903"/>
    <w:rsid w:val="005F6B2B"/>
    <w:rsid w:val="005F6D77"/>
    <w:rsid w:val="006006ED"/>
    <w:rsid w:val="00602466"/>
    <w:rsid w:val="00602B8E"/>
    <w:rsid w:val="00602BF4"/>
    <w:rsid w:val="0060307C"/>
    <w:rsid w:val="0060445F"/>
    <w:rsid w:val="0060508E"/>
    <w:rsid w:val="00606722"/>
    <w:rsid w:val="006068C4"/>
    <w:rsid w:val="00610306"/>
    <w:rsid w:val="0061036E"/>
    <w:rsid w:val="00611735"/>
    <w:rsid w:val="00611B1B"/>
    <w:rsid w:val="00612B98"/>
    <w:rsid w:val="00612BE2"/>
    <w:rsid w:val="00613327"/>
    <w:rsid w:val="006145C4"/>
    <w:rsid w:val="0061517C"/>
    <w:rsid w:val="00615F15"/>
    <w:rsid w:val="00615F52"/>
    <w:rsid w:val="00621872"/>
    <w:rsid w:val="00622644"/>
    <w:rsid w:val="00623E45"/>
    <w:rsid w:val="00624CAB"/>
    <w:rsid w:val="00624D25"/>
    <w:rsid w:val="0062595E"/>
    <w:rsid w:val="006259BF"/>
    <w:rsid w:val="00625BAD"/>
    <w:rsid w:val="00625CB8"/>
    <w:rsid w:val="00627008"/>
    <w:rsid w:val="00630187"/>
    <w:rsid w:val="00630D06"/>
    <w:rsid w:val="006326B3"/>
    <w:rsid w:val="006328DC"/>
    <w:rsid w:val="00634452"/>
    <w:rsid w:val="0063573D"/>
    <w:rsid w:val="0063601F"/>
    <w:rsid w:val="0063683E"/>
    <w:rsid w:val="006401A4"/>
    <w:rsid w:val="00640A63"/>
    <w:rsid w:val="006416FD"/>
    <w:rsid w:val="00641FA5"/>
    <w:rsid w:val="00643638"/>
    <w:rsid w:val="00643793"/>
    <w:rsid w:val="00644272"/>
    <w:rsid w:val="006447B1"/>
    <w:rsid w:val="00644F06"/>
    <w:rsid w:val="006470FE"/>
    <w:rsid w:val="0064764C"/>
    <w:rsid w:val="00647EED"/>
    <w:rsid w:val="00650A6D"/>
    <w:rsid w:val="006513EC"/>
    <w:rsid w:val="00651A79"/>
    <w:rsid w:val="00651DA6"/>
    <w:rsid w:val="00652D69"/>
    <w:rsid w:val="006530F9"/>
    <w:rsid w:val="00653282"/>
    <w:rsid w:val="006532CE"/>
    <w:rsid w:val="00653CA4"/>
    <w:rsid w:val="00655525"/>
    <w:rsid w:val="006556A2"/>
    <w:rsid w:val="006571AF"/>
    <w:rsid w:val="006571F2"/>
    <w:rsid w:val="006576EF"/>
    <w:rsid w:val="0066001C"/>
    <w:rsid w:val="00660E12"/>
    <w:rsid w:val="006618A4"/>
    <w:rsid w:val="00661CB6"/>
    <w:rsid w:val="00663CF6"/>
    <w:rsid w:val="00663D4E"/>
    <w:rsid w:val="006651D5"/>
    <w:rsid w:val="00665A48"/>
    <w:rsid w:val="00670020"/>
    <w:rsid w:val="00672F4F"/>
    <w:rsid w:val="00673AB3"/>
    <w:rsid w:val="00674269"/>
    <w:rsid w:val="00674D54"/>
    <w:rsid w:val="0067632E"/>
    <w:rsid w:val="0067779C"/>
    <w:rsid w:val="00677B04"/>
    <w:rsid w:val="00680401"/>
    <w:rsid w:val="0068085E"/>
    <w:rsid w:val="00680971"/>
    <w:rsid w:val="0068185E"/>
    <w:rsid w:val="00681FD1"/>
    <w:rsid w:val="0068327C"/>
    <w:rsid w:val="00683B1A"/>
    <w:rsid w:val="00684532"/>
    <w:rsid w:val="00684C68"/>
    <w:rsid w:val="006850CC"/>
    <w:rsid w:val="00687DDC"/>
    <w:rsid w:val="006905F8"/>
    <w:rsid w:val="00690743"/>
    <w:rsid w:val="00690F94"/>
    <w:rsid w:val="00691522"/>
    <w:rsid w:val="00691FD3"/>
    <w:rsid w:val="00693886"/>
    <w:rsid w:val="00694931"/>
    <w:rsid w:val="00695609"/>
    <w:rsid w:val="006962A6"/>
    <w:rsid w:val="00697E42"/>
    <w:rsid w:val="00697E97"/>
    <w:rsid w:val="006A0393"/>
    <w:rsid w:val="006A116B"/>
    <w:rsid w:val="006A27D1"/>
    <w:rsid w:val="006A2AA5"/>
    <w:rsid w:val="006A2B23"/>
    <w:rsid w:val="006A2F45"/>
    <w:rsid w:val="006A42D6"/>
    <w:rsid w:val="006A46B6"/>
    <w:rsid w:val="006A6828"/>
    <w:rsid w:val="006A715E"/>
    <w:rsid w:val="006A7E19"/>
    <w:rsid w:val="006B0506"/>
    <w:rsid w:val="006B07D8"/>
    <w:rsid w:val="006B0AAF"/>
    <w:rsid w:val="006B281A"/>
    <w:rsid w:val="006B31DF"/>
    <w:rsid w:val="006B3D23"/>
    <w:rsid w:val="006B44B4"/>
    <w:rsid w:val="006B5FC3"/>
    <w:rsid w:val="006B79F5"/>
    <w:rsid w:val="006C177B"/>
    <w:rsid w:val="006C1882"/>
    <w:rsid w:val="006C22F0"/>
    <w:rsid w:val="006C267D"/>
    <w:rsid w:val="006C2A26"/>
    <w:rsid w:val="006C34AF"/>
    <w:rsid w:val="006C39B4"/>
    <w:rsid w:val="006C5E7E"/>
    <w:rsid w:val="006C6102"/>
    <w:rsid w:val="006C6BF0"/>
    <w:rsid w:val="006C7935"/>
    <w:rsid w:val="006D15C0"/>
    <w:rsid w:val="006D1A20"/>
    <w:rsid w:val="006D2100"/>
    <w:rsid w:val="006D2E87"/>
    <w:rsid w:val="006D47CA"/>
    <w:rsid w:val="006D4BEF"/>
    <w:rsid w:val="006D4DBA"/>
    <w:rsid w:val="006D4EBD"/>
    <w:rsid w:val="006D4FD9"/>
    <w:rsid w:val="006D57BD"/>
    <w:rsid w:val="006D60F5"/>
    <w:rsid w:val="006D61F7"/>
    <w:rsid w:val="006D6AEB"/>
    <w:rsid w:val="006D6B72"/>
    <w:rsid w:val="006D7B1D"/>
    <w:rsid w:val="006E01BD"/>
    <w:rsid w:val="006E1468"/>
    <w:rsid w:val="006E1C1B"/>
    <w:rsid w:val="006E1F7B"/>
    <w:rsid w:val="006E3E34"/>
    <w:rsid w:val="006E566C"/>
    <w:rsid w:val="006E5E1D"/>
    <w:rsid w:val="006E7F58"/>
    <w:rsid w:val="006F099F"/>
    <w:rsid w:val="006F0AFD"/>
    <w:rsid w:val="006F148E"/>
    <w:rsid w:val="006F1C0B"/>
    <w:rsid w:val="006F2AEB"/>
    <w:rsid w:val="006F2D44"/>
    <w:rsid w:val="006F34BC"/>
    <w:rsid w:val="006F5729"/>
    <w:rsid w:val="006F577B"/>
    <w:rsid w:val="006F5D5E"/>
    <w:rsid w:val="006F631D"/>
    <w:rsid w:val="006F7016"/>
    <w:rsid w:val="006F7631"/>
    <w:rsid w:val="007022F4"/>
    <w:rsid w:val="00702BAE"/>
    <w:rsid w:val="007046EF"/>
    <w:rsid w:val="00704C2F"/>
    <w:rsid w:val="00705508"/>
    <w:rsid w:val="007066E3"/>
    <w:rsid w:val="00706BCF"/>
    <w:rsid w:val="00706DDE"/>
    <w:rsid w:val="0070776F"/>
    <w:rsid w:val="0071051A"/>
    <w:rsid w:val="00710981"/>
    <w:rsid w:val="00711066"/>
    <w:rsid w:val="00711B06"/>
    <w:rsid w:val="00711F68"/>
    <w:rsid w:val="00712FBD"/>
    <w:rsid w:val="0071330A"/>
    <w:rsid w:val="00714552"/>
    <w:rsid w:val="0071614F"/>
    <w:rsid w:val="00716CC8"/>
    <w:rsid w:val="007179E9"/>
    <w:rsid w:val="00717D04"/>
    <w:rsid w:val="00720113"/>
    <w:rsid w:val="00720EFA"/>
    <w:rsid w:val="007219B0"/>
    <w:rsid w:val="00722162"/>
    <w:rsid w:val="00722A58"/>
    <w:rsid w:val="007239F9"/>
    <w:rsid w:val="00727AEB"/>
    <w:rsid w:val="00727E77"/>
    <w:rsid w:val="00730C98"/>
    <w:rsid w:val="00730C9A"/>
    <w:rsid w:val="00730D61"/>
    <w:rsid w:val="00731F73"/>
    <w:rsid w:val="00732650"/>
    <w:rsid w:val="00733336"/>
    <w:rsid w:val="00733D9E"/>
    <w:rsid w:val="007348E0"/>
    <w:rsid w:val="00734FB2"/>
    <w:rsid w:val="00735080"/>
    <w:rsid w:val="00736664"/>
    <w:rsid w:val="00736A2A"/>
    <w:rsid w:val="00740E71"/>
    <w:rsid w:val="00742804"/>
    <w:rsid w:val="0074318F"/>
    <w:rsid w:val="00743296"/>
    <w:rsid w:val="007442C8"/>
    <w:rsid w:val="007447D2"/>
    <w:rsid w:val="0074545A"/>
    <w:rsid w:val="00745CB7"/>
    <w:rsid w:val="00751959"/>
    <w:rsid w:val="00751CB2"/>
    <w:rsid w:val="00751D31"/>
    <w:rsid w:val="0075236A"/>
    <w:rsid w:val="00754068"/>
    <w:rsid w:val="0075479E"/>
    <w:rsid w:val="00754B6C"/>
    <w:rsid w:val="0075544A"/>
    <w:rsid w:val="007559C5"/>
    <w:rsid w:val="00756F43"/>
    <w:rsid w:val="007570A3"/>
    <w:rsid w:val="00760CAF"/>
    <w:rsid w:val="00761065"/>
    <w:rsid w:val="00761165"/>
    <w:rsid w:val="007611AC"/>
    <w:rsid w:val="007617EB"/>
    <w:rsid w:val="00764F42"/>
    <w:rsid w:val="00766AB5"/>
    <w:rsid w:val="00766B26"/>
    <w:rsid w:val="0077011F"/>
    <w:rsid w:val="00770CE7"/>
    <w:rsid w:val="00770EA7"/>
    <w:rsid w:val="00771A9E"/>
    <w:rsid w:val="00771CB2"/>
    <w:rsid w:val="007724A5"/>
    <w:rsid w:val="00772610"/>
    <w:rsid w:val="00772892"/>
    <w:rsid w:val="00774A6E"/>
    <w:rsid w:val="007752F6"/>
    <w:rsid w:val="0077545B"/>
    <w:rsid w:val="00776203"/>
    <w:rsid w:val="007769E5"/>
    <w:rsid w:val="00777A6A"/>
    <w:rsid w:val="007833FA"/>
    <w:rsid w:val="00783EDB"/>
    <w:rsid w:val="00784089"/>
    <w:rsid w:val="00785264"/>
    <w:rsid w:val="0078544E"/>
    <w:rsid w:val="00785EAD"/>
    <w:rsid w:val="00786023"/>
    <w:rsid w:val="00787BC3"/>
    <w:rsid w:val="00787D55"/>
    <w:rsid w:val="00787ECA"/>
    <w:rsid w:val="00790A99"/>
    <w:rsid w:val="00790FDC"/>
    <w:rsid w:val="007915D6"/>
    <w:rsid w:val="00792CAD"/>
    <w:rsid w:val="007951E0"/>
    <w:rsid w:val="007954B5"/>
    <w:rsid w:val="00796844"/>
    <w:rsid w:val="00796BC7"/>
    <w:rsid w:val="00797AB2"/>
    <w:rsid w:val="007A04CA"/>
    <w:rsid w:val="007A174B"/>
    <w:rsid w:val="007A37D2"/>
    <w:rsid w:val="007A3F5B"/>
    <w:rsid w:val="007A50A9"/>
    <w:rsid w:val="007A57C3"/>
    <w:rsid w:val="007B08C2"/>
    <w:rsid w:val="007B12F6"/>
    <w:rsid w:val="007B198D"/>
    <w:rsid w:val="007B23C4"/>
    <w:rsid w:val="007B2AE9"/>
    <w:rsid w:val="007B4C6E"/>
    <w:rsid w:val="007B4C9B"/>
    <w:rsid w:val="007B4EBE"/>
    <w:rsid w:val="007B64E1"/>
    <w:rsid w:val="007C05CB"/>
    <w:rsid w:val="007C05E7"/>
    <w:rsid w:val="007C0D43"/>
    <w:rsid w:val="007C1B7F"/>
    <w:rsid w:val="007C39A6"/>
    <w:rsid w:val="007C6AEB"/>
    <w:rsid w:val="007C730C"/>
    <w:rsid w:val="007C76BB"/>
    <w:rsid w:val="007C77D3"/>
    <w:rsid w:val="007D0558"/>
    <w:rsid w:val="007D14C0"/>
    <w:rsid w:val="007D17B6"/>
    <w:rsid w:val="007D1B5E"/>
    <w:rsid w:val="007D2A46"/>
    <w:rsid w:val="007D513B"/>
    <w:rsid w:val="007D68B1"/>
    <w:rsid w:val="007D6A9F"/>
    <w:rsid w:val="007D718B"/>
    <w:rsid w:val="007D78F0"/>
    <w:rsid w:val="007E118F"/>
    <w:rsid w:val="007E27A2"/>
    <w:rsid w:val="007E286D"/>
    <w:rsid w:val="007E384B"/>
    <w:rsid w:val="007E421A"/>
    <w:rsid w:val="007E540C"/>
    <w:rsid w:val="007E59B2"/>
    <w:rsid w:val="007E59FD"/>
    <w:rsid w:val="007E6F98"/>
    <w:rsid w:val="007F0437"/>
    <w:rsid w:val="007F1254"/>
    <w:rsid w:val="007F1F2B"/>
    <w:rsid w:val="007F24D3"/>
    <w:rsid w:val="007F2AE9"/>
    <w:rsid w:val="007F54F2"/>
    <w:rsid w:val="007F54FB"/>
    <w:rsid w:val="007F5612"/>
    <w:rsid w:val="007F5887"/>
    <w:rsid w:val="00800422"/>
    <w:rsid w:val="0080124A"/>
    <w:rsid w:val="008018CB"/>
    <w:rsid w:val="00801B4B"/>
    <w:rsid w:val="00803AB2"/>
    <w:rsid w:val="00803AB7"/>
    <w:rsid w:val="00803E22"/>
    <w:rsid w:val="00804C0B"/>
    <w:rsid w:val="008062BC"/>
    <w:rsid w:val="00806A41"/>
    <w:rsid w:val="00806D56"/>
    <w:rsid w:val="008105E7"/>
    <w:rsid w:val="00810653"/>
    <w:rsid w:val="00812A7B"/>
    <w:rsid w:val="00813101"/>
    <w:rsid w:val="00813470"/>
    <w:rsid w:val="00815153"/>
    <w:rsid w:val="008154A0"/>
    <w:rsid w:val="00817BFB"/>
    <w:rsid w:val="0082030B"/>
    <w:rsid w:val="008212D1"/>
    <w:rsid w:val="00821448"/>
    <w:rsid w:val="00822D27"/>
    <w:rsid w:val="00825A40"/>
    <w:rsid w:val="008260E7"/>
    <w:rsid w:val="00827298"/>
    <w:rsid w:val="00831AE3"/>
    <w:rsid w:val="008321DC"/>
    <w:rsid w:val="008356CE"/>
    <w:rsid w:val="008365CC"/>
    <w:rsid w:val="00836C7A"/>
    <w:rsid w:val="008371F7"/>
    <w:rsid w:val="00837C91"/>
    <w:rsid w:val="00840B56"/>
    <w:rsid w:val="00843746"/>
    <w:rsid w:val="0084483E"/>
    <w:rsid w:val="0084544A"/>
    <w:rsid w:val="00845A4D"/>
    <w:rsid w:val="00846F2F"/>
    <w:rsid w:val="00847E2F"/>
    <w:rsid w:val="00850E41"/>
    <w:rsid w:val="0085153E"/>
    <w:rsid w:val="00851E58"/>
    <w:rsid w:val="00851E81"/>
    <w:rsid w:val="00853DDB"/>
    <w:rsid w:val="00855042"/>
    <w:rsid w:val="008562D5"/>
    <w:rsid w:val="00856B35"/>
    <w:rsid w:val="00856F31"/>
    <w:rsid w:val="00860E39"/>
    <w:rsid w:val="00861639"/>
    <w:rsid w:val="00862566"/>
    <w:rsid w:val="00862E14"/>
    <w:rsid w:val="008636DC"/>
    <w:rsid w:val="008644F1"/>
    <w:rsid w:val="0086556E"/>
    <w:rsid w:val="0086574A"/>
    <w:rsid w:val="00865D28"/>
    <w:rsid w:val="00865E87"/>
    <w:rsid w:val="00867D4F"/>
    <w:rsid w:val="008702B8"/>
    <w:rsid w:val="00870317"/>
    <w:rsid w:val="008703B7"/>
    <w:rsid w:val="00870759"/>
    <w:rsid w:val="0087101F"/>
    <w:rsid w:val="0087260E"/>
    <w:rsid w:val="00874ACD"/>
    <w:rsid w:val="008751E1"/>
    <w:rsid w:val="008752A3"/>
    <w:rsid w:val="00876C96"/>
    <w:rsid w:val="0088046F"/>
    <w:rsid w:val="008814CD"/>
    <w:rsid w:val="00883811"/>
    <w:rsid w:val="00883BBC"/>
    <w:rsid w:val="00883E54"/>
    <w:rsid w:val="00884135"/>
    <w:rsid w:val="0088578D"/>
    <w:rsid w:val="00885B43"/>
    <w:rsid w:val="00886388"/>
    <w:rsid w:val="008906BB"/>
    <w:rsid w:val="00890C62"/>
    <w:rsid w:val="008914B9"/>
    <w:rsid w:val="008915FF"/>
    <w:rsid w:val="008918D4"/>
    <w:rsid w:val="00891CE1"/>
    <w:rsid w:val="00891FBF"/>
    <w:rsid w:val="00892A33"/>
    <w:rsid w:val="00892A7C"/>
    <w:rsid w:val="00892CB7"/>
    <w:rsid w:val="00892E02"/>
    <w:rsid w:val="00893C1F"/>
    <w:rsid w:val="00893C2F"/>
    <w:rsid w:val="0089535C"/>
    <w:rsid w:val="00895F88"/>
    <w:rsid w:val="008968E6"/>
    <w:rsid w:val="00896B35"/>
    <w:rsid w:val="008A01E6"/>
    <w:rsid w:val="008A154B"/>
    <w:rsid w:val="008A2131"/>
    <w:rsid w:val="008A328F"/>
    <w:rsid w:val="008A4345"/>
    <w:rsid w:val="008A43A2"/>
    <w:rsid w:val="008A48D6"/>
    <w:rsid w:val="008A6E6F"/>
    <w:rsid w:val="008A75BD"/>
    <w:rsid w:val="008B0EB8"/>
    <w:rsid w:val="008B14FF"/>
    <w:rsid w:val="008B1F98"/>
    <w:rsid w:val="008B2403"/>
    <w:rsid w:val="008B272E"/>
    <w:rsid w:val="008B2739"/>
    <w:rsid w:val="008B2923"/>
    <w:rsid w:val="008B2C20"/>
    <w:rsid w:val="008B37CE"/>
    <w:rsid w:val="008B3A9C"/>
    <w:rsid w:val="008B5BEE"/>
    <w:rsid w:val="008B5D45"/>
    <w:rsid w:val="008B730D"/>
    <w:rsid w:val="008B7725"/>
    <w:rsid w:val="008C029C"/>
    <w:rsid w:val="008C076B"/>
    <w:rsid w:val="008C21D2"/>
    <w:rsid w:val="008C2706"/>
    <w:rsid w:val="008C5BFC"/>
    <w:rsid w:val="008C6338"/>
    <w:rsid w:val="008C675E"/>
    <w:rsid w:val="008C7A3B"/>
    <w:rsid w:val="008D070E"/>
    <w:rsid w:val="008D141E"/>
    <w:rsid w:val="008D2CAE"/>
    <w:rsid w:val="008D36A1"/>
    <w:rsid w:val="008D4B6B"/>
    <w:rsid w:val="008D589E"/>
    <w:rsid w:val="008D6EA8"/>
    <w:rsid w:val="008D738A"/>
    <w:rsid w:val="008D7551"/>
    <w:rsid w:val="008D7C53"/>
    <w:rsid w:val="008E1688"/>
    <w:rsid w:val="008E17E1"/>
    <w:rsid w:val="008E2314"/>
    <w:rsid w:val="008E29CC"/>
    <w:rsid w:val="008E474D"/>
    <w:rsid w:val="008E4EBF"/>
    <w:rsid w:val="008E5552"/>
    <w:rsid w:val="008E645C"/>
    <w:rsid w:val="008E661C"/>
    <w:rsid w:val="008E6A90"/>
    <w:rsid w:val="008E72DD"/>
    <w:rsid w:val="008E7F3E"/>
    <w:rsid w:val="008E7FDD"/>
    <w:rsid w:val="008F0DC6"/>
    <w:rsid w:val="008F38A6"/>
    <w:rsid w:val="008F3FC8"/>
    <w:rsid w:val="008F428A"/>
    <w:rsid w:val="008F44CD"/>
    <w:rsid w:val="008F4911"/>
    <w:rsid w:val="008F5194"/>
    <w:rsid w:val="008F598E"/>
    <w:rsid w:val="008F6534"/>
    <w:rsid w:val="008F7833"/>
    <w:rsid w:val="008F7A00"/>
    <w:rsid w:val="008F7D9D"/>
    <w:rsid w:val="008F7DFB"/>
    <w:rsid w:val="00900330"/>
    <w:rsid w:val="00900E8F"/>
    <w:rsid w:val="009022DE"/>
    <w:rsid w:val="0090277E"/>
    <w:rsid w:val="009030CE"/>
    <w:rsid w:val="0090373E"/>
    <w:rsid w:val="009043E0"/>
    <w:rsid w:val="00904B3C"/>
    <w:rsid w:val="00904D90"/>
    <w:rsid w:val="00905143"/>
    <w:rsid w:val="00905422"/>
    <w:rsid w:val="00906158"/>
    <w:rsid w:val="00906909"/>
    <w:rsid w:val="0090700F"/>
    <w:rsid w:val="00907159"/>
    <w:rsid w:val="00910677"/>
    <w:rsid w:val="00911828"/>
    <w:rsid w:val="0091225A"/>
    <w:rsid w:val="00913664"/>
    <w:rsid w:val="00913909"/>
    <w:rsid w:val="0091414D"/>
    <w:rsid w:val="00914550"/>
    <w:rsid w:val="009145D3"/>
    <w:rsid w:val="00916B4E"/>
    <w:rsid w:val="00920AE9"/>
    <w:rsid w:val="00921A3F"/>
    <w:rsid w:val="00922554"/>
    <w:rsid w:val="0092396E"/>
    <w:rsid w:val="0092532E"/>
    <w:rsid w:val="0092602E"/>
    <w:rsid w:val="00926573"/>
    <w:rsid w:val="0092716A"/>
    <w:rsid w:val="009307AF"/>
    <w:rsid w:val="00930886"/>
    <w:rsid w:val="00930A32"/>
    <w:rsid w:val="0093100C"/>
    <w:rsid w:val="009320F7"/>
    <w:rsid w:val="009333E0"/>
    <w:rsid w:val="00934D9A"/>
    <w:rsid w:val="00935460"/>
    <w:rsid w:val="00935990"/>
    <w:rsid w:val="00935E49"/>
    <w:rsid w:val="00936CB4"/>
    <w:rsid w:val="00936CF1"/>
    <w:rsid w:val="00937E0A"/>
    <w:rsid w:val="0094106A"/>
    <w:rsid w:val="0094180F"/>
    <w:rsid w:val="009420BC"/>
    <w:rsid w:val="00945586"/>
    <w:rsid w:val="00946645"/>
    <w:rsid w:val="00946BFC"/>
    <w:rsid w:val="00946F4B"/>
    <w:rsid w:val="0094710E"/>
    <w:rsid w:val="00947B11"/>
    <w:rsid w:val="009504D0"/>
    <w:rsid w:val="009507EF"/>
    <w:rsid w:val="00950E76"/>
    <w:rsid w:val="009519C5"/>
    <w:rsid w:val="00951CCF"/>
    <w:rsid w:val="009520EF"/>
    <w:rsid w:val="0095262B"/>
    <w:rsid w:val="00952EC4"/>
    <w:rsid w:val="00952F54"/>
    <w:rsid w:val="00954982"/>
    <w:rsid w:val="00955409"/>
    <w:rsid w:val="00956BAC"/>
    <w:rsid w:val="00956E82"/>
    <w:rsid w:val="009573DA"/>
    <w:rsid w:val="00957DF0"/>
    <w:rsid w:val="0096056E"/>
    <w:rsid w:val="00960842"/>
    <w:rsid w:val="00960991"/>
    <w:rsid w:val="009614B7"/>
    <w:rsid w:val="009616B5"/>
    <w:rsid w:val="00961C32"/>
    <w:rsid w:val="00963018"/>
    <w:rsid w:val="00963AF0"/>
    <w:rsid w:val="00964364"/>
    <w:rsid w:val="009700B7"/>
    <w:rsid w:val="00971E4F"/>
    <w:rsid w:val="009723D6"/>
    <w:rsid w:val="00973D0F"/>
    <w:rsid w:val="00974AAA"/>
    <w:rsid w:val="00975965"/>
    <w:rsid w:val="00975F33"/>
    <w:rsid w:val="0097662B"/>
    <w:rsid w:val="009802B9"/>
    <w:rsid w:val="00980D34"/>
    <w:rsid w:val="009818AD"/>
    <w:rsid w:val="00981B95"/>
    <w:rsid w:val="00984188"/>
    <w:rsid w:val="00984C49"/>
    <w:rsid w:val="00984F9B"/>
    <w:rsid w:val="00987152"/>
    <w:rsid w:val="00987689"/>
    <w:rsid w:val="0098796F"/>
    <w:rsid w:val="00987EE8"/>
    <w:rsid w:val="009905B0"/>
    <w:rsid w:val="009922DD"/>
    <w:rsid w:val="009922F8"/>
    <w:rsid w:val="00995FB7"/>
    <w:rsid w:val="00996ACF"/>
    <w:rsid w:val="00997095"/>
    <w:rsid w:val="0099740B"/>
    <w:rsid w:val="00997872"/>
    <w:rsid w:val="009A008B"/>
    <w:rsid w:val="009A014F"/>
    <w:rsid w:val="009A01FD"/>
    <w:rsid w:val="009A1355"/>
    <w:rsid w:val="009A185D"/>
    <w:rsid w:val="009A19A8"/>
    <w:rsid w:val="009A1C94"/>
    <w:rsid w:val="009A3843"/>
    <w:rsid w:val="009A3BA3"/>
    <w:rsid w:val="009A5376"/>
    <w:rsid w:val="009B087D"/>
    <w:rsid w:val="009B0A63"/>
    <w:rsid w:val="009B129C"/>
    <w:rsid w:val="009B17A5"/>
    <w:rsid w:val="009B1C48"/>
    <w:rsid w:val="009B20F2"/>
    <w:rsid w:val="009B3CE5"/>
    <w:rsid w:val="009B4050"/>
    <w:rsid w:val="009B47A1"/>
    <w:rsid w:val="009B58E8"/>
    <w:rsid w:val="009B5A42"/>
    <w:rsid w:val="009B6FCC"/>
    <w:rsid w:val="009B7387"/>
    <w:rsid w:val="009C158A"/>
    <w:rsid w:val="009C282E"/>
    <w:rsid w:val="009C47D3"/>
    <w:rsid w:val="009C5BDA"/>
    <w:rsid w:val="009C6C95"/>
    <w:rsid w:val="009C7184"/>
    <w:rsid w:val="009D0CAC"/>
    <w:rsid w:val="009D149A"/>
    <w:rsid w:val="009D19B2"/>
    <w:rsid w:val="009D2144"/>
    <w:rsid w:val="009D2CAB"/>
    <w:rsid w:val="009D2F48"/>
    <w:rsid w:val="009D3195"/>
    <w:rsid w:val="009D4B8B"/>
    <w:rsid w:val="009D5AAB"/>
    <w:rsid w:val="009D6E81"/>
    <w:rsid w:val="009E0361"/>
    <w:rsid w:val="009E1C86"/>
    <w:rsid w:val="009E2253"/>
    <w:rsid w:val="009E2F8A"/>
    <w:rsid w:val="009E4398"/>
    <w:rsid w:val="009E5162"/>
    <w:rsid w:val="009E6CD2"/>
    <w:rsid w:val="009E6FBD"/>
    <w:rsid w:val="009E7D73"/>
    <w:rsid w:val="009F0EFE"/>
    <w:rsid w:val="009F0FED"/>
    <w:rsid w:val="009F106E"/>
    <w:rsid w:val="009F1707"/>
    <w:rsid w:val="009F26AF"/>
    <w:rsid w:val="009F3189"/>
    <w:rsid w:val="009F3377"/>
    <w:rsid w:val="009F40CC"/>
    <w:rsid w:val="009F5DF1"/>
    <w:rsid w:val="009F76FE"/>
    <w:rsid w:val="00A00071"/>
    <w:rsid w:val="00A0024A"/>
    <w:rsid w:val="00A02310"/>
    <w:rsid w:val="00A02F16"/>
    <w:rsid w:val="00A03D91"/>
    <w:rsid w:val="00A03E9C"/>
    <w:rsid w:val="00A03F9C"/>
    <w:rsid w:val="00A04361"/>
    <w:rsid w:val="00A05280"/>
    <w:rsid w:val="00A070F0"/>
    <w:rsid w:val="00A078AB"/>
    <w:rsid w:val="00A078E7"/>
    <w:rsid w:val="00A109A0"/>
    <w:rsid w:val="00A10B71"/>
    <w:rsid w:val="00A114E7"/>
    <w:rsid w:val="00A11C9E"/>
    <w:rsid w:val="00A1287A"/>
    <w:rsid w:val="00A1385B"/>
    <w:rsid w:val="00A13C61"/>
    <w:rsid w:val="00A14B6F"/>
    <w:rsid w:val="00A17683"/>
    <w:rsid w:val="00A17C91"/>
    <w:rsid w:val="00A20545"/>
    <w:rsid w:val="00A20552"/>
    <w:rsid w:val="00A20B40"/>
    <w:rsid w:val="00A20DDD"/>
    <w:rsid w:val="00A21CDB"/>
    <w:rsid w:val="00A237C2"/>
    <w:rsid w:val="00A23C09"/>
    <w:rsid w:val="00A243CB"/>
    <w:rsid w:val="00A24B0D"/>
    <w:rsid w:val="00A25415"/>
    <w:rsid w:val="00A27395"/>
    <w:rsid w:val="00A27E3E"/>
    <w:rsid w:val="00A31DD6"/>
    <w:rsid w:val="00A32A0C"/>
    <w:rsid w:val="00A32BD1"/>
    <w:rsid w:val="00A32E02"/>
    <w:rsid w:val="00A332FD"/>
    <w:rsid w:val="00A33CF0"/>
    <w:rsid w:val="00A36D7A"/>
    <w:rsid w:val="00A37C0E"/>
    <w:rsid w:val="00A37F14"/>
    <w:rsid w:val="00A404BF"/>
    <w:rsid w:val="00A421D9"/>
    <w:rsid w:val="00A428AD"/>
    <w:rsid w:val="00A42B6F"/>
    <w:rsid w:val="00A44610"/>
    <w:rsid w:val="00A450DE"/>
    <w:rsid w:val="00A46327"/>
    <w:rsid w:val="00A46401"/>
    <w:rsid w:val="00A46AFF"/>
    <w:rsid w:val="00A47277"/>
    <w:rsid w:val="00A500ED"/>
    <w:rsid w:val="00A513E3"/>
    <w:rsid w:val="00A51E1D"/>
    <w:rsid w:val="00A524D2"/>
    <w:rsid w:val="00A539F6"/>
    <w:rsid w:val="00A543FC"/>
    <w:rsid w:val="00A54927"/>
    <w:rsid w:val="00A567CB"/>
    <w:rsid w:val="00A571A2"/>
    <w:rsid w:val="00A5782C"/>
    <w:rsid w:val="00A57F89"/>
    <w:rsid w:val="00A609A1"/>
    <w:rsid w:val="00A60FA2"/>
    <w:rsid w:val="00A61344"/>
    <w:rsid w:val="00A61699"/>
    <w:rsid w:val="00A61C23"/>
    <w:rsid w:val="00A61C74"/>
    <w:rsid w:val="00A6202B"/>
    <w:rsid w:val="00A62E1A"/>
    <w:rsid w:val="00A635FF"/>
    <w:rsid w:val="00A63968"/>
    <w:rsid w:val="00A63FB7"/>
    <w:rsid w:val="00A650A8"/>
    <w:rsid w:val="00A6678F"/>
    <w:rsid w:val="00A675E5"/>
    <w:rsid w:val="00A701EF"/>
    <w:rsid w:val="00A71800"/>
    <w:rsid w:val="00A71885"/>
    <w:rsid w:val="00A737BF"/>
    <w:rsid w:val="00A73EC3"/>
    <w:rsid w:val="00A7539B"/>
    <w:rsid w:val="00A76545"/>
    <w:rsid w:val="00A834DA"/>
    <w:rsid w:val="00A84BB6"/>
    <w:rsid w:val="00A84FD7"/>
    <w:rsid w:val="00A85059"/>
    <w:rsid w:val="00A8562F"/>
    <w:rsid w:val="00A86A34"/>
    <w:rsid w:val="00A87F6C"/>
    <w:rsid w:val="00A90058"/>
    <w:rsid w:val="00A90D59"/>
    <w:rsid w:val="00A91725"/>
    <w:rsid w:val="00A92450"/>
    <w:rsid w:val="00A92CE2"/>
    <w:rsid w:val="00A944F3"/>
    <w:rsid w:val="00A95020"/>
    <w:rsid w:val="00A950A1"/>
    <w:rsid w:val="00A96372"/>
    <w:rsid w:val="00A966D7"/>
    <w:rsid w:val="00A96861"/>
    <w:rsid w:val="00A97606"/>
    <w:rsid w:val="00A97D95"/>
    <w:rsid w:val="00AA0CD3"/>
    <w:rsid w:val="00AA169C"/>
    <w:rsid w:val="00AA2A82"/>
    <w:rsid w:val="00AA3765"/>
    <w:rsid w:val="00AA3E4E"/>
    <w:rsid w:val="00AA6783"/>
    <w:rsid w:val="00AA6AE5"/>
    <w:rsid w:val="00AA7ED6"/>
    <w:rsid w:val="00AB09B6"/>
    <w:rsid w:val="00AB13AB"/>
    <w:rsid w:val="00AB318A"/>
    <w:rsid w:val="00AB35B4"/>
    <w:rsid w:val="00AB4386"/>
    <w:rsid w:val="00AB48A5"/>
    <w:rsid w:val="00AB6229"/>
    <w:rsid w:val="00AB680E"/>
    <w:rsid w:val="00AB7367"/>
    <w:rsid w:val="00AB7712"/>
    <w:rsid w:val="00AC110E"/>
    <w:rsid w:val="00AC1449"/>
    <w:rsid w:val="00AC153F"/>
    <w:rsid w:val="00AC244B"/>
    <w:rsid w:val="00AC267D"/>
    <w:rsid w:val="00AC306E"/>
    <w:rsid w:val="00AC408F"/>
    <w:rsid w:val="00AC409F"/>
    <w:rsid w:val="00AC44CD"/>
    <w:rsid w:val="00AC4D85"/>
    <w:rsid w:val="00AC4E33"/>
    <w:rsid w:val="00AC50BD"/>
    <w:rsid w:val="00AC532D"/>
    <w:rsid w:val="00AC540B"/>
    <w:rsid w:val="00AD0CF3"/>
    <w:rsid w:val="00AD0D97"/>
    <w:rsid w:val="00AD1294"/>
    <w:rsid w:val="00AD44BA"/>
    <w:rsid w:val="00AD474A"/>
    <w:rsid w:val="00AD7498"/>
    <w:rsid w:val="00AE0F5E"/>
    <w:rsid w:val="00AE302E"/>
    <w:rsid w:val="00AE3228"/>
    <w:rsid w:val="00AE3934"/>
    <w:rsid w:val="00AE4BBF"/>
    <w:rsid w:val="00AE4CDD"/>
    <w:rsid w:val="00AE4D9B"/>
    <w:rsid w:val="00AE622C"/>
    <w:rsid w:val="00AE74CA"/>
    <w:rsid w:val="00AE7F19"/>
    <w:rsid w:val="00AF0932"/>
    <w:rsid w:val="00AF0D4F"/>
    <w:rsid w:val="00AF13CA"/>
    <w:rsid w:val="00AF1A7A"/>
    <w:rsid w:val="00AF2263"/>
    <w:rsid w:val="00AF2E36"/>
    <w:rsid w:val="00AF3271"/>
    <w:rsid w:val="00AF4293"/>
    <w:rsid w:val="00AF5EFC"/>
    <w:rsid w:val="00AF61BD"/>
    <w:rsid w:val="00AF6C9D"/>
    <w:rsid w:val="00AF6D07"/>
    <w:rsid w:val="00AF758C"/>
    <w:rsid w:val="00B008C7"/>
    <w:rsid w:val="00B00CD3"/>
    <w:rsid w:val="00B01BCE"/>
    <w:rsid w:val="00B033C5"/>
    <w:rsid w:val="00B0356B"/>
    <w:rsid w:val="00B03DE9"/>
    <w:rsid w:val="00B03F6B"/>
    <w:rsid w:val="00B04525"/>
    <w:rsid w:val="00B112F9"/>
    <w:rsid w:val="00B12542"/>
    <w:rsid w:val="00B12CA8"/>
    <w:rsid w:val="00B13A6C"/>
    <w:rsid w:val="00B1430C"/>
    <w:rsid w:val="00B14B02"/>
    <w:rsid w:val="00B15847"/>
    <w:rsid w:val="00B16A9C"/>
    <w:rsid w:val="00B170ED"/>
    <w:rsid w:val="00B1736A"/>
    <w:rsid w:val="00B1759A"/>
    <w:rsid w:val="00B177F3"/>
    <w:rsid w:val="00B17B78"/>
    <w:rsid w:val="00B17CA1"/>
    <w:rsid w:val="00B17F1F"/>
    <w:rsid w:val="00B21409"/>
    <w:rsid w:val="00B224EE"/>
    <w:rsid w:val="00B22EA5"/>
    <w:rsid w:val="00B24355"/>
    <w:rsid w:val="00B246E7"/>
    <w:rsid w:val="00B2487A"/>
    <w:rsid w:val="00B24DA0"/>
    <w:rsid w:val="00B254DD"/>
    <w:rsid w:val="00B30708"/>
    <w:rsid w:val="00B30FEE"/>
    <w:rsid w:val="00B31E5E"/>
    <w:rsid w:val="00B326E7"/>
    <w:rsid w:val="00B32BA6"/>
    <w:rsid w:val="00B3332F"/>
    <w:rsid w:val="00B336C0"/>
    <w:rsid w:val="00B336F7"/>
    <w:rsid w:val="00B357CE"/>
    <w:rsid w:val="00B358B9"/>
    <w:rsid w:val="00B36F3B"/>
    <w:rsid w:val="00B37107"/>
    <w:rsid w:val="00B37E90"/>
    <w:rsid w:val="00B41ED9"/>
    <w:rsid w:val="00B42A95"/>
    <w:rsid w:val="00B431D4"/>
    <w:rsid w:val="00B4360D"/>
    <w:rsid w:val="00B4397A"/>
    <w:rsid w:val="00B43AEC"/>
    <w:rsid w:val="00B442B6"/>
    <w:rsid w:val="00B44D6C"/>
    <w:rsid w:val="00B459C2"/>
    <w:rsid w:val="00B46630"/>
    <w:rsid w:val="00B46A80"/>
    <w:rsid w:val="00B47118"/>
    <w:rsid w:val="00B473F2"/>
    <w:rsid w:val="00B478F1"/>
    <w:rsid w:val="00B50323"/>
    <w:rsid w:val="00B5081A"/>
    <w:rsid w:val="00B50CAA"/>
    <w:rsid w:val="00B50EDE"/>
    <w:rsid w:val="00B52907"/>
    <w:rsid w:val="00B54F89"/>
    <w:rsid w:val="00B554C3"/>
    <w:rsid w:val="00B5587B"/>
    <w:rsid w:val="00B56049"/>
    <w:rsid w:val="00B561F3"/>
    <w:rsid w:val="00B568C6"/>
    <w:rsid w:val="00B576FF"/>
    <w:rsid w:val="00B600BC"/>
    <w:rsid w:val="00B607D5"/>
    <w:rsid w:val="00B60DD9"/>
    <w:rsid w:val="00B614F8"/>
    <w:rsid w:val="00B61675"/>
    <w:rsid w:val="00B617D4"/>
    <w:rsid w:val="00B62512"/>
    <w:rsid w:val="00B62B41"/>
    <w:rsid w:val="00B62F38"/>
    <w:rsid w:val="00B638CB"/>
    <w:rsid w:val="00B644D5"/>
    <w:rsid w:val="00B6463C"/>
    <w:rsid w:val="00B64EA7"/>
    <w:rsid w:val="00B65F8C"/>
    <w:rsid w:val="00B66879"/>
    <w:rsid w:val="00B66F59"/>
    <w:rsid w:val="00B66FAB"/>
    <w:rsid w:val="00B67489"/>
    <w:rsid w:val="00B70786"/>
    <w:rsid w:val="00B70C9C"/>
    <w:rsid w:val="00B71AAA"/>
    <w:rsid w:val="00B72C20"/>
    <w:rsid w:val="00B74633"/>
    <w:rsid w:val="00B74BD3"/>
    <w:rsid w:val="00B74BED"/>
    <w:rsid w:val="00B74CCA"/>
    <w:rsid w:val="00B74D22"/>
    <w:rsid w:val="00B7524B"/>
    <w:rsid w:val="00B7578D"/>
    <w:rsid w:val="00B75991"/>
    <w:rsid w:val="00B77D4D"/>
    <w:rsid w:val="00B80464"/>
    <w:rsid w:val="00B81A67"/>
    <w:rsid w:val="00B832FC"/>
    <w:rsid w:val="00B841D1"/>
    <w:rsid w:val="00B84412"/>
    <w:rsid w:val="00B8745D"/>
    <w:rsid w:val="00B878CD"/>
    <w:rsid w:val="00B87DE1"/>
    <w:rsid w:val="00B90C8A"/>
    <w:rsid w:val="00B9106D"/>
    <w:rsid w:val="00B93132"/>
    <w:rsid w:val="00B93526"/>
    <w:rsid w:val="00B93F46"/>
    <w:rsid w:val="00B9537A"/>
    <w:rsid w:val="00B95A2B"/>
    <w:rsid w:val="00B95F0F"/>
    <w:rsid w:val="00B96960"/>
    <w:rsid w:val="00B96FA9"/>
    <w:rsid w:val="00B974CC"/>
    <w:rsid w:val="00B97F5D"/>
    <w:rsid w:val="00BA038C"/>
    <w:rsid w:val="00BA0590"/>
    <w:rsid w:val="00BA2989"/>
    <w:rsid w:val="00BA2BEE"/>
    <w:rsid w:val="00BA3276"/>
    <w:rsid w:val="00BA4233"/>
    <w:rsid w:val="00BA5180"/>
    <w:rsid w:val="00BA5A5C"/>
    <w:rsid w:val="00BA5C65"/>
    <w:rsid w:val="00BA5DD6"/>
    <w:rsid w:val="00BA6DF9"/>
    <w:rsid w:val="00BA6F41"/>
    <w:rsid w:val="00BB0EC5"/>
    <w:rsid w:val="00BB1729"/>
    <w:rsid w:val="00BB3BE1"/>
    <w:rsid w:val="00BB440B"/>
    <w:rsid w:val="00BB4B1B"/>
    <w:rsid w:val="00BB52FF"/>
    <w:rsid w:val="00BB53DE"/>
    <w:rsid w:val="00BB551D"/>
    <w:rsid w:val="00BB5F9C"/>
    <w:rsid w:val="00BB6EF3"/>
    <w:rsid w:val="00BB7198"/>
    <w:rsid w:val="00BC0236"/>
    <w:rsid w:val="00BC035F"/>
    <w:rsid w:val="00BC0B59"/>
    <w:rsid w:val="00BC1EF4"/>
    <w:rsid w:val="00BC2328"/>
    <w:rsid w:val="00BC3586"/>
    <w:rsid w:val="00BC38C9"/>
    <w:rsid w:val="00BC67DC"/>
    <w:rsid w:val="00BC7529"/>
    <w:rsid w:val="00BC7BAD"/>
    <w:rsid w:val="00BC7FF5"/>
    <w:rsid w:val="00BD09A5"/>
    <w:rsid w:val="00BD3215"/>
    <w:rsid w:val="00BD3D82"/>
    <w:rsid w:val="00BD3EE8"/>
    <w:rsid w:val="00BD45DA"/>
    <w:rsid w:val="00BD53F2"/>
    <w:rsid w:val="00BD600F"/>
    <w:rsid w:val="00BD7570"/>
    <w:rsid w:val="00BE0616"/>
    <w:rsid w:val="00BE0F44"/>
    <w:rsid w:val="00BE12EC"/>
    <w:rsid w:val="00BE1A8F"/>
    <w:rsid w:val="00BE1E90"/>
    <w:rsid w:val="00BE47F9"/>
    <w:rsid w:val="00BE5568"/>
    <w:rsid w:val="00BE5862"/>
    <w:rsid w:val="00BE5F0C"/>
    <w:rsid w:val="00BE6272"/>
    <w:rsid w:val="00BE6353"/>
    <w:rsid w:val="00BE6BAB"/>
    <w:rsid w:val="00BE6ECB"/>
    <w:rsid w:val="00BE7D04"/>
    <w:rsid w:val="00BE7D4E"/>
    <w:rsid w:val="00BF199E"/>
    <w:rsid w:val="00BF2055"/>
    <w:rsid w:val="00BF388C"/>
    <w:rsid w:val="00BF3B8E"/>
    <w:rsid w:val="00BF472D"/>
    <w:rsid w:val="00BF4B45"/>
    <w:rsid w:val="00BF73B1"/>
    <w:rsid w:val="00BF7805"/>
    <w:rsid w:val="00C00FAF"/>
    <w:rsid w:val="00C019A3"/>
    <w:rsid w:val="00C0280C"/>
    <w:rsid w:val="00C03279"/>
    <w:rsid w:val="00C0357A"/>
    <w:rsid w:val="00C0357D"/>
    <w:rsid w:val="00C03BEE"/>
    <w:rsid w:val="00C03D35"/>
    <w:rsid w:val="00C04466"/>
    <w:rsid w:val="00C0480E"/>
    <w:rsid w:val="00C05182"/>
    <w:rsid w:val="00C052F8"/>
    <w:rsid w:val="00C0561B"/>
    <w:rsid w:val="00C05FA1"/>
    <w:rsid w:val="00C06660"/>
    <w:rsid w:val="00C06F2F"/>
    <w:rsid w:val="00C117CA"/>
    <w:rsid w:val="00C13674"/>
    <w:rsid w:val="00C153BD"/>
    <w:rsid w:val="00C15D7E"/>
    <w:rsid w:val="00C169E0"/>
    <w:rsid w:val="00C16BF0"/>
    <w:rsid w:val="00C16CDD"/>
    <w:rsid w:val="00C16FAB"/>
    <w:rsid w:val="00C17671"/>
    <w:rsid w:val="00C218EB"/>
    <w:rsid w:val="00C22720"/>
    <w:rsid w:val="00C23225"/>
    <w:rsid w:val="00C243D0"/>
    <w:rsid w:val="00C24C19"/>
    <w:rsid w:val="00C24CAC"/>
    <w:rsid w:val="00C25375"/>
    <w:rsid w:val="00C25A48"/>
    <w:rsid w:val="00C2652D"/>
    <w:rsid w:val="00C3131D"/>
    <w:rsid w:val="00C31A55"/>
    <w:rsid w:val="00C32D06"/>
    <w:rsid w:val="00C349A2"/>
    <w:rsid w:val="00C354D9"/>
    <w:rsid w:val="00C379AA"/>
    <w:rsid w:val="00C400DD"/>
    <w:rsid w:val="00C404F5"/>
    <w:rsid w:val="00C4081C"/>
    <w:rsid w:val="00C41661"/>
    <w:rsid w:val="00C4193D"/>
    <w:rsid w:val="00C41C4B"/>
    <w:rsid w:val="00C41CF0"/>
    <w:rsid w:val="00C464FA"/>
    <w:rsid w:val="00C472E7"/>
    <w:rsid w:val="00C5023F"/>
    <w:rsid w:val="00C507D6"/>
    <w:rsid w:val="00C52062"/>
    <w:rsid w:val="00C54401"/>
    <w:rsid w:val="00C54F8E"/>
    <w:rsid w:val="00C552D7"/>
    <w:rsid w:val="00C55C16"/>
    <w:rsid w:val="00C55D3B"/>
    <w:rsid w:val="00C561E5"/>
    <w:rsid w:val="00C57A2D"/>
    <w:rsid w:val="00C57D2B"/>
    <w:rsid w:val="00C60A13"/>
    <w:rsid w:val="00C616EA"/>
    <w:rsid w:val="00C61B76"/>
    <w:rsid w:val="00C6254A"/>
    <w:rsid w:val="00C6287C"/>
    <w:rsid w:val="00C63CFA"/>
    <w:rsid w:val="00C64EE9"/>
    <w:rsid w:val="00C65D65"/>
    <w:rsid w:val="00C661FE"/>
    <w:rsid w:val="00C66C10"/>
    <w:rsid w:val="00C679C1"/>
    <w:rsid w:val="00C67EAA"/>
    <w:rsid w:val="00C709C3"/>
    <w:rsid w:val="00C71E0C"/>
    <w:rsid w:val="00C728A3"/>
    <w:rsid w:val="00C73A47"/>
    <w:rsid w:val="00C73EA2"/>
    <w:rsid w:val="00C74D24"/>
    <w:rsid w:val="00C759E6"/>
    <w:rsid w:val="00C76220"/>
    <w:rsid w:val="00C764D8"/>
    <w:rsid w:val="00C76BCB"/>
    <w:rsid w:val="00C81536"/>
    <w:rsid w:val="00C817DE"/>
    <w:rsid w:val="00C817F6"/>
    <w:rsid w:val="00C82580"/>
    <w:rsid w:val="00C82737"/>
    <w:rsid w:val="00C82D8B"/>
    <w:rsid w:val="00C84A42"/>
    <w:rsid w:val="00C8511D"/>
    <w:rsid w:val="00C8592B"/>
    <w:rsid w:val="00C85A75"/>
    <w:rsid w:val="00C85AD1"/>
    <w:rsid w:val="00C86354"/>
    <w:rsid w:val="00C8651F"/>
    <w:rsid w:val="00C8792A"/>
    <w:rsid w:val="00C87B41"/>
    <w:rsid w:val="00C9016A"/>
    <w:rsid w:val="00C903CC"/>
    <w:rsid w:val="00C91127"/>
    <w:rsid w:val="00C921E2"/>
    <w:rsid w:val="00C92328"/>
    <w:rsid w:val="00C92ED9"/>
    <w:rsid w:val="00C934B3"/>
    <w:rsid w:val="00C946F6"/>
    <w:rsid w:val="00C94B57"/>
    <w:rsid w:val="00C95897"/>
    <w:rsid w:val="00C960A2"/>
    <w:rsid w:val="00CA0D15"/>
    <w:rsid w:val="00CA1CC1"/>
    <w:rsid w:val="00CA2121"/>
    <w:rsid w:val="00CA2200"/>
    <w:rsid w:val="00CA34E9"/>
    <w:rsid w:val="00CA4D4A"/>
    <w:rsid w:val="00CA5076"/>
    <w:rsid w:val="00CA557C"/>
    <w:rsid w:val="00CA7105"/>
    <w:rsid w:val="00CA78CD"/>
    <w:rsid w:val="00CB0804"/>
    <w:rsid w:val="00CB188D"/>
    <w:rsid w:val="00CB20FD"/>
    <w:rsid w:val="00CB2DFD"/>
    <w:rsid w:val="00CB5153"/>
    <w:rsid w:val="00CB6331"/>
    <w:rsid w:val="00CB6C8C"/>
    <w:rsid w:val="00CB733B"/>
    <w:rsid w:val="00CB7848"/>
    <w:rsid w:val="00CC1B5B"/>
    <w:rsid w:val="00CC2781"/>
    <w:rsid w:val="00CC34B5"/>
    <w:rsid w:val="00CC4514"/>
    <w:rsid w:val="00CC4CB7"/>
    <w:rsid w:val="00CC5C16"/>
    <w:rsid w:val="00CC603F"/>
    <w:rsid w:val="00CC6A22"/>
    <w:rsid w:val="00CC6EEB"/>
    <w:rsid w:val="00CD003B"/>
    <w:rsid w:val="00CD131C"/>
    <w:rsid w:val="00CD1894"/>
    <w:rsid w:val="00CD1D93"/>
    <w:rsid w:val="00CD1ED6"/>
    <w:rsid w:val="00CD232E"/>
    <w:rsid w:val="00CD35D7"/>
    <w:rsid w:val="00CD37CA"/>
    <w:rsid w:val="00CD3D94"/>
    <w:rsid w:val="00CD6A05"/>
    <w:rsid w:val="00CD7755"/>
    <w:rsid w:val="00CD7883"/>
    <w:rsid w:val="00CE0476"/>
    <w:rsid w:val="00CE0EEE"/>
    <w:rsid w:val="00CE174D"/>
    <w:rsid w:val="00CE2AB4"/>
    <w:rsid w:val="00CE3652"/>
    <w:rsid w:val="00CE3C2A"/>
    <w:rsid w:val="00CE4449"/>
    <w:rsid w:val="00CE48E2"/>
    <w:rsid w:val="00CE48EE"/>
    <w:rsid w:val="00CE4978"/>
    <w:rsid w:val="00CE5242"/>
    <w:rsid w:val="00CE5F87"/>
    <w:rsid w:val="00CE67F2"/>
    <w:rsid w:val="00CF0072"/>
    <w:rsid w:val="00CF0A06"/>
    <w:rsid w:val="00CF0E34"/>
    <w:rsid w:val="00CF2280"/>
    <w:rsid w:val="00CF375D"/>
    <w:rsid w:val="00CF3F8C"/>
    <w:rsid w:val="00CF4359"/>
    <w:rsid w:val="00CF44C0"/>
    <w:rsid w:val="00CF5858"/>
    <w:rsid w:val="00CF7D06"/>
    <w:rsid w:val="00D008BF"/>
    <w:rsid w:val="00D00C7B"/>
    <w:rsid w:val="00D02439"/>
    <w:rsid w:val="00D028D0"/>
    <w:rsid w:val="00D0416D"/>
    <w:rsid w:val="00D05B84"/>
    <w:rsid w:val="00D05F4E"/>
    <w:rsid w:val="00D061C9"/>
    <w:rsid w:val="00D06EE4"/>
    <w:rsid w:val="00D078D5"/>
    <w:rsid w:val="00D07A95"/>
    <w:rsid w:val="00D101D0"/>
    <w:rsid w:val="00D106DF"/>
    <w:rsid w:val="00D10F69"/>
    <w:rsid w:val="00D12043"/>
    <w:rsid w:val="00D12DAB"/>
    <w:rsid w:val="00D132B1"/>
    <w:rsid w:val="00D1364A"/>
    <w:rsid w:val="00D13ADD"/>
    <w:rsid w:val="00D14A58"/>
    <w:rsid w:val="00D15315"/>
    <w:rsid w:val="00D15A74"/>
    <w:rsid w:val="00D16052"/>
    <w:rsid w:val="00D164BE"/>
    <w:rsid w:val="00D1675D"/>
    <w:rsid w:val="00D204A4"/>
    <w:rsid w:val="00D22359"/>
    <w:rsid w:val="00D2286C"/>
    <w:rsid w:val="00D2336C"/>
    <w:rsid w:val="00D23C68"/>
    <w:rsid w:val="00D23EE1"/>
    <w:rsid w:val="00D241DA"/>
    <w:rsid w:val="00D32310"/>
    <w:rsid w:val="00D33483"/>
    <w:rsid w:val="00D33BE3"/>
    <w:rsid w:val="00D3533A"/>
    <w:rsid w:val="00D358C4"/>
    <w:rsid w:val="00D35929"/>
    <w:rsid w:val="00D36888"/>
    <w:rsid w:val="00D37896"/>
    <w:rsid w:val="00D40252"/>
    <w:rsid w:val="00D407AB"/>
    <w:rsid w:val="00D40834"/>
    <w:rsid w:val="00D4112E"/>
    <w:rsid w:val="00D41C15"/>
    <w:rsid w:val="00D41D14"/>
    <w:rsid w:val="00D42959"/>
    <w:rsid w:val="00D42B70"/>
    <w:rsid w:val="00D42EAF"/>
    <w:rsid w:val="00D43B3F"/>
    <w:rsid w:val="00D44CE0"/>
    <w:rsid w:val="00D45DB2"/>
    <w:rsid w:val="00D46034"/>
    <w:rsid w:val="00D469FE"/>
    <w:rsid w:val="00D46B6F"/>
    <w:rsid w:val="00D47734"/>
    <w:rsid w:val="00D5171B"/>
    <w:rsid w:val="00D51CFE"/>
    <w:rsid w:val="00D52346"/>
    <w:rsid w:val="00D52433"/>
    <w:rsid w:val="00D529FB"/>
    <w:rsid w:val="00D52E5A"/>
    <w:rsid w:val="00D53150"/>
    <w:rsid w:val="00D53B1E"/>
    <w:rsid w:val="00D54745"/>
    <w:rsid w:val="00D548C3"/>
    <w:rsid w:val="00D55393"/>
    <w:rsid w:val="00D5689E"/>
    <w:rsid w:val="00D60034"/>
    <w:rsid w:val="00D6136A"/>
    <w:rsid w:val="00D61E1E"/>
    <w:rsid w:val="00D62100"/>
    <w:rsid w:val="00D621B6"/>
    <w:rsid w:val="00D627B6"/>
    <w:rsid w:val="00D6292C"/>
    <w:rsid w:val="00D644BF"/>
    <w:rsid w:val="00D665C5"/>
    <w:rsid w:val="00D66D49"/>
    <w:rsid w:val="00D70239"/>
    <w:rsid w:val="00D70CEB"/>
    <w:rsid w:val="00D70FC4"/>
    <w:rsid w:val="00D71223"/>
    <w:rsid w:val="00D71311"/>
    <w:rsid w:val="00D715D3"/>
    <w:rsid w:val="00D72395"/>
    <w:rsid w:val="00D724D5"/>
    <w:rsid w:val="00D72E09"/>
    <w:rsid w:val="00D74081"/>
    <w:rsid w:val="00D7457B"/>
    <w:rsid w:val="00D7490D"/>
    <w:rsid w:val="00D74AA1"/>
    <w:rsid w:val="00D758DC"/>
    <w:rsid w:val="00D763EE"/>
    <w:rsid w:val="00D76F69"/>
    <w:rsid w:val="00D77B31"/>
    <w:rsid w:val="00D80528"/>
    <w:rsid w:val="00D808B5"/>
    <w:rsid w:val="00D80F49"/>
    <w:rsid w:val="00D825AF"/>
    <w:rsid w:val="00D83371"/>
    <w:rsid w:val="00D845F1"/>
    <w:rsid w:val="00D846B5"/>
    <w:rsid w:val="00D84DD9"/>
    <w:rsid w:val="00D87878"/>
    <w:rsid w:val="00D91A6F"/>
    <w:rsid w:val="00D92922"/>
    <w:rsid w:val="00D92D5C"/>
    <w:rsid w:val="00D934F1"/>
    <w:rsid w:val="00D93DFE"/>
    <w:rsid w:val="00D944EB"/>
    <w:rsid w:val="00D94A7E"/>
    <w:rsid w:val="00D94FF5"/>
    <w:rsid w:val="00D956B1"/>
    <w:rsid w:val="00D95796"/>
    <w:rsid w:val="00D95ED8"/>
    <w:rsid w:val="00D96A13"/>
    <w:rsid w:val="00D96D27"/>
    <w:rsid w:val="00D9723D"/>
    <w:rsid w:val="00DA01B2"/>
    <w:rsid w:val="00DA1453"/>
    <w:rsid w:val="00DA2297"/>
    <w:rsid w:val="00DA2840"/>
    <w:rsid w:val="00DA44FC"/>
    <w:rsid w:val="00DA477D"/>
    <w:rsid w:val="00DA5A2F"/>
    <w:rsid w:val="00DA69A8"/>
    <w:rsid w:val="00DB066D"/>
    <w:rsid w:val="00DB46E1"/>
    <w:rsid w:val="00DB571B"/>
    <w:rsid w:val="00DB61C6"/>
    <w:rsid w:val="00DB64C8"/>
    <w:rsid w:val="00DB666B"/>
    <w:rsid w:val="00DB68C7"/>
    <w:rsid w:val="00DB6952"/>
    <w:rsid w:val="00DB6A18"/>
    <w:rsid w:val="00DB71E7"/>
    <w:rsid w:val="00DB79B2"/>
    <w:rsid w:val="00DC002E"/>
    <w:rsid w:val="00DC152E"/>
    <w:rsid w:val="00DC2FBE"/>
    <w:rsid w:val="00DC3D5D"/>
    <w:rsid w:val="00DC5744"/>
    <w:rsid w:val="00DC5913"/>
    <w:rsid w:val="00DC5CE1"/>
    <w:rsid w:val="00DC7CD0"/>
    <w:rsid w:val="00DD0C45"/>
    <w:rsid w:val="00DD2CA8"/>
    <w:rsid w:val="00DD2E2D"/>
    <w:rsid w:val="00DD33A8"/>
    <w:rsid w:val="00DD45BD"/>
    <w:rsid w:val="00DD48B0"/>
    <w:rsid w:val="00DD5B8C"/>
    <w:rsid w:val="00DD6E6B"/>
    <w:rsid w:val="00DE39B6"/>
    <w:rsid w:val="00DE3B51"/>
    <w:rsid w:val="00DE5D4E"/>
    <w:rsid w:val="00DE62DF"/>
    <w:rsid w:val="00DE6303"/>
    <w:rsid w:val="00DF04B7"/>
    <w:rsid w:val="00DF118D"/>
    <w:rsid w:val="00DF30D4"/>
    <w:rsid w:val="00DF34BC"/>
    <w:rsid w:val="00DF359C"/>
    <w:rsid w:val="00DF3AA1"/>
    <w:rsid w:val="00DF3C2B"/>
    <w:rsid w:val="00DF7726"/>
    <w:rsid w:val="00E00744"/>
    <w:rsid w:val="00E007AB"/>
    <w:rsid w:val="00E00C95"/>
    <w:rsid w:val="00E012B3"/>
    <w:rsid w:val="00E0172C"/>
    <w:rsid w:val="00E042A1"/>
    <w:rsid w:val="00E056D3"/>
    <w:rsid w:val="00E0574B"/>
    <w:rsid w:val="00E069A1"/>
    <w:rsid w:val="00E1033F"/>
    <w:rsid w:val="00E112C4"/>
    <w:rsid w:val="00E12040"/>
    <w:rsid w:val="00E12375"/>
    <w:rsid w:val="00E13B63"/>
    <w:rsid w:val="00E14BF3"/>
    <w:rsid w:val="00E1521C"/>
    <w:rsid w:val="00E1562F"/>
    <w:rsid w:val="00E16746"/>
    <w:rsid w:val="00E20317"/>
    <w:rsid w:val="00E21F8D"/>
    <w:rsid w:val="00E22B9F"/>
    <w:rsid w:val="00E22F7E"/>
    <w:rsid w:val="00E23500"/>
    <w:rsid w:val="00E23A22"/>
    <w:rsid w:val="00E240CD"/>
    <w:rsid w:val="00E24B2F"/>
    <w:rsid w:val="00E24CED"/>
    <w:rsid w:val="00E2596D"/>
    <w:rsid w:val="00E25AA6"/>
    <w:rsid w:val="00E25C26"/>
    <w:rsid w:val="00E26DF8"/>
    <w:rsid w:val="00E3047F"/>
    <w:rsid w:val="00E30BDE"/>
    <w:rsid w:val="00E3139F"/>
    <w:rsid w:val="00E326EA"/>
    <w:rsid w:val="00E3289B"/>
    <w:rsid w:val="00E33033"/>
    <w:rsid w:val="00E33150"/>
    <w:rsid w:val="00E3315B"/>
    <w:rsid w:val="00E33F90"/>
    <w:rsid w:val="00E344C9"/>
    <w:rsid w:val="00E350B6"/>
    <w:rsid w:val="00E357AC"/>
    <w:rsid w:val="00E35E8F"/>
    <w:rsid w:val="00E3625C"/>
    <w:rsid w:val="00E3646A"/>
    <w:rsid w:val="00E430C3"/>
    <w:rsid w:val="00E43A7D"/>
    <w:rsid w:val="00E451E8"/>
    <w:rsid w:val="00E453C2"/>
    <w:rsid w:val="00E45ED2"/>
    <w:rsid w:val="00E46485"/>
    <w:rsid w:val="00E476C6"/>
    <w:rsid w:val="00E50653"/>
    <w:rsid w:val="00E51990"/>
    <w:rsid w:val="00E51E16"/>
    <w:rsid w:val="00E521BB"/>
    <w:rsid w:val="00E52C2C"/>
    <w:rsid w:val="00E548DC"/>
    <w:rsid w:val="00E54C3E"/>
    <w:rsid w:val="00E54C58"/>
    <w:rsid w:val="00E55088"/>
    <w:rsid w:val="00E555C2"/>
    <w:rsid w:val="00E5603E"/>
    <w:rsid w:val="00E56533"/>
    <w:rsid w:val="00E56FB7"/>
    <w:rsid w:val="00E57C16"/>
    <w:rsid w:val="00E6129C"/>
    <w:rsid w:val="00E61870"/>
    <w:rsid w:val="00E619CD"/>
    <w:rsid w:val="00E61FC3"/>
    <w:rsid w:val="00E6466A"/>
    <w:rsid w:val="00E6505D"/>
    <w:rsid w:val="00E6567E"/>
    <w:rsid w:val="00E6712F"/>
    <w:rsid w:val="00E675AA"/>
    <w:rsid w:val="00E67E90"/>
    <w:rsid w:val="00E713D8"/>
    <w:rsid w:val="00E71441"/>
    <w:rsid w:val="00E7181A"/>
    <w:rsid w:val="00E7380D"/>
    <w:rsid w:val="00E7457D"/>
    <w:rsid w:val="00E7483D"/>
    <w:rsid w:val="00E7492C"/>
    <w:rsid w:val="00E75F52"/>
    <w:rsid w:val="00E76110"/>
    <w:rsid w:val="00E76919"/>
    <w:rsid w:val="00E77C14"/>
    <w:rsid w:val="00E8063E"/>
    <w:rsid w:val="00E82C08"/>
    <w:rsid w:val="00E848B1"/>
    <w:rsid w:val="00E8567E"/>
    <w:rsid w:val="00E86226"/>
    <w:rsid w:val="00E86907"/>
    <w:rsid w:val="00E92494"/>
    <w:rsid w:val="00E9258D"/>
    <w:rsid w:val="00E92815"/>
    <w:rsid w:val="00E9289E"/>
    <w:rsid w:val="00E92AC4"/>
    <w:rsid w:val="00E93E59"/>
    <w:rsid w:val="00E94C32"/>
    <w:rsid w:val="00E952AD"/>
    <w:rsid w:val="00E952EF"/>
    <w:rsid w:val="00E9667A"/>
    <w:rsid w:val="00EA1268"/>
    <w:rsid w:val="00EA1593"/>
    <w:rsid w:val="00EA39FE"/>
    <w:rsid w:val="00EA59EC"/>
    <w:rsid w:val="00EA6A8D"/>
    <w:rsid w:val="00EA7969"/>
    <w:rsid w:val="00EA7D62"/>
    <w:rsid w:val="00EB0398"/>
    <w:rsid w:val="00EB0741"/>
    <w:rsid w:val="00EB0E13"/>
    <w:rsid w:val="00EB2105"/>
    <w:rsid w:val="00EB358A"/>
    <w:rsid w:val="00EB4A53"/>
    <w:rsid w:val="00EB4C49"/>
    <w:rsid w:val="00EB5018"/>
    <w:rsid w:val="00EB54FE"/>
    <w:rsid w:val="00EB5B59"/>
    <w:rsid w:val="00EB5F40"/>
    <w:rsid w:val="00EB79C5"/>
    <w:rsid w:val="00EC01C4"/>
    <w:rsid w:val="00EC04C3"/>
    <w:rsid w:val="00EC0BDA"/>
    <w:rsid w:val="00EC0C5B"/>
    <w:rsid w:val="00EC1A89"/>
    <w:rsid w:val="00EC2418"/>
    <w:rsid w:val="00EC2ABE"/>
    <w:rsid w:val="00EC3B85"/>
    <w:rsid w:val="00EC6C19"/>
    <w:rsid w:val="00EC7490"/>
    <w:rsid w:val="00EC7507"/>
    <w:rsid w:val="00EC7A70"/>
    <w:rsid w:val="00EC7CCB"/>
    <w:rsid w:val="00ED05D6"/>
    <w:rsid w:val="00ED1257"/>
    <w:rsid w:val="00ED21BF"/>
    <w:rsid w:val="00ED284D"/>
    <w:rsid w:val="00ED2927"/>
    <w:rsid w:val="00ED3C3C"/>
    <w:rsid w:val="00ED67A0"/>
    <w:rsid w:val="00ED6A91"/>
    <w:rsid w:val="00ED7168"/>
    <w:rsid w:val="00EE23F2"/>
    <w:rsid w:val="00EE30E8"/>
    <w:rsid w:val="00EE37F5"/>
    <w:rsid w:val="00EE3B21"/>
    <w:rsid w:val="00EE462B"/>
    <w:rsid w:val="00EE4F92"/>
    <w:rsid w:val="00EE5E0B"/>
    <w:rsid w:val="00EE5E8A"/>
    <w:rsid w:val="00EE656B"/>
    <w:rsid w:val="00EE6870"/>
    <w:rsid w:val="00EE7704"/>
    <w:rsid w:val="00EE775F"/>
    <w:rsid w:val="00EE7A03"/>
    <w:rsid w:val="00EF02DB"/>
    <w:rsid w:val="00EF2E84"/>
    <w:rsid w:val="00EF308A"/>
    <w:rsid w:val="00EF44CA"/>
    <w:rsid w:val="00EF4987"/>
    <w:rsid w:val="00EF4ED4"/>
    <w:rsid w:val="00EF5547"/>
    <w:rsid w:val="00EF5649"/>
    <w:rsid w:val="00EF6112"/>
    <w:rsid w:val="00EF6C97"/>
    <w:rsid w:val="00EF783A"/>
    <w:rsid w:val="00F00058"/>
    <w:rsid w:val="00F004BF"/>
    <w:rsid w:val="00F03B02"/>
    <w:rsid w:val="00F040BE"/>
    <w:rsid w:val="00F0790C"/>
    <w:rsid w:val="00F07E2A"/>
    <w:rsid w:val="00F07FF1"/>
    <w:rsid w:val="00F10839"/>
    <w:rsid w:val="00F115F7"/>
    <w:rsid w:val="00F11FFF"/>
    <w:rsid w:val="00F12033"/>
    <w:rsid w:val="00F1241F"/>
    <w:rsid w:val="00F12C4F"/>
    <w:rsid w:val="00F12D7B"/>
    <w:rsid w:val="00F12FAF"/>
    <w:rsid w:val="00F141B8"/>
    <w:rsid w:val="00F141F1"/>
    <w:rsid w:val="00F17329"/>
    <w:rsid w:val="00F1790C"/>
    <w:rsid w:val="00F17B7B"/>
    <w:rsid w:val="00F17D55"/>
    <w:rsid w:val="00F21008"/>
    <w:rsid w:val="00F2269C"/>
    <w:rsid w:val="00F22F87"/>
    <w:rsid w:val="00F2333B"/>
    <w:rsid w:val="00F24501"/>
    <w:rsid w:val="00F25837"/>
    <w:rsid w:val="00F26151"/>
    <w:rsid w:val="00F2712B"/>
    <w:rsid w:val="00F27753"/>
    <w:rsid w:val="00F27ED7"/>
    <w:rsid w:val="00F30298"/>
    <w:rsid w:val="00F3035F"/>
    <w:rsid w:val="00F325BE"/>
    <w:rsid w:val="00F33DB6"/>
    <w:rsid w:val="00F341F8"/>
    <w:rsid w:val="00F3469C"/>
    <w:rsid w:val="00F34BC9"/>
    <w:rsid w:val="00F3673D"/>
    <w:rsid w:val="00F404EA"/>
    <w:rsid w:val="00F41785"/>
    <w:rsid w:val="00F41DC1"/>
    <w:rsid w:val="00F421F9"/>
    <w:rsid w:val="00F4295C"/>
    <w:rsid w:val="00F42B20"/>
    <w:rsid w:val="00F43170"/>
    <w:rsid w:val="00F443E8"/>
    <w:rsid w:val="00F45026"/>
    <w:rsid w:val="00F45B00"/>
    <w:rsid w:val="00F45DE1"/>
    <w:rsid w:val="00F46CA4"/>
    <w:rsid w:val="00F47B6B"/>
    <w:rsid w:val="00F50AF7"/>
    <w:rsid w:val="00F51D98"/>
    <w:rsid w:val="00F52608"/>
    <w:rsid w:val="00F52E4F"/>
    <w:rsid w:val="00F53216"/>
    <w:rsid w:val="00F53E09"/>
    <w:rsid w:val="00F55678"/>
    <w:rsid w:val="00F56C11"/>
    <w:rsid w:val="00F57086"/>
    <w:rsid w:val="00F57171"/>
    <w:rsid w:val="00F572E4"/>
    <w:rsid w:val="00F574AF"/>
    <w:rsid w:val="00F579FB"/>
    <w:rsid w:val="00F6077B"/>
    <w:rsid w:val="00F6084D"/>
    <w:rsid w:val="00F61219"/>
    <w:rsid w:val="00F615DA"/>
    <w:rsid w:val="00F61DA0"/>
    <w:rsid w:val="00F63539"/>
    <w:rsid w:val="00F65A27"/>
    <w:rsid w:val="00F66457"/>
    <w:rsid w:val="00F66888"/>
    <w:rsid w:val="00F66DEA"/>
    <w:rsid w:val="00F67AB0"/>
    <w:rsid w:val="00F67F6B"/>
    <w:rsid w:val="00F70B38"/>
    <w:rsid w:val="00F719AA"/>
    <w:rsid w:val="00F72560"/>
    <w:rsid w:val="00F72C12"/>
    <w:rsid w:val="00F72E93"/>
    <w:rsid w:val="00F73AB1"/>
    <w:rsid w:val="00F74042"/>
    <w:rsid w:val="00F7493E"/>
    <w:rsid w:val="00F7504F"/>
    <w:rsid w:val="00F75161"/>
    <w:rsid w:val="00F75B9A"/>
    <w:rsid w:val="00F77960"/>
    <w:rsid w:val="00F80D3E"/>
    <w:rsid w:val="00F814FF"/>
    <w:rsid w:val="00F819BC"/>
    <w:rsid w:val="00F81B56"/>
    <w:rsid w:val="00F81C2B"/>
    <w:rsid w:val="00F825A8"/>
    <w:rsid w:val="00F82D4E"/>
    <w:rsid w:val="00F83627"/>
    <w:rsid w:val="00F841FB"/>
    <w:rsid w:val="00F84BB1"/>
    <w:rsid w:val="00F85762"/>
    <w:rsid w:val="00F86014"/>
    <w:rsid w:val="00F863E6"/>
    <w:rsid w:val="00F8659F"/>
    <w:rsid w:val="00F86DA0"/>
    <w:rsid w:val="00F87123"/>
    <w:rsid w:val="00F87903"/>
    <w:rsid w:val="00F91563"/>
    <w:rsid w:val="00F9420B"/>
    <w:rsid w:val="00F970F6"/>
    <w:rsid w:val="00F976CC"/>
    <w:rsid w:val="00FA20B4"/>
    <w:rsid w:val="00FA3374"/>
    <w:rsid w:val="00FA38EE"/>
    <w:rsid w:val="00FA39CF"/>
    <w:rsid w:val="00FA47EE"/>
    <w:rsid w:val="00FA4829"/>
    <w:rsid w:val="00FA6F11"/>
    <w:rsid w:val="00FA7594"/>
    <w:rsid w:val="00FA7910"/>
    <w:rsid w:val="00FB0871"/>
    <w:rsid w:val="00FB1D5C"/>
    <w:rsid w:val="00FB2F5E"/>
    <w:rsid w:val="00FB3560"/>
    <w:rsid w:val="00FB35D5"/>
    <w:rsid w:val="00FB5B51"/>
    <w:rsid w:val="00FB6DDA"/>
    <w:rsid w:val="00FB6E9D"/>
    <w:rsid w:val="00FB75C7"/>
    <w:rsid w:val="00FB7C28"/>
    <w:rsid w:val="00FC02AE"/>
    <w:rsid w:val="00FC11C0"/>
    <w:rsid w:val="00FC14A2"/>
    <w:rsid w:val="00FC18AE"/>
    <w:rsid w:val="00FC1CA5"/>
    <w:rsid w:val="00FC2E76"/>
    <w:rsid w:val="00FC348B"/>
    <w:rsid w:val="00FC3BE2"/>
    <w:rsid w:val="00FC4C60"/>
    <w:rsid w:val="00FC60D2"/>
    <w:rsid w:val="00FC771B"/>
    <w:rsid w:val="00FD22C8"/>
    <w:rsid w:val="00FD23A5"/>
    <w:rsid w:val="00FD33F2"/>
    <w:rsid w:val="00FD3AA7"/>
    <w:rsid w:val="00FD3E2A"/>
    <w:rsid w:val="00FD46F7"/>
    <w:rsid w:val="00FD55BA"/>
    <w:rsid w:val="00FD5970"/>
    <w:rsid w:val="00FD599F"/>
    <w:rsid w:val="00FD6139"/>
    <w:rsid w:val="00FD6406"/>
    <w:rsid w:val="00FD687C"/>
    <w:rsid w:val="00FD6BD8"/>
    <w:rsid w:val="00FD6F60"/>
    <w:rsid w:val="00FE0A99"/>
    <w:rsid w:val="00FE3C87"/>
    <w:rsid w:val="00FE4B76"/>
    <w:rsid w:val="00FE57D3"/>
    <w:rsid w:val="00FE6BB1"/>
    <w:rsid w:val="00FE6C86"/>
    <w:rsid w:val="00FE79F3"/>
    <w:rsid w:val="00FE7F92"/>
    <w:rsid w:val="00FE7F93"/>
    <w:rsid w:val="00FF17A7"/>
    <w:rsid w:val="00FF1FE6"/>
    <w:rsid w:val="00FF39BC"/>
    <w:rsid w:val="00FF4674"/>
    <w:rsid w:val="00FF6BC2"/>
    <w:rsid w:val="00FF751C"/>
    <w:rsid w:val="00FF7B8D"/>
    <w:rsid w:val="031950C9"/>
    <w:rsid w:val="0C0C2CE8"/>
    <w:rsid w:val="0C7C002D"/>
    <w:rsid w:val="11463DD4"/>
    <w:rsid w:val="23FE0D68"/>
    <w:rsid w:val="24256C9F"/>
    <w:rsid w:val="28C5533A"/>
    <w:rsid w:val="3ADD2EB4"/>
    <w:rsid w:val="3F6EC8E5"/>
    <w:rsid w:val="3F721CDA"/>
    <w:rsid w:val="437E0B82"/>
    <w:rsid w:val="50600048"/>
    <w:rsid w:val="51754E21"/>
    <w:rsid w:val="5B1D1944"/>
    <w:rsid w:val="63F94EF0"/>
    <w:rsid w:val="6A0E213E"/>
    <w:rsid w:val="6D0D6C17"/>
    <w:rsid w:val="7D1B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link w:val="10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1"/>
    <w:link w:val="9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96"/>
    <w:qFormat/>
    <w:uiPriority w:val="0"/>
    <w:pPr>
      <w:keepNext/>
      <w:keepLines/>
      <w:tabs>
        <w:tab w:val="left" w:pos="992"/>
      </w:tabs>
      <w:spacing w:before="280" w:after="290" w:line="372" w:lineRule="auto"/>
      <w:ind w:left="992" w:hanging="992"/>
      <w:outlineLvl w:val="4"/>
    </w:pPr>
    <w:rPr>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9">
    <w:name w:val="Normal Indent"/>
    <w:basedOn w:val="1"/>
    <w:link w:val="53"/>
    <w:qFormat/>
    <w:uiPriority w:val="0"/>
    <w:pPr>
      <w:ind w:firstLine="420"/>
    </w:p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250"/>
    <w:qFormat/>
    <w:uiPriority w:val="0"/>
    <w:pPr>
      <w:shd w:val="clear" w:color="auto" w:fill="000080"/>
    </w:pPr>
  </w:style>
  <w:style w:type="paragraph" w:styleId="12">
    <w:name w:val="annotation text"/>
    <w:basedOn w:val="1"/>
    <w:link w:val="88"/>
    <w:qFormat/>
    <w:uiPriority w:val="0"/>
    <w:pPr>
      <w:jc w:val="left"/>
    </w:pPr>
  </w:style>
  <w:style w:type="paragraph" w:styleId="13">
    <w:name w:val="Body Text 3"/>
    <w:basedOn w:val="1"/>
    <w:link w:val="227"/>
    <w:qFormat/>
    <w:uiPriority w:val="0"/>
    <w:pPr>
      <w:snapToGrid w:val="0"/>
      <w:spacing w:before="50" w:after="50"/>
    </w:pPr>
    <w:rPr>
      <w:rFonts w:hAnsi="宋体" w:eastAsia="仿宋_GB2312"/>
      <w:b/>
      <w:bCs/>
      <w:sz w:val="24"/>
      <w:szCs w:val="20"/>
    </w:rPr>
  </w:style>
  <w:style w:type="paragraph" w:styleId="14">
    <w:name w:val="Body Text"/>
    <w:basedOn w:val="1"/>
    <w:link w:val="77"/>
    <w:qFormat/>
    <w:uiPriority w:val="0"/>
    <w:pPr>
      <w:spacing w:after="120"/>
    </w:pPr>
    <w:rPr>
      <w:sz w:val="28"/>
    </w:rPr>
  </w:style>
  <w:style w:type="paragraph" w:styleId="15">
    <w:name w:val="Body Text Indent"/>
    <w:basedOn w:val="1"/>
    <w:link w:val="90"/>
    <w:qFormat/>
    <w:uiPriority w:val="0"/>
    <w:pPr>
      <w:spacing w:line="200" w:lineRule="exact"/>
      <w:ind w:firstLine="301"/>
    </w:pPr>
    <w:rPr>
      <w:rFonts w:ascii="宋体" w:hAnsi="Courier New"/>
      <w:spacing w:val="-4"/>
      <w:sz w:val="18"/>
      <w:szCs w:val="20"/>
    </w:rPr>
  </w:style>
  <w:style w:type="paragraph" w:styleId="16">
    <w:name w:val="List Number 3"/>
    <w:basedOn w:val="1"/>
    <w:qFormat/>
    <w:uiPriority w:val="0"/>
    <w:pPr>
      <w:numPr>
        <w:ilvl w:val="0"/>
        <w:numId w:val="1"/>
      </w:numPr>
    </w:pPr>
  </w:style>
  <w:style w:type="paragraph" w:styleId="17">
    <w:name w:val="List 2"/>
    <w:basedOn w:val="1"/>
    <w:qFormat/>
    <w:uiPriority w:val="0"/>
    <w:pPr>
      <w:ind w:left="100" w:leftChars="200" w:hanging="200" w:hangingChars="200"/>
    </w:pPr>
    <w:rPr>
      <w:sz w:val="28"/>
    </w:r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qFormat/>
    <w:uiPriority w:val="39"/>
    <w:pPr>
      <w:ind w:left="840" w:leftChars="400"/>
    </w:pPr>
  </w:style>
  <w:style w:type="paragraph" w:styleId="20">
    <w:name w:val="Plain Text"/>
    <w:basedOn w:val="1"/>
    <w:link w:val="50"/>
    <w:qFormat/>
    <w:uiPriority w:val="0"/>
    <w:pPr>
      <w:spacing w:beforeLines="50" w:afterLines="50" w:line="400" w:lineRule="exact"/>
    </w:pPr>
    <w:rPr>
      <w:rFonts w:ascii="宋体" w:hAnsi="Courier New"/>
      <w:sz w:val="24"/>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link w:val="81"/>
    <w:qFormat/>
    <w:uiPriority w:val="0"/>
    <w:pPr>
      <w:ind w:left="2500" w:leftChars="2500"/>
    </w:pPr>
    <w:rPr>
      <w:rFonts w:eastAsia="楷体_GB2312"/>
      <w:sz w:val="32"/>
      <w:szCs w:val="20"/>
    </w:rPr>
  </w:style>
  <w:style w:type="paragraph" w:styleId="23">
    <w:name w:val="Body Text Indent 2"/>
    <w:basedOn w:val="1"/>
    <w:link w:val="252"/>
    <w:qFormat/>
    <w:uiPriority w:val="0"/>
    <w:pPr>
      <w:snapToGrid w:val="0"/>
      <w:ind w:firstLine="542" w:firstLineChars="225"/>
    </w:pPr>
    <w:rPr>
      <w:rFonts w:ascii="仿宋_GB2312" w:hAnsi="宋体" w:cs="Arial"/>
      <w:b/>
      <w:bCs/>
      <w:color w:val="000000"/>
      <w:sz w:val="24"/>
    </w:rPr>
  </w:style>
  <w:style w:type="paragraph" w:styleId="24">
    <w:name w:val="Balloon Text"/>
    <w:basedOn w:val="1"/>
    <w:link w:val="51"/>
    <w:qFormat/>
    <w:uiPriority w:val="0"/>
    <w:rPr>
      <w:sz w:val="18"/>
      <w:szCs w:val="18"/>
    </w:rPr>
  </w:style>
  <w:style w:type="paragraph" w:styleId="25">
    <w:name w:val="footer"/>
    <w:basedOn w:val="1"/>
    <w:link w:val="49"/>
    <w:qFormat/>
    <w:uiPriority w:val="0"/>
    <w:pPr>
      <w:tabs>
        <w:tab w:val="center" w:pos="4153"/>
        <w:tab w:val="right" w:pos="8306"/>
      </w:tabs>
      <w:snapToGrid w:val="0"/>
      <w:jc w:val="left"/>
    </w:pPr>
    <w:rPr>
      <w:rFonts w:eastAsia="黑体"/>
      <w:snapToGrid w:val="0"/>
      <w:kern w:val="0"/>
      <w:sz w:val="18"/>
      <w:szCs w:val="18"/>
    </w:rPr>
  </w:style>
  <w:style w:type="paragraph" w:styleId="26">
    <w:name w:val="header"/>
    <w:basedOn w:val="1"/>
    <w:link w:val="79"/>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9">
    <w:name w:val="List"/>
    <w:basedOn w:val="1"/>
    <w:qFormat/>
    <w:uiPriority w:val="0"/>
    <w:pPr>
      <w:ind w:left="200" w:hanging="200" w:hangingChars="200"/>
    </w:pPr>
    <w:rPr>
      <w:sz w:val="28"/>
    </w:rPr>
  </w:style>
  <w:style w:type="paragraph" w:styleId="30">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1">
    <w:name w:val="Body Text Indent 3"/>
    <w:basedOn w:val="1"/>
    <w:link w:val="248"/>
    <w:qFormat/>
    <w:uiPriority w:val="0"/>
    <w:pPr>
      <w:snapToGrid w:val="0"/>
      <w:ind w:firstLine="480" w:firstLineChars="200"/>
      <w:jc w:val="left"/>
    </w:pPr>
    <w:rPr>
      <w:rFonts w:ascii="仿宋_GB2312" w:hAnsi="宋体" w:eastAsia="仿宋_GB2312"/>
      <w:color w:val="000000"/>
      <w:sz w:val="24"/>
    </w:rPr>
  </w:style>
  <w:style w:type="paragraph" w:styleId="32">
    <w:name w:val="toc 2"/>
    <w:basedOn w:val="1"/>
    <w:next w:val="1"/>
    <w:qFormat/>
    <w:uiPriority w:val="39"/>
    <w:pPr>
      <w:ind w:left="420" w:leftChars="200"/>
    </w:pPr>
  </w:style>
  <w:style w:type="paragraph" w:styleId="33">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4">
    <w:name w:val="Body Text 2"/>
    <w:basedOn w:val="1"/>
    <w:link w:val="254"/>
    <w:qFormat/>
    <w:uiPriority w:val="0"/>
    <w:pPr>
      <w:widowControl/>
      <w:snapToGrid w:val="0"/>
      <w:spacing w:before="50" w:afterLines="50" w:line="400" w:lineRule="exact"/>
      <w:jc w:val="left"/>
    </w:pPr>
    <w:rPr>
      <w:rFonts w:ascii="宋体" w:hAnsi="宋体"/>
      <w:color w:val="000000"/>
      <w:sz w:val="24"/>
    </w:rPr>
  </w:style>
  <w:style w:type="paragraph" w:styleId="35">
    <w:name w:val="HTML Preformatted"/>
    <w:basedOn w:val="1"/>
    <w:link w:val="1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7">
    <w:name w:val="Title"/>
    <w:basedOn w:val="1"/>
    <w:next w:val="1"/>
    <w:link w:val="82"/>
    <w:qFormat/>
    <w:uiPriority w:val="0"/>
    <w:pPr>
      <w:widowControl/>
      <w:pBdr>
        <w:top w:val="single" w:color="A7BFDE" w:sz="8" w:space="10"/>
        <w:bottom w:val="single" w:color="9BBB59" w:sz="24" w:space="15"/>
      </w:pBdr>
      <w:jc w:val="center"/>
    </w:pPr>
    <w:rPr>
      <w:rFonts w:ascii="Cambria" w:hAnsi="Cambria"/>
      <w:i/>
      <w:iCs/>
      <w:color w:val="243F60"/>
      <w:kern w:val="0"/>
      <w:sz w:val="60"/>
      <w:szCs w:val="60"/>
      <w:lang w:eastAsia="en-US" w:bidi="en-US"/>
    </w:rPr>
  </w:style>
  <w:style w:type="paragraph" w:styleId="38">
    <w:name w:val="annotation subject"/>
    <w:basedOn w:val="12"/>
    <w:next w:val="12"/>
    <w:link w:val="89"/>
    <w:qFormat/>
    <w:uiPriority w:val="0"/>
    <w:rPr>
      <w:b/>
      <w:bCs/>
    </w:rPr>
  </w:style>
  <w:style w:type="paragraph" w:styleId="39">
    <w:name w:val="Body Text First Indent"/>
    <w:basedOn w:val="14"/>
    <w:link w:val="78"/>
    <w:qFormat/>
    <w:uiPriority w:val="0"/>
    <w:pPr>
      <w:ind w:firstLine="420" w:firstLineChars="100"/>
    </w:pPr>
    <w:rPr>
      <w:sz w:val="21"/>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basedOn w:val="42"/>
    <w:qFormat/>
    <w:uiPriority w:val="99"/>
    <w:rPr>
      <w:color w:val="800080"/>
      <w:u w:val="single"/>
    </w:rPr>
  </w:style>
  <w:style w:type="character" w:styleId="46">
    <w:name w:val="Emphasis"/>
    <w:qFormat/>
    <w:uiPriority w:val="0"/>
    <w:rPr>
      <w:i/>
      <w:iCs/>
    </w:rPr>
  </w:style>
  <w:style w:type="character" w:styleId="47">
    <w:name w:val="Hyperlink"/>
    <w:basedOn w:val="42"/>
    <w:qFormat/>
    <w:uiPriority w:val="99"/>
    <w:rPr>
      <w:color w:val="0000FF"/>
      <w:u w:val="single"/>
    </w:rPr>
  </w:style>
  <w:style w:type="character" w:styleId="48">
    <w:name w:val="annotation reference"/>
    <w:basedOn w:val="42"/>
    <w:qFormat/>
    <w:uiPriority w:val="0"/>
    <w:rPr>
      <w:sz w:val="21"/>
      <w:szCs w:val="21"/>
    </w:rPr>
  </w:style>
  <w:style w:type="character" w:customStyle="1" w:styleId="49">
    <w:name w:val="页脚 Char"/>
    <w:link w:val="25"/>
    <w:qFormat/>
    <w:locked/>
    <w:uiPriority w:val="0"/>
    <w:rPr>
      <w:rFonts w:eastAsia="黑体"/>
      <w:snapToGrid w:val="0"/>
      <w:sz w:val="18"/>
      <w:szCs w:val="18"/>
    </w:rPr>
  </w:style>
  <w:style w:type="character" w:customStyle="1" w:styleId="50">
    <w:name w:val="纯文本 Char"/>
    <w:basedOn w:val="42"/>
    <w:link w:val="20"/>
    <w:qFormat/>
    <w:uiPriority w:val="0"/>
    <w:rPr>
      <w:rFonts w:ascii="宋体" w:hAnsi="Courier New" w:eastAsia="宋体"/>
      <w:kern w:val="2"/>
      <w:sz w:val="24"/>
      <w:szCs w:val="24"/>
      <w:lang w:val="en-US" w:eastAsia="zh-CN" w:bidi="ar-SA"/>
    </w:rPr>
  </w:style>
  <w:style w:type="character" w:customStyle="1" w:styleId="51">
    <w:name w:val="批注框文本 Char"/>
    <w:link w:val="24"/>
    <w:qFormat/>
    <w:locked/>
    <w:uiPriority w:val="0"/>
    <w:rPr>
      <w:kern w:val="2"/>
      <w:sz w:val="18"/>
      <w:szCs w:val="18"/>
    </w:rPr>
  </w:style>
  <w:style w:type="character" w:customStyle="1" w:styleId="52">
    <w:name w:val="普通文字 Char Char1"/>
    <w:qFormat/>
    <w:uiPriority w:val="0"/>
    <w:rPr>
      <w:rFonts w:ascii="宋体" w:hAnsi="Courier New" w:eastAsia="宋体"/>
      <w:kern w:val="2"/>
      <w:sz w:val="24"/>
      <w:szCs w:val="24"/>
      <w:lang w:val="en-US" w:eastAsia="zh-CN" w:bidi="ar-SA"/>
    </w:rPr>
  </w:style>
  <w:style w:type="character" w:customStyle="1" w:styleId="53">
    <w:name w:val="正文缩进 Char"/>
    <w:basedOn w:val="42"/>
    <w:link w:val="9"/>
    <w:qFormat/>
    <w:uiPriority w:val="0"/>
    <w:rPr>
      <w:rFonts w:eastAsia="宋体"/>
      <w:kern w:val="2"/>
      <w:sz w:val="21"/>
      <w:lang w:val="en-US" w:eastAsia="zh-CN" w:bidi="ar-SA"/>
    </w:rPr>
  </w:style>
  <w:style w:type="character" w:customStyle="1" w:styleId="54">
    <w:name w:val="Char Char"/>
    <w:qFormat/>
    <w:uiPriority w:val="0"/>
    <w:rPr>
      <w:rFonts w:ascii="宋体" w:hAnsi="Courier New" w:eastAsia="楷体_GB2312"/>
      <w:kern w:val="2"/>
      <w:sz w:val="26"/>
      <w:lang w:val="en-US" w:eastAsia="zh-CN" w:bidi="ar-SA"/>
    </w:rPr>
  </w:style>
  <w:style w:type="character" w:customStyle="1" w:styleId="55">
    <w:name w:val="标准正文格式 Char Char"/>
    <w:basedOn w:val="42"/>
    <w:link w:val="56"/>
    <w:qFormat/>
    <w:uiPriority w:val="0"/>
    <w:rPr>
      <w:rFonts w:ascii="宋体" w:eastAsia="仿宋_GB2312" w:cs="宋体"/>
      <w:color w:val="000000"/>
      <w:sz w:val="24"/>
      <w:lang w:val="en-US" w:eastAsia="zh-CN" w:bidi="ar-SA"/>
    </w:rPr>
  </w:style>
  <w:style w:type="paragraph" w:customStyle="1" w:styleId="56">
    <w:name w:val="标准正文格式"/>
    <w:basedOn w:val="1"/>
    <w:link w:val="55"/>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57">
    <w:name w:val="unnamed1"/>
    <w:basedOn w:val="42"/>
    <w:qFormat/>
    <w:uiPriority w:val="0"/>
  </w:style>
  <w:style w:type="character" w:customStyle="1" w:styleId="58">
    <w:name w:val="标题 1 Char Char"/>
    <w:qFormat/>
    <w:uiPriority w:val="0"/>
    <w:rPr>
      <w:rFonts w:eastAsia="宋体"/>
      <w:b/>
      <w:spacing w:val="-2"/>
      <w:sz w:val="24"/>
      <w:lang w:val="en-US" w:eastAsia="zh-CN" w:bidi="ar-SA"/>
    </w:rPr>
  </w:style>
  <w:style w:type="paragraph" w:customStyle="1" w:styleId="59">
    <w:name w:val="Char Char Char Char Char Char"/>
    <w:basedOn w:val="1"/>
    <w:qFormat/>
    <w:uiPriority w:val="0"/>
    <w:pPr>
      <w:widowControl/>
      <w:spacing w:after="160" w:line="240" w:lineRule="exact"/>
      <w:jc w:val="left"/>
    </w:pPr>
    <w:rPr>
      <w:kern w:val="0"/>
      <w:szCs w:val="20"/>
    </w:rPr>
  </w:style>
  <w:style w:type="paragraph" w:customStyle="1" w:styleId="60">
    <w:name w:val="正文段"/>
    <w:basedOn w:val="1"/>
    <w:qFormat/>
    <w:uiPriority w:val="0"/>
    <w:pPr>
      <w:widowControl/>
      <w:snapToGrid w:val="0"/>
      <w:spacing w:afterLines="50"/>
      <w:ind w:firstLine="200" w:firstLineChars="200"/>
    </w:pPr>
    <w:rPr>
      <w:kern w:val="0"/>
      <w:sz w:val="24"/>
      <w:szCs w:val="20"/>
    </w:rPr>
  </w:style>
  <w:style w:type="paragraph" w:customStyle="1" w:styleId="6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默认段落字体 Para Char Char Char Char"/>
    <w:basedOn w:val="1"/>
    <w:qFormat/>
    <w:uiPriority w:val="0"/>
  </w:style>
  <w:style w:type="paragraph" w:customStyle="1" w:styleId="63">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64">
    <w:name w:val="Char Char12"/>
    <w:basedOn w:val="1"/>
    <w:qFormat/>
    <w:uiPriority w:val="0"/>
    <w:rPr>
      <w:szCs w:val="21"/>
    </w:rPr>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Char"/>
    <w:basedOn w:val="1"/>
    <w:qFormat/>
    <w:uiPriority w:val="0"/>
    <w:pPr>
      <w:tabs>
        <w:tab w:val="left" w:pos="360"/>
      </w:tabs>
    </w:pPr>
  </w:style>
  <w:style w:type="paragraph" w:customStyle="1" w:styleId="67">
    <w:name w:val="纯文本1"/>
    <w:basedOn w:val="1"/>
    <w:qFormat/>
    <w:uiPriority w:val="0"/>
    <w:pPr>
      <w:adjustRightInd w:val="0"/>
      <w:textAlignment w:val="baseline"/>
    </w:pPr>
    <w:rPr>
      <w:rFonts w:ascii="宋体" w:hAnsi="Courier New" w:eastAsia="楷体_GB2312"/>
      <w:sz w:val="26"/>
      <w:szCs w:val="20"/>
    </w:rPr>
  </w:style>
  <w:style w:type="paragraph" w:customStyle="1" w:styleId="68">
    <w:name w:val="1 Char Char Char Char"/>
    <w:basedOn w:val="1"/>
    <w:qFormat/>
    <w:uiPriority w:val="0"/>
    <w:rPr>
      <w:rFonts w:ascii="Tahoma" w:hAnsi="Tahoma"/>
      <w:sz w:val="24"/>
      <w:szCs w:val="20"/>
    </w:rPr>
  </w:style>
  <w:style w:type="paragraph" w:customStyle="1" w:styleId="69">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70">
    <w:name w:val="Char111"/>
    <w:basedOn w:val="2"/>
    <w:qFormat/>
    <w:uiPriority w:val="0"/>
    <w:pPr>
      <w:adjustRightInd w:val="0"/>
      <w:snapToGrid w:val="0"/>
      <w:spacing w:before="240" w:after="240" w:line="348" w:lineRule="auto"/>
    </w:pPr>
  </w:style>
  <w:style w:type="paragraph" w:customStyle="1" w:styleId="71">
    <w:name w:val="Default"/>
    <w:qFormat/>
    <w:uiPriority w:val="0"/>
    <w:pPr>
      <w:widowControl w:val="0"/>
      <w:autoSpaceDE w:val="0"/>
      <w:autoSpaceDN w:val="0"/>
      <w:adjustRightInd w:val="0"/>
      <w:spacing w:before="120" w:after="120"/>
    </w:pPr>
    <w:rPr>
      <w:rFonts w:ascii="宋体" w:hAnsi="Times New Roman" w:eastAsia="宋体" w:cs="宋体"/>
      <w:color w:val="000000"/>
      <w:sz w:val="24"/>
      <w:szCs w:val="24"/>
      <w:lang w:val="en-US" w:eastAsia="zh-CN" w:bidi="ar-SA"/>
    </w:rPr>
  </w:style>
  <w:style w:type="paragraph" w:styleId="72">
    <w:name w:val="List Paragraph"/>
    <w:basedOn w:val="1"/>
    <w:link w:val="262"/>
    <w:qFormat/>
    <w:uiPriority w:val="34"/>
    <w:pPr>
      <w:spacing w:line="360" w:lineRule="auto"/>
      <w:ind w:firstLine="420" w:firstLineChars="200"/>
    </w:pPr>
    <w:rPr>
      <w:rFonts w:ascii="Calibri" w:hAnsi="Calibri"/>
      <w:sz w:val="24"/>
      <w:szCs w:val="22"/>
    </w:rPr>
  </w:style>
  <w:style w:type="paragraph" w:customStyle="1" w:styleId="7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4">
    <w:name w:val="Char Char Char Char Char Char Char"/>
    <w:basedOn w:val="1"/>
    <w:qFormat/>
    <w:uiPriority w:val="0"/>
    <w:rPr>
      <w:szCs w:val="21"/>
    </w:rPr>
  </w:style>
  <w:style w:type="paragraph" w:customStyle="1" w:styleId="7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Char Char Char Char Char Char1"/>
    <w:basedOn w:val="1"/>
    <w:qFormat/>
    <w:uiPriority w:val="0"/>
    <w:pPr>
      <w:ind w:firstLine="200" w:firstLineChars="200"/>
    </w:pPr>
  </w:style>
  <w:style w:type="character" w:customStyle="1" w:styleId="77">
    <w:name w:val="正文文本 Char"/>
    <w:basedOn w:val="42"/>
    <w:link w:val="14"/>
    <w:qFormat/>
    <w:uiPriority w:val="0"/>
    <w:rPr>
      <w:kern w:val="2"/>
      <w:sz w:val="28"/>
      <w:szCs w:val="24"/>
    </w:rPr>
  </w:style>
  <w:style w:type="character" w:customStyle="1" w:styleId="78">
    <w:name w:val="正文首行缩进 Char"/>
    <w:basedOn w:val="77"/>
    <w:link w:val="39"/>
    <w:qFormat/>
    <w:uiPriority w:val="0"/>
  </w:style>
  <w:style w:type="character" w:customStyle="1" w:styleId="79">
    <w:name w:val="页眉 Char"/>
    <w:basedOn w:val="42"/>
    <w:link w:val="26"/>
    <w:qFormat/>
    <w:uiPriority w:val="0"/>
    <w:rPr>
      <w:rFonts w:eastAsia="仿宋_GB2312"/>
      <w:kern w:val="2"/>
      <w:sz w:val="18"/>
    </w:rPr>
  </w:style>
  <w:style w:type="paragraph" w:customStyle="1" w:styleId="80">
    <w:name w:val="Char1"/>
    <w:basedOn w:val="1"/>
    <w:qFormat/>
    <w:uiPriority w:val="0"/>
    <w:pPr>
      <w:spacing w:line="380" w:lineRule="exact"/>
      <w:ind w:firstLine="361" w:firstLineChars="150"/>
    </w:pPr>
    <w:rPr>
      <w:rFonts w:ascii="宋体" w:hAnsi="宋体"/>
      <w:b/>
      <w:sz w:val="24"/>
    </w:rPr>
  </w:style>
  <w:style w:type="character" w:customStyle="1" w:styleId="81">
    <w:name w:val="日期 Char"/>
    <w:basedOn w:val="42"/>
    <w:link w:val="22"/>
    <w:qFormat/>
    <w:uiPriority w:val="0"/>
    <w:rPr>
      <w:rFonts w:eastAsia="楷体_GB2312"/>
      <w:kern w:val="2"/>
      <w:sz w:val="32"/>
    </w:rPr>
  </w:style>
  <w:style w:type="character" w:customStyle="1" w:styleId="82">
    <w:name w:val="标题 Char"/>
    <w:basedOn w:val="42"/>
    <w:link w:val="37"/>
    <w:qFormat/>
    <w:uiPriority w:val="0"/>
    <w:rPr>
      <w:rFonts w:ascii="Cambria" w:hAnsi="Cambria"/>
      <w:i/>
      <w:iCs/>
      <w:color w:val="243F60"/>
      <w:sz w:val="60"/>
      <w:szCs w:val="60"/>
      <w:lang w:eastAsia="en-US" w:bidi="en-US"/>
    </w:rPr>
  </w:style>
  <w:style w:type="paragraph" w:customStyle="1" w:styleId="83">
    <w:name w:val="列表1"/>
    <w:basedOn w:val="1"/>
    <w:next w:val="1"/>
    <w:link w:val="84"/>
    <w:qFormat/>
    <w:uiPriority w:val="0"/>
    <w:pPr>
      <w:numPr>
        <w:ilvl w:val="0"/>
        <w:numId w:val="2"/>
      </w:numPr>
      <w:spacing w:before="120" w:after="120"/>
    </w:pPr>
  </w:style>
  <w:style w:type="character" w:customStyle="1" w:styleId="84">
    <w:name w:val="列表1 Char Char"/>
    <w:link w:val="83"/>
    <w:qFormat/>
    <w:locked/>
    <w:uiPriority w:val="0"/>
    <w:rPr>
      <w:kern w:val="2"/>
      <w:sz w:val="21"/>
      <w:szCs w:val="24"/>
    </w:rPr>
  </w:style>
  <w:style w:type="paragraph" w:customStyle="1" w:styleId="85">
    <w:name w:val="16"/>
    <w:basedOn w:val="1"/>
    <w:qFormat/>
    <w:uiPriority w:val="0"/>
    <w:pPr>
      <w:widowControl/>
      <w:spacing w:before="100" w:beforeAutospacing="1" w:after="100" w:afterAutospacing="1"/>
      <w:jc w:val="left"/>
    </w:pPr>
    <w:rPr>
      <w:rFonts w:ascii="宋体" w:hAnsi="宋体" w:cs="宋体"/>
      <w:kern w:val="0"/>
      <w:sz w:val="24"/>
    </w:rPr>
  </w:style>
  <w:style w:type="character" w:customStyle="1" w:styleId="86">
    <w:name w:val="样式1 Char"/>
    <w:link w:val="87"/>
    <w:qFormat/>
    <w:uiPriority w:val="0"/>
    <w:rPr>
      <w:rFonts w:ascii="宋体" w:hAnsi="宋体"/>
      <w:kern w:val="2"/>
      <w:sz w:val="21"/>
      <w:szCs w:val="21"/>
    </w:rPr>
  </w:style>
  <w:style w:type="paragraph" w:customStyle="1" w:styleId="87">
    <w:name w:val="样式1"/>
    <w:basedOn w:val="1"/>
    <w:link w:val="86"/>
    <w:qFormat/>
    <w:uiPriority w:val="0"/>
    <w:pPr>
      <w:snapToGrid w:val="0"/>
      <w:spacing w:line="400" w:lineRule="atLeast"/>
      <w:ind w:firstLine="200" w:firstLineChars="200"/>
    </w:pPr>
    <w:rPr>
      <w:rFonts w:ascii="宋体" w:hAnsi="宋体"/>
      <w:szCs w:val="21"/>
    </w:rPr>
  </w:style>
  <w:style w:type="character" w:customStyle="1" w:styleId="88">
    <w:name w:val="批注文字 Char"/>
    <w:basedOn w:val="42"/>
    <w:link w:val="12"/>
    <w:qFormat/>
    <w:uiPriority w:val="0"/>
    <w:rPr>
      <w:kern w:val="2"/>
      <w:sz w:val="21"/>
      <w:szCs w:val="24"/>
    </w:rPr>
  </w:style>
  <w:style w:type="character" w:customStyle="1" w:styleId="89">
    <w:name w:val="批注主题 Char"/>
    <w:basedOn w:val="88"/>
    <w:link w:val="38"/>
    <w:qFormat/>
    <w:uiPriority w:val="0"/>
    <w:rPr>
      <w:b/>
      <w:bCs/>
    </w:rPr>
  </w:style>
  <w:style w:type="character" w:customStyle="1" w:styleId="90">
    <w:name w:val="正文文本缩进 Char"/>
    <w:link w:val="15"/>
    <w:qFormat/>
    <w:uiPriority w:val="0"/>
    <w:rPr>
      <w:rFonts w:ascii="宋体" w:hAnsi="Courier New"/>
      <w:spacing w:val="-4"/>
      <w:kern w:val="2"/>
      <w:sz w:val="18"/>
    </w:rPr>
  </w:style>
  <w:style w:type="paragraph" w:customStyle="1" w:styleId="91">
    <w:name w:val="Char12"/>
    <w:basedOn w:val="1"/>
    <w:qFormat/>
    <w:uiPriority w:val="0"/>
    <w:pPr>
      <w:spacing w:line="380" w:lineRule="exact"/>
      <w:ind w:firstLine="361" w:firstLineChars="150"/>
    </w:pPr>
    <w:rPr>
      <w:rFonts w:ascii="宋体" w:hAnsi="宋体"/>
      <w:b/>
      <w:sz w:val="24"/>
    </w:rPr>
  </w:style>
  <w:style w:type="paragraph" w:customStyle="1" w:styleId="92">
    <w:name w:val="纯文本2"/>
    <w:basedOn w:val="1"/>
    <w:qFormat/>
    <w:uiPriority w:val="0"/>
    <w:pPr>
      <w:adjustRightInd w:val="0"/>
      <w:textAlignment w:val="baseline"/>
    </w:pPr>
    <w:rPr>
      <w:rFonts w:ascii="宋体" w:hAnsi="Courier New" w:eastAsia="楷体_GB2312"/>
      <w:sz w:val="26"/>
      <w:szCs w:val="20"/>
    </w:rPr>
  </w:style>
  <w:style w:type="character" w:customStyle="1" w:styleId="93">
    <w:name w:val="标题 1 Char"/>
    <w:link w:val="2"/>
    <w:qFormat/>
    <w:locked/>
    <w:uiPriority w:val="99"/>
    <w:rPr>
      <w:b/>
      <w:bCs/>
      <w:kern w:val="44"/>
      <w:sz w:val="32"/>
      <w:szCs w:val="44"/>
    </w:rPr>
  </w:style>
  <w:style w:type="character" w:customStyle="1" w:styleId="94">
    <w:name w:val="标题 3 Char"/>
    <w:basedOn w:val="42"/>
    <w:link w:val="4"/>
    <w:qFormat/>
    <w:uiPriority w:val="0"/>
    <w:rPr>
      <w:b/>
      <w:bCs/>
      <w:kern w:val="2"/>
      <w:sz w:val="32"/>
      <w:szCs w:val="32"/>
    </w:rPr>
  </w:style>
  <w:style w:type="character" w:customStyle="1" w:styleId="95">
    <w:name w:val="标题 4 Char"/>
    <w:basedOn w:val="42"/>
    <w:link w:val="5"/>
    <w:qFormat/>
    <w:uiPriority w:val="0"/>
    <w:rPr>
      <w:rFonts w:ascii="Arial" w:hAnsi="Arial" w:eastAsia="黑体"/>
      <w:b/>
      <w:bCs/>
      <w:kern w:val="2"/>
      <w:sz w:val="28"/>
      <w:szCs w:val="28"/>
    </w:rPr>
  </w:style>
  <w:style w:type="character" w:customStyle="1" w:styleId="96">
    <w:name w:val="标题 5 Char"/>
    <w:basedOn w:val="42"/>
    <w:link w:val="6"/>
    <w:qFormat/>
    <w:uiPriority w:val="0"/>
    <w:rPr>
      <w:b/>
      <w:bCs/>
      <w:kern w:val="2"/>
      <w:sz w:val="28"/>
      <w:szCs w:val="28"/>
    </w:rPr>
  </w:style>
  <w:style w:type="character" w:customStyle="1" w:styleId="97">
    <w:name w:val="Char Char11"/>
    <w:qFormat/>
    <w:uiPriority w:val="0"/>
    <w:rPr>
      <w:rFonts w:ascii="宋体" w:hAnsi="Courier New" w:eastAsia="楷体_GB2312"/>
      <w:kern w:val="2"/>
      <w:sz w:val="26"/>
      <w:lang w:val="en-US" w:eastAsia="zh-CN" w:bidi="ar-SA"/>
    </w:rPr>
  </w:style>
  <w:style w:type="paragraph" w:customStyle="1" w:styleId="98">
    <w:name w:val="Char Char Char Char Char Char2"/>
    <w:basedOn w:val="1"/>
    <w:qFormat/>
    <w:uiPriority w:val="0"/>
    <w:pPr>
      <w:widowControl/>
      <w:spacing w:after="160" w:line="240" w:lineRule="exact"/>
      <w:jc w:val="left"/>
    </w:pPr>
    <w:rPr>
      <w:kern w:val="0"/>
      <w:szCs w:val="20"/>
    </w:rPr>
  </w:style>
  <w:style w:type="paragraph" w:customStyle="1" w:styleId="99">
    <w:name w:val="Char Char121"/>
    <w:basedOn w:val="1"/>
    <w:qFormat/>
    <w:uiPriority w:val="0"/>
    <w:rPr>
      <w:szCs w:val="21"/>
    </w:rPr>
  </w:style>
  <w:style w:type="paragraph" w:customStyle="1" w:styleId="100">
    <w:name w:val="纯文本3"/>
    <w:basedOn w:val="1"/>
    <w:qFormat/>
    <w:uiPriority w:val="0"/>
    <w:pPr>
      <w:adjustRightInd w:val="0"/>
      <w:textAlignment w:val="baseline"/>
    </w:pPr>
    <w:rPr>
      <w:rFonts w:ascii="宋体" w:hAnsi="Courier New" w:eastAsia="楷体_GB2312"/>
      <w:sz w:val="26"/>
      <w:szCs w:val="20"/>
    </w:rPr>
  </w:style>
  <w:style w:type="paragraph" w:customStyle="1" w:styleId="101">
    <w:name w:val="Char2"/>
    <w:basedOn w:val="2"/>
    <w:qFormat/>
    <w:uiPriority w:val="0"/>
    <w:pPr>
      <w:adjustRightInd w:val="0"/>
      <w:snapToGrid w:val="0"/>
      <w:spacing w:before="240" w:after="240" w:line="348" w:lineRule="auto"/>
    </w:pPr>
  </w:style>
  <w:style w:type="paragraph" w:customStyle="1" w:styleId="102">
    <w:name w:val="正文2"/>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3">
    <w:name w:val="Char Char Char Char Char Char Char1"/>
    <w:basedOn w:val="1"/>
    <w:qFormat/>
    <w:uiPriority w:val="0"/>
    <w:rPr>
      <w:szCs w:val="21"/>
    </w:rPr>
  </w:style>
  <w:style w:type="paragraph" w:customStyle="1" w:styleId="104">
    <w:name w:val="Char13"/>
    <w:basedOn w:val="1"/>
    <w:qFormat/>
    <w:uiPriority w:val="0"/>
    <w:pPr>
      <w:spacing w:line="380" w:lineRule="exact"/>
      <w:ind w:firstLine="361" w:firstLineChars="150"/>
    </w:pPr>
    <w:rPr>
      <w:rFonts w:ascii="宋体" w:hAnsi="宋体"/>
      <w:b/>
      <w:sz w:val="24"/>
    </w:rPr>
  </w:style>
  <w:style w:type="character" w:customStyle="1" w:styleId="105">
    <w:name w:val="标题 2 Char"/>
    <w:link w:val="3"/>
    <w:qFormat/>
    <w:uiPriority w:val="0"/>
    <w:rPr>
      <w:rFonts w:ascii="Arial" w:hAnsi="Arial" w:eastAsia="黑体"/>
      <w:b/>
      <w:bCs/>
      <w:kern w:val="2"/>
      <w:sz w:val="32"/>
      <w:szCs w:val="32"/>
    </w:rPr>
  </w:style>
  <w:style w:type="character" w:customStyle="1" w:styleId="106">
    <w:name w:val="纯文本 Char2"/>
    <w:qFormat/>
    <w:uiPriority w:val="0"/>
    <w:rPr>
      <w:rFonts w:ascii="宋体" w:hAnsi="Courier New" w:eastAsia="宋体"/>
      <w:kern w:val="2"/>
      <w:sz w:val="24"/>
      <w:szCs w:val="24"/>
      <w:lang w:val="en-US" w:eastAsia="zh-CN" w:bidi="ar-SA"/>
    </w:rPr>
  </w:style>
  <w:style w:type="character" w:customStyle="1" w:styleId="107">
    <w:name w:val="Char Char1"/>
    <w:qFormat/>
    <w:uiPriority w:val="0"/>
    <w:rPr>
      <w:rFonts w:ascii="宋体" w:hAnsi="Courier New" w:eastAsia="宋体"/>
      <w:kern w:val="2"/>
      <w:sz w:val="24"/>
      <w:szCs w:val="24"/>
      <w:lang w:val="en-US" w:eastAsia="zh-CN" w:bidi="ar-SA"/>
    </w:rPr>
  </w:style>
  <w:style w:type="character" w:customStyle="1" w:styleId="108">
    <w:name w:val="模板正文 Char Char"/>
    <w:link w:val="109"/>
    <w:qFormat/>
    <w:uiPriority w:val="0"/>
    <w:rPr>
      <w:kern w:val="2"/>
      <w:sz w:val="24"/>
      <w:szCs w:val="21"/>
    </w:rPr>
  </w:style>
  <w:style w:type="paragraph" w:customStyle="1" w:styleId="109">
    <w:name w:val="模板正文"/>
    <w:basedOn w:val="1"/>
    <w:link w:val="108"/>
    <w:qFormat/>
    <w:uiPriority w:val="0"/>
    <w:pPr>
      <w:wordWrap w:val="0"/>
      <w:spacing w:line="360" w:lineRule="auto"/>
      <w:ind w:firstLine="200" w:firstLineChars="200"/>
    </w:pPr>
    <w:rPr>
      <w:sz w:val="24"/>
      <w:szCs w:val="21"/>
    </w:rPr>
  </w:style>
  <w:style w:type="character" w:customStyle="1" w:styleId="110">
    <w:name w:val="批注文字 Char1"/>
    <w:qFormat/>
    <w:uiPriority w:val="0"/>
    <w:rPr>
      <w:rFonts w:ascii="Times New Roman" w:hAnsi="Times New Roman" w:eastAsia="宋体" w:cs="Times New Roman"/>
      <w:szCs w:val="20"/>
    </w:rPr>
  </w:style>
  <w:style w:type="character" w:customStyle="1" w:styleId="111">
    <w:name w:val="apple-converted-space"/>
    <w:basedOn w:val="42"/>
    <w:qFormat/>
    <w:uiPriority w:val="0"/>
  </w:style>
  <w:style w:type="character" w:customStyle="1" w:styleId="112">
    <w:name w:val="正文样式 Char Char"/>
    <w:link w:val="113"/>
    <w:qFormat/>
    <w:uiPriority w:val="0"/>
    <w:rPr>
      <w:rFonts w:cs="Lucida Sans"/>
      <w:kern w:val="2"/>
      <w:sz w:val="24"/>
      <w:szCs w:val="24"/>
    </w:rPr>
  </w:style>
  <w:style w:type="paragraph" w:customStyle="1" w:styleId="113">
    <w:name w:val="正文样式"/>
    <w:basedOn w:val="1"/>
    <w:link w:val="112"/>
    <w:qFormat/>
    <w:uiPriority w:val="0"/>
    <w:pPr>
      <w:spacing w:line="360" w:lineRule="auto"/>
      <w:ind w:firstLine="200" w:firstLineChars="200"/>
    </w:pPr>
    <w:rPr>
      <w:rFonts w:cs="Lucida Sans"/>
      <w:sz w:val="24"/>
    </w:rPr>
  </w:style>
  <w:style w:type="character" w:customStyle="1" w:styleId="114">
    <w:name w:val="纯文本 字符"/>
    <w:qFormat/>
    <w:uiPriority w:val="0"/>
    <w:rPr>
      <w:rFonts w:ascii="宋体" w:hAnsi="Courier New" w:eastAsia="宋体"/>
      <w:kern w:val="2"/>
      <w:sz w:val="24"/>
      <w:szCs w:val="24"/>
      <w:lang w:val="en-US" w:eastAsia="zh-CN" w:bidi="ar-SA"/>
    </w:rPr>
  </w:style>
  <w:style w:type="character" w:customStyle="1" w:styleId="115">
    <w:name w:val="列出段落 字符"/>
    <w:basedOn w:val="42"/>
    <w:link w:val="116"/>
    <w:qFormat/>
    <w:uiPriority w:val="34"/>
    <w:rPr>
      <w:rFonts w:eastAsia="微软雅黑"/>
      <w:sz w:val="24"/>
    </w:rPr>
  </w:style>
  <w:style w:type="paragraph" w:customStyle="1" w:styleId="116">
    <w:name w:val="列出段落1"/>
    <w:basedOn w:val="1"/>
    <w:link w:val="115"/>
    <w:qFormat/>
    <w:uiPriority w:val="34"/>
    <w:pPr>
      <w:ind w:firstLine="420" w:firstLineChars="200"/>
    </w:pPr>
    <w:rPr>
      <w:rFonts w:eastAsia="微软雅黑"/>
      <w:kern w:val="0"/>
      <w:sz w:val="24"/>
      <w:szCs w:val="20"/>
    </w:rPr>
  </w:style>
  <w:style w:type="character" w:customStyle="1" w:styleId="117">
    <w:name w:val="font11"/>
    <w:basedOn w:val="42"/>
    <w:qFormat/>
    <w:uiPriority w:val="0"/>
    <w:rPr>
      <w:rFonts w:hint="eastAsia" w:ascii="宋体" w:hAnsi="宋体" w:eastAsia="宋体" w:cs="宋体"/>
      <w:color w:val="000000"/>
      <w:sz w:val="20"/>
      <w:szCs w:val="20"/>
      <w:u w:val="none"/>
    </w:rPr>
  </w:style>
  <w:style w:type="character" w:customStyle="1" w:styleId="118">
    <w:name w:val="内容 Char Char"/>
    <w:link w:val="119"/>
    <w:qFormat/>
    <w:uiPriority w:val="0"/>
    <w:rPr>
      <w:rFonts w:ascii="Calibri" w:hAnsi="Calibri"/>
      <w:kern w:val="2"/>
      <w:sz w:val="24"/>
      <w:szCs w:val="28"/>
    </w:rPr>
  </w:style>
  <w:style w:type="paragraph" w:customStyle="1" w:styleId="119">
    <w:name w:val="内容"/>
    <w:basedOn w:val="1"/>
    <w:link w:val="118"/>
    <w:qFormat/>
    <w:uiPriority w:val="0"/>
    <w:pPr>
      <w:spacing w:line="360" w:lineRule="auto"/>
      <w:ind w:firstLine="200" w:firstLineChars="200"/>
    </w:pPr>
    <w:rPr>
      <w:rFonts w:ascii="Calibri" w:hAnsi="Calibri"/>
      <w:sz w:val="24"/>
      <w:szCs w:val="28"/>
    </w:rPr>
  </w:style>
  <w:style w:type="character" w:customStyle="1" w:styleId="120">
    <w:name w:val="正文样式1 Char"/>
    <w:link w:val="121"/>
    <w:qFormat/>
    <w:locked/>
    <w:uiPriority w:val="0"/>
    <w:rPr>
      <w:rFonts w:ascii="宋体" w:hAnsi="宋体" w:eastAsia="仿宋"/>
      <w:sz w:val="28"/>
      <w:szCs w:val="24"/>
    </w:rPr>
  </w:style>
  <w:style w:type="paragraph" w:customStyle="1" w:styleId="121">
    <w:name w:val="正文样式1"/>
    <w:basedOn w:val="1"/>
    <w:link w:val="120"/>
    <w:qFormat/>
    <w:uiPriority w:val="0"/>
    <w:pPr>
      <w:spacing w:line="360" w:lineRule="auto"/>
      <w:ind w:firstLine="200" w:firstLineChars="200"/>
      <w:jc w:val="left"/>
    </w:pPr>
    <w:rPr>
      <w:rFonts w:ascii="宋体" w:hAnsi="宋体" w:eastAsia="仿宋"/>
      <w:kern w:val="0"/>
      <w:sz w:val="28"/>
    </w:rPr>
  </w:style>
  <w:style w:type="paragraph" w:customStyle="1" w:styleId="122">
    <w:name w:val="xl2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character" w:customStyle="1" w:styleId="123">
    <w:name w:val="HTML 预设格式 Char"/>
    <w:basedOn w:val="42"/>
    <w:link w:val="35"/>
    <w:qFormat/>
    <w:uiPriority w:val="0"/>
    <w:rPr>
      <w:rFonts w:ascii="Arial" w:hAnsi="Arial" w:cs="Arial"/>
      <w:sz w:val="21"/>
      <w:szCs w:val="21"/>
    </w:rPr>
  </w:style>
  <w:style w:type="paragraph" w:customStyle="1" w:styleId="124">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2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6">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127">
    <w:name w:val="xl20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28">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2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character" w:customStyle="1" w:styleId="130">
    <w:name w:val="批注文字 Char2"/>
    <w:basedOn w:val="42"/>
    <w:qFormat/>
    <w:uiPriority w:val="0"/>
    <w:rPr>
      <w:kern w:val="2"/>
      <w:sz w:val="21"/>
      <w:szCs w:val="24"/>
    </w:rPr>
  </w:style>
  <w:style w:type="paragraph" w:customStyle="1" w:styleId="131">
    <w:name w:val="xl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32">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33">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3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5">
    <w:name w:val="Char11"/>
    <w:basedOn w:val="1"/>
    <w:qFormat/>
    <w:uiPriority w:val="0"/>
    <w:rPr>
      <w:rFonts w:ascii="仿宋_GB2312" w:eastAsia="仿宋_GB2312"/>
      <w:b/>
      <w:sz w:val="32"/>
      <w:szCs w:val="32"/>
    </w:rPr>
  </w:style>
  <w:style w:type="paragraph" w:customStyle="1" w:styleId="136">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38">
    <w:name w:val="批注主题 Char1"/>
    <w:basedOn w:val="130"/>
    <w:qFormat/>
    <w:uiPriority w:val="0"/>
    <w:rPr>
      <w:b/>
      <w:bCs/>
    </w:rPr>
  </w:style>
  <w:style w:type="paragraph" w:customStyle="1" w:styleId="139">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8"/>
      <w:szCs w:val="18"/>
    </w:rPr>
  </w:style>
  <w:style w:type="paragraph" w:customStyle="1" w:styleId="14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1">
    <w:name w:val="样式 3节标题 + 段前: 0.5 行 段后: 0.5 行"/>
    <w:basedOn w:val="1"/>
    <w:qFormat/>
    <w:uiPriority w:val="0"/>
    <w:pPr>
      <w:spacing w:beforeLines="50" w:afterLines="50"/>
      <w:outlineLvl w:val="2"/>
    </w:pPr>
    <w:rPr>
      <w:rFonts w:ascii="楷体_GB2312" w:hAnsi="楷体_GB2312" w:eastAsia="楷体_GB2312" w:cs="宋体"/>
      <w:b/>
      <w:bCs/>
      <w:color w:val="000000"/>
      <w:kern w:val="44"/>
      <w:sz w:val="30"/>
      <w:szCs w:val="30"/>
    </w:rPr>
  </w:style>
  <w:style w:type="paragraph" w:customStyle="1" w:styleId="142">
    <w:name w:val="xl2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43">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8"/>
      <w:szCs w:val="18"/>
    </w:rPr>
  </w:style>
  <w:style w:type="paragraph" w:customStyle="1" w:styleId="145">
    <w:name w:val="font5"/>
    <w:basedOn w:val="1"/>
    <w:qFormat/>
    <w:uiPriority w:val="0"/>
    <w:pPr>
      <w:widowControl/>
      <w:spacing w:before="100" w:beforeAutospacing="1" w:after="100" w:afterAutospacing="1"/>
      <w:jc w:val="left"/>
    </w:pPr>
    <w:rPr>
      <w:rFonts w:ascii="新宋体" w:hAnsi="新宋体" w:eastAsia="新宋体" w:cs="宋体"/>
      <w:kern w:val="0"/>
      <w:sz w:val="18"/>
      <w:szCs w:val="18"/>
    </w:rPr>
  </w:style>
  <w:style w:type="paragraph" w:customStyle="1" w:styleId="146">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宋体" w:hAnsi="宋体" w:cs="宋体"/>
      <w:b/>
      <w:bCs/>
      <w:kern w:val="0"/>
      <w:sz w:val="18"/>
      <w:szCs w:val="18"/>
    </w:rPr>
  </w:style>
  <w:style w:type="paragraph" w:customStyle="1" w:styleId="147">
    <w:name w:val="xl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kern w:val="0"/>
      <w:sz w:val="18"/>
      <w:szCs w:val="18"/>
    </w:rPr>
  </w:style>
  <w:style w:type="paragraph" w:customStyle="1" w:styleId="148">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9">
    <w:name w:val="彩色列表 - 着色 1"/>
    <w:basedOn w:val="1"/>
    <w:qFormat/>
    <w:uiPriority w:val="34"/>
    <w:pPr>
      <w:ind w:firstLine="420" w:firstLineChars="200"/>
    </w:pPr>
    <w:rPr>
      <w:rFonts w:ascii="Calibri" w:hAnsi="Calibri"/>
      <w:szCs w:val="22"/>
    </w:rPr>
  </w:style>
  <w:style w:type="paragraph" w:customStyle="1" w:styleId="15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51">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xl1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58">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9">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6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1">
    <w:name w:val="xl19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kern w:val="0"/>
      <w:sz w:val="18"/>
      <w:szCs w:val="18"/>
    </w:rPr>
  </w:style>
  <w:style w:type="paragraph" w:customStyle="1" w:styleId="162">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3">
    <w:name w:val="xl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64">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5">
    <w:name w:val="xl2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66">
    <w:name w:val="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67">
    <w:name w:val="Char Char Char Char Char Char Char Char Char Char Char Char1 Char"/>
    <w:basedOn w:val="11"/>
    <w:qFormat/>
    <w:uiPriority w:val="0"/>
    <w:rPr>
      <w:rFonts w:ascii="Tahoma" w:hAnsi="Tahoma"/>
      <w:sz w:val="24"/>
    </w:rPr>
  </w:style>
  <w:style w:type="paragraph" w:customStyle="1" w:styleId="168">
    <w:name w:val="段"/>
    <w:qFormat/>
    <w:uiPriority w:val="0"/>
    <w:pPr>
      <w:autoSpaceDE w:val="0"/>
      <w:autoSpaceDN w:val="0"/>
      <w:ind w:firstLine="200" w:firstLineChars="200"/>
      <w:jc w:val="both"/>
    </w:pPr>
    <w:rPr>
      <w:rFonts w:ascii="宋体" w:hAnsi="宋体" w:eastAsia="宋体" w:cs="Lucida Sans"/>
      <w:sz w:val="21"/>
      <w:lang w:val="en-US" w:eastAsia="zh-CN" w:bidi="ar-SA"/>
    </w:rPr>
  </w:style>
  <w:style w:type="paragraph" w:customStyle="1" w:styleId="169">
    <w:name w:val="xl2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70">
    <w:name w:val="xl2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paragraph" w:customStyle="1" w:styleId="171">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72">
    <w:name w:val="xl20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73">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74">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75">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WPS Plain"/>
    <w:qFormat/>
    <w:uiPriority w:val="0"/>
    <w:rPr>
      <w:rFonts w:ascii="Times New Roman" w:hAnsi="Times New Roman" w:eastAsia="宋体" w:cs="Times New Roman"/>
      <w:lang w:val="en-US" w:eastAsia="zh-CN" w:bidi="ar-SA"/>
    </w:rPr>
  </w:style>
  <w:style w:type="paragraph" w:customStyle="1" w:styleId="178">
    <w:name w:val="_Style 2"/>
    <w:basedOn w:val="1"/>
    <w:qFormat/>
    <w:uiPriority w:val="34"/>
    <w:pPr>
      <w:adjustRightInd w:val="0"/>
      <w:snapToGrid w:val="0"/>
      <w:spacing w:line="360" w:lineRule="auto"/>
      <w:ind w:firstLine="420" w:firstLineChars="200"/>
    </w:pPr>
    <w:rPr>
      <w:sz w:val="24"/>
    </w:rPr>
  </w:style>
  <w:style w:type="paragraph" w:customStyle="1" w:styleId="179">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0">
    <w:name w:val="xl21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81">
    <w:name w:val="xl2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paragraph" w:customStyle="1" w:styleId="18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83">
    <w:name w:val="xl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kern w:val="0"/>
      <w:sz w:val="18"/>
      <w:szCs w:val="18"/>
    </w:rPr>
  </w:style>
  <w:style w:type="paragraph" w:customStyle="1" w:styleId="184">
    <w:name w:val="样式正文"/>
    <w:basedOn w:val="1"/>
    <w:qFormat/>
    <w:uiPriority w:val="0"/>
    <w:pPr>
      <w:spacing w:line="360" w:lineRule="auto"/>
      <w:ind w:firstLine="200" w:firstLineChars="200"/>
    </w:pPr>
    <w:rPr>
      <w:rFonts w:ascii="等线" w:hAnsi="等线" w:eastAsia="等线"/>
      <w:sz w:val="24"/>
      <w:szCs w:val="22"/>
    </w:rPr>
  </w:style>
  <w:style w:type="paragraph" w:customStyle="1" w:styleId="185">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87">
    <w:name w:val="列出段落11"/>
    <w:basedOn w:val="1"/>
    <w:qFormat/>
    <w:uiPriority w:val="34"/>
    <w:pPr>
      <w:ind w:firstLine="420" w:firstLineChars="200"/>
    </w:pPr>
  </w:style>
  <w:style w:type="paragraph" w:customStyle="1" w:styleId="188">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8"/>
      <w:szCs w:val="18"/>
    </w:rPr>
  </w:style>
  <w:style w:type="paragraph" w:customStyle="1" w:styleId="189">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90">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91">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94">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95">
    <w:name w:val="正文－恩普"/>
    <w:basedOn w:val="9"/>
    <w:qFormat/>
    <w:uiPriority w:val="0"/>
    <w:pPr>
      <w:widowControl/>
      <w:spacing w:line="360" w:lineRule="auto"/>
      <w:ind w:firstLine="480" w:firstLineChars="200"/>
      <w:jc w:val="left"/>
    </w:pPr>
    <w:rPr>
      <w:kern w:val="0"/>
      <w:sz w:val="24"/>
      <w:szCs w:val="20"/>
    </w:rPr>
  </w:style>
  <w:style w:type="paragraph" w:customStyle="1" w:styleId="196">
    <w:name w:val="正文表标题"/>
    <w:next w:val="168"/>
    <w:qFormat/>
    <w:uiPriority w:val="0"/>
    <w:pPr>
      <w:numPr>
        <w:ilvl w:val="0"/>
        <w:numId w:val="3"/>
      </w:numPr>
      <w:tabs>
        <w:tab w:val="left" w:pos="1440"/>
      </w:tabs>
      <w:jc w:val="center"/>
    </w:pPr>
    <w:rPr>
      <w:rFonts w:ascii="黑体" w:hAnsi="Times New Roman" w:eastAsia="黑体" w:cs="Times New Roman"/>
      <w:sz w:val="21"/>
      <w:lang w:val="en-US" w:eastAsia="zh-CN" w:bidi="ar-SA"/>
    </w:rPr>
  </w:style>
  <w:style w:type="paragraph" w:customStyle="1" w:styleId="197">
    <w:name w:val="_Style 54"/>
    <w:basedOn w:val="1"/>
    <w:qFormat/>
    <w:uiPriority w:val="34"/>
    <w:pPr>
      <w:adjustRightInd w:val="0"/>
      <w:snapToGrid w:val="0"/>
      <w:spacing w:line="360" w:lineRule="auto"/>
      <w:ind w:firstLine="420" w:firstLineChars="200"/>
    </w:pPr>
    <w:rPr>
      <w:sz w:val="24"/>
    </w:rPr>
  </w:style>
  <w:style w:type="paragraph" w:customStyle="1" w:styleId="198">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99">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00">
    <w:name w:val="4h4bulletblbbh4firstsubheadingsect1234refhea"/>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xl2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2">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05">
    <w:name w:val="xl20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06">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207">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8">
    <w:name w:val="xl21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9">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0">
    <w:name w:val="_Style 1"/>
    <w:basedOn w:val="1"/>
    <w:qFormat/>
    <w:uiPriority w:val="34"/>
    <w:pPr>
      <w:spacing w:line="360" w:lineRule="auto"/>
      <w:ind w:firstLine="420" w:firstLineChars="200"/>
    </w:pPr>
    <w:rPr>
      <w:rFonts w:ascii="Calibri" w:hAnsi="Calibri"/>
      <w:sz w:val="24"/>
      <w:szCs w:val="22"/>
    </w:rPr>
  </w:style>
  <w:style w:type="paragraph" w:customStyle="1" w:styleId="211">
    <w:name w:val="xl20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12">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paragraph" w:customStyle="1" w:styleId="213">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14">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5">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216">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7">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8">
    <w:name w:val="样式 首行缩进:  0 字符"/>
    <w:basedOn w:val="1"/>
    <w:qFormat/>
    <w:uiPriority w:val="0"/>
  </w:style>
  <w:style w:type="paragraph" w:customStyle="1" w:styleId="219">
    <w:name w:val="Table Paragraph"/>
    <w:basedOn w:val="1"/>
    <w:qFormat/>
    <w:uiPriority w:val="1"/>
    <w:pPr>
      <w:jc w:val="left"/>
    </w:pPr>
    <w:rPr>
      <w:rFonts w:ascii="宋体" w:hAnsi="宋体" w:cs="宋体"/>
      <w:kern w:val="0"/>
      <w:sz w:val="22"/>
      <w:szCs w:val="22"/>
      <w:lang w:eastAsia="en-US"/>
    </w:rPr>
  </w:style>
  <w:style w:type="paragraph" w:customStyle="1" w:styleId="220">
    <w:name w:val="论文正文"/>
    <w:basedOn w:val="1"/>
    <w:qFormat/>
    <w:uiPriority w:val="0"/>
    <w:pPr>
      <w:spacing w:line="300" w:lineRule="auto"/>
      <w:ind w:firstLine="480"/>
    </w:pPr>
    <w:rPr>
      <w:rFonts w:ascii="宋体"/>
      <w:kern w:val="0"/>
      <w:sz w:val="24"/>
      <w:szCs w:val="20"/>
    </w:rPr>
  </w:style>
  <w:style w:type="paragraph" w:customStyle="1" w:styleId="221">
    <w:name w:val="列出段落2"/>
    <w:basedOn w:val="1"/>
    <w:unhideWhenUsed/>
    <w:qFormat/>
    <w:uiPriority w:val="99"/>
    <w:pPr>
      <w:ind w:firstLine="420" w:firstLineChars="200"/>
    </w:pPr>
    <w:rPr>
      <w:rFonts w:ascii="Calibri" w:hAnsi="Calibri"/>
      <w:szCs w:val="22"/>
    </w:rPr>
  </w:style>
  <w:style w:type="paragraph" w:customStyle="1" w:styleId="222">
    <w:name w:val="默认段落字体 Para Char Char Char Char Char Char Char Char Char Char Char Char Char"/>
    <w:basedOn w:val="11"/>
    <w:qFormat/>
    <w:uiPriority w:val="0"/>
    <w:rPr>
      <w:rFonts w:ascii="Tahoma" w:hAnsi="Tahoma" w:cs="Tahoma"/>
      <w:sz w:val="24"/>
    </w:rPr>
  </w:style>
  <w:style w:type="paragraph" w:customStyle="1" w:styleId="223">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24">
    <w:name w:val="封面第一行"/>
    <w:basedOn w:val="1"/>
    <w:qFormat/>
    <w:uiPriority w:val="0"/>
    <w:pPr>
      <w:spacing w:line="360" w:lineRule="auto"/>
      <w:jc w:val="center"/>
    </w:pPr>
    <w:rPr>
      <w:rFonts w:ascii="黑体" w:hAnsi="宋体" w:eastAsia="黑体" w:cs="宋体"/>
      <w:sz w:val="56"/>
      <w:szCs w:val="20"/>
    </w:rPr>
  </w:style>
  <w:style w:type="paragraph" w:customStyle="1" w:styleId="225">
    <w:name w:val="默认段落字体 Para Char Char Char Char Char Char Char Char Char1 Char Char Char Char Char Char Char"/>
    <w:basedOn w:val="11"/>
    <w:qFormat/>
    <w:uiPriority w:val="0"/>
  </w:style>
  <w:style w:type="paragraph" w:customStyle="1" w:styleId="226">
    <w:name w:val="正文21"/>
    <w:basedOn w:val="1"/>
    <w:qFormat/>
    <w:uiPriority w:val="0"/>
    <w:pPr>
      <w:widowControl/>
      <w:spacing w:after="160" w:line="360" w:lineRule="auto"/>
      <w:ind w:firstLine="200" w:firstLineChars="200"/>
      <w:jc w:val="left"/>
    </w:pPr>
    <w:rPr>
      <w:rFonts w:ascii="Verdana" w:hAnsi="Verdana" w:eastAsia="黑体"/>
      <w:kern w:val="0"/>
      <w:lang w:eastAsia="en-US"/>
    </w:rPr>
  </w:style>
  <w:style w:type="character" w:customStyle="1" w:styleId="227">
    <w:name w:val="正文文本 3 Char"/>
    <w:link w:val="13"/>
    <w:qFormat/>
    <w:uiPriority w:val="0"/>
    <w:rPr>
      <w:rFonts w:hAnsi="宋体" w:eastAsia="仿宋_GB2312"/>
      <w:b/>
      <w:bCs/>
      <w:kern w:val="2"/>
      <w:sz w:val="24"/>
    </w:rPr>
  </w:style>
  <w:style w:type="character" w:customStyle="1" w:styleId="228">
    <w:name w:val="Header Char"/>
    <w:basedOn w:val="42"/>
    <w:qFormat/>
    <w:locked/>
    <w:uiPriority w:val="0"/>
    <w:rPr>
      <w:rFonts w:cs="Times New Roman"/>
      <w:kern w:val="2"/>
      <w:sz w:val="18"/>
      <w:szCs w:val="18"/>
    </w:rPr>
  </w:style>
  <w:style w:type="paragraph" w:customStyle="1" w:styleId="229">
    <w:name w:val="style1"/>
    <w:basedOn w:val="1"/>
    <w:qFormat/>
    <w:uiPriority w:val="0"/>
    <w:pPr>
      <w:widowControl/>
      <w:spacing w:before="100" w:beforeAutospacing="1" w:after="100" w:afterAutospacing="1"/>
      <w:jc w:val="left"/>
    </w:pPr>
    <w:rPr>
      <w:rFonts w:ascii="宋体" w:hAnsi="宋体"/>
      <w:b/>
      <w:bCs/>
      <w:kern w:val="0"/>
      <w:sz w:val="27"/>
      <w:szCs w:val="27"/>
    </w:rPr>
  </w:style>
  <w:style w:type="paragraph" w:customStyle="1" w:styleId="23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31">
    <w:name w:val="font7"/>
    <w:basedOn w:val="1"/>
    <w:qFormat/>
    <w:uiPriority w:val="0"/>
    <w:pPr>
      <w:widowControl/>
      <w:spacing w:before="100" w:beforeAutospacing="1" w:after="100" w:afterAutospacing="1"/>
      <w:jc w:val="left"/>
    </w:pPr>
    <w:rPr>
      <w:kern w:val="0"/>
      <w:sz w:val="20"/>
      <w:szCs w:val="20"/>
    </w:rPr>
  </w:style>
  <w:style w:type="paragraph" w:customStyle="1" w:styleId="23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3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3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4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41">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42">
    <w:name w:val="font61"/>
    <w:basedOn w:val="42"/>
    <w:qFormat/>
    <w:uiPriority w:val="0"/>
    <w:rPr>
      <w:rFonts w:hint="eastAsia" w:ascii="宋体" w:hAnsi="宋体" w:eastAsia="宋体"/>
      <w:b/>
      <w:bCs/>
      <w:color w:val="000000"/>
      <w:sz w:val="32"/>
      <w:szCs w:val="32"/>
      <w:u w:val="none"/>
    </w:rPr>
  </w:style>
  <w:style w:type="character" w:customStyle="1" w:styleId="243">
    <w:name w:val="font81"/>
    <w:basedOn w:val="42"/>
    <w:qFormat/>
    <w:uiPriority w:val="0"/>
    <w:rPr>
      <w:rFonts w:hint="eastAsia" w:ascii="宋体" w:hAnsi="宋体" w:eastAsia="宋体"/>
      <w:b/>
      <w:bCs/>
      <w:color w:val="000000"/>
      <w:sz w:val="32"/>
      <w:szCs w:val="32"/>
      <w:u w:val="none"/>
    </w:rPr>
  </w:style>
  <w:style w:type="character" w:customStyle="1" w:styleId="244">
    <w:name w:val="font21"/>
    <w:basedOn w:val="42"/>
    <w:qFormat/>
    <w:uiPriority w:val="0"/>
    <w:rPr>
      <w:rFonts w:hint="eastAsia" w:ascii="宋体" w:hAnsi="宋体" w:eastAsia="宋体"/>
      <w:color w:val="000000"/>
      <w:sz w:val="24"/>
      <w:szCs w:val="24"/>
      <w:u w:val="none"/>
    </w:rPr>
  </w:style>
  <w:style w:type="character" w:customStyle="1" w:styleId="245">
    <w:name w:val="font01"/>
    <w:basedOn w:val="42"/>
    <w:qFormat/>
    <w:uiPriority w:val="0"/>
    <w:rPr>
      <w:rFonts w:hint="eastAsia" w:ascii="宋体" w:hAnsi="宋体" w:eastAsia="宋体"/>
      <w:color w:val="000000"/>
      <w:sz w:val="24"/>
      <w:szCs w:val="24"/>
      <w:u w:val="none"/>
    </w:rPr>
  </w:style>
  <w:style w:type="paragraph" w:customStyle="1" w:styleId="246">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character" w:customStyle="1" w:styleId="247">
    <w:name w:val="con"/>
    <w:basedOn w:val="42"/>
    <w:qFormat/>
    <w:uiPriority w:val="0"/>
  </w:style>
  <w:style w:type="character" w:customStyle="1" w:styleId="248">
    <w:name w:val="正文文本缩进 3 Char"/>
    <w:basedOn w:val="42"/>
    <w:link w:val="31"/>
    <w:qFormat/>
    <w:uiPriority w:val="0"/>
    <w:rPr>
      <w:rFonts w:ascii="仿宋_GB2312" w:hAnsi="宋体" w:eastAsia="仿宋_GB2312"/>
      <w:color w:val="000000"/>
      <w:kern w:val="2"/>
      <w:sz w:val="24"/>
      <w:szCs w:val="24"/>
    </w:rPr>
  </w:style>
  <w:style w:type="character" w:customStyle="1" w:styleId="249">
    <w:name w:val="批注框文本 Char1"/>
    <w:basedOn w:val="42"/>
    <w:semiHidden/>
    <w:qFormat/>
    <w:uiPriority w:val="99"/>
    <w:rPr>
      <w:rFonts w:ascii="Times New Roman" w:hAnsi="Times New Roman" w:eastAsia="宋体" w:cs="Times New Roman"/>
      <w:sz w:val="18"/>
      <w:szCs w:val="18"/>
    </w:rPr>
  </w:style>
  <w:style w:type="character" w:customStyle="1" w:styleId="250">
    <w:name w:val="文档结构图 Char"/>
    <w:basedOn w:val="42"/>
    <w:link w:val="11"/>
    <w:qFormat/>
    <w:uiPriority w:val="0"/>
    <w:rPr>
      <w:kern w:val="2"/>
      <w:sz w:val="21"/>
      <w:szCs w:val="24"/>
      <w:shd w:val="clear" w:color="auto" w:fill="000080"/>
    </w:rPr>
  </w:style>
  <w:style w:type="character" w:customStyle="1" w:styleId="251">
    <w:name w:val="页脚 Char1"/>
    <w:basedOn w:val="42"/>
    <w:semiHidden/>
    <w:qFormat/>
    <w:uiPriority w:val="99"/>
    <w:rPr>
      <w:rFonts w:ascii="Times New Roman" w:hAnsi="Times New Roman" w:eastAsia="宋体" w:cs="Times New Roman"/>
      <w:sz w:val="18"/>
      <w:szCs w:val="18"/>
    </w:rPr>
  </w:style>
  <w:style w:type="character" w:customStyle="1" w:styleId="252">
    <w:name w:val="正文文本缩进 2 Char"/>
    <w:basedOn w:val="42"/>
    <w:link w:val="23"/>
    <w:qFormat/>
    <w:uiPriority w:val="0"/>
    <w:rPr>
      <w:rFonts w:ascii="仿宋_GB2312" w:hAnsi="宋体" w:cs="Arial"/>
      <w:b/>
      <w:bCs/>
      <w:color w:val="000000"/>
      <w:kern w:val="2"/>
      <w:sz w:val="24"/>
      <w:szCs w:val="24"/>
    </w:rPr>
  </w:style>
  <w:style w:type="character" w:customStyle="1" w:styleId="253">
    <w:name w:val="纯文本 Char1"/>
    <w:basedOn w:val="42"/>
    <w:qFormat/>
    <w:uiPriority w:val="0"/>
    <w:rPr>
      <w:rFonts w:ascii="宋体" w:hAnsi="Courier New" w:eastAsia="宋体" w:cs="Courier New"/>
      <w:szCs w:val="21"/>
    </w:rPr>
  </w:style>
  <w:style w:type="character" w:customStyle="1" w:styleId="254">
    <w:name w:val="正文文本 2 Char"/>
    <w:basedOn w:val="42"/>
    <w:link w:val="34"/>
    <w:qFormat/>
    <w:uiPriority w:val="0"/>
    <w:rPr>
      <w:rFonts w:ascii="宋体" w:hAnsi="宋体"/>
      <w:color w:val="000000"/>
      <w:kern w:val="2"/>
      <w:sz w:val="24"/>
      <w:szCs w:val="24"/>
    </w:rPr>
  </w:style>
  <w:style w:type="paragraph" w:customStyle="1" w:styleId="25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256">
    <w:name w:val="Char14"/>
    <w:basedOn w:val="1"/>
    <w:qFormat/>
    <w:uiPriority w:val="0"/>
    <w:pPr>
      <w:tabs>
        <w:tab w:val="left" w:pos="432"/>
      </w:tabs>
      <w:ind w:left="432" w:hanging="432"/>
    </w:pPr>
    <w:rPr>
      <w:rFonts w:ascii="Tahoma" w:hAnsi="Tahoma"/>
      <w:sz w:val="24"/>
      <w:szCs w:val="20"/>
    </w:rPr>
  </w:style>
  <w:style w:type="paragraph" w:customStyle="1" w:styleId="257">
    <w:name w:val="Char3"/>
    <w:basedOn w:val="1"/>
    <w:qFormat/>
    <w:uiPriority w:val="0"/>
    <w:pPr>
      <w:tabs>
        <w:tab w:val="left" w:pos="432"/>
      </w:tabs>
      <w:ind w:left="432" w:hanging="432"/>
    </w:pPr>
    <w:rPr>
      <w:rFonts w:ascii="Tahoma" w:hAnsi="Tahoma"/>
      <w:sz w:val="24"/>
      <w:szCs w:val="20"/>
    </w:rPr>
  </w:style>
  <w:style w:type="paragraph" w:customStyle="1" w:styleId="258">
    <w:name w:val="纯文本4"/>
    <w:basedOn w:val="1"/>
    <w:qFormat/>
    <w:uiPriority w:val="0"/>
    <w:pPr>
      <w:adjustRightInd w:val="0"/>
      <w:textAlignment w:val="baseline"/>
    </w:pPr>
    <w:rPr>
      <w:rFonts w:ascii="宋体" w:hAnsi="Courier New" w:eastAsia="楷体_GB2312"/>
      <w:sz w:val="26"/>
      <w:szCs w:val="20"/>
    </w:rPr>
  </w:style>
  <w:style w:type="paragraph" w:customStyle="1" w:styleId="259">
    <w:name w:val="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260">
    <w:name w:val="彩色列表 - 强调文字颜色 1 Char"/>
    <w:link w:val="261"/>
    <w:qFormat/>
    <w:locked/>
    <w:uiPriority w:val="34"/>
    <w:rPr>
      <w:rFonts w:ascii="Calibri" w:hAnsi="Calibri"/>
      <w:kern w:val="2"/>
      <w:sz w:val="24"/>
      <w:szCs w:val="22"/>
    </w:rPr>
  </w:style>
  <w:style w:type="paragraph" w:customStyle="1" w:styleId="261">
    <w:name w:val="彩色列表 - 强调文字颜色 11"/>
    <w:basedOn w:val="1"/>
    <w:link w:val="260"/>
    <w:qFormat/>
    <w:uiPriority w:val="34"/>
    <w:pPr>
      <w:spacing w:line="360" w:lineRule="auto"/>
      <w:ind w:firstLine="420" w:firstLineChars="200"/>
    </w:pPr>
    <w:rPr>
      <w:rFonts w:ascii="Calibri" w:hAnsi="Calibri"/>
      <w:sz w:val="24"/>
      <w:szCs w:val="22"/>
    </w:rPr>
  </w:style>
  <w:style w:type="character" w:customStyle="1" w:styleId="262">
    <w:name w:val="列出段落 Char"/>
    <w:basedOn w:val="42"/>
    <w:link w:val="72"/>
    <w:qFormat/>
    <w:locked/>
    <w:uiPriority w:val="34"/>
    <w:rPr>
      <w:rFonts w:ascii="Calibri" w:hAnsi="Calibri"/>
      <w:kern w:val="2"/>
      <w:sz w:val="24"/>
      <w:szCs w:val="22"/>
    </w:rPr>
  </w:style>
  <w:style w:type="paragraph" w:customStyle="1" w:styleId="26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6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kern w:val="0"/>
      <w:sz w:val="18"/>
      <w:szCs w:val="18"/>
    </w:rPr>
  </w:style>
  <w:style w:type="paragraph" w:customStyle="1" w:styleId="26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18"/>
      <w:szCs w:val="18"/>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7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_GB2312" w:hAnsi="宋体" w:eastAsia="仿宋_GB2312" w:cs="宋体"/>
      <w:kern w:val="0"/>
      <w:sz w:val="18"/>
      <w:szCs w:val="18"/>
    </w:rPr>
  </w:style>
  <w:style w:type="paragraph" w:customStyle="1" w:styleId="27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仿宋_GB2312" w:hAnsi="宋体" w:eastAsia="仿宋_GB2312" w:cs="宋体"/>
      <w:kern w:val="0"/>
      <w:sz w:val="18"/>
      <w:szCs w:val="18"/>
    </w:rPr>
  </w:style>
  <w:style w:type="paragraph" w:customStyle="1" w:styleId="27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eastAsia="仿宋_GB2312" w:cs="宋体"/>
      <w:kern w:val="0"/>
      <w:sz w:val="18"/>
      <w:szCs w:val="18"/>
    </w:rPr>
  </w:style>
  <w:style w:type="paragraph" w:customStyle="1" w:styleId="273">
    <w:name w:val="xl75"/>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b/>
      <w:bCs/>
      <w:kern w:val="0"/>
      <w:sz w:val="24"/>
    </w:rPr>
  </w:style>
  <w:style w:type="paragraph" w:customStyle="1" w:styleId="274">
    <w:name w:val="xl76"/>
    <w:basedOn w:val="1"/>
    <w:qFormat/>
    <w:uiPriority w:val="0"/>
    <w:pPr>
      <w:widowControl/>
      <w:pBdr>
        <w:top w:val="single" w:color="auto" w:sz="8" w:space="0"/>
      </w:pBdr>
      <w:spacing w:before="100" w:beforeAutospacing="1" w:after="100" w:afterAutospacing="1"/>
      <w:jc w:val="center"/>
    </w:pPr>
    <w:rPr>
      <w:rFonts w:ascii="宋体" w:hAnsi="宋体" w:cs="宋体"/>
      <w:b/>
      <w:bCs/>
      <w:kern w:val="0"/>
      <w:sz w:val="24"/>
    </w:rPr>
  </w:style>
  <w:style w:type="paragraph" w:customStyle="1" w:styleId="275">
    <w:name w:val="xl77"/>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b/>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青鸟杭办</Company>
  <Pages>74</Pages>
  <Words>7322</Words>
  <Characters>41742</Characters>
  <Lines>347</Lines>
  <Paragraphs>97</Paragraphs>
  <TotalTime>241</TotalTime>
  <ScaleCrop>false</ScaleCrop>
  <LinksUpToDate>false</LinksUpToDate>
  <CharactersWithSpaces>48967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2018-05-06T17:15:00Z</dcterms:created>
  <dc:creator>黄旭明</dc:creator>
  <cp:lastModifiedBy>tstf</cp:lastModifiedBy>
  <cp:lastPrinted>2018-05-08T09:09:00Z</cp:lastPrinted>
  <dcterms:modified xsi:type="dcterms:W3CDTF">2021-08-05T10:17:03Z</dcterms:modified>
  <cp:revision>883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