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9"/>
        <w:rPr>
          <w:rFonts w:hint="eastAsia" w:ascii="宋体" w:hAnsi="宋体" w:eastAsia="宋体" w:cs="宋体"/>
          <w:b/>
          <w:color w:val="auto"/>
          <w:sz w:val="44"/>
          <w:szCs w:val="44"/>
          <w:lang w:val="en-US" w:eastAsia="zh-CN"/>
        </w:rPr>
      </w:pPr>
    </w:p>
    <w:p>
      <w:pPr>
        <w:pStyle w:val="9"/>
        <w:rPr>
          <w:rFonts w:hint="eastAsia" w:ascii="宋体" w:hAnsi="宋体" w:eastAsia="宋体" w:cs="宋体"/>
          <w:b/>
          <w:color w:val="auto"/>
          <w:sz w:val="44"/>
          <w:szCs w:val="44"/>
        </w:rPr>
      </w:pPr>
    </w:p>
    <w:p>
      <w:pPr>
        <w:pStyle w:val="9"/>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9"/>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outlineLvl w:val="9"/>
        <w:rPr>
          <w:rFonts w:hint="eastAsia" w:ascii="宋体" w:hAnsi="宋体" w:eastAsia="宋体" w:cs="宋体"/>
          <w:b/>
          <w:color w:val="auto"/>
          <w:sz w:val="44"/>
          <w:szCs w:val="44"/>
        </w:rPr>
      </w:pPr>
      <w:bookmarkStart w:id="0" w:name="_Toc8140"/>
      <w:r>
        <w:rPr>
          <w:rFonts w:hint="eastAsia" w:ascii="宋体" w:hAnsi="宋体" w:eastAsia="宋体" w:cs="宋体"/>
          <w:b/>
          <w:color w:val="auto"/>
          <w:sz w:val="44"/>
          <w:szCs w:val="44"/>
        </w:rPr>
        <w:t>竞</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争</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性</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磋</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商</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文</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件</w:t>
      </w:r>
      <w:bookmarkEnd w:id="0"/>
    </w:p>
    <w:p>
      <w:pPr>
        <w:keepNext w:val="0"/>
        <w:keepLines w:val="0"/>
        <w:pageBreakBefore w:val="0"/>
        <w:widowControl w:val="0"/>
        <w:kinsoku/>
        <w:wordWrap/>
        <w:overflowPunct/>
        <w:topLinePunct w:val="0"/>
        <w:autoSpaceDE w:val="0"/>
        <w:autoSpaceDN w:val="0"/>
        <w:bidi w:val="0"/>
        <w:adjustRightInd/>
        <w:snapToGrid/>
        <w:spacing w:line="500" w:lineRule="exact"/>
        <w:textAlignment w:val="bottom"/>
        <w:outlineLvl w:val="9"/>
        <w:rPr>
          <w:rFonts w:hint="eastAsia" w:ascii="宋体" w:hAnsi="宋体" w:eastAsia="宋体" w:cs="宋体"/>
          <w:b/>
          <w:color w:val="auto"/>
          <w:sz w:val="21"/>
          <w:szCs w:val="21"/>
        </w:rPr>
      </w:pPr>
    </w:p>
    <w:p>
      <w:pPr>
        <w:pStyle w:val="10"/>
        <w:pageBreakBefore w:val="0"/>
        <w:kinsoku/>
        <w:overflowPunct/>
        <w:topLinePunct w:val="0"/>
        <w:bidi w:val="0"/>
        <w:spacing w:line="400" w:lineRule="exact"/>
        <w:outlineLvl w:val="9"/>
        <w:rPr>
          <w:rFonts w:hint="eastAsia" w:ascii="宋体" w:hAnsi="宋体" w:eastAsia="宋体" w:cs="宋体"/>
          <w:b/>
          <w:color w:val="auto"/>
          <w:sz w:val="21"/>
          <w:szCs w:val="21"/>
        </w:rPr>
      </w:pPr>
    </w:p>
    <w:p>
      <w:pPr>
        <w:pStyle w:val="10"/>
        <w:pageBreakBefore w:val="0"/>
        <w:kinsoku/>
        <w:overflowPunct/>
        <w:topLinePunct w:val="0"/>
        <w:bidi w:val="0"/>
        <w:spacing w:line="400" w:lineRule="exact"/>
        <w:outlineLvl w:val="9"/>
        <w:rPr>
          <w:rFonts w:hint="eastAsia" w:ascii="宋体" w:hAnsi="宋体" w:eastAsia="宋体" w:cs="宋体"/>
          <w:b/>
          <w:color w:val="auto"/>
          <w:sz w:val="21"/>
          <w:szCs w:val="21"/>
        </w:rPr>
      </w:pPr>
    </w:p>
    <w:p>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rPr>
      </w:pPr>
      <w:bookmarkStart w:id="1" w:name="_Toc59735824"/>
      <w:bookmarkStart w:id="2" w:name="_Toc519685772"/>
    </w:p>
    <w:p>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rPr>
      </w:pPr>
    </w:p>
    <w:p>
      <w:pPr>
        <w:pageBreakBefore w:val="0"/>
        <w:kinsoku/>
        <w:overflowPunct/>
        <w:topLinePunct w:val="0"/>
        <w:autoSpaceDE w:val="0"/>
        <w:autoSpaceDN w:val="0"/>
        <w:bidi w:val="0"/>
        <w:spacing w:line="400" w:lineRule="exact"/>
        <w:ind w:left="1428" w:leftChars="680"/>
        <w:textAlignment w:val="bottom"/>
        <w:outlineLvl w:val="9"/>
        <w:rPr>
          <w:rFonts w:hint="eastAsia" w:ascii="宋体" w:hAnsi="宋体" w:eastAsia="宋体" w:cs="宋体"/>
          <w:b/>
          <w:color w:val="auto"/>
          <w:sz w:val="28"/>
          <w:szCs w:val="28"/>
        </w:rPr>
      </w:pPr>
    </w:p>
    <w:p>
      <w:pPr>
        <w:keepNext w:val="0"/>
        <w:keepLines w:val="0"/>
        <w:pageBreakBefore w:val="0"/>
        <w:widowControl w:val="0"/>
        <w:kinsoku/>
        <w:wordWrap/>
        <w:overflowPunct/>
        <w:topLinePunct w:val="0"/>
        <w:autoSpaceDE w:val="0"/>
        <w:autoSpaceDN w:val="0"/>
        <w:bidi w:val="0"/>
        <w:adjustRightInd/>
        <w:spacing w:line="800" w:lineRule="exact"/>
        <w:ind w:left="0" w:leftChars="0" w:firstLine="1506" w:firstLineChars="500"/>
        <w:textAlignment w:val="bottom"/>
        <w:outlineLvl w:val="9"/>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rPr>
        <w:t>采购编号：</w:t>
      </w:r>
      <w:bookmarkEnd w:id="1"/>
      <w:bookmarkEnd w:id="2"/>
      <w:r>
        <w:rPr>
          <w:rFonts w:hint="eastAsia" w:ascii="宋体" w:hAnsi="宋体" w:cs="宋体"/>
          <w:b/>
          <w:color w:val="auto"/>
          <w:sz w:val="30"/>
          <w:szCs w:val="30"/>
          <w:lang w:eastAsia="zh-CN"/>
        </w:rPr>
        <w:t>ZJHTZXCG2024-</w:t>
      </w:r>
      <w:r>
        <w:rPr>
          <w:rFonts w:hint="eastAsia" w:ascii="宋体" w:hAnsi="宋体" w:cs="宋体"/>
          <w:b/>
          <w:color w:val="auto"/>
          <w:sz w:val="30"/>
          <w:szCs w:val="30"/>
          <w:lang w:val="en-US" w:eastAsia="zh-CN"/>
        </w:rPr>
        <w:t>05</w:t>
      </w:r>
    </w:p>
    <w:p>
      <w:pPr>
        <w:keepNext w:val="0"/>
        <w:keepLines w:val="0"/>
        <w:pageBreakBefore w:val="0"/>
        <w:widowControl w:val="0"/>
        <w:tabs>
          <w:tab w:val="left" w:pos="540"/>
        </w:tabs>
        <w:kinsoku/>
        <w:wordWrap/>
        <w:overflowPunct/>
        <w:topLinePunct w:val="0"/>
        <w:bidi w:val="0"/>
        <w:adjustRightInd/>
        <w:snapToGrid w:val="0"/>
        <w:spacing w:line="800" w:lineRule="exact"/>
        <w:ind w:left="0" w:leftChars="0" w:firstLine="602" w:firstLineChars="200"/>
        <w:rPr>
          <w:rFonts w:hint="eastAsia" w:ascii="宋体" w:hAnsi="宋体" w:eastAsia="宋体" w:cs="宋体"/>
          <w:b/>
          <w:color w:val="auto"/>
          <w:sz w:val="30"/>
          <w:szCs w:val="30"/>
        </w:rPr>
      </w:pPr>
    </w:p>
    <w:p>
      <w:pPr>
        <w:keepNext w:val="0"/>
        <w:keepLines w:val="0"/>
        <w:pageBreakBefore w:val="0"/>
        <w:widowControl w:val="0"/>
        <w:tabs>
          <w:tab w:val="left" w:pos="540"/>
        </w:tabs>
        <w:kinsoku/>
        <w:wordWrap/>
        <w:overflowPunct/>
        <w:topLinePunct w:val="0"/>
        <w:bidi w:val="0"/>
        <w:adjustRightInd/>
        <w:snapToGrid w:val="0"/>
        <w:spacing w:line="800" w:lineRule="exact"/>
        <w:ind w:left="0" w:leftChars="0" w:firstLine="1506" w:firstLineChars="500"/>
        <w:rPr>
          <w:rFonts w:hint="eastAsia" w:ascii="宋体" w:hAnsi="宋体" w:eastAsia="宋体" w:cs="宋体"/>
          <w:b/>
          <w:color w:val="auto"/>
          <w:sz w:val="30"/>
          <w:szCs w:val="30"/>
        </w:rPr>
      </w:pPr>
      <w:r>
        <w:rPr>
          <w:rFonts w:hint="eastAsia" w:ascii="宋体" w:hAnsi="宋体" w:eastAsia="宋体" w:cs="宋体"/>
          <w:b/>
          <w:color w:val="auto"/>
          <w:sz w:val="30"/>
          <w:szCs w:val="30"/>
        </w:rPr>
        <w:t>项目名称：</w:t>
      </w:r>
      <w:r>
        <w:rPr>
          <w:rFonts w:hint="eastAsia" w:ascii="宋体" w:hAnsi="宋体" w:cs="宋体"/>
          <w:b/>
          <w:color w:val="auto"/>
          <w:sz w:val="30"/>
          <w:szCs w:val="30"/>
          <w:lang w:eastAsia="zh-CN"/>
        </w:rPr>
        <w:t>青田县残疾人托养中心委托运营管理项目</w:t>
      </w:r>
    </w:p>
    <w:p>
      <w:pPr>
        <w:keepNext w:val="0"/>
        <w:keepLines w:val="0"/>
        <w:pageBreakBefore w:val="0"/>
        <w:widowControl w:val="0"/>
        <w:kinsoku/>
        <w:wordWrap/>
        <w:overflowPunct/>
        <w:topLinePunct w:val="0"/>
        <w:bidi w:val="0"/>
        <w:adjustRightInd/>
        <w:spacing w:line="800" w:lineRule="exact"/>
        <w:ind w:left="0" w:leftChars="0" w:firstLine="1488" w:firstLineChars="494"/>
        <w:rPr>
          <w:rFonts w:hint="eastAsia" w:ascii="宋体" w:hAnsi="宋体" w:eastAsia="宋体" w:cs="宋体"/>
          <w:b/>
          <w:color w:val="auto"/>
          <w:sz w:val="30"/>
          <w:szCs w:val="30"/>
        </w:rPr>
      </w:pPr>
    </w:p>
    <w:p>
      <w:pPr>
        <w:keepNext w:val="0"/>
        <w:keepLines w:val="0"/>
        <w:pageBreakBefore w:val="0"/>
        <w:widowControl w:val="0"/>
        <w:kinsoku/>
        <w:wordWrap/>
        <w:overflowPunct/>
        <w:topLinePunct w:val="0"/>
        <w:bidi w:val="0"/>
        <w:adjustRightInd/>
        <w:spacing w:line="800" w:lineRule="exact"/>
        <w:ind w:left="0" w:leftChars="0" w:firstLine="1488" w:firstLineChars="494"/>
        <w:rPr>
          <w:rFonts w:hint="eastAsia" w:ascii="宋体" w:hAnsi="宋体" w:eastAsia="宋体" w:cs="宋体"/>
          <w:b/>
          <w:color w:val="auto"/>
          <w:sz w:val="28"/>
          <w:szCs w:val="28"/>
        </w:rPr>
      </w:pPr>
      <w:r>
        <w:rPr>
          <w:rFonts w:hint="eastAsia" w:ascii="宋体" w:hAnsi="宋体" w:eastAsia="宋体" w:cs="宋体"/>
          <w:b/>
          <w:color w:val="auto"/>
          <w:sz w:val="30"/>
          <w:szCs w:val="30"/>
        </w:rPr>
        <w:t>采 购 人：</w:t>
      </w:r>
      <w:r>
        <w:rPr>
          <w:rFonts w:hint="eastAsia" w:ascii="宋体" w:hAnsi="宋体" w:cs="宋体"/>
          <w:b/>
          <w:color w:val="auto"/>
          <w:sz w:val="30"/>
          <w:szCs w:val="30"/>
          <w:lang w:eastAsia="zh-CN"/>
        </w:rPr>
        <w:t>青田县残疾人联合会</w:t>
      </w:r>
    </w:p>
    <w:p>
      <w:pPr>
        <w:keepNext w:val="0"/>
        <w:keepLines w:val="0"/>
        <w:pageBreakBefore w:val="0"/>
        <w:widowControl w:val="0"/>
        <w:kinsoku/>
        <w:wordWrap/>
        <w:overflowPunct/>
        <w:topLinePunct w:val="0"/>
        <w:autoSpaceDE w:val="0"/>
        <w:autoSpaceDN w:val="0"/>
        <w:bidi w:val="0"/>
        <w:adjustRightInd/>
        <w:spacing w:line="800" w:lineRule="exact"/>
        <w:textAlignment w:val="bottom"/>
        <w:rPr>
          <w:rFonts w:hint="eastAsia" w:ascii="宋体" w:hAnsi="宋体" w:eastAsia="宋体" w:cs="宋体"/>
          <w:b/>
          <w:color w:val="auto"/>
          <w:sz w:val="28"/>
          <w:szCs w:val="28"/>
        </w:rPr>
      </w:pPr>
    </w:p>
    <w:p>
      <w:pPr>
        <w:keepNext w:val="0"/>
        <w:keepLines w:val="0"/>
        <w:pageBreakBefore w:val="0"/>
        <w:widowControl w:val="0"/>
        <w:kinsoku/>
        <w:wordWrap/>
        <w:overflowPunct/>
        <w:topLinePunct w:val="0"/>
        <w:bidi w:val="0"/>
        <w:adjustRightInd/>
        <w:spacing w:line="800" w:lineRule="exact"/>
        <w:ind w:left="0" w:leftChars="0" w:firstLine="1488" w:firstLineChars="494"/>
        <w:rPr>
          <w:rFonts w:hint="eastAsia" w:ascii="宋体" w:hAnsi="宋体" w:cs="宋体"/>
          <w:b/>
          <w:color w:val="auto"/>
          <w:sz w:val="30"/>
          <w:szCs w:val="30"/>
          <w:lang w:eastAsia="zh-CN"/>
        </w:rPr>
      </w:pPr>
      <w:r>
        <w:rPr>
          <w:rFonts w:hint="eastAsia" w:ascii="宋体" w:hAnsi="宋体" w:cs="宋体"/>
          <w:b/>
          <w:color w:val="auto"/>
          <w:sz w:val="30"/>
          <w:szCs w:val="30"/>
          <w:lang w:eastAsia="zh-CN"/>
        </w:rPr>
        <w:t>采购代理机构：浙江惠同建设工程管理有限公司</w:t>
      </w:r>
    </w:p>
    <w:p>
      <w:pPr>
        <w:pageBreakBefore w:val="0"/>
        <w:kinsoku/>
        <w:overflowPunct/>
        <w:topLinePunct w:val="0"/>
        <w:bidi w:val="0"/>
        <w:spacing w:line="400" w:lineRule="exact"/>
        <w:jc w:val="center"/>
        <w:rPr>
          <w:rFonts w:hint="eastAsia" w:ascii="宋体" w:hAnsi="宋体" w:eastAsia="宋体" w:cs="宋体"/>
          <w:b/>
          <w:color w:val="auto"/>
          <w:sz w:val="21"/>
          <w:szCs w:val="21"/>
        </w:rPr>
      </w:pPr>
    </w:p>
    <w:p>
      <w:pPr>
        <w:pageBreakBefore w:val="0"/>
        <w:kinsoku/>
        <w:overflowPunct/>
        <w:topLinePunct w:val="0"/>
        <w:bidi w:val="0"/>
        <w:spacing w:line="400" w:lineRule="exact"/>
        <w:rPr>
          <w:rFonts w:hint="eastAsia" w:ascii="宋体" w:hAnsi="宋体" w:eastAsia="宋体" w:cs="宋体"/>
          <w:b/>
          <w:color w:val="auto"/>
          <w:sz w:val="21"/>
          <w:szCs w:val="21"/>
        </w:rPr>
      </w:pPr>
    </w:p>
    <w:p>
      <w:pPr>
        <w:pageBreakBefore w:val="0"/>
        <w:kinsoku/>
        <w:overflowPunct/>
        <w:topLinePunct w:val="0"/>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二零二</w:t>
      </w:r>
      <w:r>
        <w:rPr>
          <w:rFonts w:hint="eastAsia" w:ascii="宋体" w:hAnsi="宋体" w:cs="宋体"/>
          <w:b/>
          <w:color w:val="auto"/>
          <w:sz w:val="28"/>
          <w:szCs w:val="28"/>
          <w:lang w:val="en-US" w:eastAsia="zh-CN"/>
        </w:rPr>
        <w:t>四</w:t>
      </w:r>
      <w:r>
        <w:rPr>
          <w:rFonts w:hint="eastAsia" w:ascii="宋体" w:hAnsi="宋体" w:eastAsia="宋体" w:cs="宋体"/>
          <w:b/>
          <w:color w:val="auto"/>
          <w:sz w:val="28"/>
          <w:szCs w:val="28"/>
        </w:rPr>
        <w:t>年</w:t>
      </w: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rPr>
        <w:t>月</w:t>
      </w:r>
    </w:p>
    <w:p>
      <w:pPr>
        <w:pStyle w:val="10"/>
        <w:pageBreakBefore w:val="0"/>
        <w:kinsoku/>
        <w:overflowPunct/>
        <w:topLinePunct w:val="0"/>
        <w:bidi w:val="0"/>
        <w:spacing w:line="400" w:lineRule="exact"/>
        <w:rPr>
          <w:rFonts w:hint="eastAsia" w:ascii="宋体" w:hAnsi="宋体" w:eastAsia="宋体" w:cs="宋体"/>
          <w:b/>
          <w:color w:val="auto"/>
          <w:sz w:val="24"/>
          <w:szCs w:val="24"/>
        </w:rPr>
      </w:pPr>
    </w:p>
    <w:p>
      <w:pPr>
        <w:pStyle w:val="10"/>
        <w:pageBreakBefore w:val="0"/>
        <w:kinsoku/>
        <w:overflowPunct/>
        <w:topLinePunct w:val="0"/>
        <w:bidi w:val="0"/>
        <w:spacing w:line="400" w:lineRule="exact"/>
        <w:rPr>
          <w:rFonts w:hint="eastAsia" w:ascii="宋体" w:hAnsi="宋体" w:eastAsia="宋体" w:cs="宋体"/>
          <w:b/>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Style w:val="14"/>
        <w:pageBreakBefore w:val="0"/>
        <w:kinsoku/>
        <w:overflowPunct/>
        <w:topLinePunct w:val="0"/>
        <w:bidi w:val="0"/>
        <w:spacing w:line="400" w:lineRule="exact"/>
        <w:jc w:val="center"/>
        <w:rPr>
          <w:rFonts w:hint="eastAsia" w:ascii="宋体" w:hAnsi="宋体" w:eastAsia="宋体" w:cs="宋体"/>
          <w:b/>
          <w:color w:val="auto"/>
          <w:sz w:val="21"/>
          <w:szCs w:val="21"/>
        </w:rPr>
      </w:pPr>
    </w:p>
    <w:p>
      <w:pPr>
        <w:pStyle w:val="14"/>
        <w:pageBreakBefore w:val="0"/>
        <w:kinsoku/>
        <w:overflowPunct/>
        <w:topLinePunct w:val="0"/>
        <w:bidi w:val="0"/>
        <w:spacing w:line="400" w:lineRule="exact"/>
        <w:jc w:val="center"/>
        <w:rPr>
          <w:rFonts w:hint="eastAsia" w:ascii="宋体" w:hAnsi="宋体" w:eastAsia="宋体" w:cs="宋体"/>
          <w:b/>
          <w:color w:val="auto"/>
          <w:sz w:val="21"/>
          <w:szCs w:val="21"/>
        </w:rPr>
        <w:sectPr>
          <w:headerReference r:id="rId3" w:type="default"/>
          <w:footerReference r:id="rId4" w:type="default"/>
          <w:pgSz w:w="11906" w:h="16838"/>
          <w:pgMar w:top="1240" w:right="866" w:bottom="1440" w:left="960" w:header="851" w:footer="992" w:gutter="0"/>
          <w:cols w:space="425" w:num="1"/>
          <w:titlePg/>
          <w:docGrid w:type="lines" w:linePitch="312" w:charSpace="0"/>
        </w:sect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auto"/>
          <w:sz w:val="36"/>
          <w:szCs w:val="36"/>
        </w:rPr>
        <w:t>目  录</w:t>
      </w:r>
      <w:r>
        <w:rPr>
          <w:rFonts w:hint="eastAsia" w:ascii="宋体" w:hAnsi="宋体" w:eastAsia="宋体" w:cs="宋体"/>
          <w:bCs/>
          <w:color w:val="auto"/>
          <w:kern w:val="2"/>
          <w:sz w:val="21"/>
          <w:szCs w:val="21"/>
        </w:rPr>
        <w:fldChar w:fldCharType="begin"/>
      </w:r>
      <w:r>
        <w:rPr>
          <w:rFonts w:hint="eastAsia" w:ascii="宋体" w:hAnsi="宋体" w:eastAsia="宋体" w:cs="宋体"/>
          <w:bCs/>
          <w:color w:val="auto"/>
          <w:kern w:val="2"/>
          <w:sz w:val="21"/>
          <w:szCs w:val="21"/>
        </w:rPr>
        <w:instrText xml:space="preserve"> TOC \o "1-3" \h \z \u </w:instrText>
      </w:r>
      <w:r>
        <w:rPr>
          <w:rFonts w:hint="eastAsia" w:ascii="宋体" w:hAnsi="宋体" w:eastAsia="宋体" w:cs="宋体"/>
          <w:bCs/>
          <w:color w:val="auto"/>
          <w:kern w:val="2"/>
          <w:sz w:val="21"/>
          <w:szCs w:val="21"/>
        </w:rPr>
        <w:fldChar w:fldCharType="separate"/>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_Toc8140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竞</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争</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性</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磋</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商</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文</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件</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_Toc8140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_Toc22643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第一章    竞争性磋商公告</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_Toc22643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_Toc476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第二章   采购需求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_Toc476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_Toc31094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第三章  供应商须知</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_Toc31094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_Toc2193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 xml:space="preserve">  供应商须知前列表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_Toc2193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_Toc20160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sz w:val="21"/>
          <w:szCs w:val="21"/>
          <w:lang w:eastAsia="zh-CN"/>
        </w:rPr>
        <w:t>总则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_Toc20160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_Toc27359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三</w:t>
      </w:r>
      <w:r>
        <w:rPr>
          <w:rFonts w:hint="eastAsia" w:ascii="宋体" w:hAnsi="宋体" w:eastAsia="宋体" w:cs="宋体"/>
          <w:b w:val="0"/>
          <w:bCs w:val="0"/>
          <w:color w:val="auto"/>
          <w:sz w:val="21"/>
          <w:szCs w:val="21"/>
        </w:rPr>
        <w:t xml:space="preserve">   磋商响应文件说明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_Toc27359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_Toc12007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四</w:t>
      </w:r>
      <w:r>
        <w:rPr>
          <w:rFonts w:hint="eastAsia" w:ascii="宋体" w:hAnsi="宋体" w:eastAsia="宋体" w:cs="宋体"/>
          <w:b w:val="0"/>
          <w:bCs w:val="0"/>
          <w:color w:val="auto"/>
          <w:sz w:val="21"/>
          <w:szCs w:val="21"/>
        </w:rPr>
        <w:t xml:space="preserve">   响应文件的编制</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_Toc12007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_Toc11346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五</w:t>
      </w:r>
      <w:r>
        <w:rPr>
          <w:rFonts w:hint="eastAsia" w:ascii="宋体" w:hAnsi="宋体" w:eastAsia="宋体" w:cs="宋体"/>
          <w:b w:val="0"/>
          <w:bCs w:val="0"/>
          <w:color w:val="auto"/>
          <w:sz w:val="21"/>
          <w:szCs w:val="21"/>
        </w:rPr>
        <w:t xml:space="preserve">   磋商保证金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_Toc11346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_Toc24446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六</w:t>
      </w:r>
      <w:r>
        <w:rPr>
          <w:rFonts w:hint="eastAsia" w:ascii="宋体" w:hAnsi="宋体" w:eastAsia="宋体" w:cs="宋体"/>
          <w:b w:val="0"/>
          <w:bCs w:val="0"/>
          <w:color w:val="auto"/>
          <w:sz w:val="21"/>
          <w:szCs w:val="21"/>
        </w:rPr>
        <w:t xml:space="preserve">   响应文件的包装、提交、修改和撤回</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_Toc24446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_Toc27619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七</w:t>
      </w:r>
      <w:r>
        <w:rPr>
          <w:rFonts w:hint="eastAsia" w:ascii="宋体" w:hAnsi="宋体" w:eastAsia="宋体" w:cs="宋体"/>
          <w:b w:val="0"/>
          <w:bCs w:val="0"/>
          <w:color w:val="auto"/>
          <w:sz w:val="21"/>
          <w:szCs w:val="21"/>
        </w:rPr>
        <w:t xml:space="preserve">   磋商会和磋商</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_Toc27619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_Toc7268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八</w:t>
      </w:r>
      <w:r>
        <w:rPr>
          <w:rFonts w:hint="eastAsia" w:ascii="宋体" w:hAnsi="宋体" w:eastAsia="宋体" w:cs="宋体"/>
          <w:b w:val="0"/>
          <w:bCs w:val="0"/>
          <w:color w:val="auto"/>
          <w:sz w:val="21"/>
          <w:szCs w:val="21"/>
        </w:rPr>
        <w:t xml:space="preserve">   磋商无效的情形</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_Toc7268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_Toc29572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九</w:t>
      </w:r>
      <w:r>
        <w:rPr>
          <w:rFonts w:hint="eastAsia" w:ascii="宋体" w:hAnsi="宋体" w:eastAsia="宋体" w:cs="宋体"/>
          <w:b w:val="0"/>
          <w:bCs w:val="0"/>
          <w:color w:val="auto"/>
          <w:sz w:val="21"/>
          <w:szCs w:val="21"/>
        </w:rPr>
        <w:t xml:space="preserve">   法律责任</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_Toc29572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_Toc14121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eastAsia="zh-CN"/>
        </w:rPr>
        <w:t>十</w:t>
      </w:r>
      <w:r>
        <w:rPr>
          <w:rFonts w:hint="eastAsia" w:ascii="宋体" w:hAnsi="宋体" w:eastAsia="宋体" w:cs="宋体"/>
          <w:b w:val="0"/>
          <w:bCs w:val="0"/>
          <w:color w:val="auto"/>
          <w:sz w:val="21"/>
          <w:szCs w:val="21"/>
        </w:rPr>
        <w:t xml:space="preserve">    询问</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_Toc14121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_Toc18524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 xml:space="preserve">  质疑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_Toc18524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_Toc6856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 xml:space="preserve">  投诉</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_Toc6856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_Toc552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三</w:t>
      </w:r>
      <w:r>
        <w:rPr>
          <w:rFonts w:hint="eastAsia" w:ascii="宋体" w:hAnsi="宋体" w:eastAsia="宋体" w:cs="宋体"/>
          <w:b w:val="0"/>
          <w:bCs w:val="0"/>
          <w:color w:val="auto"/>
          <w:sz w:val="21"/>
          <w:szCs w:val="21"/>
        </w:rPr>
        <w:t xml:space="preserve">   授予合同</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_Toc552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_Toc7695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十</w:t>
      </w:r>
      <w:r>
        <w:rPr>
          <w:rFonts w:hint="eastAsia" w:ascii="宋体" w:hAnsi="宋体" w:eastAsia="宋体" w:cs="宋体"/>
          <w:b w:val="0"/>
          <w:bCs w:val="0"/>
          <w:color w:val="auto"/>
          <w:sz w:val="21"/>
          <w:szCs w:val="21"/>
          <w:lang w:eastAsia="zh-CN"/>
        </w:rPr>
        <w:t>四</w:t>
      </w:r>
      <w:r>
        <w:rPr>
          <w:rFonts w:hint="eastAsia" w:ascii="宋体" w:hAnsi="宋体" w:eastAsia="宋体" w:cs="宋体"/>
          <w:b w:val="0"/>
          <w:bCs w:val="0"/>
          <w:color w:val="auto"/>
          <w:sz w:val="21"/>
          <w:szCs w:val="21"/>
        </w:rPr>
        <w:t xml:space="preserve">   其他事项</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_Toc7695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_Toc19060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第四章  合同格式（仅供参考）</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_Toc19060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_Toc8811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第五章　磋商相关文件格式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_Toc8811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_Toc10946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一   资格审查文件格式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_Toc10946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_Toc24621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二、 资信商务及技术文件格式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_Toc24621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_Toc5635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三   报价文件格式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_Toc5635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18"/>
        <w:keepNext w:val="0"/>
        <w:keepLines w:val="0"/>
        <w:pageBreakBefore w:val="0"/>
        <w:widowControl w:val="0"/>
        <w:tabs>
          <w:tab w:val="right" w:leader="dot" w:pos="1008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_Toc10464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lang w:val="en-US" w:eastAsia="zh-CN" w:bidi="ar-SA"/>
        </w:rPr>
        <w:t>第六章  磋商办法和细则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_Toc10464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_Toc31275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一   总则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_Toc31275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_Toc13811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二  磋商小组</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_Toc13811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_Toc3727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三  磋商程序</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_Toc3727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_Toc20501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四   磋商内容及规定</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_Toc20501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rPr>
        <w:fldChar w:fldCharType="begin"/>
      </w:r>
      <w:r>
        <w:rPr>
          <w:rFonts w:hint="eastAsia" w:ascii="宋体" w:hAnsi="宋体" w:eastAsia="宋体" w:cs="宋体"/>
          <w:b w:val="0"/>
          <w:bCs w:val="0"/>
          <w:color w:val="auto"/>
          <w:kern w:val="2"/>
          <w:sz w:val="21"/>
          <w:szCs w:val="21"/>
        </w:rPr>
        <w:instrText xml:space="preserve"> HYPERLINK \l _Toc7141 </w:instrText>
      </w:r>
      <w:r>
        <w:rPr>
          <w:rFonts w:hint="eastAsia" w:ascii="宋体" w:hAnsi="宋体" w:eastAsia="宋体" w:cs="宋体"/>
          <w:b w:val="0"/>
          <w:bCs w:val="0"/>
          <w:color w:val="auto"/>
          <w:kern w:val="2"/>
          <w:sz w:val="21"/>
          <w:szCs w:val="21"/>
        </w:rPr>
        <w:fldChar w:fldCharType="separate"/>
      </w:r>
      <w:r>
        <w:rPr>
          <w:rFonts w:hint="eastAsia" w:ascii="宋体" w:hAnsi="宋体" w:eastAsia="宋体" w:cs="宋体"/>
          <w:b w:val="0"/>
          <w:bCs w:val="0"/>
          <w:color w:val="auto"/>
          <w:sz w:val="21"/>
          <w:szCs w:val="21"/>
        </w:rPr>
        <w:t>五  评标办法和细则</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_Toc7141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kern w:val="2"/>
          <w:sz w:val="21"/>
          <w:szCs w:val="21"/>
        </w:rPr>
        <w:fldChar w:fldCharType="end"/>
      </w:r>
    </w:p>
    <w:p>
      <w:pPr>
        <w:pStyle w:val="21"/>
        <w:keepNext w:val="0"/>
        <w:keepLines w:val="0"/>
        <w:pageBreakBefore w:val="0"/>
        <w:widowControl w:val="0"/>
        <w:tabs>
          <w:tab w:val="right" w:leader="dot" w:pos="10080"/>
          <w:tab w:val="clear" w:pos="9060"/>
        </w:tabs>
        <w:kinsoku/>
        <w:wordWrap/>
        <w:overflowPunct/>
        <w:topLinePunct w:val="0"/>
        <w:autoSpaceDE/>
        <w:autoSpaceDN/>
        <w:bidi w:val="0"/>
        <w:adjustRightInd/>
        <w:snapToGrid/>
        <w:spacing w:line="380" w:lineRule="exact"/>
        <w:textAlignment w:val="auto"/>
        <w:rPr>
          <w:rFonts w:hint="eastAsia" w:ascii="宋体" w:hAnsi="宋体" w:eastAsia="宋体" w:cs="宋体"/>
          <w:b w:val="0"/>
          <w:bCs w:val="0"/>
          <w:color w:val="auto"/>
          <w:sz w:val="21"/>
          <w:szCs w:val="21"/>
        </w:rPr>
      </w:pPr>
    </w:p>
    <w:p>
      <w:pPr>
        <w:pStyle w:val="14"/>
        <w:pageBreakBefore w:val="0"/>
        <w:kinsoku/>
        <w:overflowPunct/>
        <w:topLinePunct w:val="0"/>
        <w:bidi w:val="0"/>
        <w:spacing w:line="400" w:lineRule="exact"/>
        <w:jc w:val="center"/>
        <w:outlineLvl w:val="9"/>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fldChar w:fldCharType="end"/>
      </w:r>
    </w:p>
    <w:p>
      <w:pPr>
        <w:pStyle w:val="3"/>
        <w:keepNext/>
        <w:keepLines/>
        <w:pageBreakBefore w:val="0"/>
        <w:widowControl w:val="0"/>
        <w:tabs>
          <w:tab w:val="left" w:pos="1080"/>
        </w:tabs>
        <w:kinsoku/>
        <w:wordWrap/>
        <w:overflowPunct/>
        <w:topLinePunct w:val="0"/>
        <w:autoSpaceDE/>
        <w:autoSpaceDN/>
        <w:bidi w:val="0"/>
        <w:adjustRightInd/>
        <w:snapToGrid/>
        <w:spacing w:line="560" w:lineRule="exact"/>
        <w:ind w:firstLine="0" w:firstLineChars="0"/>
        <w:jc w:val="center"/>
        <w:textAlignment w:val="auto"/>
        <w:outlineLvl w:val="0"/>
        <w:rPr>
          <w:rStyle w:val="28"/>
          <w:rFonts w:hint="eastAsia"/>
          <w:b/>
          <w:color w:val="auto"/>
          <w:sz w:val="30"/>
          <w:szCs w:val="30"/>
        </w:rPr>
        <w:sectPr>
          <w:footerReference r:id="rId6" w:type="first"/>
          <w:footerReference r:id="rId5" w:type="default"/>
          <w:pgSz w:w="11906" w:h="16838"/>
          <w:pgMar w:top="1240" w:right="866" w:bottom="1440" w:left="960" w:header="851" w:footer="992" w:gutter="0"/>
          <w:pgNumType w:fmt="decimal" w:start="1"/>
          <w:cols w:space="425" w:num="1"/>
          <w:titlePg/>
          <w:docGrid w:type="lines" w:linePitch="312" w:charSpace="0"/>
        </w:sectPr>
      </w:pPr>
      <w:bookmarkStart w:id="3" w:name="_Toc145493459"/>
      <w:bookmarkStart w:id="4" w:name="_Toc391969406"/>
    </w:p>
    <w:p>
      <w:pPr>
        <w:pStyle w:val="3"/>
        <w:keepNext/>
        <w:keepLines/>
        <w:pageBreakBefore w:val="0"/>
        <w:widowControl w:val="0"/>
        <w:tabs>
          <w:tab w:val="left" w:pos="1080"/>
        </w:tabs>
        <w:kinsoku/>
        <w:wordWrap/>
        <w:overflowPunct/>
        <w:topLinePunct w:val="0"/>
        <w:autoSpaceDE/>
        <w:autoSpaceDN/>
        <w:bidi w:val="0"/>
        <w:adjustRightInd/>
        <w:snapToGrid/>
        <w:spacing w:line="560" w:lineRule="exact"/>
        <w:ind w:firstLine="0" w:firstLineChars="0"/>
        <w:jc w:val="center"/>
        <w:textAlignment w:val="auto"/>
        <w:outlineLvl w:val="0"/>
        <w:rPr>
          <w:rFonts w:hint="eastAsia" w:asciiTheme="minorEastAsia" w:hAnsiTheme="minorEastAsia" w:eastAsiaTheme="minorEastAsia" w:cstheme="minorEastAsia"/>
          <w:b w:val="0"/>
          <w:bCs/>
          <w:color w:val="auto"/>
          <w:sz w:val="24"/>
          <w:szCs w:val="24"/>
        </w:rPr>
      </w:pPr>
      <w:bookmarkStart w:id="5" w:name="_Toc22643"/>
      <w:r>
        <w:rPr>
          <w:rStyle w:val="28"/>
          <w:rFonts w:hint="eastAsia" w:asciiTheme="minorEastAsia" w:hAnsiTheme="minorEastAsia" w:eastAsiaTheme="minorEastAsia" w:cstheme="minorEastAsia"/>
          <w:b/>
          <w:color w:val="auto"/>
          <w:sz w:val="24"/>
          <w:szCs w:val="24"/>
        </w:rPr>
        <w:t>第一章</w:t>
      </w:r>
      <w:bookmarkEnd w:id="3"/>
      <w:bookmarkEnd w:id="4"/>
      <w:bookmarkStart w:id="6" w:name="_Toc145493460"/>
      <w:bookmarkStart w:id="7" w:name="_Toc391969407"/>
      <w:r>
        <w:rPr>
          <w:rStyle w:val="28"/>
          <w:rFonts w:hint="eastAsia" w:asciiTheme="minorEastAsia" w:hAnsiTheme="minorEastAsia" w:eastAsiaTheme="minorEastAsia" w:cstheme="minorEastAsia"/>
          <w:b/>
          <w:color w:val="auto"/>
          <w:sz w:val="24"/>
          <w:szCs w:val="24"/>
        </w:rPr>
        <w:t xml:space="preserve">  竞争性磋商公告</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根据《中华人民共和国残疾人保障法》、《浙江省人民政府关于加快推进残疾人全面小康进程的实施意见》(浙政发〔2015〕50 号)、《浙江省人民政府办公厅关于进一步健全残疾人康复和托养服务体系的意见》（浙政办发〔2015〕31号）、《浙江省</w:t>
      </w:r>
      <w:r>
        <w:rPr>
          <w:rFonts w:hint="default" w:ascii="宋体" w:hAnsi="宋体" w:cs="宋体"/>
          <w:color w:val="auto"/>
          <w:sz w:val="21"/>
          <w:szCs w:val="21"/>
          <w:lang w:eastAsia="zh-CN"/>
        </w:rPr>
        <w:t>残疾人联合会等五部门</w:t>
      </w:r>
      <w:r>
        <w:rPr>
          <w:rFonts w:hint="eastAsia" w:ascii="宋体" w:hAnsi="宋体" w:cs="宋体"/>
          <w:color w:val="auto"/>
          <w:sz w:val="21"/>
          <w:szCs w:val="21"/>
          <w:lang w:eastAsia="zh-CN"/>
        </w:rPr>
        <w:t>关于</w:t>
      </w:r>
      <w:r>
        <w:rPr>
          <w:rFonts w:hint="default" w:ascii="宋体" w:hAnsi="宋体" w:cs="宋体"/>
          <w:color w:val="auto"/>
          <w:sz w:val="21"/>
          <w:szCs w:val="21"/>
          <w:lang w:eastAsia="zh-CN"/>
        </w:rPr>
        <w:t>加快完善残疾人托养体系的</w:t>
      </w:r>
      <w:r>
        <w:rPr>
          <w:rFonts w:hint="eastAsia" w:ascii="宋体" w:hAnsi="宋体" w:cs="宋体"/>
          <w:color w:val="auto"/>
          <w:sz w:val="21"/>
          <w:szCs w:val="21"/>
          <w:lang w:eastAsia="zh-CN"/>
        </w:rPr>
        <w:t>意见》</w:t>
      </w:r>
      <w:r>
        <w:rPr>
          <w:rFonts w:hint="default" w:ascii="宋体" w:hAnsi="宋体" w:cs="宋体"/>
          <w:color w:val="auto"/>
          <w:sz w:val="21"/>
          <w:szCs w:val="21"/>
          <w:lang w:eastAsia="zh-CN"/>
        </w:rPr>
        <w:t>（浙残联发</w:t>
      </w:r>
      <w:r>
        <w:rPr>
          <w:rFonts w:hint="eastAsia" w:ascii="宋体" w:hAnsi="宋体" w:cs="宋体"/>
          <w:color w:val="auto"/>
          <w:sz w:val="21"/>
          <w:szCs w:val="21"/>
          <w:lang w:val="en-US" w:eastAsia="zh-CN"/>
        </w:rPr>
        <w:t>﹝</w:t>
      </w:r>
      <w:r>
        <w:rPr>
          <w:rFonts w:hint="default" w:ascii="宋体" w:hAnsi="宋体" w:cs="宋体"/>
          <w:color w:val="auto"/>
          <w:sz w:val="21"/>
          <w:szCs w:val="21"/>
          <w:lang w:eastAsia="zh-CN"/>
        </w:rPr>
        <w:t>2023</w:t>
      </w:r>
      <w:r>
        <w:rPr>
          <w:rFonts w:hint="eastAsia" w:ascii="宋体" w:hAnsi="宋体" w:cs="宋体"/>
          <w:color w:val="auto"/>
          <w:sz w:val="21"/>
          <w:szCs w:val="21"/>
          <w:lang w:val="en-US" w:eastAsia="zh-CN"/>
        </w:rPr>
        <w:t>﹞</w:t>
      </w:r>
      <w:r>
        <w:rPr>
          <w:rFonts w:hint="default" w:ascii="宋体" w:hAnsi="宋体" w:cs="宋体"/>
          <w:color w:val="auto"/>
          <w:sz w:val="21"/>
          <w:szCs w:val="21"/>
          <w:lang w:eastAsia="zh-CN"/>
        </w:rPr>
        <w:t>8号）</w:t>
      </w:r>
      <w:r>
        <w:rPr>
          <w:rFonts w:hint="eastAsia" w:ascii="宋体" w:hAnsi="宋体" w:cs="宋体"/>
          <w:color w:val="auto"/>
          <w:sz w:val="21"/>
          <w:szCs w:val="21"/>
          <w:lang w:eastAsia="zh-CN"/>
        </w:rPr>
        <w:t>等文件精神，就青田县残疾人托养中心委托运营管理项目向社会采购。现将有关事项公告如下</w:t>
      </w:r>
    </w:p>
    <w:p>
      <w:pPr>
        <w:keepNext w:val="0"/>
        <w:keepLines w:val="0"/>
        <w:pageBreakBefore w:val="0"/>
        <w:widowControl w:val="0"/>
        <w:tabs>
          <w:tab w:val="center" w:pos="4775"/>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.采购编号: </w:t>
      </w:r>
      <w:r>
        <w:rPr>
          <w:rFonts w:hint="eastAsia" w:ascii="宋体" w:hAnsi="宋体" w:cs="宋体"/>
          <w:color w:val="auto"/>
          <w:sz w:val="21"/>
          <w:szCs w:val="21"/>
          <w:lang w:eastAsia="zh-CN"/>
        </w:rPr>
        <w:t>ZJHTZXCG2024-</w:t>
      </w:r>
      <w:r>
        <w:rPr>
          <w:rFonts w:hint="eastAsia" w:ascii="宋体" w:hAnsi="宋体" w:cs="宋体"/>
          <w:color w:val="auto"/>
          <w:sz w:val="21"/>
          <w:szCs w:val="21"/>
          <w:lang w:val="en-US" w:eastAsia="zh-CN"/>
        </w:rPr>
        <w:t>05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rPr>
        <w:t>2.采购项目：</w:t>
      </w:r>
      <w:r>
        <w:rPr>
          <w:rFonts w:hint="eastAsia" w:ascii="宋体" w:hAnsi="宋体" w:cs="宋体"/>
          <w:color w:val="auto"/>
          <w:sz w:val="21"/>
          <w:szCs w:val="21"/>
          <w:lang w:eastAsia="zh-CN"/>
        </w:rPr>
        <w:t>青田县残疾人托养中心委托运营管理项目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color w:val="auto"/>
          <w:sz w:val="21"/>
          <w:szCs w:val="21"/>
          <w:lang w:eastAsia="zh-CN"/>
        </w:rPr>
        <w:t>采购人：青田县残疾人联合会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4.采购方式: 竞争性磋商</w:t>
      </w:r>
    </w:p>
    <w:p>
      <w:pPr>
        <w:pStyle w:val="22"/>
        <w:rPr>
          <w:rFonts w:hint="default" w:eastAsia="宋体"/>
          <w:color w:val="auto"/>
          <w:lang w:val="en-US" w:eastAsia="zh-CN"/>
        </w:rPr>
      </w:pPr>
      <w:r>
        <w:rPr>
          <w:rFonts w:hint="eastAsia" w:ascii="宋体" w:hAnsi="宋体" w:cs="宋体"/>
          <w:color w:val="auto"/>
          <w:sz w:val="21"/>
          <w:szCs w:val="21"/>
          <w:lang w:val="en-US" w:eastAsia="zh-CN"/>
        </w:rPr>
        <w:t xml:space="preserve">  5.采购需求 ：</w:t>
      </w:r>
    </w:p>
    <w:tbl>
      <w:tblPr>
        <w:tblStyle w:val="23"/>
        <w:tblW w:w="10117"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73"/>
        <w:gridCol w:w="737"/>
        <w:gridCol w:w="722"/>
        <w:gridCol w:w="1800"/>
        <w:gridCol w:w="216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wordWrap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序号</w:t>
            </w:r>
          </w:p>
        </w:tc>
        <w:tc>
          <w:tcPr>
            <w:tcW w:w="3273" w:type="dxa"/>
            <w:noWrap w:val="0"/>
            <w:vAlign w:val="center"/>
          </w:tcPr>
          <w:p>
            <w:pPr>
              <w:wordWrap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项目名称</w:t>
            </w:r>
          </w:p>
        </w:tc>
        <w:tc>
          <w:tcPr>
            <w:tcW w:w="737" w:type="dxa"/>
            <w:noWrap w:val="0"/>
            <w:vAlign w:val="center"/>
          </w:tcPr>
          <w:p>
            <w:pPr>
              <w:wordWrap w:val="0"/>
              <w:spacing w:line="360" w:lineRule="exact"/>
              <w:jc w:val="center"/>
              <w:rPr>
                <w:rFonts w:hint="eastAsia" w:ascii="宋体" w:hAnsi="宋体" w:cs="宋体"/>
                <w:color w:val="auto"/>
                <w:szCs w:val="21"/>
              </w:rPr>
            </w:pPr>
            <w:r>
              <w:rPr>
                <w:rFonts w:hint="eastAsia" w:ascii="宋体" w:hAnsi="宋体" w:cs="宋体"/>
                <w:color w:val="auto"/>
                <w:szCs w:val="21"/>
              </w:rPr>
              <w:t>数量</w:t>
            </w:r>
          </w:p>
        </w:tc>
        <w:tc>
          <w:tcPr>
            <w:tcW w:w="722" w:type="dxa"/>
            <w:noWrap w:val="0"/>
            <w:vAlign w:val="center"/>
          </w:tcPr>
          <w:p>
            <w:pPr>
              <w:wordWrap w:val="0"/>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1800" w:type="dxa"/>
            <w:noWrap w:val="0"/>
            <w:vAlign w:val="center"/>
          </w:tcPr>
          <w:p>
            <w:pPr>
              <w:wordWrap w:val="0"/>
              <w:spacing w:line="360" w:lineRule="exact"/>
              <w:jc w:val="center"/>
              <w:rPr>
                <w:rFonts w:hint="eastAsia" w:ascii="宋体" w:hAnsi="宋体" w:cs="宋体"/>
                <w:color w:val="auto"/>
                <w:szCs w:val="21"/>
              </w:rPr>
            </w:pPr>
            <w:r>
              <w:rPr>
                <w:rFonts w:hint="eastAsia" w:ascii="宋体" w:hAnsi="宋体" w:cs="宋体"/>
                <w:color w:val="auto"/>
                <w:szCs w:val="21"/>
              </w:rPr>
              <w:t>▲最</w:t>
            </w:r>
            <w:r>
              <w:rPr>
                <w:rFonts w:hint="eastAsia" w:ascii="宋体" w:hAnsi="宋体" w:cs="宋体"/>
                <w:color w:val="auto"/>
                <w:szCs w:val="21"/>
                <w:lang w:val="en-US" w:eastAsia="zh-CN"/>
              </w:rPr>
              <w:t>低租金</w:t>
            </w:r>
            <w:r>
              <w:rPr>
                <w:rFonts w:hint="eastAsia" w:ascii="宋体" w:hAnsi="宋体" w:cs="宋体"/>
                <w:color w:val="auto"/>
                <w:szCs w:val="21"/>
              </w:rPr>
              <w:t>限价</w:t>
            </w:r>
          </w:p>
        </w:tc>
        <w:tc>
          <w:tcPr>
            <w:tcW w:w="2168" w:type="dxa"/>
            <w:noWrap w:val="0"/>
            <w:vAlign w:val="center"/>
          </w:tcPr>
          <w:p>
            <w:pPr>
              <w:wordWrap w:val="0"/>
              <w:spacing w:line="360" w:lineRule="exact"/>
              <w:jc w:val="center"/>
              <w:rPr>
                <w:rFonts w:hint="eastAsia" w:ascii="宋体" w:hAnsi="宋体" w:cs="宋体"/>
                <w:color w:val="auto"/>
                <w:szCs w:val="21"/>
              </w:rPr>
            </w:pPr>
            <w:r>
              <w:rPr>
                <w:rFonts w:hint="eastAsia" w:ascii="宋体" w:hAnsi="宋体" w:cs="宋体"/>
                <w:color w:val="auto"/>
                <w:szCs w:val="21"/>
              </w:rPr>
              <w:t>服务内容及要求描述</w:t>
            </w:r>
          </w:p>
        </w:tc>
        <w:tc>
          <w:tcPr>
            <w:tcW w:w="682" w:type="dxa"/>
            <w:noWrap w:val="0"/>
            <w:vAlign w:val="center"/>
          </w:tcPr>
          <w:p>
            <w:pPr>
              <w:wordWrap w:val="0"/>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wordWrap w:val="0"/>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3273" w:type="dxa"/>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 w:val="21"/>
                <w:szCs w:val="21"/>
                <w:lang w:eastAsia="zh-CN"/>
              </w:rPr>
              <w:t>青田县残疾人托养中心委托运营管理项目</w:t>
            </w:r>
          </w:p>
        </w:tc>
        <w:tc>
          <w:tcPr>
            <w:tcW w:w="737" w:type="dxa"/>
            <w:noWrap w:val="0"/>
            <w:vAlign w:val="center"/>
          </w:tcPr>
          <w:p>
            <w:pPr>
              <w:wordWrap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722" w:type="dxa"/>
            <w:noWrap w:val="0"/>
            <w:vAlign w:val="center"/>
          </w:tcPr>
          <w:p>
            <w:pPr>
              <w:wordWrap w:val="0"/>
              <w:spacing w:line="3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年</w:t>
            </w:r>
          </w:p>
        </w:tc>
        <w:tc>
          <w:tcPr>
            <w:tcW w:w="1800" w:type="dxa"/>
            <w:noWrap w:val="0"/>
            <w:vAlign w:val="center"/>
          </w:tcPr>
          <w:p>
            <w:pPr>
              <w:wordWrap w:val="0"/>
              <w:spacing w:line="360" w:lineRule="exact"/>
              <w:ind w:firstLine="210" w:firstLineChars="100"/>
              <w:jc w:val="both"/>
              <w:rPr>
                <w:rFonts w:hint="default" w:ascii="宋体" w:hAnsi="宋体" w:cs="宋体"/>
                <w:color w:val="auto"/>
                <w:szCs w:val="21"/>
                <w:lang w:val="en-US"/>
              </w:rPr>
            </w:pPr>
            <w:r>
              <w:rPr>
                <w:rFonts w:hint="eastAsia" w:ascii="宋体" w:hAnsi="宋体" w:cs="宋体"/>
                <w:color w:val="auto"/>
                <w:szCs w:val="21"/>
                <w:lang w:val="en-US" w:eastAsia="zh-CN"/>
              </w:rPr>
              <w:t>150万元</w:t>
            </w:r>
          </w:p>
        </w:tc>
        <w:tc>
          <w:tcPr>
            <w:tcW w:w="2168" w:type="dxa"/>
            <w:noWrap w:val="0"/>
            <w:vAlign w:val="center"/>
          </w:tcPr>
          <w:p>
            <w:pPr>
              <w:wordWrap w:val="0"/>
              <w:spacing w:line="360" w:lineRule="exact"/>
              <w:jc w:val="center"/>
              <w:rPr>
                <w:rFonts w:hint="eastAsia" w:ascii="宋体" w:hAnsi="宋体" w:cs="宋体"/>
                <w:color w:val="auto"/>
                <w:szCs w:val="21"/>
              </w:rPr>
            </w:pPr>
            <w:r>
              <w:rPr>
                <w:rFonts w:hint="eastAsia" w:ascii="宋体" w:hAnsi="宋体" w:cs="宋体"/>
                <w:color w:val="auto"/>
                <w:szCs w:val="21"/>
              </w:rPr>
              <w:t>见采购文件第二章</w:t>
            </w:r>
          </w:p>
        </w:tc>
        <w:tc>
          <w:tcPr>
            <w:tcW w:w="682" w:type="dxa"/>
            <w:noWrap w:val="0"/>
            <w:vAlign w:val="center"/>
          </w:tcPr>
          <w:p>
            <w:pPr>
              <w:wordWrap w:val="0"/>
              <w:spacing w:line="360" w:lineRule="exact"/>
              <w:jc w:val="center"/>
              <w:rPr>
                <w:rFonts w:hint="default" w:ascii="宋体" w:hAnsi="宋体" w:eastAsia="宋体" w:cs="宋体"/>
                <w:color w:val="auto"/>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项目概况</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托养中心总建筑面积8556.31</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。建筑分2幢托养楼、1幢综合楼、门卫、连廊、地下室。其中：1号楼建筑面积 3092.02</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；2号楼建筑面积3864.48</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；3号楼建筑面积1412.34</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（其中地下室建筑面积171.57</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），门卫及连廊建筑面积共计187.47</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.采购内容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青田县残疾人联合会</w:t>
      </w:r>
      <w:r>
        <w:rPr>
          <w:rFonts w:hint="eastAsia" w:ascii="宋体" w:hAnsi="宋体" w:eastAsia="宋体" w:cs="宋体"/>
          <w:color w:val="auto"/>
          <w:sz w:val="21"/>
          <w:szCs w:val="21"/>
          <w:lang w:val="en-US" w:eastAsia="zh-CN"/>
        </w:rPr>
        <w:t>通过公建民营方式，引进具备一定资质的企业或民办非企业单位，负责托养中心的日常运营管理</w:t>
      </w:r>
      <w:r>
        <w:rPr>
          <w:rFonts w:hint="eastAsia" w:ascii="宋体" w:hAnsi="宋体" w:cs="宋体"/>
          <w:color w:val="auto"/>
          <w:sz w:val="21"/>
          <w:szCs w:val="21"/>
          <w:lang w:val="en-US" w:eastAsia="zh-CN"/>
        </w:rPr>
        <w:t>。</w:t>
      </w:r>
      <w:r>
        <w:rPr>
          <w:rFonts w:hint="eastAsia" w:asciiTheme="minorEastAsia" w:hAnsiTheme="minorEastAsia" w:eastAsiaTheme="minorEastAsia" w:cstheme="minorEastAsia"/>
          <w:b w:val="0"/>
          <w:bCs w:val="0"/>
          <w:color w:val="auto"/>
          <w:kern w:val="0"/>
          <w:sz w:val="21"/>
          <w:szCs w:val="21"/>
          <w:highlight w:val="none"/>
          <w:u w:val="none"/>
          <w:lang w:val="en-US" w:eastAsia="zh-CN"/>
        </w:rPr>
        <w:t>为入住的残疾人提供基本生活照料和护理、生活自理和社会适应能力训练、运动功能训练、职业康复与劳动技能训练等服务。</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8.</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应具备的资格要求</w:t>
      </w:r>
      <w:r>
        <w:rPr>
          <w:rFonts w:hint="eastAsia" w:ascii="宋体" w:hAnsi="宋体" w:cs="宋体"/>
          <w:b/>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满足</w:t>
      </w:r>
      <w:r>
        <w:rPr>
          <w:rFonts w:hint="eastAsia" w:ascii="宋体" w:hAnsi="宋体" w:eastAsia="宋体" w:cs="宋体"/>
          <w:color w:val="auto"/>
          <w:sz w:val="21"/>
          <w:szCs w:val="21"/>
          <w:lang w:val="en-US" w:eastAsia="zh-CN"/>
        </w:rPr>
        <w:t>《中华人民共和国政府采购法》第</w:t>
      </w:r>
      <w:r>
        <w:rPr>
          <w:rFonts w:hint="eastAsia" w:ascii="宋体" w:hAnsi="宋体" w:cs="宋体"/>
          <w:color w:val="auto"/>
          <w:sz w:val="21"/>
          <w:szCs w:val="21"/>
          <w:lang w:val="en-US" w:eastAsia="zh-CN"/>
        </w:rPr>
        <w:t>二十二</w:t>
      </w:r>
      <w:r>
        <w:rPr>
          <w:rFonts w:hint="eastAsia" w:ascii="宋体" w:hAnsi="宋体" w:eastAsia="宋体" w:cs="宋体"/>
          <w:color w:val="auto"/>
          <w:sz w:val="21"/>
          <w:szCs w:val="21"/>
          <w:lang w:val="en-US" w:eastAsia="zh-CN"/>
        </w:rPr>
        <w:t>条规定；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.2.投标截止时间前未被“信用中国”网站（www.creditchina.gov.cn）、中国政府采购网（www.ccgp.gov.cn）列入失信被执行人、重大税收违法当事人名单、政府采购严重违法失信行为记录名单；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FF0000"/>
          <w:sz w:val="21"/>
          <w:szCs w:val="21"/>
          <w:u w:val="single"/>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.3外地企业或民非单位中标后须在青田县设立民非单位，独立核算，自负盈亏；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8.4本项目</w:t>
      </w:r>
      <w:r>
        <w:rPr>
          <w:rFonts w:hint="eastAsia" w:ascii="宋体" w:hAnsi="宋体" w:cs="宋体"/>
          <w:color w:val="auto"/>
          <w:sz w:val="21"/>
          <w:szCs w:val="21"/>
          <w:lang w:val="en-US" w:eastAsia="zh-CN"/>
        </w:rPr>
        <w:t>不接受联合体投标</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9.竞争磋商文件的获取及报名</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9.1竞争磋商</w:t>
      </w:r>
      <w:r>
        <w:rPr>
          <w:rFonts w:hint="eastAsia" w:ascii="宋体" w:hAnsi="宋体" w:eastAsia="宋体" w:cs="宋体"/>
          <w:color w:val="auto"/>
          <w:sz w:val="21"/>
          <w:szCs w:val="21"/>
        </w:rPr>
        <w:t>文件获取及补充（答疑、澄清）、修改文件获取的方式：</w:t>
      </w:r>
      <w:r>
        <w:rPr>
          <w:rFonts w:hint="eastAsia" w:ascii="宋体" w:hAnsi="宋体" w:eastAsia="宋体" w:cs="宋体"/>
          <w:color w:val="000000"/>
          <w:sz w:val="21"/>
          <w:szCs w:val="21"/>
          <w:highlight w:val="none"/>
        </w:rPr>
        <w:t>网络下载获取：招标文件可以网上自行下载，下载地址：</w:t>
      </w:r>
      <w:r>
        <w:rPr>
          <w:rFonts w:hint="eastAsia" w:ascii="宋体" w:hAnsi="宋体" w:eastAsia="宋体" w:cs="宋体"/>
          <w:color w:val="000000"/>
          <w:sz w:val="21"/>
          <w:szCs w:val="21"/>
          <w:highlight w:val="none"/>
          <w:lang w:eastAsia="zh-CN"/>
        </w:rPr>
        <w:t>丽水市公共资源交易网（http://lssggzy.lishui.gov.cn/）</w:t>
      </w:r>
      <w:r>
        <w:rPr>
          <w:rFonts w:hint="eastAsia" w:ascii="宋体" w:hAnsi="宋体" w:eastAsia="宋体" w:cs="宋体"/>
          <w:color w:val="000000"/>
          <w:sz w:val="21"/>
          <w:szCs w:val="21"/>
          <w:highlight w:val="none"/>
        </w:rPr>
        <w:t>公告附件。</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9.2报名方式：</w:t>
      </w:r>
      <w:r>
        <w:rPr>
          <w:rFonts w:hint="eastAsia" w:ascii="宋体" w:hAnsi="宋体" w:cs="宋体"/>
          <w:color w:val="auto"/>
          <w:sz w:val="21"/>
          <w:szCs w:val="21"/>
          <w:highlight w:val="none"/>
          <w:lang w:val="en-US" w:eastAsia="zh-CN"/>
        </w:rPr>
        <w:t>现场报名，报名时提供以下报名资料：</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介绍信及联系方式</w:t>
      </w:r>
      <w:r>
        <w:rPr>
          <w:rFonts w:hint="eastAsia" w:ascii="宋体" w:hAnsi="宋体" w:cs="宋体"/>
          <w:color w:val="auto"/>
          <w:sz w:val="21"/>
          <w:szCs w:val="21"/>
          <w:lang w:eastAsia="zh-CN"/>
        </w:rPr>
        <w:t>加盖供应商公章</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营业执照副本复印件</w:t>
      </w:r>
      <w:r>
        <w:rPr>
          <w:rFonts w:hint="eastAsia" w:ascii="宋体" w:hAnsi="宋体" w:cs="宋体"/>
          <w:color w:val="auto"/>
          <w:sz w:val="21"/>
          <w:szCs w:val="21"/>
          <w:lang w:eastAsia="zh-CN"/>
        </w:rPr>
        <w:t>加盖供应商公章。</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9.3报名时间：自公告发布之日起至2024年 5月 23 日17:30前，否则采购人有权拒绝</w:t>
      </w:r>
      <w:r>
        <w:rPr>
          <w:rFonts w:hint="eastAsia" w:ascii="宋体" w:hAnsi="宋体" w:eastAsia="宋体" w:cs="宋体"/>
          <w:color w:val="000000"/>
          <w:sz w:val="21"/>
          <w:szCs w:val="21"/>
          <w:highlight w:val="none"/>
          <w:lang w:val="en-US" w:eastAsia="zh-CN"/>
        </w:rPr>
        <w:t>其参加本次投标</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9.4报名地点：浙江惠同建设工程管理有限公司（青田县瓯南街道滨江国际2幢3单元2601室）。</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9.5已报名的供应商</w:t>
      </w:r>
      <w:r>
        <w:rPr>
          <w:rFonts w:hint="eastAsia" w:ascii="宋体" w:hAnsi="宋体"/>
          <w:color w:val="auto"/>
          <w:szCs w:val="21"/>
        </w:rPr>
        <w:t>应自行关注网站招标公告、更正公告、答疑文件等内容，采购人不再一一通知，投标人因自身贻误行为导致投标失败的，责任自负。</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0.</w:t>
      </w:r>
      <w:r>
        <w:rPr>
          <w:rFonts w:hint="eastAsia" w:ascii="宋体" w:hAnsi="宋体" w:cs="宋体"/>
          <w:color w:val="auto"/>
          <w:sz w:val="21"/>
          <w:szCs w:val="21"/>
          <w:lang w:eastAsia="zh-CN"/>
        </w:rPr>
        <w:t>磋商保证金：</w:t>
      </w:r>
      <w:r>
        <w:rPr>
          <w:rFonts w:hint="eastAsia" w:ascii="宋体" w:hAnsi="宋体" w:cs="宋体"/>
          <w:color w:val="auto"/>
          <w:sz w:val="21"/>
          <w:szCs w:val="21"/>
          <w:lang w:val="en-US" w:eastAsia="zh-CN"/>
        </w:rPr>
        <w:t>不作要求</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开标、评标的时间及地点</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11.1</w:t>
      </w:r>
      <w:r>
        <w:rPr>
          <w:rFonts w:hint="eastAsia" w:ascii="宋体" w:hAnsi="宋体" w:eastAsia="宋体" w:cs="宋体"/>
          <w:color w:val="auto"/>
          <w:sz w:val="21"/>
          <w:szCs w:val="21"/>
        </w:rPr>
        <w:t>投标文件递交：</w:t>
      </w:r>
      <w:r>
        <w:rPr>
          <w:rFonts w:hint="eastAsia" w:ascii="宋体" w:hAnsi="宋体" w:eastAsia="宋体" w:cs="宋体"/>
          <w:color w:val="auto"/>
          <w:sz w:val="21"/>
          <w:szCs w:val="21"/>
          <w:highlight w:val="none"/>
        </w:rPr>
        <w:t>采用现场递交方式。超过投标截止时间未提交投标文件的，投标文件将被拒收。</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rPr>
        <w:t>投标截止时间：202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递交</w:t>
      </w:r>
      <w:r>
        <w:rPr>
          <w:rFonts w:hint="eastAsia" w:ascii="宋体" w:hAnsi="宋体" w:eastAsia="宋体" w:cs="宋体"/>
          <w:color w:val="auto"/>
          <w:sz w:val="21"/>
          <w:szCs w:val="21"/>
        </w:rPr>
        <w:t>投标文件地点：</w:t>
      </w:r>
      <w:r>
        <w:rPr>
          <w:rFonts w:hint="eastAsia" w:ascii="宋体" w:hAnsi="宋体" w:eastAsia="宋体" w:cs="宋体"/>
          <w:color w:val="auto"/>
          <w:sz w:val="21"/>
          <w:szCs w:val="21"/>
          <w:highlight w:val="none"/>
        </w:rPr>
        <w:t>青田县瓯南街道百悦城5幢（华侨总部经济大楼）12楼1201招投标中心开标室（ 一）。</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开标时间：同投标截止时间。</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开标地点：</w:t>
      </w:r>
      <w:r>
        <w:rPr>
          <w:rFonts w:hint="eastAsia" w:ascii="宋体" w:hAnsi="宋体" w:eastAsia="宋体" w:cs="宋体"/>
          <w:color w:val="auto"/>
          <w:sz w:val="21"/>
          <w:szCs w:val="21"/>
          <w:highlight w:val="none"/>
        </w:rPr>
        <w:t>青田县瓯南街道百悦城5幢（华侨总部经济大楼）12楼1201招投标中心开标室（ 一）</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．联系方式</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cs="宋体"/>
          <w:color w:val="000000"/>
          <w:sz w:val="21"/>
          <w:szCs w:val="21"/>
          <w:highlight w:val="none"/>
          <w:lang w:eastAsia="zh-CN"/>
        </w:rPr>
      </w:pPr>
      <w:bookmarkStart w:id="8" w:name="_Toc476"/>
      <w:bookmarkStart w:id="9" w:name="_Toc68203003"/>
      <w:r>
        <w:rPr>
          <w:rFonts w:hint="eastAsia" w:ascii="宋体" w:hAnsi="宋体" w:cs="宋体"/>
          <w:color w:val="000000"/>
          <w:sz w:val="21"/>
          <w:szCs w:val="21"/>
          <w:highlight w:val="none"/>
        </w:rPr>
        <w:t>名  称：</w:t>
      </w:r>
      <w:r>
        <w:rPr>
          <w:rFonts w:hint="eastAsia" w:ascii="宋体" w:hAnsi="宋体" w:cs="宋体"/>
          <w:color w:val="000000"/>
          <w:sz w:val="21"/>
          <w:szCs w:val="21"/>
          <w:highlight w:val="none"/>
          <w:lang w:eastAsia="zh-CN"/>
        </w:rPr>
        <w:t>青田县残疾人联合会</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地  址：</w:t>
      </w:r>
      <w:r>
        <w:rPr>
          <w:rFonts w:hint="eastAsia" w:ascii="宋体" w:hAnsi="宋体" w:eastAsia="宋体" w:cs="宋体"/>
          <w:color w:val="000000"/>
          <w:sz w:val="21"/>
          <w:szCs w:val="21"/>
          <w:highlight w:val="none"/>
          <w:lang w:val="en-US" w:eastAsia="zh-CN"/>
        </w:rPr>
        <w:t>浙江省青田县瓯南街道景云1幢3号</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季华芬</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联系电话：</w:t>
      </w:r>
      <w:r>
        <w:rPr>
          <w:rFonts w:hint="eastAsia" w:ascii="宋体" w:hAnsi="宋体" w:eastAsia="宋体" w:cs="宋体"/>
          <w:color w:val="000000"/>
          <w:sz w:val="21"/>
          <w:szCs w:val="21"/>
          <w:highlight w:val="none"/>
          <w:lang w:val="en-US" w:eastAsia="zh-CN"/>
        </w:rPr>
        <w:t xml:space="preserve"> 0578-6026573</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质疑联系人：</w:t>
      </w:r>
      <w:r>
        <w:rPr>
          <w:rFonts w:hint="eastAsia" w:ascii="宋体" w:hAnsi="宋体" w:eastAsia="宋体" w:cs="宋体"/>
          <w:color w:val="000000"/>
          <w:sz w:val="21"/>
          <w:szCs w:val="21"/>
          <w:highlight w:val="none"/>
          <w:lang w:val="en-US" w:eastAsia="zh-CN"/>
        </w:rPr>
        <w:t>邓银有</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质疑联系方式</w:t>
      </w:r>
      <w:r>
        <w:rPr>
          <w:rFonts w:hint="eastAsia" w:ascii="宋体" w:hAnsi="宋体" w:eastAsia="宋体" w:cs="宋体"/>
          <w:color w:val="000000"/>
          <w:sz w:val="21"/>
          <w:szCs w:val="21"/>
          <w:highlight w:val="none"/>
          <w:lang w:val="en-US" w:eastAsia="zh-CN"/>
        </w:rPr>
        <w:t>：0578-6026565</w:t>
      </w:r>
    </w:p>
    <w:p>
      <w:pPr>
        <w:keepNext w:val="0"/>
        <w:keepLines w:val="0"/>
        <w:pageBreakBefore w:val="0"/>
        <w:kinsoku/>
        <w:overflowPunct/>
        <w:topLinePunct w:val="0"/>
        <w:autoSpaceDE/>
        <w:autoSpaceDN/>
        <w:bidi w:val="0"/>
        <w:adjustRightInd/>
        <w:snapToGrid w:val="0"/>
        <w:spacing w:line="312" w:lineRule="auto"/>
        <w:ind w:firstLine="210" w:firstLineChars="100"/>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2.采购代理机构信息</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名  称：</w:t>
      </w:r>
      <w:r>
        <w:rPr>
          <w:rFonts w:hint="eastAsia" w:ascii="宋体" w:hAnsi="宋体" w:cs="宋体"/>
          <w:color w:val="000000"/>
          <w:sz w:val="21"/>
          <w:szCs w:val="21"/>
          <w:highlight w:val="none"/>
          <w:lang w:eastAsia="zh-CN"/>
        </w:rPr>
        <w:t xml:space="preserve">浙江惠同建设工程管理有限公司 </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地  址：</w:t>
      </w:r>
      <w:r>
        <w:rPr>
          <w:rFonts w:hint="eastAsia" w:ascii="宋体" w:hAnsi="宋体" w:cs="宋体"/>
          <w:color w:val="000000"/>
          <w:sz w:val="21"/>
          <w:szCs w:val="21"/>
          <w:highlight w:val="none"/>
          <w:lang w:eastAsia="zh-CN"/>
        </w:rPr>
        <w:t>青田县滨江国际小区2幢3单元2601室</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联系人：</w:t>
      </w:r>
      <w:r>
        <w:rPr>
          <w:rFonts w:hint="eastAsia" w:ascii="宋体" w:hAnsi="宋体" w:cs="宋体"/>
          <w:color w:val="000000"/>
          <w:sz w:val="21"/>
          <w:szCs w:val="21"/>
          <w:highlight w:val="none"/>
          <w:lang w:eastAsia="zh-CN"/>
        </w:rPr>
        <w:t>徐秋静</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联系电话：</w:t>
      </w:r>
      <w:r>
        <w:rPr>
          <w:rFonts w:hint="eastAsia" w:ascii="宋体" w:hAnsi="宋体" w:cs="宋体"/>
          <w:color w:val="000000"/>
          <w:sz w:val="21"/>
          <w:szCs w:val="21"/>
          <w:highlight w:val="none"/>
          <w:lang w:val="en-US" w:eastAsia="zh-CN"/>
        </w:rPr>
        <w:t>15005783895</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质疑联系人：</w:t>
      </w:r>
      <w:r>
        <w:rPr>
          <w:rFonts w:hint="eastAsia" w:ascii="宋体" w:hAnsi="宋体" w:cs="宋体"/>
          <w:color w:val="000000"/>
          <w:sz w:val="21"/>
          <w:szCs w:val="21"/>
          <w:highlight w:val="none"/>
          <w:lang w:val="en-US" w:eastAsia="zh-CN"/>
        </w:rPr>
        <w:t>杜丽玉</w:t>
      </w:r>
    </w:p>
    <w:p>
      <w:pPr>
        <w:keepNext w:val="0"/>
        <w:keepLines w:val="0"/>
        <w:pageBreakBefore w:val="0"/>
        <w:kinsoku/>
        <w:overflowPunct/>
        <w:topLinePunct w:val="0"/>
        <w:autoSpaceDE/>
        <w:autoSpaceDN/>
        <w:bidi w:val="0"/>
        <w:adjustRightInd/>
        <w:snapToGrid w:val="0"/>
        <w:spacing w:line="312" w:lineRule="auto"/>
        <w:ind w:left="420"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质疑联系方式：</w:t>
      </w:r>
      <w:r>
        <w:rPr>
          <w:rFonts w:hint="eastAsia" w:ascii="宋体" w:hAnsi="宋体" w:cs="宋体"/>
          <w:color w:val="000000"/>
          <w:sz w:val="21"/>
          <w:szCs w:val="21"/>
          <w:highlight w:val="none"/>
          <w:lang w:val="en-US" w:eastAsia="zh-CN"/>
        </w:rPr>
        <w:t>15990839231</w:t>
      </w:r>
    </w:p>
    <w:p>
      <w:pPr>
        <w:pStyle w:val="11"/>
        <w:numPr>
          <w:ilvl w:val="0"/>
          <w:numId w:val="0"/>
        </w:numPr>
        <w:ind w:left="420" w:leftChars="0"/>
        <w:rPr>
          <w:rFonts w:hint="eastAsia"/>
          <w:lang w:eastAsia="zh-CN"/>
        </w:rPr>
      </w:pPr>
    </w:p>
    <w:p>
      <w:pPr>
        <w:keepNext w:val="0"/>
        <w:keepLines w:val="0"/>
        <w:pageBreakBefore w:val="0"/>
        <w:widowControl w:val="0"/>
        <w:kinsoku/>
        <w:wordWrap w:val="0"/>
        <w:overflowPunct/>
        <w:topLinePunct w:val="0"/>
        <w:autoSpaceDE/>
        <w:autoSpaceDN/>
        <w:bidi w:val="0"/>
        <w:adjustRightInd/>
        <w:snapToGrid w:val="0"/>
        <w:spacing w:line="360" w:lineRule="exact"/>
        <w:ind w:firstLine="824" w:firstLineChars="342"/>
        <w:jc w:val="center"/>
        <w:textAlignment w:val="auto"/>
        <w:rPr>
          <w:rStyle w:val="28"/>
          <w:rFonts w:hint="eastAsia" w:asciiTheme="minorEastAsia" w:hAnsiTheme="minorEastAsia" w:eastAsiaTheme="minorEastAsia" w:cstheme="minorEastAsia"/>
          <w:color w:val="auto"/>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val="0"/>
        <w:spacing w:line="360" w:lineRule="exact"/>
        <w:ind w:firstLine="824" w:firstLineChars="342"/>
        <w:jc w:val="center"/>
        <w:textAlignment w:val="auto"/>
        <w:rPr>
          <w:rStyle w:val="28"/>
          <w:rFonts w:hint="eastAsia" w:asciiTheme="minorEastAsia" w:hAnsiTheme="minorEastAsia" w:eastAsiaTheme="minorEastAsia" w:cstheme="minorEastAsia"/>
          <w:color w:val="auto"/>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val="0"/>
        <w:spacing w:line="360" w:lineRule="exact"/>
        <w:ind w:firstLine="824" w:firstLineChars="342"/>
        <w:jc w:val="center"/>
        <w:textAlignment w:val="auto"/>
        <w:rPr>
          <w:rStyle w:val="28"/>
          <w:rFonts w:hint="eastAsia" w:asciiTheme="minorEastAsia" w:hAnsiTheme="minorEastAsia" w:eastAsiaTheme="minorEastAsia" w:cstheme="minorEastAsia"/>
          <w:color w:val="auto"/>
          <w:sz w:val="24"/>
          <w:szCs w:val="24"/>
          <w:lang w:val="en-US" w:eastAsia="zh-CN" w:bidi="ar-SA"/>
        </w:rPr>
      </w:pPr>
    </w:p>
    <w:p>
      <w:pPr>
        <w:pStyle w:val="11"/>
        <w:numPr>
          <w:ilvl w:val="0"/>
          <w:numId w:val="0"/>
        </w:numPr>
        <w:ind w:left="420" w:leftChars="0"/>
        <w:rPr>
          <w:rFonts w:hint="eastAsia"/>
          <w:lang w:val="en-US" w:eastAsia="zh-CN"/>
        </w:rPr>
      </w:pPr>
    </w:p>
    <w:p>
      <w:pPr>
        <w:rPr>
          <w:rFonts w:hint="eastAsia"/>
          <w:lang w:val="en-US" w:eastAsia="zh-CN"/>
        </w:rPr>
      </w:pPr>
    </w:p>
    <w:p>
      <w:pPr>
        <w:pStyle w:val="11"/>
        <w:numPr>
          <w:ilvl w:val="0"/>
          <w:numId w:val="0"/>
        </w:numPr>
        <w:tabs>
          <w:tab w:val="clear" w:pos="780"/>
        </w:tabs>
        <w:ind w:left="780" w:leftChars="0" w:hanging="360" w:firstLineChars="0"/>
        <w:rPr>
          <w:rFonts w:hint="eastAsia"/>
          <w:lang w:val="en-US" w:eastAsia="zh-CN"/>
        </w:rPr>
      </w:pPr>
    </w:p>
    <w:p>
      <w:pPr>
        <w:rPr>
          <w:rFonts w:hint="eastAsia"/>
          <w:lang w:val="en-US" w:eastAsia="zh-CN"/>
        </w:rPr>
      </w:pPr>
    </w:p>
    <w:p>
      <w:pPr>
        <w:pStyle w:val="11"/>
        <w:numPr>
          <w:ilvl w:val="0"/>
          <w:numId w:val="0"/>
        </w:numPr>
        <w:tabs>
          <w:tab w:val="clear" w:pos="780"/>
        </w:tabs>
        <w:ind w:left="780" w:leftChars="0" w:hanging="360" w:firstLineChars="0"/>
        <w:rPr>
          <w:rFonts w:hint="eastAsia"/>
          <w:lang w:val="en-US" w:eastAsia="zh-CN"/>
        </w:rPr>
      </w:pPr>
    </w:p>
    <w:p>
      <w:pPr>
        <w:rPr>
          <w:rFonts w:hint="eastAsia"/>
          <w:lang w:val="en-US" w:eastAsia="zh-CN"/>
        </w:rPr>
      </w:pPr>
    </w:p>
    <w:p>
      <w:pPr>
        <w:pStyle w:val="11"/>
        <w:numPr>
          <w:ilvl w:val="0"/>
          <w:numId w:val="0"/>
        </w:numPr>
        <w:tabs>
          <w:tab w:val="clear" w:pos="780"/>
        </w:tabs>
        <w:rPr>
          <w:rFonts w:hint="eastAsia"/>
          <w:lang w:val="en-US" w:eastAsia="zh-CN"/>
        </w:rPr>
      </w:pPr>
    </w:p>
    <w:p>
      <w:pPr>
        <w:pStyle w:val="11"/>
        <w:numPr>
          <w:ilvl w:val="0"/>
          <w:numId w:val="0"/>
        </w:numPr>
        <w:tabs>
          <w:tab w:val="clear" w:pos="780"/>
        </w:tabs>
        <w:ind w:left="780" w:leftChars="0" w:hanging="360" w:firstLineChars="0"/>
        <w:rPr>
          <w:rFonts w:hint="eastAsia"/>
          <w:lang w:val="en-US" w:eastAsia="zh-CN"/>
        </w:rPr>
      </w:pPr>
    </w:p>
    <w:p>
      <w:pPr>
        <w:rPr>
          <w:rFonts w:hint="eastAsia"/>
          <w:lang w:val="en-US" w:eastAsia="zh-CN"/>
        </w:rPr>
      </w:pPr>
    </w:p>
    <w:p>
      <w:pPr>
        <w:pStyle w:val="11"/>
        <w:numPr>
          <w:ilvl w:val="0"/>
          <w:numId w:val="0"/>
        </w:numPr>
        <w:tabs>
          <w:tab w:val="clear" w:pos="780"/>
        </w:tabs>
        <w:ind w:left="780" w:leftChars="0" w:hanging="360" w:firstLineChars="0"/>
        <w:rPr>
          <w:rFonts w:hint="eastAsia"/>
          <w:lang w:val="en-US" w:eastAsia="zh-CN"/>
        </w:rPr>
      </w:pPr>
    </w:p>
    <w:p>
      <w:pPr>
        <w:rPr>
          <w:rFonts w:hint="eastAsia"/>
          <w:lang w:val="en-US" w:eastAsia="zh-CN"/>
        </w:rPr>
      </w:pPr>
    </w:p>
    <w:p>
      <w:pPr>
        <w:pStyle w:val="11"/>
        <w:numPr>
          <w:ilvl w:val="0"/>
          <w:numId w:val="0"/>
        </w:numPr>
        <w:tabs>
          <w:tab w:val="clear" w:pos="780"/>
        </w:tabs>
        <w:ind w:left="420" w:leftChars="0"/>
        <w:rPr>
          <w:rFonts w:hint="eastAsia"/>
          <w:lang w:val="en-US" w:eastAsia="zh-CN"/>
        </w:rPr>
      </w:pPr>
    </w:p>
    <w:p>
      <w:pPr>
        <w:rPr>
          <w:rFonts w:hint="eastAsia"/>
          <w:lang w:val="en-US" w:eastAsia="zh-CN"/>
        </w:rPr>
      </w:pPr>
    </w:p>
    <w:p>
      <w:pPr>
        <w:rPr>
          <w:rStyle w:val="28"/>
          <w:rFonts w:hint="eastAsia" w:asciiTheme="minorEastAsia" w:hAnsiTheme="minorEastAsia" w:eastAsiaTheme="minorEastAsia" w:cstheme="minorEastAsia"/>
          <w:color w:val="auto"/>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val="0"/>
        <w:spacing w:line="360" w:lineRule="exact"/>
        <w:ind w:firstLine="824" w:firstLineChars="342"/>
        <w:jc w:val="center"/>
        <w:textAlignment w:val="auto"/>
        <w:rPr>
          <w:rStyle w:val="28"/>
          <w:rFonts w:hint="eastAsia" w:asciiTheme="minorEastAsia" w:hAnsiTheme="minorEastAsia" w:eastAsiaTheme="minorEastAsia" w:cstheme="minorEastAsia"/>
          <w:color w:val="auto"/>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val="0"/>
        <w:spacing w:line="360" w:lineRule="exact"/>
        <w:ind w:firstLine="824" w:firstLineChars="342"/>
        <w:jc w:val="center"/>
        <w:textAlignment w:val="auto"/>
        <w:rPr>
          <w:rStyle w:val="28"/>
          <w:rFonts w:hint="eastAsia" w:asciiTheme="minorEastAsia" w:hAnsiTheme="minorEastAsia" w:eastAsiaTheme="minorEastAsia" w:cstheme="minorEastAsia"/>
          <w:color w:val="auto"/>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val="0"/>
        <w:spacing w:line="360" w:lineRule="exact"/>
        <w:ind w:firstLine="824" w:firstLineChars="342"/>
        <w:jc w:val="center"/>
        <w:textAlignment w:val="auto"/>
        <w:rPr>
          <w:rStyle w:val="28"/>
          <w:rFonts w:hint="eastAsia" w:asciiTheme="minorEastAsia" w:hAnsiTheme="minorEastAsia" w:eastAsiaTheme="minorEastAsia" w:cstheme="minorEastAsia"/>
          <w:color w:val="auto"/>
          <w:sz w:val="24"/>
          <w:szCs w:val="24"/>
          <w:lang w:val="en-US" w:eastAsia="zh-CN" w:bidi="ar-SA"/>
        </w:rPr>
      </w:pPr>
      <w:r>
        <w:rPr>
          <w:rStyle w:val="28"/>
          <w:rFonts w:hint="eastAsia" w:asciiTheme="minorEastAsia" w:hAnsiTheme="minorEastAsia" w:eastAsiaTheme="minorEastAsia" w:cstheme="minorEastAsia"/>
          <w:color w:val="auto"/>
          <w:sz w:val="24"/>
          <w:szCs w:val="24"/>
          <w:lang w:val="en-US" w:eastAsia="zh-CN" w:bidi="ar-SA"/>
        </w:rPr>
        <w:t xml:space="preserve">第二章  </w:t>
      </w:r>
      <w:bookmarkEnd w:id="8"/>
      <w:r>
        <w:rPr>
          <w:rStyle w:val="28"/>
          <w:rFonts w:hint="eastAsia" w:asciiTheme="minorEastAsia" w:hAnsiTheme="minorEastAsia" w:eastAsiaTheme="minorEastAsia" w:cstheme="minorEastAsia"/>
          <w:color w:val="auto"/>
          <w:sz w:val="24"/>
          <w:szCs w:val="24"/>
          <w:lang w:val="en-US" w:eastAsia="zh-CN" w:bidi="ar-SA"/>
        </w:rPr>
        <w:t>项目概况及要求</w:t>
      </w:r>
    </w:p>
    <w:bookmarkEnd w:id="9"/>
    <w:p>
      <w:pPr>
        <w:keepNext w:val="0"/>
        <w:keepLines w:val="0"/>
        <w:pageBreakBefore w:val="0"/>
        <w:widowControl w:val="0"/>
        <w:kinsoku/>
        <w:wordWrap/>
        <w:overflowPunct/>
        <w:topLinePunct w:val="0"/>
        <w:autoSpaceDE/>
        <w:autoSpaceDN/>
        <w:bidi w:val="0"/>
        <w:adjustRightInd/>
        <w:snapToGrid/>
        <w:spacing w:line="360" w:lineRule="exact"/>
        <w:textAlignment w:val="auto"/>
        <w:outlineLvl w:val="1"/>
        <w:rPr>
          <w:rFonts w:hint="eastAsia" w:asciiTheme="minorEastAsia" w:hAnsiTheme="minorEastAsia" w:eastAsiaTheme="minorEastAsia" w:cstheme="minorEastAsia"/>
          <w:b/>
          <w:bCs/>
          <w:color w:val="auto"/>
          <w:sz w:val="21"/>
          <w:szCs w:val="21"/>
          <w:u w:val="none"/>
          <w:lang w:eastAsia="zh-CN"/>
        </w:rPr>
      </w:pPr>
      <w:r>
        <w:rPr>
          <w:rFonts w:hint="eastAsia" w:asciiTheme="minorEastAsia" w:hAnsiTheme="minorEastAsia" w:eastAsiaTheme="minorEastAsia" w:cstheme="minorEastAsia"/>
          <w:b w:val="0"/>
          <w:bCs w:val="0"/>
          <w:color w:val="auto"/>
          <w:sz w:val="21"/>
          <w:szCs w:val="21"/>
          <w:u w:val="none"/>
          <w:lang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2"/>
        <w:rPr>
          <w:rFonts w:hint="eastAsia" w:asciiTheme="minorEastAsia" w:hAnsiTheme="minorEastAsia" w:eastAsiaTheme="minorEastAsia" w:cstheme="minorEastAsia"/>
          <w:b/>
          <w:bCs/>
          <w:color w:val="auto"/>
          <w:sz w:val="21"/>
          <w:szCs w:val="21"/>
          <w:u w:val="none"/>
          <w:lang w:val="en-US" w:eastAsia="zh-CN"/>
        </w:rPr>
      </w:pPr>
      <w:r>
        <w:rPr>
          <w:rFonts w:hint="eastAsia" w:asciiTheme="minorEastAsia" w:hAnsiTheme="minorEastAsia" w:eastAsiaTheme="minorEastAsia" w:cstheme="minorEastAsia"/>
          <w:b/>
          <w:bCs/>
          <w:color w:val="auto"/>
          <w:sz w:val="21"/>
          <w:szCs w:val="21"/>
          <w:u w:val="none"/>
          <w:lang w:val="en-US" w:eastAsia="zh-CN"/>
        </w:rPr>
        <w:t>（一）项目位置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i w:val="0"/>
          <w:caps w:val="0"/>
          <w:color w:val="auto"/>
          <w:spacing w:val="0"/>
          <w:sz w:val="21"/>
          <w:szCs w:val="21"/>
          <w:u w:val="none"/>
          <w:shd w:val="clear" w:fill="FFFFFF"/>
          <w:lang w:eastAsia="zh-CN"/>
        </w:rPr>
        <w:t>青田县高市乡练岙村。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2"/>
        <w:rPr>
          <w:rFonts w:hint="eastAsia" w:asciiTheme="minorEastAsia" w:hAnsiTheme="minorEastAsia" w:eastAsiaTheme="minorEastAsia" w:cstheme="minorEastAsia"/>
          <w:b/>
          <w:bCs/>
          <w:color w:val="auto"/>
          <w:sz w:val="21"/>
          <w:szCs w:val="21"/>
          <w:u w:val="none"/>
          <w:lang w:val="en-US" w:eastAsia="zh-CN"/>
        </w:rPr>
      </w:pPr>
      <w:r>
        <w:rPr>
          <w:rFonts w:hint="eastAsia" w:asciiTheme="minorEastAsia" w:hAnsiTheme="minorEastAsia" w:eastAsiaTheme="minorEastAsia" w:cstheme="minorEastAsia"/>
          <w:b/>
          <w:bCs/>
          <w:color w:val="auto"/>
          <w:sz w:val="21"/>
          <w:szCs w:val="21"/>
          <w:u w:val="none"/>
          <w:lang w:val="en-US" w:eastAsia="zh-CN"/>
        </w:rPr>
        <w:t>（二）项目概况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1"/>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托养中心总建筑面积8556.31</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。建筑分2幢托养楼、1幢综合楼、门卫、连廊、地下室。其中：1号楼建筑面积 3092.02</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；2号楼建筑面积3864.48</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；3号楼建筑面积1412.34</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（其中地下室建筑面积171.57</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），门卫及连廊建筑面积共计187.47</w:t>
      </w: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1"/>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二、招标范围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青田县残疾人联合会</w:t>
      </w:r>
      <w:r>
        <w:rPr>
          <w:rFonts w:hint="eastAsia" w:ascii="宋体" w:hAnsi="宋体" w:eastAsia="宋体" w:cs="宋体"/>
          <w:color w:val="auto"/>
          <w:sz w:val="21"/>
          <w:szCs w:val="21"/>
          <w:lang w:val="en-US" w:eastAsia="zh-CN"/>
        </w:rPr>
        <w:t>通过公建民营方式，引进具备一定资质的企业或民办非企业单位，负责托养中心的日常运营管理</w:t>
      </w:r>
      <w:r>
        <w:rPr>
          <w:rFonts w:hint="eastAsia" w:ascii="宋体" w:hAnsi="宋体" w:cs="宋体"/>
          <w:color w:val="auto"/>
          <w:sz w:val="21"/>
          <w:szCs w:val="21"/>
          <w:lang w:val="en-US" w:eastAsia="zh-CN"/>
        </w:rPr>
        <w:t>。</w:t>
      </w:r>
      <w:r>
        <w:rPr>
          <w:rFonts w:hint="eastAsia" w:asciiTheme="minorEastAsia" w:hAnsiTheme="minorEastAsia" w:eastAsiaTheme="minorEastAsia" w:cstheme="minorEastAsia"/>
          <w:b w:val="0"/>
          <w:bCs w:val="0"/>
          <w:color w:val="auto"/>
          <w:kern w:val="0"/>
          <w:sz w:val="21"/>
          <w:szCs w:val="21"/>
          <w:highlight w:val="none"/>
          <w:u w:val="none"/>
          <w:lang w:val="en-US" w:eastAsia="zh-CN"/>
        </w:rPr>
        <w:t>为入住的残疾人提供基本生活照料和护理、生活自理和社会适应能力训练、运动功能训练、职业康复与劳动技能训练等服务。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三、</w:t>
      </w:r>
      <w:r>
        <w:rPr>
          <w:rFonts w:hint="eastAsia" w:asciiTheme="minorEastAsia" w:hAnsiTheme="minorEastAsia" w:eastAsiaTheme="minorEastAsia" w:cstheme="minorEastAsia"/>
          <w:b/>
          <w:bCs/>
          <w:color w:val="auto"/>
          <w:sz w:val="21"/>
          <w:szCs w:val="21"/>
          <w:u w:val="none"/>
          <w:lang w:eastAsia="zh-CN"/>
        </w:rPr>
        <w:t>托养中心运营管理方案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2"/>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（一）</w:t>
      </w:r>
      <w:r>
        <w:rPr>
          <w:rFonts w:hint="eastAsia" w:asciiTheme="minorEastAsia" w:hAnsiTheme="minorEastAsia" w:eastAsiaTheme="minorEastAsia" w:cstheme="minorEastAsia"/>
          <w:b/>
          <w:bCs/>
          <w:color w:val="auto"/>
          <w:kern w:val="0"/>
          <w:sz w:val="21"/>
          <w:szCs w:val="21"/>
          <w:highlight w:val="none"/>
          <w:u w:val="none"/>
          <w:lang w:val="en-US" w:eastAsia="zh-CN"/>
        </w:rPr>
        <w:t>服务要求</w:t>
      </w:r>
    </w:p>
    <w:p>
      <w:pPr>
        <w:adjustRightInd w:val="0"/>
        <w:snapToGrid w:val="0"/>
        <w:spacing w:line="360" w:lineRule="auto"/>
        <w:ind w:firstLine="415" w:firstLineChars="197"/>
        <w:outlineLvl w:val="9"/>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1.服务内容：</w:t>
      </w:r>
    </w:p>
    <w:p>
      <w:pPr>
        <w:adjustRightInd w:val="0"/>
        <w:snapToGrid w:val="0"/>
        <w:spacing w:line="360" w:lineRule="auto"/>
        <w:ind w:firstLine="413" w:firstLineChars="197"/>
        <w:outlineLvl w:val="9"/>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负责托养中心的日常运营管理，实现青田县残疾人托养中心项目经济效益和社会效益双赢。在确保入住残疾人生命及财产安全的同时，为入住的残疾人提供基本生活照料和护理、生活自理和社会适应能力训练、运动功能训练、职业康复与劳动技能训练等服务，确保托养机构长效运营和长远发展。</w:t>
      </w:r>
    </w:p>
    <w:p>
      <w:pPr>
        <w:pStyle w:val="27"/>
        <w:rPr>
          <w:rFonts w:hint="default"/>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w:t>
      </w:r>
      <w:r>
        <w:rPr>
          <w:rFonts w:hint="eastAsia" w:asciiTheme="minorEastAsia" w:hAnsiTheme="minorEastAsia" w:eastAsiaTheme="minorEastAsia" w:cstheme="minorEastAsia"/>
          <w:b w:val="0"/>
          <w:bCs w:val="0"/>
          <w:color w:val="auto"/>
          <w:kern w:val="0"/>
          <w:sz w:val="21"/>
          <w:szCs w:val="21"/>
          <w:highlight w:val="none"/>
          <w:u w:val="none"/>
          <w:lang w:val="en-US" w:eastAsia="zh-CN" w:bidi="ar-SA"/>
        </w:rPr>
        <w:t>探索医养结合模式，可在托养中心依法设置医疗机构（医疗设备等投入费用由运营方自行负责）。</w:t>
      </w:r>
    </w:p>
    <w:p>
      <w:pPr>
        <w:numPr>
          <w:ilvl w:val="0"/>
          <w:numId w:val="0"/>
        </w:numPr>
        <w:spacing w:line="360" w:lineRule="exact"/>
        <w:ind w:firstLine="422" w:firstLineChars="200"/>
        <w:outlineLvl w:val="4"/>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2.服务对象：</w:t>
      </w:r>
    </w:p>
    <w:p>
      <w:pPr>
        <w:numPr>
          <w:ilvl w:val="0"/>
          <w:numId w:val="0"/>
        </w:numPr>
        <w:spacing w:line="360" w:lineRule="exact"/>
        <w:ind w:firstLine="420" w:firstLineChars="200"/>
        <w:outlineLvl w:val="4"/>
        <w:rPr>
          <w:rFonts w:hint="default"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（1）集中托养服务对象：具有青田县户籍、持有《中华人民共和国残疾人证》、16周岁以上有托养照护需求和意愿的重度残疾人和三、四级智力、精神（稳定期）残疾人。</w:t>
      </w:r>
      <w:r>
        <w:rPr>
          <w:rFonts w:hint="default" w:asciiTheme="minorEastAsia" w:hAnsiTheme="minorEastAsia" w:eastAsiaTheme="minorEastAsia" w:cstheme="minorEastAsia"/>
          <w:b w:val="0"/>
          <w:bCs w:val="0"/>
          <w:color w:val="auto"/>
          <w:kern w:val="0"/>
          <w:sz w:val="21"/>
          <w:szCs w:val="21"/>
          <w:highlight w:val="none"/>
          <w:u w:val="none"/>
          <w:lang w:val="en-US" w:eastAsia="zh-CN"/>
        </w:rPr>
        <w:t>优先保障有托养需求但家庭无照护能力、家庭困难的肢体、智力、精神和一级视力残疾人。</w:t>
      </w:r>
    </w:p>
    <w:p>
      <w:pPr>
        <w:numPr>
          <w:ilvl w:val="0"/>
          <w:numId w:val="0"/>
        </w:numPr>
        <w:spacing w:line="360" w:lineRule="exact"/>
        <w:ind w:firstLine="420" w:firstLineChars="200"/>
        <w:outlineLvl w:val="4"/>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（2）在确保满足符合集中托养服务对象入住的前提下，允许适当招收部分</w:t>
      </w:r>
      <w:r>
        <w:rPr>
          <w:rFonts w:hint="default" w:asciiTheme="minorEastAsia" w:hAnsiTheme="minorEastAsia" w:eastAsiaTheme="minorEastAsia" w:cstheme="minorEastAsia"/>
          <w:b w:val="0"/>
          <w:bCs w:val="0"/>
          <w:color w:val="auto"/>
          <w:kern w:val="0"/>
          <w:sz w:val="21"/>
          <w:szCs w:val="21"/>
          <w:highlight w:val="none"/>
          <w:u w:val="none"/>
          <w:lang w:val="en-US" w:eastAsia="zh-CN"/>
        </w:rPr>
        <w:t>其他残疾人或</w:t>
      </w:r>
      <w:r>
        <w:rPr>
          <w:rFonts w:hint="eastAsia" w:asciiTheme="minorEastAsia" w:hAnsiTheme="minorEastAsia" w:eastAsiaTheme="minorEastAsia" w:cstheme="minorEastAsia"/>
          <w:b w:val="0"/>
          <w:bCs w:val="0"/>
          <w:color w:val="auto"/>
          <w:kern w:val="0"/>
          <w:sz w:val="21"/>
          <w:szCs w:val="21"/>
          <w:highlight w:val="none"/>
          <w:u w:val="none"/>
          <w:lang w:val="en-US" w:eastAsia="zh-CN"/>
        </w:rPr>
        <w:t>“以老养残”等特殊家庭的共同生活人员；集中托养服务对象达到50人，每新增一个</w:t>
      </w:r>
      <w:r>
        <w:rPr>
          <w:rFonts w:hint="default" w:asciiTheme="minorEastAsia" w:hAnsiTheme="minorEastAsia" w:eastAsiaTheme="minorEastAsia" w:cstheme="minorEastAsia"/>
          <w:b w:val="0"/>
          <w:bCs w:val="0"/>
          <w:color w:val="auto"/>
          <w:kern w:val="0"/>
          <w:sz w:val="21"/>
          <w:szCs w:val="21"/>
          <w:highlight w:val="none"/>
          <w:u w:val="none"/>
          <w:lang w:val="en-US" w:eastAsia="zh-CN"/>
        </w:rPr>
        <w:t>集中</w:t>
      </w:r>
      <w:r>
        <w:rPr>
          <w:rFonts w:hint="eastAsia" w:asciiTheme="minorEastAsia" w:hAnsiTheme="minorEastAsia" w:eastAsiaTheme="minorEastAsia" w:cstheme="minorEastAsia"/>
          <w:b w:val="0"/>
          <w:bCs w:val="0"/>
          <w:color w:val="auto"/>
          <w:kern w:val="0"/>
          <w:sz w:val="21"/>
          <w:szCs w:val="21"/>
          <w:highlight w:val="none"/>
          <w:u w:val="none"/>
          <w:lang w:val="en-US" w:eastAsia="zh-CN"/>
        </w:rPr>
        <w:t>托养对象，可增加一个社会老年人托养。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（二）运营期限</w:t>
      </w:r>
    </w:p>
    <w:p>
      <w:pPr>
        <w:numPr>
          <w:ilvl w:val="0"/>
          <w:numId w:val="0"/>
        </w:numPr>
        <w:spacing w:line="360" w:lineRule="exact"/>
        <w:ind w:firstLine="420" w:firstLineChars="200"/>
        <w:outlineLvl w:val="4"/>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运营期限为15年。运营方服务期内的综合质量考评结果在良好等次及以上的，经双方协商，</w:t>
      </w:r>
      <w:r>
        <w:rPr>
          <w:rFonts w:hint="eastAsia" w:asciiTheme="minorEastAsia" w:hAnsiTheme="minorEastAsia" w:eastAsiaTheme="minorEastAsia" w:cstheme="minorEastAsia"/>
          <w:color w:val="auto"/>
          <w:kern w:val="0"/>
          <w:sz w:val="21"/>
          <w:szCs w:val="21"/>
          <w:highlight w:val="none"/>
          <w:u w:val="none"/>
        </w:rPr>
        <w:t>在同等条件下可优先续约。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运营资金</w:t>
      </w:r>
    </w:p>
    <w:p>
      <w:pPr>
        <w:numPr>
          <w:ilvl w:val="0"/>
          <w:numId w:val="0"/>
        </w:numPr>
        <w:spacing w:line="360" w:lineRule="exact"/>
        <w:ind w:firstLine="420" w:firstLineChars="200"/>
        <w:outlineLvl w:val="4"/>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运营方通过政府补助、向服务对象收取费用等途径获取运营资金。（运营方不得对入住残疾人以优惠、买断等任何名义和形式提前收取若干年的入住费用，收费期限最长为12个月。）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1.收费标准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（1）集中托养残疾人收费标准：符合集中托养条件且享受低保或困境儿童的入住残疾人，每月收取的托养服务费最高不超过当期每月政府公布的低保金、</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困境儿童补贴、</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困难残疾人生活补贴和重度残疾人护理补贴标准总和。能够享受长期护理险的对象，长期护理险给付资金分配由运营方和托养对象另行协商。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（2）其他残疾人收费标准：</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原则上</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不高于集中托养对象的平均费用</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具体标准报采购人同意后执行。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（3）其他人员收费标准：</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原则上</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不</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低于集中托养对象平均费用</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，具体价格由运营方与入住人员（或监护人）自行商议，并报县残联备案。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2.费用补助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（1）护理补贴：《浙江省</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民政</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厅 浙江省</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财</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政厅 浙江省残疾人联合会关于</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印发浙江省困难残疾人生活补贴和重度残疾人护理补贴实施办法</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的通知》(浙</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民福</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2021</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191</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号)标准执行，由县民政局直接拨付到运营方对公账户。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（2）县残联为支持</w:t>
      </w:r>
      <w:r>
        <w:rPr>
          <w:rFonts w:hint="eastAsia" w:asciiTheme="minorEastAsia" w:hAnsiTheme="minorEastAsia" w:eastAsiaTheme="minorEastAsia" w:cstheme="minorEastAsia"/>
          <w:b w:val="0"/>
          <w:bCs w:val="0"/>
          <w:color w:val="auto"/>
          <w:kern w:val="0"/>
          <w:sz w:val="21"/>
          <w:szCs w:val="21"/>
          <w:highlight w:val="none"/>
          <w:u w:val="none"/>
          <w:lang w:val="en-US" w:eastAsia="zh-CN"/>
        </w:rPr>
        <w:t>运营方</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对项目的建设运营，特为</w:t>
      </w:r>
      <w:r>
        <w:rPr>
          <w:rFonts w:hint="eastAsia" w:asciiTheme="minorEastAsia" w:hAnsiTheme="minorEastAsia" w:eastAsiaTheme="minorEastAsia" w:cstheme="minorEastAsia"/>
          <w:b w:val="0"/>
          <w:bCs w:val="0"/>
          <w:color w:val="auto"/>
          <w:kern w:val="0"/>
          <w:sz w:val="21"/>
          <w:szCs w:val="21"/>
          <w:highlight w:val="none"/>
          <w:u w:val="none"/>
          <w:lang w:val="en-US" w:eastAsia="zh-CN"/>
        </w:rPr>
        <w:t>运营方</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提供最多10万元/年作为运营经费奖励。县残联组织评估小组每年对</w:t>
      </w:r>
      <w:r>
        <w:rPr>
          <w:rFonts w:hint="eastAsia" w:asciiTheme="minorEastAsia" w:hAnsiTheme="minorEastAsia" w:eastAsiaTheme="minorEastAsia" w:cstheme="minorEastAsia"/>
          <w:b w:val="0"/>
          <w:bCs w:val="0"/>
          <w:color w:val="auto"/>
          <w:kern w:val="0"/>
          <w:sz w:val="21"/>
          <w:szCs w:val="21"/>
          <w:highlight w:val="none"/>
          <w:u w:val="none"/>
          <w:lang w:val="en-US" w:eastAsia="zh-CN"/>
        </w:rPr>
        <w:t>运营方</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进行一次财务审计及服务质量考核评估，根据评估结果对</w:t>
      </w:r>
      <w:r>
        <w:rPr>
          <w:rFonts w:hint="eastAsia" w:asciiTheme="minorEastAsia" w:hAnsiTheme="minorEastAsia" w:eastAsiaTheme="minorEastAsia" w:cstheme="minorEastAsia"/>
          <w:b w:val="0"/>
          <w:bCs w:val="0"/>
          <w:color w:val="auto"/>
          <w:kern w:val="0"/>
          <w:sz w:val="21"/>
          <w:szCs w:val="21"/>
          <w:highlight w:val="none"/>
          <w:u w:val="none"/>
          <w:lang w:val="en-US" w:eastAsia="zh-CN"/>
        </w:rPr>
        <w:t>运营方</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以相应比例拨付运营经费奖励。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5"/>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（1）集中托养人员的基本生活费主要用于伙食费、水电费、设施设备日常维保、教育就业、康复训练培训等支出。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（2）集中托养对象，社会托养及养老人员的费用支出应独立科目记账。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3）对收托持有残疾证的人员免收设施使用费；收住的其他人员，运营方须按实际收住的养老人员数计提600元人民币/人/年作为设施使用租赁费（不足一年的按月份折算）上缴残联专户，次年首季度结算支付上一年度的设施使用租赁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outlineLvl w:val="3"/>
        <w:rPr>
          <w:rFonts w:hint="eastAsia"/>
          <w:lang w:val="en-US" w:eastAsia="zh-CN"/>
        </w:rPr>
      </w:pP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（4）新添或超过使用年限且确已无法使用需更换的硬件设施设备(同类物品单笔5000元以上或单件2000元以上的，不含床上用品等生活必备品</w:t>
      </w:r>
      <w:r>
        <w:rPr>
          <w:rFonts w:hint="default"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和医疗设备</w:t>
      </w:r>
      <w:r>
        <w:rPr>
          <w:rFonts w:hint="eastAsia" w:asciiTheme="minorEastAsia" w:hAnsiTheme="minorEastAsia" w:eastAsiaTheme="minorEastAsia" w:cstheme="minorEastAsia"/>
          <w:b w:val="0"/>
          <w:bCs w:val="0"/>
          <w:color w:val="000000" w:themeColor="text1"/>
          <w:kern w:val="0"/>
          <w:sz w:val="21"/>
          <w:szCs w:val="21"/>
          <w:highlight w:val="none"/>
          <w:u w:val="none"/>
          <w:lang w:val="en-US" w:eastAsia="zh-CN"/>
          <w14:textFill>
            <w14:solidFill>
              <w14:schemeClr w14:val="tx1"/>
            </w14:solidFill>
          </w14:textFill>
        </w:rPr>
        <w:t>)费用由县残联负责，一般由运营方每年9月底前报送需求计划，县残联核准后次年安排一次预算和采购。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（四）人员要求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托养中心应配备与其服务范围相适应的管理人员、专业人员和护理人员。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专职管理人员不少于1名，后续按实际需求配备。（必须保证有1人全天24小时驻中心）。专职管理人员应从事过管理工作，具有社会工作类、社会福利类或康复类等相关学历、证书或经历；专职管理人员熟悉残疾人相关法律法规与政策，熟练掌握残疾人托养的基本知识、主要政策和专业知识；专职管理人员每年至少参加1次以上的残疾人托养服务管理的相关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2.配备专职（或兼职）医务人员1名。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3.康复专业人员、精神卫生医师、心理咨询和疏导人员等人员按实际需求配置（或兼职）。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4.常驻专职财务人员1名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5.配备专职消防管理员至少1名（持有相关资质证书，要确保全天24小时全天候驻中心）。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以上人员应具有本人身份证明、健康证明。对需持证上岗的岗位，应按有关法律法规规定持有效的从业资格和职业资格证书。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6.护理员。根据服务对象需求配备适宜的护理员，护理员与重度残疾托养服务对象的比例不低于1︰3。护理员中男女比例应根据实际情况配备。护理人员应接受过残疾人特殊生理与心理知识培训。每年至少参加乙方或专业培训机构举办的12学时以上的业务培训，熟练掌握相应的业务知识和岗位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7.至少配备1名经公安部门认可的安保人员（要求全天24小时值班）。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8.厨房工作人员按实际需求配置。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9.清洁卫生工作人员按实际需求配置（可外包）。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以上所有服务人员都应具有本人身份证明、健康证明，工作期间必须着工作装，挂胸牌。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（五）服务内容及要求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服务内容及要求参照《残疾人托养服务基本规范（试行）》（浙残联教就〔2014〕45号）和《就业年龄段智力、精神及重度肢体残疾人托养服务规范》（GB/T37516-2019）等文件规定执行，如政策有调整按新政策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3"/>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（六）运营要求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1.在合同运营宗旨、范围和期限内，依法自主运营。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2.在合同运营期限内从事残疾人服务运营活动，必须符合相关法律法规的规定条件和要求。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3.运营方应积极承担社会公益职能，</w:t>
      </w:r>
      <w:r>
        <w:rPr>
          <w:rFonts w:hint="default" w:asciiTheme="minorEastAsia" w:hAnsiTheme="minorEastAsia" w:eastAsiaTheme="minorEastAsia" w:cstheme="minorEastAsia"/>
          <w:b w:val="0"/>
          <w:bCs w:val="0"/>
          <w:color w:val="auto"/>
          <w:kern w:val="0"/>
          <w:sz w:val="21"/>
          <w:szCs w:val="21"/>
          <w:highlight w:val="none"/>
          <w:u w:val="none"/>
          <w:lang w:val="en-US" w:eastAsia="zh-CN"/>
        </w:rPr>
        <w:t>不定期开展公益活动。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4.在合同运营期限内承担残疾人托养中心运营活动的全部成本，包括人力成本（人员工资、福利、各项社会保险费、节假日加班费、服装、劳保用品、防护用品等）、办公成本（宽带费、电话费、电视费、办公耗材、交通费、消防监控等设备维保费等）、能耗成本（水电费等）、物业费（安保费、物业费等）、活动经费（组织活动费、人员培训费、教学资料费、授课费等），以及其他各项税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5.有完整的中心日常管理、合理设置内部机构、活动质量控制、活动质量监督、人员考核奖惩、资产管理、财务管理、活动规范、培训、值班、卫生、安全、消防安全、食品卫生、突发事件应急预案、责任人及责任追究等制度，并上墙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6.严格按照劳动法律法规的要求，规范用工，按法律法规要求缴纳各项社会保险等。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7.对原由县残联提供的已登记造册各项设施、设备使用中出现损坏或报废等情况申报和理赔作出规定。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8.自觉接受相关部门的行业管理和财政、公安消防、食品卫生、环保、安全等部门监管，并承担相应的法律责任。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9.在委托运营期间，承担在中心内活动的残疾人日常管理以及相关的纠纷和安全管理，独立承担有关经济、民事及安全等各类责任(含全部的法律责任)。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10.在委托运营期间，须购买机构综合责任险。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11.不得擅自改变建筑物结构。若因运营需要改变装修或改扩建的，应书面报送甲方同意、备案，并明确经费承担。运营期间及服务期届满后，所有固定物及设备设施等（不含由运营方自投的医疗设备）均归甲方所有，乙方不得破坏、拆除、带走、抵押、出借或出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12.不得利用托养中心场地从事生产、销售、经营国家规定的违禁品，不得从事任何违法活动。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13.不得将运营权向第三方进行转让、转包、分包、担保、保证、抵押或其他有损害委托方权益的行为。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14.积极承担县残联有关社会福利事业发展任务。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5"/>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（七）服务质量评估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服务质量评估：根据运营管理服务质量要求和运营方承诺内容，由县残联按照相关规定组织实施托养机构运营服务质量评估。运营方对存在的问题，应按县残联要求及时整改落实到位。浙残联发〔2018〕2号《关于开展重度残疾人托养照护服务质量评估工作的指导意见》等文件规定是进行服务质量评估的主要依据，双方应当严格遵照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（2)服务质量评估周期及方式： 由县残联组织评估小组每年对运营方运营情况进行一次</w:t>
      </w:r>
      <w:r>
        <w:rPr>
          <w:rFonts w:hint="eastAsia" w:ascii="宋体" w:hAnsi="宋体" w:eastAsia="宋体" w:cs="宋体"/>
          <w:color w:val="auto"/>
          <w:kern w:val="0"/>
          <w:sz w:val="24"/>
          <w:szCs w:val="24"/>
        </w:rPr>
        <w:t>财务审计及</w:t>
      </w:r>
      <w:r>
        <w:rPr>
          <w:rFonts w:hint="eastAsia" w:asciiTheme="minorEastAsia" w:hAnsiTheme="minorEastAsia" w:eastAsiaTheme="minorEastAsia" w:cstheme="minorEastAsia"/>
          <w:b w:val="0"/>
          <w:bCs w:val="0"/>
          <w:color w:val="auto"/>
          <w:kern w:val="0"/>
          <w:sz w:val="21"/>
          <w:szCs w:val="21"/>
          <w:highlight w:val="none"/>
          <w:u w:val="none"/>
          <w:lang w:val="en-US" w:eastAsia="zh-CN"/>
        </w:rPr>
        <w:t>服务质量考核评估。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(3） 服务质量评估等级 ：评估总分为100分，综合评分在80分及以上为优秀等次，70—79分为良好，60—69分为合格，60分以下为不合格。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kern w:val="0"/>
          <w:sz w:val="21"/>
          <w:szCs w:val="21"/>
          <w:highlight w:val="red"/>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5"/>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2.评估结果运用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（1）评估结果为优秀的，奖励</w:t>
      </w:r>
      <w:r>
        <w:rPr>
          <w:rFonts w:hint="default" w:asciiTheme="minorEastAsia" w:hAnsiTheme="minorEastAsia" w:eastAsiaTheme="minorEastAsia" w:cstheme="minorEastAsia"/>
          <w:b w:val="0"/>
          <w:bCs w:val="0"/>
          <w:color w:val="auto"/>
          <w:kern w:val="0"/>
          <w:sz w:val="21"/>
          <w:szCs w:val="21"/>
          <w:highlight w:val="none"/>
          <w:u w:val="none"/>
          <w:lang w:val="en-US" w:eastAsia="zh-CN"/>
        </w:rPr>
        <w:t>10</w:t>
      </w:r>
      <w:r>
        <w:rPr>
          <w:rFonts w:hint="eastAsia" w:asciiTheme="minorEastAsia" w:hAnsiTheme="minorEastAsia" w:eastAsiaTheme="minorEastAsia" w:cstheme="minorEastAsia"/>
          <w:b w:val="0"/>
          <w:bCs w:val="0"/>
          <w:color w:val="auto"/>
          <w:kern w:val="0"/>
          <w:sz w:val="21"/>
          <w:szCs w:val="21"/>
          <w:highlight w:val="none"/>
          <w:u w:val="none"/>
          <w:lang w:val="en-US" w:eastAsia="zh-CN"/>
        </w:rPr>
        <w:t>万元运营经费；评估结果为良好的，奖励</w:t>
      </w:r>
      <w:r>
        <w:rPr>
          <w:rFonts w:hint="default" w:asciiTheme="minorEastAsia" w:hAnsiTheme="minorEastAsia" w:eastAsiaTheme="minorEastAsia" w:cstheme="minorEastAsia"/>
          <w:b w:val="0"/>
          <w:bCs w:val="0"/>
          <w:color w:val="auto"/>
          <w:kern w:val="0"/>
          <w:sz w:val="21"/>
          <w:szCs w:val="21"/>
          <w:highlight w:val="none"/>
          <w:u w:val="none"/>
          <w:lang w:val="en-US" w:eastAsia="zh-CN"/>
        </w:rPr>
        <w:t>5</w:t>
      </w:r>
      <w:r>
        <w:rPr>
          <w:rFonts w:hint="eastAsia" w:asciiTheme="minorEastAsia" w:hAnsiTheme="minorEastAsia" w:eastAsiaTheme="minorEastAsia" w:cstheme="minorEastAsia"/>
          <w:b w:val="0"/>
          <w:bCs w:val="0"/>
          <w:color w:val="auto"/>
          <w:kern w:val="0"/>
          <w:sz w:val="21"/>
          <w:szCs w:val="21"/>
          <w:highlight w:val="none"/>
          <w:u w:val="none"/>
          <w:lang w:val="en-US" w:eastAsia="zh-CN"/>
        </w:rPr>
        <w:t>万元运营经费；评估结果</w:t>
      </w:r>
      <w:r>
        <w:rPr>
          <w:rFonts w:hint="default" w:asciiTheme="minorEastAsia" w:hAnsiTheme="minorEastAsia" w:eastAsiaTheme="minorEastAsia" w:cstheme="minorEastAsia"/>
          <w:b w:val="0"/>
          <w:bCs w:val="0"/>
          <w:color w:val="auto"/>
          <w:kern w:val="0"/>
          <w:sz w:val="21"/>
          <w:szCs w:val="21"/>
          <w:highlight w:val="none"/>
          <w:u w:val="none"/>
          <w:lang w:val="en-US" w:eastAsia="zh-CN"/>
        </w:rPr>
        <w:t>为合格的,不予奖励；</w:t>
      </w:r>
      <w:r>
        <w:rPr>
          <w:rFonts w:hint="eastAsia" w:asciiTheme="minorEastAsia" w:hAnsiTheme="minorEastAsia" w:eastAsiaTheme="minorEastAsia" w:cstheme="minorEastAsia"/>
          <w:b w:val="0"/>
          <w:bCs w:val="0"/>
          <w:color w:val="auto"/>
          <w:kern w:val="0"/>
          <w:sz w:val="21"/>
          <w:szCs w:val="21"/>
          <w:highlight w:val="none"/>
          <w:u w:val="none"/>
          <w:lang w:val="en-US" w:eastAsia="zh-CN"/>
        </w:rPr>
        <w:t>运营方运营管理未达到托养机构管理标准或运营方服务质量不合格，经整改后仍不符合双方签订的服务质量要求的，县残联有权书面通知运营方单方解除合同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（2）如果服务期内的综合质量考评结果在良好等次及以上的，运营到期前经双方协商，在同等条件下可优先续约。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u w:val="none"/>
          <w:lang w:val="en-US" w:eastAsia="zh-CN"/>
        </w:rPr>
      </w:pPr>
      <w:r>
        <w:rPr>
          <w:rFonts w:hint="eastAsia" w:asciiTheme="minorEastAsia" w:hAnsiTheme="minorEastAsia" w:eastAsiaTheme="minorEastAsia" w:cstheme="minorEastAsia"/>
          <w:b/>
          <w:bCs/>
          <w:color w:val="auto"/>
          <w:kern w:val="0"/>
          <w:sz w:val="21"/>
          <w:szCs w:val="21"/>
          <w:highlight w:val="none"/>
          <w:u w:val="none"/>
          <w:lang w:val="en-US" w:eastAsia="zh-CN"/>
        </w:rPr>
        <w:t>（八）运营投入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1.收托社会托养或养老人员，运营方需计提600元人民币/人/年作为设施使用租赁费，上缴财政专户。对收托持有残疾证的社会人员免收设施使用费。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2.其他运营费用详见基本要求内容。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3.租金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（1）县残联按年向托养中心运营方收取托养中心租金。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u w:val="none"/>
          <w:lang w:val="en-US" w:eastAsia="zh-CN"/>
        </w:rPr>
      </w:pPr>
      <w:r>
        <w:rPr>
          <w:rFonts w:hint="eastAsia" w:asciiTheme="minorEastAsia" w:hAnsiTheme="minorEastAsia" w:eastAsiaTheme="minorEastAsia" w:cstheme="minorEastAsia"/>
          <w:b w:val="0"/>
          <w:bCs w:val="0"/>
          <w:color w:val="auto"/>
          <w:kern w:val="0"/>
          <w:sz w:val="21"/>
          <w:szCs w:val="21"/>
          <w:highlight w:val="none"/>
          <w:u w:val="none"/>
          <w:lang w:val="en-US" w:eastAsia="zh-CN"/>
        </w:rPr>
        <w:t>（2）托养中心交付使用之日起的第1年至第5年每年的租金为5万元，（</w:t>
      </w:r>
      <w:r>
        <w:rPr>
          <w:rFonts w:hint="eastAsia" w:asciiTheme="minorEastAsia" w:hAnsiTheme="minorEastAsia" w:eastAsiaTheme="minorEastAsia" w:cstheme="minorEastAsia"/>
          <w:b/>
          <w:bCs/>
          <w:color w:val="auto"/>
          <w:kern w:val="0"/>
          <w:sz w:val="21"/>
          <w:szCs w:val="21"/>
          <w:highlight w:val="none"/>
          <w:u w:val="none"/>
          <w:lang w:val="en-US" w:eastAsia="zh-CN"/>
        </w:rPr>
        <w:t>第1年、第2年每年平均托养人数若少于50人，前2年每年租金为1万元）</w:t>
      </w:r>
      <w:r>
        <w:rPr>
          <w:rFonts w:hint="eastAsia" w:asciiTheme="minorEastAsia" w:hAnsiTheme="minorEastAsia" w:eastAsiaTheme="minorEastAsia" w:cstheme="minorEastAsia"/>
          <w:b w:val="0"/>
          <w:bCs w:val="0"/>
          <w:color w:val="auto"/>
          <w:kern w:val="0"/>
          <w:sz w:val="21"/>
          <w:szCs w:val="21"/>
          <w:highlight w:val="none"/>
          <w:u w:val="none"/>
          <w:lang w:val="en-US" w:eastAsia="zh-CN"/>
        </w:rPr>
        <w:t>；第6年至第10年每年的租金为10万元。第11年至第15年每年的租金为15万元。在签订合同前运营方向县残联支付履约保证金为40万元，允许采取银行保函等方式缴纳。</w:t>
      </w:r>
    </w:p>
    <w:p>
      <w:pPr>
        <w:pStyle w:val="27"/>
        <w:rPr>
          <w:rFonts w:hint="default"/>
          <w:lang w:val="en-US" w:eastAsia="zh-CN"/>
        </w:rPr>
      </w:pPr>
    </w:p>
    <w:p>
      <w:pPr>
        <w:rPr>
          <w:rFonts w:hint="eastAsia" w:ascii="宋体" w:hAnsi="宋体" w:eastAsia="宋体" w:cs="宋体"/>
          <w:color w:val="auto"/>
          <w:kern w:val="0"/>
          <w:sz w:val="21"/>
          <w:szCs w:val="21"/>
        </w:rPr>
      </w:pPr>
    </w:p>
    <w:p>
      <w:pPr>
        <w:pStyle w:val="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3"/>
        <w:pageBreakBefore w:val="0"/>
        <w:tabs>
          <w:tab w:val="left" w:pos="1080"/>
        </w:tabs>
        <w:kinsoku/>
        <w:overflowPunct/>
        <w:topLinePunct w:val="0"/>
        <w:bidi w:val="0"/>
        <w:spacing w:line="400" w:lineRule="exact"/>
        <w:ind w:firstLine="0" w:firstLineChars="0"/>
        <w:jc w:val="both"/>
        <w:outlineLvl w:val="0"/>
        <w:rPr>
          <w:rStyle w:val="28"/>
          <w:rFonts w:hint="eastAsia" w:asciiTheme="minorEastAsia" w:hAnsiTheme="minorEastAsia" w:eastAsiaTheme="minorEastAsia" w:cstheme="minorEastAsia"/>
          <w:b/>
          <w:bCs w:val="0"/>
          <w:color w:val="auto"/>
          <w:sz w:val="24"/>
          <w:szCs w:val="24"/>
          <w:lang w:val="en-US" w:eastAsia="zh-CN" w:bidi="ar-SA"/>
        </w:rPr>
      </w:pPr>
      <w:bookmarkStart w:id="10" w:name="_Toc31094"/>
      <w:bookmarkStart w:id="11" w:name="_Toc391969408"/>
    </w:p>
    <w:p>
      <w:pPr>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27"/>
        <w:rPr>
          <w:rStyle w:val="28"/>
          <w:rFonts w:hint="eastAsia" w:asciiTheme="minorEastAsia" w:hAnsiTheme="minorEastAsia" w:eastAsiaTheme="minorEastAsia" w:cstheme="minorEastAsia"/>
          <w:b/>
          <w:bCs w:val="0"/>
          <w:color w:val="auto"/>
          <w:sz w:val="24"/>
          <w:szCs w:val="24"/>
          <w:lang w:val="en-US" w:eastAsia="zh-CN" w:bidi="ar-SA"/>
        </w:rPr>
      </w:pPr>
    </w:p>
    <w:p>
      <w:pPr>
        <w:pStyle w:val="11"/>
        <w:numPr>
          <w:ilvl w:val="0"/>
          <w:numId w:val="0"/>
        </w:numPr>
        <w:ind w:left="420" w:leftChars="0"/>
        <w:rPr>
          <w:rFonts w:hint="eastAsia"/>
          <w:lang w:val="en-US" w:eastAsia="zh-CN"/>
        </w:rPr>
      </w:pPr>
    </w:p>
    <w:p>
      <w:pPr>
        <w:rPr>
          <w:rFonts w:hint="eastAsia"/>
          <w:color w:val="auto"/>
          <w:lang w:val="en-US" w:eastAsia="zh-CN"/>
        </w:rPr>
      </w:pPr>
    </w:p>
    <w:p>
      <w:pPr>
        <w:pStyle w:val="3"/>
        <w:pageBreakBefore w:val="0"/>
        <w:tabs>
          <w:tab w:val="left" w:pos="1080"/>
        </w:tabs>
        <w:kinsoku/>
        <w:overflowPunct/>
        <w:topLinePunct w:val="0"/>
        <w:bidi w:val="0"/>
        <w:spacing w:line="400" w:lineRule="exact"/>
        <w:ind w:firstLine="0" w:firstLineChars="0"/>
        <w:jc w:val="center"/>
        <w:outlineLvl w:val="0"/>
        <w:rPr>
          <w:rFonts w:hint="eastAsia" w:asciiTheme="minorEastAsia" w:hAnsiTheme="minorEastAsia" w:eastAsiaTheme="minorEastAsia" w:cstheme="minorEastAsia"/>
          <w:color w:val="auto"/>
          <w:sz w:val="24"/>
          <w:szCs w:val="24"/>
        </w:rPr>
      </w:pPr>
      <w:r>
        <w:rPr>
          <w:rStyle w:val="28"/>
          <w:rFonts w:hint="eastAsia" w:asciiTheme="minorEastAsia" w:hAnsiTheme="minorEastAsia" w:eastAsiaTheme="minorEastAsia" w:cstheme="minorEastAsia"/>
          <w:b/>
          <w:bCs w:val="0"/>
          <w:color w:val="auto"/>
          <w:sz w:val="24"/>
          <w:szCs w:val="24"/>
          <w:lang w:val="en-US" w:eastAsia="zh-CN" w:bidi="ar-SA"/>
        </w:rPr>
        <w:t>第三章  供应商须知</w:t>
      </w:r>
      <w:bookmarkEnd w:id="10"/>
    </w:p>
    <w:p>
      <w:pPr>
        <w:pStyle w:val="3"/>
        <w:pageBreakBefore w:val="0"/>
        <w:tabs>
          <w:tab w:val="left" w:pos="1080"/>
        </w:tabs>
        <w:kinsoku/>
        <w:overflowPunct/>
        <w:topLinePunct w:val="0"/>
        <w:bidi w:val="0"/>
        <w:spacing w:line="400" w:lineRule="exact"/>
        <w:ind w:firstLine="0" w:firstLineChars="0"/>
        <w:jc w:val="center"/>
        <w:outlineLvl w:val="1"/>
        <w:rPr>
          <w:rFonts w:hint="eastAsia" w:ascii="宋体" w:hAnsi="宋体" w:eastAsia="宋体" w:cs="宋体"/>
          <w:color w:val="auto"/>
          <w:sz w:val="21"/>
          <w:szCs w:val="21"/>
        </w:rPr>
      </w:pPr>
      <w:bookmarkStart w:id="12" w:name="_Toc2193"/>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 xml:space="preserve">  供应商须知前列表</w:t>
      </w:r>
      <w:bookmarkEnd w:id="11"/>
      <w:bookmarkEnd w:id="12"/>
    </w:p>
    <w:tbl>
      <w:tblPr>
        <w:tblStyle w:val="23"/>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061"/>
        <w:gridCol w:w="1532"/>
        <w:gridCol w:w="4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top w:val="double" w:color="auto" w:sz="4" w:space="0"/>
              <w:left w:val="doub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bCs/>
                <w:snapToGrid w:val="0"/>
                <w:color w:val="auto"/>
                <w:sz w:val="21"/>
                <w:szCs w:val="21"/>
              </w:rPr>
              <w:t>项目名称</w:t>
            </w:r>
          </w:p>
        </w:tc>
        <w:tc>
          <w:tcPr>
            <w:tcW w:w="7760" w:type="dxa"/>
            <w:gridSpan w:val="3"/>
            <w:tcBorders>
              <w:top w:val="doub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cs="宋体"/>
                <w:color w:val="auto"/>
                <w:sz w:val="21"/>
                <w:szCs w:val="21"/>
                <w:lang w:eastAsia="zh-CN"/>
              </w:rPr>
              <w:t>青田县残疾人托养中心委托运营管理项目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top w:val="sing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color w:val="auto"/>
                <w:sz w:val="21"/>
                <w:szCs w:val="21"/>
              </w:rPr>
              <w:t>采购编号</w:t>
            </w:r>
          </w:p>
        </w:tc>
        <w:tc>
          <w:tcPr>
            <w:tcW w:w="7760" w:type="dxa"/>
            <w:gridSpan w:val="3"/>
            <w:tcBorders>
              <w:top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eastAsia="zh-CN"/>
              </w:rPr>
              <w:t>ZJHTZXCG2024-0</w:t>
            </w:r>
            <w:r>
              <w:rPr>
                <w:rFonts w:hint="eastAsia" w:ascii="宋体" w:hAnsi="宋体" w:cs="宋体"/>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采购代理机构</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浙江惠同建设工程管理有限公司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21" w:firstLineChars="247"/>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联系人</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徐秋静</w:t>
            </w:r>
          </w:p>
        </w:tc>
        <w:tc>
          <w:tcPr>
            <w:tcW w:w="15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rPr>
              <w:t>联系电话</w:t>
            </w:r>
          </w:p>
        </w:tc>
        <w:tc>
          <w:tcPr>
            <w:tcW w:w="4167" w:type="dxa"/>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15005783895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采购方式</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竞争性磋商</w:t>
            </w:r>
          </w:p>
        </w:tc>
        <w:tc>
          <w:tcPr>
            <w:tcW w:w="153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rPr>
              <w:t>组织方式</w:t>
            </w:r>
          </w:p>
        </w:tc>
        <w:tc>
          <w:tcPr>
            <w:tcW w:w="4167" w:type="dxa"/>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委托中介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资格审查方式</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lang w:val="en-US" w:eastAsia="zh-CN"/>
              </w:rPr>
            </w:pPr>
            <w:r>
              <w:rPr>
                <w:rFonts w:hint="eastAsia" w:ascii="宋体" w:hAnsi="宋体" w:eastAsia="宋体" w:cs="宋体"/>
                <w:b/>
                <w:bCs/>
                <w:snapToGrid w:val="0"/>
                <w:color w:val="auto"/>
                <w:sz w:val="21"/>
                <w:szCs w:val="21"/>
                <w:lang w:val="en-US" w:eastAsia="zh-CN"/>
              </w:rPr>
              <w:t>现场勘察</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lang w:eastAsia="zh-CN"/>
              </w:rPr>
            </w:pPr>
            <w:r>
              <w:rPr>
                <w:rFonts w:hint="eastAsia" w:ascii="宋体" w:hAnsi="宋体" w:eastAsia="宋体" w:cs="宋体"/>
                <w:bCs/>
                <w:snapToGrid w:val="0"/>
                <w:color w:val="auto"/>
                <w:sz w:val="21"/>
                <w:szCs w:val="21"/>
                <w:lang w:eastAsia="zh-CN"/>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lang w:val="en-US" w:eastAsia="zh-CN"/>
              </w:rPr>
            </w:pPr>
            <w:r>
              <w:rPr>
                <w:rFonts w:hint="eastAsia" w:ascii="宋体" w:hAnsi="宋体" w:eastAsia="宋体" w:cs="宋体"/>
                <w:b/>
                <w:bCs/>
                <w:snapToGrid w:val="0"/>
                <w:color w:val="auto"/>
                <w:sz w:val="21"/>
                <w:szCs w:val="21"/>
                <w:lang w:val="en-US" w:eastAsia="zh-CN"/>
              </w:rPr>
              <w:t>联合体</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lang w:eastAsia="zh-CN"/>
              </w:rPr>
            </w:pPr>
            <w:r>
              <w:rPr>
                <w:rFonts w:hint="eastAsia" w:ascii="宋体" w:hAnsi="宋体" w:eastAsia="宋体" w:cs="宋体"/>
                <w:bCs/>
                <w:snapToGrid w:val="0"/>
                <w:color w:val="auto"/>
                <w:sz w:val="21"/>
                <w:szCs w:val="21"/>
                <w:lang w:eastAsia="zh-CN"/>
              </w:rPr>
              <w:t>接受</w:t>
            </w:r>
            <w:r>
              <w:rPr>
                <w:rFonts w:hint="eastAsia" w:ascii="宋体" w:hAnsi="宋体" w:cs="宋体"/>
                <w:bCs/>
                <w:snapToGrid w:val="0"/>
                <w:color w:val="auto"/>
                <w:sz w:val="21"/>
                <w:szCs w:val="21"/>
                <w:lang w:eastAsia="zh-CN"/>
              </w:rPr>
              <w:t>，具体详见磋商公告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磋商有效期</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磋商截止日后90天内有效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响应文件份数</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资格审查文件、资信商务及技术文件、报价文件各正本一份、副本</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auto"/>
                <w:sz w:val="21"/>
                <w:szCs w:val="21"/>
              </w:rPr>
            </w:pPr>
            <w:r>
              <w:rPr>
                <w:rFonts w:hint="eastAsia" w:ascii="宋体" w:hAnsi="宋体" w:eastAsia="宋体" w:cs="宋体"/>
                <w:b/>
                <w:bCs/>
                <w:snapToGrid w:val="0"/>
                <w:color w:val="auto"/>
                <w:sz w:val="21"/>
                <w:szCs w:val="21"/>
              </w:rPr>
              <w:t>磋商文件质疑</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供应商认为磋商文件使自己的权益受到损害的，可以自获取磋商文件之日（获取截止日之后获取磋商文件的，以获取截止日为准）或者磋商文件公告期限届满之日（采购公告届满日为公告发布后的第4个工作日）起7个工作日内，以书面形式向采购人和采购代理机构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磋商文件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递交方式</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递交至：</w:t>
            </w:r>
            <w:r>
              <w:rPr>
                <w:rFonts w:hint="eastAsia" w:ascii="宋体" w:hAnsi="宋体" w:eastAsia="宋体" w:cs="宋体"/>
                <w:color w:val="auto"/>
                <w:sz w:val="21"/>
                <w:szCs w:val="21"/>
                <w:lang w:eastAsia="zh-CN"/>
              </w:rPr>
              <w:t>青田县瓯南街道百悦城5幢（华侨总部经济大楼）12楼1201招投标中心开标室（ 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接收人：</w:t>
            </w:r>
            <w:r>
              <w:rPr>
                <w:rFonts w:hint="eastAsia" w:ascii="宋体" w:hAnsi="宋体" w:cs="宋体"/>
                <w:color w:val="auto"/>
                <w:sz w:val="21"/>
                <w:szCs w:val="21"/>
                <w:lang w:eastAsia="zh-CN"/>
              </w:rPr>
              <w:t>浙江惠同建设工程管理有限公司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bCs/>
                <w:color w:val="auto"/>
                <w:sz w:val="21"/>
                <w:szCs w:val="21"/>
                <w:u w:val="single"/>
                <w:lang w:val="en-US" w:eastAsia="zh-CN"/>
              </w:rPr>
            </w:pPr>
            <w:r>
              <w:rPr>
                <w:rFonts w:hint="eastAsia" w:ascii="宋体" w:hAnsi="宋体" w:eastAsia="宋体" w:cs="宋体"/>
                <w:b/>
                <w:color w:val="auto"/>
                <w:sz w:val="21"/>
                <w:szCs w:val="21"/>
                <w:u w:val="single"/>
              </w:rPr>
              <w:t>递交响应文件截止时间：202</w:t>
            </w:r>
            <w:r>
              <w:rPr>
                <w:rFonts w:hint="eastAsia" w:ascii="宋体" w:hAnsi="宋体" w:cs="宋体"/>
                <w:b/>
                <w:color w:val="auto"/>
                <w:sz w:val="21"/>
                <w:szCs w:val="21"/>
                <w:u w:val="single"/>
                <w:lang w:val="en-US" w:eastAsia="zh-CN"/>
              </w:rPr>
              <w:t>4</w:t>
            </w:r>
            <w:r>
              <w:rPr>
                <w:rFonts w:hint="eastAsia" w:ascii="宋体" w:hAnsi="宋体" w:eastAsia="宋体" w:cs="宋体"/>
                <w:b/>
                <w:color w:val="auto"/>
                <w:sz w:val="21"/>
                <w:szCs w:val="21"/>
                <w:u w:val="single"/>
              </w:rPr>
              <w:t>年</w:t>
            </w:r>
            <w:r>
              <w:rPr>
                <w:rFonts w:hint="eastAsia" w:ascii="宋体" w:hAnsi="宋体" w:cs="宋体"/>
                <w:b/>
                <w:color w:val="auto"/>
                <w:sz w:val="21"/>
                <w:szCs w:val="21"/>
                <w:u w:val="single"/>
                <w:lang w:val="en-US" w:eastAsia="zh-CN"/>
              </w:rPr>
              <w:t>5</w:t>
            </w:r>
            <w:r>
              <w:rPr>
                <w:rFonts w:hint="eastAsia" w:ascii="宋体" w:hAnsi="宋体" w:eastAsia="宋体" w:cs="宋体"/>
                <w:b/>
                <w:color w:val="auto"/>
                <w:sz w:val="21"/>
                <w:szCs w:val="21"/>
                <w:u w:val="single"/>
              </w:rPr>
              <w:t>月</w:t>
            </w:r>
            <w:r>
              <w:rPr>
                <w:rFonts w:hint="eastAsia" w:ascii="宋体" w:hAnsi="宋体" w:cs="宋体"/>
                <w:b/>
                <w:color w:val="auto"/>
                <w:sz w:val="21"/>
                <w:szCs w:val="21"/>
                <w:u w:val="single"/>
                <w:lang w:val="en-US" w:eastAsia="zh-CN"/>
              </w:rPr>
              <w:t>24</w:t>
            </w:r>
            <w:r>
              <w:rPr>
                <w:rFonts w:hint="eastAsia" w:ascii="宋体" w:hAnsi="宋体" w:eastAsia="宋体" w:cs="宋体"/>
                <w:b/>
                <w:color w:val="auto"/>
                <w:sz w:val="21"/>
                <w:szCs w:val="21"/>
                <w:u w:val="single"/>
              </w:rPr>
              <w:t>日</w:t>
            </w:r>
            <w:r>
              <w:rPr>
                <w:rFonts w:hint="eastAsia" w:ascii="宋体" w:hAnsi="宋体" w:cs="宋体"/>
                <w:b/>
                <w:color w:val="auto"/>
                <w:sz w:val="21"/>
                <w:szCs w:val="21"/>
                <w:u w:val="single"/>
                <w:lang w:val="en-US" w:eastAsia="zh-CN"/>
              </w:rPr>
              <w:t>上</w:t>
            </w:r>
            <w:r>
              <w:rPr>
                <w:rFonts w:hint="eastAsia" w:ascii="宋体" w:hAnsi="宋体" w:eastAsia="宋体" w:cs="宋体"/>
                <w:b/>
                <w:color w:val="auto"/>
                <w:sz w:val="21"/>
                <w:szCs w:val="21"/>
                <w:u w:val="single"/>
              </w:rPr>
              <w:t>午</w:t>
            </w:r>
            <w:r>
              <w:rPr>
                <w:rFonts w:hint="eastAsia" w:ascii="宋体" w:hAnsi="宋体" w:cs="宋体"/>
                <w:b/>
                <w:color w:val="auto"/>
                <w:sz w:val="21"/>
                <w:szCs w:val="21"/>
                <w:u w:val="single"/>
                <w:lang w:val="en-US" w:eastAsia="zh-CN"/>
              </w:rPr>
              <w:t>9</w:t>
            </w:r>
            <w:r>
              <w:rPr>
                <w:rFonts w:hint="eastAsia" w:ascii="宋体" w:hAnsi="宋体" w:eastAsia="宋体" w:cs="宋体"/>
                <w:b/>
                <w:color w:val="auto"/>
                <w:sz w:val="21"/>
                <w:szCs w:val="21"/>
                <w:u w:val="single"/>
              </w:rPr>
              <w:t>时</w:t>
            </w:r>
            <w:r>
              <w:rPr>
                <w:rFonts w:hint="eastAsia" w:ascii="宋体" w:hAnsi="宋体" w:cs="宋体"/>
                <w:b/>
                <w:color w:val="auto"/>
                <w:sz w:val="21"/>
                <w:szCs w:val="21"/>
                <w:u w:val="single"/>
                <w:lang w:val="en-US" w:eastAsia="zh-CN"/>
              </w:rPr>
              <w:t>00</w:t>
            </w:r>
            <w:r>
              <w:rPr>
                <w:rFonts w:hint="eastAsia" w:ascii="宋体" w:hAnsi="宋体" w:eastAsia="宋体" w:cs="宋体"/>
                <w:b/>
                <w:color w:val="auto"/>
                <w:sz w:val="21"/>
                <w:szCs w:val="21"/>
                <w:u w:val="single"/>
              </w:rPr>
              <w:t>分</w:t>
            </w:r>
            <w:r>
              <w:rPr>
                <w:rFonts w:hint="eastAsia" w:ascii="宋体" w:hAnsi="宋体" w:eastAsia="宋体" w:cs="宋体"/>
                <w:b/>
                <w:color w:val="auto"/>
                <w:sz w:val="21"/>
                <w:szCs w:val="21"/>
                <w:u w:val="single"/>
                <w:lang w:val="en-US" w:eastAsia="zh-CN"/>
              </w:rPr>
              <w:t>00秒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磋商评定</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color w:val="auto"/>
                <w:sz w:val="21"/>
                <w:szCs w:val="21"/>
                <w:u w:val="single"/>
              </w:rPr>
            </w:pPr>
            <w:r>
              <w:rPr>
                <w:rFonts w:hint="eastAsia" w:ascii="宋体" w:hAnsi="宋体" w:eastAsia="宋体" w:cs="宋体"/>
                <w:b/>
                <w:color w:val="auto"/>
                <w:sz w:val="21"/>
                <w:szCs w:val="21"/>
                <w:u w:val="single"/>
              </w:rPr>
              <w:t>时间：202</w:t>
            </w:r>
            <w:r>
              <w:rPr>
                <w:rFonts w:hint="eastAsia" w:ascii="宋体" w:hAnsi="宋体" w:cs="宋体"/>
                <w:b/>
                <w:color w:val="auto"/>
                <w:sz w:val="21"/>
                <w:szCs w:val="21"/>
                <w:u w:val="single"/>
                <w:lang w:val="en-US" w:eastAsia="zh-CN"/>
              </w:rPr>
              <w:t>4</w:t>
            </w:r>
            <w:r>
              <w:rPr>
                <w:rFonts w:hint="eastAsia" w:ascii="宋体" w:hAnsi="宋体" w:eastAsia="宋体" w:cs="宋体"/>
                <w:b/>
                <w:color w:val="auto"/>
                <w:sz w:val="21"/>
                <w:szCs w:val="21"/>
                <w:u w:val="single"/>
              </w:rPr>
              <w:t>年</w:t>
            </w:r>
            <w:r>
              <w:rPr>
                <w:rFonts w:hint="eastAsia" w:ascii="宋体" w:hAnsi="宋体" w:cs="宋体"/>
                <w:b/>
                <w:color w:val="auto"/>
                <w:sz w:val="21"/>
                <w:szCs w:val="21"/>
                <w:u w:val="single"/>
                <w:lang w:val="en-US" w:eastAsia="zh-CN"/>
              </w:rPr>
              <w:t xml:space="preserve"> 5 </w:t>
            </w:r>
            <w:r>
              <w:rPr>
                <w:rFonts w:hint="eastAsia" w:ascii="宋体" w:hAnsi="宋体" w:eastAsia="宋体" w:cs="宋体"/>
                <w:b/>
                <w:color w:val="auto"/>
                <w:sz w:val="21"/>
                <w:szCs w:val="21"/>
                <w:u w:val="single"/>
              </w:rPr>
              <w:t>月</w:t>
            </w:r>
            <w:r>
              <w:rPr>
                <w:rFonts w:hint="eastAsia" w:ascii="宋体" w:hAnsi="宋体" w:cs="宋体"/>
                <w:b/>
                <w:color w:val="auto"/>
                <w:sz w:val="21"/>
                <w:szCs w:val="21"/>
                <w:u w:val="single"/>
                <w:lang w:val="en-US" w:eastAsia="zh-CN"/>
              </w:rPr>
              <w:t xml:space="preserve"> 24 </w:t>
            </w:r>
            <w:r>
              <w:rPr>
                <w:rFonts w:hint="eastAsia" w:ascii="宋体" w:hAnsi="宋体" w:eastAsia="宋体" w:cs="宋体"/>
                <w:b/>
                <w:color w:val="auto"/>
                <w:sz w:val="21"/>
                <w:szCs w:val="21"/>
                <w:u w:val="single"/>
              </w:rPr>
              <w:t>日</w:t>
            </w:r>
            <w:r>
              <w:rPr>
                <w:rFonts w:hint="eastAsia" w:ascii="宋体" w:hAnsi="宋体" w:cs="宋体"/>
                <w:b/>
                <w:color w:val="auto"/>
                <w:sz w:val="21"/>
                <w:szCs w:val="21"/>
                <w:u w:val="single"/>
                <w:lang w:val="en-US" w:eastAsia="zh-CN"/>
              </w:rPr>
              <w:t>上</w:t>
            </w:r>
            <w:r>
              <w:rPr>
                <w:rFonts w:hint="eastAsia" w:ascii="宋体" w:hAnsi="宋体" w:eastAsia="宋体" w:cs="宋体"/>
                <w:b/>
                <w:color w:val="auto"/>
                <w:sz w:val="21"/>
                <w:szCs w:val="21"/>
                <w:u w:val="single"/>
              </w:rPr>
              <w:t>午</w:t>
            </w:r>
            <w:r>
              <w:rPr>
                <w:rFonts w:hint="eastAsia" w:ascii="宋体" w:hAnsi="宋体" w:cs="宋体"/>
                <w:b/>
                <w:color w:val="auto"/>
                <w:sz w:val="21"/>
                <w:szCs w:val="21"/>
                <w:u w:val="single"/>
                <w:lang w:val="en-US" w:eastAsia="zh-CN"/>
              </w:rPr>
              <w:t>9</w:t>
            </w:r>
            <w:r>
              <w:rPr>
                <w:rFonts w:hint="eastAsia" w:ascii="宋体" w:hAnsi="宋体" w:eastAsia="宋体" w:cs="宋体"/>
                <w:b/>
                <w:color w:val="auto"/>
                <w:sz w:val="21"/>
                <w:szCs w:val="21"/>
                <w:u w:val="single"/>
              </w:rPr>
              <w:t>时</w:t>
            </w:r>
            <w:r>
              <w:rPr>
                <w:rFonts w:hint="eastAsia" w:ascii="宋体" w:hAnsi="宋体" w:cs="宋体"/>
                <w:b/>
                <w:color w:val="auto"/>
                <w:sz w:val="21"/>
                <w:szCs w:val="21"/>
                <w:u w:val="single"/>
                <w:lang w:val="en-US" w:eastAsia="zh-CN"/>
              </w:rPr>
              <w:t>00</w:t>
            </w:r>
            <w:r>
              <w:rPr>
                <w:rFonts w:hint="eastAsia" w:ascii="宋体" w:hAnsi="宋体" w:eastAsia="宋体" w:cs="宋体"/>
                <w:b/>
                <w:color w:val="auto"/>
                <w:sz w:val="21"/>
                <w:szCs w:val="21"/>
                <w:u w:val="single"/>
              </w:rPr>
              <w:t>分开始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地点：</w:t>
            </w:r>
            <w:r>
              <w:rPr>
                <w:rFonts w:hint="eastAsia" w:ascii="宋体" w:hAnsi="宋体" w:eastAsia="宋体" w:cs="宋体"/>
                <w:color w:val="auto"/>
                <w:sz w:val="21"/>
                <w:szCs w:val="21"/>
                <w:lang w:eastAsia="zh-CN"/>
              </w:rPr>
              <w:t>青田县瓯南街道百悦城5幢（华侨总部经济大楼）12楼1201招投标中心开标室（ 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磋商保证金</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440" w:hanging="1260" w:hangingChars="60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不作要求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成交结果公告及成交通知书</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磋商报告经采购人确认后2个工作日内，成交公告在</w:t>
            </w:r>
            <w:r>
              <w:rPr>
                <w:rFonts w:hint="eastAsia" w:ascii="宋体" w:hAnsi="宋体" w:eastAsia="宋体" w:cs="宋体"/>
                <w:color w:val="000000"/>
                <w:sz w:val="21"/>
                <w:szCs w:val="21"/>
                <w:highlight w:val="none"/>
                <w:lang w:eastAsia="zh-CN"/>
              </w:rPr>
              <w:t>丽水市公共资源交易网（http://lssggzy.lishui.gov.cn/）</w:t>
            </w:r>
            <w:r>
              <w:rPr>
                <w:rFonts w:hint="eastAsia" w:ascii="宋体" w:hAnsi="宋体" w:eastAsia="宋体" w:cs="宋体"/>
                <w:bCs/>
                <w:color w:val="auto"/>
                <w:sz w:val="21"/>
                <w:szCs w:val="21"/>
              </w:rPr>
              <w:t>上发布，并同时发出成交通知书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签订合同</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成交通知书发出之日起10日内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评定办法和细则</w:t>
            </w:r>
          </w:p>
        </w:tc>
        <w:tc>
          <w:tcPr>
            <w:tcW w:w="7760" w:type="dxa"/>
            <w:gridSpan w:val="3"/>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采用综合评分法，详见本竞争性磋商文件第六章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1" w:hRule="exact"/>
          <w:jc w:val="center"/>
        </w:trPr>
        <w:tc>
          <w:tcPr>
            <w:tcW w:w="2199" w:type="dxa"/>
            <w:tcBorders>
              <w:left w:val="doub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特别提醒</w:t>
            </w:r>
          </w:p>
        </w:tc>
        <w:tc>
          <w:tcPr>
            <w:tcW w:w="7760" w:type="dxa"/>
            <w:gridSpan w:val="3"/>
            <w:tcBorders>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请竞争性</w:t>
            </w:r>
            <w:r>
              <w:rPr>
                <w:rFonts w:hint="eastAsia" w:ascii="宋体" w:hAnsi="宋体" w:eastAsia="宋体" w:cs="宋体"/>
                <w:b/>
                <w:bCs/>
                <w:snapToGrid w:val="0"/>
                <w:color w:val="auto"/>
                <w:sz w:val="21"/>
                <w:szCs w:val="21"/>
              </w:rPr>
              <w:t>磋商</w:t>
            </w:r>
            <w:r>
              <w:rPr>
                <w:rFonts w:hint="eastAsia" w:ascii="宋体" w:hAnsi="宋体" w:eastAsia="宋体" w:cs="宋体"/>
                <w:b/>
                <w:color w:val="auto"/>
                <w:sz w:val="21"/>
                <w:szCs w:val="21"/>
              </w:rPr>
              <w:t>供应商根据资格审查要求和响应文件格式要求及评分办法要求提供相关原件，未提供原件所造成的风险由竞争性</w:t>
            </w:r>
            <w:r>
              <w:rPr>
                <w:rFonts w:hint="eastAsia" w:ascii="宋体" w:hAnsi="宋体" w:eastAsia="宋体" w:cs="宋体"/>
                <w:b/>
                <w:bCs/>
                <w:snapToGrid w:val="0"/>
                <w:color w:val="auto"/>
                <w:sz w:val="21"/>
                <w:szCs w:val="21"/>
              </w:rPr>
              <w:t>磋商</w:t>
            </w:r>
            <w:r>
              <w:rPr>
                <w:rFonts w:hint="eastAsia" w:ascii="宋体" w:hAnsi="宋体" w:eastAsia="宋体" w:cs="宋体"/>
                <w:b/>
                <w:color w:val="auto"/>
                <w:sz w:val="21"/>
                <w:szCs w:val="21"/>
              </w:rPr>
              <w:t>供应商自行承担。</w:t>
            </w:r>
          </w:p>
        </w:tc>
      </w:tr>
    </w:tbl>
    <w:p>
      <w:pPr>
        <w:rPr>
          <w:rFonts w:hint="eastAsia"/>
          <w:color w:val="auto"/>
        </w:rPr>
      </w:pPr>
      <w:bookmarkStart w:id="13" w:name="_Toc172608433"/>
    </w:p>
    <w:bookmarkEnd w:id="13"/>
    <w:p>
      <w:pPr>
        <w:pStyle w:val="4"/>
        <w:keepNext w:val="0"/>
        <w:keepLines w:val="0"/>
        <w:pageBreakBefore w:val="0"/>
        <w:widowControl w:val="0"/>
        <w:kinsoku/>
        <w:wordWrap/>
        <w:overflowPunct/>
        <w:topLinePunct w:val="0"/>
        <w:autoSpaceDE/>
        <w:autoSpaceDN/>
        <w:bidi w:val="0"/>
        <w:spacing w:before="0" w:after="0" w:line="360" w:lineRule="exact"/>
        <w:ind w:left="0" w:leftChars="0" w:firstLine="0" w:firstLineChars="0"/>
        <w:jc w:val="both"/>
        <w:rPr>
          <w:rFonts w:hint="eastAsia" w:ascii="宋体" w:hAnsi="宋体" w:eastAsia="宋体" w:cs="宋体"/>
          <w:color w:val="auto"/>
          <w:sz w:val="21"/>
          <w:szCs w:val="21"/>
          <w:lang w:eastAsia="zh-CN"/>
        </w:rPr>
      </w:pPr>
      <w:bookmarkStart w:id="14" w:name="_Toc390938575"/>
      <w:bookmarkStart w:id="15" w:name="_Toc20160"/>
    </w:p>
    <w:p>
      <w:pPr>
        <w:rPr>
          <w:rFonts w:hint="eastAsia" w:ascii="宋体" w:hAnsi="宋体" w:eastAsia="宋体" w:cs="宋体"/>
          <w:color w:val="auto"/>
          <w:sz w:val="21"/>
          <w:szCs w:val="21"/>
          <w:lang w:eastAsia="zh-CN"/>
        </w:rPr>
      </w:pPr>
    </w:p>
    <w:p>
      <w:pPr>
        <w:pStyle w:val="27"/>
        <w:rPr>
          <w:rFonts w:hint="eastAsia"/>
          <w:lang w:eastAsia="zh-CN"/>
        </w:rPr>
      </w:pPr>
    </w:p>
    <w:p>
      <w:pPr>
        <w:pStyle w:val="4"/>
        <w:keepNext w:val="0"/>
        <w:keepLines w:val="0"/>
        <w:pageBreakBefore w:val="0"/>
        <w:widowControl w:val="0"/>
        <w:kinsoku/>
        <w:wordWrap/>
        <w:overflowPunct/>
        <w:topLinePunct w:val="0"/>
        <w:autoSpaceDE/>
        <w:autoSpaceDN/>
        <w:bidi w:val="0"/>
        <w:spacing w:before="0" w:after="0" w:line="360" w:lineRule="exact"/>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 xml:space="preserve">   </w:t>
      </w:r>
      <w:bookmarkEnd w:id="14"/>
      <w:r>
        <w:rPr>
          <w:rFonts w:hint="eastAsia" w:ascii="宋体" w:hAnsi="宋体" w:eastAsia="宋体" w:cs="宋体"/>
          <w:color w:val="auto"/>
          <w:sz w:val="21"/>
          <w:szCs w:val="21"/>
          <w:lang w:eastAsia="zh-CN"/>
        </w:rPr>
        <w:t>总则</w:t>
      </w:r>
      <w:bookmarkEnd w:id="15"/>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1.适用范围</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1.1磋商文件适用于本次所述项目的采购。</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2.定义</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2.1.1“采购人”系指</w:t>
      </w:r>
      <w:r>
        <w:rPr>
          <w:rFonts w:hint="eastAsia" w:ascii="宋体" w:hAnsi="宋体" w:cs="宋体"/>
          <w:color w:val="auto"/>
          <w:sz w:val="21"/>
          <w:szCs w:val="21"/>
          <w:lang w:eastAsia="zh-CN"/>
        </w:rPr>
        <w:t>青田县残疾人联合会</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2.1.2“竞争性磋商供应商”系指符合磋商公告第“</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”点所要求的参与采购活动的供应商。 </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FF0000"/>
          <w:sz w:val="21"/>
          <w:szCs w:val="21"/>
          <w:u w:val="none"/>
        </w:rPr>
      </w:pPr>
      <w:r>
        <w:rPr>
          <w:rFonts w:hint="eastAsia" w:ascii="宋体" w:hAnsi="宋体" w:eastAsia="宋体" w:cs="宋体"/>
          <w:color w:val="auto"/>
          <w:sz w:val="21"/>
          <w:szCs w:val="21"/>
        </w:rPr>
        <w:t>2.1.2.1“供应商”系指按照本磋商文件的规定参加并递交磋商响应文件的法人或其他组织；</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2.1.2.2“法定代表人或企业负责人”系指依</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"http://baike.baidu.com/view/17641.htm"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法律</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或法人</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"http://baike.baidu.com/view/624563.htm"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章程</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规定代表法人行使职权的</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"http://baike.baidu.com/view/1344002.htm" \t "_blank"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负责人</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2.1.2.3“授权委托”系指法定代表人或企业负责人通过授权委托书的形式，委托被委托人行使竞争性磋商供应商有限权利的活动。被委托人应具有完全民事行为能力的合法公民。</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2.1.3“采购代理机构”系指</w:t>
      </w:r>
      <w:r>
        <w:rPr>
          <w:rFonts w:hint="eastAsia" w:ascii="宋体" w:hAnsi="宋体" w:cs="宋体"/>
          <w:color w:val="auto"/>
          <w:sz w:val="21"/>
          <w:szCs w:val="21"/>
          <w:lang w:eastAsia="zh-CN"/>
        </w:rPr>
        <w:t>浙江惠同建设工程管理有限公司</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“合同”系指买卖双方签署的规定买卖双方权利与义务的协议，以及所有附件、附录、磋商文件和响应文件所提到的构成合同的所有文件。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“货物”系指卖方按磋商文件规定须向买方提供的一切产品（包括：虚拟产品），以及产品相关的备品备件、工具、手册及其它有关技术资料和材料。</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“服务”系指卖方按磋商文件规定应承担的安装、调试、技术协助以及其他类似的附随义务。</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“附随服务”系指根据合同规定卖方必须承担与货物有关的辅助服务，如送货上门、免费维护以及合同中规定卖方应承担的义务,以及合同中未规定,但依有利于合同履行原则,应当由卖方承担的其它义务。</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2.1.</w:t>
      </w:r>
      <w:r>
        <w:rPr>
          <w:rFonts w:hint="eastAsia" w:ascii="宋体" w:hAnsi="宋体" w:eastAsia="宋体" w:cs="宋体"/>
          <w:bCs/>
          <w:color w:val="auto"/>
          <w:sz w:val="21"/>
          <w:szCs w:val="21"/>
          <w:lang w:val="en-US" w:eastAsia="zh-CN"/>
        </w:rPr>
        <w:t>8</w:t>
      </w:r>
      <w:r>
        <w:rPr>
          <w:rFonts w:hint="eastAsia" w:ascii="宋体" w:hAnsi="宋体" w:eastAsia="宋体" w:cs="宋体"/>
          <w:color w:val="auto"/>
          <w:sz w:val="21"/>
          <w:szCs w:val="21"/>
        </w:rPr>
        <w:t>标有“▲”符号均属于“实质性条款”，不允许负偏离</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3.合格的供应商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3.1符合2.1.2条的供应商。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3.2供应商应遵守有关的法律、法规和规章条例。</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磋商费用</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4.1竞争性磋商供应商自行承担磋商费用。</w:t>
      </w:r>
    </w:p>
    <w:p>
      <w:pPr>
        <w:pStyle w:val="4"/>
        <w:keepNext w:val="0"/>
        <w:keepLines w:val="0"/>
        <w:pageBreakBefore w:val="0"/>
        <w:widowControl w:val="0"/>
        <w:kinsoku/>
        <w:wordWrap/>
        <w:overflowPunct/>
        <w:topLinePunct w:val="0"/>
        <w:autoSpaceDE/>
        <w:autoSpaceDN/>
        <w:bidi w:val="0"/>
        <w:spacing w:before="0" w:after="0" w:line="360" w:lineRule="exact"/>
        <w:rPr>
          <w:rFonts w:hint="eastAsia" w:ascii="宋体" w:hAnsi="宋体" w:eastAsia="宋体" w:cs="宋体"/>
          <w:color w:val="auto"/>
          <w:sz w:val="21"/>
          <w:szCs w:val="21"/>
        </w:rPr>
      </w:pPr>
      <w:bookmarkStart w:id="16" w:name="_Toc27359"/>
      <w:bookmarkStart w:id="17" w:name="_Toc390938576"/>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 xml:space="preserve">   磋商响应文件说明</w:t>
      </w:r>
      <w:bookmarkEnd w:id="16"/>
      <w:bookmarkEnd w:id="17"/>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6.</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响应文件的构成</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6.1磋商文件用以阐明所需货物及服务、磋商、磋商程序和合同条款等。本磋商文件由下述部分组成：</w:t>
      </w:r>
    </w:p>
    <w:p>
      <w:pPr>
        <w:keepNext w:val="0"/>
        <w:keepLines w:val="0"/>
        <w:pageBreakBefore w:val="0"/>
        <w:widowControl w:val="0"/>
        <w:tabs>
          <w:tab w:val="left" w:pos="6585"/>
        </w:tabs>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6.1.1综合说明（包括磋商公告、须知前附表）</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6.1.2竞争性磋商供应商须知</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6.1.3磋商货物清单及技术要求</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6.1.4采购合同格式（范本）</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6.1.5磋商相关文件格式</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6.1.6磋商办法和细则</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6.1.7与本项目有关的磋商文件澄清、答复、更正、补充的内容</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7.竞争性磋商供应商的风险</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竞争性磋商供应商应认真阅读磋商文件中所有的条款、技术规范和事项等，竞争性磋商供应商没有按照磋商文件的要求提供全部资料，或者竞争性磋商供应商没有对磋商文件要求作出实质性响应是竞争性磋商供应商的风险，并可能导致其响应文件被拒绝，竞争性磋商供应商响应文件无效。</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8.</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磋商文件的澄清和修改</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8.1磋商文件澄清、答复、修改、补充的内容为磋商文件的组成部分。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8.2</w:t>
      </w:r>
      <w:r>
        <w:rPr>
          <w:rFonts w:hint="eastAsia" w:ascii="宋体" w:hAnsi="宋体" w:eastAsia="宋体" w:cs="宋体"/>
          <w:bCs/>
          <w:color w:val="auto"/>
          <w:sz w:val="21"/>
          <w:szCs w:val="21"/>
        </w:rPr>
        <w:t>报名供应商认真阅读</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文件，应于</w:t>
      </w:r>
      <w:r>
        <w:rPr>
          <w:rFonts w:hint="eastAsia" w:ascii="宋体" w:hAnsi="宋体" w:eastAsia="宋体" w:cs="宋体"/>
          <w:b/>
          <w:snapToGrid w:val="0"/>
          <w:color w:val="auto"/>
          <w:sz w:val="21"/>
          <w:szCs w:val="21"/>
          <w:u w:val="single"/>
        </w:rPr>
        <w:t>提交响应文件的截止时间5日前</w:t>
      </w:r>
      <w:r>
        <w:rPr>
          <w:rFonts w:hint="eastAsia" w:ascii="宋体" w:hAnsi="宋体" w:eastAsia="宋体" w:cs="宋体"/>
          <w:bCs/>
          <w:color w:val="auto"/>
          <w:sz w:val="21"/>
          <w:szCs w:val="21"/>
        </w:rPr>
        <w:t>向采购代理机构（传真）提出澄清。采购代理机构对已发出的磋商文件进行必要澄清或修改的，</w:t>
      </w:r>
      <w:r>
        <w:rPr>
          <w:rFonts w:hint="eastAsia" w:ascii="宋体" w:hAnsi="宋体" w:eastAsia="宋体" w:cs="宋体"/>
          <w:color w:val="auto"/>
          <w:sz w:val="21"/>
          <w:szCs w:val="21"/>
        </w:rPr>
        <w:t>在提交响应文件的截止时间</w:t>
      </w:r>
      <w:r>
        <w:rPr>
          <w:rFonts w:hint="eastAsia" w:ascii="宋体" w:hAnsi="宋体" w:eastAsia="宋体" w:cs="宋体"/>
          <w:b/>
          <w:color w:val="auto"/>
          <w:sz w:val="21"/>
          <w:szCs w:val="21"/>
        </w:rPr>
        <w:t>5日</w:t>
      </w:r>
      <w:r>
        <w:rPr>
          <w:rFonts w:hint="eastAsia" w:ascii="宋体" w:hAnsi="宋体" w:eastAsia="宋体" w:cs="宋体"/>
          <w:color w:val="auto"/>
          <w:sz w:val="21"/>
          <w:szCs w:val="21"/>
        </w:rPr>
        <w:t>前,以网上公告形式公布更正等公告，并以书面（传真）的形式通知</w:t>
      </w:r>
      <w:r>
        <w:rPr>
          <w:rFonts w:hint="eastAsia" w:ascii="宋体" w:hAnsi="宋体" w:eastAsia="宋体" w:cs="宋体"/>
          <w:bCs/>
          <w:color w:val="auto"/>
          <w:sz w:val="21"/>
          <w:szCs w:val="21"/>
        </w:rPr>
        <w:t>报名供应商</w:t>
      </w:r>
      <w:r>
        <w:rPr>
          <w:rFonts w:hint="eastAsia" w:ascii="宋体" w:hAnsi="宋体" w:eastAsia="宋体" w:cs="宋体"/>
          <w:color w:val="auto"/>
          <w:sz w:val="21"/>
          <w:szCs w:val="21"/>
        </w:rPr>
        <w:t>,并对其具有约束力。</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8.3采购代理机构可以视采购具体情况，在提交响应文件截止时间前通知竞争性磋商供应商,适当延长磋商截止时间。</w:t>
      </w:r>
    </w:p>
    <w:p>
      <w:pPr>
        <w:pStyle w:val="4"/>
        <w:keepNext w:val="0"/>
        <w:keepLines w:val="0"/>
        <w:pageBreakBefore w:val="0"/>
        <w:widowControl w:val="0"/>
        <w:kinsoku/>
        <w:wordWrap/>
        <w:overflowPunct/>
        <w:topLinePunct w:val="0"/>
        <w:autoSpaceDE/>
        <w:autoSpaceDN/>
        <w:bidi w:val="0"/>
        <w:spacing w:before="0" w:after="0" w:line="360" w:lineRule="exact"/>
        <w:ind w:firstLine="200" w:firstLineChars="0"/>
        <w:rPr>
          <w:rFonts w:hint="eastAsia" w:ascii="宋体" w:hAnsi="宋体" w:eastAsia="宋体" w:cs="宋体"/>
          <w:color w:val="auto"/>
          <w:sz w:val="21"/>
          <w:szCs w:val="21"/>
        </w:rPr>
      </w:pPr>
      <w:bookmarkStart w:id="18" w:name="_Toc12007"/>
      <w:bookmarkStart w:id="19" w:name="_Toc390938577"/>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 xml:space="preserve">   响应文件的编制</w:t>
      </w:r>
      <w:bookmarkEnd w:id="18"/>
      <w:bookmarkEnd w:id="19"/>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9.要求</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9.1竞争性磋商供应商应仔细阅读磋商文件的所有内容,按磋商文件规定的要求编制响应文件,并保证所提供全部资料的真实性,以使其对磋商文件作出实质性响应。</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bookmarkStart w:id="20" w:name="_Toc390938578"/>
      <w:r>
        <w:rPr>
          <w:rFonts w:hint="eastAsia" w:ascii="宋体" w:hAnsi="宋体" w:eastAsia="宋体" w:cs="宋体"/>
          <w:b/>
          <w:color w:val="auto"/>
          <w:sz w:val="21"/>
          <w:szCs w:val="21"/>
        </w:rPr>
        <w:t>10.响应文件的组成</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▲10.1提交的响应文件应分为</w:t>
      </w:r>
      <w:r>
        <w:rPr>
          <w:rFonts w:hint="eastAsia" w:ascii="宋体" w:hAnsi="宋体" w:eastAsia="宋体" w:cs="宋体"/>
          <w:b/>
          <w:color w:val="auto"/>
          <w:kern w:val="0"/>
          <w:sz w:val="21"/>
          <w:szCs w:val="21"/>
        </w:rPr>
        <w:t>资格审查文件、</w:t>
      </w:r>
      <w:r>
        <w:rPr>
          <w:rFonts w:hint="eastAsia" w:ascii="宋体" w:hAnsi="宋体" w:eastAsia="宋体" w:cs="宋体"/>
          <w:b/>
          <w:color w:val="auto"/>
          <w:sz w:val="21"/>
          <w:szCs w:val="21"/>
        </w:rPr>
        <w:t>资信商务及技术文件、报价文件</w:t>
      </w:r>
      <w:r>
        <w:rPr>
          <w:rFonts w:hint="eastAsia" w:ascii="宋体" w:hAnsi="宋体" w:eastAsia="宋体" w:cs="宋体"/>
          <w:b/>
          <w:color w:val="auto"/>
          <w:kern w:val="0"/>
          <w:sz w:val="21"/>
          <w:szCs w:val="21"/>
        </w:rPr>
        <w:t>三</w:t>
      </w:r>
      <w:r>
        <w:rPr>
          <w:rFonts w:hint="eastAsia" w:ascii="宋体" w:hAnsi="宋体" w:eastAsia="宋体" w:cs="宋体"/>
          <w:b/>
          <w:color w:val="auto"/>
          <w:sz w:val="21"/>
          <w:szCs w:val="21"/>
        </w:rPr>
        <w:t>部分</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11.响应文件（资格审查文件、资信商务及技术文件、报价文件）编制的内容和要求</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11.1资格审查文件编制的内容和要求：详见第五章格式</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11.2资信及商务文件编制内容和要求：详见第五章格式</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11.3技术文件的编制内容和要求</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11.3.1按磋商文件“第五章 磋商相关文件格式”所列的内容和格式。</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11.3.2供应商应对照磋商文件</w:t>
      </w:r>
      <w:r>
        <w:rPr>
          <w:rFonts w:hint="eastAsia" w:ascii="宋体" w:hAnsi="宋体" w:eastAsia="宋体" w:cs="宋体"/>
          <w:bCs/>
          <w:color w:val="auto"/>
          <w:sz w:val="21"/>
          <w:szCs w:val="21"/>
        </w:rPr>
        <w:t xml:space="preserve"> “第</w:t>
      </w:r>
      <w:r>
        <w:rPr>
          <w:rFonts w:hint="eastAsia" w:ascii="宋体" w:hAnsi="宋体" w:eastAsia="宋体" w:cs="宋体"/>
          <w:bCs/>
          <w:color w:val="auto"/>
          <w:sz w:val="21"/>
          <w:szCs w:val="21"/>
          <w:lang w:eastAsia="zh-CN"/>
        </w:rPr>
        <w:t>二</w:t>
      </w:r>
      <w:r>
        <w:rPr>
          <w:rFonts w:hint="eastAsia" w:ascii="宋体" w:hAnsi="宋体" w:eastAsia="宋体" w:cs="宋体"/>
          <w:bCs/>
          <w:color w:val="auto"/>
          <w:sz w:val="21"/>
          <w:szCs w:val="21"/>
        </w:rPr>
        <w:t>章 采购需求”所列的内容提供完整产品、服务、技术指标等。</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11.3.3 项目承诺：磋商文件规定的要求仅为基本要求，供应</w:t>
      </w:r>
      <w:r>
        <w:rPr>
          <w:rFonts w:hint="eastAsia" w:ascii="宋体" w:hAnsi="宋体" w:eastAsia="宋体" w:cs="宋体"/>
          <w:color w:val="auto"/>
          <w:sz w:val="21"/>
          <w:szCs w:val="21"/>
        </w:rPr>
        <w:t>商可以作出优于或高于磋商文件中所要求的承诺。</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11.3.4 供应商认为有必要提交的其他技术证明资料。</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11.4报价文件的编制内容和要求</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11.4.1 磋商文件“第五章 磋商相关文件格式”所列的内容和格式的要求，以及供应商认为有必要提供的其它文件。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11.4.2 磋商文件</w:t>
      </w:r>
      <w:r>
        <w:rPr>
          <w:rFonts w:hint="eastAsia" w:ascii="宋体" w:hAnsi="宋体" w:eastAsia="宋体" w:cs="宋体"/>
          <w:bCs/>
          <w:color w:val="auto"/>
          <w:sz w:val="21"/>
          <w:szCs w:val="21"/>
        </w:rPr>
        <w:t>“第</w:t>
      </w:r>
      <w:r>
        <w:rPr>
          <w:rFonts w:hint="eastAsia" w:ascii="宋体" w:hAnsi="宋体" w:eastAsia="宋体" w:cs="宋体"/>
          <w:bCs/>
          <w:color w:val="auto"/>
          <w:sz w:val="21"/>
          <w:szCs w:val="21"/>
          <w:lang w:eastAsia="zh-CN"/>
        </w:rPr>
        <w:t>二</w:t>
      </w:r>
      <w:r>
        <w:rPr>
          <w:rFonts w:hint="eastAsia" w:ascii="宋体" w:hAnsi="宋体" w:eastAsia="宋体" w:cs="宋体"/>
          <w:bCs/>
          <w:color w:val="auto"/>
          <w:sz w:val="21"/>
          <w:szCs w:val="21"/>
        </w:rPr>
        <w:t>章 采购需求”所列</w:t>
      </w:r>
      <w:r>
        <w:rPr>
          <w:rFonts w:hint="eastAsia" w:ascii="宋体" w:hAnsi="宋体" w:eastAsia="宋体" w:cs="宋体"/>
          <w:color w:val="auto"/>
          <w:sz w:val="21"/>
          <w:szCs w:val="21"/>
        </w:rPr>
        <w:t>的相关内容编制。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11.4.3 磋商报价</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11.4.3</w:t>
      </w:r>
      <w:r>
        <w:rPr>
          <w:rFonts w:hint="eastAsia" w:ascii="宋体" w:hAnsi="宋体" w:eastAsia="宋体" w:cs="宋体"/>
          <w:bCs/>
          <w:color w:val="auto"/>
          <w:sz w:val="21"/>
          <w:szCs w:val="21"/>
        </w:rPr>
        <w:t>.1 供应商应在磋商文件所附表格格式填写产品、服务的单价和磋商报价。响应文件只允许有一个报价，有选择的或者有条件的报价将不予接受。</w:t>
      </w:r>
    </w:p>
    <w:p>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11.4.3.2 最终报价高于采购最高限价的，视报价分为零分，且供应商不得推荐为成交候选人。</w:t>
      </w:r>
    </w:p>
    <w:p>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11.4.3.3 最后报价是履行合同的最终价格，除磋商文件特殊说明外，应包括</w:t>
      </w:r>
      <w:r>
        <w:rPr>
          <w:rFonts w:hint="eastAsia" w:ascii="宋体" w:hAnsi="宋体" w:eastAsia="宋体" w:cs="宋体"/>
          <w:color w:val="auto"/>
          <w:spacing w:val="20"/>
          <w:sz w:val="21"/>
          <w:szCs w:val="21"/>
        </w:rPr>
        <w:t>供应商实施本项目所产生的相关费用，如配送费、人员工资、各种社会保险、人员食宿与交通、办公经费、设备、材料、技术服务、利润、税金及完成本项目所有可能存在的全部费用，采购人不再另行支付费用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11.5 排版</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所有文字及表格建议采用黑色，正文字体采用宋体小四号字体，标题字体采用宋体小二号字体。页码应逐页连续编注，建议纸质文件纸张采用白色标准A4纸。</w:t>
      </w:r>
    </w:p>
    <w:p>
      <w:pPr>
        <w:keepNext w:val="0"/>
        <w:keepLines w:val="0"/>
        <w:pageBreakBefore w:val="0"/>
        <w:widowControl w:val="0"/>
        <w:kinsoku/>
        <w:wordWrap/>
        <w:overflowPunct/>
        <w:topLinePunct w:val="0"/>
        <w:autoSpaceDE/>
        <w:autoSpaceDN/>
        <w:bidi w:val="0"/>
        <w:spacing w:line="360" w:lineRule="exact"/>
        <w:ind w:firstLine="480"/>
        <w:rPr>
          <w:rFonts w:hint="eastAsia" w:ascii="宋体" w:hAnsi="宋体" w:eastAsia="宋体" w:cs="宋体"/>
          <w:color w:val="auto"/>
          <w:sz w:val="21"/>
          <w:szCs w:val="21"/>
        </w:rPr>
      </w:pPr>
      <w:r>
        <w:rPr>
          <w:rFonts w:hint="eastAsia" w:ascii="宋体" w:hAnsi="宋体" w:eastAsia="宋体" w:cs="宋体"/>
          <w:b/>
          <w:color w:val="auto"/>
          <w:sz w:val="21"/>
          <w:szCs w:val="21"/>
        </w:rPr>
        <w:t>11.6 封面</w:t>
      </w:r>
      <w:r>
        <w:rPr>
          <w:rFonts w:hint="eastAsia" w:ascii="宋体" w:hAnsi="宋体" w:eastAsia="宋体" w:cs="宋体"/>
          <w:color w:val="auto"/>
          <w:sz w:val="21"/>
          <w:szCs w:val="21"/>
        </w:rPr>
        <w:t>：按照磋商文件规定的格式制作封面。</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12.响应文件格式</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12.1竞争性磋商供应商应按竞争性磋商文件规定的文件格式、内容和要求制作响应文件。</w:t>
      </w:r>
    </w:p>
    <w:p>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 xml:space="preserve"> 13.符合磋商文件规定的技术文件部分：</w:t>
      </w:r>
      <w:r>
        <w:rPr>
          <w:rFonts w:hint="eastAsia" w:ascii="宋体" w:hAnsi="宋体" w:eastAsia="宋体" w:cs="宋体"/>
          <w:color w:val="auto"/>
          <w:sz w:val="21"/>
          <w:szCs w:val="21"/>
        </w:rPr>
        <w:t>符合采购需求及磋商文件格式规定</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14.竞争性磋商有效期</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▲14.1响应文件递交截止</w:t>
      </w:r>
      <w:r>
        <w:rPr>
          <w:rFonts w:hint="eastAsia" w:ascii="宋体" w:hAnsi="宋体" w:eastAsia="宋体" w:cs="宋体"/>
          <w:bCs/>
          <w:snapToGrid w:val="0"/>
          <w:color w:val="auto"/>
          <w:sz w:val="21"/>
          <w:szCs w:val="21"/>
        </w:rPr>
        <w:t>之日起90天内有效</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15.响应文件的签署及规定</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 供应商应按磋商文件规定的内容和要求编制响应文件，每套响应文件须清楚的标明“</w:t>
      </w:r>
      <w:r>
        <w:rPr>
          <w:rFonts w:hint="eastAsia" w:ascii="宋体" w:hAnsi="宋体" w:eastAsia="宋体" w:cs="宋体"/>
          <w:color w:val="auto"/>
          <w:kern w:val="0"/>
          <w:sz w:val="21"/>
          <w:szCs w:val="21"/>
        </w:rPr>
        <w:t>资格审查文件”、“</w:t>
      </w:r>
      <w:r>
        <w:rPr>
          <w:rFonts w:hint="eastAsia" w:ascii="宋体" w:hAnsi="宋体" w:eastAsia="宋体" w:cs="宋体"/>
          <w:color w:val="auto"/>
          <w:sz w:val="21"/>
          <w:szCs w:val="21"/>
        </w:rPr>
        <w:t>资信商务及技术文件”、 “报价文件”。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 电报、电话、传真形式的磋商概不接受。</w:t>
      </w:r>
    </w:p>
    <w:p>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rPr>
      </w:pPr>
      <w:bookmarkStart w:id="21" w:name="_Toc11346"/>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 xml:space="preserve">   磋商保证金</w:t>
      </w:r>
      <w:bookmarkEnd w:id="20"/>
      <w:bookmarkEnd w:id="21"/>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16.磋商保证金</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▲16.1竞争性磋商供应商按磋商文件的规定交纳保证金。否则，其磋商将被拒绝。</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16.2磋商保证金按磋商公告规定交纳。 </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16.3本项目成交通知书发出后五个工作日内退还未成交供应商的磋商保证金，在采购合同签订后五个工作日内退还成交供应商的磋商保证金，采购代理机构将以电汇或转账方式无息退还。</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竞争性磋商供应商的磋商保证金，将按本文件的规定原额退还。退还保证金时，供应商需出具保证金收据，提供本单位的开户银行和账号，采购代理机构以电汇或转账方式退还。竞争性磋商供应商出具的保证金收据，需注明以上内容。</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16.4竞争性磋商供应商有下列情形之一的，磋商保证金将不予退还:</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16.4.1磋商后竞争性磋商供应商在磋商有效期内撤回响应文件的</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16.4.2成交供应商无正当理由不与采购人签订合同</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16.4.3成交供应商未按磋商文件规定交纳履约保证金；</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16.4.4违反承诺函的相关内容及条款的；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16.4.5提供虚假材料谋取成交的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16.4.6采取不正当手段诋毁、排挤其他竞争性磋商供应商的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16.4.7与采购人、采购代理机构、其他竞争性磋商供应商恶意串通的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16.4.8向采购人、采购代理机构行贿或者提供其他不正当利益的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16.4.9在磋商过程中与采购人进行协商磋商、不按照磋商文件和成交供应商响应文件订立合同,或者与采购人另行订立背离合同实质性内容协议的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16.4.10拒绝有关部门监督检查或者提供虚假情况的；</w:t>
      </w:r>
    </w:p>
    <w:p>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rPr>
      </w:pPr>
      <w:bookmarkStart w:id="22" w:name="_Toc56928685"/>
      <w:bookmarkStart w:id="23" w:name="_Toc107820049"/>
      <w:bookmarkStart w:id="24" w:name="_Toc24446"/>
      <w:bookmarkStart w:id="25" w:name="_Toc390938579"/>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 xml:space="preserve">   响应文件的包装、提交</w:t>
      </w:r>
      <w:bookmarkEnd w:id="22"/>
      <w:bookmarkEnd w:id="23"/>
      <w:r>
        <w:rPr>
          <w:rFonts w:hint="eastAsia" w:ascii="宋体" w:hAnsi="宋体" w:eastAsia="宋体" w:cs="宋体"/>
          <w:color w:val="auto"/>
          <w:sz w:val="21"/>
          <w:szCs w:val="21"/>
        </w:rPr>
        <w:t>、修改和撤回</w:t>
      </w:r>
      <w:bookmarkEnd w:id="24"/>
      <w:bookmarkEnd w:id="25"/>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17.响应文件的包装、密封和标记</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w:t>
      </w:r>
      <w:r>
        <w:rPr>
          <w:rFonts w:hint="eastAsia" w:ascii="宋体" w:hAnsi="宋体" w:eastAsia="宋体" w:cs="宋体"/>
          <w:b/>
          <w:bCs/>
          <w:color w:val="auto"/>
          <w:sz w:val="21"/>
          <w:szCs w:val="21"/>
        </w:rPr>
        <w:t>竞争性磋商供应商将“</w:t>
      </w:r>
      <w:r>
        <w:rPr>
          <w:rFonts w:hint="eastAsia" w:ascii="宋体" w:hAnsi="宋体" w:eastAsia="宋体" w:cs="宋体"/>
          <w:b/>
          <w:bCs/>
          <w:color w:val="auto"/>
          <w:kern w:val="0"/>
          <w:sz w:val="21"/>
          <w:szCs w:val="21"/>
        </w:rPr>
        <w:t>资格审查文件”、“</w:t>
      </w:r>
      <w:r>
        <w:rPr>
          <w:rFonts w:hint="eastAsia" w:ascii="宋体" w:hAnsi="宋体" w:eastAsia="宋体" w:cs="宋体"/>
          <w:b/>
          <w:bCs/>
          <w:color w:val="auto"/>
          <w:sz w:val="21"/>
          <w:szCs w:val="21"/>
        </w:rPr>
        <w:t>资信商务及技术文件”、 “报价文件”三部分单独密封封装成响应文件。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17.2响应文件封面及响应文件外层包装制作要求:详见第五章提供的格式。</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17.2未按规定包装、密封和标记的响应文件将被拒绝,由此造成响应文件被误投或提前拆封的风险由竞争性磋商供应商承担。</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18.响应文件的提交</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18.1在提交响应文件截止时间前，竞争性磋商供应商应按磋商文件规定的时间和地点提交响应文件；在提交响应文件截止时间后，采购代理机构将拒收竞争性磋商供应商的响应文件。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18.2采购代理机构工作人员将做好响应文件签收手续，明确响应文件的提交时间、响应文件的份数、提交人等信息。</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19.响应文件的修改和撤销</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19.1在提交响应文件截止时间前，竞争性磋商供应商可对已提交的响应文件进行修改或撤回,修改或撤回的意思应以书面形式通知采购代理机构。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19.2修改后重新提交的响应文件应按磋商文件的规定编制、密封、标记和提交。</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19.3在提交响应文件截止时间后,竞争性磋商供应商不得修改、撤回已提交的响应文件。</w:t>
      </w:r>
    </w:p>
    <w:p>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color w:val="auto"/>
          <w:sz w:val="21"/>
          <w:szCs w:val="21"/>
        </w:rPr>
      </w:pPr>
      <w:bookmarkStart w:id="26" w:name="_Toc107820050"/>
      <w:bookmarkStart w:id="27" w:name="_Toc390938580"/>
      <w:bookmarkStart w:id="28" w:name="_Toc27619"/>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 xml:space="preserve">   </w:t>
      </w:r>
      <w:bookmarkEnd w:id="26"/>
      <w:r>
        <w:rPr>
          <w:rFonts w:hint="eastAsia" w:ascii="宋体" w:hAnsi="宋体" w:eastAsia="宋体" w:cs="宋体"/>
          <w:color w:val="auto"/>
          <w:sz w:val="21"/>
          <w:szCs w:val="21"/>
        </w:rPr>
        <w:t>磋商会和磋商</w:t>
      </w:r>
      <w:bookmarkEnd w:id="27"/>
      <w:bookmarkEnd w:id="28"/>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20．磋商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20.1采购代理机构在磋商文件规定的时间和地点组织磋商会。竞争性磋商供应商如不派代表参加的，事后不得对采购相关人员、磋商过程和磋商结果提出异议。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20.2磋商会由采购代理机构主持，主持人介绍磋商前基本情况、竞争性磋商供应商名单，宣读磋商日程安排，宣布磋商期间的有关事项。公布磋商会主持人、记录人、监督人等人员名单，告知应当回避的情形，书面提请有关人员回避的事项。竞争性磋商供应商代表应对磋商会内容及记录内容进行签字确认。</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20.3拆封响应文件时，竞争性磋商供应商代表可检查响应文件的密封情况，如有问题应及时向工作人员及监督人提出。但工作人员当众拆封后，竞争性磋商供应商不得对响应文件的密封情况提出质疑。</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20.4采购代理机构工作人员将做磋商会记录。</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20.5磋商小组由评审专家或采购人代表和评审专家组成，成员人数为3人以上单数，其中评审专家不少于成员总数的三分之二。评审专家按规定从评审专家库中随机抽取。如有特殊情况的，按相关规定组建磋商小组；磋商小组对响应文件进行审查、评定和比较，对采购内容进行必要的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20.6在磋商期间，竞争性磋商供应商应派代表参加磋商。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20.7竞争性磋商供应商不得捏造事实或者提供虚假材料，进行虚假、恶意质疑、投诉，扰乱采购工作。</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21.对响应文件的审查和响应性的确定</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21.1评审委员会将审查响应文件真实性和完整性,总体编排是否有序,文件签署是否正确,有无计算上的错误等。</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21.2算术错误将按以下方法更正:</w:t>
      </w:r>
      <w:r>
        <w:rPr>
          <w:rFonts w:hint="eastAsia" w:ascii="宋体" w:hAnsi="宋体" w:eastAsia="宋体" w:cs="宋体"/>
          <w:bCs/>
          <w:color w:val="auto"/>
          <w:sz w:val="21"/>
          <w:szCs w:val="21"/>
        </w:rPr>
        <w:t>响应文件的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竞争性</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供应商不接受对其错误的更正，其</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将被拒绝。</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21.3对于响应文件中不构成实质性偏差的不正规、不一致或不规则内容, 未超过磋商文件中规定的允许负偏离项数的，采购代理机构和采购人可以接受。</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21.4在详细磋商之前,根据磋商文件的规定, 评审委员会要审查每份响应文件是否实质上响应了磋商文件的要求。实质上响应的磋商应该是与磋商文件要求的条款、条件和规格相符,没有重大负偏离的磋商。对关键条文的偏离、保留或反对,</w:t>
      </w:r>
      <w:r>
        <w:rPr>
          <w:rFonts w:hint="eastAsia" w:ascii="宋体" w:hAnsi="宋体" w:eastAsia="宋体" w:cs="宋体"/>
          <w:bCs/>
          <w:color w:val="auto"/>
          <w:sz w:val="21"/>
          <w:szCs w:val="21"/>
        </w:rPr>
        <w:t>例如关于“▲”条款的负偏离将被认为是实质上的负偏离</w:t>
      </w:r>
      <w:r>
        <w:rPr>
          <w:rFonts w:hint="eastAsia" w:ascii="宋体" w:hAnsi="宋体" w:eastAsia="宋体" w:cs="宋体"/>
          <w:color w:val="auto"/>
          <w:sz w:val="21"/>
          <w:szCs w:val="21"/>
        </w:rPr>
        <w:t>。决定磋商的响应性只根据响应文件的内容,而不寻求外部的依据。</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22.响应文件的澄清</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 对响应文件中含义不明确、同类问题表述不一致或者有明显文字和计算错误的内容，在磋商期间评审委员会可要求竞争性磋商供应商对其进行澄清、说明,但不得寻求、提供或允许对磋商等实质性内容做任何更改。有关澄清的要求、内容和答复均应以书面形式提交。</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22.2在磋商期间,如有询标情形的，竞争性磋商供应商应派代表参加。</w:t>
      </w:r>
    </w:p>
    <w:p>
      <w:pPr>
        <w:keepNext w:val="0"/>
        <w:keepLines w:val="0"/>
        <w:pageBreakBefore w:val="0"/>
        <w:widowControl w:val="0"/>
        <w:kinsoku/>
        <w:wordWrap/>
        <w:overflowPunct/>
        <w:topLinePunct w:val="0"/>
        <w:autoSpaceDE/>
        <w:autoSpaceDN/>
        <w:bidi w:val="0"/>
        <w:spacing w:line="360" w:lineRule="exact"/>
        <w:ind w:firstLine="316" w:firstLineChars="150"/>
        <w:rPr>
          <w:rFonts w:hint="eastAsia" w:ascii="宋体" w:hAnsi="宋体" w:eastAsia="宋体" w:cs="宋体"/>
          <w:b/>
          <w:color w:val="auto"/>
          <w:sz w:val="21"/>
          <w:szCs w:val="21"/>
        </w:rPr>
      </w:pPr>
      <w:bookmarkStart w:id="29" w:name="_Toc390938588"/>
      <w:bookmarkStart w:id="30" w:name="_Toc422207143"/>
      <w:r>
        <w:rPr>
          <w:rFonts w:hint="eastAsia" w:ascii="宋体" w:hAnsi="宋体" w:eastAsia="宋体" w:cs="宋体"/>
          <w:b/>
          <w:color w:val="auto"/>
          <w:sz w:val="21"/>
          <w:szCs w:val="21"/>
        </w:rPr>
        <w:t>23.对响应文件的比较和评估</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评审委员会对各响应文件的全部内容进行审阅,并确定各响应文件是否合格有效。凡对磋商文件的实质性内容不作响应的磋商,将被视为不合格的磋商,而不予接受。经过磋商,对响应文件中需要进行澄清的问题,将由评审委员会向竞争性磋商供应商进行询标,竞争性磋商供应商应接受询标、澄清。其内容应由竞争性磋商供应商的法定代表人或授权委托人审阅签字,并视作响应文件的补充,对竞争性磋商供应商具有约束力。</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23.2在磋商、询标及调查考核的基础上, 评审委员会按照平等、客观、公正的原则,进行磋商。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23.3磋商报告</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24.评审委员会完成磋商后,由评审委员会起草磋商报告，各评审委员会签字确认,并推荐预成交供应商。</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25.保密和磋商过程的监控</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25.1自</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时间起至成交公告发布时间止,凡属于审查、澄清、评估和比较</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的有关资料且与授予合同有关的信息都不得向任何竞争性</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供应商或与上述评标过程无关的人员透露。</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25.2本项目磋商过程实行全程录音、录像监控，竞争性磋商供应商在磋商过程中所进行的试图影响评标结果的不公正行为或授予合同决定的过程施加影响的企图和行为，可能导致其磋商被拒绝。</w:t>
      </w:r>
    </w:p>
    <w:p>
      <w:pPr>
        <w:pStyle w:val="4"/>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31" w:name="_Toc7268"/>
      <w:bookmarkStart w:id="32" w:name="_Toc390938581"/>
      <w:bookmarkStart w:id="33" w:name="_Toc455130385"/>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 xml:space="preserve">   磋商无效的情形</w:t>
      </w:r>
      <w:bookmarkEnd w:id="31"/>
      <w:bookmarkEnd w:id="32"/>
      <w:bookmarkEnd w:id="33"/>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实质上没有响应磋商文件要求的磋商将被拒绝，被拒绝的响应文件为无效。竞争性磋商供应商不得通过修正或撤消不合要求的偏离或保留从而使其磋商成为实质上响应的磋商。竞争性磋商供应商如有下列情形之一的,其磋商将被拒绝，磋商响应文件无效:</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26.1竞争性磋商供应商未按磋商文件的要求交纳磋商保证金，包括交纳保证金的金额、时间和方式不符合磋商文件规定的。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26.2电报、电话、传真形式的磋商。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26.3竞争性磋商供应商没有按磋商文件规定的时间和地点提交响应文件的。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26.4未按磋商文件规定要求密封、签署、盖章的。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26.5响应文件无法区分正、副本的。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26.6磋商有效期不足的。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26.7不具备磋商文件规定资格要求的。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26.8评审委员会评定有实质上“▲”条款的负偏离的。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26.9评审委员会评定有非实质性负偏离超过磋商文件规定项数的。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26.10竞争性磋商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26.11提供虚假材料谋取成交的。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26.12在磋商过程中与采购人进行协商、不按磋商文件和成交供应商的响应文件订立合同,或者与采购人另行订立背离合同实质性内容的协议的。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26.13磋商文件规定的其他响应文件无效情形。</w:t>
      </w:r>
    </w:p>
    <w:p>
      <w:pPr>
        <w:pStyle w:val="4"/>
        <w:keepNext w:val="0"/>
        <w:keepLines w:val="0"/>
        <w:pageBreakBefore w:val="0"/>
        <w:widowControl w:val="0"/>
        <w:kinsoku/>
        <w:wordWrap/>
        <w:overflowPunct/>
        <w:topLinePunct w:val="0"/>
        <w:autoSpaceDE/>
        <w:autoSpaceDN/>
        <w:bidi w:val="0"/>
        <w:spacing w:before="0" w:after="0" w:line="360" w:lineRule="exact"/>
        <w:ind w:firstLine="643"/>
        <w:rPr>
          <w:rFonts w:hint="eastAsia" w:ascii="宋体" w:hAnsi="宋体" w:eastAsia="宋体" w:cs="宋体"/>
          <w:b w:val="0"/>
          <w:bCs/>
          <w:color w:val="auto"/>
          <w:sz w:val="21"/>
          <w:szCs w:val="21"/>
        </w:rPr>
      </w:pPr>
      <w:bookmarkStart w:id="34" w:name="_Toc29572"/>
      <w:bookmarkStart w:id="35" w:name="_Toc455130386"/>
      <w:bookmarkStart w:id="36" w:name="_Toc390938582"/>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 xml:space="preserve">   法律责任</w:t>
      </w:r>
      <w:bookmarkEnd w:id="34"/>
      <w:bookmarkEnd w:id="35"/>
      <w:bookmarkEnd w:id="36"/>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竞争性磋商供应商有下列情形之一的,处以采购项目成交金额千分之五以上千分之十以下的罚款,列入不良行为记录名单,在一至三年内禁止参加政府采购活动,并予以公告,有违法所得的,并处没收违法所得,情节严重的,由工商行政管理机关吊销营业执照</w:t>
      </w:r>
      <w:r>
        <w:rPr>
          <w:rFonts w:hint="eastAsia" w:ascii="宋体" w:hAnsi="宋体" w:cs="宋体"/>
          <w:color w:val="auto"/>
          <w:sz w:val="21"/>
          <w:szCs w:val="21"/>
          <w:lang w:eastAsia="zh-CN"/>
        </w:rPr>
        <w:t>；</w:t>
      </w:r>
      <w:r>
        <w:rPr>
          <w:rFonts w:hint="eastAsia" w:ascii="宋体" w:hAnsi="宋体" w:eastAsia="宋体" w:cs="宋体"/>
          <w:color w:val="auto"/>
          <w:sz w:val="21"/>
          <w:szCs w:val="21"/>
        </w:rPr>
        <w:t>构成犯罪的,依法追究刑事责任:</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27.1提供虚假材料谋取成交的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27.2采取不正当手段诋毁、排挤其他竞争性磋商供应商的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27.3与采购人、采购代理机构、其他竞争性磋商供应商恶意串通的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27.4向采购人、采购代理机构行贿或者提供其他不正当利益的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27.5在磋商过程中与采购人进行协商磋商、不按照磋商文件和成交供应商的响应文件订立合同,或者与采购人另行订立背离合同实质性内容的协议的</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27.6拒绝有关部门监督检查或者提供虚假情况的；</w:t>
      </w:r>
    </w:p>
    <w:p>
      <w:pPr>
        <w:pStyle w:val="4"/>
        <w:keepNext w:val="0"/>
        <w:keepLines w:val="0"/>
        <w:pageBreakBefore w:val="0"/>
        <w:widowControl w:val="0"/>
        <w:kinsoku/>
        <w:wordWrap/>
        <w:overflowPunct/>
        <w:topLinePunct w:val="0"/>
        <w:autoSpaceDE/>
        <w:autoSpaceDN/>
        <w:bidi w:val="0"/>
        <w:spacing w:before="0" w:after="0" w:line="360" w:lineRule="exact"/>
        <w:rPr>
          <w:rFonts w:hint="eastAsia" w:ascii="宋体" w:hAnsi="宋体" w:eastAsia="宋体" w:cs="宋体"/>
          <w:color w:val="auto"/>
          <w:sz w:val="21"/>
          <w:szCs w:val="21"/>
        </w:rPr>
      </w:pPr>
      <w:bookmarkStart w:id="37" w:name="_Toc455130387"/>
      <w:bookmarkStart w:id="38" w:name="_Toc390938583"/>
      <w:bookmarkStart w:id="39" w:name="_Toc14121"/>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 xml:space="preserve">    询问</w:t>
      </w:r>
      <w:bookmarkEnd w:id="37"/>
      <w:bookmarkEnd w:id="38"/>
      <w:bookmarkEnd w:id="39"/>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40" w:name="_Toc176659672"/>
      <w:bookmarkStart w:id="41" w:name="_Toc334087237"/>
      <w:bookmarkStart w:id="42" w:name="_Toc335664279"/>
      <w:bookmarkStart w:id="43" w:name="_Toc390938584"/>
      <w:bookmarkStart w:id="44" w:name="_Toc107820051"/>
      <w:r>
        <w:rPr>
          <w:rFonts w:hint="eastAsia" w:ascii="宋体" w:hAnsi="宋体" w:eastAsia="宋体" w:cs="宋体"/>
          <w:color w:val="auto"/>
          <w:sz w:val="21"/>
          <w:szCs w:val="21"/>
        </w:rPr>
        <w:t>28.供应商有权就采购活动的事项在有效时限内提出询问。</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28.1供应商对采购活动事项有疑问的，可向采购代理机构提出询问，采购代理机构将在</w:t>
      </w:r>
      <w:r>
        <w:rPr>
          <w:rFonts w:hint="eastAsia" w:ascii="宋体" w:hAnsi="宋体" w:eastAsia="宋体" w:cs="宋体"/>
          <w:color w:val="auto"/>
          <w:sz w:val="21"/>
          <w:szCs w:val="21"/>
          <w:u w:val="single"/>
        </w:rPr>
        <w:t>3个工作日</w:t>
      </w:r>
      <w:r>
        <w:rPr>
          <w:rFonts w:hint="eastAsia" w:ascii="宋体" w:hAnsi="宋体" w:eastAsia="宋体" w:cs="宋体"/>
          <w:color w:val="auto"/>
          <w:sz w:val="21"/>
          <w:szCs w:val="21"/>
        </w:rPr>
        <w:t>内对供应商依法提出的询问作出答复，但答复的内容不涉及商业秘密。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28.2对磋商文件有疑问的，应在规定的时间内向采购代理机构书面提出。</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28.2.2采购代理机构将在提交响应文件的截止时间</w:t>
      </w:r>
      <w:r>
        <w:rPr>
          <w:rFonts w:hint="eastAsia" w:ascii="宋体" w:hAnsi="宋体" w:eastAsia="宋体" w:cs="宋体"/>
          <w:color w:val="auto"/>
          <w:sz w:val="21"/>
          <w:szCs w:val="21"/>
          <w:u w:val="single"/>
        </w:rPr>
        <w:t>五日前</w:t>
      </w:r>
      <w:r>
        <w:rPr>
          <w:rFonts w:hint="eastAsia" w:ascii="宋体" w:hAnsi="宋体" w:eastAsia="宋体" w:cs="宋体"/>
          <w:color w:val="auto"/>
          <w:sz w:val="21"/>
          <w:szCs w:val="21"/>
        </w:rPr>
        <w:t>对供应商澄清的要求予以答复，答复内容将在“</w:t>
      </w:r>
      <w:r>
        <w:rPr>
          <w:rFonts w:hint="eastAsia" w:ascii="宋体" w:hAnsi="宋体" w:cs="宋体"/>
          <w:color w:val="auto"/>
          <w:sz w:val="21"/>
          <w:szCs w:val="21"/>
          <w:lang w:eastAsia="zh-CN"/>
        </w:rPr>
        <w:t>浙江政府采购</w:t>
      </w:r>
      <w:r>
        <w:rPr>
          <w:rFonts w:hint="eastAsia" w:ascii="宋体" w:hAnsi="宋体" w:eastAsia="宋体" w:cs="宋体"/>
          <w:color w:val="auto"/>
          <w:sz w:val="21"/>
          <w:szCs w:val="21"/>
        </w:rPr>
        <w:t>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"http://60.190.126.3:8080/wcm/WCMV6/editor/editor/招标文件（新版）.doc"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http://zfcg.czt.zj.gov.cn/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）上予以公布，并且采购代理机构将根据供应商报名时填写的传真号码将答复内容传真给供应商，请供应商在报名时正确填写传真号码及务必关注相关网站，否则，所造成的一切风险由供应商自行承担。</w:t>
      </w:r>
    </w:p>
    <w:p>
      <w:pPr>
        <w:pStyle w:val="4"/>
        <w:keepNext w:val="0"/>
        <w:keepLines w:val="0"/>
        <w:pageBreakBefore w:val="0"/>
        <w:widowControl w:val="0"/>
        <w:kinsoku/>
        <w:wordWrap/>
        <w:overflowPunct/>
        <w:topLinePunct w:val="0"/>
        <w:autoSpaceDE/>
        <w:autoSpaceDN/>
        <w:bidi w:val="0"/>
        <w:spacing w:before="0" w:after="0" w:line="360" w:lineRule="exact"/>
        <w:ind w:firstLine="209" w:firstLineChars="99"/>
        <w:rPr>
          <w:rFonts w:hint="eastAsia" w:ascii="宋体" w:hAnsi="宋体" w:eastAsia="宋体" w:cs="宋体"/>
          <w:color w:val="auto"/>
          <w:sz w:val="21"/>
          <w:szCs w:val="21"/>
        </w:rPr>
      </w:pPr>
      <w:bookmarkStart w:id="45" w:name="_Toc18524"/>
      <w:bookmarkStart w:id="46" w:name="_Toc455130388"/>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 xml:space="preserve">  质疑</w:t>
      </w:r>
      <w:bookmarkEnd w:id="40"/>
      <w:bookmarkEnd w:id="41"/>
      <w:bookmarkEnd w:id="42"/>
      <w:bookmarkEnd w:id="43"/>
      <w:bookmarkEnd w:id="45"/>
      <w:bookmarkEnd w:id="46"/>
    </w:p>
    <w:p>
      <w:pPr>
        <w:pStyle w:val="13"/>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47" w:name="_Toc390938585"/>
      <w:bookmarkStart w:id="48" w:name="_Toc334087238"/>
      <w:bookmarkStart w:id="49" w:name="_Toc335664280"/>
      <w:r>
        <w:rPr>
          <w:rFonts w:hint="eastAsia" w:ascii="宋体" w:hAnsi="宋体" w:eastAsia="宋体" w:cs="宋体"/>
          <w:color w:val="auto"/>
          <w:sz w:val="21"/>
          <w:szCs w:val="21"/>
        </w:rPr>
        <w:t>29.供应商认为磋商文件、采购过程和成交结果使自己的权益受到损害的，按本竞争性磋商文件及政府采购相关法律法规要求，以书面形式一次性向采购代理机构提出质疑。</w:t>
      </w:r>
    </w:p>
    <w:p>
      <w:pPr>
        <w:pStyle w:val="4"/>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50" w:name="_Toc6856"/>
      <w:bookmarkStart w:id="51" w:name="_Toc455130389"/>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 xml:space="preserve">  投诉</w:t>
      </w:r>
      <w:bookmarkEnd w:id="47"/>
      <w:bookmarkEnd w:id="48"/>
      <w:bookmarkEnd w:id="49"/>
      <w:bookmarkEnd w:id="50"/>
      <w:bookmarkEnd w:id="51"/>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52" w:name="_Toc390938586"/>
      <w:bookmarkStart w:id="53" w:name="_Toc334087239"/>
      <w:bookmarkStart w:id="54" w:name="_Toc335664281"/>
      <w:r>
        <w:rPr>
          <w:rFonts w:hint="eastAsia" w:ascii="宋体" w:hAnsi="宋体" w:eastAsia="宋体" w:cs="宋体"/>
          <w:color w:val="auto"/>
          <w:sz w:val="21"/>
          <w:szCs w:val="21"/>
        </w:rPr>
        <w:t>30.质疑供应商对采购代理机构的答复不满意或者采购代理机构未在规定时间内答复的，可以在答复期满后十五个工作日内按有关规定，向采购人上级主管部门投诉。</w:t>
      </w:r>
    </w:p>
    <w:p>
      <w:pPr>
        <w:pStyle w:val="4"/>
        <w:keepNext w:val="0"/>
        <w:keepLines w:val="0"/>
        <w:pageBreakBefore w:val="0"/>
        <w:widowControl w:val="0"/>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55" w:name="_Toc455130390"/>
      <w:bookmarkStart w:id="56" w:name="_Toc552"/>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 xml:space="preserve">   授予合同</w:t>
      </w:r>
      <w:bookmarkEnd w:id="44"/>
      <w:bookmarkEnd w:id="52"/>
      <w:bookmarkEnd w:id="53"/>
      <w:bookmarkEnd w:id="54"/>
      <w:bookmarkEnd w:id="55"/>
      <w:bookmarkEnd w:id="56"/>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bookmarkStart w:id="57" w:name="_Toc107820052"/>
      <w:bookmarkStart w:id="58" w:name="_Toc15813254"/>
      <w:bookmarkStart w:id="59" w:name="_Toc47756031"/>
      <w:bookmarkStart w:id="60" w:name="_Toc45506731"/>
      <w:bookmarkStart w:id="61" w:name="_Toc334087240"/>
      <w:bookmarkStart w:id="62" w:name="_Toc15805937"/>
      <w:r>
        <w:rPr>
          <w:rFonts w:hint="eastAsia" w:ascii="宋体" w:hAnsi="宋体" w:eastAsia="宋体" w:cs="宋体"/>
          <w:color w:val="auto"/>
          <w:sz w:val="21"/>
          <w:szCs w:val="21"/>
        </w:rPr>
        <w:t>31.资格最终审查</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31.1采购人和采购代理机构将审查成交供应商的财务、技术、生产和供货能力及信誉,确定其是否能圆满地履行合同。</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32.成交公告及成交通知书</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32.1成交供应商确定后，采购代理机构将在“浙江政府采购网”上发布成交公告，并以书面形式向成交供应商发成交通知书，成交通知书将作为签订合同的依据。</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32.2成交公告发出届满之日起的法定质疑期限内，如有质疑、投诉情形的，采购人应暂缓与成交供应商签订合同。</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33.授予合同时变更数量的权力</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33.1采购人需追加与合同标的相同的货物、工程或者服务的，在不改变合同其他条款的前提下，可以与成交供应商签订补充合同。</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34.签订合同</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34.1采购人与成交供应商应当在成交通知书发出之日起30日内，按照磋商文件确定的合同文本以及采购标的、规格型号、采购金额、采购数量、技术和服务要求等事项签订采购合同。</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成交供应商拒绝签订采购合同的，采购人可以按照有关规定确定其他供应商作为成交供应商并签订采购合同，也可以重新开展采购活动。拒绝签订采购合同的成交供应商不得参加对该项目重新开展的采购活动。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34.2磋商文件、成交供应商的响应文件及其澄清文件等,均为签订合同的依据。</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34.3成交供应商不遵守磋商文件和响应文件的要约条款及所作的承诺,擅自修改磋商内容或在接到成交通知书30天内,无故拖延、拒签合同者,采购代理机构和采购人将不退还磋商保证金。同时,采购代理机构和采购人有权取消竞争性磋商供应商的成交资格。</w:t>
      </w:r>
    </w:p>
    <w:p>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sz w:val="21"/>
          <w:szCs w:val="21"/>
        </w:rPr>
      </w:pPr>
    </w:p>
    <w:p>
      <w:pPr>
        <w:pStyle w:val="4"/>
        <w:keepNext w:val="0"/>
        <w:keepLines w:val="0"/>
        <w:pageBreakBefore w:val="0"/>
        <w:widowControl w:val="0"/>
        <w:tabs>
          <w:tab w:val="left" w:pos="3405"/>
        </w:tabs>
        <w:kinsoku/>
        <w:wordWrap/>
        <w:overflowPunct/>
        <w:topLinePunct w:val="0"/>
        <w:autoSpaceDE/>
        <w:autoSpaceDN/>
        <w:bidi w:val="0"/>
        <w:spacing w:before="0" w:after="0" w:line="360" w:lineRule="exact"/>
        <w:ind w:firstLine="211" w:firstLineChars="100"/>
        <w:rPr>
          <w:rFonts w:hint="eastAsia" w:ascii="宋体" w:hAnsi="宋体" w:eastAsia="宋体" w:cs="宋体"/>
          <w:color w:val="auto"/>
          <w:sz w:val="21"/>
          <w:szCs w:val="21"/>
        </w:rPr>
      </w:pPr>
      <w:bookmarkStart w:id="63" w:name="_Toc390938587"/>
      <w:bookmarkStart w:id="64" w:name="_Toc335664282"/>
      <w:bookmarkStart w:id="65" w:name="_Toc455130391"/>
      <w:bookmarkStart w:id="66" w:name="_Toc7695"/>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 xml:space="preserve">   其他事项</w:t>
      </w:r>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35. 解释权 </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35.1本</w:t>
      </w:r>
      <w:r>
        <w:rPr>
          <w:rFonts w:hint="eastAsia" w:ascii="宋体" w:hAnsi="宋体" w:eastAsia="宋体" w:cs="宋体"/>
          <w:color w:val="auto"/>
          <w:sz w:val="21"/>
          <w:szCs w:val="21"/>
        </w:rPr>
        <w:t>磋商</w:t>
      </w:r>
      <w:r>
        <w:rPr>
          <w:rFonts w:hint="eastAsia" w:ascii="宋体" w:hAnsi="宋体" w:eastAsia="宋体" w:cs="宋体"/>
          <w:bCs/>
          <w:color w:val="auto"/>
          <w:sz w:val="21"/>
          <w:szCs w:val="21"/>
        </w:rPr>
        <w:t>文件是根据国家有关法律、法规、规章和有关规定编制的,解释权属采购代理机构。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36. 采购代理机构对决标结果不负责解释。</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37.采购代理服务费:</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38.代理服务费标准：由中标供应商支付代理服务费，由中标单位在收到中标通知书之前，</w:t>
      </w:r>
      <w:r>
        <w:rPr>
          <w:rFonts w:hint="eastAsia" w:ascii="宋体" w:hAnsi="宋体" w:cs="宋体"/>
          <w:b/>
          <w:bCs/>
          <w:color w:val="000000"/>
        </w:rPr>
        <w:t>招标代理服务费参照计价格[2002]1980号文件</w:t>
      </w:r>
      <w:r>
        <w:rPr>
          <w:rFonts w:hint="eastAsia" w:ascii="宋体" w:hAnsi="宋体" w:cs="宋体"/>
          <w:b/>
          <w:bCs/>
          <w:color w:val="000000"/>
          <w:u w:val="single"/>
        </w:rPr>
        <w:t xml:space="preserve"> 服务类 </w:t>
      </w:r>
      <w:r>
        <w:rPr>
          <w:rFonts w:hint="eastAsia" w:ascii="宋体" w:hAnsi="宋体" w:cs="宋体"/>
          <w:b/>
          <w:bCs/>
          <w:color w:val="000000"/>
        </w:rPr>
        <w:t>收费标准差额定率累进法计算后</w:t>
      </w:r>
      <w:r>
        <w:rPr>
          <w:rFonts w:hint="eastAsia" w:ascii="宋体" w:hAnsi="宋体" w:cs="宋体"/>
          <w:b/>
          <w:bCs/>
          <w:color w:val="000000"/>
          <w:u w:val="single"/>
        </w:rPr>
        <w:t xml:space="preserve"> 75% </w:t>
      </w:r>
      <w:r>
        <w:rPr>
          <w:rFonts w:hint="eastAsia" w:ascii="宋体" w:hAnsi="宋体" w:cs="宋体"/>
          <w:b/>
          <w:bCs/>
          <w:color w:val="000000"/>
        </w:rPr>
        <w:t>收取</w:t>
      </w:r>
      <w:r>
        <w:rPr>
          <w:rFonts w:hint="eastAsia" w:ascii="宋体" w:hAnsi="宋体" w:cs="宋体"/>
          <w:b/>
          <w:bCs/>
          <w:color w:val="000000"/>
          <w:szCs w:val="21"/>
        </w:rPr>
        <w:t>，</w:t>
      </w:r>
      <w:r>
        <w:rPr>
          <w:rFonts w:hint="eastAsia" w:ascii="宋体" w:hAnsi="宋体" w:eastAsia="宋体" w:cs="宋体"/>
          <w:b/>
          <w:color w:val="auto"/>
          <w:sz w:val="21"/>
          <w:szCs w:val="21"/>
        </w:rPr>
        <w:t>向招标代理机构支付。</w:t>
      </w:r>
    </w:p>
    <w:tbl>
      <w:tblPr>
        <w:tblStyle w:val="23"/>
        <w:tblW w:w="9998" w:type="dxa"/>
        <w:tblInd w:w="98" w:type="dxa"/>
        <w:tblLayout w:type="fixed"/>
        <w:tblCellMar>
          <w:top w:w="0" w:type="dxa"/>
          <w:left w:w="10" w:type="dxa"/>
          <w:bottom w:w="0" w:type="dxa"/>
          <w:right w:w="10" w:type="dxa"/>
        </w:tblCellMar>
      </w:tblPr>
      <w:tblGrid>
        <w:gridCol w:w="2512"/>
        <w:gridCol w:w="2216"/>
        <w:gridCol w:w="2581"/>
        <w:gridCol w:w="2689"/>
      </w:tblGrid>
      <w:tr>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中标金额（万元）</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货物招标</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服务招标</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工程招标</w:t>
            </w:r>
          </w:p>
        </w:tc>
      </w:tr>
      <w:tr>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100以下</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1.5%</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w:t>
            </w:r>
          </w:p>
        </w:tc>
      </w:tr>
      <w:tr>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100-500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1.1%</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0.8%</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0.7%</w:t>
            </w:r>
          </w:p>
        </w:tc>
      </w:tr>
      <w:tr>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500-1000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0.8%</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0.45%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0.55%</w:t>
            </w:r>
          </w:p>
        </w:tc>
      </w:tr>
      <w:tr>
        <w:tblPrEx>
          <w:tblCellMar>
            <w:top w:w="0" w:type="dxa"/>
            <w:left w:w="10" w:type="dxa"/>
            <w:bottom w:w="0" w:type="dxa"/>
            <w:right w:w="10" w:type="dxa"/>
          </w:tblCellMar>
        </w:tblPrEx>
        <w:trPr>
          <w:trHeight w:val="384"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1000-5000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0.5%</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0.25%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pageBreakBefore w:val="0"/>
              <w:kinsoku/>
              <w:overflowPunct/>
              <w:topLinePunct w:val="0"/>
              <w:bidi w:val="0"/>
              <w:spacing w:line="400" w:lineRule="exact"/>
              <w:jc w:val="center"/>
              <w:rPr>
                <w:rFonts w:hint="eastAsia" w:ascii="宋体" w:hAnsi="宋体" w:cs="宋体"/>
                <w:color w:val="auto"/>
                <w:szCs w:val="21"/>
              </w:rPr>
            </w:pPr>
            <w:r>
              <w:rPr>
                <w:rFonts w:hint="eastAsia" w:ascii="宋体" w:hAnsi="宋体" w:cs="宋体"/>
                <w:color w:val="auto"/>
                <w:szCs w:val="21"/>
              </w:rPr>
              <w:t>0.35%</w:t>
            </w:r>
          </w:p>
        </w:tc>
      </w:tr>
    </w:tbl>
    <w:p>
      <w:pPr>
        <w:pageBreakBefore w:val="0"/>
        <w:tabs>
          <w:tab w:val="left" w:pos="1080"/>
        </w:tabs>
        <w:kinsoku/>
        <w:overflowPunct/>
        <w:topLinePunct w:val="0"/>
        <w:bidi w:val="0"/>
        <w:spacing w:line="400" w:lineRule="exact"/>
        <w:ind w:firstLine="0" w:firstLineChars="0"/>
        <w:jc w:val="center"/>
        <w:outlineLvl w:val="9"/>
        <w:rPr>
          <w:rStyle w:val="28"/>
          <w:rFonts w:hint="eastAsia" w:hAnsi="Calibri" w:cs="Times New Roman"/>
          <w:bCs w:val="0"/>
          <w:color w:val="auto"/>
          <w:sz w:val="30"/>
          <w:szCs w:val="30"/>
          <w:lang w:val="en-US" w:eastAsia="zh-CN" w:bidi="ar-SA"/>
        </w:rPr>
      </w:pPr>
      <w:bookmarkStart w:id="67" w:name="_Toc48143001"/>
      <w:bookmarkStart w:id="68" w:name="_Toc490043768"/>
      <w:bookmarkStart w:id="69" w:name="_Toc457320293"/>
    </w:p>
    <w:p>
      <w:pPr>
        <w:pStyle w:val="9"/>
        <w:rPr>
          <w:rStyle w:val="28"/>
          <w:rFonts w:hint="eastAsia" w:hAnsi="Calibri" w:cs="Times New Roman"/>
          <w:bCs w:val="0"/>
          <w:color w:val="auto"/>
          <w:sz w:val="30"/>
          <w:szCs w:val="30"/>
          <w:lang w:val="en-US" w:eastAsia="zh-CN" w:bidi="ar-SA"/>
        </w:rPr>
      </w:pPr>
    </w:p>
    <w:p>
      <w:pPr>
        <w:pStyle w:val="9"/>
        <w:rPr>
          <w:rStyle w:val="28"/>
          <w:rFonts w:hint="eastAsia" w:hAnsi="Calibri" w:cs="Times New Roman"/>
          <w:bCs w:val="0"/>
          <w:color w:val="auto"/>
          <w:sz w:val="30"/>
          <w:szCs w:val="30"/>
          <w:lang w:val="en-US" w:eastAsia="zh-CN" w:bidi="ar-SA"/>
        </w:rPr>
      </w:pPr>
    </w:p>
    <w:p>
      <w:pPr>
        <w:pStyle w:val="9"/>
        <w:rPr>
          <w:rStyle w:val="28"/>
          <w:rFonts w:hint="eastAsia" w:hAnsi="Calibri" w:cs="Times New Roman"/>
          <w:bCs w:val="0"/>
          <w:color w:val="auto"/>
          <w:sz w:val="30"/>
          <w:szCs w:val="30"/>
          <w:lang w:val="en-US" w:eastAsia="zh-CN" w:bidi="ar-SA"/>
        </w:rPr>
      </w:pPr>
    </w:p>
    <w:p>
      <w:pPr>
        <w:pStyle w:val="9"/>
        <w:rPr>
          <w:rStyle w:val="28"/>
          <w:rFonts w:hint="eastAsia" w:hAnsi="Calibri" w:cs="Times New Roman"/>
          <w:bCs w:val="0"/>
          <w:color w:val="auto"/>
          <w:sz w:val="30"/>
          <w:szCs w:val="30"/>
          <w:lang w:val="en-US" w:eastAsia="zh-CN" w:bidi="ar-SA"/>
        </w:rPr>
      </w:pPr>
    </w:p>
    <w:p>
      <w:pPr>
        <w:pStyle w:val="9"/>
        <w:rPr>
          <w:rStyle w:val="28"/>
          <w:rFonts w:hint="eastAsia" w:hAnsi="Calibri" w:cs="Times New Roman"/>
          <w:bCs w:val="0"/>
          <w:color w:val="auto"/>
          <w:sz w:val="30"/>
          <w:szCs w:val="30"/>
          <w:lang w:val="en-US" w:eastAsia="zh-CN" w:bidi="ar-SA"/>
        </w:rPr>
      </w:pPr>
    </w:p>
    <w:p>
      <w:pPr>
        <w:pStyle w:val="9"/>
        <w:rPr>
          <w:rStyle w:val="28"/>
          <w:rFonts w:hint="eastAsia" w:hAnsi="Calibri" w:cs="Times New Roman"/>
          <w:bCs w:val="0"/>
          <w:color w:val="auto"/>
          <w:sz w:val="30"/>
          <w:szCs w:val="30"/>
          <w:lang w:val="en-US" w:eastAsia="zh-CN" w:bidi="ar-SA"/>
        </w:rPr>
      </w:pPr>
    </w:p>
    <w:p>
      <w:pPr>
        <w:pStyle w:val="3"/>
        <w:pageBreakBefore w:val="0"/>
        <w:tabs>
          <w:tab w:val="left" w:pos="1080"/>
        </w:tabs>
        <w:kinsoku/>
        <w:overflowPunct/>
        <w:topLinePunct w:val="0"/>
        <w:bidi w:val="0"/>
        <w:spacing w:line="600" w:lineRule="auto"/>
        <w:ind w:firstLine="0" w:firstLineChars="0"/>
        <w:jc w:val="both"/>
        <w:outlineLvl w:val="0"/>
        <w:rPr>
          <w:rFonts w:hint="eastAsia" w:ascii="宋体" w:hAnsi="宋体" w:eastAsia="宋体" w:cs="宋体"/>
          <w:b/>
          <w:bCs/>
          <w:color w:val="auto"/>
          <w:kern w:val="0"/>
          <w:sz w:val="24"/>
          <w:szCs w:val="24"/>
          <w:lang w:val="en-US" w:eastAsia="zh-CN" w:bidi="ar-SA"/>
        </w:rPr>
      </w:pPr>
      <w:bookmarkStart w:id="70" w:name="_Toc19060"/>
    </w:p>
    <w:p>
      <w:pPr>
        <w:rPr>
          <w:rFonts w:hint="eastAsia"/>
          <w:color w:val="auto"/>
          <w:lang w:val="en-US" w:eastAsia="zh-CN"/>
        </w:rPr>
      </w:pPr>
    </w:p>
    <w:p>
      <w:pPr>
        <w:pStyle w:val="3"/>
        <w:pageBreakBefore w:val="0"/>
        <w:tabs>
          <w:tab w:val="left" w:pos="1080"/>
        </w:tabs>
        <w:kinsoku/>
        <w:overflowPunct/>
        <w:topLinePunct w:val="0"/>
        <w:bidi w:val="0"/>
        <w:spacing w:line="600" w:lineRule="auto"/>
        <w:ind w:firstLine="0" w:firstLineChars="0"/>
        <w:jc w:val="center"/>
        <w:outlineLvl w:val="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第四章  合同格式</w:t>
      </w:r>
      <w:bookmarkEnd w:id="67"/>
      <w:bookmarkEnd w:id="68"/>
      <w:bookmarkEnd w:id="69"/>
      <w:r>
        <w:rPr>
          <w:rFonts w:hint="eastAsia" w:ascii="宋体" w:hAnsi="宋体" w:eastAsia="宋体" w:cs="宋体"/>
          <w:b/>
          <w:bCs/>
          <w:color w:val="auto"/>
          <w:kern w:val="0"/>
          <w:sz w:val="24"/>
          <w:szCs w:val="24"/>
          <w:lang w:val="en-US" w:eastAsia="zh-CN" w:bidi="ar-SA"/>
        </w:rPr>
        <w:t>（仅供参考）</w:t>
      </w:r>
      <w:bookmarkEnd w:id="70"/>
    </w:p>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bookmarkEnd w:id="29"/>
      <w:bookmarkEnd w:id="30"/>
      <w:bookmarkStart w:id="71" w:name="_Toc390938597"/>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合同编号：</w:t>
      </w:r>
    </w:p>
    <w:p>
      <w:pPr>
        <w:adjustRightInd w:val="0"/>
        <w:snapToGrid w:val="0"/>
        <w:spacing w:line="520" w:lineRule="exact"/>
        <w:ind w:firstLine="422" w:firstLineChars="200"/>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甲方：</w:t>
      </w:r>
      <w:r>
        <w:rPr>
          <w:rFonts w:hint="eastAsia" w:ascii="宋体" w:hAnsi="宋体" w:cs="宋体"/>
          <w:b/>
          <w:bCs/>
          <w:color w:val="auto"/>
          <w:sz w:val="21"/>
          <w:szCs w:val="21"/>
          <w:lang w:eastAsia="zh-CN"/>
        </w:rPr>
        <w:t>青田县残疾人联合会</w:t>
      </w:r>
    </w:p>
    <w:p>
      <w:pPr>
        <w:adjustRightInd w:val="0"/>
        <w:snapToGrid w:val="0"/>
        <w:spacing w:line="520" w:lineRule="exact"/>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地址：</w:t>
      </w:r>
    </w:p>
    <w:p>
      <w:pPr>
        <w:adjustRightInd w:val="0"/>
        <w:snapToGrid w:val="0"/>
        <w:spacing w:line="520" w:lineRule="exact"/>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pPr>
        <w:adjustRightInd w:val="0"/>
        <w:snapToGrid w:val="0"/>
        <w:spacing w:line="520" w:lineRule="exact"/>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地址：</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根据有关法律、法规和政策，通过</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rPr>
        <w:t>方式，</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获得了</w:t>
      </w:r>
      <w:r>
        <w:rPr>
          <w:rFonts w:hint="eastAsia" w:ascii="宋体" w:hAnsi="宋体" w:cs="宋体"/>
          <w:color w:val="auto"/>
          <w:sz w:val="24"/>
          <w:szCs w:val="24"/>
          <w:lang w:eastAsia="zh-CN"/>
        </w:rPr>
        <w:t>青田县残疾人托养中心委托运营管理项目</w:t>
      </w:r>
      <w:r>
        <w:rPr>
          <w:rFonts w:hint="eastAsia" w:ascii="宋体" w:hAnsi="宋体" w:eastAsia="宋体" w:cs="宋体"/>
          <w:color w:val="auto"/>
          <w:sz w:val="24"/>
          <w:szCs w:val="24"/>
        </w:rPr>
        <w:t>，</w:t>
      </w:r>
      <w:r>
        <w:rPr>
          <w:rFonts w:hint="eastAsia" w:ascii="宋体" w:hAnsi="宋体" w:cs="宋体"/>
          <w:color w:val="auto"/>
          <w:sz w:val="24"/>
          <w:szCs w:val="24"/>
          <w:lang w:eastAsia="zh-CN"/>
        </w:rPr>
        <w:t>青田县残疾人联合会</w:t>
      </w:r>
      <w:r>
        <w:rPr>
          <w:rFonts w:hint="eastAsia" w:ascii="宋体" w:hAnsi="宋体" w:eastAsia="宋体" w:cs="宋体"/>
          <w:color w:val="auto"/>
          <w:sz w:val="24"/>
          <w:szCs w:val="24"/>
        </w:rPr>
        <w:t>（以下简称甲方）决定将</w:t>
      </w:r>
      <w:r>
        <w:rPr>
          <w:rFonts w:hint="eastAsia" w:ascii="宋体" w:hAnsi="宋体" w:cs="宋体"/>
          <w:color w:val="auto"/>
          <w:sz w:val="24"/>
          <w:szCs w:val="24"/>
          <w:lang w:eastAsia="zh-CN"/>
        </w:rPr>
        <w:t>青田县</w:t>
      </w:r>
      <w:r>
        <w:rPr>
          <w:rFonts w:hint="eastAsia" w:ascii="宋体" w:hAnsi="宋体" w:eastAsia="宋体" w:cs="宋体"/>
          <w:color w:val="auto"/>
          <w:sz w:val="24"/>
          <w:szCs w:val="24"/>
        </w:rPr>
        <w:t>残疾人托养中心整体交付给</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以下简称乙方）运营管理。为加强残疾人托养机构服务规范化管理，提升残疾人托养服务水平，促进残疾人托养服务健康发展，确保国有资产安全，明确各方的权利和义务，甲乙双方经协商一致，特订立本合同。</w:t>
      </w:r>
    </w:p>
    <w:p>
      <w:pPr>
        <w:adjustRightInd w:val="0"/>
        <w:snapToGrid w:val="0"/>
        <w:spacing w:line="360" w:lineRule="auto"/>
        <w:jc w:val="center"/>
        <w:outlineLvl w:val="9"/>
        <w:rPr>
          <w:rFonts w:hint="eastAsia" w:ascii="宋体" w:hAnsi="宋体" w:eastAsia="宋体" w:cs="宋体"/>
          <w:b/>
          <w:bCs/>
          <w:color w:val="auto"/>
          <w:sz w:val="24"/>
          <w:szCs w:val="24"/>
        </w:rPr>
      </w:pPr>
      <w:bookmarkStart w:id="72" w:name="_Toc9008"/>
      <w:r>
        <w:rPr>
          <w:rFonts w:hint="eastAsia" w:ascii="宋体" w:hAnsi="宋体" w:eastAsia="宋体" w:cs="宋体"/>
          <w:b/>
          <w:bCs/>
          <w:color w:val="auto"/>
          <w:sz w:val="24"/>
          <w:szCs w:val="24"/>
        </w:rPr>
        <w:t>第一章  总则</w:t>
      </w:r>
      <w:bookmarkEnd w:id="72"/>
    </w:p>
    <w:p>
      <w:pPr>
        <w:adjustRightInd w:val="0"/>
        <w:snapToGrid w:val="0"/>
        <w:spacing w:line="360" w:lineRule="auto"/>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第一条 </w:t>
      </w:r>
      <w:r>
        <w:rPr>
          <w:rFonts w:hint="eastAsia" w:ascii="宋体" w:hAnsi="宋体" w:eastAsia="宋体" w:cs="宋体"/>
          <w:color w:val="auto"/>
          <w:sz w:val="24"/>
          <w:szCs w:val="24"/>
        </w:rPr>
        <w:t>该项目采取</w:t>
      </w:r>
      <w:r>
        <w:rPr>
          <w:rFonts w:hint="eastAsia" w:ascii="宋体" w:hAnsi="宋体" w:cs="宋体"/>
          <w:color w:val="auto"/>
          <w:sz w:val="24"/>
          <w:szCs w:val="24"/>
          <w:lang w:eastAsia="zh-CN"/>
        </w:rPr>
        <w:t>委托</w:t>
      </w:r>
      <w:r>
        <w:rPr>
          <w:rFonts w:hint="eastAsia" w:ascii="宋体" w:hAnsi="宋体" w:eastAsia="宋体" w:cs="宋体"/>
          <w:color w:val="auto"/>
          <w:sz w:val="24"/>
          <w:szCs w:val="24"/>
        </w:rPr>
        <w:t>运营的模式。甲方将</w:t>
      </w:r>
      <w:r>
        <w:rPr>
          <w:rFonts w:hint="eastAsia" w:ascii="宋体" w:hAnsi="宋体" w:cs="宋体"/>
          <w:color w:val="auto"/>
          <w:sz w:val="24"/>
          <w:szCs w:val="24"/>
          <w:lang w:eastAsia="zh-CN"/>
        </w:rPr>
        <w:t>青田县</w:t>
      </w:r>
      <w:r>
        <w:rPr>
          <w:rFonts w:hint="eastAsia" w:ascii="宋体" w:hAnsi="宋体" w:eastAsia="宋体" w:cs="宋体"/>
          <w:color w:val="auto"/>
          <w:sz w:val="24"/>
          <w:szCs w:val="24"/>
        </w:rPr>
        <w:t>残疾人托养中心整体交由乙方运营和管理。乙方独立负责项目合作期间的机构运行，服务管理、自主运营、自负盈亏。</w:t>
      </w:r>
    </w:p>
    <w:p>
      <w:pPr>
        <w:adjustRightInd w:val="0"/>
        <w:snapToGrid w:val="0"/>
        <w:spacing w:line="360" w:lineRule="auto"/>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第二条 </w:t>
      </w:r>
      <w:r>
        <w:rPr>
          <w:rFonts w:hint="eastAsia" w:ascii="宋体" w:hAnsi="宋体" w:eastAsia="宋体" w:cs="宋体"/>
          <w:color w:val="auto"/>
          <w:sz w:val="24"/>
          <w:szCs w:val="24"/>
        </w:rPr>
        <w:t>甲方拥有</w:t>
      </w:r>
      <w:r>
        <w:rPr>
          <w:rFonts w:hint="eastAsia" w:ascii="宋体" w:hAnsi="宋体" w:cs="宋体"/>
          <w:color w:val="auto"/>
          <w:sz w:val="24"/>
          <w:szCs w:val="24"/>
          <w:lang w:eastAsia="zh-CN"/>
        </w:rPr>
        <w:t>青田县</w:t>
      </w:r>
      <w:r>
        <w:rPr>
          <w:rFonts w:hint="eastAsia" w:ascii="宋体" w:hAnsi="宋体" w:eastAsia="宋体" w:cs="宋体"/>
          <w:color w:val="auto"/>
          <w:sz w:val="24"/>
          <w:szCs w:val="24"/>
        </w:rPr>
        <w:t>残疾人托养中心全部资产的所有权（包括双方在开办和运营期间投入的各类设备设施等</w:t>
      </w:r>
      <w:r>
        <w:rPr>
          <w:rFonts w:hint="default" w:ascii="宋体" w:hAnsi="宋体" w:cs="宋体"/>
          <w:color w:val="auto"/>
          <w:sz w:val="24"/>
          <w:szCs w:val="24"/>
        </w:rPr>
        <w:t>，但不含乙方自行投入的医疗设备</w:t>
      </w:r>
      <w:r>
        <w:rPr>
          <w:rFonts w:hint="eastAsia" w:ascii="宋体" w:hAnsi="宋体" w:eastAsia="宋体" w:cs="宋体"/>
          <w:color w:val="auto"/>
          <w:sz w:val="24"/>
          <w:szCs w:val="24"/>
        </w:rPr>
        <w:t>）。乙方不得出售、出租、出借国有资产；不得将国有资产进行抵押、质押；不得以</w:t>
      </w:r>
      <w:r>
        <w:rPr>
          <w:rFonts w:hint="eastAsia" w:ascii="宋体" w:hAnsi="宋体" w:cs="宋体"/>
          <w:color w:val="auto"/>
          <w:sz w:val="24"/>
          <w:szCs w:val="24"/>
          <w:lang w:eastAsia="zh-CN"/>
        </w:rPr>
        <w:t>青田县</w:t>
      </w:r>
      <w:r>
        <w:rPr>
          <w:rFonts w:hint="eastAsia" w:ascii="宋体" w:hAnsi="宋体" w:eastAsia="宋体" w:cs="宋体"/>
          <w:color w:val="auto"/>
          <w:sz w:val="24"/>
          <w:szCs w:val="24"/>
        </w:rPr>
        <w:t>残疾人托养中心名义对外实施担保活动；不得擅自改变使用功能；不得从事与本合同服务管理无关的活动；也不得将本项目转包、分包或者委托其它组织和个人经营。</w:t>
      </w:r>
    </w:p>
    <w:p>
      <w:pPr>
        <w:adjustRightInd w:val="0"/>
        <w:snapToGrid w:val="0"/>
        <w:spacing w:line="360" w:lineRule="auto"/>
        <w:ind w:firstLine="570"/>
        <w:jc w:val="center"/>
        <w:outlineLvl w:val="9"/>
        <w:rPr>
          <w:rFonts w:hint="default" w:ascii="宋体" w:hAnsi="宋体" w:eastAsia="宋体" w:cs="宋体"/>
          <w:b/>
          <w:bCs/>
          <w:color w:val="auto"/>
          <w:sz w:val="24"/>
          <w:szCs w:val="24"/>
          <w:lang w:val="en-US" w:eastAsia="zh-CN"/>
        </w:rPr>
      </w:pPr>
      <w:bookmarkStart w:id="73" w:name="_Toc26418"/>
      <w:r>
        <w:rPr>
          <w:rFonts w:hint="eastAsia" w:ascii="宋体" w:hAnsi="宋体" w:eastAsia="宋体" w:cs="宋体"/>
          <w:b/>
          <w:bCs/>
          <w:color w:val="auto"/>
          <w:sz w:val="24"/>
          <w:szCs w:val="24"/>
        </w:rPr>
        <w:t>第二章   运营期限</w:t>
      </w:r>
      <w:bookmarkEnd w:id="73"/>
      <w:r>
        <w:rPr>
          <w:rFonts w:hint="eastAsia" w:ascii="宋体" w:hAnsi="宋体" w:cs="宋体"/>
          <w:b/>
          <w:bCs/>
          <w:color w:val="auto"/>
          <w:sz w:val="24"/>
          <w:szCs w:val="24"/>
          <w:lang w:val="en-US" w:eastAsia="zh-CN"/>
        </w:rPr>
        <w:t>及设施使用费</w:t>
      </w:r>
    </w:p>
    <w:p>
      <w:pPr>
        <w:widowControl/>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运营期限：</w:t>
      </w:r>
    </w:p>
    <w:p>
      <w:pPr>
        <w:widowControl/>
        <w:spacing w:line="360" w:lineRule="auto"/>
        <w:ind w:firstLine="480" w:firstLineChars="200"/>
        <w:outlineLvl w:val="9"/>
        <w:rPr>
          <w:rFonts w:hint="eastAsia" w:ascii="宋体" w:hAnsi="宋体" w:cs="宋体"/>
          <w:color w:val="auto"/>
          <w:sz w:val="24"/>
          <w:highlight w:val="none"/>
        </w:rPr>
      </w:pPr>
      <w:r>
        <w:rPr>
          <w:rFonts w:hint="eastAsia" w:ascii="宋体" w:hAnsi="宋体" w:eastAsia="宋体" w:cs="宋体"/>
          <w:b w:val="0"/>
          <w:bCs w:val="0"/>
          <w:color w:val="auto"/>
          <w:sz w:val="24"/>
          <w:szCs w:val="24"/>
          <w:highlight w:val="none"/>
          <w:lang w:val="en-US" w:eastAsia="zh-CN"/>
        </w:rPr>
        <w:t>运营期限为</w:t>
      </w:r>
      <w:r>
        <w:rPr>
          <w:rFonts w:hint="default" w:ascii="宋体" w:hAnsi="宋体" w:cs="宋体"/>
          <w:b w:val="0"/>
          <w:bCs w:val="0"/>
          <w:color w:val="auto"/>
          <w:sz w:val="24"/>
          <w:szCs w:val="24"/>
          <w:highlight w:val="none"/>
          <w:lang w:eastAsia="zh-CN"/>
        </w:rPr>
        <w:t>15</w:t>
      </w:r>
      <w:r>
        <w:rPr>
          <w:rFonts w:hint="eastAsia" w:ascii="宋体" w:hAnsi="宋体" w:eastAsia="宋体" w:cs="宋体"/>
          <w:b w:val="0"/>
          <w:bCs w:val="0"/>
          <w:color w:val="auto"/>
          <w:sz w:val="24"/>
          <w:szCs w:val="24"/>
          <w:highlight w:val="none"/>
          <w:lang w:val="en-US" w:eastAsia="zh-CN"/>
        </w:rPr>
        <w:t>年</w:t>
      </w:r>
      <w:r>
        <w:rPr>
          <w:rFonts w:hint="default" w:ascii="宋体" w:hAnsi="宋体" w:cs="宋体"/>
          <w:b w:val="0"/>
          <w:bCs w:val="0"/>
          <w:color w:val="auto"/>
          <w:sz w:val="24"/>
          <w:szCs w:val="24"/>
          <w:highlight w:val="none"/>
          <w:lang w:eastAsia="zh-CN"/>
        </w:rPr>
        <w:t>，2024年</w:t>
      </w:r>
      <w:r>
        <w:rPr>
          <w:rFonts w:hint="default" w:ascii="宋体" w:hAnsi="宋体" w:cs="宋体"/>
          <w:b w:val="0"/>
          <w:bCs w:val="0"/>
          <w:color w:val="auto"/>
          <w:sz w:val="24"/>
          <w:szCs w:val="24"/>
          <w:highlight w:val="none"/>
          <w:u w:val="single"/>
          <w:lang w:eastAsia="zh-CN"/>
        </w:rPr>
        <w:t xml:space="preserve">    </w:t>
      </w:r>
      <w:r>
        <w:rPr>
          <w:rFonts w:hint="default" w:ascii="宋体" w:hAnsi="宋体" w:cs="宋体"/>
          <w:b w:val="0"/>
          <w:bCs w:val="0"/>
          <w:color w:val="auto"/>
          <w:sz w:val="24"/>
          <w:szCs w:val="24"/>
          <w:highlight w:val="none"/>
          <w:u w:val="none"/>
          <w:lang w:eastAsia="zh-CN"/>
        </w:rPr>
        <w:t>月</w:t>
      </w:r>
      <w:r>
        <w:rPr>
          <w:rFonts w:hint="default" w:ascii="宋体" w:hAnsi="宋体" w:cs="宋体"/>
          <w:b w:val="0"/>
          <w:bCs w:val="0"/>
          <w:color w:val="auto"/>
          <w:sz w:val="24"/>
          <w:szCs w:val="24"/>
          <w:highlight w:val="none"/>
          <w:u w:val="single"/>
          <w:lang w:eastAsia="zh-CN"/>
        </w:rPr>
        <w:t xml:space="preserve">    </w:t>
      </w:r>
      <w:r>
        <w:rPr>
          <w:rFonts w:hint="default" w:ascii="宋体" w:hAnsi="宋体" w:cs="宋体"/>
          <w:b w:val="0"/>
          <w:bCs w:val="0"/>
          <w:color w:val="auto"/>
          <w:sz w:val="24"/>
          <w:szCs w:val="24"/>
          <w:highlight w:val="none"/>
          <w:u w:val="none"/>
          <w:lang w:eastAsia="zh-CN"/>
        </w:rPr>
        <w:t>日至2039年</w:t>
      </w:r>
      <w:r>
        <w:rPr>
          <w:rFonts w:hint="default" w:ascii="宋体" w:hAnsi="宋体" w:cs="宋体"/>
          <w:b w:val="0"/>
          <w:bCs w:val="0"/>
          <w:color w:val="auto"/>
          <w:sz w:val="24"/>
          <w:szCs w:val="24"/>
          <w:highlight w:val="none"/>
          <w:u w:val="single"/>
          <w:lang w:eastAsia="zh-CN"/>
        </w:rPr>
        <w:t xml:space="preserve">    </w:t>
      </w:r>
      <w:r>
        <w:rPr>
          <w:rFonts w:hint="default" w:ascii="宋体" w:hAnsi="宋体" w:cs="宋体"/>
          <w:b w:val="0"/>
          <w:bCs w:val="0"/>
          <w:color w:val="auto"/>
          <w:sz w:val="24"/>
          <w:szCs w:val="24"/>
          <w:highlight w:val="none"/>
          <w:u w:val="none"/>
          <w:lang w:eastAsia="zh-CN"/>
        </w:rPr>
        <w:t>月</w:t>
      </w:r>
      <w:r>
        <w:rPr>
          <w:rFonts w:hint="default" w:ascii="宋体" w:hAnsi="宋体" w:cs="宋体"/>
          <w:b w:val="0"/>
          <w:bCs w:val="0"/>
          <w:color w:val="auto"/>
          <w:sz w:val="24"/>
          <w:szCs w:val="24"/>
          <w:highlight w:val="none"/>
          <w:u w:val="single"/>
          <w:lang w:eastAsia="zh-CN"/>
        </w:rPr>
        <w:t xml:space="preserve">    </w:t>
      </w:r>
      <w:r>
        <w:rPr>
          <w:rFonts w:hint="default" w:ascii="宋体" w:hAnsi="宋体" w:cs="宋体"/>
          <w:b w:val="0"/>
          <w:bCs w:val="0"/>
          <w:color w:val="auto"/>
          <w:sz w:val="24"/>
          <w:szCs w:val="24"/>
          <w:highlight w:val="none"/>
          <w:u w:val="none"/>
          <w:lang w:eastAsia="zh-CN"/>
        </w:rPr>
        <w:t>日</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服务期内的综合质量考评结果在良好等次及以上的，</w:t>
      </w:r>
      <w:r>
        <w:rPr>
          <w:rFonts w:hint="eastAsia" w:ascii="宋体" w:hAnsi="宋体" w:cs="宋体"/>
          <w:color w:val="auto"/>
          <w:sz w:val="24"/>
          <w:highlight w:val="none"/>
        </w:rPr>
        <w:t>运营到期前经双方协商，在同等条件下可优先续约。</w:t>
      </w:r>
    </w:p>
    <w:p>
      <w:pPr>
        <w:adjustRightInd w:val="0"/>
        <w:snapToGrid w:val="0"/>
        <w:spacing w:line="360" w:lineRule="auto"/>
        <w:ind w:firstLine="570"/>
        <w:outlineLvl w:val="9"/>
        <w:rPr>
          <w:rFonts w:hint="eastAsia"/>
          <w:color w:val="auto"/>
          <w:lang w:val="en-US" w:eastAsia="zh-CN"/>
        </w:rPr>
      </w:pPr>
      <w:r>
        <w:rPr>
          <w:rFonts w:hint="eastAsia"/>
          <w:color w:val="auto"/>
        </w:rPr>
        <w:t>乙方正式运营时间</w:t>
      </w:r>
      <w:r>
        <w:rPr>
          <w:rFonts w:hint="eastAsia"/>
          <w:color w:val="auto"/>
          <w:lang w:eastAsia="zh-CN"/>
        </w:rPr>
        <w:t>最迟</w:t>
      </w:r>
      <w:r>
        <w:rPr>
          <w:rFonts w:hint="eastAsia"/>
          <w:color w:val="auto"/>
        </w:rPr>
        <w:t>不得</w:t>
      </w:r>
      <w:r>
        <w:rPr>
          <w:rFonts w:hint="eastAsia"/>
          <w:color w:val="auto"/>
          <w:lang w:eastAsia="zh-CN"/>
        </w:rPr>
        <w:t>晚于</w:t>
      </w:r>
      <w:r>
        <w:rPr>
          <w:rFonts w:hint="eastAsia" w:ascii="宋体" w:hAnsi="宋体" w:eastAsia="宋体" w:cs="宋体"/>
          <w:color w:val="auto"/>
          <w:sz w:val="24"/>
          <w:szCs w:val="24"/>
          <w:highlight w:val="none"/>
          <w:u w:val="single"/>
          <w:lang w:val="en-US" w:eastAsia="zh-CN"/>
        </w:rPr>
        <w:t>2024</w:t>
      </w:r>
      <w:r>
        <w:rPr>
          <w:rFonts w:hint="eastAsia"/>
          <w:color w:val="auto"/>
          <w:u w:val="none"/>
        </w:rPr>
        <w:t>年</w:t>
      </w:r>
      <w:r>
        <w:rPr>
          <w:rFonts w:hint="eastAsia"/>
          <w:color w:val="auto"/>
          <w:u w:val="single"/>
          <w:lang w:val="en-US" w:eastAsia="zh-CN"/>
        </w:rPr>
        <w:t xml:space="preserve">    </w:t>
      </w:r>
      <w:r>
        <w:rPr>
          <w:rFonts w:hint="eastAsia"/>
          <w:color w:val="auto"/>
          <w:u w:val="none"/>
        </w:rPr>
        <w:t>月</w:t>
      </w:r>
      <w:r>
        <w:rPr>
          <w:rFonts w:hint="eastAsia"/>
          <w:color w:val="auto"/>
          <w:u w:val="single"/>
          <w:lang w:val="en-US" w:eastAsia="zh-CN"/>
        </w:rPr>
        <w:t xml:space="preserve">    </w:t>
      </w:r>
      <w:r>
        <w:rPr>
          <w:rFonts w:hint="eastAsia"/>
          <w:color w:val="auto"/>
          <w:u w:val="none"/>
        </w:rPr>
        <w:t>日</w:t>
      </w:r>
      <w:r>
        <w:rPr>
          <w:rFonts w:hint="eastAsia"/>
          <w:color w:val="auto"/>
        </w:rPr>
        <w:t>。</w:t>
      </w:r>
    </w:p>
    <w:p>
      <w:pPr>
        <w:pStyle w:val="27"/>
        <w:spacing w:line="360" w:lineRule="auto"/>
        <w:rPr>
          <w:rFonts w:hint="eastAsia" w:hAnsi="宋体" w:cs="宋体"/>
          <w:b/>
          <w:bCs/>
          <w:color w:val="auto"/>
          <w:spacing w:val="-4"/>
          <w:sz w:val="24"/>
          <w:szCs w:val="24"/>
          <w:lang w:val="en-US" w:eastAsia="zh-CN"/>
        </w:rPr>
      </w:pPr>
      <w:r>
        <w:rPr>
          <w:rFonts w:hint="eastAsia" w:ascii="宋体" w:hAnsi="宋体" w:eastAsia="宋体" w:cs="宋体"/>
          <w:b/>
          <w:bCs/>
          <w:color w:val="auto"/>
          <w:spacing w:val="-4"/>
          <w:sz w:val="24"/>
          <w:szCs w:val="24"/>
        </w:rPr>
        <w:t>第四条</w:t>
      </w:r>
      <w:r>
        <w:rPr>
          <w:rFonts w:hint="eastAsia" w:hAnsi="宋体" w:cs="宋体"/>
          <w:b/>
          <w:bCs/>
          <w:color w:val="auto"/>
          <w:spacing w:val="-4"/>
          <w:sz w:val="24"/>
          <w:szCs w:val="24"/>
          <w:lang w:val="en-US" w:eastAsia="zh-CN"/>
        </w:rPr>
        <w:t xml:space="preserve"> 设施使用费</w:t>
      </w:r>
    </w:p>
    <w:p>
      <w:pPr>
        <w:adjustRightInd w:val="0"/>
        <w:snapToGrid w:val="0"/>
        <w:spacing w:line="360" w:lineRule="auto"/>
        <w:ind w:firstLine="480" w:firstLineChars="200"/>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甲方</w:t>
      </w:r>
      <w:r>
        <w:rPr>
          <w:rFonts w:hint="eastAsia" w:ascii="宋体" w:hAnsi="宋体" w:eastAsia="宋体" w:cs="宋体"/>
          <w:color w:val="auto"/>
          <w:sz w:val="24"/>
          <w:szCs w:val="24"/>
          <w:highlight w:val="none"/>
          <w:lang w:val="en-US" w:eastAsia="zh-CN"/>
        </w:rPr>
        <w:t>按年向托养中心运营方收取托养中心租金。托养中心交付使用之日起的第1年至第5年每年的租金为5万元（第1年、第2年每年平均托养人数若少于50人，前2年每年租金为1万元）；</w:t>
      </w:r>
      <w:r>
        <w:rPr>
          <w:rFonts w:hint="eastAsia" w:ascii="宋体" w:hAnsi="宋体" w:eastAsia="宋体" w:cs="宋体"/>
          <w:color w:val="auto"/>
          <w:sz w:val="24"/>
          <w:szCs w:val="24"/>
          <w:highlight w:val="none"/>
          <w:u w:val="none"/>
          <w:lang w:val="en-US" w:eastAsia="zh-CN"/>
        </w:rPr>
        <w:t>第</w:t>
      </w:r>
      <w:r>
        <w:rPr>
          <w:rFonts w:hint="eastAsia" w:ascii="宋体" w:hAnsi="宋体" w:eastAsia="宋体" w:cs="宋体"/>
          <w:color w:val="auto"/>
          <w:sz w:val="24"/>
          <w:szCs w:val="24"/>
          <w:u w:val="none"/>
          <w:lang w:val="en-US" w:eastAsia="zh-CN"/>
        </w:rPr>
        <w:t>6年至第</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年每</w:t>
      </w:r>
      <w:r>
        <w:rPr>
          <w:rFonts w:hint="eastAsia" w:ascii="宋体" w:hAnsi="宋体" w:eastAsia="宋体" w:cs="宋体"/>
          <w:color w:val="auto"/>
          <w:sz w:val="24"/>
          <w:szCs w:val="24"/>
          <w:lang w:val="en-US" w:eastAsia="zh-CN"/>
        </w:rPr>
        <w:t>年的租金为</w:t>
      </w:r>
      <w:r>
        <w:rPr>
          <w:rFonts w:hint="default" w:ascii="宋体" w:hAnsi="宋体" w:cs="宋体"/>
          <w:color w:val="auto"/>
          <w:sz w:val="24"/>
          <w:szCs w:val="24"/>
          <w:lang w:eastAsia="zh-CN"/>
        </w:rPr>
        <w:t>10</w:t>
      </w:r>
      <w:r>
        <w:rPr>
          <w:rFonts w:hint="eastAsia" w:ascii="宋体" w:hAnsi="宋体" w:eastAsia="宋体" w:cs="宋体"/>
          <w:color w:val="auto"/>
          <w:sz w:val="24"/>
          <w:szCs w:val="24"/>
          <w:lang w:val="en-US" w:eastAsia="zh-CN"/>
        </w:rPr>
        <w:t>万元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1</w:t>
      </w:r>
      <w:r>
        <w:rPr>
          <w:rFonts w:hint="default" w:ascii="宋体" w:hAnsi="宋体" w:cs="宋体"/>
          <w:color w:val="auto"/>
          <w:sz w:val="24"/>
          <w:szCs w:val="24"/>
          <w:lang w:eastAsia="zh-CN"/>
        </w:rPr>
        <w:t>0</w:t>
      </w:r>
      <w:r>
        <w:rPr>
          <w:rFonts w:hint="eastAsia" w:ascii="宋体" w:hAnsi="宋体" w:eastAsia="宋体" w:cs="宋体"/>
          <w:color w:val="auto"/>
          <w:sz w:val="24"/>
          <w:szCs w:val="24"/>
          <w:lang w:val="en-US" w:eastAsia="zh-CN"/>
        </w:rPr>
        <w:t>年至第</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每年的租金为</w:t>
      </w:r>
      <w:r>
        <w:rPr>
          <w:rFonts w:hint="default" w:ascii="宋体" w:hAnsi="宋体" w:cs="宋体"/>
          <w:color w:val="auto"/>
          <w:sz w:val="24"/>
          <w:szCs w:val="24"/>
          <w:lang w:eastAsia="zh-CN"/>
        </w:rPr>
        <w:t>15</w:t>
      </w:r>
      <w:r>
        <w:rPr>
          <w:rFonts w:hint="eastAsia" w:ascii="宋体" w:hAnsi="宋体" w:cs="宋体"/>
          <w:color w:val="auto"/>
          <w:sz w:val="24"/>
          <w:szCs w:val="24"/>
          <w:lang w:val="en-US" w:eastAsia="zh-CN"/>
        </w:rPr>
        <w:t>万元</w:t>
      </w:r>
      <w:r>
        <w:rPr>
          <w:rFonts w:hint="eastAsia" w:ascii="宋体" w:hAnsi="宋体" w:eastAsia="宋体" w:cs="宋体"/>
          <w:color w:val="auto"/>
          <w:sz w:val="24"/>
          <w:szCs w:val="24"/>
          <w:lang w:val="en-US" w:eastAsia="zh-CN"/>
        </w:rPr>
        <w:t>。</w:t>
      </w:r>
    </w:p>
    <w:p>
      <w:pPr>
        <w:adjustRightInd w:val="0"/>
        <w:snapToGrid w:val="0"/>
        <w:spacing w:line="360" w:lineRule="auto"/>
        <w:ind w:firstLine="570"/>
        <w:jc w:val="center"/>
        <w:outlineLvl w:val="9"/>
        <w:rPr>
          <w:rFonts w:hint="eastAsia" w:ascii="宋体" w:hAnsi="宋体" w:eastAsia="宋体" w:cs="宋体"/>
          <w:b/>
          <w:bCs/>
          <w:color w:val="auto"/>
          <w:sz w:val="24"/>
          <w:szCs w:val="24"/>
        </w:rPr>
      </w:pPr>
      <w:bookmarkStart w:id="74" w:name="_Toc1022"/>
    </w:p>
    <w:p>
      <w:pPr>
        <w:adjustRightInd w:val="0"/>
        <w:snapToGrid w:val="0"/>
        <w:spacing w:line="360" w:lineRule="auto"/>
        <w:ind w:firstLine="570"/>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章   运营管理</w:t>
      </w:r>
      <w:bookmarkEnd w:id="74"/>
    </w:p>
    <w:p>
      <w:pPr>
        <w:adjustRightInd w:val="0"/>
        <w:snapToGrid w:val="0"/>
        <w:spacing w:line="360" w:lineRule="auto"/>
        <w:ind w:firstLine="459" w:firstLineChars="197"/>
        <w:outlineLvl w:val="9"/>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rPr>
        <w:t>第</w:t>
      </w:r>
      <w:r>
        <w:rPr>
          <w:rFonts w:hint="eastAsia" w:ascii="宋体" w:hAnsi="宋体" w:cs="宋体"/>
          <w:b/>
          <w:bCs/>
          <w:color w:val="auto"/>
          <w:spacing w:val="-4"/>
          <w:sz w:val="24"/>
          <w:szCs w:val="24"/>
          <w:lang w:val="en-US" w:eastAsia="zh-CN"/>
        </w:rPr>
        <w:t>五</w:t>
      </w:r>
      <w:r>
        <w:rPr>
          <w:rFonts w:hint="eastAsia" w:ascii="宋体" w:hAnsi="宋体" w:eastAsia="宋体" w:cs="宋体"/>
          <w:b/>
          <w:bCs/>
          <w:color w:val="auto"/>
          <w:spacing w:val="-4"/>
          <w:sz w:val="24"/>
          <w:szCs w:val="24"/>
        </w:rPr>
        <w:t>条 运营目标</w:t>
      </w:r>
    </w:p>
    <w:p>
      <w:pPr>
        <w:adjustRightInd w:val="0"/>
        <w:snapToGrid w:val="0"/>
        <w:spacing w:line="360" w:lineRule="auto"/>
        <w:ind w:firstLine="457" w:firstLineChars="197"/>
        <w:outlineLvl w:val="9"/>
        <w:rPr>
          <w:rFonts w:hint="eastAsia" w:ascii="宋体" w:hAnsi="宋体" w:eastAsia="宋体" w:cs="宋体"/>
          <w:color w:val="auto"/>
          <w:spacing w:val="-4"/>
          <w:sz w:val="24"/>
          <w:szCs w:val="24"/>
          <w:highlight w:val="none"/>
        </w:rPr>
      </w:pPr>
      <w:r>
        <w:rPr>
          <w:rFonts w:hint="eastAsia" w:ascii="宋体" w:hAnsi="宋体" w:cs="宋体"/>
          <w:b w:val="0"/>
          <w:bCs w:val="0"/>
          <w:color w:val="auto"/>
          <w:spacing w:val="-4"/>
          <w:sz w:val="24"/>
          <w:szCs w:val="24"/>
          <w:lang w:val="en-US" w:eastAsia="zh-CN"/>
        </w:rPr>
        <w:t>1.</w:t>
      </w:r>
      <w:r>
        <w:rPr>
          <w:rFonts w:hint="eastAsia" w:ascii="宋体" w:hAnsi="宋体" w:eastAsia="宋体" w:cs="宋体"/>
          <w:b w:val="0"/>
          <w:bCs w:val="0"/>
          <w:color w:val="auto"/>
          <w:spacing w:val="-4"/>
          <w:sz w:val="24"/>
          <w:szCs w:val="24"/>
        </w:rPr>
        <w:t>通</w:t>
      </w:r>
      <w:r>
        <w:rPr>
          <w:rFonts w:hint="eastAsia" w:ascii="宋体" w:hAnsi="宋体" w:eastAsia="宋体" w:cs="宋体"/>
          <w:color w:val="auto"/>
          <w:spacing w:val="-4"/>
          <w:sz w:val="24"/>
          <w:szCs w:val="24"/>
        </w:rPr>
        <w:t>过乙方的运营管理，</w:t>
      </w:r>
      <w:r>
        <w:rPr>
          <w:rFonts w:hint="eastAsia" w:ascii="宋体" w:hAnsi="宋体" w:cs="宋体"/>
          <w:color w:val="auto"/>
          <w:spacing w:val="-4"/>
          <w:sz w:val="24"/>
          <w:szCs w:val="24"/>
          <w:lang w:eastAsia="zh-CN"/>
        </w:rPr>
        <w:t>实现青田县</w:t>
      </w:r>
      <w:r>
        <w:rPr>
          <w:rFonts w:hint="eastAsia" w:ascii="宋体" w:hAnsi="宋体" w:eastAsia="宋体" w:cs="宋体"/>
          <w:color w:val="auto"/>
          <w:sz w:val="24"/>
          <w:szCs w:val="24"/>
        </w:rPr>
        <w:t>残疾人托养中心</w:t>
      </w:r>
      <w:r>
        <w:rPr>
          <w:rFonts w:hint="eastAsia" w:ascii="宋体" w:hAnsi="宋体" w:eastAsia="宋体" w:cs="宋体"/>
          <w:color w:val="auto"/>
          <w:spacing w:val="-4"/>
          <w:sz w:val="24"/>
          <w:szCs w:val="24"/>
        </w:rPr>
        <w:t>项目经济效益和社会效益双赢。乙方在</w:t>
      </w:r>
      <w:r>
        <w:rPr>
          <w:rFonts w:hint="eastAsia" w:ascii="宋体" w:hAnsi="宋体" w:eastAsia="宋体" w:cs="宋体"/>
          <w:color w:val="auto"/>
          <w:kern w:val="0"/>
          <w:sz w:val="24"/>
          <w:szCs w:val="24"/>
        </w:rPr>
        <w:t>确保入住残疾人生命及财产安全的同时，为入住的残疾人提供基本生活照料和护理、生活自理和社会适应能力训练、运动功能训练、职业康复与劳</w:t>
      </w:r>
      <w:r>
        <w:rPr>
          <w:rFonts w:hint="eastAsia" w:ascii="宋体" w:hAnsi="宋体" w:eastAsia="宋体" w:cs="宋体"/>
          <w:color w:val="auto"/>
          <w:kern w:val="0"/>
          <w:sz w:val="24"/>
          <w:szCs w:val="24"/>
          <w:highlight w:val="none"/>
        </w:rPr>
        <w:t>动技能训练等服务，</w:t>
      </w:r>
      <w:r>
        <w:rPr>
          <w:rFonts w:hint="eastAsia" w:ascii="宋体" w:hAnsi="宋体" w:eastAsia="宋体" w:cs="宋体"/>
          <w:color w:val="auto"/>
          <w:spacing w:val="-4"/>
          <w:sz w:val="24"/>
          <w:szCs w:val="24"/>
          <w:highlight w:val="none"/>
        </w:rPr>
        <w:t>确保托养机构长效运营和长远发展。</w:t>
      </w:r>
    </w:p>
    <w:p>
      <w:pPr>
        <w:pStyle w:val="27"/>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2.探索医养结合模式，可在托养中心依法设置医疗机构（</w:t>
      </w:r>
      <w:r>
        <w:rPr>
          <w:rFonts w:hint="eastAsia" w:hAnsi="宋体" w:cs="宋体"/>
          <w:color w:val="auto"/>
          <w:kern w:val="0"/>
          <w:sz w:val="24"/>
          <w:szCs w:val="24"/>
          <w:highlight w:val="none"/>
          <w:lang w:val="en-US" w:eastAsia="zh-CN" w:bidi="ar-SA"/>
        </w:rPr>
        <w:t>医疗</w:t>
      </w:r>
      <w:r>
        <w:rPr>
          <w:rFonts w:hint="eastAsia" w:ascii="宋体" w:hAnsi="宋体" w:eastAsia="宋体" w:cs="宋体"/>
          <w:color w:val="auto"/>
          <w:kern w:val="0"/>
          <w:sz w:val="24"/>
          <w:szCs w:val="24"/>
          <w:highlight w:val="none"/>
          <w:lang w:val="en-US" w:eastAsia="zh-CN" w:bidi="ar-SA"/>
        </w:rPr>
        <w:t>设备等</w:t>
      </w:r>
      <w:r>
        <w:rPr>
          <w:rFonts w:hint="eastAsia" w:hAnsi="宋体" w:cs="宋体"/>
          <w:color w:val="auto"/>
          <w:kern w:val="0"/>
          <w:sz w:val="24"/>
          <w:szCs w:val="24"/>
          <w:highlight w:val="none"/>
          <w:lang w:val="en-US" w:eastAsia="zh-CN" w:bidi="ar-SA"/>
        </w:rPr>
        <w:t>投入</w:t>
      </w:r>
      <w:r>
        <w:rPr>
          <w:rFonts w:hint="eastAsia" w:ascii="宋体" w:hAnsi="宋体" w:eastAsia="宋体" w:cs="宋体"/>
          <w:color w:val="auto"/>
          <w:kern w:val="0"/>
          <w:sz w:val="24"/>
          <w:szCs w:val="24"/>
          <w:highlight w:val="none"/>
          <w:lang w:val="en-US" w:eastAsia="zh-CN" w:bidi="ar-SA"/>
        </w:rPr>
        <w:t>费用</w:t>
      </w:r>
      <w:r>
        <w:rPr>
          <w:rFonts w:hint="eastAsia" w:hAnsi="宋体" w:cs="宋体"/>
          <w:color w:val="auto"/>
          <w:kern w:val="0"/>
          <w:sz w:val="24"/>
          <w:szCs w:val="24"/>
          <w:highlight w:val="none"/>
          <w:lang w:val="en-US" w:eastAsia="zh-CN" w:bidi="ar-SA"/>
        </w:rPr>
        <w:t>由乙方自行负责</w:t>
      </w:r>
      <w:r>
        <w:rPr>
          <w:rFonts w:hint="eastAsia" w:ascii="宋体" w:hAnsi="宋体" w:eastAsia="宋体" w:cs="宋体"/>
          <w:color w:val="auto"/>
          <w:kern w:val="0"/>
          <w:sz w:val="24"/>
          <w:szCs w:val="24"/>
          <w:highlight w:val="none"/>
          <w:lang w:val="en-US" w:eastAsia="zh-CN" w:bidi="ar-SA"/>
        </w:rPr>
        <w:t>）。</w:t>
      </w:r>
    </w:p>
    <w:p>
      <w:pPr>
        <w:adjustRightInd w:val="0"/>
        <w:snapToGrid w:val="0"/>
        <w:spacing w:line="360" w:lineRule="auto"/>
        <w:ind w:firstLine="482" w:firstLineChars="200"/>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条 运营资金：</w:t>
      </w:r>
      <w:r>
        <w:rPr>
          <w:rFonts w:hint="eastAsia" w:ascii="宋体" w:hAnsi="宋体" w:eastAsia="宋体" w:cs="宋体"/>
          <w:color w:val="auto"/>
          <w:kern w:val="0"/>
          <w:sz w:val="24"/>
          <w:szCs w:val="24"/>
        </w:rPr>
        <w:t>乙方通过政府补助、向服务对象收取费用等途径获取运营资金。（</w:t>
      </w:r>
      <w:r>
        <w:rPr>
          <w:rFonts w:hint="eastAsia" w:ascii="宋体" w:hAnsi="宋体" w:eastAsia="宋体" w:cs="宋体"/>
          <w:color w:val="auto"/>
          <w:sz w:val="24"/>
          <w:szCs w:val="24"/>
        </w:rPr>
        <w:t>乙方不得对入住残疾人以优惠、买断等任何名义和形式提前收取若干年的入住费用，收费期限最长为12个月。）</w:t>
      </w:r>
    </w:p>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outlineLvl w:val="9"/>
        <w:rPr>
          <w:rFonts w:hint="default" w:ascii="宋体" w:hAnsi="宋体" w:cs="宋体"/>
          <w:color w:val="auto"/>
          <w:kern w:val="0"/>
          <w:sz w:val="24"/>
          <w:szCs w:val="24"/>
        </w:rPr>
      </w:pPr>
      <w:r>
        <w:rPr>
          <w:rFonts w:hint="eastAsia" w:ascii="宋体" w:hAnsi="宋体" w:eastAsia="宋体" w:cs="宋体"/>
          <w:color w:val="auto"/>
          <w:kern w:val="0"/>
          <w:sz w:val="24"/>
          <w:szCs w:val="24"/>
        </w:rPr>
        <w:t>（一）</w:t>
      </w:r>
      <w:r>
        <w:rPr>
          <w:rFonts w:hint="default" w:ascii="宋体" w:hAnsi="宋体" w:cs="宋体"/>
          <w:color w:val="auto"/>
          <w:kern w:val="0"/>
          <w:sz w:val="24"/>
          <w:szCs w:val="24"/>
        </w:rPr>
        <w:t>服务对象：</w:t>
      </w:r>
    </w:p>
    <w:p>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firstLine="480" w:firstLineChars="200"/>
        <w:jc w:val="both"/>
        <w:textAlignment w:val="baseline"/>
        <w:outlineLvl w:val="9"/>
        <w:rPr>
          <w:rFonts w:hint="default" w:ascii="宋体" w:hAnsi="宋体" w:cs="宋体"/>
          <w:color w:val="auto"/>
          <w:kern w:val="0"/>
          <w:sz w:val="24"/>
          <w:szCs w:val="24"/>
          <w:highlight w:val="none"/>
        </w:rPr>
      </w:pPr>
      <w:r>
        <w:rPr>
          <w:rFonts w:hint="default" w:ascii="宋体" w:hAnsi="宋体" w:eastAsia="宋体" w:cs="宋体"/>
          <w:color w:val="auto"/>
          <w:kern w:val="0"/>
          <w:sz w:val="24"/>
          <w:szCs w:val="24"/>
        </w:rPr>
        <w:t>1.</w:t>
      </w:r>
      <w:r>
        <w:rPr>
          <w:rFonts w:hint="eastAsia" w:ascii="宋体" w:hAnsi="宋体" w:eastAsia="宋体" w:cs="宋体"/>
          <w:kern w:val="0"/>
          <w:sz w:val="24"/>
          <w:szCs w:val="24"/>
          <w:lang w:val="en-US" w:eastAsia="zh-CN" w:bidi="ar"/>
        </w:rPr>
        <w:t>集中托养服务对象：具有青田县户籍、持有《中华人民共和国残疾人证》、16周岁以上有托养照护需求和意愿的重度残疾人和三、四级智力、精神（稳定期）残疾人。</w:t>
      </w:r>
      <w:r>
        <w:rPr>
          <w:rFonts w:hint="default" w:ascii="宋体" w:hAnsi="宋体" w:eastAsia="宋体" w:cs="宋体"/>
          <w:color w:val="auto"/>
          <w:kern w:val="0"/>
          <w:sz w:val="24"/>
          <w:szCs w:val="24"/>
        </w:rPr>
        <w:t>优先保障有托养需求但家庭无照护能力、家庭困难的肢体、智力、</w:t>
      </w:r>
      <w:r>
        <w:rPr>
          <w:rFonts w:hint="default" w:ascii="宋体" w:hAnsi="宋体" w:cs="宋体"/>
          <w:color w:val="auto"/>
          <w:kern w:val="0"/>
          <w:sz w:val="24"/>
          <w:szCs w:val="24"/>
          <w:highlight w:val="none"/>
        </w:rPr>
        <w:t>精神和一级视力残疾人。</w:t>
      </w:r>
    </w:p>
    <w:p>
      <w:pPr>
        <w:adjustRightInd w:val="0"/>
        <w:snapToGrid w:val="0"/>
        <w:spacing w:line="360" w:lineRule="auto"/>
        <w:ind w:firstLine="480" w:firstLineChars="200"/>
        <w:jc w:val="left"/>
        <w:outlineLvl w:val="9"/>
        <w:rPr>
          <w:rFonts w:hint="default"/>
          <w:highlight w:val="none"/>
        </w:rPr>
      </w:pPr>
      <w:r>
        <w:rPr>
          <w:rFonts w:hint="default"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在确保满足符合集中托养</w:t>
      </w:r>
      <w:r>
        <w:rPr>
          <w:rFonts w:hint="eastAsia" w:ascii="宋体" w:hAnsi="宋体" w:cs="宋体"/>
          <w:color w:val="auto"/>
          <w:kern w:val="0"/>
          <w:sz w:val="24"/>
          <w:szCs w:val="24"/>
          <w:highlight w:val="none"/>
          <w:lang w:eastAsia="zh-CN"/>
        </w:rPr>
        <w:t>服务对象</w:t>
      </w:r>
      <w:r>
        <w:rPr>
          <w:rFonts w:hint="eastAsia" w:ascii="宋体" w:hAnsi="宋体" w:eastAsia="宋体" w:cs="宋体"/>
          <w:color w:val="auto"/>
          <w:kern w:val="0"/>
          <w:sz w:val="24"/>
          <w:szCs w:val="24"/>
          <w:highlight w:val="none"/>
        </w:rPr>
        <w:t>入住的前提下，允许适当招收部分</w:t>
      </w:r>
      <w:r>
        <w:rPr>
          <w:rFonts w:hint="default" w:ascii="宋体" w:hAnsi="宋体" w:eastAsia="宋体" w:cs="宋体"/>
          <w:color w:val="auto"/>
          <w:kern w:val="0"/>
          <w:sz w:val="24"/>
          <w:szCs w:val="24"/>
          <w:highlight w:val="none"/>
        </w:rPr>
        <w:t>其他残疾人或</w:t>
      </w:r>
      <w:r>
        <w:rPr>
          <w:rFonts w:hint="eastAsia" w:ascii="宋体" w:hAnsi="宋体" w:cs="宋体"/>
          <w:color w:val="auto"/>
          <w:kern w:val="0"/>
          <w:sz w:val="24"/>
          <w:szCs w:val="24"/>
          <w:highlight w:val="none"/>
          <w:lang w:eastAsia="zh-CN"/>
        </w:rPr>
        <w:t>“以老养残”等特殊家庭的共同生活</w:t>
      </w:r>
      <w:r>
        <w:rPr>
          <w:rFonts w:hint="eastAsia" w:ascii="宋体" w:hAnsi="宋体" w:eastAsia="宋体" w:cs="宋体"/>
          <w:color w:val="auto"/>
          <w:kern w:val="0"/>
          <w:sz w:val="24"/>
          <w:szCs w:val="24"/>
          <w:highlight w:val="none"/>
        </w:rPr>
        <w:t>人员</w:t>
      </w:r>
      <w:r>
        <w:rPr>
          <w:rFonts w:hint="eastAsia" w:ascii="宋体" w:hAnsi="宋体" w:cs="宋体"/>
          <w:color w:val="auto"/>
          <w:kern w:val="0"/>
          <w:sz w:val="24"/>
          <w:szCs w:val="24"/>
          <w:highlight w:val="none"/>
          <w:lang w:eastAsia="zh-CN"/>
        </w:rPr>
        <w:t>；集中托养服务对象达到</w:t>
      </w:r>
      <w:r>
        <w:rPr>
          <w:rFonts w:hint="eastAsia" w:ascii="宋体" w:hAnsi="宋体" w:cs="宋体"/>
          <w:color w:val="auto"/>
          <w:kern w:val="0"/>
          <w:sz w:val="24"/>
          <w:szCs w:val="24"/>
          <w:highlight w:val="none"/>
          <w:lang w:val="en-US" w:eastAsia="zh-CN"/>
        </w:rPr>
        <w:t>50人，每新增一个</w:t>
      </w:r>
      <w:r>
        <w:rPr>
          <w:rFonts w:hint="default" w:ascii="宋体" w:hAnsi="宋体" w:cs="宋体"/>
          <w:color w:val="auto"/>
          <w:kern w:val="0"/>
          <w:sz w:val="24"/>
          <w:szCs w:val="24"/>
          <w:highlight w:val="none"/>
          <w:lang w:eastAsia="zh-CN"/>
        </w:rPr>
        <w:t>集中</w:t>
      </w:r>
      <w:r>
        <w:rPr>
          <w:rFonts w:hint="eastAsia" w:ascii="宋体" w:hAnsi="宋体" w:cs="宋体"/>
          <w:color w:val="auto"/>
          <w:kern w:val="0"/>
          <w:sz w:val="24"/>
          <w:szCs w:val="24"/>
          <w:highlight w:val="none"/>
          <w:lang w:val="en-US" w:eastAsia="zh-CN"/>
        </w:rPr>
        <w:t>托养对象，可增加一个社会老年人托养</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default" w:ascii="宋体" w:hAnsi="宋体" w:cs="宋体"/>
          <w:color w:val="auto"/>
          <w:kern w:val="0"/>
          <w:sz w:val="24"/>
          <w:szCs w:val="24"/>
        </w:rPr>
        <w:t>（二）</w:t>
      </w:r>
      <w:r>
        <w:rPr>
          <w:rFonts w:hint="eastAsia" w:ascii="宋体" w:hAnsi="宋体" w:eastAsia="宋体" w:cs="宋体"/>
          <w:color w:val="auto"/>
          <w:kern w:val="0"/>
          <w:sz w:val="24"/>
          <w:szCs w:val="24"/>
        </w:rPr>
        <w:t>收费标准</w:t>
      </w:r>
    </w:p>
    <w:p>
      <w:pPr>
        <w:adjustRightInd w:val="0"/>
        <w:snapToGrid w:val="0"/>
        <w:spacing w:line="360" w:lineRule="auto"/>
        <w:ind w:firstLine="480" w:firstLineChars="200"/>
        <w:jc w:val="left"/>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rPr>
        <w:t>1.集中托养残疾人收费标准：符合集中托养条件且享受低保或困境儿童的入住残疾人，每月收取的托养服务费最高不超过当期每月政府公布的低保金、</w:t>
      </w:r>
      <w:r>
        <w:rPr>
          <w:rFonts w:hint="default" w:ascii="宋体" w:hAnsi="宋体" w:cs="宋体"/>
          <w:color w:val="000000"/>
          <w:sz w:val="24"/>
          <w:szCs w:val="24"/>
          <w:highlight w:val="none"/>
        </w:rPr>
        <w:t>困境儿童补贴、</w:t>
      </w:r>
      <w:r>
        <w:rPr>
          <w:rFonts w:hint="eastAsia" w:ascii="宋体" w:hAnsi="宋体" w:eastAsia="宋体" w:cs="宋体"/>
          <w:color w:val="auto"/>
          <w:sz w:val="24"/>
          <w:szCs w:val="24"/>
        </w:rPr>
        <w:t>困难残疾人生活补贴和重度残疾人护理补贴标准总和</w:t>
      </w:r>
      <w:r>
        <w:rPr>
          <w:rFonts w:hint="eastAsia" w:ascii="宋体" w:hAnsi="宋体" w:cs="宋体"/>
          <w:color w:val="auto"/>
          <w:sz w:val="24"/>
          <w:szCs w:val="24"/>
          <w:highlight w:val="none"/>
          <w:lang w:eastAsia="zh-CN"/>
        </w:rPr>
        <w:t>。能够享受长期护理险的对象，长期护理险给付资金分配由乙方和托养对象</w:t>
      </w:r>
      <w:r>
        <w:rPr>
          <w:rFonts w:hint="eastAsia" w:ascii="宋体" w:hAnsi="宋体" w:cs="宋体"/>
          <w:color w:val="000000"/>
          <w:sz w:val="24"/>
          <w:szCs w:val="24"/>
          <w:highlight w:val="none"/>
          <w:lang w:eastAsia="zh-CN"/>
        </w:rPr>
        <w:t>另行协商</w:t>
      </w:r>
      <w:r>
        <w:rPr>
          <w:rFonts w:hint="eastAsia" w:ascii="宋体" w:hAnsi="宋体" w:cs="宋体"/>
          <w:color w:val="000000"/>
          <w:sz w:val="24"/>
          <w:szCs w:val="24"/>
          <w:highlight w:val="none"/>
          <w:lang w:val="en-US" w:eastAsia="zh-CN"/>
        </w:rPr>
        <w:t>。</w:t>
      </w:r>
    </w:p>
    <w:p>
      <w:pPr>
        <w:pStyle w:val="27"/>
        <w:rPr>
          <w:rFonts w:hint="default" w:ascii="宋体" w:hAnsi="宋体" w:eastAsia="宋体" w:cs="宋体"/>
          <w:color w:val="auto"/>
          <w:kern w:val="2"/>
          <w:sz w:val="24"/>
          <w:szCs w:val="24"/>
          <w:lang w:val="en-US" w:eastAsia="zh-CN" w:bidi="ar-SA"/>
        </w:rPr>
      </w:pPr>
      <w:r>
        <w:rPr>
          <w:rFonts w:hint="eastAsia" w:hAnsi="宋体" w:cs="宋体"/>
          <w:color w:val="auto"/>
          <w:sz w:val="24"/>
          <w:szCs w:val="24"/>
          <w:lang w:val="en-US" w:eastAsia="zh-CN"/>
        </w:rPr>
        <w:t>2.其他残疾人收费标准</w:t>
      </w:r>
      <w:r>
        <w:rPr>
          <w:rFonts w:hint="eastAsia" w:hAnsi="宋体" w:cs="宋体"/>
          <w:color w:val="000000"/>
          <w:sz w:val="24"/>
          <w:szCs w:val="24"/>
          <w:highlight w:val="none"/>
          <w:lang w:val="en-US" w:eastAsia="zh-CN"/>
        </w:rPr>
        <w:t>：</w:t>
      </w:r>
      <w:r>
        <w:rPr>
          <w:rFonts w:hint="default" w:ascii="宋体" w:hAnsi="宋体" w:eastAsia="宋体" w:cs="宋体"/>
          <w:color w:val="auto"/>
          <w:kern w:val="2"/>
          <w:sz w:val="24"/>
          <w:szCs w:val="24"/>
          <w:lang w:val="en-US" w:eastAsia="zh-CN" w:bidi="ar-SA"/>
        </w:rPr>
        <w:t>原则上</w:t>
      </w:r>
      <w:r>
        <w:rPr>
          <w:rFonts w:hint="eastAsia" w:ascii="宋体" w:hAnsi="宋体" w:eastAsia="宋体" w:cs="宋体"/>
          <w:color w:val="auto"/>
          <w:kern w:val="2"/>
          <w:sz w:val="24"/>
          <w:szCs w:val="24"/>
          <w:lang w:val="en-US" w:eastAsia="zh-CN" w:bidi="ar-SA"/>
        </w:rPr>
        <w:t>不高于集中托养对象的平均费用</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具体标准报甲方同意后执行。</w:t>
      </w:r>
    </w:p>
    <w:p>
      <w:pPr>
        <w:pStyle w:val="27"/>
        <w:rPr>
          <w:rFonts w:hint="eastAsia"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3.其他人员收费标准：</w:t>
      </w:r>
      <w:r>
        <w:rPr>
          <w:rFonts w:hint="default" w:ascii="宋体" w:hAnsi="宋体" w:eastAsia="宋体" w:cs="宋体"/>
          <w:color w:val="auto"/>
          <w:kern w:val="2"/>
          <w:sz w:val="24"/>
          <w:szCs w:val="24"/>
          <w:lang w:val="en-US" w:eastAsia="zh-CN" w:bidi="ar-SA"/>
        </w:rPr>
        <w:t>原则上</w:t>
      </w:r>
      <w:r>
        <w:rPr>
          <w:rFonts w:hint="eastAsia" w:ascii="宋体" w:hAnsi="宋体" w:eastAsia="宋体" w:cs="宋体"/>
          <w:color w:val="auto"/>
          <w:kern w:val="2"/>
          <w:sz w:val="24"/>
          <w:szCs w:val="24"/>
          <w:lang w:val="en-US" w:eastAsia="zh-CN" w:bidi="ar-SA"/>
        </w:rPr>
        <w:t>不</w:t>
      </w:r>
      <w:r>
        <w:rPr>
          <w:rFonts w:hint="default" w:ascii="宋体" w:hAnsi="宋体" w:eastAsia="宋体" w:cs="宋体"/>
          <w:color w:val="auto"/>
          <w:kern w:val="2"/>
          <w:sz w:val="24"/>
          <w:szCs w:val="24"/>
          <w:lang w:val="en-US" w:eastAsia="zh-CN" w:bidi="ar-SA"/>
        </w:rPr>
        <w:t>低于</w:t>
      </w:r>
      <w:r>
        <w:rPr>
          <w:rFonts w:hint="default" w:hAnsi="宋体" w:cs="宋体"/>
          <w:color w:val="auto"/>
          <w:sz w:val="24"/>
          <w:szCs w:val="24"/>
          <w:lang w:val="en-US" w:eastAsia="zh-CN"/>
        </w:rPr>
        <w:t>集中托养对象平均费用</w:t>
      </w:r>
      <w:r>
        <w:rPr>
          <w:rFonts w:hint="eastAsia" w:hAnsi="宋体" w:cs="宋体"/>
          <w:color w:val="auto"/>
          <w:sz w:val="24"/>
          <w:szCs w:val="24"/>
          <w:lang w:val="en-US" w:eastAsia="zh-CN"/>
        </w:rPr>
        <w:t>，具体价格由乙方与入住人员（或监护人）自行商议，并报甲方备案。</w:t>
      </w:r>
    </w:p>
    <w:p>
      <w:pPr>
        <w:widowControl/>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default" w:ascii="宋体" w:hAnsi="宋体" w:cs="宋体"/>
          <w:color w:val="auto"/>
          <w:kern w:val="0"/>
          <w:sz w:val="24"/>
          <w:szCs w:val="24"/>
        </w:rPr>
        <w:t>三</w:t>
      </w:r>
      <w:r>
        <w:rPr>
          <w:rFonts w:hint="eastAsia" w:ascii="宋体" w:hAnsi="宋体" w:eastAsia="宋体" w:cs="宋体"/>
          <w:color w:val="auto"/>
          <w:kern w:val="0"/>
          <w:sz w:val="24"/>
          <w:szCs w:val="24"/>
        </w:rPr>
        <w:t>）费用补助</w:t>
      </w:r>
    </w:p>
    <w:p>
      <w:pPr>
        <w:spacing w:line="360" w:lineRule="auto"/>
        <w:ind w:firstLine="480" w:firstLineChars="200"/>
        <w:outlineLvl w:val="9"/>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1.护理补贴：《浙江省</w:t>
      </w:r>
      <w:r>
        <w:rPr>
          <w:rFonts w:hint="default" w:ascii="宋体" w:hAnsi="宋体" w:eastAsia="宋体" w:cs="宋体"/>
          <w:color w:val="auto"/>
          <w:kern w:val="0"/>
          <w:sz w:val="24"/>
          <w:szCs w:val="24"/>
        </w:rPr>
        <w:t>民政</w:t>
      </w:r>
      <w:r>
        <w:rPr>
          <w:rFonts w:hint="eastAsia" w:ascii="宋体" w:hAnsi="宋体" w:eastAsia="宋体" w:cs="宋体"/>
          <w:color w:val="auto"/>
          <w:kern w:val="0"/>
          <w:sz w:val="24"/>
          <w:szCs w:val="24"/>
        </w:rPr>
        <w:t>厅 浙江省</w:t>
      </w:r>
      <w:r>
        <w:rPr>
          <w:rFonts w:hint="default" w:ascii="宋体" w:hAnsi="宋体" w:eastAsia="宋体" w:cs="宋体"/>
          <w:color w:val="auto"/>
          <w:kern w:val="0"/>
          <w:sz w:val="24"/>
          <w:szCs w:val="24"/>
        </w:rPr>
        <w:t>财</w:t>
      </w:r>
      <w:r>
        <w:rPr>
          <w:rFonts w:hint="eastAsia" w:ascii="宋体" w:hAnsi="宋体" w:eastAsia="宋体" w:cs="宋体"/>
          <w:color w:val="auto"/>
          <w:kern w:val="0"/>
          <w:sz w:val="24"/>
          <w:szCs w:val="24"/>
        </w:rPr>
        <w:t>政厅 浙江省残疾人联合会关于</w:t>
      </w:r>
      <w:r>
        <w:rPr>
          <w:rFonts w:hint="default" w:ascii="宋体" w:hAnsi="宋体" w:eastAsia="宋体" w:cs="宋体"/>
          <w:color w:val="auto"/>
          <w:kern w:val="0"/>
          <w:sz w:val="24"/>
          <w:szCs w:val="24"/>
        </w:rPr>
        <w:t>印发</w:t>
      </w:r>
      <w:r>
        <w:rPr>
          <w:rFonts w:hint="default" w:ascii="宋体" w:hAnsi="宋体" w:eastAsia="宋体" w:cs="宋体"/>
          <w:color w:val="auto"/>
          <w:kern w:val="0"/>
          <w:sz w:val="24"/>
          <w:szCs w:val="24"/>
          <w:lang w:val="en-US" w:eastAsia="zh-CN"/>
        </w:rPr>
        <w:t>浙江省困难残疾人生活补贴和重度残疾人护理补贴实施办法</w:t>
      </w:r>
      <w:r>
        <w:rPr>
          <w:rFonts w:hint="eastAsia" w:ascii="宋体" w:hAnsi="宋体" w:eastAsia="宋体" w:cs="宋体"/>
          <w:color w:val="auto"/>
          <w:kern w:val="0"/>
          <w:sz w:val="24"/>
          <w:szCs w:val="24"/>
        </w:rPr>
        <w:t>的通知》(浙</w:t>
      </w:r>
      <w:r>
        <w:rPr>
          <w:rFonts w:hint="default" w:ascii="宋体" w:hAnsi="宋体" w:eastAsia="宋体" w:cs="宋体"/>
          <w:color w:val="auto"/>
          <w:kern w:val="0"/>
          <w:sz w:val="24"/>
          <w:szCs w:val="24"/>
        </w:rPr>
        <w:t>民福</w:t>
      </w:r>
      <w:r>
        <w:rPr>
          <w:rFonts w:hint="eastAsia" w:ascii="宋体" w:hAnsi="宋体" w:eastAsia="宋体" w:cs="宋体"/>
          <w:color w:val="auto"/>
          <w:kern w:val="0"/>
          <w:sz w:val="24"/>
          <w:szCs w:val="24"/>
        </w:rPr>
        <w:t>〔</w:t>
      </w:r>
      <w:r>
        <w:rPr>
          <w:rFonts w:hint="default" w:ascii="宋体" w:hAnsi="宋体" w:eastAsia="宋体" w:cs="宋体"/>
          <w:color w:val="auto"/>
          <w:kern w:val="0"/>
          <w:sz w:val="24"/>
          <w:szCs w:val="24"/>
        </w:rPr>
        <w:t>2021</w:t>
      </w:r>
      <w:r>
        <w:rPr>
          <w:rFonts w:hint="eastAsia" w:ascii="宋体" w:hAnsi="宋体" w:eastAsia="宋体" w:cs="宋体"/>
          <w:color w:val="auto"/>
          <w:kern w:val="0"/>
          <w:sz w:val="24"/>
          <w:szCs w:val="24"/>
        </w:rPr>
        <w:t>〕</w:t>
      </w:r>
      <w:r>
        <w:rPr>
          <w:rFonts w:hint="default" w:ascii="宋体" w:hAnsi="宋体" w:eastAsia="宋体" w:cs="宋体"/>
          <w:color w:val="auto"/>
          <w:kern w:val="0"/>
          <w:sz w:val="24"/>
          <w:szCs w:val="24"/>
        </w:rPr>
        <w:t>191</w:t>
      </w:r>
      <w:r>
        <w:rPr>
          <w:rFonts w:hint="eastAsia" w:ascii="宋体" w:hAnsi="宋体" w:eastAsia="宋体" w:cs="宋体"/>
          <w:color w:val="auto"/>
          <w:kern w:val="0"/>
          <w:sz w:val="24"/>
          <w:szCs w:val="24"/>
        </w:rPr>
        <w:t>号)标准执行，由</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直接拨付到</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rPr>
        <w:t>对公账户。</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甲</w:t>
      </w:r>
      <w:r>
        <w:rPr>
          <w:rFonts w:hint="eastAsia" w:ascii="宋体" w:hAnsi="宋体" w:cs="宋体"/>
          <w:color w:val="auto"/>
          <w:sz w:val="24"/>
          <w:szCs w:val="24"/>
          <w:lang w:eastAsia="zh-CN"/>
        </w:rPr>
        <w:t>方</w:t>
      </w:r>
      <w:r>
        <w:rPr>
          <w:rFonts w:hint="eastAsia" w:ascii="宋体" w:hAnsi="宋体" w:eastAsia="宋体" w:cs="宋体"/>
          <w:color w:val="auto"/>
          <w:sz w:val="24"/>
          <w:szCs w:val="24"/>
        </w:rPr>
        <w:t>为支持</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对项目的建设运营，</w:t>
      </w:r>
      <w:r>
        <w:rPr>
          <w:rFonts w:hint="eastAsia" w:ascii="宋体" w:hAnsi="宋体" w:eastAsia="宋体" w:cs="宋体"/>
          <w:color w:val="000000"/>
          <w:sz w:val="24"/>
          <w:szCs w:val="24"/>
          <w:highlight w:val="none"/>
        </w:rPr>
        <w:t>特为</w:t>
      </w:r>
      <w:r>
        <w:rPr>
          <w:rFonts w:hint="eastAsia" w:ascii="宋体" w:hAnsi="宋体" w:cs="宋体"/>
          <w:color w:val="000000"/>
          <w:sz w:val="24"/>
          <w:szCs w:val="24"/>
          <w:highlight w:val="none"/>
          <w:lang w:val="en-US" w:eastAsia="zh-CN"/>
        </w:rPr>
        <w:t>乙方</w:t>
      </w:r>
      <w:r>
        <w:rPr>
          <w:rFonts w:hint="eastAsia" w:ascii="宋体" w:hAnsi="宋体" w:eastAsia="宋体" w:cs="宋体"/>
          <w:color w:val="000000"/>
          <w:sz w:val="24"/>
          <w:szCs w:val="24"/>
          <w:highlight w:val="none"/>
        </w:rPr>
        <w:t>提供</w:t>
      </w:r>
      <w:r>
        <w:rPr>
          <w:rFonts w:hint="eastAsia" w:ascii="宋体" w:hAnsi="宋体" w:cs="宋体"/>
          <w:color w:val="000000"/>
          <w:sz w:val="24"/>
          <w:szCs w:val="24"/>
          <w:highlight w:val="none"/>
          <w:lang w:eastAsia="zh-CN"/>
        </w:rPr>
        <w:t>最多</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万元/年作</w:t>
      </w:r>
      <w:r>
        <w:rPr>
          <w:rFonts w:hint="eastAsia" w:ascii="宋体" w:hAnsi="宋体" w:eastAsia="宋体" w:cs="宋体"/>
          <w:color w:val="auto"/>
          <w:sz w:val="24"/>
          <w:szCs w:val="24"/>
          <w:highlight w:val="none"/>
        </w:rPr>
        <w:t>为运营经费奖励。</w:t>
      </w:r>
      <w:r>
        <w:rPr>
          <w:rFonts w:hint="eastAsia" w:ascii="宋体" w:hAnsi="宋体" w:cs="宋体"/>
          <w:color w:val="auto"/>
          <w:sz w:val="24"/>
          <w:szCs w:val="24"/>
          <w:highlight w:val="none"/>
          <w:lang w:eastAsia="zh-CN"/>
        </w:rPr>
        <w:t>甲方</w:t>
      </w:r>
      <w:r>
        <w:rPr>
          <w:rFonts w:hint="eastAsia" w:ascii="宋体" w:hAnsi="宋体" w:eastAsia="宋体" w:cs="宋体"/>
          <w:color w:val="auto"/>
          <w:kern w:val="0"/>
          <w:sz w:val="24"/>
          <w:szCs w:val="24"/>
        </w:rPr>
        <w:t>组织评估小组每年对</w:t>
      </w:r>
      <w:r>
        <w:rPr>
          <w:rFonts w:hint="eastAsia" w:ascii="宋体" w:hAnsi="宋体" w:cs="宋体"/>
          <w:color w:val="auto"/>
          <w:kern w:val="0"/>
          <w:sz w:val="24"/>
          <w:szCs w:val="24"/>
          <w:lang w:eastAsia="zh-CN"/>
        </w:rPr>
        <w:t>乙</w:t>
      </w:r>
      <w:r>
        <w:rPr>
          <w:rFonts w:hint="eastAsia" w:ascii="宋体" w:hAnsi="宋体" w:eastAsia="宋体" w:cs="宋体"/>
          <w:color w:val="auto"/>
          <w:kern w:val="0"/>
          <w:sz w:val="24"/>
          <w:szCs w:val="24"/>
        </w:rPr>
        <w:t>方进行一次财务审计及服务质量考核评估，根据评估结果对</w:t>
      </w:r>
      <w:r>
        <w:rPr>
          <w:rFonts w:hint="eastAsia" w:ascii="宋体" w:hAnsi="宋体" w:cs="宋体"/>
          <w:color w:val="auto"/>
          <w:kern w:val="0"/>
          <w:sz w:val="24"/>
          <w:szCs w:val="24"/>
          <w:lang w:eastAsia="zh-CN"/>
        </w:rPr>
        <w:t>乙方</w:t>
      </w:r>
      <w:r>
        <w:rPr>
          <w:rFonts w:hint="eastAsia" w:ascii="宋体" w:hAnsi="宋体" w:eastAsia="宋体" w:cs="宋体"/>
          <w:color w:val="auto"/>
          <w:sz w:val="24"/>
          <w:szCs w:val="24"/>
        </w:rPr>
        <w:t>以相应比例拨付运营经费奖励。</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（三）其他</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1.集中托养人员的基本生活费主要用于伙食费、水电费、设施设备日常维保、教育就业、康复训练培训等支出。</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2.集中托养对象，社会托养及养老人员的费用支出应独立科目记账。</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（四）其他费用投入的约定</w:t>
      </w:r>
    </w:p>
    <w:p>
      <w:pPr>
        <w:widowControl/>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1.由乙方承担费用</w:t>
      </w:r>
    </w:p>
    <w:p>
      <w:pPr>
        <w:pStyle w:val="27"/>
        <w:rPr>
          <w:rFonts w:hint="eastAsia"/>
          <w:color w:val="auto"/>
          <w:highlight w:val="none"/>
          <w:lang w:val="en-US" w:eastAsia="zh-CN"/>
        </w:rPr>
      </w:pPr>
      <w:r>
        <w:rPr>
          <w:rFonts w:hint="eastAsia"/>
          <w:color w:val="auto"/>
          <w:highlight w:val="none"/>
          <w:lang w:val="en-US" w:eastAsia="zh-CN"/>
        </w:rPr>
        <w:t>对收托持有残疾证的人员免收设施使用费；收住的其他人员，乙方须按实际收住的养老人员数计提600元人民币/人/年作为设施使用租赁费（不足一年的按月份折算）上缴残联专户，次年首季度结算支付上一年度的设施使用租赁费。</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2.硬件投入费用</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新添或超过使用年限且确已无法使用需更换的硬件设施设备(同类物品单笔5000元以上或单件2000元以上的</w:t>
      </w:r>
      <w:r>
        <w:rPr>
          <w:rFonts w:hint="eastAsia" w:ascii="宋体" w:hAnsi="宋体" w:cs="宋体"/>
          <w:color w:val="auto"/>
          <w:kern w:val="0"/>
          <w:sz w:val="24"/>
          <w:szCs w:val="24"/>
          <w:lang w:eastAsia="zh-CN"/>
        </w:rPr>
        <w:t>，不含床上用品等生活必备品</w:t>
      </w:r>
      <w:r>
        <w:rPr>
          <w:rFonts w:hint="default" w:ascii="宋体" w:hAnsi="宋体" w:cs="宋体"/>
          <w:color w:val="auto"/>
          <w:kern w:val="0"/>
          <w:sz w:val="24"/>
          <w:szCs w:val="24"/>
          <w:lang w:eastAsia="zh-CN"/>
        </w:rPr>
        <w:t>和医疗设备</w:t>
      </w:r>
      <w:r>
        <w:rPr>
          <w:rFonts w:hint="eastAsia" w:ascii="宋体" w:hAnsi="宋体" w:eastAsia="宋体" w:cs="宋体"/>
          <w:color w:val="auto"/>
          <w:kern w:val="0"/>
          <w:sz w:val="24"/>
          <w:szCs w:val="24"/>
        </w:rPr>
        <w:t>)费用由</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负责，一般由乙方每年</w:t>
      </w:r>
      <w:r>
        <w:rPr>
          <w:rFonts w:hint="eastAsia" w:ascii="宋体" w:hAnsi="宋体" w:cs="宋体"/>
          <w:color w:val="auto"/>
          <w:kern w:val="0"/>
          <w:sz w:val="24"/>
          <w:szCs w:val="24"/>
          <w:lang w:val="en-US" w:eastAsia="zh-CN"/>
        </w:rPr>
        <w:t>9月</w:t>
      </w:r>
      <w:r>
        <w:rPr>
          <w:rFonts w:hint="eastAsia" w:ascii="宋体" w:hAnsi="宋体" w:eastAsia="宋体" w:cs="宋体"/>
          <w:color w:val="auto"/>
          <w:kern w:val="0"/>
          <w:sz w:val="24"/>
          <w:szCs w:val="24"/>
        </w:rPr>
        <w:t>前报送需求计划，甲方核准后</w:t>
      </w:r>
      <w:r>
        <w:rPr>
          <w:rFonts w:hint="eastAsia" w:ascii="宋体" w:hAnsi="宋体" w:cs="宋体"/>
          <w:color w:val="auto"/>
          <w:kern w:val="0"/>
          <w:sz w:val="24"/>
          <w:szCs w:val="24"/>
          <w:lang w:eastAsia="zh-CN"/>
        </w:rPr>
        <w:t>次</w:t>
      </w:r>
      <w:r>
        <w:rPr>
          <w:rFonts w:hint="eastAsia" w:ascii="宋体" w:hAnsi="宋体" w:eastAsia="宋体" w:cs="宋体"/>
          <w:color w:val="auto"/>
          <w:kern w:val="0"/>
          <w:sz w:val="24"/>
          <w:szCs w:val="24"/>
        </w:rPr>
        <w:t>年安排一次预算和采购。</w:t>
      </w:r>
    </w:p>
    <w:p>
      <w:pPr>
        <w:adjustRightInd w:val="0"/>
        <w:snapToGrid w:val="0"/>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条 乙方应达到的运营要求</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1.在合同运营宗旨、范围和期限内，依法自主运营。</w:t>
      </w:r>
    </w:p>
    <w:p>
      <w:pPr>
        <w:adjustRightInd w:val="0"/>
        <w:snapToGrid w:val="0"/>
        <w:spacing w:line="360" w:lineRule="auto"/>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2.在合同运营期限内从事残疾人服务运营活动，必须符合相关法律法规的规定条件和要求。</w:t>
      </w:r>
    </w:p>
    <w:p>
      <w:pPr>
        <w:adjustRightInd w:val="0"/>
        <w:snapToGrid w:val="0"/>
        <w:spacing w:line="360" w:lineRule="auto"/>
        <w:ind w:firstLine="480" w:firstLineChars="200"/>
        <w:jc w:val="left"/>
        <w:outlineLvl w:val="9"/>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3.乙方应积极承担社会公益职能，</w:t>
      </w:r>
      <w:r>
        <w:rPr>
          <w:rFonts w:hint="default" w:ascii="宋体" w:hAnsi="宋体" w:cs="宋体"/>
          <w:color w:val="auto"/>
          <w:kern w:val="0"/>
          <w:sz w:val="24"/>
          <w:szCs w:val="24"/>
        </w:rPr>
        <w:t>不定期开展公益活动。</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在合同运营期限内承担残疾人托养中心运营活动的全部成本，包括人力成本（人员工资、福利、各项社会保险费、节假日加班费、服装、劳保用品、防护用品等）、办公成本（宽带费、电话费、电视费、办公耗材、交通费、消防监控等设备维保费等）、能耗成本（水电费等）、物业费（安保费、物业费等）、活动经费（组织活动费、人员培训费、教学资料费、授课费等），以及其他各项税费等。</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有完整的中心日常管理、合理设置内部机构、活动质量控制、活动质量监督、人员考核奖惩、资产管理、财务管理、活动规范、培训、值班、卫生、安全、消防安全、食品卫生、突发事件应急预案、责任人及责任追究等制度，并上墙公布。</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6.严格按照劳动法律法规的要求，规范用工，按法律法规要求缴纳各项社会保险等。</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7.对原由</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提供的已登记造册各项设施、设备使用中出现损坏或报废等情况申报和理赔作出规定。</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8.自觉接受相关部门的行业管理和财政、公安消防、食品卫生、环保、安全等部门监管，并承担相应的法律责任。</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9.在委托运营期间，承担在中心内活动的残疾人日常管理以及相关的纠纷和安全管理，独立承担有关经济、民事及安全等各类责任(含全部的法律责任)。</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10.在委托运营期间，须购买机构综合责任险。</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11.不得擅自改变建筑物结构。若因运营需要改变装修或改扩建的，应书面报送甲方同意、备案，并明确经费承担。运营期间及服务期届满后，所有固定物及设备设施等均归</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所有，乙方不得破坏、拆除、带走、抵押、出借或出租。</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12.不得利用托养中心场地从事生产、销售、经营国家规定的违禁品，不得从事任何违法活动。</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13.不得将运营权向第三方进行转让、转包、分包、担保、保证、抵押或其他有损害委托方权益的行为。</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14.积极承担</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有关社会福利事业发展任务。</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15.承担如下运营风险：</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(1)乙方工作人员在岗履行工作职责期间，发生自身及造成第三人（包括服务对象）人身伤害、伤亡、财产损失，由乙方负责处理并承担全部法律责任，</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（采购单位）不承担任何责任。</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(2)乙方与聘用人员发生任何纠纷，均由乙方负责调解与处理并承担全部法律责任，</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（采购单位）不承担任何责任。</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(3）乙方在运营期间，各类安全工作均由乙方负责。如发生安全事故如消防安全事故、食品安全事故、服务对象的人身伤害或伤亡事故等，均由乙方负责处理并承担全部法律责任，</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（采购单位）不承担任何责任。</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16.集中托养人员和管理服务人员有变动时，应按月及时书面上报县残联备案，作为经费结算依据，未及时报送的，不列入经费结算范围。因虚报瞒报骗取补助的，按相关法律规定追究责任。</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17.人员配置</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托养中心应配备与其服务范围相适应的管理人员、专业人员和护理人员。</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专职管理人员不少于1名，后续按实际需求配备。（必须保证有1人全天24小时驻中心）。专职管理人员应从事过管理工作，具有社会工作类、社会福利类或康复类等相关学历、证书或经历；专职管理人员熟悉残疾人相关法律法规与政策，熟练掌握残疾人托养的基本知识、主要政策和专业知识；专职管理人员每年至少参加1次以上的残疾人托养服务管理的相关培训。</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（2）配备专职（或兼职）医务人员1名。</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（3）康复专业人员、精神卫生医师、心理咨询和疏导人员等人员按实际需求配置（或兼职）。</w:t>
      </w:r>
    </w:p>
    <w:p>
      <w:pPr>
        <w:widowControl/>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（4）常驻专职财务人员1名</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（5）配备专职消防管理员至少1名（持有相关资质证书，要确保全天24小时全天候驻中心）。</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以上人员应具有本人身份证明、健康证明。对需持证上岗的</w:t>
      </w:r>
      <w:r>
        <w:rPr>
          <w:rFonts w:hint="eastAsia" w:ascii="宋体" w:hAnsi="宋体" w:cs="宋体"/>
          <w:color w:val="auto"/>
          <w:kern w:val="0"/>
          <w:sz w:val="24"/>
          <w:szCs w:val="24"/>
          <w:lang w:eastAsia="zh-CN"/>
        </w:rPr>
        <w:t>岗位</w:t>
      </w:r>
      <w:r>
        <w:rPr>
          <w:rFonts w:hint="eastAsia" w:ascii="宋体" w:hAnsi="宋体" w:eastAsia="宋体" w:cs="宋体"/>
          <w:color w:val="auto"/>
          <w:kern w:val="0"/>
          <w:sz w:val="24"/>
          <w:szCs w:val="24"/>
        </w:rPr>
        <w:t>，应按有关法律法规规定持有效的从业资格和职业资格证书。</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（6）护理员。根据服务对象需求配备适宜的护理员，护理员与重度残疾托养服务对象的比例不低于1︰</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。护理员中男女比例应根据实际情况配备。护理人员应接受过残疾人特殊生理与心理知识培训。每年至少参加乙方或专业培训机构举办的12学时以上的业务培训，熟练掌握相应的业务知识和岗位技能。</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（7）至少配备1名经公安部门认可的安保人员（要求全天24小时值班）。</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（8）厨房工作人员按实际需求配置。</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（9）清洁卫生作人员按实际需求配置（可外包）。</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以上所有服务人员都应具有本人身份证明、健康证明，工作期间必须着工作装，挂胸牌。</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18.服务内容及要求</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内容及要求参照《残疾人托养服务基本规范（试行）》（浙残联教就〔2014〕45号）和《就业年龄段智力、精神及重度肢体残疾人托养服务规范》（GB/T37516-2019）等文件规定执行，如政策有调整按新政策有关规定执行。</w:t>
      </w:r>
    </w:p>
    <w:p>
      <w:pPr>
        <w:adjustRightInd w:val="0"/>
        <w:snapToGrid w:val="0"/>
        <w:spacing w:line="360" w:lineRule="auto"/>
        <w:ind w:firstLine="482" w:firstLineChars="200"/>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条  乙方应做好对设施维护和资产管理</w:t>
      </w:r>
    </w:p>
    <w:p>
      <w:pPr>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乙方受甲方委托，代为履行国有资产管理职责，按照有关国有资产管理文件精神要求，加强设施维护和资产管理，确保国有资产安全和完整。</w:t>
      </w:r>
    </w:p>
    <w:p>
      <w:pPr>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项目正式移交时，甲乙双方须对所有资产进行登记造册，并经双方核实签字确认。</w:t>
      </w:r>
    </w:p>
    <w:p>
      <w:pPr>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运营期间，乙方须建立健全国有资产使用管理制度，规范资产使用行为，定期清查盘点，每年更新资产清单，做到家底清楚，账、卡、实相符。甲方应加强对国有资产的监管，防止国有资产流失。如正常情况下发生的损坏或报废，须由双方共同验收并经甲方同意后报废。若因乙方使用不当造成损毁、损坏的，乙方应负责及时维修或者赔偿。</w:t>
      </w:r>
    </w:p>
    <w:p>
      <w:pPr>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4.履约风险保证金。为确保乙方履行合同约定内容，合同签订前，由乙方向甲方提交银行保函或保险保函，担保金额为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40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万元。若出现乙方未履行合同约定，甲方有权根据实际情况进行索赔。</w:t>
      </w:r>
    </w:p>
    <w:p>
      <w:pPr>
        <w:adjustRightInd w:val="0"/>
        <w:snapToGrid w:val="0"/>
        <w:spacing w:line="360" w:lineRule="auto"/>
        <w:jc w:val="center"/>
        <w:outlineLvl w:val="9"/>
        <w:rPr>
          <w:rFonts w:hint="eastAsia" w:ascii="宋体" w:hAnsi="宋体" w:eastAsia="宋体" w:cs="宋体"/>
          <w:b/>
          <w:bCs w:val="0"/>
          <w:color w:val="auto"/>
          <w:sz w:val="24"/>
          <w:szCs w:val="24"/>
        </w:rPr>
      </w:pPr>
      <w:bookmarkStart w:id="75" w:name="_Toc27159"/>
    </w:p>
    <w:p>
      <w:pPr>
        <w:adjustRightInd w:val="0"/>
        <w:snapToGrid w:val="0"/>
        <w:spacing w:line="360" w:lineRule="auto"/>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第</w:t>
      </w:r>
      <w:r>
        <w:rPr>
          <w:rFonts w:hint="eastAsia" w:ascii="宋体" w:hAnsi="宋体" w:cs="宋体"/>
          <w:b/>
          <w:bCs w:val="0"/>
          <w:color w:val="auto"/>
          <w:sz w:val="24"/>
          <w:szCs w:val="24"/>
          <w:lang w:val="en-US" w:eastAsia="zh-CN"/>
        </w:rPr>
        <w:t>四</w:t>
      </w:r>
      <w:r>
        <w:rPr>
          <w:rFonts w:hint="eastAsia" w:ascii="宋体" w:hAnsi="宋体" w:eastAsia="宋体" w:cs="宋体"/>
          <w:b/>
          <w:bCs w:val="0"/>
          <w:color w:val="auto"/>
          <w:sz w:val="24"/>
          <w:szCs w:val="24"/>
        </w:rPr>
        <w:t>章</w:t>
      </w:r>
      <w:r>
        <w:rPr>
          <w:rFonts w:hint="eastAsia" w:ascii="宋体" w:hAnsi="宋体" w:cs="宋体"/>
          <w:b/>
          <w:bCs w:val="0"/>
          <w:color w:val="auto"/>
          <w:sz w:val="24"/>
          <w:szCs w:val="24"/>
          <w:lang w:val="en-US" w:eastAsia="zh-CN"/>
        </w:rPr>
        <w:t xml:space="preserve">   </w:t>
      </w:r>
      <w:r>
        <w:rPr>
          <w:rFonts w:hint="eastAsia" w:ascii="宋体" w:hAnsi="宋体" w:eastAsia="宋体" w:cs="宋体"/>
          <w:b/>
          <w:bCs w:val="0"/>
          <w:color w:val="auto"/>
          <w:sz w:val="24"/>
          <w:szCs w:val="24"/>
        </w:rPr>
        <w:t>双方权利义务</w:t>
      </w:r>
      <w:bookmarkEnd w:id="75"/>
    </w:p>
    <w:p>
      <w:pPr>
        <w:adjustRightInd w:val="0"/>
        <w:snapToGrid w:val="0"/>
        <w:spacing w:line="360" w:lineRule="auto"/>
        <w:ind w:firstLine="472" w:firstLineChars="196"/>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val="en-US" w:eastAsia="zh-CN"/>
        </w:rPr>
        <w:t>九</w:t>
      </w:r>
      <w:r>
        <w:rPr>
          <w:rFonts w:hint="eastAsia" w:ascii="宋体" w:hAnsi="宋体" w:eastAsia="宋体" w:cs="宋体"/>
          <w:b/>
          <w:color w:val="auto"/>
          <w:sz w:val="24"/>
          <w:szCs w:val="24"/>
        </w:rPr>
        <w:t>条</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甲方权利义务</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1.拥有</w:t>
      </w:r>
      <w:r>
        <w:rPr>
          <w:rFonts w:hint="eastAsia" w:ascii="宋体" w:hAnsi="宋体" w:cs="宋体"/>
          <w:color w:val="auto"/>
          <w:sz w:val="24"/>
          <w:szCs w:val="24"/>
          <w:lang w:eastAsia="zh-CN"/>
        </w:rPr>
        <w:t>青田县</w:t>
      </w:r>
      <w:r>
        <w:rPr>
          <w:rFonts w:hint="eastAsia" w:ascii="宋体" w:hAnsi="宋体" w:eastAsia="宋体" w:cs="宋体"/>
          <w:color w:val="auto"/>
          <w:sz w:val="24"/>
          <w:szCs w:val="24"/>
        </w:rPr>
        <w:t>残疾人托养中心全部资产的所有权</w:t>
      </w:r>
      <w:r>
        <w:rPr>
          <w:rFonts w:hint="default" w:ascii="宋体" w:hAnsi="宋体" w:cs="宋体"/>
          <w:color w:val="auto"/>
          <w:sz w:val="24"/>
          <w:szCs w:val="24"/>
        </w:rPr>
        <w:t>（不含乙方投入的医疗设备）</w:t>
      </w:r>
      <w:r>
        <w:rPr>
          <w:rFonts w:hint="eastAsia" w:ascii="宋体" w:hAnsi="宋体" w:eastAsia="宋体" w:cs="宋体"/>
          <w:color w:val="auto"/>
          <w:sz w:val="24"/>
          <w:szCs w:val="24"/>
        </w:rPr>
        <w:t>。</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拥有对乙方履行本合同服务管理的监督管理权，指导、协助乙方做好相关管理服务工作；有权要求乙方对违反服务承诺的事项进行限期整改；有权要求乙方采纳甲方提出的合理要求；有权对乙方管理及服务进行考核评定。</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3.甲方原则上确保基础设施配置到位（能保障残疾人生活和日常工作的基础设施），确保达到开办条件。</w:t>
      </w:r>
    </w:p>
    <w:p>
      <w:pPr>
        <w:adjustRightInd w:val="0"/>
        <w:snapToGrid w:val="0"/>
        <w:spacing w:line="360" w:lineRule="auto"/>
        <w:ind w:lef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4.其他约定的权利和义务。</w:t>
      </w:r>
    </w:p>
    <w:p>
      <w:pPr>
        <w:adjustRightInd w:val="0"/>
        <w:snapToGrid w:val="0"/>
        <w:spacing w:line="360" w:lineRule="auto"/>
        <w:ind w:firstLine="472" w:firstLineChars="196"/>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cs="宋体"/>
          <w:b/>
          <w:color w:val="auto"/>
          <w:sz w:val="24"/>
          <w:szCs w:val="24"/>
          <w:lang w:val="en-US" w:eastAsia="zh-CN"/>
        </w:rPr>
        <w:t>十</w:t>
      </w:r>
      <w:r>
        <w:rPr>
          <w:rFonts w:hint="eastAsia" w:ascii="宋体" w:hAnsi="宋体" w:eastAsia="宋体" w:cs="宋体"/>
          <w:b/>
          <w:color w:val="auto"/>
          <w:sz w:val="24"/>
          <w:szCs w:val="24"/>
        </w:rPr>
        <w:t>条 乙方权利义务</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1.托养机构资产权属甲方，乙方对项目范围内的资产，未经甲方许可，不得擅自占用和改变使用功能，不得用于与本合同服务管理无关的活动。乙方在</w:t>
      </w:r>
      <w:r>
        <w:rPr>
          <w:rFonts w:hint="eastAsia" w:ascii="宋体" w:hAnsi="宋体" w:eastAsia="宋体" w:cs="宋体"/>
          <w:color w:val="auto"/>
          <w:kern w:val="0"/>
          <w:sz w:val="24"/>
          <w:szCs w:val="24"/>
        </w:rPr>
        <w:t>运营期间及服务期届满后，</w:t>
      </w:r>
      <w:r>
        <w:rPr>
          <w:rFonts w:hint="eastAsia" w:ascii="宋体" w:hAnsi="宋体" w:eastAsia="宋体" w:cs="宋体"/>
          <w:color w:val="auto"/>
          <w:sz w:val="24"/>
          <w:szCs w:val="24"/>
        </w:rPr>
        <w:t>应保证资产的安全，不流失，不人为损坏，维护设备和资产的完整和完好。</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2.乙方应制定托养机构运营管理方案和规章制度，并组织实施。</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3.乙方应组建运营管理团队，确保能够满足托养机构运营管理需求。</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4.乙方应明确服务内容、服务方式及服务流程，实行标准化管理。</w:t>
      </w:r>
    </w:p>
    <w:p>
      <w:pPr>
        <w:tabs>
          <w:tab w:val="left" w:pos="1342"/>
        </w:tabs>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5.乙方应制订各岗位工作流程及消防、抗台、安全等紧急预案，并切实培训到每个岗位人员。</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6.乙方应制订详细的培训计划，对所有员工进行岗位培训、日常培训和文明礼仪培训，确保每个员工培训合格上岗。</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7.每季度进行财务分析，确保实现收支平衡。</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8.成立托养机构内部监督团队，提升服务管理执行能力。</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9.乙方负责日常损耗性设施、设备的维护和修缮。</w:t>
      </w:r>
    </w:p>
    <w:p>
      <w:pPr>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rPr>
        <w:t>10.严格按照非营利性组织财务制度要求建立规范的财务管理制度，管理规范、收支有据、账目清楚。</w:t>
      </w:r>
    </w:p>
    <w:p>
      <w:pPr>
        <w:spacing w:line="360" w:lineRule="auto"/>
        <w:ind w:firstLine="470" w:firstLineChars="196"/>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11.负责日常的安全管理，杜绝发生人身伤害、火灾、物品失窃等。</w:t>
      </w:r>
    </w:p>
    <w:p>
      <w:pPr>
        <w:widowControl/>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12.机构管理员、专业人员、服务人员按《</w:t>
      </w:r>
      <w:r>
        <w:rPr>
          <w:rFonts w:hint="eastAsia" w:ascii="宋体" w:hAnsi="宋体" w:cs="宋体"/>
          <w:color w:val="auto"/>
          <w:sz w:val="24"/>
          <w:lang w:eastAsia="zh-CN"/>
        </w:rPr>
        <w:t>青田县</w:t>
      </w:r>
      <w:r>
        <w:rPr>
          <w:rFonts w:hint="eastAsia" w:ascii="宋体" w:hAnsi="宋体" w:cs="宋体"/>
          <w:color w:val="auto"/>
          <w:sz w:val="24"/>
        </w:rPr>
        <w:t>残疾人综合服务中心委托运营管理项目竞争性磋商公告</w:t>
      </w:r>
      <w:r>
        <w:rPr>
          <w:rFonts w:hint="eastAsia" w:ascii="宋体" w:hAnsi="宋体" w:eastAsia="宋体" w:cs="宋体"/>
          <w:color w:val="auto"/>
          <w:sz w:val="24"/>
          <w:szCs w:val="24"/>
        </w:rPr>
        <w:t>》要求配备。</w:t>
      </w:r>
    </w:p>
    <w:p>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13.入住机构的残疾人如不能服从正常管理须清退或因精神方面疾病须托养其他专业机构的，乙方必须事先经甲方同意后再送出。</w:t>
      </w:r>
    </w:p>
    <w:p>
      <w:pPr>
        <w:adjustRightInd w:val="0"/>
        <w:snapToGrid w:val="0"/>
        <w:spacing w:line="360" w:lineRule="auto"/>
        <w:ind w:firstLine="570"/>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14.其他约定的权利和义务。</w:t>
      </w:r>
    </w:p>
    <w:p>
      <w:pPr>
        <w:adjustRightInd w:val="0"/>
        <w:snapToGrid w:val="0"/>
        <w:spacing w:line="360" w:lineRule="auto"/>
        <w:jc w:val="center"/>
        <w:outlineLvl w:val="9"/>
        <w:rPr>
          <w:rFonts w:hint="eastAsia" w:ascii="宋体" w:hAnsi="宋体" w:eastAsia="宋体" w:cs="宋体"/>
          <w:b/>
          <w:bCs w:val="0"/>
          <w:color w:val="auto"/>
          <w:sz w:val="24"/>
          <w:szCs w:val="24"/>
        </w:rPr>
      </w:pPr>
      <w:bookmarkStart w:id="76" w:name="_Toc23941"/>
      <w:r>
        <w:rPr>
          <w:rFonts w:hint="eastAsia" w:ascii="宋体" w:hAnsi="宋体" w:eastAsia="宋体" w:cs="宋体"/>
          <w:b/>
          <w:bCs w:val="0"/>
          <w:color w:val="auto"/>
          <w:sz w:val="24"/>
          <w:szCs w:val="24"/>
        </w:rPr>
        <w:t>第</w:t>
      </w:r>
      <w:r>
        <w:rPr>
          <w:rFonts w:hint="eastAsia" w:ascii="宋体" w:hAnsi="宋体" w:cs="宋体"/>
          <w:b/>
          <w:bCs w:val="0"/>
          <w:color w:val="auto"/>
          <w:sz w:val="24"/>
          <w:szCs w:val="24"/>
          <w:lang w:val="en-US" w:eastAsia="zh-CN"/>
        </w:rPr>
        <w:t>五</w:t>
      </w:r>
      <w:r>
        <w:rPr>
          <w:rFonts w:hint="eastAsia" w:ascii="宋体" w:hAnsi="宋体" w:eastAsia="宋体" w:cs="宋体"/>
          <w:b/>
          <w:bCs w:val="0"/>
          <w:color w:val="auto"/>
          <w:sz w:val="24"/>
          <w:szCs w:val="24"/>
        </w:rPr>
        <w:t xml:space="preserve">章 </w:t>
      </w:r>
      <w:r>
        <w:rPr>
          <w:rFonts w:hint="eastAsia" w:ascii="宋体" w:hAnsi="宋体" w:cs="宋体"/>
          <w:b/>
          <w:bCs w:val="0"/>
          <w:color w:val="auto"/>
          <w:sz w:val="24"/>
          <w:szCs w:val="24"/>
          <w:lang w:val="en-US" w:eastAsia="zh-CN"/>
        </w:rPr>
        <w:t xml:space="preserve">  </w:t>
      </w:r>
      <w:r>
        <w:rPr>
          <w:rFonts w:hint="eastAsia" w:ascii="宋体" w:hAnsi="宋体" w:eastAsia="宋体" w:cs="宋体"/>
          <w:b/>
          <w:bCs w:val="0"/>
          <w:color w:val="auto"/>
          <w:sz w:val="24"/>
          <w:szCs w:val="24"/>
        </w:rPr>
        <w:t>服务质量评估</w:t>
      </w:r>
      <w:bookmarkEnd w:id="76"/>
    </w:p>
    <w:p>
      <w:pPr>
        <w:adjustRightInd w:val="0"/>
        <w:snapToGrid w:val="0"/>
        <w:spacing w:line="360" w:lineRule="auto"/>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rPr>
        <w:t xml:space="preserve">条 </w:t>
      </w:r>
      <w:r>
        <w:rPr>
          <w:rFonts w:hint="eastAsia" w:ascii="宋体" w:hAnsi="宋体" w:eastAsia="宋体" w:cs="宋体"/>
          <w:color w:val="auto"/>
          <w:kern w:val="0"/>
          <w:sz w:val="24"/>
          <w:szCs w:val="24"/>
        </w:rPr>
        <w:t>服务质量评估</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根据运营管理服务质量要求和乙方承诺内容，由甲方按照相关规定组织实施托养机构运营服务质量评估。乙方对存在的问题，应按甲方要求及时整改落实到位。</w:t>
      </w:r>
      <w:r>
        <w:rPr>
          <w:rFonts w:hint="eastAsia" w:ascii="宋体" w:hAnsi="宋体" w:eastAsia="宋体" w:cs="宋体"/>
          <w:color w:val="auto"/>
          <w:kern w:val="0"/>
          <w:sz w:val="24"/>
          <w:szCs w:val="24"/>
        </w:rPr>
        <w:t>浙残联发〔2018〕2号《关于开展重度残疾人托养照护服务质量评估工作的指导意见》等文件规定</w:t>
      </w:r>
      <w:r>
        <w:rPr>
          <w:rFonts w:hint="eastAsia" w:ascii="宋体" w:hAnsi="宋体" w:eastAsia="宋体" w:cs="宋体"/>
          <w:bCs/>
          <w:color w:val="auto"/>
          <w:sz w:val="24"/>
          <w:szCs w:val="24"/>
        </w:rPr>
        <w:t>是</w:t>
      </w:r>
      <w:r>
        <w:rPr>
          <w:rFonts w:hint="eastAsia" w:ascii="宋体" w:hAnsi="宋体" w:eastAsia="宋体" w:cs="宋体"/>
          <w:color w:val="auto"/>
          <w:sz w:val="24"/>
          <w:szCs w:val="24"/>
        </w:rPr>
        <w:t>进行服务质量评估的主要依据，双方应当严格遵照执行。</w:t>
      </w:r>
    </w:p>
    <w:p>
      <w:pPr>
        <w:widowControl/>
        <w:spacing w:line="360" w:lineRule="auto"/>
        <w:ind w:firstLine="482" w:firstLineChars="200"/>
        <w:outlineLvl w:val="9"/>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 xml:space="preserve">条 </w:t>
      </w:r>
      <w:r>
        <w:rPr>
          <w:rFonts w:hint="eastAsia" w:ascii="宋体" w:hAnsi="宋体" w:eastAsia="宋体" w:cs="宋体"/>
          <w:color w:val="auto"/>
          <w:kern w:val="0"/>
          <w:sz w:val="24"/>
          <w:szCs w:val="24"/>
        </w:rPr>
        <w:t>服务质量评估</w:t>
      </w:r>
      <w:r>
        <w:rPr>
          <w:rFonts w:hint="eastAsia" w:ascii="宋体" w:hAnsi="宋体" w:eastAsia="宋体" w:cs="宋体"/>
          <w:b/>
          <w:bCs/>
          <w:color w:val="auto"/>
          <w:sz w:val="24"/>
          <w:szCs w:val="24"/>
        </w:rPr>
        <w:t xml:space="preserve">周期及方式 </w:t>
      </w:r>
      <w:r>
        <w:rPr>
          <w:rFonts w:hint="eastAsia" w:ascii="宋体" w:hAnsi="宋体" w:eastAsia="宋体" w:cs="宋体"/>
          <w:color w:val="auto"/>
          <w:kern w:val="0"/>
          <w:sz w:val="24"/>
          <w:szCs w:val="24"/>
        </w:rPr>
        <w:t>由甲方组织评估小组每年对乙方运营情况进行一次财务审计及服务质量考核评估。</w:t>
      </w:r>
    </w:p>
    <w:p>
      <w:pPr>
        <w:widowControl/>
        <w:spacing w:line="360" w:lineRule="auto"/>
        <w:ind w:firstLine="482" w:firstLineChars="200"/>
        <w:outlineLvl w:val="9"/>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 xml:space="preserve">条 </w:t>
      </w:r>
      <w:r>
        <w:rPr>
          <w:rFonts w:hint="eastAsia" w:ascii="宋体" w:hAnsi="宋体" w:eastAsia="宋体" w:cs="宋体"/>
          <w:color w:val="auto"/>
          <w:kern w:val="0"/>
          <w:sz w:val="24"/>
          <w:szCs w:val="24"/>
        </w:rPr>
        <w:t>服务质量评估</w:t>
      </w:r>
      <w:r>
        <w:rPr>
          <w:rFonts w:hint="eastAsia" w:ascii="宋体" w:hAnsi="宋体" w:eastAsia="宋体" w:cs="宋体"/>
          <w:b/>
          <w:bCs/>
          <w:color w:val="auto"/>
          <w:sz w:val="24"/>
          <w:szCs w:val="24"/>
        </w:rPr>
        <w:t xml:space="preserve">等级 </w:t>
      </w:r>
      <w:r>
        <w:rPr>
          <w:rFonts w:hint="eastAsia" w:ascii="宋体" w:hAnsi="宋体" w:eastAsia="宋体" w:cs="宋体"/>
          <w:color w:val="auto"/>
          <w:kern w:val="0"/>
          <w:sz w:val="24"/>
          <w:szCs w:val="24"/>
        </w:rPr>
        <w:t>评估总分为100分，综合评分在80分及以上为优秀等次，70—79分为良好，60—69分为合格，60分以下为不合格。</w:t>
      </w:r>
    </w:p>
    <w:p>
      <w:pPr>
        <w:adjustRightInd w:val="0"/>
        <w:snapToGrid w:val="0"/>
        <w:spacing w:line="360" w:lineRule="auto"/>
        <w:ind w:firstLine="470" w:firstLineChars="195"/>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 xml:space="preserve">条  </w:t>
      </w:r>
      <w:r>
        <w:rPr>
          <w:rFonts w:hint="eastAsia" w:ascii="宋体" w:hAnsi="宋体" w:eastAsia="宋体" w:cs="宋体"/>
          <w:b/>
          <w:bCs/>
          <w:color w:val="auto"/>
          <w:kern w:val="0"/>
          <w:sz w:val="24"/>
          <w:szCs w:val="24"/>
        </w:rPr>
        <w:t>服务质量评估</w:t>
      </w:r>
      <w:r>
        <w:rPr>
          <w:rFonts w:hint="eastAsia" w:ascii="宋体" w:hAnsi="宋体" w:eastAsia="宋体" w:cs="宋体"/>
          <w:b/>
          <w:bCs/>
          <w:color w:val="auto"/>
          <w:sz w:val="24"/>
          <w:szCs w:val="24"/>
        </w:rPr>
        <w:t>结果应用</w:t>
      </w:r>
    </w:p>
    <w:p>
      <w:pPr>
        <w:widowControl/>
        <w:spacing w:line="360" w:lineRule="auto"/>
        <w:ind w:firstLine="480" w:firstLineChars="200"/>
        <w:outlineLvl w:val="9"/>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000000"/>
          <w:kern w:val="0"/>
          <w:sz w:val="24"/>
          <w:szCs w:val="24"/>
          <w:highlight w:val="none"/>
        </w:rPr>
        <w:t>.评估结果</w:t>
      </w:r>
      <w:r>
        <w:rPr>
          <w:rFonts w:hint="eastAsia" w:ascii="宋体" w:hAnsi="宋体" w:cs="宋体"/>
          <w:color w:val="000000"/>
          <w:kern w:val="0"/>
          <w:sz w:val="24"/>
          <w:szCs w:val="24"/>
          <w:highlight w:val="none"/>
          <w:lang w:eastAsia="zh-CN"/>
        </w:rPr>
        <w:t>为优秀的</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eastAsia="zh-CN"/>
        </w:rPr>
        <w:t>奖励</w:t>
      </w:r>
      <w:r>
        <w:rPr>
          <w:rFonts w:hint="default" w:ascii="宋体" w:hAnsi="宋体" w:cs="宋体"/>
          <w:color w:val="000000"/>
          <w:kern w:val="0"/>
          <w:sz w:val="24"/>
          <w:szCs w:val="24"/>
          <w:highlight w:val="none"/>
          <w:lang w:eastAsia="zh-CN"/>
        </w:rPr>
        <w:t>10</w:t>
      </w:r>
      <w:r>
        <w:rPr>
          <w:rFonts w:hint="eastAsia" w:ascii="宋体" w:hAnsi="宋体" w:cs="宋体"/>
          <w:color w:val="000000"/>
          <w:kern w:val="0"/>
          <w:sz w:val="24"/>
          <w:szCs w:val="24"/>
          <w:highlight w:val="none"/>
          <w:lang w:val="en-US" w:eastAsia="zh-CN"/>
        </w:rPr>
        <w:t>万元</w:t>
      </w:r>
      <w:r>
        <w:rPr>
          <w:rFonts w:hint="eastAsia" w:ascii="宋体" w:hAnsi="宋体" w:eastAsia="宋体" w:cs="宋体"/>
          <w:color w:val="000000"/>
          <w:kern w:val="0"/>
          <w:sz w:val="24"/>
          <w:szCs w:val="24"/>
          <w:highlight w:val="none"/>
        </w:rPr>
        <w:t>运营经费</w:t>
      </w:r>
      <w:r>
        <w:rPr>
          <w:rFonts w:hint="eastAsia" w:ascii="宋体" w:hAnsi="宋体" w:cs="宋体"/>
          <w:color w:val="000000"/>
          <w:kern w:val="0"/>
          <w:sz w:val="24"/>
          <w:szCs w:val="24"/>
          <w:highlight w:val="none"/>
          <w:lang w:eastAsia="zh-CN"/>
        </w:rPr>
        <w:t>；评估结果为良好的，奖励</w:t>
      </w:r>
      <w:r>
        <w:rPr>
          <w:rFonts w:hint="default" w:ascii="宋体" w:hAnsi="宋体" w:cs="宋体"/>
          <w:color w:val="000000"/>
          <w:kern w:val="0"/>
          <w:sz w:val="24"/>
          <w:szCs w:val="24"/>
          <w:highlight w:val="none"/>
          <w:lang w:eastAsia="zh-CN"/>
        </w:rPr>
        <w:t>5</w:t>
      </w:r>
      <w:r>
        <w:rPr>
          <w:rFonts w:hint="eastAsia" w:ascii="宋体" w:hAnsi="宋体" w:cs="宋体"/>
          <w:color w:val="000000"/>
          <w:kern w:val="0"/>
          <w:sz w:val="24"/>
          <w:szCs w:val="24"/>
          <w:highlight w:val="none"/>
          <w:lang w:val="en-US" w:eastAsia="zh-CN"/>
        </w:rPr>
        <w:t>万元运营经费；评估结果</w:t>
      </w:r>
      <w:r>
        <w:rPr>
          <w:rFonts w:hint="default" w:ascii="宋体" w:hAnsi="宋体" w:cs="宋体"/>
          <w:color w:val="000000"/>
          <w:kern w:val="0"/>
          <w:sz w:val="24"/>
          <w:szCs w:val="24"/>
          <w:highlight w:val="none"/>
          <w:lang w:eastAsia="zh-CN"/>
        </w:rPr>
        <w:t>为合格的,不予奖励；</w:t>
      </w:r>
      <w:r>
        <w:rPr>
          <w:rFonts w:hint="eastAsia" w:ascii="宋体" w:hAnsi="宋体" w:cs="宋体"/>
          <w:color w:val="000000"/>
          <w:kern w:val="0"/>
          <w:sz w:val="24"/>
          <w:szCs w:val="24"/>
          <w:highlight w:val="none"/>
          <w:lang w:val="en-US" w:eastAsia="zh-CN"/>
        </w:rPr>
        <w:t>评估结果不合格的，自动启动第十六条第2点。</w:t>
      </w:r>
    </w:p>
    <w:p>
      <w:pPr>
        <w:widowControl/>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w:t>
      </w:r>
      <w:r>
        <w:rPr>
          <w:rFonts w:hint="eastAsia" w:ascii="宋体" w:hAnsi="宋体" w:cs="宋体"/>
          <w:color w:val="auto"/>
          <w:kern w:val="0"/>
          <w:sz w:val="24"/>
        </w:rPr>
        <w:t>服务期内的综合质量考评结果在良好等次及以上的，运营到期前经双方协商，在同等条件下可优先续约。</w:t>
      </w:r>
    </w:p>
    <w:p>
      <w:pPr>
        <w:adjustRightInd w:val="0"/>
        <w:snapToGrid w:val="0"/>
        <w:spacing w:line="360" w:lineRule="auto"/>
        <w:ind w:firstLine="570"/>
        <w:jc w:val="center"/>
        <w:outlineLvl w:val="9"/>
        <w:rPr>
          <w:rFonts w:hint="eastAsia" w:ascii="宋体" w:hAnsi="宋体" w:eastAsia="宋体" w:cs="宋体"/>
          <w:b/>
          <w:bCs/>
          <w:color w:val="auto"/>
          <w:sz w:val="24"/>
          <w:szCs w:val="24"/>
        </w:rPr>
      </w:pPr>
      <w:bookmarkStart w:id="77" w:name="_Toc16512"/>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章</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合同变更、解除和终止</w:t>
      </w:r>
      <w:bookmarkEnd w:id="77"/>
    </w:p>
    <w:p>
      <w:pPr>
        <w:adjustRightInd w:val="0"/>
        <w:snapToGrid w:val="0"/>
        <w:spacing w:line="360" w:lineRule="auto"/>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本合同生效后即具有法律约束力，甲乙双方均不得随意变更或解除。如需变更或解除，须经甲、乙双方共同协商，达成一致书面意见。</w:t>
      </w:r>
    </w:p>
    <w:p>
      <w:pPr>
        <w:adjustRightInd w:val="0"/>
        <w:snapToGrid w:val="0"/>
        <w:spacing w:line="360" w:lineRule="auto"/>
        <w:ind w:firstLine="479" w:firstLineChars="199"/>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合同有效期限内，出现以下情形之一的，甲方有权书面通知乙方单方解除合同：</w:t>
      </w:r>
    </w:p>
    <w:p>
      <w:pPr>
        <w:adjustRightInd w:val="0"/>
        <w:snapToGrid w:val="0"/>
        <w:spacing w:line="360" w:lineRule="auto"/>
        <w:ind w:firstLine="477" w:firstLineChars="199"/>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因国家法律、法规和政策等原因，导致本项目不符合公建民营条件或者合同不能履行的。</w:t>
      </w:r>
    </w:p>
    <w:p>
      <w:pPr>
        <w:adjustRightInd w:val="0"/>
        <w:snapToGrid w:val="0"/>
        <w:spacing w:line="360" w:lineRule="auto"/>
        <w:ind w:firstLine="477" w:firstLineChars="199"/>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因乙方运营管理未达到托养机构管理标准或乙方</w:t>
      </w:r>
      <w:r>
        <w:rPr>
          <w:rFonts w:hint="eastAsia" w:ascii="宋体" w:hAnsi="宋体" w:eastAsia="宋体" w:cs="宋体"/>
          <w:color w:val="auto"/>
          <w:kern w:val="0"/>
          <w:sz w:val="24"/>
          <w:szCs w:val="24"/>
        </w:rPr>
        <w:t>服务质量不合格</w:t>
      </w:r>
      <w:r>
        <w:rPr>
          <w:rFonts w:hint="eastAsia" w:ascii="宋体" w:hAnsi="宋体" w:eastAsia="宋体" w:cs="宋体"/>
          <w:color w:val="auto"/>
          <w:sz w:val="24"/>
          <w:szCs w:val="24"/>
        </w:rPr>
        <w:t>，经整改后仍不符合双方签订的服务质量要求的。</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因乙方管理不善等原因造成甲方设施设备损坏，或发生人身损害、火灾、物品失窃、食品安全等，情节严重的，由乙方承担运营过程中所发生的一切经济和法律责任。</w:t>
      </w:r>
    </w:p>
    <w:p>
      <w:pPr>
        <w:adjustRightInd w:val="0"/>
        <w:snapToGrid w:val="0"/>
        <w:spacing w:line="360" w:lineRule="auto"/>
        <w:ind w:firstLine="477" w:firstLineChars="199"/>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乙方以任何形式将本项目转包、分包或者委托他人经营的。由于乙方原因导致甲方解除合同的，并应按照违约责任条款承担相应的违约责任。</w:t>
      </w:r>
    </w:p>
    <w:p>
      <w:pPr>
        <w:adjustRightInd w:val="0"/>
        <w:snapToGrid w:val="0"/>
        <w:spacing w:line="360" w:lineRule="auto"/>
        <w:ind w:firstLine="479" w:firstLineChars="199"/>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甲乙双方没有特殊原因，不得提前解除本合同。如确需解除的，除上述第十五条规定外，须提前3个月书面通知对方，并经双方协商同意，给对方造成损失的还应当承担赔偿责任。</w:t>
      </w:r>
    </w:p>
    <w:p>
      <w:pPr>
        <w:adjustRightInd w:val="0"/>
        <w:snapToGrid w:val="0"/>
        <w:spacing w:line="360" w:lineRule="auto"/>
        <w:ind w:firstLine="482" w:firstLineChars="200"/>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合同终止或合同期满，须进行资产核查，编制资产清单、管理服务情况说明书及管理档案资料等；若乙方不再继续运营的，双方还须做好资产移交和运营管理交接等工作，确保托养机构平稳安全运营。</w:t>
      </w:r>
    </w:p>
    <w:p>
      <w:pPr>
        <w:adjustRightInd w:val="0"/>
        <w:snapToGrid w:val="0"/>
        <w:spacing w:line="360" w:lineRule="auto"/>
        <w:ind w:firstLine="570"/>
        <w:jc w:val="center"/>
        <w:outlineLvl w:val="9"/>
        <w:rPr>
          <w:rFonts w:hint="eastAsia" w:ascii="宋体" w:hAnsi="宋体" w:eastAsia="宋体" w:cs="宋体"/>
          <w:b/>
          <w:bCs/>
          <w:color w:val="auto"/>
          <w:sz w:val="24"/>
          <w:szCs w:val="24"/>
        </w:rPr>
      </w:pPr>
      <w:bookmarkStart w:id="78" w:name="_Toc5229"/>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rPr>
        <w:t>章</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违约责任</w:t>
      </w:r>
      <w:bookmarkEnd w:id="78"/>
    </w:p>
    <w:p>
      <w:pPr>
        <w:adjustRightInd w:val="0"/>
        <w:snapToGrid w:val="0"/>
        <w:spacing w:line="360" w:lineRule="auto"/>
        <w:ind w:firstLine="479" w:firstLineChars="199"/>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因甲方行为违约导致乙方未能完成管理服务内容，乙方有权要求甲方在一定期限内解决，逾期不解决的，乙方有权解除合同，并免于承担相应责任。</w:t>
      </w:r>
    </w:p>
    <w:p>
      <w:pPr>
        <w:adjustRightInd w:val="0"/>
        <w:snapToGrid w:val="0"/>
        <w:spacing w:line="360" w:lineRule="auto"/>
        <w:ind w:firstLine="479" w:firstLineChars="199"/>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二十</w:t>
      </w:r>
      <w:r>
        <w:rPr>
          <w:rFonts w:hint="eastAsia" w:ascii="宋体" w:hAnsi="宋体" w:eastAsia="宋体" w:cs="宋体"/>
          <w:b/>
          <w:bCs/>
          <w:color w:val="auto"/>
          <w:sz w:val="24"/>
          <w:szCs w:val="24"/>
        </w:rPr>
        <w:t xml:space="preserve">条 </w:t>
      </w:r>
      <w:r>
        <w:rPr>
          <w:rFonts w:hint="eastAsia" w:ascii="宋体" w:hAnsi="宋体" w:eastAsia="宋体" w:cs="宋体"/>
          <w:bCs/>
          <w:color w:val="auto"/>
          <w:sz w:val="24"/>
          <w:szCs w:val="24"/>
        </w:rPr>
        <w:t>因</w:t>
      </w:r>
      <w:r>
        <w:rPr>
          <w:rFonts w:hint="eastAsia" w:ascii="宋体" w:hAnsi="宋体" w:eastAsia="宋体" w:cs="宋体"/>
          <w:color w:val="auto"/>
          <w:sz w:val="24"/>
          <w:szCs w:val="24"/>
        </w:rPr>
        <w:t>乙方不履行或不完全履行本合同约定运营管理义务，造成甲方的物业、设备及其他直接损失，或发生人身伤害、火灾、物品失窃等情况，事故造成的一切损失由乙方负责赔偿。若情节严重的，甲方可依照本合同第十五条规定单方解除合同。</w:t>
      </w:r>
    </w:p>
    <w:p>
      <w:pPr>
        <w:adjustRightInd w:val="0"/>
        <w:snapToGrid w:val="0"/>
        <w:spacing w:line="360" w:lineRule="auto"/>
        <w:ind w:firstLine="479" w:firstLineChars="199"/>
        <w:jc w:val="left"/>
        <w:outlineLvl w:val="9"/>
        <w:rPr>
          <w:rFonts w:hint="eastAsia" w:ascii="宋体" w:hAnsi="宋体" w:eastAsia="宋体" w:cs="宋体"/>
          <w:color w:val="FF0000"/>
          <w:sz w:val="24"/>
          <w:szCs w:val="24"/>
          <w:highlight w:val="none"/>
          <w:u w:val="single"/>
        </w:rPr>
      </w:pPr>
      <w:r>
        <w:rPr>
          <w:rFonts w:hint="eastAsia" w:ascii="宋体" w:hAnsi="宋体" w:eastAsia="宋体" w:cs="宋体"/>
          <w:b/>
          <w:bCs/>
          <w:color w:val="auto"/>
          <w:sz w:val="24"/>
          <w:szCs w:val="24"/>
        </w:rPr>
        <w:t>第二十</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乙方以任何形式将本项目转包、分包的或者委托其它组织和个人经营的，甲方有权要求乙方赔偿一切经济损失。经责令限期整改后仍不改正的，甲方可按照本合同第十五条单方解除合同。</w:t>
      </w:r>
      <w:r>
        <w:rPr>
          <w:rFonts w:hint="eastAsia" w:ascii="宋体" w:hAnsi="宋体" w:eastAsia="宋体" w:cs="宋体"/>
          <w:color w:val="auto"/>
          <w:sz w:val="24"/>
          <w:szCs w:val="24"/>
          <w:lang w:val="en-US" w:eastAsia="zh-CN"/>
        </w:rPr>
        <w:t>因此解除合同或本合同16条第二款解除合同的，乙方的履约保证金予以没收，保证金不足以赔偿甲方损失的，应继续赔偿。甲方的损失包括在解除合同后至新的运营主体入驻之前，为维持本项目运营的一切费用，以及为确定新的运营主体开展招标程序的费用等。</w:t>
      </w:r>
    </w:p>
    <w:p>
      <w:pPr>
        <w:widowControl/>
        <w:spacing w:line="360" w:lineRule="auto"/>
        <w:ind w:firstLine="482" w:firstLineChars="200"/>
        <w:outlineLvl w:val="9"/>
        <w:rPr>
          <w:rFonts w:hint="eastAsia" w:ascii="宋体" w:hAnsi="宋体" w:eastAsia="宋体" w:cs="宋体"/>
          <w:color w:val="auto"/>
          <w:kern w:val="0"/>
          <w:sz w:val="24"/>
          <w:szCs w:val="24"/>
        </w:rPr>
      </w:pPr>
      <w:r>
        <w:rPr>
          <w:rFonts w:hint="eastAsia" w:ascii="宋体" w:hAnsi="宋体" w:eastAsia="宋体" w:cs="宋体"/>
          <w:b/>
          <w:bCs/>
          <w:color w:val="auto"/>
          <w:sz w:val="24"/>
          <w:szCs w:val="24"/>
        </w:rPr>
        <w:t>第二十</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 xml:space="preserve">条 </w:t>
      </w:r>
      <w:r>
        <w:rPr>
          <w:rFonts w:hint="eastAsia" w:ascii="宋体" w:hAnsi="宋体" w:eastAsia="宋体" w:cs="宋体"/>
          <w:color w:val="auto"/>
          <w:kern w:val="0"/>
          <w:sz w:val="24"/>
          <w:szCs w:val="24"/>
        </w:rPr>
        <w:t>运营过程中，发生较大安全事故、虐待服务对象、以及严重违反运营要求的，均视为乙方违约，</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rPr>
        <w:t>有权解除合同，</w:t>
      </w:r>
      <w:r>
        <w:rPr>
          <w:rFonts w:hint="eastAsia" w:ascii="宋体" w:hAnsi="宋体" w:cs="宋体"/>
          <w:color w:val="auto"/>
          <w:kern w:val="0"/>
          <w:sz w:val="24"/>
          <w:szCs w:val="24"/>
          <w:lang w:eastAsia="zh-CN"/>
        </w:rPr>
        <w:t>乙方</w:t>
      </w:r>
      <w:r>
        <w:rPr>
          <w:rFonts w:hint="eastAsia" w:ascii="宋体" w:hAnsi="宋体" w:eastAsia="宋体" w:cs="宋体"/>
          <w:color w:val="auto"/>
          <w:kern w:val="0"/>
          <w:sz w:val="24"/>
          <w:szCs w:val="24"/>
        </w:rPr>
        <w:t>须赔偿损失。涉及违法犯罪的，依法追究法律责任。</w:t>
      </w:r>
    </w:p>
    <w:p>
      <w:pPr>
        <w:adjustRightInd w:val="0"/>
        <w:snapToGrid w:val="0"/>
        <w:spacing w:line="360" w:lineRule="auto"/>
        <w:ind w:firstLine="479" w:firstLineChars="199"/>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第二十</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因战争、自然灾害、党委政府政策或指令等不可抗力因素影响合同履行的，甲乙双方各自承担损失，双方互不追究责任。</w:t>
      </w:r>
    </w:p>
    <w:p>
      <w:pPr>
        <w:adjustRightInd w:val="0"/>
        <w:snapToGrid w:val="0"/>
        <w:spacing w:line="360" w:lineRule="auto"/>
        <w:jc w:val="center"/>
        <w:outlineLvl w:val="9"/>
        <w:rPr>
          <w:rFonts w:hint="eastAsia" w:ascii="宋体" w:hAnsi="宋体" w:eastAsia="宋体" w:cs="宋体"/>
          <w:b/>
          <w:bCs/>
          <w:color w:val="auto"/>
          <w:sz w:val="24"/>
          <w:szCs w:val="24"/>
        </w:rPr>
      </w:pPr>
      <w:bookmarkStart w:id="79" w:name="_Toc17401"/>
      <w:r>
        <w:rPr>
          <w:rFonts w:hint="eastAsia" w:ascii="宋体" w:hAnsi="宋体" w:eastAsia="宋体" w:cs="宋体"/>
          <w:b/>
          <w:bCs/>
          <w:color w:val="auto"/>
          <w:sz w:val="24"/>
          <w:szCs w:val="24"/>
        </w:rPr>
        <w:t>第</w:t>
      </w: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 xml:space="preserve">章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附则</w:t>
      </w:r>
      <w:bookmarkEnd w:id="79"/>
    </w:p>
    <w:p>
      <w:pPr>
        <w:adjustRightInd w:val="0"/>
        <w:snapToGrid w:val="0"/>
        <w:spacing w:line="360" w:lineRule="auto"/>
        <w:ind w:firstLine="472" w:firstLineChars="196"/>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第二十</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双方承诺严格履行本合同约定。本合同未尽事宜，有规范标准和上级部门文件规定的，执行规范标准和上级文件规定；无规范标准和上级部门文件规定的，在执行过程中经双方协商一致签订补充协议。规范标准、上级部门文件优于本合同效力，补充协议与本合同具同等效力。</w:t>
      </w:r>
    </w:p>
    <w:p>
      <w:pPr>
        <w:adjustRightInd w:val="0"/>
        <w:snapToGrid w:val="0"/>
        <w:spacing w:line="360" w:lineRule="auto"/>
        <w:ind w:firstLine="479" w:firstLineChars="199"/>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第二十</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本合同在履行中如发生争议，双方应首先采取协商、调解方式解决，经协商或调解达成一致意见，应当签订书面协议；协商不成的，提交有管辖权的人民法院进行诉讼。</w:t>
      </w:r>
    </w:p>
    <w:p>
      <w:pPr>
        <w:adjustRightInd w:val="0"/>
        <w:snapToGrid w:val="0"/>
        <w:spacing w:line="360" w:lineRule="auto"/>
        <w:ind w:firstLine="479" w:firstLineChars="199"/>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w:t>
      </w:r>
      <w:r>
        <w:rPr>
          <w:rFonts w:hint="eastAsia" w:ascii="宋体" w:hAnsi="宋体" w:eastAsia="宋体" w:cs="宋体"/>
          <w:b/>
          <w:bCs/>
          <w:color w:val="auto"/>
          <w:sz w:val="24"/>
          <w:szCs w:val="24"/>
        </w:rPr>
        <w:t>二十</w:t>
      </w:r>
      <w:r>
        <w:rPr>
          <w:rFonts w:hint="eastAsia" w:ascii="宋体" w:hAnsi="宋体" w:cs="宋体"/>
          <w:b/>
          <w:bCs/>
          <w:color w:val="auto"/>
          <w:sz w:val="24"/>
          <w:szCs w:val="24"/>
          <w:lang w:val="en-US" w:eastAsia="zh-CN"/>
        </w:rPr>
        <w:t>六</w:t>
      </w:r>
      <w:r>
        <w:rPr>
          <w:rFonts w:hint="eastAsia" w:ascii="宋体" w:hAnsi="宋体" w:eastAsia="宋体" w:cs="宋体"/>
          <w:b/>
          <w:color w:val="auto"/>
          <w:sz w:val="24"/>
          <w:szCs w:val="24"/>
        </w:rPr>
        <w:t xml:space="preserve">条 </w:t>
      </w:r>
      <w:r>
        <w:rPr>
          <w:rFonts w:hint="eastAsia" w:ascii="宋体" w:hAnsi="宋体" w:eastAsia="宋体" w:cs="宋体"/>
          <w:color w:val="auto"/>
          <w:sz w:val="24"/>
          <w:szCs w:val="24"/>
        </w:rPr>
        <w:t>本合同一式五份，甲、乙双方各二份，采购代理机构一份。</w:t>
      </w:r>
    </w:p>
    <w:p>
      <w:pPr>
        <w:adjustRightInd w:val="0"/>
        <w:snapToGrid w:val="0"/>
        <w:spacing w:line="360" w:lineRule="auto"/>
        <w:ind w:firstLine="479" w:firstLineChars="199"/>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color w:val="auto"/>
          <w:sz w:val="24"/>
          <w:szCs w:val="24"/>
        </w:rPr>
        <w:t>二十</w:t>
      </w:r>
      <w:r>
        <w:rPr>
          <w:rFonts w:hint="eastAsia" w:ascii="宋体" w:hAnsi="宋体" w:cs="宋体"/>
          <w:b/>
          <w:color w:val="auto"/>
          <w:sz w:val="24"/>
          <w:szCs w:val="24"/>
          <w:lang w:val="en-US" w:eastAsia="zh-CN"/>
        </w:rPr>
        <w:t>七</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本合同由双方法定代表人签字，加盖双方公章，自签订之日起生效。</w:t>
      </w:r>
    </w:p>
    <w:p>
      <w:pPr>
        <w:adjustRightInd w:val="0"/>
        <w:snapToGrid w:val="0"/>
        <w:spacing w:line="360" w:lineRule="auto"/>
        <w:outlineLvl w:val="9"/>
        <w:rPr>
          <w:rFonts w:hint="eastAsia" w:ascii="宋体" w:hAnsi="宋体" w:eastAsia="宋体" w:cs="宋体"/>
          <w:b/>
          <w:bCs/>
          <w:color w:val="auto"/>
          <w:sz w:val="24"/>
          <w:szCs w:val="24"/>
        </w:rPr>
      </w:pPr>
    </w:p>
    <w:p>
      <w:pPr>
        <w:pStyle w:val="2"/>
        <w:rPr>
          <w:rFonts w:hint="eastAsia"/>
        </w:rPr>
      </w:pPr>
    </w:p>
    <w:p>
      <w:pPr>
        <w:adjustRightInd w:val="0"/>
        <w:snapToGrid w:val="0"/>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甲方：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 xml:space="preserve">(盖章)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 xml:space="preserve">乙方：       (盖章)  </w:t>
      </w:r>
    </w:p>
    <w:p>
      <w:pPr>
        <w:adjustRightInd w:val="0"/>
        <w:snapToGrid w:val="0"/>
        <w:spacing w:line="360" w:lineRule="auto"/>
        <w:ind w:firstLine="482" w:firstLineChars="200"/>
        <w:outlineLvl w:val="9"/>
      </w:pPr>
      <w:r>
        <w:rPr>
          <w:rFonts w:hint="eastAsia" w:ascii="宋体" w:hAnsi="宋体" w:eastAsia="宋体" w:cs="宋体"/>
          <w:b/>
          <w:bCs/>
          <w:color w:val="auto"/>
          <w:sz w:val="24"/>
          <w:szCs w:val="24"/>
        </w:rPr>
        <w:t xml:space="preserve">代表签章：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代表签章：</w:t>
      </w:r>
    </w:p>
    <w:p>
      <w:pPr>
        <w:adjustRightInd w:val="0"/>
        <w:snapToGrid w:val="0"/>
        <w:spacing w:line="360" w:lineRule="auto"/>
        <w:ind w:firstLine="482" w:firstLineChars="20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项目负责人：</w:t>
      </w:r>
      <w:r>
        <w:rPr>
          <w:rFonts w:hint="eastAsia" w:ascii="宋体" w:hAnsi="宋体" w:eastAsia="宋体" w:cs="宋体"/>
          <w:b/>
          <w:bCs/>
          <w:color w:val="auto"/>
          <w:sz w:val="24"/>
          <w:szCs w:val="24"/>
          <w:lang w:val="en-US" w:eastAsia="zh-CN"/>
        </w:rPr>
        <w:t xml:space="preserve">                         项目负责人：             </w:t>
      </w:r>
    </w:p>
    <w:p>
      <w:pPr>
        <w:adjustRightInd w:val="0"/>
        <w:snapToGrid w:val="0"/>
        <w:spacing w:line="360" w:lineRule="auto"/>
        <w:ind w:firstLine="482" w:firstLineChars="200"/>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联系电话：                          联系电话：</w:t>
      </w:r>
    </w:p>
    <w:p>
      <w:pPr>
        <w:spacing w:line="520" w:lineRule="exact"/>
        <w:ind w:firstLine="527" w:firstLineChars="250"/>
        <w:outlineLvl w:val="9"/>
        <w:rPr>
          <w:rFonts w:ascii="宋体" w:hAnsi="宋体" w:cs="仿宋_GB2312"/>
          <w:b/>
          <w:bCs/>
          <w:color w:val="auto"/>
          <w:sz w:val="24"/>
        </w:rPr>
      </w:pPr>
      <w:r>
        <w:rPr>
          <w:rFonts w:hint="eastAsia" w:ascii="宋体" w:hAnsi="宋体" w:eastAsia="宋体" w:cs="宋体"/>
          <w:b/>
          <w:bCs/>
          <w:color w:val="auto"/>
          <w:sz w:val="21"/>
          <w:szCs w:val="21"/>
        </w:rPr>
        <w:t xml:space="preserve">签约日期：   年  月  日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签约日期：  年  月  日</w:t>
      </w:r>
    </w:p>
    <w:p>
      <w:pPr>
        <w:pStyle w:val="3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p>
    <w:p>
      <w:pPr>
        <w:pStyle w:val="3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注：本合同仅作示范文本，具体以双方签定的正式合同为准，合同内容不得违背本</w:t>
      </w:r>
      <w:r>
        <w:rPr>
          <w:rFonts w:hint="eastAsia" w:ascii="宋体" w:hAnsi="宋体" w:cs="宋体"/>
          <w:b/>
          <w:color w:val="auto"/>
          <w:sz w:val="21"/>
          <w:szCs w:val="21"/>
          <w:lang w:val="en-US" w:eastAsia="zh-CN"/>
        </w:rPr>
        <w:t>采购</w:t>
      </w:r>
      <w:r>
        <w:rPr>
          <w:rFonts w:hint="eastAsia" w:ascii="宋体" w:hAnsi="宋体" w:eastAsia="宋体" w:cs="宋体"/>
          <w:b/>
          <w:color w:val="auto"/>
          <w:sz w:val="21"/>
          <w:szCs w:val="21"/>
        </w:rPr>
        <w:t>文件实质性要求</w:t>
      </w:r>
    </w:p>
    <w:p>
      <w:pPr>
        <w:pStyle w:val="3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pPr>
        <w:pStyle w:val="3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pPr>
        <w:pStyle w:val="3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bookmarkStart w:id="80" w:name="_Toc8811"/>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p>
    <w:p>
      <w:pPr>
        <w:pStyle w:val="3"/>
        <w:pageBreakBefore w:val="0"/>
        <w:tabs>
          <w:tab w:val="left" w:pos="1080"/>
        </w:tabs>
        <w:kinsoku/>
        <w:overflowPunct/>
        <w:topLinePunct w:val="0"/>
        <w:bidi w:val="0"/>
        <w:spacing w:line="400" w:lineRule="exact"/>
        <w:ind w:firstLine="0" w:firstLineChars="0"/>
        <w:jc w:val="center"/>
        <w:outlineLvl w:val="0"/>
        <w:rPr>
          <w:rStyle w:val="28"/>
          <w:rFonts w:hint="eastAsia" w:asciiTheme="minorEastAsia" w:hAnsiTheme="minorEastAsia" w:eastAsiaTheme="minorEastAsia" w:cstheme="minorEastAsia"/>
          <w:b/>
          <w:bCs w:val="0"/>
          <w:color w:val="auto"/>
          <w:sz w:val="30"/>
          <w:szCs w:val="30"/>
          <w:lang w:val="en-US" w:eastAsia="zh-CN" w:bidi="ar-SA"/>
        </w:rPr>
      </w:pPr>
      <w:r>
        <w:rPr>
          <w:rStyle w:val="28"/>
          <w:rFonts w:hint="eastAsia" w:asciiTheme="minorEastAsia" w:hAnsiTheme="minorEastAsia" w:eastAsiaTheme="minorEastAsia" w:cstheme="minorEastAsia"/>
          <w:b/>
          <w:bCs w:val="0"/>
          <w:color w:val="auto"/>
          <w:sz w:val="30"/>
          <w:szCs w:val="30"/>
          <w:lang w:val="en-US" w:eastAsia="zh-CN" w:bidi="ar-SA"/>
        </w:rPr>
        <w:t>第五章　磋商相关文件格式</w:t>
      </w:r>
      <w:bookmarkEnd w:id="71"/>
      <w:bookmarkEnd w:id="80"/>
      <w:bookmarkStart w:id="81" w:name="_Toc47756041"/>
      <w:bookmarkStart w:id="82" w:name="_Toc15813259"/>
      <w:bookmarkStart w:id="83" w:name="_Toc15805942"/>
      <w:bookmarkStart w:id="84" w:name="_Toc45506740"/>
    </w:p>
    <w:p>
      <w:pPr>
        <w:pageBreakBefore w:val="0"/>
        <w:kinsoku/>
        <w:overflowPunct/>
        <w:topLinePunct w:val="0"/>
        <w:bidi w:val="0"/>
        <w:spacing w:line="400" w:lineRule="exact"/>
        <w:rPr>
          <w:rFonts w:hint="eastAsia" w:ascii="宋体" w:hAnsi="宋体" w:eastAsia="宋体" w:cs="宋体"/>
          <w:color w:val="auto"/>
          <w:sz w:val="21"/>
          <w:szCs w:val="21"/>
        </w:rPr>
      </w:pPr>
      <w:bookmarkStart w:id="85" w:name="_Toc386467624"/>
    </w:p>
    <w:p>
      <w:pPr>
        <w:pageBreakBefore w:val="0"/>
        <w:kinsoku/>
        <w:overflowPunct/>
        <w:topLinePunct w:val="0"/>
        <w:bidi w:val="0"/>
        <w:spacing w:line="400" w:lineRule="exact"/>
        <w:ind w:firstLine="600"/>
        <w:jc w:val="center"/>
        <w:outlineLvl w:val="9"/>
        <w:rPr>
          <w:rFonts w:hint="eastAsia" w:ascii="宋体" w:hAnsi="宋体" w:eastAsia="宋体" w:cs="宋体"/>
          <w:b/>
          <w:bCs/>
          <w:color w:val="auto"/>
          <w:sz w:val="24"/>
          <w:szCs w:val="24"/>
        </w:rPr>
      </w:pPr>
      <w:bookmarkStart w:id="86" w:name="_Toc15497220"/>
      <w:bookmarkStart w:id="87" w:name="_Toc48143002"/>
    </w:p>
    <w:p>
      <w:pPr>
        <w:pageBreakBefore w:val="0"/>
        <w:kinsoku/>
        <w:overflowPunct/>
        <w:topLinePunct w:val="0"/>
        <w:bidi w:val="0"/>
        <w:spacing w:line="400" w:lineRule="exact"/>
        <w:ind w:firstLine="600"/>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投标文件封面及外包装封面格式</w:t>
      </w:r>
    </w:p>
    <w:p>
      <w:pPr>
        <w:pStyle w:val="7"/>
        <w:pageBreakBefore w:val="0"/>
        <w:kinsoku/>
        <w:overflowPunct/>
        <w:topLinePunct w:val="0"/>
        <w:bidi w:val="0"/>
        <w:spacing w:line="400" w:lineRule="exact"/>
        <w:ind w:firstLine="630" w:firstLineChars="300"/>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630" w:firstLineChars="300"/>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（正本）或（副本）</w:t>
      </w:r>
    </w:p>
    <w:p>
      <w:pPr>
        <w:pStyle w:val="7"/>
        <w:pageBreakBefore w:val="0"/>
        <w:kinsoku/>
        <w:overflowPunct/>
        <w:topLinePunct w:val="0"/>
        <w:bidi w:val="0"/>
        <w:spacing w:line="400" w:lineRule="exact"/>
        <w:ind w:firstLine="243" w:firstLineChars="116"/>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r>
        <w:rPr>
          <w:rFonts w:hint="eastAsia" w:ascii="宋体" w:hAnsi="宋体" w:eastAsia="宋体" w:cs="宋体"/>
          <w:color w:val="auto"/>
          <w:sz w:val="21"/>
          <w:szCs w:val="21"/>
        </w:rPr>
        <w:t>采购编号：</w:t>
      </w: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p>
      <w:pPr>
        <w:pStyle w:val="7"/>
        <w:pageBreakBefore w:val="0"/>
        <w:kinsoku/>
        <w:overflowPunct/>
        <w:topLinePunct w:val="0"/>
        <w:bidi w:val="0"/>
        <w:spacing w:line="400" w:lineRule="exact"/>
        <w:ind w:firstLine="0"/>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r>
        <w:rPr>
          <w:rFonts w:hint="eastAsia" w:ascii="宋体" w:hAnsi="宋体" w:eastAsia="宋体" w:cs="宋体"/>
          <w:color w:val="auto"/>
          <w:sz w:val="21"/>
          <w:szCs w:val="21"/>
        </w:rPr>
        <w:t>投标文件名称：资格审查文件/资信商务及技术文件/报价文件</w:t>
      </w: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名称（盖章）：</w:t>
      </w:r>
    </w:p>
    <w:p>
      <w:pPr>
        <w:pStyle w:val="7"/>
        <w:pageBreakBefore w:val="0"/>
        <w:kinsoku/>
        <w:overflowPunct/>
        <w:topLinePunct w:val="0"/>
        <w:bidi w:val="0"/>
        <w:spacing w:line="400" w:lineRule="exact"/>
        <w:ind w:firstLine="1459" w:firstLineChars="695"/>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地址：</w:t>
      </w: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73" w:firstLineChars="416"/>
        <w:rPr>
          <w:rFonts w:hint="eastAsia" w:ascii="宋体" w:hAnsi="宋体" w:eastAsia="宋体" w:cs="宋体"/>
          <w:color w:val="auto"/>
          <w:sz w:val="21"/>
          <w:szCs w:val="21"/>
        </w:rPr>
      </w:pPr>
      <w:r>
        <w:rPr>
          <w:rFonts w:hint="eastAsia" w:ascii="宋体" w:hAnsi="宋体" w:eastAsia="宋体" w:cs="宋体"/>
          <w:color w:val="auto"/>
          <w:sz w:val="21"/>
          <w:szCs w:val="21"/>
        </w:rPr>
        <w:t>负责人或委托代理人（签字或盖章）：</w:t>
      </w:r>
    </w:p>
    <w:p>
      <w:pPr>
        <w:pStyle w:val="7"/>
        <w:pageBreakBefore w:val="0"/>
        <w:kinsoku/>
        <w:overflowPunct/>
        <w:topLinePunct w:val="0"/>
        <w:bidi w:val="0"/>
        <w:spacing w:line="400" w:lineRule="exact"/>
        <w:ind w:firstLine="0"/>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时间：在  年  月  日  时  分之前不得启封</w:t>
      </w:r>
    </w:p>
    <w:p>
      <w:pPr>
        <w:pageBreakBefore w:val="0"/>
        <w:tabs>
          <w:tab w:val="left" w:pos="2355"/>
          <w:tab w:val="center" w:pos="4513"/>
        </w:tabs>
        <w:kinsoku/>
        <w:overflowPunct/>
        <w:topLinePunct w:val="0"/>
        <w:bidi w:val="0"/>
        <w:spacing w:line="400" w:lineRule="exact"/>
        <w:rPr>
          <w:rFonts w:hint="eastAsia" w:ascii="宋体" w:hAnsi="宋体" w:eastAsia="宋体" w:cs="宋体"/>
          <w:color w:val="auto"/>
          <w:sz w:val="21"/>
          <w:szCs w:val="21"/>
        </w:rPr>
      </w:pPr>
    </w:p>
    <w:p>
      <w:pPr>
        <w:keepNext w:val="0"/>
        <w:keepLines w:val="0"/>
        <w:pageBreakBefore w:val="0"/>
        <w:kinsoku/>
        <w:overflowPunct/>
        <w:topLinePunct w:val="0"/>
        <w:bidi w:val="0"/>
        <w:spacing w:line="400" w:lineRule="exact"/>
        <w:ind w:firstLine="2184" w:firstLineChars="1040"/>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br w:type="page"/>
      </w:r>
    </w:p>
    <w:p>
      <w:pPr>
        <w:pStyle w:val="4"/>
        <w:keepNext w:val="0"/>
        <w:keepLines w:val="0"/>
        <w:pageBreakBefore w:val="0"/>
        <w:kinsoku/>
        <w:overflowPunct/>
        <w:topLinePunct w:val="0"/>
        <w:bidi w:val="0"/>
        <w:spacing w:line="400" w:lineRule="exact"/>
        <w:jc w:val="center"/>
        <w:outlineLvl w:val="1"/>
        <w:rPr>
          <w:rFonts w:hint="eastAsia" w:ascii="宋体" w:hAnsi="宋体" w:eastAsia="宋体" w:cs="宋体"/>
          <w:b w:val="0"/>
          <w:bCs/>
          <w:color w:val="auto"/>
          <w:sz w:val="21"/>
          <w:szCs w:val="21"/>
        </w:rPr>
      </w:pPr>
      <w:bookmarkStart w:id="88" w:name="_Toc10946"/>
      <w:r>
        <w:rPr>
          <w:rFonts w:hint="eastAsia" w:ascii="宋体" w:hAnsi="宋体" w:eastAsia="宋体" w:cs="宋体"/>
          <w:b w:val="0"/>
          <w:bCs/>
          <w:color w:val="auto"/>
          <w:sz w:val="21"/>
          <w:szCs w:val="21"/>
        </w:rPr>
        <w:t>一   资格审查文件格式</w:t>
      </w:r>
      <w:bookmarkEnd w:id="86"/>
      <w:bookmarkEnd w:id="87"/>
      <w:bookmarkEnd w:id="88"/>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▲1、公司有效营业执照</w:t>
      </w:r>
    </w:p>
    <w:p>
      <w:pPr>
        <w:pStyle w:val="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▲2、授权委托书</w:t>
      </w:r>
    </w:p>
    <w:p>
      <w:pPr>
        <w:pStyle w:val="7"/>
        <w:pageBreakBefore w:val="0"/>
        <w:kinsoku/>
        <w:overflowPunct/>
        <w:topLinePunct w:val="0"/>
        <w:bidi w:val="0"/>
        <w:spacing w:line="400" w:lineRule="exact"/>
        <w:ind w:right="630" w:rightChars="30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▲3、资格声明</w:t>
      </w:r>
    </w:p>
    <w:p>
      <w:pPr>
        <w:pStyle w:val="7"/>
        <w:pageBreakBefore w:val="0"/>
        <w:kinsoku/>
        <w:overflowPunct/>
        <w:topLinePunct w:val="0"/>
        <w:bidi w:val="0"/>
        <w:spacing w:line="400" w:lineRule="exact"/>
        <w:ind w:right="630" w:rightChars="300"/>
        <w:jc w:val="both"/>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rPr>
        <w:t>▲</w:t>
      </w:r>
      <w:r>
        <w:rPr>
          <w:rFonts w:hint="eastAsia" w:ascii="宋体" w:hAnsi="宋体" w:cs="宋体"/>
          <w:b/>
          <w:bCs/>
          <w:color w:val="auto"/>
          <w:szCs w:val="21"/>
          <w:lang w:val="en-US" w:eastAsia="zh-CN"/>
        </w:rPr>
        <w:t>4、</w:t>
      </w:r>
      <w:r>
        <w:rPr>
          <w:rFonts w:hint="eastAsia" w:ascii="宋体" w:hAnsi="宋体" w:cs="宋体"/>
          <w:b w:val="0"/>
          <w:bCs w:val="0"/>
          <w:color w:val="auto"/>
          <w:szCs w:val="21"/>
        </w:rPr>
        <w:t>具有良好的财务会计制度、依法缴纳税收和社会保障资金的承诺函</w:t>
      </w:r>
    </w:p>
    <w:p>
      <w:pPr>
        <w:pStyle w:val="7"/>
        <w:pageBreakBefore w:val="0"/>
        <w:kinsoku/>
        <w:overflowPunct/>
        <w:topLinePunct w:val="0"/>
        <w:bidi w:val="0"/>
        <w:spacing w:line="4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▲5、无重大违法记录声明书</w:t>
      </w:r>
    </w:p>
    <w:p>
      <w:pPr>
        <w:pStyle w:val="7"/>
        <w:pageBreakBefore w:val="0"/>
        <w:kinsoku/>
        <w:overflowPunct/>
        <w:topLinePunct w:val="0"/>
        <w:bidi w:val="0"/>
        <w:spacing w:line="400" w:lineRule="exact"/>
        <w:ind w:left="0" w:leftChars="0" w:firstLine="420" w:firstLineChars="200"/>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6、具有履行合同所必需设备和专业技术能力的承诺函</w:t>
      </w:r>
    </w:p>
    <w:p>
      <w:pPr>
        <w:pageBreakBefore w:val="0"/>
        <w:kinsoku/>
        <w:overflowPunct/>
        <w:topLinePunct w:val="0"/>
        <w:bidi w:val="0"/>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7、联合体协议书（联合体投标时提供）</w:t>
      </w:r>
    </w:p>
    <w:p>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ageBreakBefore w:val="0"/>
        <w:kinsoku/>
        <w:overflowPunct/>
        <w:topLinePunct w:val="0"/>
        <w:bidi w:val="0"/>
        <w:spacing w:line="400" w:lineRule="exact"/>
        <w:jc w:val="center"/>
        <w:outlineLvl w:val="2"/>
        <w:rPr>
          <w:rFonts w:hint="eastAsia" w:ascii="宋体" w:hAnsi="宋体" w:eastAsia="宋体" w:cs="宋体"/>
          <w:color w:val="auto"/>
          <w:sz w:val="21"/>
          <w:szCs w:val="21"/>
        </w:rPr>
      </w:pPr>
      <w:bookmarkStart w:id="89" w:name="_Toc10741"/>
      <w:r>
        <w:rPr>
          <w:rFonts w:hint="eastAsia" w:ascii="宋体" w:hAnsi="宋体" w:eastAsia="宋体" w:cs="宋体"/>
          <w:color w:val="auto"/>
          <w:sz w:val="21"/>
          <w:szCs w:val="21"/>
        </w:rPr>
        <w:t>▲1、公司有效营业执照</w:t>
      </w:r>
      <w:bookmarkEnd w:id="89"/>
    </w:p>
    <w:p>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要求：</w:t>
      </w:r>
    </w:p>
    <w:p>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1.提供有效的营业执照复印件；</w:t>
      </w:r>
    </w:p>
    <w:p>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注：以上复印件须加盖</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章。</w:t>
      </w: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br w:type="page"/>
      </w:r>
      <w:bookmarkStart w:id="90" w:name="_Toc18660"/>
      <w:r>
        <w:rPr>
          <w:rFonts w:hint="eastAsia" w:ascii="宋体" w:hAnsi="宋体" w:eastAsia="宋体" w:cs="宋体"/>
          <w:color w:val="auto"/>
          <w:sz w:val="21"/>
          <w:szCs w:val="21"/>
        </w:rPr>
        <w:t>▲2、授权委托书</w:t>
      </w:r>
      <w:bookmarkEnd w:id="90"/>
    </w:p>
    <w:p>
      <w:pPr>
        <w:pStyle w:val="31"/>
        <w:pageBreakBefore w:val="0"/>
        <w:kinsoku/>
        <w:overflowPunct/>
        <w:topLinePunct w:val="0"/>
        <w:bidi w:val="0"/>
        <w:spacing w:line="400" w:lineRule="exact"/>
        <w:rPr>
          <w:rFonts w:hint="eastAsia" w:ascii="宋体" w:hAnsi="宋体" w:eastAsia="宋体" w:cs="宋体"/>
          <w:b/>
          <w:color w:val="auto"/>
          <w:sz w:val="21"/>
          <w:szCs w:val="21"/>
          <w:u w:val="single"/>
        </w:rPr>
      </w:pPr>
      <w:r>
        <w:rPr>
          <w:rFonts w:hint="eastAsia" w:ascii="宋体" w:hAnsi="宋体" w:cs="宋体"/>
          <w:color w:val="auto"/>
          <w:sz w:val="21"/>
          <w:szCs w:val="21"/>
          <w:u w:val="single"/>
          <w:lang w:eastAsia="zh-CN"/>
        </w:rPr>
        <w:t>青田县残疾人联合会</w:t>
      </w:r>
      <w:r>
        <w:rPr>
          <w:rFonts w:hint="eastAsia" w:ascii="宋体" w:hAnsi="宋体" w:eastAsia="宋体" w:cs="宋体"/>
          <w:color w:val="auto"/>
          <w:sz w:val="21"/>
          <w:szCs w:val="21"/>
          <w:u w:val="single"/>
        </w:rPr>
        <w:t>：</w:t>
      </w:r>
    </w:p>
    <w:p>
      <w:pPr>
        <w:pStyle w:val="31"/>
        <w:pageBreakBefore w:val="0"/>
        <w:kinsoku/>
        <w:overflowPunct/>
        <w:topLinePunct w:val="0"/>
        <w:autoSpaceDE w:val="0"/>
        <w:autoSpaceDN w:val="0"/>
        <w:bidi w:val="0"/>
        <w:spacing w:line="4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     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负责人姓名）系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全称）的负责人，现授权委托本单位</w:t>
      </w:r>
      <w:r>
        <w:rPr>
          <w:rFonts w:hint="eastAsia" w:ascii="宋体" w:hAnsi="宋体" w:eastAsia="宋体" w:cs="宋体"/>
          <w:b/>
          <w:color w:val="auto"/>
          <w:sz w:val="21"/>
          <w:szCs w:val="21"/>
        </w:rPr>
        <w:t>在职职工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（姓名）以我方的名义参加就贵方组织的</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青田县残疾人托养中心委托运营管理项目</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的投标活动，并代表我方全权办理针对上述项目的投标、开标、评审、签约等具体事务和签署相关文件。</w:t>
      </w:r>
    </w:p>
    <w:p>
      <w:pPr>
        <w:pStyle w:val="31"/>
        <w:pageBreakBefore w:val="0"/>
        <w:kinsoku/>
        <w:overflowPunct/>
        <w:topLinePunct w:val="0"/>
        <w:autoSpaceDE w:val="0"/>
        <w:autoSpaceDN w:val="0"/>
        <w:bidi w:val="0"/>
        <w:spacing w:line="4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    我方对委托代理人的签字或盖章事项负全部责任。</w:t>
      </w:r>
    </w:p>
    <w:p>
      <w:pPr>
        <w:pStyle w:val="31"/>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本授权书自签署之日起生效，在撤销授权的书面通知送达贵方以前，本授权委托书一直有效。委托代理人在授权书有效期内签署的所有文件不因授权的撤销而失效。</w:t>
      </w:r>
    </w:p>
    <w:p>
      <w:pPr>
        <w:pStyle w:val="31"/>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委托代理人无转委托权，特此声明。</w:t>
      </w:r>
    </w:p>
    <w:p>
      <w:pPr>
        <w:pStyle w:val="31"/>
        <w:pageBreakBefore w:val="0"/>
        <w:kinsoku/>
        <w:overflowPunct/>
        <w:topLinePunct w:val="0"/>
        <w:bidi w:val="0"/>
        <w:spacing w:line="400" w:lineRule="exact"/>
        <w:ind w:firstLine="480"/>
        <w:rPr>
          <w:rFonts w:hint="eastAsia" w:ascii="宋体" w:hAnsi="宋体" w:eastAsia="宋体" w:cs="宋体"/>
          <w:color w:val="auto"/>
          <w:sz w:val="21"/>
          <w:szCs w:val="21"/>
        </w:rPr>
      </w:pPr>
    </w:p>
    <w:p>
      <w:pPr>
        <w:pStyle w:val="31"/>
        <w:pageBreakBefore w:val="0"/>
        <w:kinsoku/>
        <w:overflowPunct/>
        <w:topLinePunct w:val="0"/>
        <w:bidi w:val="0"/>
        <w:spacing w:line="400" w:lineRule="exact"/>
        <w:ind w:firstLine="3360" w:firstLineChars="16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31"/>
        <w:pageBreakBefore w:val="0"/>
        <w:kinsoku/>
        <w:overflowPunct/>
        <w:topLinePunct w:val="0"/>
        <w:bidi w:val="0"/>
        <w:spacing w:line="400" w:lineRule="exact"/>
        <w:ind w:firstLine="3360" w:firstLineChars="1600"/>
        <w:rPr>
          <w:rFonts w:hint="eastAsia" w:ascii="宋体" w:hAnsi="宋体" w:eastAsia="宋体" w:cs="宋体"/>
          <w:color w:val="auto"/>
          <w:sz w:val="21"/>
          <w:szCs w:val="21"/>
        </w:rPr>
      </w:pPr>
    </w:p>
    <w:p>
      <w:pPr>
        <w:pStyle w:val="31"/>
        <w:pageBreakBefore w:val="0"/>
        <w:kinsoku/>
        <w:overflowPunct/>
        <w:topLinePunct w:val="0"/>
        <w:bidi w:val="0"/>
        <w:spacing w:line="400" w:lineRule="exact"/>
        <w:ind w:firstLine="3360" w:firstLineChars="1600"/>
        <w:rPr>
          <w:rFonts w:hint="eastAsia" w:ascii="宋体" w:hAnsi="宋体" w:eastAsia="宋体" w:cs="宋体"/>
          <w:color w:val="auto"/>
          <w:sz w:val="21"/>
          <w:szCs w:val="21"/>
        </w:rPr>
      </w:pPr>
    </w:p>
    <w:p>
      <w:pPr>
        <w:pStyle w:val="31"/>
        <w:pageBreakBefore w:val="0"/>
        <w:kinsoku/>
        <w:overflowPunct/>
        <w:topLinePunct w:val="0"/>
        <w:bidi w:val="0"/>
        <w:spacing w:line="400" w:lineRule="exact"/>
        <w:ind w:firstLine="3465" w:firstLineChars="1650"/>
        <w:rPr>
          <w:rFonts w:hint="eastAsia" w:ascii="宋体" w:hAnsi="宋体" w:eastAsia="宋体" w:cs="宋体"/>
          <w:color w:val="auto"/>
          <w:spacing w:val="20"/>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pacing w:val="20"/>
          <w:sz w:val="21"/>
          <w:szCs w:val="21"/>
        </w:rPr>
        <w:t>负责人签字或盖章：</w:t>
      </w:r>
      <w:r>
        <w:rPr>
          <w:rFonts w:hint="eastAsia" w:ascii="宋体" w:hAnsi="宋体" w:eastAsia="宋体" w:cs="宋体"/>
          <w:color w:val="auto"/>
          <w:spacing w:val="20"/>
          <w:sz w:val="21"/>
          <w:szCs w:val="21"/>
          <w:u w:val="single"/>
        </w:rPr>
        <w:t xml:space="preserve">          </w:t>
      </w:r>
    </w:p>
    <w:p>
      <w:pPr>
        <w:pStyle w:val="31"/>
        <w:pageBreakBefore w:val="0"/>
        <w:kinsoku/>
        <w:overflowPunct/>
        <w:topLinePunct w:val="0"/>
        <w:bidi w:val="0"/>
        <w:spacing w:line="400" w:lineRule="exact"/>
        <w:ind w:firstLine="4375" w:firstLineChars="1750"/>
        <w:rPr>
          <w:rFonts w:hint="eastAsia" w:ascii="宋体" w:hAnsi="宋体" w:eastAsia="宋体" w:cs="宋体"/>
          <w:color w:val="auto"/>
          <w:spacing w:val="20"/>
          <w:sz w:val="21"/>
          <w:szCs w:val="21"/>
          <w:u w:val="single"/>
        </w:rPr>
      </w:pPr>
      <w:r>
        <w:rPr>
          <w:rFonts w:hint="eastAsia" w:ascii="宋体" w:hAnsi="宋体" w:cs="宋体"/>
          <w:color w:val="auto"/>
          <w:spacing w:val="20"/>
          <w:sz w:val="21"/>
          <w:szCs w:val="21"/>
          <w:lang w:eastAsia="zh-CN"/>
        </w:rPr>
        <w:t>供应商</w:t>
      </w:r>
      <w:r>
        <w:rPr>
          <w:rFonts w:hint="eastAsia" w:ascii="宋体" w:hAnsi="宋体" w:eastAsia="宋体" w:cs="宋体"/>
          <w:color w:val="auto"/>
          <w:spacing w:val="20"/>
          <w:sz w:val="21"/>
          <w:szCs w:val="21"/>
        </w:rPr>
        <w:t>盖章：</w:t>
      </w:r>
      <w:r>
        <w:rPr>
          <w:rFonts w:hint="eastAsia" w:ascii="宋体" w:hAnsi="宋体" w:eastAsia="宋体" w:cs="宋体"/>
          <w:color w:val="auto"/>
          <w:spacing w:val="20"/>
          <w:sz w:val="21"/>
          <w:szCs w:val="21"/>
          <w:u w:val="single"/>
        </w:rPr>
        <w:t xml:space="preserve">          </w:t>
      </w:r>
    </w:p>
    <w:p>
      <w:pPr>
        <w:pStyle w:val="31"/>
        <w:pageBreakBefore w:val="0"/>
        <w:kinsoku/>
        <w:overflowPunct/>
        <w:topLinePunct w:val="0"/>
        <w:bidi w:val="0"/>
        <w:spacing w:line="400" w:lineRule="exact"/>
        <w:ind w:firstLine="4500" w:firstLineChars="18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pPr>
        <w:pStyle w:val="31"/>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_____________________________________________________________________</w:t>
      </w:r>
    </w:p>
    <w:p>
      <w:pPr>
        <w:pStyle w:val="31"/>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附：1、委托代理人工作单位：</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职务： </w:t>
      </w:r>
    </w:p>
    <w:p>
      <w:pPr>
        <w:pStyle w:val="31"/>
        <w:pageBreakBefore w:val="0"/>
        <w:kinsoku/>
        <w:overflowPunct/>
        <w:topLinePunct w:val="0"/>
        <w:bidi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       身份证号码：　　　　　　　　　　</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性别：　    </w:t>
      </w:r>
    </w:p>
    <w:p>
      <w:pPr>
        <w:pStyle w:val="31"/>
        <w:pageBreakBefore w:val="0"/>
        <w:kinsoku/>
        <w:overflowPunct/>
        <w:topLinePunct w:val="0"/>
        <w:bidi w:val="0"/>
        <w:spacing w:line="400" w:lineRule="exact"/>
        <w:ind w:firstLine="420"/>
        <w:rPr>
          <w:rFonts w:hint="eastAsia" w:ascii="宋体" w:hAnsi="宋体" w:eastAsia="宋体" w:cs="宋体"/>
          <w:b/>
          <w:color w:val="auto"/>
          <w:sz w:val="21"/>
          <w:szCs w:val="21"/>
        </w:rPr>
      </w:pPr>
    </w:p>
    <w:p>
      <w:pPr>
        <w:pStyle w:val="31"/>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1、</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为法人企业的，其负责人为其法定代表人；</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为其他组织的，其负责人为法律、行政法规规定代表单位行使职权的主要负责人；。</w:t>
      </w:r>
    </w:p>
    <w:p>
      <w:pPr>
        <w:pStyle w:val="31"/>
        <w:pageBreakBefore w:val="0"/>
        <w:kinsoku/>
        <w:overflowPunct/>
        <w:topLinePunct w:val="0"/>
        <w:bidi w:val="0"/>
        <w:spacing w:line="400" w:lineRule="exact"/>
        <w:ind w:firstLine="787" w:firstLineChars="375"/>
        <w:rPr>
          <w:rFonts w:hint="eastAsia" w:ascii="宋体" w:hAnsi="宋体" w:eastAsia="宋体" w:cs="宋体"/>
          <w:color w:val="auto"/>
          <w:sz w:val="21"/>
          <w:szCs w:val="21"/>
        </w:rPr>
      </w:pPr>
      <w:r>
        <w:rPr>
          <w:rFonts w:hint="eastAsia" w:ascii="宋体" w:hAnsi="宋体" w:eastAsia="宋体" w:cs="宋体"/>
          <w:color w:val="auto"/>
          <w:sz w:val="21"/>
          <w:szCs w:val="21"/>
        </w:rPr>
        <w:t>2、委托人为上述条款中的负责人。</w:t>
      </w:r>
    </w:p>
    <w:p>
      <w:pPr>
        <w:pStyle w:val="31"/>
        <w:pageBreakBefore w:val="0"/>
        <w:kinsoku/>
        <w:overflowPunct/>
        <w:topLinePunct w:val="0"/>
        <w:bidi w:val="0"/>
        <w:spacing w:line="400" w:lineRule="exact"/>
        <w:ind w:firstLine="787" w:firstLineChars="375"/>
        <w:rPr>
          <w:rFonts w:hint="eastAsia" w:ascii="宋体" w:hAnsi="宋体" w:eastAsia="宋体" w:cs="宋体"/>
          <w:color w:val="auto"/>
          <w:sz w:val="21"/>
          <w:szCs w:val="21"/>
        </w:rPr>
      </w:pPr>
      <w:r>
        <w:rPr>
          <w:rFonts w:hint="eastAsia" w:ascii="宋体" w:hAnsi="宋体" w:eastAsia="宋体" w:cs="宋体"/>
          <w:color w:val="auto"/>
          <w:sz w:val="21"/>
          <w:szCs w:val="21"/>
        </w:rPr>
        <w:t>3、本“授权委托书”需附负责人和委托代理人身份证件扫描件（或复印件），如扫描件（或复印件）不清晰或错误的，后果由</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承担。</w:t>
      </w:r>
      <w:r>
        <w:rPr>
          <w:rFonts w:hint="eastAsia" w:ascii="宋体" w:hAnsi="宋体" w:eastAsia="宋体" w:cs="宋体"/>
          <w:b/>
          <w:color w:val="auto"/>
          <w:sz w:val="21"/>
          <w:szCs w:val="21"/>
        </w:rPr>
        <w:t>负责人参加投标的，提供负责人身份证原件核对，委托代理人参加投标的，提供委托代理人身份证原件核对。</w:t>
      </w:r>
    </w:p>
    <w:p>
      <w:pPr>
        <w:pStyle w:val="32"/>
        <w:pageBreakBefore w:val="0"/>
        <w:kinsoku/>
        <w:overflowPunct/>
        <w:topLinePunct w:val="0"/>
        <w:bidi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br w:type="page"/>
      </w:r>
      <w:r>
        <w:rPr>
          <w:rFonts w:hint="eastAsia" w:ascii="宋体" w:hAnsi="宋体" w:eastAsia="宋体" w:cs="宋体"/>
          <w:bCs/>
          <w:color w:val="auto"/>
          <w:sz w:val="21"/>
          <w:szCs w:val="21"/>
        </w:rPr>
        <w:t>负责人身份证件扫描件：</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2"/>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正面：                                 反面：</w:t>
            </w:r>
          </w:p>
          <w:p>
            <w:pPr>
              <w:pStyle w:val="32"/>
              <w:pageBreakBefore w:val="0"/>
              <w:kinsoku/>
              <w:overflowPunct/>
              <w:topLinePunct w:val="0"/>
              <w:bidi w:val="0"/>
              <w:spacing w:line="400" w:lineRule="exact"/>
              <w:rPr>
                <w:rFonts w:hint="eastAsia" w:ascii="宋体" w:hAnsi="宋体" w:eastAsia="宋体" w:cs="宋体"/>
                <w:bCs/>
                <w:color w:val="auto"/>
                <w:sz w:val="21"/>
                <w:szCs w:val="21"/>
              </w:rPr>
            </w:pPr>
          </w:p>
        </w:tc>
      </w:tr>
    </w:tbl>
    <w:p>
      <w:pPr>
        <w:pStyle w:val="32"/>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委托代理人身份证件扫描件：</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2"/>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正面：                                 反面：</w:t>
            </w:r>
          </w:p>
          <w:p>
            <w:pPr>
              <w:pStyle w:val="32"/>
              <w:pageBreakBefore w:val="0"/>
              <w:kinsoku/>
              <w:overflowPunct/>
              <w:topLinePunct w:val="0"/>
              <w:bidi w:val="0"/>
              <w:spacing w:line="400" w:lineRule="exact"/>
              <w:rPr>
                <w:rFonts w:hint="eastAsia" w:ascii="宋体" w:hAnsi="宋体" w:eastAsia="宋体" w:cs="宋体"/>
                <w:bCs/>
                <w:color w:val="auto"/>
                <w:sz w:val="21"/>
                <w:szCs w:val="21"/>
              </w:rPr>
            </w:pPr>
          </w:p>
        </w:tc>
      </w:tr>
    </w:tbl>
    <w:p>
      <w:pPr>
        <w:pStyle w:val="32"/>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rPr>
      </w:pPr>
    </w:p>
    <w:p>
      <w:pPr>
        <w:pageBreakBefore w:val="0"/>
        <w:kinsoku/>
        <w:overflowPunct/>
        <w:topLinePunct w:val="0"/>
        <w:bidi w:val="0"/>
        <w:spacing w:line="400" w:lineRule="exact"/>
        <w:jc w:val="both"/>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ind w:firstLine="2520" w:firstLineChars="1200"/>
        <w:rPr>
          <w:rFonts w:hint="eastAsia" w:ascii="宋体" w:hAnsi="宋体" w:eastAsia="宋体" w:cs="宋体"/>
          <w:color w:val="auto"/>
          <w:sz w:val="21"/>
          <w:szCs w:val="21"/>
        </w:rPr>
      </w:pPr>
    </w:p>
    <w:p>
      <w:pPr>
        <w:pageBreakBefore w:val="0"/>
        <w:kinsoku/>
        <w:overflowPunct/>
        <w:topLinePunct w:val="0"/>
        <w:bidi w:val="0"/>
        <w:spacing w:line="400" w:lineRule="exact"/>
        <w:jc w:val="center"/>
        <w:outlineLvl w:val="2"/>
        <w:rPr>
          <w:rFonts w:hint="eastAsia" w:ascii="宋体" w:hAnsi="宋体" w:eastAsia="宋体" w:cs="宋体"/>
          <w:color w:val="auto"/>
          <w:sz w:val="24"/>
          <w:szCs w:val="24"/>
        </w:rPr>
      </w:pPr>
      <w:bookmarkStart w:id="91" w:name="_Toc9964"/>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、资格声明</w:t>
      </w:r>
      <w:bookmarkEnd w:id="91"/>
    </w:p>
    <w:p>
      <w:pPr>
        <w:pStyle w:val="31"/>
        <w:pageBreakBefore w:val="0"/>
        <w:kinsoku/>
        <w:overflowPunct/>
        <w:topLinePunct w:val="0"/>
        <w:bidi w:val="0"/>
        <w:spacing w:line="400" w:lineRule="exact"/>
        <w:rPr>
          <w:rFonts w:hint="eastAsia" w:ascii="宋体" w:hAnsi="宋体" w:eastAsia="宋体" w:cs="宋体"/>
          <w:b/>
          <w:color w:val="auto"/>
          <w:sz w:val="21"/>
          <w:szCs w:val="21"/>
        </w:rPr>
      </w:pPr>
      <w:r>
        <w:rPr>
          <w:rFonts w:hint="eastAsia" w:ascii="宋体" w:hAnsi="宋体" w:cs="宋体"/>
          <w:color w:val="auto"/>
          <w:sz w:val="21"/>
          <w:szCs w:val="21"/>
          <w:u w:val="single"/>
          <w:lang w:eastAsia="zh-CN"/>
        </w:rPr>
        <w:t>青田县残疾人联合会</w:t>
      </w:r>
      <w:r>
        <w:rPr>
          <w:rFonts w:hint="eastAsia" w:ascii="宋体" w:hAnsi="宋体" w:eastAsia="宋体" w:cs="宋体"/>
          <w:color w:val="auto"/>
          <w:sz w:val="21"/>
          <w:szCs w:val="21"/>
        </w:rPr>
        <w:t>：</w:t>
      </w:r>
    </w:p>
    <w:p>
      <w:pPr>
        <w:pStyle w:val="33"/>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供应商</w:t>
      </w:r>
      <w:r>
        <w:rPr>
          <w:rFonts w:hint="eastAsia" w:ascii="宋体" w:hAnsi="宋体" w:eastAsia="宋体" w:cs="宋体"/>
          <w:color w:val="auto"/>
          <w:sz w:val="21"/>
          <w:szCs w:val="21"/>
          <w:u w:val="single"/>
        </w:rPr>
        <w:t xml:space="preserve">全称)  </w:t>
      </w:r>
      <w:r>
        <w:rPr>
          <w:rFonts w:hint="eastAsia" w:ascii="宋体" w:hAnsi="宋体" w:eastAsia="宋体" w:cs="宋体"/>
          <w:color w:val="auto"/>
          <w:sz w:val="21"/>
          <w:szCs w:val="21"/>
        </w:rPr>
        <w:t>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(法定代表人或负责人名字)</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rPr>
        <w:t>为负责人，我方愿意参加贵方组织的</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青田县残疾人托养中心委托运营管理项目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的投标。为便于贵方公正、择优地确定中标人以及投标产品和服务，我方就本次投标有关事项证明如下：</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（一）名称及概况：</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1．企业名称：________________________________________________ </w:t>
      </w:r>
    </w:p>
    <w:p>
      <w:pPr>
        <w:pStyle w:val="34"/>
        <w:pageBreakBefore w:val="0"/>
        <w:kinsoku/>
        <w:overflowPunct/>
        <w:topLinePunct w:val="0"/>
        <w:bidi w:val="0"/>
        <w:spacing w:line="400" w:lineRule="exact"/>
        <w:ind w:firstLine="420"/>
        <w:rPr>
          <w:rFonts w:hint="eastAsia" w:ascii="宋体" w:hAnsi="宋体" w:eastAsia="宋体" w:cs="宋体"/>
          <w:b/>
          <w:bCs/>
          <w:color w:val="auto"/>
          <w:sz w:val="21"/>
          <w:szCs w:val="21"/>
        </w:rPr>
      </w:pPr>
      <w:r>
        <w:rPr>
          <w:rFonts w:hint="eastAsia" w:ascii="宋体" w:hAnsi="宋体" w:eastAsia="宋体" w:cs="宋体"/>
          <w:color w:val="auto"/>
          <w:sz w:val="21"/>
          <w:szCs w:val="21"/>
        </w:rPr>
        <w:t>银行开户名称：________________________________________________</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开户银行：_________________________________________________ </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账    号：________________________________________________ </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企业详细地址：________________________________________________ </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传    真： ________________________________________________</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    话： ________________________________________________</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2．负责人姓名：___________________________________________ </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3．项目联系人：姓名__________职务：______电话______手机______</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4．注册地址：________________________________________________</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5．注册资金：________________________________________________ </w:t>
      </w:r>
    </w:p>
    <w:p>
      <w:pPr>
        <w:pStyle w:val="34"/>
        <w:pageBreakBefore w:val="0"/>
        <w:kinsoku/>
        <w:overflowPunct/>
        <w:topLinePunct w:val="0"/>
        <w:bidi w:val="0"/>
        <w:spacing w:line="400" w:lineRule="exact"/>
        <w:ind w:firstLine="735"/>
        <w:rPr>
          <w:rFonts w:hint="eastAsia" w:ascii="宋体" w:hAnsi="宋体" w:eastAsia="宋体" w:cs="宋体"/>
          <w:color w:val="auto"/>
          <w:sz w:val="21"/>
          <w:szCs w:val="21"/>
        </w:rPr>
      </w:pPr>
      <w:r>
        <w:rPr>
          <w:rFonts w:hint="eastAsia" w:ascii="宋体" w:hAnsi="宋体" w:eastAsia="宋体" w:cs="宋体"/>
          <w:color w:val="auto"/>
          <w:sz w:val="21"/>
          <w:szCs w:val="21"/>
        </w:rPr>
        <w:t>自有资金：______________________________________________________</w:t>
      </w:r>
    </w:p>
    <w:p>
      <w:pPr>
        <w:pStyle w:val="34"/>
        <w:pageBreakBefore w:val="0"/>
        <w:kinsoku/>
        <w:overflowPunct/>
        <w:topLinePunct w:val="0"/>
        <w:bidi w:val="0"/>
        <w:spacing w:line="400" w:lineRule="exact"/>
        <w:ind w:firstLine="735"/>
        <w:rPr>
          <w:rFonts w:hint="eastAsia" w:ascii="宋体" w:hAnsi="宋体" w:eastAsia="宋体" w:cs="宋体"/>
          <w:color w:val="auto"/>
          <w:sz w:val="21"/>
          <w:szCs w:val="21"/>
        </w:rPr>
      </w:pPr>
      <w:r>
        <w:rPr>
          <w:rFonts w:hint="eastAsia" w:ascii="宋体" w:hAnsi="宋体" w:eastAsia="宋体" w:cs="宋体"/>
          <w:color w:val="auto"/>
          <w:sz w:val="21"/>
          <w:szCs w:val="21"/>
        </w:rPr>
        <w:t>企业人数：_______</w:t>
      </w:r>
      <w:r>
        <w:rPr>
          <w:rFonts w:hint="eastAsia" w:ascii="宋体" w:hAnsi="宋体" w:eastAsia="宋体" w:cs="宋体"/>
          <w:b/>
          <w:bCs/>
          <w:color w:val="auto"/>
          <w:sz w:val="21"/>
          <w:szCs w:val="21"/>
        </w:rPr>
        <w:t>_</w:t>
      </w:r>
      <w:r>
        <w:rPr>
          <w:rFonts w:hint="eastAsia" w:ascii="宋体" w:hAnsi="宋体" w:eastAsia="宋体" w:cs="宋体"/>
          <w:color w:val="auto"/>
          <w:sz w:val="21"/>
          <w:szCs w:val="21"/>
        </w:rPr>
        <w:t>人</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6．企业性质：____________股份有限公司 </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7．主要经营地点：________________________________________________ </w:t>
      </w:r>
    </w:p>
    <w:p>
      <w:pPr>
        <w:pStyle w:val="34"/>
        <w:pageBreakBefore w:val="0"/>
        <w:kinsoku/>
        <w:overflowPunct/>
        <w:topLinePunct w:val="0"/>
        <w:bidi w:val="0"/>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如有派出机构，请列出名称及详细通讯地址如下：</w:t>
      </w:r>
      <w:r>
        <w:rPr>
          <w:rFonts w:hint="eastAsia" w:ascii="宋体" w:hAnsi="宋体" w:eastAsia="宋体" w:cs="宋体"/>
          <w:color w:val="auto"/>
          <w:sz w:val="21"/>
          <w:szCs w:val="21"/>
          <w:u w:val="single"/>
        </w:rPr>
        <w:t xml:space="preserve">               </w:t>
      </w:r>
    </w:p>
    <w:p>
      <w:pPr>
        <w:pStyle w:val="34"/>
        <w:pageBreakBefore w:val="0"/>
        <w:kinsoku/>
        <w:overflowPunct/>
        <w:topLinePunct w:val="0"/>
        <w:bidi w:val="0"/>
        <w:spacing w:line="400" w:lineRule="exact"/>
        <w:ind w:firstLine="465"/>
        <w:rPr>
          <w:rFonts w:hint="eastAsia" w:ascii="宋体" w:hAnsi="宋体" w:eastAsia="宋体" w:cs="宋体"/>
          <w:color w:val="auto"/>
          <w:sz w:val="21"/>
          <w:szCs w:val="21"/>
        </w:rPr>
      </w:pPr>
      <w:r>
        <w:rPr>
          <w:rFonts w:hint="eastAsia" w:ascii="宋体" w:hAnsi="宋体" w:eastAsia="宋体" w:cs="宋体"/>
          <w:color w:val="auto"/>
          <w:sz w:val="21"/>
          <w:szCs w:val="21"/>
        </w:rPr>
        <w:t>8.必需的设备：_______________________________________________</w:t>
      </w:r>
    </w:p>
    <w:p>
      <w:pPr>
        <w:pStyle w:val="34"/>
        <w:pageBreakBefore w:val="0"/>
        <w:kinsoku/>
        <w:overflowPunct/>
        <w:topLinePunct w:val="0"/>
        <w:bidi w:val="0"/>
        <w:spacing w:line="400" w:lineRule="exact"/>
        <w:ind w:firstLine="465"/>
        <w:jc w:val="left"/>
        <w:rPr>
          <w:rFonts w:hint="eastAsia" w:ascii="宋体" w:hAnsi="宋体" w:eastAsia="宋体" w:cs="宋体"/>
          <w:color w:val="auto"/>
          <w:sz w:val="21"/>
          <w:szCs w:val="21"/>
        </w:rPr>
      </w:pPr>
      <w:r>
        <w:rPr>
          <w:rFonts w:hint="eastAsia" w:ascii="宋体" w:hAnsi="宋体" w:eastAsia="宋体" w:cs="宋体"/>
          <w:color w:val="auto"/>
          <w:sz w:val="21"/>
          <w:szCs w:val="21"/>
        </w:rPr>
        <w:t>9.专业技术能力的证明材料：__________________________</w:t>
      </w:r>
    </w:p>
    <w:p>
      <w:pPr>
        <w:pStyle w:val="34"/>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兹证明上述声明是真实、正确的，并提供了全部能提供的资料和数据，我们同意遵照贵方要求出示有关证明文件。</w:t>
      </w:r>
    </w:p>
    <w:p>
      <w:pPr>
        <w:pStyle w:val="34"/>
        <w:spacing w:line="520" w:lineRule="exact"/>
        <w:ind w:firstLine="4000" w:firstLineChars="1600"/>
        <w:rPr>
          <w:rFonts w:hint="eastAsia" w:hAnsi="宋体"/>
          <w:color w:val="auto"/>
          <w:spacing w:val="20"/>
          <w:szCs w:val="21"/>
          <w:lang w:eastAsia="zh-CN"/>
        </w:rPr>
      </w:pPr>
      <w:r>
        <w:rPr>
          <w:rFonts w:hAnsi="宋体"/>
          <w:color w:val="auto"/>
          <w:spacing w:val="20"/>
          <w:szCs w:val="21"/>
        </w:rPr>
        <w:t>负责人</w:t>
      </w:r>
      <w:r>
        <w:rPr>
          <w:rFonts w:hint="eastAsia" w:hAnsi="宋体"/>
          <w:color w:val="auto"/>
          <w:spacing w:val="20"/>
          <w:szCs w:val="21"/>
        </w:rPr>
        <w:t>（</w:t>
      </w:r>
      <w:r>
        <w:rPr>
          <w:rFonts w:hAnsi="宋体"/>
          <w:color w:val="auto"/>
          <w:spacing w:val="20"/>
          <w:szCs w:val="21"/>
        </w:rPr>
        <w:t>或</w:t>
      </w:r>
      <w:r>
        <w:rPr>
          <w:rFonts w:hint="eastAsia" w:hAnsi="宋体"/>
          <w:color w:val="auto"/>
          <w:spacing w:val="20"/>
          <w:szCs w:val="21"/>
        </w:rPr>
        <w:t>委托代理人）签字或盖章</w:t>
      </w:r>
      <w:r>
        <w:rPr>
          <w:rFonts w:hint="eastAsia" w:hAnsi="宋体"/>
          <w:color w:val="auto"/>
          <w:spacing w:val="20"/>
          <w:szCs w:val="21"/>
          <w:lang w:eastAsia="zh-CN"/>
        </w:rPr>
        <w:t>：</w:t>
      </w:r>
      <w:r>
        <w:rPr>
          <w:rFonts w:hint="eastAsia" w:hAnsi="宋体"/>
          <w:color w:val="auto"/>
          <w:spacing w:val="20"/>
          <w:szCs w:val="21"/>
          <w:u w:val="single"/>
        </w:rPr>
        <w:t xml:space="preserve">            </w:t>
      </w:r>
    </w:p>
    <w:p>
      <w:pPr>
        <w:pStyle w:val="31"/>
        <w:wordWrap w:val="0"/>
        <w:spacing w:line="360" w:lineRule="auto"/>
        <w:ind w:firstLine="480"/>
        <w:jc w:val="right"/>
        <w:rPr>
          <w:rFonts w:hint="eastAsia" w:ascii="宋体" w:hAnsi="宋体"/>
          <w:color w:val="auto"/>
          <w:szCs w:val="21"/>
          <w:u w:val="single"/>
        </w:rPr>
      </w:pPr>
      <w:r>
        <w:rPr>
          <w:rFonts w:hint="eastAsia" w:ascii="宋体" w:hAnsi="宋体"/>
          <w:color w:val="auto"/>
          <w:szCs w:val="21"/>
        </w:rPr>
        <w:t>供应商</w:t>
      </w:r>
      <w:r>
        <w:rPr>
          <w:rFonts w:ascii="宋体" w:hAnsi="宋体"/>
          <w:color w:val="auto"/>
          <w:szCs w:val="21"/>
        </w:rPr>
        <w:t>盖章：</w:t>
      </w:r>
      <w:r>
        <w:rPr>
          <w:rFonts w:hint="eastAsia" w:ascii="宋体" w:hAnsi="宋体"/>
          <w:color w:val="auto"/>
          <w:szCs w:val="21"/>
          <w:u w:val="single"/>
        </w:rPr>
        <w:t xml:space="preserve"> </w:t>
      </w:r>
      <w:r>
        <w:rPr>
          <w:rFonts w:ascii="宋体" w:hAnsi="宋体"/>
          <w:color w:val="auto"/>
          <w:szCs w:val="21"/>
          <w:u w:val="single"/>
        </w:rPr>
        <w:t xml:space="preserve">               </w:t>
      </w:r>
    </w:p>
    <w:p>
      <w:pPr>
        <w:pStyle w:val="31"/>
        <w:wordWrap w:val="0"/>
        <w:spacing w:line="360" w:lineRule="auto"/>
        <w:ind w:firstLine="480"/>
        <w:jc w:val="right"/>
        <w:rPr>
          <w:rFonts w:ascii="宋体" w:hAnsi="宋体"/>
          <w:color w:val="auto"/>
          <w:szCs w:val="21"/>
          <w:u w:val="single"/>
        </w:rPr>
      </w:pPr>
      <w:r>
        <w:rPr>
          <w:rFonts w:ascii="宋体" w:hAnsi="宋体"/>
          <w:color w:val="auto"/>
          <w:szCs w:val="21"/>
        </w:rPr>
        <w:t>日      期：</w:t>
      </w:r>
      <w:r>
        <w:rPr>
          <w:rFonts w:hint="eastAsia" w:ascii="宋体" w:hAnsi="宋体"/>
          <w:color w:val="auto"/>
          <w:szCs w:val="21"/>
          <w:u w:val="single"/>
        </w:rPr>
        <w:t xml:space="preserve"> </w:t>
      </w:r>
      <w:r>
        <w:rPr>
          <w:rFonts w:ascii="宋体" w:hAnsi="宋体"/>
          <w:color w:val="auto"/>
          <w:szCs w:val="21"/>
          <w:u w:val="single"/>
        </w:rPr>
        <w:t xml:space="preserve">               </w:t>
      </w:r>
    </w:p>
    <w:p>
      <w:pPr>
        <w:pStyle w:val="7"/>
        <w:pageBreakBefore w:val="0"/>
        <w:kinsoku/>
        <w:overflowPunct/>
        <w:topLinePunct w:val="0"/>
        <w:bidi w:val="0"/>
        <w:spacing w:line="400" w:lineRule="exact"/>
        <w:ind w:firstLine="0"/>
        <w:rPr>
          <w:rFonts w:hint="eastAsia" w:ascii="宋体" w:hAnsi="宋体" w:eastAsia="宋体" w:cs="宋体"/>
          <w:b/>
          <w:color w:val="auto"/>
          <w:sz w:val="21"/>
          <w:szCs w:val="21"/>
        </w:rPr>
      </w:pPr>
    </w:p>
    <w:p>
      <w:pPr>
        <w:pStyle w:val="7"/>
        <w:pageBreakBefore w:val="0"/>
        <w:kinsoku/>
        <w:overflowPunct/>
        <w:topLinePunct w:val="0"/>
        <w:bidi w:val="0"/>
        <w:spacing w:line="400" w:lineRule="exact"/>
        <w:ind w:firstLine="0"/>
        <w:rPr>
          <w:rFonts w:hint="eastAsia" w:ascii="宋体" w:hAnsi="宋体" w:eastAsia="宋体" w:cs="宋体"/>
          <w:b/>
          <w:color w:val="auto"/>
          <w:sz w:val="21"/>
          <w:szCs w:val="21"/>
        </w:rPr>
      </w:pPr>
      <w:r>
        <w:rPr>
          <w:rFonts w:hint="eastAsia" w:ascii="宋体" w:hAnsi="宋体" w:eastAsia="宋体" w:cs="宋体"/>
          <w:b/>
          <w:color w:val="auto"/>
          <w:sz w:val="21"/>
          <w:szCs w:val="21"/>
        </w:rPr>
        <w:t>注：</w:t>
      </w:r>
    </w:p>
    <w:p>
      <w:pPr>
        <w:pStyle w:val="7"/>
        <w:pageBreakBefore w:val="0"/>
        <w:kinsoku/>
        <w:overflowPunct/>
        <w:topLinePunct w:val="0"/>
        <w:bidi w:val="0"/>
        <w:spacing w:line="400" w:lineRule="exact"/>
        <w:ind w:firstLine="0"/>
        <w:rPr>
          <w:rFonts w:hint="eastAsia" w:ascii="宋体" w:hAnsi="宋体" w:eastAsia="宋体" w:cs="宋体"/>
          <w:color w:val="auto"/>
          <w:sz w:val="21"/>
          <w:szCs w:val="21"/>
        </w:rPr>
      </w:pPr>
      <w:r>
        <w:rPr>
          <w:rFonts w:hint="eastAsia" w:ascii="宋体" w:hAnsi="宋体" w:eastAsia="宋体" w:cs="宋体"/>
          <w:color w:val="auto"/>
          <w:sz w:val="21"/>
          <w:szCs w:val="21"/>
        </w:rPr>
        <w:t>1.上表8、9项内容可自行添加（格式自拟）。</w:t>
      </w:r>
    </w:p>
    <w:p>
      <w:pPr>
        <w:pageBreakBefore w:val="0"/>
        <w:kinsoku/>
        <w:overflowPunct/>
        <w:topLinePunct w:val="0"/>
        <w:bidi w:val="0"/>
        <w:spacing w:line="400" w:lineRule="exact"/>
        <w:jc w:val="both"/>
        <w:rPr>
          <w:rFonts w:hint="eastAsia" w:ascii="宋体" w:hAnsi="宋体" w:eastAsia="宋体" w:cs="宋体"/>
          <w:color w:val="auto"/>
          <w:sz w:val="21"/>
          <w:szCs w:val="21"/>
        </w:rPr>
      </w:pPr>
    </w:p>
    <w:p>
      <w:pPr>
        <w:pageBreakBefore w:val="0"/>
        <w:kinsoku/>
        <w:overflowPunct/>
        <w:topLinePunct w:val="0"/>
        <w:bidi w:val="0"/>
        <w:spacing w:line="400" w:lineRule="exact"/>
        <w:jc w:val="center"/>
        <w:outlineLvl w:val="2"/>
        <w:rPr>
          <w:rFonts w:hint="eastAsia" w:ascii="宋体" w:hAnsi="宋体" w:cs="宋体"/>
          <w:color w:val="auto"/>
          <w:sz w:val="24"/>
          <w:szCs w:val="24"/>
        </w:rPr>
      </w:pPr>
      <w:bookmarkStart w:id="92" w:name="_Toc27402"/>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b/>
          <w:bCs/>
          <w:color w:val="auto"/>
          <w:sz w:val="24"/>
          <w:szCs w:val="24"/>
        </w:rPr>
        <w:t>具有良好的财务会计制度、依法缴纳税收和社会保障资金的承诺函</w:t>
      </w:r>
      <w:bookmarkEnd w:id="92"/>
    </w:p>
    <w:p>
      <w:pPr>
        <w:pStyle w:val="35"/>
        <w:pageBreakBefore w:val="0"/>
        <w:kinsoku/>
        <w:overflowPunct/>
        <w:topLinePunct w:val="0"/>
        <w:bidi w:val="0"/>
        <w:spacing w:line="400" w:lineRule="exact"/>
        <w:rPr>
          <w:rFonts w:hint="eastAsia" w:ascii="宋体" w:hAnsi="宋体" w:cs="宋体"/>
          <w:color w:val="auto"/>
          <w:szCs w:val="21"/>
        </w:rPr>
      </w:pPr>
    </w:p>
    <w:p>
      <w:pPr>
        <w:pStyle w:val="35"/>
        <w:pageBreakBefore w:val="0"/>
        <w:kinsoku/>
        <w:overflowPunct/>
        <w:topLinePunct w:val="0"/>
        <w:bidi w:val="0"/>
        <w:spacing w:line="400" w:lineRule="exact"/>
        <w:rPr>
          <w:rFonts w:hint="eastAsia" w:ascii="宋体" w:hAnsi="宋体" w:cs="宋体"/>
          <w:color w:val="auto"/>
          <w:szCs w:val="21"/>
        </w:rPr>
      </w:pPr>
      <w:r>
        <w:rPr>
          <w:rFonts w:hint="eastAsia" w:ascii="宋体" w:hAnsi="宋体" w:cs="宋体"/>
          <w:color w:val="auto"/>
          <w:sz w:val="21"/>
          <w:szCs w:val="21"/>
          <w:u w:val="single"/>
          <w:lang w:eastAsia="zh-CN"/>
        </w:rPr>
        <w:t>青田县残疾人联合会</w:t>
      </w:r>
      <w:r>
        <w:rPr>
          <w:rFonts w:hint="eastAsia" w:ascii="宋体" w:hAnsi="宋体" w:cs="宋体"/>
          <w:color w:val="auto"/>
          <w:szCs w:val="21"/>
        </w:rPr>
        <w:t>：</w:t>
      </w:r>
    </w:p>
    <w:p>
      <w:pPr>
        <w:pStyle w:val="7"/>
        <w:pageBreakBefore w:val="0"/>
        <w:kinsoku/>
        <w:overflowPunct/>
        <w:topLinePunct w:val="0"/>
        <w:bidi w:val="0"/>
        <w:spacing w:line="400" w:lineRule="exact"/>
        <w:ind w:firstLineChars="200"/>
        <w:jc w:val="left"/>
        <w:rPr>
          <w:rFonts w:hint="eastAsia" w:ascii="宋体" w:hAnsi="宋体" w:cs="宋体"/>
          <w:color w:val="auto"/>
          <w:szCs w:val="21"/>
        </w:rPr>
      </w:pPr>
      <w:r>
        <w:rPr>
          <w:rFonts w:hint="eastAsia" w:ascii="宋体" w:hAnsi="宋体" w:cs="宋体"/>
          <w:color w:val="auto"/>
          <w:szCs w:val="21"/>
        </w:rPr>
        <w:t xml:space="preserve">我方参与的 </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青田县残疾人托养中心委托运营管理项目</w:t>
      </w:r>
      <w:r>
        <w:rPr>
          <w:rFonts w:hint="eastAsia" w:ascii="宋体" w:hAnsi="宋体" w:cs="宋体"/>
          <w:color w:val="auto"/>
          <w:szCs w:val="21"/>
          <w:u w:val="single"/>
        </w:rPr>
        <w:t xml:space="preserve">    </w:t>
      </w:r>
      <w:r>
        <w:rPr>
          <w:rFonts w:hint="eastAsia" w:ascii="宋体" w:hAnsi="宋体" w:cs="宋体"/>
          <w:color w:val="auto"/>
          <w:szCs w:val="21"/>
        </w:rPr>
        <w:t>的投标活动，我方郑重承诺，我方具有良好的财务会计制度、依法缴纳税收和社会保障资金，不偷逃税款和逃避缴纳社会保障资金。如有虚假，</w:t>
      </w:r>
      <w:r>
        <w:rPr>
          <w:rFonts w:hint="eastAsia" w:ascii="宋体" w:hAnsi="宋体" w:cs="宋体"/>
          <w:color w:val="auto"/>
          <w:szCs w:val="21"/>
          <w:lang w:eastAsia="zh-CN"/>
        </w:rPr>
        <w:t>采购人</w:t>
      </w:r>
      <w:r>
        <w:rPr>
          <w:rFonts w:hint="eastAsia" w:ascii="宋体" w:hAnsi="宋体" w:cs="宋体"/>
          <w:color w:val="auto"/>
          <w:szCs w:val="21"/>
        </w:rPr>
        <w:t>可取消我方任何资格（投标/中标/签订合同），我方对此无任何异议。</w:t>
      </w:r>
    </w:p>
    <w:p>
      <w:pPr>
        <w:pStyle w:val="35"/>
        <w:pageBreakBefore w:val="0"/>
        <w:kinsoku/>
        <w:overflowPunct/>
        <w:topLinePunct w:val="0"/>
        <w:bidi w:val="0"/>
        <w:spacing w:line="400" w:lineRule="exact"/>
        <w:ind w:firstLine="420" w:firstLineChars="200"/>
        <w:rPr>
          <w:rFonts w:hint="eastAsia" w:ascii="宋体" w:hAnsi="宋体" w:cs="宋体"/>
          <w:color w:val="auto"/>
          <w:szCs w:val="21"/>
        </w:rPr>
      </w:pPr>
    </w:p>
    <w:p>
      <w:pPr>
        <w:pStyle w:val="31"/>
        <w:pageBreakBefore w:val="0"/>
        <w:kinsoku/>
        <w:overflowPunct/>
        <w:topLinePunct w:val="0"/>
        <w:bidi w:val="0"/>
        <w:spacing w:line="400" w:lineRule="exact"/>
        <w:ind w:firstLine="1260" w:firstLineChars="600"/>
        <w:rPr>
          <w:rFonts w:hint="eastAsia" w:ascii="宋体" w:hAnsi="宋体" w:cs="宋体"/>
          <w:color w:val="auto"/>
          <w:szCs w:val="21"/>
        </w:rPr>
      </w:pPr>
      <w:r>
        <w:rPr>
          <w:rFonts w:hint="eastAsia" w:ascii="宋体" w:hAnsi="宋体" w:cs="宋体"/>
          <w:color w:val="auto"/>
          <w:szCs w:val="21"/>
        </w:rPr>
        <w:t>特此承诺！</w:t>
      </w:r>
    </w:p>
    <w:p>
      <w:pPr>
        <w:pStyle w:val="31"/>
        <w:pageBreakBefore w:val="0"/>
        <w:kinsoku/>
        <w:overflowPunct/>
        <w:topLinePunct w:val="0"/>
        <w:bidi w:val="0"/>
        <w:spacing w:line="400" w:lineRule="exact"/>
        <w:ind w:firstLine="3250" w:firstLineChars="1300"/>
        <w:rPr>
          <w:rFonts w:hint="eastAsia" w:ascii="宋体" w:hAnsi="宋体" w:cs="宋体"/>
          <w:color w:val="auto"/>
          <w:spacing w:val="20"/>
          <w:szCs w:val="21"/>
        </w:rPr>
      </w:pPr>
    </w:p>
    <w:p>
      <w:pPr>
        <w:pStyle w:val="31"/>
        <w:pageBreakBefore w:val="0"/>
        <w:kinsoku/>
        <w:overflowPunct/>
        <w:topLinePunct w:val="0"/>
        <w:bidi w:val="0"/>
        <w:spacing w:line="400" w:lineRule="exact"/>
        <w:ind w:firstLine="3250" w:firstLineChars="1300"/>
        <w:rPr>
          <w:rFonts w:hint="eastAsia" w:ascii="宋体" w:hAnsi="宋体" w:cs="宋体"/>
          <w:color w:val="auto"/>
          <w:spacing w:val="20"/>
          <w:szCs w:val="21"/>
        </w:rPr>
      </w:pPr>
    </w:p>
    <w:p>
      <w:pPr>
        <w:pStyle w:val="31"/>
        <w:pageBreakBefore w:val="0"/>
        <w:kinsoku/>
        <w:overflowPunct/>
        <w:topLinePunct w:val="0"/>
        <w:bidi w:val="0"/>
        <w:spacing w:line="400" w:lineRule="exact"/>
        <w:ind w:firstLine="3250" w:firstLineChars="1300"/>
        <w:rPr>
          <w:rFonts w:hint="eastAsia" w:ascii="宋体" w:hAnsi="宋体" w:cs="宋体"/>
          <w:color w:val="auto"/>
          <w:spacing w:val="20"/>
          <w:szCs w:val="21"/>
        </w:rPr>
      </w:pPr>
    </w:p>
    <w:p>
      <w:pPr>
        <w:pStyle w:val="34"/>
        <w:spacing w:line="520" w:lineRule="exact"/>
        <w:ind w:firstLine="3625" w:firstLineChars="1450"/>
        <w:rPr>
          <w:rFonts w:hint="eastAsia" w:hAnsi="宋体"/>
          <w:color w:val="auto"/>
          <w:spacing w:val="20"/>
          <w:szCs w:val="21"/>
          <w:lang w:eastAsia="zh-CN"/>
        </w:rPr>
      </w:pPr>
      <w:r>
        <w:rPr>
          <w:rFonts w:hAnsi="宋体"/>
          <w:color w:val="auto"/>
          <w:spacing w:val="20"/>
          <w:szCs w:val="21"/>
        </w:rPr>
        <w:t>负责人</w:t>
      </w:r>
      <w:r>
        <w:rPr>
          <w:rFonts w:hint="eastAsia" w:hAnsi="宋体"/>
          <w:color w:val="auto"/>
          <w:spacing w:val="20"/>
          <w:szCs w:val="21"/>
        </w:rPr>
        <w:t>（</w:t>
      </w:r>
      <w:r>
        <w:rPr>
          <w:rFonts w:hAnsi="宋体"/>
          <w:color w:val="auto"/>
          <w:spacing w:val="20"/>
          <w:szCs w:val="21"/>
        </w:rPr>
        <w:t>或</w:t>
      </w:r>
      <w:r>
        <w:rPr>
          <w:rFonts w:hint="eastAsia" w:hAnsi="宋体"/>
          <w:color w:val="auto"/>
          <w:spacing w:val="20"/>
          <w:szCs w:val="21"/>
        </w:rPr>
        <w:t>委托代理人）签字或盖章</w:t>
      </w:r>
      <w:r>
        <w:rPr>
          <w:rFonts w:hint="eastAsia" w:hAnsi="宋体"/>
          <w:color w:val="auto"/>
          <w:spacing w:val="20"/>
          <w:szCs w:val="21"/>
          <w:lang w:eastAsia="zh-CN"/>
        </w:rPr>
        <w:t>：</w:t>
      </w:r>
      <w:r>
        <w:rPr>
          <w:rFonts w:hint="eastAsia" w:hAnsi="宋体"/>
          <w:color w:val="auto"/>
          <w:spacing w:val="20"/>
          <w:szCs w:val="21"/>
          <w:u w:val="single"/>
        </w:rPr>
        <w:t xml:space="preserve">            </w:t>
      </w:r>
    </w:p>
    <w:p>
      <w:pPr>
        <w:pStyle w:val="31"/>
        <w:wordWrap w:val="0"/>
        <w:spacing w:line="360" w:lineRule="auto"/>
        <w:ind w:firstLine="480"/>
        <w:jc w:val="right"/>
        <w:rPr>
          <w:rFonts w:hint="eastAsia" w:ascii="宋体" w:hAnsi="宋体"/>
          <w:color w:val="auto"/>
          <w:szCs w:val="21"/>
          <w:u w:val="single"/>
        </w:rPr>
      </w:pPr>
      <w:r>
        <w:rPr>
          <w:rFonts w:hint="eastAsia" w:ascii="宋体" w:hAnsi="宋体"/>
          <w:color w:val="auto"/>
          <w:szCs w:val="21"/>
        </w:rPr>
        <w:t>供应商</w:t>
      </w:r>
      <w:r>
        <w:rPr>
          <w:rFonts w:ascii="宋体" w:hAnsi="宋体"/>
          <w:color w:val="auto"/>
          <w:szCs w:val="21"/>
        </w:rPr>
        <w:t>盖章：</w:t>
      </w:r>
      <w:r>
        <w:rPr>
          <w:rFonts w:hint="eastAsia" w:ascii="宋体" w:hAnsi="宋体"/>
          <w:color w:val="auto"/>
          <w:szCs w:val="21"/>
          <w:u w:val="single"/>
        </w:rPr>
        <w:t xml:space="preserve"> </w:t>
      </w:r>
      <w:r>
        <w:rPr>
          <w:rFonts w:ascii="宋体" w:hAnsi="宋体"/>
          <w:color w:val="auto"/>
          <w:szCs w:val="21"/>
          <w:u w:val="single"/>
        </w:rPr>
        <w:t xml:space="preserve">               </w:t>
      </w:r>
    </w:p>
    <w:p>
      <w:pPr>
        <w:pStyle w:val="31"/>
        <w:wordWrap w:val="0"/>
        <w:spacing w:line="360" w:lineRule="auto"/>
        <w:ind w:firstLine="480"/>
        <w:jc w:val="right"/>
        <w:rPr>
          <w:rFonts w:ascii="宋体" w:hAnsi="宋体"/>
          <w:color w:val="auto"/>
          <w:szCs w:val="21"/>
          <w:u w:val="single"/>
        </w:rPr>
      </w:pPr>
      <w:r>
        <w:rPr>
          <w:rFonts w:ascii="宋体" w:hAnsi="宋体"/>
          <w:color w:val="auto"/>
          <w:szCs w:val="21"/>
        </w:rPr>
        <w:t>日      期：</w:t>
      </w:r>
      <w:r>
        <w:rPr>
          <w:rFonts w:hint="eastAsia" w:ascii="宋体" w:hAnsi="宋体"/>
          <w:color w:val="auto"/>
          <w:szCs w:val="21"/>
          <w:u w:val="single"/>
        </w:rPr>
        <w:t xml:space="preserve"> </w:t>
      </w:r>
      <w:r>
        <w:rPr>
          <w:rFonts w:ascii="宋体" w:hAnsi="宋体"/>
          <w:color w:val="auto"/>
          <w:szCs w:val="21"/>
          <w:u w:val="single"/>
        </w:rPr>
        <w:t xml:space="preserve">               </w:t>
      </w:r>
    </w:p>
    <w:p>
      <w:pPr>
        <w:pStyle w:val="31"/>
        <w:pageBreakBefore w:val="0"/>
        <w:kinsoku/>
        <w:overflowPunct/>
        <w:topLinePunct w:val="0"/>
        <w:bidi w:val="0"/>
        <w:spacing w:line="400" w:lineRule="exact"/>
        <w:ind w:firstLine="4000" w:firstLineChars="1600"/>
        <w:rPr>
          <w:rFonts w:hint="eastAsia" w:ascii="宋体" w:hAnsi="宋体" w:cs="宋体"/>
          <w:color w:val="auto"/>
          <w:spacing w:val="20"/>
          <w:szCs w:val="21"/>
          <w:u w:val="single"/>
        </w:rPr>
      </w:pPr>
    </w:p>
    <w:p>
      <w:pPr>
        <w:pageBreakBefore w:val="0"/>
        <w:kinsoku/>
        <w:overflowPunct/>
        <w:topLinePunct w:val="0"/>
        <w:bidi w:val="0"/>
        <w:spacing w:before="0" w:after="0" w:line="400" w:lineRule="exact"/>
        <w:ind w:firstLine="0" w:firstLineChars="0"/>
        <w:jc w:val="left"/>
        <w:outlineLvl w:val="9"/>
        <w:rPr>
          <w:rFonts w:hint="eastAsia" w:ascii="宋体" w:hAnsi="宋体" w:eastAsia="宋体" w:cs="宋体"/>
          <w:color w:val="auto"/>
          <w:sz w:val="21"/>
          <w:szCs w:val="21"/>
        </w:rPr>
      </w:pPr>
    </w:p>
    <w:p>
      <w:pPr>
        <w:pageBreakBefore w:val="0"/>
        <w:kinsoku/>
        <w:overflowPunct/>
        <w:topLinePunct w:val="0"/>
        <w:bidi w:val="0"/>
        <w:spacing w:before="0" w:after="0" w:line="400" w:lineRule="exact"/>
        <w:ind w:firstLine="0" w:firstLineChars="0"/>
        <w:jc w:val="left"/>
        <w:outlineLvl w:val="9"/>
        <w:rPr>
          <w:rFonts w:hint="eastAsia" w:ascii="宋体" w:hAnsi="宋体" w:eastAsia="宋体" w:cs="宋体"/>
          <w:color w:val="auto"/>
          <w:sz w:val="21"/>
          <w:szCs w:val="21"/>
        </w:rPr>
      </w:pPr>
    </w:p>
    <w:p>
      <w:pPr>
        <w:pageBreakBefore w:val="0"/>
        <w:kinsoku/>
        <w:overflowPunct/>
        <w:topLinePunct w:val="0"/>
        <w:bidi w:val="0"/>
        <w:spacing w:line="400" w:lineRule="exact"/>
        <w:ind w:firstLine="3360" w:firstLineChars="1400"/>
        <w:jc w:val="both"/>
        <w:outlineLvl w:val="2"/>
        <w:rPr>
          <w:rFonts w:hint="eastAsia" w:ascii="宋体" w:hAnsi="宋体" w:eastAsia="宋体" w:cs="宋体"/>
          <w:color w:val="auto"/>
          <w:sz w:val="24"/>
          <w:szCs w:val="24"/>
        </w:rPr>
      </w:pPr>
      <w:bookmarkStart w:id="93" w:name="_Toc6145"/>
      <w:r>
        <w:rPr>
          <w:rFonts w:hint="eastAsia" w:ascii="宋体" w:hAnsi="宋体" w:eastAsia="宋体" w:cs="宋体"/>
          <w:color w:val="auto"/>
          <w:sz w:val="24"/>
          <w:szCs w:val="24"/>
        </w:rPr>
        <w:t>▲5、无重大违法记录声明书</w:t>
      </w:r>
      <w:bookmarkEnd w:id="93"/>
    </w:p>
    <w:p>
      <w:pPr>
        <w:pStyle w:val="31"/>
        <w:pageBreakBefore w:val="0"/>
        <w:kinsoku/>
        <w:overflowPunct/>
        <w:topLinePunct w:val="0"/>
        <w:bidi w:val="0"/>
        <w:spacing w:line="400" w:lineRule="exact"/>
        <w:rPr>
          <w:rFonts w:hint="eastAsia" w:ascii="宋体" w:hAnsi="宋体" w:eastAsia="宋体" w:cs="宋体"/>
          <w:color w:val="auto"/>
          <w:spacing w:val="6"/>
          <w:sz w:val="21"/>
          <w:szCs w:val="21"/>
          <w:u w:val="single"/>
        </w:rPr>
      </w:pPr>
    </w:p>
    <w:p>
      <w:pPr>
        <w:pStyle w:val="31"/>
        <w:pageBreakBefore w:val="0"/>
        <w:kinsoku/>
        <w:overflowPunct/>
        <w:topLinePunct w:val="0"/>
        <w:bidi w:val="0"/>
        <w:spacing w:line="400" w:lineRule="exact"/>
        <w:rPr>
          <w:rFonts w:hint="eastAsia" w:ascii="宋体" w:hAnsi="宋体" w:eastAsia="宋体" w:cs="宋体"/>
          <w:color w:val="auto"/>
          <w:spacing w:val="6"/>
          <w:sz w:val="21"/>
          <w:szCs w:val="21"/>
          <w:u w:val="single"/>
        </w:rPr>
      </w:pPr>
      <w:r>
        <w:rPr>
          <w:rFonts w:hint="eastAsia" w:ascii="宋体" w:hAnsi="宋体" w:cs="宋体"/>
          <w:color w:val="auto"/>
          <w:sz w:val="21"/>
          <w:szCs w:val="21"/>
          <w:u w:val="single"/>
          <w:lang w:eastAsia="zh-CN"/>
        </w:rPr>
        <w:t>青田县残疾人联合会</w:t>
      </w:r>
      <w:r>
        <w:rPr>
          <w:rFonts w:hint="eastAsia" w:ascii="宋体" w:hAnsi="宋体" w:eastAsia="宋体" w:cs="宋体"/>
          <w:color w:val="auto"/>
          <w:spacing w:val="6"/>
          <w:sz w:val="21"/>
          <w:szCs w:val="21"/>
          <w:u w:val="single"/>
        </w:rPr>
        <w:t>：</w:t>
      </w:r>
    </w:p>
    <w:p>
      <w:pPr>
        <w:pStyle w:val="35"/>
        <w:pageBreakBefore w:val="0"/>
        <w:kinsoku/>
        <w:overflowPunct/>
        <w:topLinePunct w:val="0"/>
        <w:bidi w:val="0"/>
        <w:spacing w:before="120" w:beforeLines="50" w:line="400" w:lineRule="exact"/>
        <w:ind w:firstLine="444"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我方参与的</w:t>
      </w:r>
      <w:r>
        <w:rPr>
          <w:rFonts w:hint="eastAsia" w:ascii="宋体" w:hAnsi="宋体" w:eastAsia="宋体" w:cs="宋体"/>
          <w:color w:val="auto"/>
          <w:spacing w:val="6"/>
          <w:sz w:val="21"/>
          <w:szCs w:val="21"/>
          <w:u w:val="single"/>
        </w:rPr>
        <w:t xml:space="preserve">    </w:t>
      </w:r>
      <w:r>
        <w:rPr>
          <w:rFonts w:hint="eastAsia" w:ascii="宋体" w:hAnsi="宋体" w:cs="宋体"/>
          <w:color w:val="auto"/>
          <w:szCs w:val="21"/>
          <w:u w:val="single"/>
          <w:lang w:eastAsia="zh-CN"/>
        </w:rPr>
        <w:t>青田县残疾人托养中心委托运营管理项目</w:t>
      </w:r>
      <w:r>
        <w:rPr>
          <w:rFonts w:hint="eastAsia" w:ascii="宋体" w:hAnsi="宋体" w:eastAsia="宋体" w:cs="宋体"/>
          <w:color w:val="auto"/>
          <w:spacing w:val="6"/>
          <w:sz w:val="21"/>
          <w:szCs w:val="21"/>
          <w:u w:val="single"/>
        </w:rPr>
        <w:t>　</w:t>
      </w:r>
      <w:r>
        <w:rPr>
          <w:rFonts w:hint="eastAsia" w:ascii="宋体" w:hAnsi="宋体" w:eastAsia="宋体" w:cs="宋体"/>
          <w:color w:val="auto"/>
          <w:spacing w:val="6"/>
          <w:sz w:val="21"/>
          <w:szCs w:val="21"/>
        </w:rPr>
        <w:t>的投标活动，我方郑重声明，我方参加本项目投标活动前三年内无重大违法记录（重大违法记录是指</w:t>
      </w:r>
      <w:r>
        <w:rPr>
          <w:rFonts w:hint="eastAsia" w:ascii="宋体" w:hAnsi="宋体" w:cs="宋体"/>
          <w:color w:val="auto"/>
          <w:spacing w:val="6"/>
          <w:sz w:val="21"/>
          <w:szCs w:val="21"/>
          <w:lang w:eastAsia="zh-CN"/>
        </w:rPr>
        <w:t>供应商</w:t>
      </w:r>
      <w:r>
        <w:rPr>
          <w:rFonts w:hint="eastAsia" w:ascii="宋体" w:hAnsi="宋体" w:eastAsia="宋体" w:cs="宋体"/>
          <w:color w:val="auto"/>
          <w:spacing w:val="6"/>
          <w:sz w:val="21"/>
          <w:szCs w:val="21"/>
        </w:rPr>
        <w:t>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5"/>
        <w:pageBreakBefore w:val="0"/>
        <w:kinsoku/>
        <w:overflowPunct/>
        <w:topLinePunct w:val="0"/>
        <w:bidi w:val="0"/>
        <w:spacing w:line="400" w:lineRule="exact"/>
        <w:ind w:firstLine="444"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ab/>
      </w:r>
      <w:r>
        <w:rPr>
          <w:rFonts w:hint="eastAsia" w:ascii="宋体" w:hAnsi="宋体" w:eastAsia="宋体" w:cs="宋体"/>
          <w:color w:val="auto"/>
          <w:spacing w:val="6"/>
          <w:sz w:val="21"/>
          <w:szCs w:val="21"/>
        </w:rPr>
        <w:t>特此声明。</w:t>
      </w:r>
    </w:p>
    <w:p>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p>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p>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p>
      <w:pPr>
        <w:pStyle w:val="36"/>
        <w:pageBreakBefore w:val="0"/>
        <w:kinsoku/>
        <w:overflowPunct/>
        <w:topLinePunct w:val="0"/>
        <w:bidi w:val="0"/>
        <w:spacing w:line="400" w:lineRule="exact"/>
        <w:jc w:val="center"/>
        <w:rPr>
          <w:rFonts w:hint="eastAsia" w:ascii="宋体" w:hAnsi="宋体" w:eastAsia="宋体" w:cs="宋体"/>
          <w:color w:val="auto"/>
          <w:sz w:val="21"/>
          <w:szCs w:val="21"/>
        </w:rPr>
      </w:pPr>
    </w:p>
    <w:p>
      <w:pPr>
        <w:pStyle w:val="34"/>
        <w:spacing w:line="520" w:lineRule="exact"/>
        <w:ind w:firstLine="3625" w:firstLineChars="1450"/>
        <w:rPr>
          <w:rFonts w:hint="eastAsia" w:hAnsi="宋体"/>
          <w:color w:val="auto"/>
          <w:spacing w:val="20"/>
          <w:szCs w:val="21"/>
          <w:lang w:eastAsia="zh-CN"/>
        </w:rPr>
      </w:pPr>
      <w:r>
        <w:rPr>
          <w:rFonts w:hAnsi="宋体"/>
          <w:color w:val="auto"/>
          <w:spacing w:val="20"/>
          <w:szCs w:val="21"/>
        </w:rPr>
        <w:t>负责人</w:t>
      </w:r>
      <w:r>
        <w:rPr>
          <w:rFonts w:hint="eastAsia" w:hAnsi="宋体"/>
          <w:color w:val="auto"/>
          <w:spacing w:val="20"/>
          <w:szCs w:val="21"/>
        </w:rPr>
        <w:t>（</w:t>
      </w:r>
      <w:r>
        <w:rPr>
          <w:rFonts w:hAnsi="宋体"/>
          <w:color w:val="auto"/>
          <w:spacing w:val="20"/>
          <w:szCs w:val="21"/>
        </w:rPr>
        <w:t>或</w:t>
      </w:r>
      <w:r>
        <w:rPr>
          <w:rFonts w:hint="eastAsia" w:hAnsi="宋体"/>
          <w:color w:val="auto"/>
          <w:spacing w:val="20"/>
          <w:szCs w:val="21"/>
        </w:rPr>
        <w:t>委托代理人）签字或盖章</w:t>
      </w:r>
      <w:r>
        <w:rPr>
          <w:rFonts w:hint="eastAsia" w:hAnsi="宋体"/>
          <w:color w:val="auto"/>
          <w:spacing w:val="20"/>
          <w:szCs w:val="21"/>
          <w:lang w:eastAsia="zh-CN"/>
        </w:rPr>
        <w:t>：</w:t>
      </w:r>
      <w:r>
        <w:rPr>
          <w:rFonts w:hint="eastAsia" w:hAnsi="宋体"/>
          <w:color w:val="auto"/>
          <w:spacing w:val="20"/>
          <w:szCs w:val="21"/>
          <w:u w:val="single"/>
        </w:rPr>
        <w:t xml:space="preserve">            </w:t>
      </w:r>
    </w:p>
    <w:p>
      <w:pPr>
        <w:pStyle w:val="31"/>
        <w:wordWrap w:val="0"/>
        <w:spacing w:line="360" w:lineRule="auto"/>
        <w:ind w:firstLine="480"/>
        <w:jc w:val="right"/>
        <w:rPr>
          <w:rFonts w:hint="eastAsia" w:ascii="宋体" w:hAnsi="宋体"/>
          <w:color w:val="auto"/>
          <w:szCs w:val="21"/>
          <w:u w:val="single"/>
        </w:rPr>
      </w:pPr>
      <w:r>
        <w:rPr>
          <w:rFonts w:hint="eastAsia" w:ascii="宋体" w:hAnsi="宋体"/>
          <w:color w:val="auto"/>
          <w:szCs w:val="21"/>
        </w:rPr>
        <w:t>供应商</w:t>
      </w:r>
      <w:r>
        <w:rPr>
          <w:rFonts w:ascii="宋体" w:hAnsi="宋体"/>
          <w:color w:val="auto"/>
          <w:szCs w:val="21"/>
        </w:rPr>
        <w:t>盖章：</w:t>
      </w:r>
      <w:r>
        <w:rPr>
          <w:rFonts w:hint="eastAsia" w:ascii="宋体" w:hAnsi="宋体"/>
          <w:color w:val="auto"/>
          <w:szCs w:val="21"/>
          <w:u w:val="single"/>
        </w:rPr>
        <w:t xml:space="preserve"> </w:t>
      </w:r>
      <w:r>
        <w:rPr>
          <w:rFonts w:ascii="宋体" w:hAnsi="宋体"/>
          <w:color w:val="auto"/>
          <w:szCs w:val="21"/>
          <w:u w:val="single"/>
        </w:rPr>
        <w:t xml:space="preserve">               </w:t>
      </w:r>
    </w:p>
    <w:p>
      <w:pPr>
        <w:pStyle w:val="31"/>
        <w:wordWrap w:val="0"/>
        <w:spacing w:line="360" w:lineRule="auto"/>
        <w:ind w:firstLine="480"/>
        <w:jc w:val="right"/>
        <w:rPr>
          <w:rFonts w:ascii="宋体" w:hAnsi="宋体"/>
          <w:color w:val="auto"/>
          <w:szCs w:val="21"/>
          <w:u w:val="single"/>
        </w:rPr>
      </w:pPr>
      <w:r>
        <w:rPr>
          <w:rFonts w:ascii="宋体" w:hAnsi="宋体"/>
          <w:color w:val="auto"/>
          <w:szCs w:val="21"/>
        </w:rPr>
        <w:t>日      期：</w:t>
      </w:r>
      <w:r>
        <w:rPr>
          <w:rFonts w:hint="eastAsia" w:ascii="宋体" w:hAnsi="宋体"/>
          <w:color w:val="auto"/>
          <w:szCs w:val="21"/>
          <w:u w:val="single"/>
        </w:rPr>
        <w:t xml:space="preserve"> </w:t>
      </w:r>
      <w:r>
        <w:rPr>
          <w:rFonts w:ascii="宋体" w:hAnsi="宋体"/>
          <w:color w:val="auto"/>
          <w:szCs w:val="21"/>
          <w:u w:val="single"/>
        </w:rPr>
        <w:t xml:space="preserve">               </w:t>
      </w:r>
    </w:p>
    <w:p>
      <w:pPr>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7"/>
        <w:spacing w:line="360" w:lineRule="auto"/>
        <w:ind w:firstLine="0"/>
        <w:jc w:val="center"/>
        <w:outlineLvl w:val="2"/>
        <w:rPr>
          <w:rFonts w:hint="eastAsia" w:ascii="宋体" w:hAnsi="宋体" w:eastAsia="宋体" w:cs="宋体"/>
          <w:color w:val="auto"/>
          <w:kern w:val="2"/>
          <w:sz w:val="24"/>
          <w:szCs w:val="24"/>
          <w:lang w:val="en-US" w:eastAsia="zh-CN" w:bidi="ar-SA"/>
        </w:rPr>
      </w:pPr>
      <w:bookmarkStart w:id="94" w:name="_Toc10578"/>
      <w:r>
        <w:rPr>
          <w:rFonts w:hint="eastAsia" w:ascii="宋体" w:hAnsi="宋体"/>
          <w:color w:val="auto"/>
          <w:sz w:val="30"/>
        </w:rPr>
        <w:t>▲</w:t>
      </w:r>
      <w:r>
        <w:rPr>
          <w:rFonts w:hint="eastAsia" w:ascii="宋体" w:hAnsi="宋体"/>
          <w:b/>
          <w:color w:val="auto"/>
          <w:sz w:val="28"/>
          <w:szCs w:val="28"/>
          <w:lang w:val="en-US" w:eastAsia="zh-CN"/>
        </w:rPr>
        <w:t>6</w:t>
      </w:r>
      <w:r>
        <w:rPr>
          <w:rFonts w:hint="eastAsia" w:ascii="宋体" w:hAnsi="宋体"/>
          <w:b/>
          <w:color w:val="auto"/>
          <w:sz w:val="28"/>
          <w:szCs w:val="28"/>
          <w:lang w:eastAsia="zh-CN"/>
        </w:rPr>
        <w:t>、</w:t>
      </w:r>
      <w:r>
        <w:rPr>
          <w:rFonts w:hint="eastAsia" w:ascii="宋体" w:hAnsi="宋体" w:eastAsia="宋体" w:cs="宋体"/>
          <w:color w:val="auto"/>
          <w:kern w:val="2"/>
          <w:sz w:val="24"/>
          <w:szCs w:val="24"/>
          <w:lang w:val="en-US" w:eastAsia="zh-CN" w:bidi="ar-SA"/>
        </w:rPr>
        <w:t>具有履行合同所必需设备和专业技术能力的承诺函</w:t>
      </w:r>
      <w:bookmarkEnd w:id="94"/>
    </w:p>
    <w:p>
      <w:pPr>
        <w:snapToGrid w:val="0"/>
        <w:spacing w:line="360" w:lineRule="auto"/>
        <w:rPr>
          <w:rFonts w:hint="eastAsia" w:ascii="宋体" w:hAnsi="宋体" w:cs="宋体"/>
          <w:color w:val="auto"/>
        </w:rPr>
      </w:pPr>
    </w:p>
    <w:p>
      <w:pPr>
        <w:pStyle w:val="31"/>
        <w:pageBreakBefore w:val="0"/>
        <w:kinsoku/>
        <w:overflowPunct/>
        <w:topLinePunct w:val="0"/>
        <w:bidi w:val="0"/>
        <w:spacing w:line="400" w:lineRule="exact"/>
        <w:rPr>
          <w:rFonts w:hint="eastAsia" w:ascii="宋体" w:hAnsi="宋体" w:eastAsia="宋体" w:cs="宋体"/>
          <w:color w:val="auto"/>
          <w:spacing w:val="6"/>
          <w:sz w:val="21"/>
          <w:szCs w:val="21"/>
          <w:u w:val="single"/>
        </w:rPr>
      </w:pPr>
      <w:r>
        <w:rPr>
          <w:rFonts w:hint="eastAsia" w:ascii="宋体" w:hAnsi="宋体" w:cs="宋体"/>
          <w:color w:val="auto"/>
          <w:sz w:val="21"/>
          <w:szCs w:val="21"/>
          <w:u w:val="single"/>
          <w:lang w:eastAsia="zh-CN"/>
        </w:rPr>
        <w:t>青田县残疾人联合会</w:t>
      </w:r>
      <w:r>
        <w:rPr>
          <w:rFonts w:hint="eastAsia" w:ascii="宋体" w:hAnsi="宋体" w:eastAsia="宋体" w:cs="宋体"/>
          <w:color w:val="auto"/>
          <w:spacing w:val="6"/>
          <w:sz w:val="21"/>
          <w:szCs w:val="21"/>
          <w:u w:val="single"/>
        </w:rPr>
        <w:t>：</w:t>
      </w:r>
    </w:p>
    <w:p>
      <w:pPr>
        <w:pStyle w:val="35"/>
        <w:spacing w:line="360" w:lineRule="auto"/>
        <w:rPr>
          <w:rFonts w:hint="eastAsia" w:ascii="宋体" w:hAnsi="宋体"/>
          <w:color w:val="auto"/>
          <w:spacing w:val="6"/>
          <w:szCs w:val="21"/>
        </w:rPr>
      </w:pPr>
    </w:p>
    <w:p>
      <w:pPr>
        <w:pStyle w:val="35"/>
        <w:spacing w:line="360" w:lineRule="auto"/>
        <w:ind w:firstLine="444" w:firstLineChars="200"/>
        <w:rPr>
          <w:rFonts w:hint="eastAsia" w:ascii="宋体" w:hAnsi="宋体"/>
          <w:color w:val="auto"/>
          <w:spacing w:val="6"/>
          <w:szCs w:val="21"/>
        </w:rPr>
      </w:pPr>
      <w:r>
        <w:rPr>
          <w:rFonts w:hint="eastAsia" w:ascii="宋体" w:hAnsi="宋体"/>
          <w:color w:val="auto"/>
          <w:spacing w:val="6"/>
          <w:szCs w:val="21"/>
        </w:rPr>
        <w:t>我方参与的</w:t>
      </w:r>
      <w:r>
        <w:rPr>
          <w:rFonts w:hint="eastAsia" w:ascii="宋体" w:hAnsi="宋体"/>
          <w:color w:val="auto"/>
          <w:spacing w:val="6"/>
          <w:szCs w:val="21"/>
          <w:u w:val="single"/>
        </w:rPr>
        <w:t xml:space="preserve">    </w:t>
      </w:r>
      <w:r>
        <w:rPr>
          <w:rFonts w:hint="eastAsia" w:ascii="宋体" w:hAnsi="宋体" w:cs="宋体"/>
          <w:color w:val="auto"/>
          <w:szCs w:val="21"/>
          <w:u w:val="single"/>
          <w:lang w:eastAsia="zh-CN"/>
        </w:rPr>
        <w:t>青田县残疾人托养中心委托运营管理项目</w:t>
      </w:r>
      <w:r>
        <w:rPr>
          <w:rFonts w:hint="eastAsia" w:ascii="宋体" w:hAnsi="宋体"/>
          <w:color w:val="auto"/>
          <w:spacing w:val="6"/>
          <w:szCs w:val="21"/>
          <w:u w:val="single"/>
        </w:rPr>
        <w:t xml:space="preserve">           </w:t>
      </w:r>
      <w:r>
        <w:rPr>
          <w:rFonts w:hint="eastAsia" w:ascii="宋体" w:hAnsi="宋体"/>
          <w:color w:val="auto"/>
          <w:spacing w:val="6"/>
          <w:szCs w:val="21"/>
        </w:rPr>
        <w:t>的采购活动，</w:t>
      </w:r>
      <w:r>
        <w:rPr>
          <w:rFonts w:ascii="宋体" w:hAnsi="宋体"/>
          <w:color w:val="auto"/>
          <w:spacing w:val="6"/>
          <w:szCs w:val="21"/>
        </w:rPr>
        <w:t>我方</w:t>
      </w:r>
      <w:r>
        <w:rPr>
          <w:rFonts w:hint="eastAsia" w:ascii="宋体" w:hAnsi="宋体"/>
          <w:color w:val="auto"/>
          <w:spacing w:val="6"/>
          <w:szCs w:val="21"/>
        </w:rPr>
        <w:t>郑重</w:t>
      </w:r>
      <w:r>
        <w:rPr>
          <w:rFonts w:ascii="宋体" w:hAnsi="宋体"/>
          <w:color w:val="auto"/>
          <w:spacing w:val="6"/>
          <w:szCs w:val="21"/>
        </w:rPr>
        <w:t>承诺，我方</w:t>
      </w:r>
      <w:r>
        <w:rPr>
          <w:rFonts w:hint="eastAsia" w:ascii="宋体" w:hAnsi="宋体"/>
          <w:color w:val="auto"/>
          <w:spacing w:val="6"/>
          <w:szCs w:val="21"/>
        </w:rPr>
        <w:t>承诺具有履行合同所必需设备和专业技术能力。如有虚假，采购人可取消我方任何资格（投标/中标/签订合同），我方对此无任何异议。</w:t>
      </w:r>
    </w:p>
    <w:p>
      <w:pPr>
        <w:pStyle w:val="35"/>
        <w:spacing w:line="360" w:lineRule="auto"/>
        <w:ind w:firstLine="444" w:firstLineChars="200"/>
        <w:rPr>
          <w:rFonts w:hint="eastAsia" w:ascii="宋体" w:hAnsi="宋体"/>
          <w:color w:val="auto"/>
          <w:spacing w:val="6"/>
          <w:szCs w:val="21"/>
        </w:rPr>
      </w:pPr>
    </w:p>
    <w:p>
      <w:pPr>
        <w:pStyle w:val="35"/>
        <w:spacing w:line="360" w:lineRule="auto"/>
        <w:ind w:firstLine="444" w:firstLineChars="200"/>
        <w:rPr>
          <w:rFonts w:hint="eastAsia" w:ascii="宋体" w:hAnsi="宋体"/>
          <w:color w:val="auto"/>
          <w:spacing w:val="6"/>
          <w:szCs w:val="21"/>
        </w:rPr>
      </w:pPr>
      <w:r>
        <w:rPr>
          <w:rFonts w:hint="eastAsia" w:ascii="宋体" w:hAnsi="宋体"/>
          <w:color w:val="auto"/>
          <w:spacing w:val="6"/>
          <w:szCs w:val="21"/>
        </w:rPr>
        <w:t>特此承诺！</w:t>
      </w:r>
    </w:p>
    <w:p>
      <w:pPr>
        <w:pStyle w:val="34"/>
        <w:spacing w:line="520" w:lineRule="exact"/>
        <w:ind w:firstLine="2125" w:firstLineChars="850"/>
        <w:rPr>
          <w:rFonts w:hint="eastAsia" w:hAnsi="宋体"/>
          <w:color w:val="auto"/>
          <w:spacing w:val="20"/>
          <w:szCs w:val="21"/>
          <w:lang w:eastAsia="zh-CN"/>
        </w:rPr>
      </w:pPr>
    </w:p>
    <w:p>
      <w:pPr>
        <w:pStyle w:val="34"/>
        <w:spacing w:line="520" w:lineRule="exact"/>
        <w:ind w:firstLine="2125" w:firstLineChars="850"/>
        <w:rPr>
          <w:rFonts w:hint="eastAsia" w:hAnsi="宋体"/>
          <w:color w:val="auto"/>
          <w:spacing w:val="20"/>
          <w:szCs w:val="21"/>
          <w:lang w:eastAsia="zh-CN"/>
        </w:rPr>
      </w:pPr>
    </w:p>
    <w:p>
      <w:pPr>
        <w:pStyle w:val="34"/>
        <w:spacing w:line="520" w:lineRule="exact"/>
        <w:ind w:firstLine="3625" w:firstLineChars="1450"/>
        <w:rPr>
          <w:rFonts w:hint="eastAsia" w:hAnsi="宋体"/>
          <w:color w:val="auto"/>
          <w:spacing w:val="20"/>
          <w:szCs w:val="21"/>
          <w:lang w:eastAsia="zh-CN"/>
        </w:rPr>
      </w:pPr>
      <w:r>
        <w:rPr>
          <w:rFonts w:hAnsi="宋体"/>
          <w:color w:val="auto"/>
          <w:spacing w:val="20"/>
          <w:szCs w:val="21"/>
        </w:rPr>
        <w:t>负责人</w:t>
      </w:r>
      <w:r>
        <w:rPr>
          <w:rFonts w:hint="eastAsia" w:hAnsi="宋体"/>
          <w:color w:val="auto"/>
          <w:spacing w:val="20"/>
          <w:szCs w:val="21"/>
        </w:rPr>
        <w:t>（</w:t>
      </w:r>
      <w:r>
        <w:rPr>
          <w:rFonts w:hAnsi="宋体"/>
          <w:color w:val="auto"/>
          <w:spacing w:val="20"/>
          <w:szCs w:val="21"/>
        </w:rPr>
        <w:t>或</w:t>
      </w:r>
      <w:r>
        <w:rPr>
          <w:rFonts w:hint="eastAsia" w:hAnsi="宋体"/>
          <w:color w:val="auto"/>
          <w:spacing w:val="20"/>
          <w:szCs w:val="21"/>
        </w:rPr>
        <w:t>委托代理人）签字或盖章</w:t>
      </w:r>
      <w:r>
        <w:rPr>
          <w:rFonts w:hint="eastAsia" w:hAnsi="宋体"/>
          <w:color w:val="auto"/>
          <w:spacing w:val="20"/>
          <w:szCs w:val="21"/>
          <w:lang w:eastAsia="zh-CN"/>
        </w:rPr>
        <w:t>：</w:t>
      </w:r>
      <w:r>
        <w:rPr>
          <w:rFonts w:hint="eastAsia" w:hAnsi="宋体"/>
          <w:color w:val="auto"/>
          <w:spacing w:val="20"/>
          <w:szCs w:val="21"/>
          <w:u w:val="single"/>
        </w:rPr>
        <w:t xml:space="preserve">            </w:t>
      </w:r>
    </w:p>
    <w:p>
      <w:pPr>
        <w:pStyle w:val="31"/>
        <w:wordWrap w:val="0"/>
        <w:spacing w:line="360" w:lineRule="auto"/>
        <w:ind w:firstLine="480"/>
        <w:jc w:val="right"/>
        <w:rPr>
          <w:rFonts w:hint="eastAsia" w:ascii="宋体" w:hAnsi="宋体"/>
          <w:color w:val="auto"/>
          <w:szCs w:val="21"/>
          <w:u w:val="single"/>
        </w:rPr>
      </w:pPr>
      <w:r>
        <w:rPr>
          <w:rFonts w:hint="eastAsia" w:ascii="宋体" w:hAnsi="宋体"/>
          <w:color w:val="auto"/>
          <w:szCs w:val="21"/>
        </w:rPr>
        <w:t>供应商</w:t>
      </w:r>
      <w:r>
        <w:rPr>
          <w:rFonts w:ascii="宋体" w:hAnsi="宋体"/>
          <w:color w:val="auto"/>
          <w:szCs w:val="21"/>
        </w:rPr>
        <w:t>盖章：</w:t>
      </w:r>
      <w:r>
        <w:rPr>
          <w:rFonts w:hint="eastAsia" w:ascii="宋体" w:hAnsi="宋体"/>
          <w:color w:val="auto"/>
          <w:szCs w:val="21"/>
          <w:u w:val="single"/>
        </w:rPr>
        <w:t xml:space="preserve"> </w:t>
      </w:r>
      <w:r>
        <w:rPr>
          <w:rFonts w:ascii="宋体" w:hAnsi="宋体"/>
          <w:color w:val="auto"/>
          <w:szCs w:val="21"/>
          <w:u w:val="single"/>
        </w:rPr>
        <w:t xml:space="preserve">               </w:t>
      </w:r>
    </w:p>
    <w:p>
      <w:pPr>
        <w:pStyle w:val="31"/>
        <w:wordWrap w:val="0"/>
        <w:spacing w:line="360" w:lineRule="auto"/>
        <w:ind w:firstLine="480"/>
        <w:jc w:val="right"/>
        <w:rPr>
          <w:rFonts w:ascii="宋体" w:hAnsi="宋体"/>
          <w:color w:val="auto"/>
          <w:szCs w:val="21"/>
          <w:u w:val="single"/>
        </w:rPr>
      </w:pPr>
      <w:r>
        <w:rPr>
          <w:rFonts w:ascii="宋体" w:hAnsi="宋体"/>
          <w:color w:val="auto"/>
          <w:szCs w:val="21"/>
        </w:rPr>
        <w:t>日      期：</w:t>
      </w:r>
      <w:r>
        <w:rPr>
          <w:rFonts w:hint="eastAsia" w:ascii="宋体" w:hAnsi="宋体"/>
          <w:color w:val="auto"/>
          <w:szCs w:val="21"/>
          <w:u w:val="single"/>
        </w:rPr>
        <w:t xml:space="preserve"> </w:t>
      </w:r>
      <w:r>
        <w:rPr>
          <w:rFonts w:ascii="宋体" w:hAnsi="宋体"/>
          <w:color w:val="auto"/>
          <w:szCs w:val="21"/>
          <w:u w:val="single"/>
        </w:rPr>
        <w:t xml:space="preserve">               </w:t>
      </w: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p>
      <w:pPr>
        <w:pStyle w:val="7"/>
        <w:pageBreakBefore w:val="0"/>
        <w:kinsoku/>
        <w:overflowPunct/>
        <w:topLinePunct w:val="0"/>
        <w:bidi w:val="0"/>
        <w:spacing w:line="400" w:lineRule="exact"/>
        <w:rPr>
          <w:rFonts w:hint="eastAsia" w:ascii="宋体" w:hAnsi="宋体" w:eastAsia="宋体" w:cs="宋体"/>
          <w:color w:val="auto"/>
          <w:sz w:val="21"/>
          <w:szCs w:val="21"/>
        </w:rPr>
      </w:pPr>
    </w:p>
    <w:bookmarkEnd w:id="85"/>
    <w:p>
      <w:pPr>
        <w:pStyle w:val="4"/>
        <w:pageBreakBefore w:val="0"/>
        <w:numPr>
          <w:ilvl w:val="0"/>
          <w:numId w:val="3"/>
        </w:numPr>
        <w:kinsoku/>
        <w:overflowPunct/>
        <w:topLinePunct w:val="0"/>
        <w:bidi w:val="0"/>
        <w:spacing w:line="400" w:lineRule="exact"/>
        <w:jc w:val="center"/>
        <w:outlineLvl w:val="1"/>
        <w:rPr>
          <w:rFonts w:hint="eastAsia" w:ascii="宋体" w:hAnsi="宋体" w:eastAsia="宋体" w:cs="宋体"/>
          <w:color w:val="auto"/>
          <w:sz w:val="24"/>
          <w:szCs w:val="24"/>
        </w:rPr>
      </w:pPr>
      <w:bookmarkStart w:id="95" w:name="_Toc24621"/>
      <w:r>
        <w:rPr>
          <w:rFonts w:hint="eastAsia" w:ascii="宋体" w:hAnsi="宋体" w:eastAsia="宋体" w:cs="宋体"/>
          <w:color w:val="auto"/>
          <w:sz w:val="24"/>
          <w:szCs w:val="24"/>
        </w:rPr>
        <w:t>资信商务及技术文件格式</w:t>
      </w:r>
      <w:bookmarkEnd w:id="95"/>
    </w:p>
    <w:bookmarkEnd w:id="81"/>
    <w:bookmarkEnd w:id="82"/>
    <w:bookmarkEnd w:id="83"/>
    <w:bookmarkEnd w:id="84"/>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default" w:ascii="宋体" w:hAnsi="宋体" w:eastAsia="宋体" w:cs="宋体"/>
          <w:color w:val="auto"/>
          <w:spacing w:val="20"/>
          <w:sz w:val="21"/>
          <w:szCs w:val="21"/>
          <w:u w:val="none"/>
          <w:lang w:val="en-US" w:eastAsia="zh-CN"/>
        </w:rPr>
      </w:pPr>
      <w:r>
        <w:rPr>
          <w:rFonts w:hint="eastAsia" w:ascii="宋体" w:hAnsi="宋体" w:cs="宋体"/>
          <w:color w:val="auto"/>
          <w:spacing w:val="20"/>
          <w:sz w:val="21"/>
          <w:szCs w:val="21"/>
          <w:u w:val="none"/>
          <w:lang w:val="en-US" w:eastAsia="zh-CN"/>
        </w:rPr>
        <w:t>（注：根据采购需求和评分办法编制，格式自拟）</w:t>
      </w: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non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ageBreakBefore w:val="0"/>
        <w:tabs>
          <w:tab w:val="left" w:pos="1418"/>
        </w:tabs>
        <w:kinsoku/>
        <w:overflowPunct/>
        <w:topLinePunct w:val="0"/>
        <w:bidi w:val="0"/>
        <w:spacing w:line="400" w:lineRule="exact"/>
        <w:ind w:left="1418" w:hanging="567"/>
        <w:jc w:val="center"/>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ind w:left="0" w:leftChars="0" w:firstLine="0" w:firstLineChars="0"/>
        <w:rPr>
          <w:rFonts w:hint="eastAsia" w:ascii="宋体" w:hAnsi="宋体" w:eastAsia="宋体" w:cs="宋体"/>
          <w:color w:val="auto"/>
          <w:spacing w:val="20"/>
          <w:sz w:val="21"/>
          <w:szCs w:val="21"/>
          <w:u w:val="single"/>
        </w:rPr>
      </w:pPr>
    </w:p>
    <w:p>
      <w:pPr>
        <w:pStyle w:val="13"/>
        <w:pageBreakBefore w:val="0"/>
        <w:kinsoku/>
        <w:overflowPunct/>
        <w:topLinePunct w:val="0"/>
        <w:bidi w:val="0"/>
        <w:spacing w:line="400" w:lineRule="exact"/>
        <w:rPr>
          <w:rFonts w:hint="eastAsia" w:ascii="宋体" w:hAnsi="宋体" w:eastAsia="宋体" w:cs="宋体"/>
          <w:b/>
          <w:color w:val="auto"/>
          <w:sz w:val="24"/>
          <w:szCs w:val="24"/>
        </w:rPr>
      </w:pPr>
    </w:p>
    <w:p>
      <w:pPr>
        <w:pStyle w:val="13"/>
        <w:pageBreakBefore w:val="0"/>
        <w:kinsoku/>
        <w:overflowPunct/>
        <w:topLinePunct w:val="0"/>
        <w:bidi w:val="0"/>
        <w:spacing w:line="400" w:lineRule="exact"/>
        <w:jc w:val="center"/>
        <w:outlineLvl w:val="2"/>
        <w:rPr>
          <w:rFonts w:hint="eastAsia" w:ascii="宋体" w:hAnsi="宋体" w:eastAsia="宋体" w:cs="宋体"/>
          <w:color w:val="auto"/>
          <w:sz w:val="24"/>
          <w:szCs w:val="24"/>
        </w:rPr>
      </w:pPr>
      <w:bookmarkStart w:id="96" w:name="_Toc8421"/>
      <w:r>
        <w:rPr>
          <w:rFonts w:hint="eastAsia" w:ascii="宋体" w:hAnsi="宋体" w:eastAsia="宋体" w:cs="宋体"/>
          <w:b/>
          <w:color w:val="auto"/>
          <w:sz w:val="24"/>
          <w:szCs w:val="24"/>
        </w:rPr>
        <w:t>1、磋商声明书</w:t>
      </w:r>
      <w:bookmarkEnd w:id="96"/>
    </w:p>
    <w:p>
      <w:pPr>
        <w:pStyle w:val="13"/>
        <w:pageBreakBefore w:val="0"/>
        <w:tabs>
          <w:tab w:val="left" w:pos="0"/>
        </w:tabs>
        <w:kinsoku/>
        <w:overflowPunct/>
        <w:topLinePunct w:val="0"/>
        <w:bidi w:val="0"/>
        <w:spacing w:line="400" w:lineRule="exact"/>
        <w:rPr>
          <w:rFonts w:hint="eastAsia" w:ascii="宋体" w:hAnsi="宋体" w:eastAsia="宋体" w:cs="宋体"/>
          <w:color w:val="auto"/>
          <w:sz w:val="21"/>
          <w:szCs w:val="21"/>
        </w:rPr>
      </w:pPr>
      <w:r>
        <w:rPr>
          <w:rFonts w:hint="eastAsia" w:hAnsi="宋体" w:cs="宋体"/>
          <w:color w:val="auto"/>
          <w:sz w:val="21"/>
          <w:szCs w:val="21"/>
          <w:u w:val="single"/>
          <w:lang w:eastAsia="zh-CN"/>
        </w:rPr>
        <w:t>青田县残疾人联合会</w:t>
      </w:r>
      <w:r>
        <w:rPr>
          <w:rFonts w:hint="eastAsia" w:ascii="宋体" w:hAnsi="宋体" w:eastAsia="宋体" w:cs="宋体"/>
          <w:color w:val="auto"/>
          <w:sz w:val="21"/>
          <w:szCs w:val="21"/>
        </w:rPr>
        <w:t>：</w:t>
      </w:r>
    </w:p>
    <w:p>
      <w:pPr>
        <w:pStyle w:val="13"/>
        <w:pageBreakBefore w:val="0"/>
        <w:kinsoku/>
        <w:overflowPunct/>
        <w:topLinePunct w:val="0"/>
        <w:bidi w:val="0"/>
        <w:spacing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u w:val="single"/>
        </w:rPr>
        <w:t>　(供应商名称) 　</w:t>
      </w:r>
      <w:r>
        <w:rPr>
          <w:rFonts w:hint="eastAsia" w:ascii="宋体" w:hAnsi="宋体" w:eastAsia="宋体" w:cs="宋体"/>
          <w:color w:val="auto"/>
          <w:sz w:val="21"/>
          <w:szCs w:val="21"/>
        </w:rPr>
        <w:t>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3"/>
        <w:pageBreakBefore w:val="0"/>
        <w:kinsoku/>
        <w:overflowPunct/>
        <w:topLinePunct w:val="0"/>
        <w:bidi w:val="0"/>
        <w:spacing w:line="400" w:lineRule="exact"/>
        <w:ind w:firstLine="720"/>
        <w:rPr>
          <w:rFonts w:hint="eastAsia" w:ascii="宋体" w:hAnsi="宋体" w:eastAsia="宋体" w:cs="宋体"/>
          <w:color w:val="auto"/>
          <w:sz w:val="21"/>
          <w:szCs w:val="21"/>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(法定代表人或负责人名字)</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(供应商名称)       </w:t>
      </w:r>
      <w:r>
        <w:rPr>
          <w:rFonts w:hint="eastAsia" w:ascii="宋体" w:hAnsi="宋体" w:eastAsia="宋体" w:cs="宋体"/>
          <w:color w:val="auto"/>
          <w:sz w:val="21"/>
          <w:szCs w:val="21"/>
        </w:rPr>
        <w:t>为负责人，我方愿意参加贵方组织的</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青田县残疾人托养中心委托运营管理项目</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rPr>
        <w:t>的竞争性磋商。为便于贵方公正、择优地确定成交人以及磋商产品和服务，我方就本次磋商有关事项郑重承诺如下：</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1、我方向贵方提交的所有响应文件、资料都是准确的和真实的。</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2、我方承诺已经具备《中华人民共和国政府采购法》、《中华人民共和国政府采购法实施条例》中规定的参加政府采购活动的供应商应当具备的条件，并真实提供相关材料。</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3、提供供应商须知规定的全部响应文件，包括：</w:t>
      </w:r>
    </w:p>
    <w:p>
      <w:pPr>
        <w:pStyle w:val="3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资格审查文件正本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pStyle w:val="3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资信及技术文件正本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pStyle w:val="3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报价文件正本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4、如果我方成交，将派出  </w:t>
      </w:r>
      <w:r>
        <w:rPr>
          <w:rFonts w:hint="eastAsia" w:ascii="宋体" w:hAnsi="宋体" w:eastAsia="宋体" w:cs="宋体"/>
          <w:color w:val="auto"/>
          <w:sz w:val="21"/>
          <w:szCs w:val="21"/>
          <w:u w:val="single"/>
        </w:rPr>
        <w:t xml:space="preserve">（姓名及身份证号码）   </w:t>
      </w:r>
      <w:r>
        <w:rPr>
          <w:rFonts w:hint="eastAsia" w:ascii="宋体" w:hAnsi="宋体" w:eastAsia="宋体" w:cs="宋体"/>
          <w:color w:val="auto"/>
          <w:sz w:val="21"/>
          <w:szCs w:val="21"/>
        </w:rPr>
        <w:t>，作为本项目与采购单位联系的项目实施负责人，联系手机号码：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在项目实施过程中，并承诺项目实施负责人不更换，若确需更换的，书面征得采购人同意后才准予更换。</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5、我方的磋商有效期自在提交响应文件截止之日起</w:t>
      </w:r>
      <w:r>
        <w:rPr>
          <w:rFonts w:hint="eastAsia" w:ascii="宋体" w:hAnsi="宋体" w:eastAsia="宋体" w:cs="宋体"/>
          <w:color w:val="auto"/>
          <w:sz w:val="21"/>
          <w:szCs w:val="21"/>
          <w:u w:val="single"/>
        </w:rPr>
        <w:t>90</w:t>
      </w:r>
      <w:r>
        <w:rPr>
          <w:rFonts w:hint="eastAsia" w:ascii="宋体" w:hAnsi="宋体" w:eastAsia="宋体" w:cs="宋体"/>
          <w:color w:val="auto"/>
          <w:sz w:val="21"/>
          <w:szCs w:val="21"/>
        </w:rPr>
        <w:t>天内有效。如果在磋商后规定的磋商有效期内撤回的，贵方可不退还我方的磋商保证金。</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6、我方在磋商之前已经与贵方进行了充分的沟通，完全理解并接受磋商文件的各项规定和要求，对磋商文件的合理性、合法性不再有异议。</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我方愿意向贵方提供真实完整的任何与该项磋商有关的数据、情况和技术资料。若贵方需要，我方愿意提供我方作出的一切承诺的证明材料。</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我方已详细审核全部磋商文件，包括磋商文件的澄清或修改文件（如有的话）、参考资料及有关附件，已经了解我方对于磋商文件、采购过程、采购结果有依法进行询问、质疑、投诉的权利及相关渠道和要求。</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8、我方不是采购人的附属机构，并未为本项目提供整体设计、规范编制或者项目管理、监理、监测等服务。</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3"/>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（一）提供虚假材料谋取成交、成交的；</w:t>
      </w:r>
    </w:p>
    <w:p>
      <w:pPr>
        <w:pStyle w:val="13"/>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（二）采取不正当手段诋毁、排挤其他供应商的；</w:t>
      </w:r>
    </w:p>
    <w:p>
      <w:pPr>
        <w:pStyle w:val="13"/>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（三）与采购人、其它供应商或者采购代理机构恶意串通的；</w:t>
      </w:r>
    </w:p>
    <w:p>
      <w:pPr>
        <w:pStyle w:val="13"/>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（四）向采购人、采购代理机构行贿或者提供其他不正当利益的；</w:t>
      </w:r>
    </w:p>
    <w:p>
      <w:pPr>
        <w:pStyle w:val="13"/>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（五）在磋商采购过程中与采购人进行协商磋商的；</w:t>
      </w:r>
    </w:p>
    <w:p>
      <w:pPr>
        <w:pStyle w:val="13"/>
        <w:pageBreakBefore w:val="0"/>
        <w:kinsoku/>
        <w:overflowPunct/>
        <w:topLinePunct w:val="0"/>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（六）拒绝有关部门监督检查或提供虚假情况的。</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10、如成交，本响应文件至本项目合同履行完毕止均保持有效，我方将按磋商文件及政府采购法律、法规的规定履行合同责任和义务。</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11、以上事项如有虚假或隐瞒，我方愿意承担一切不利后果，并不再寻求任何旨在减轻或免除法律责任。</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12、我单位承诺按磋商文件规定向招标代理机构缴纳招标代理费。</w:t>
      </w:r>
    </w:p>
    <w:p>
      <w:pPr>
        <w:pStyle w:val="13"/>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与本次磋商有关的一切正式往来信函请寄：</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 xml:space="preserve">     邮编：</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　</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pacing w:val="20"/>
          <w:sz w:val="21"/>
          <w:szCs w:val="21"/>
          <w:u w:val="single"/>
        </w:rPr>
        <w:t xml:space="preserve">           </w:t>
      </w: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pPr>
        <w:pStyle w:val="13"/>
        <w:pageBreakBefore w:val="0"/>
        <w:kinsoku/>
        <w:overflowPunct/>
        <w:topLinePunct w:val="0"/>
        <w:bidi w:val="0"/>
        <w:spacing w:line="400" w:lineRule="exact"/>
        <w:ind w:firstLine="420" w:firstLineChars="200"/>
        <w:rPr>
          <w:rFonts w:hint="eastAsia" w:ascii="宋体" w:hAnsi="宋体" w:eastAsia="宋体" w:cs="宋体"/>
          <w:color w:val="auto"/>
          <w:sz w:val="21"/>
          <w:szCs w:val="21"/>
        </w:rPr>
      </w:pPr>
    </w:p>
    <w:p>
      <w:pPr>
        <w:pStyle w:val="13"/>
        <w:pageBreakBefore w:val="0"/>
        <w:kinsoku/>
        <w:overflowPunct/>
        <w:topLinePunct w:val="0"/>
        <w:bidi w:val="0"/>
        <w:spacing w:line="400" w:lineRule="exact"/>
        <w:ind w:firstLine="2750" w:firstLineChars="1100"/>
        <w:rPr>
          <w:rFonts w:hint="eastAsia" w:ascii="宋体" w:hAnsi="宋体" w:eastAsia="宋体" w:cs="宋体"/>
          <w:color w:val="auto"/>
          <w:spacing w:val="20"/>
          <w:sz w:val="21"/>
          <w:szCs w:val="21"/>
        </w:rPr>
      </w:pPr>
      <w:bookmarkStart w:id="97" w:name="_Toc15805947"/>
      <w:bookmarkStart w:id="98" w:name="_Toc47756042"/>
      <w:bookmarkStart w:id="99" w:name="_Toc15813264"/>
      <w:bookmarkStart w:id="100" w:name="_Toc45506741"/>
    </w:p>
    <w:p>
      <w:pPr>
        <w:pStyle w:val="13"/>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3"/>
        <w:pageBreakBefore w:val="0"/>
        <w:kinsoku/>
        <w:overflowPunct/>
        <w:topLinePunct w:val="0"/>
        <w:bidi w:val="0"/>
        <w:spacing w:line="400" w:lineRule="exact"/>
        <w:ind w:firstLine="2168" w:firstLineChars="900"/>
        <w:rPr>
          <w:rFonts w:hint="eastAsia" w:ascii="宋体" w:hAnsi="宋体" w:eastAsia="宋体" w:cs="宋体"/>
          <w:b/>
          <w:color w:val="auto"/>
          <w:sz w:val="24"/>
          <w:szCs w:val="24"/>
        </w:rPr>
      </w:pPr>
    </w:p>
    <w:p>
      <w:pPr>
        <w:pStyle w:val="13"/>
        <w:pageBreakBefore w:val="0"/>
        <w:kinsoku/>
        <w:overflowPunct/>
        <w:topLinePunct w:val="0"/>
        <w:bidi w:val="0"/>
        <w:spacing w:line="400" w:lineRule="exact"/>
        <w:ind w:firstLine="2168" w:firstLineChars="900"/>
        <w:rPr>
          <w:rFonts w:hint="eastAsia" w:ascii="宋体" w:hAnsi="宋体" w:eastAsia="宋体" w:cs="宋体"/>
          <w:b/>
          <w:color w:val="auto"/>
          <w:sz w:val="24"/>
          <w:szCs w:val="24"/>
        </w:rPr>
      </w:pPr>
    </w:p>
    <w:p>
      <w:pPr>
        <w:pStyle w:val="13"/>
        <w:pageBreakBefore w:val="0"/>
        <w:kinsoku/>
        <w:overflowPunct/>
        <w:topLinePunct w:val="0"/>
        <w:bidi w:val="0"/>
        <w:spacing w:line="400" w:lineRule="exact"/>
        <w:ind w:firstLine="2168" w:firstLineChars="900"/>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pStyle w:val="9"/>
        <w:rPr>
          <w:rFonts w:hint="eastAsia"/>
          <w:color w:val="auto"/>
        </w:rPr>
      </w:pPr>
    </w:p>
    <w:p>
      <w:pPr>
        <w:pStyle w:val="13"/>
        <w:pageBreakBefore w:val="0"/>
        <w:kinsoku/>
        <w:overflowPunct/>
        <w:topLinePunct w:val="0"/>
        <w:bidi w:val="0"/>
        <w:spacing w:line="400" w:lineRule="exact"/>
        <w:ind w:firstLine="2168" w:firstLineChars="900"/>
        <w:rPr>
          <w:rFonts w:hint="eastAsia" w:ascii="宋体" w:hAnsi="宋体" w:eastAsia="宋体" w:cs="宋体"/>
          <w:b/>
          <w:color w:val="auto"/>
          <w:sz w:val="24"/>
          <w:szCs w:val="24"/>
        </w:rPr>
      </w:pPr>
    </w:p>
    <w:p>
      <w:pPr>
        <w:rPr>
          <w:rFonts w:hint="eastAsia"/>
          <w:color w:val="auto"/>
        </w:rPr>
      </w:pPr>
    </w:p>
    <w:p>
      <w:pPr>
        <w:pStyle w:val="13"/>
        <w:pageBreakBefore w:val="0"/>
        <w:kinsoku/>
        <w:overflowPunct/>
        <w:topLinePunct w:val="0"/>
        <w:bidi w:val="0"/>
        <w:spacing w:line="400" w:lineRule="exact"/>
        <w:ind w:firstLine="3373" w:firstLineChars="1400"/>
        <w:rPr>
          <w:rFonts w:hint="eastAsia" w:ascii="宋体" w:hAnsi="宋体" w:eastAsia="宋体" w:cs="宋体"/>
          <w:b/>
          <w:color w:val="auto"/>
          <w:sz w:val="24"/>
          <w:szCs w:val="24"/>
        </w:rPr>
      </w:pPr>
    </w:p>
    <w:p>
      <w:pPr>
        <w:pStyle w:val="13"/>
        <w:pageBreakBefore w:val="0"/>
        <w:kinsoku/>
        <w:overflowPunct/>
        <w:topLinePunct w:val="0"/>
        <w:bidi w:val="0"/>
        <w:spacing w:line="400" w:lineRule="exact"/>
        <w:ind w:firstLine="3373" w:firstLineChars="1400"/>
        <w:outlineLvl w:val="2"/>
        <w:rPr>
          <w:rFonts w:hint="eastAsia" w:ascii="宋体" w:hAnsi="宋体" w:eastAsia="宋体" w:cs="宋体"/>
          <w:b/>
          <w:color w:val="auto"/>
          <w:sz w:val="24"/>
          <w:szCs w:val="24"/>
        </w:rPr>
      </w:pPr>
      <w:bookmarkStart w:id="101" w:name="_Toc32216"/>
      <w:r>
        <w:rPr>
          <w:rFonts w:hint="eastAsia" w:ascii="宋体" w:hAnsi="宋体" w:eastAsia="宋体" w:cs="宋体"/>
          <w:b/>
          <w:color w:val="auto"/>
          <w:sz w:val="24"/>
          <w:szCs w:val="24"/>
        </w:rPr>
        <w:t>2、供应商磋商申请表</w:t>
      </w:r>
      <w:bookmarkEnd w:id="101"/>
    </w:p>
    <w:tbl>
      <w:tblPr>
        <w:tblStyle w:val="23"/>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532"/>
        <w:gridCol w:w="135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统一社会</w:t>
            </w:r>
          </w:p>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信用代码</w:t>
            </w:r>
          </w:p>
        </w:tc>
        <w:tc>
          <w:tcPr>
            <w:tcW w:w="2977" w:type="dxa"/>
            <w:gridSpan w:val="3"/>
            <w:vMerge w:val="restart"/>
            <w:tcBorders>
              <w:top w:val="single" w:color="auto" w:sz="4" w:space="0"/>
              <w:left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p>
        </w:tc>
        <w:tc>
          <w:tcPr>
            <w:tcW w:w="2977" w:type="dxa"/>
            <w:gridSpan w:val="3"/>
            <w:vMerge w:val="continue"/>
            <w:tcBorders>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注册日期</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供应商网址</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ind w:left="-109" w:leftChars="-52" w:right="-113" w:rightChars="-54"/>
              <w:jc w:val="center"/>
              <w:rPr>
                <w:rFonts w:hint="eastAsia" w:ascii="宋体" w:hAnsi="宋体" w:eastAsia="宋体" w:cs="宋体"/>
                <w:color w:val="auto"/>
                <w:sz w:val="21"/>
                <w:szCs w:val="21"/>
              </w:rPr>
            </w:pPr>
            <w:r>
              <w:rPr>
                <w:rFonts w:hint="eastAsia" w:ascii="宋体" w:hAnsi="宋体" w:eastAsia="宋体" w:cs="宋体"/>
                <w:color w:val="auto"/>
                <w:sz w:val="21"/>
                <w:szCs w:val="21"/>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ind w:left="-109" w:leftChars="-52" w:right="-113" w:rightChars="-54"/>
              <w:jc w:val="center"/>
              <w:rPr>
                <w:rFonts w:hint="eastAsia" w:ascii="宋体" w:hAnsi="宋体" w:eastAsia="宋体" w:cs="宋体"/>
                <w:color w:val="auto"/>
                <w:sz w:val="21"/>
                <w:szCs w:val="21"/>
              </w:rPr>
            </w:pPr>
            <w:r>
              <w:rPr>
                <w:rFonts w:hint="eastAsia" w:ascii="宋体" w:hAnsi="宋体" w:eastAsia="宋体" w:cs="宋体"/>
                <w:color w:val="auto"/>
                <w:sz w:val="21"/>
                <w:szCs w:val="21"/>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本单位申请参加下列采购项目的磋商：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磋商品牌（如磋商文件有品牌可选）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37"/>
              <w:pageBreakBefore w:val="0"/>
              <w:kinsoku/>
              <w:overflowPunct/>
              <w:topLinePunct w:val="0"/>
              <w:bidi w:val="0"/>
              <w:spacing w:line="400" w:lineRule="exact"/>
              <w:jc w:val="center"/>
              <w:rPr>
                <w:rFonts w:hint="eastAsia" w:ascii="宋体" w:hAnsi="宋体" w:eastAsia="宋体" w:cs="宋体"/>
                <w:color w:val="auto"/>
                <w:sz w:val="21"/>
                <w:szCs w:val="21"/>
              </w:rPr>
            </w:pPr>
          </w:p>
        </w:tc>
      </w:tr>
    </w:tbl>
    <w:p>
      <w:pPr>
        <w:pStyle w:val="31"/>
        <w:pageBreakBefore w:val="0"/>
        <w:kinsoku/>
        <w:overflowPunct/>
        <w:topLinePunct w:val="0"/>
        <w:bidi w:val="0"/>
        <w:spacing w:line="400" w:lineRule="exact"/>
        <w:ind w:firstLine="4000" w:firstLineChars="1600"/>
        <w:rPr>
          <w:rFonts w:hint="eastAsia" w:ascii="宋体" w:hAnsi="宋体" w:eastAsia="宋体" w:cs="宋体"/>
          <w:color w:val="auto"/>
          <w:spacing w:val="20"/>
          <w:sz w:val="21"/>
          <w:szCs w:val="21"/>
        </w:rPr>
      </w:pPr>
    </w:p>
    <w:bookmarkEnd w:id="97"/>
    <w:bookmarkEnd w:id="98"/>
    <w:bookmarkEnd w:id="99"/>
    <w:bookmarkEnd w:id="100"/>
    <w:p>
      <w:pPr>
        <w:pStyle w:val="13"/>
        <w:pageBreakBefore w:val="0"/>
        <w:kinsoku/>
        <w:overflowPunct/>
        <w:topLinePunct w:val="0"/>
        <w:bidi w:val="0"/>
        <w:spacing w:line="400" w:lineRule="exact"/>
        <w:ind w:firstLine="2750" w:firstLineChars="1100"/>
        <w:rPr>
          <w:rFonts w:hint="eastAsia" w:ascii="宋体" w:hAnsi="宋体" w:eastAsia="宋体" w:cs="宋体"/>
          <w:color w:val="auto"/>
          <w:spacing w:val="20"/>
          <w:sz w:val="21"/>
          <w:szCs w:val="21"/>
        </w:rPr>
      </w:pPr>
    </w:p>
    <w:p>
      <w:pPr>
        <w:pStyle w:val="13"/>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5250" w:firstLineChars="2100"/>
        <w:rPr>
          <w:rFonts w:hint="eastAsia" w:ascii="宋体" w:hAnsi="宋体" w:eastAsia="宋体" w:cs="宋体"/>
          <w:color w:val="auto"/>
          <w:spacing w:val="20"/>
          <w:sz w:val="21"/>
          <w:szCs w:val="21"/>
          <w:u w:val="single"/>
        </w:rPr>
      </w:pPr>
    </w:p>
    <w:p>
      <w:pPr>
        <w:pStyle w:val="7"/>
        <w:pageBreakBefore w:val="0"/>
        <w:kinsoku/>
        <w:overflowPunct/>
        <w:topLinePunct w:val="0"/>
        <w:bidi w:val="0"/>
        <w:spacing w:line="400" w:lineRule="exact"/>
        <w:ind w:firstLine="0"/>
        <w:jc w:val="center"/>
        <w:rPr>
          <w:rFonts w:hint="eastAsia" w:ascii="宋体" w:hAnsi="宋体" w:eastAsia="宋体" w:cs="宋体"/>
          <w:b/>
          <w:color w:val="auto"/>
          <w:sz w:val="21"/>
          <w:szCs w:val="21"/>
        </w:rPr>
      </w:pPr>
      <w:bookmarkStart w:id="102" w:name="_Toc457320297"/>
    </w:p>
    <w:p>
      <w:pPr>
        <w:pStyle w:val="7"/>
        <w:pageBreakBefore w:val="0"/>
        <w:kinsoku/>
        <w:overflowPunct/>
        <w:topLinePunct w:val="0"/>
        <w:bidi w:val="0"/>
        <w:spacing w:line="400" w:lineRule="exact"/>
        <w:ind w:firstLine="0"/>
        <w:jc w:val="center"/>
        <w:outlineLvl w:val="2"/>
        <w:rPr>
          <w:rFonts w:hint="eastAsia" w:ascii="宋体" w:hAnsi="宋体" w:eastAsia="宋体" w:cs="宋体"/>
          <w:b/>
          <w:color w:val="auto"/>
          <w:sz w:val="24"/>
          <w:szCs w:val="24"/>
        </w:rPr>
      </w:pPr>
      <w:bookmarkStart w:id="103" w:name="_Toc23774"/>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、项目</w:t>
      </w:r>
      <w:r>
        <w:rPr>
          <w:rFonts w:hint="eastAsia" w:ascii="宋体" w:hAnsi="宋体" w:cs="宋体"/>
          <w:b/>
          <w:color w:val="auto"/>
          <w:sz w:val="24"/>
          <w:szCs w:val="24"/>
          <w:lang w:eastAsia="zh-CN"/>
        </w:rPr>
        <w:t>运营</w:t>
      </w:r>
      <w:r>
        <w:rPr>
          <w:rFonts w:hint="eastAsia" w:ascii="宋体" w:hAnsi="宋体" w:eastAsia="宋体" w:cs="宋体"/>
          <w:b/>
          <w:color w:val="auto"/>
          <w:sz w:val="24"/>
          <w:szCs w:val="24"/>
        </w:rPr>
        <w:t>方案</w:t>
      </w:r>
      <w:bookmarkEnd w:id="103"/>
    </w:p>
    <w:p>
      <w:pPr>
        <w:pStyle w:val="13"/>
        <w:pageBreakBefore w:val="0"/>
        <w:kinsoku/>
        <w:overflowPunct/>
        <w:topLinePunct w:val="0"/>
        <w:bidi w:val="0"/>
        <w:spacing w:line="400" w:lineRule="exact"/>
        <w:rPr>
          <w:rFonts w:hint="eastAsia" w:ascii="宋体" w:hAnsi="宋体" w:eastAsia="宋体" w:cs="宋体"/>
          <w:color w:val="auto"/>
          <w:spacing w:val="20"/>
          <w:sz w:val="24"/>
          <w:szCs w:val="24"/>
        </w:rPr>
      </w:pPr>
    </w:p>
    <w:p>
      <w:pPr>
        <w:pStyle w:val="38"/>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p>
      <w:pPr>
        <w:pStyle w:val="38"/>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根据技术文件部分评审办法自行编写。</w:t>
      </w:r>
    </w:p>
    <w:p>
      <w:pPr>
        <w:pStyle w:val="39"/>
        <w:pageBreakBefore w:val="0"/>
        <w:kinsoku/>
        <w:overflowPunct/>
        <w:topLinePunct w:val="0"/>
        <w:bidi w:val="0"/>
        <w:spacing w:line="400" w:lineRule="exact"/>
        <w:rPr>
          <w:rFonts w:hint="eastAsia" w:ascii="宋体" w:hAnsi="宋体" w:eastAsia="宋体" w:cs="宋体"/>
          <w:color w:val="auto"/>
          <w:sz w:val="21"/>
          <w:szCs w:val="21"/>
        </w:rPr>
      </w:pPr>
    </w:p>
    <w:p>
      <w:pPr>
        <w:pStyle w:val="40"/>
        <w:pageBreakBefore w:val="0"/>
        <w:kinsoku/>
        <w:overflowPunct/>
        <w:topLinePunct w:val="0"/>
        <w:bidi w:val="0"/>
        <w:spacing w:line="400" w:lineRule="exact"/>
        <w:rPr>
          <w:rFonts w:hint="eastAsia" w:ascii="宋体" w:hAnsi="宋体" w:eastAsia="宋体" w:cs="宋体"/>
          <w:color w:val="auto"/>
          <w:sz w:val="21"/>
          <w:szCs w:val="21"/>
        </w:rPr>
      </w:pPr>
    </w:p>
    <w:p>
      <w:pPr>
        <w:pStyle w:val="40"/>
        <w:pageBreakBefore w:val="0"/>
        <w:kinsoku/>
        <w:overflowPunct/>
        <w:topLinePunct w:val="0"/>
        <w:bidi w:val="0"/>
        <w:spacing w:line="400" w:lineRule="exact"/>
        <w:rPr>
          <w:rFonts w:hint="eastAsia" w:ascii="宋体" w:hAnsi="宋体" w:eastAsia="宋体" w:cs="宋体"/>
          <w:color w:val="auto"/>
          <w:sz w:val="21"/>
          <w:szCs w:val="21"/>
        </w:rPr>
      </w:pPr>
    </w:p>
    <w:p>
      <w:pPr>
        <w:pStyle w:val="40"/>
        <w:pageBreakBefore w:val="0"/>
        <w:kinsoku/>
        <w:overflowPunct/>
        <w:topLinePunct w:val="0"/>
        <w:bidi w:val="0"/>
        <w:spacing w:line="400" w:lineRule="exact"/>
        <w:rPr>
          <w:rFonts w:hint="eastAsia" w:ascii="宋体" w:hAnsi="宋体" w:eastAsia="宋体" w:cs="宋体"/>
          <w:bCs/>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格式自拟；</w:t>
      </w: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line="400" w:lineRule="exact"/>
        <w:rPr>
          <w:rFonts w:hint="eastAsia" w:ascii="宋体" w:hAnsi="宋体" w:eastAsia="宋体" w:cs="宋体"/>
          <w:color w:val="auto"/>
          <w:sz w:val="21"/>
          <w:szCs w:val="21"/>
        </w:rPr>
      </w:pPr>
    </w:p>
    <w:p>
      <w:pPr>
        <w:pStyle w:val="13"/>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ageBreakBefore w:val="0"/>
        <w:kinsoku/>
        <w:overflowPunct/>
        <w:topLinePunct w:val="0"/>
        <w:bidi w:val="0"/>
        <w:spacing w:line="400" w:lineRule="exact"/>
        <w:ind w:firstLine="4750" w:firstLineChars="1900"/>
        <w:rPr>
          <w:rFonts w:hint="eastAsia" w:ascii="宋体" w:hAnsi="宋体" w:eastAsia="宋体" w:cs="宋体"/>
          <w:color w:val="auto"/>
          <w:spacing w:val="20"/>
          <w:sz w:val="21"/>
          <w:szCs w:val="21"/>
          <w:u w:val="single"/>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Style w:val="10"/>
        <w:pageBreakBefore w:val="0"/>
        <w:kinsoku/>
        <w:overflowPunct/>
        <w:topLinePunct w:val="0"/>
        <w:bidi w:val="0"/>
        <w:spacing w:line="400" w:lineRule="exact"/>
        <w:rPr>
          <w:rFonts w:hint="eastAsia" w:ascii="宋体" w:hAnsi="宋体" w:eastAsia="宋体" w:cs="宋体"/>
          <w:color w:val="auto"/>
          <w:sz w:val="21"/>
          <w:szCs w:val="21"/>
        </w:rPr>
      </w:pPr>
    </w:p>
    <w:p>
      <w:pPr>
        <w:pageBreakBefore w:val="0"/>
        <w:kinsoku/>
        <w:overflowPunct/>
        <w:topLinePunct w:val="0"/>
        <w:bidi w:val="0"/>
        <w:spacing w:before="120" w:beforeLines="50" w:after="120" w:afterLines="50" w:line="400" w:lineRule="exact"/>
        <w:jc w:val="center"/>
        <w:rPr>
          <w:rFonts w:hint="eastAsia" w:ascii="宋体" w:hAnsi="宋体" w:eastAsia="宋体" w:cs="宋体"/>
          <w:b/>
          <w:color w:val="auto"/>
          <w:sz w:val="21"/>
          <w:szCs w:val="21"/>
        </w:rPr>
      </w:pPr>
    </w:p>
    <w:p>
      <w:pPr>
        <w:pStyle w:val="27"/>
        <w:rPr>
          <w:rFonts w:hint="eastAsia"/>
          <w:color w:val="auto"/>
        </w:rPr>
      </w:pPr>
    </w:p>
    <w:p>
      <w:pPr>
        <w:pageBreakBefore w:val="0"/>
        <w:kinsoku/>
        <w:overflowPunct/>
        <w:topLinePunct w:val="0"/>
        <w:bidi w:val="0"/>
        <w:spacing w:line="400" w:lineRule="exact"/>
        <w:jc w:val="center"/>
        <w:rPr>
          <w:rFonts w:hint="eastAsia" w:ascii="宋体" w:hAnsi="宋体" w:eastAsia="宋体" w:cs="宋体"/>
          <w:b/>
          <w:color w:val="auto"/>
          <w:sz w:val="21"/>
          <w:szCs w:val="21"/>
        </w:rPr>
      </w:pPr>
    </w:p>
    <w:p>
      <w:pPr>
        <w:pStyle w:val="13"/>
        <w:pageBreakBefore w:val="0"/>
        <w:kinsoku/>
        <w:overflowPunct/>
        <w:topLinePunct w:val="0"/>
        <w:bidi w:val="0"/>
        <w:spacing w:line="400" w:lineRule="exact"/>
        <w:ind w:firstLine="3855" w:firstLineChars="1600"/>
        <w:outlineLvl w:val="2"/>
        <w:rPr>
          <w:rFonts w:hint="eastAsia" w:ascii="宋体" w:hAnsi="宋体" w:eastAsia="宋体" w:cs="宋体"/>
          <w:b/>
          <w:color w:val="auto"/>
          <w:sz w:val="24"/>
          <w:szCs w:val="24"/>
        </w:rPr>
      </w:pPr>
      <w:bookmarkStart w:id="104" w:name="_Toc2963"/>
      <w:r>
        <w:rPr>
          <w:rFonts w:hint="eastAsia" w:hAnsi="宋体" w:cs="宋体"/>
          <w:b/>
          <w:color w:val="auto"/>
          <w:sz w:val="24"/>
          <w:szCs w:val="24"/>
          <w:lang w:val="en-US" w:eastAsia="zh-CN"/>
        </w:rPr>
        <w:t>4</w:t>
      </w:r>
      <w:r>
        <w:rPr>
          <w:rFonts w:hint="eastAsia" w:ascii="宋体" w:hAnsi="宋体" w:eastAsia="宋体" w:cs="宋体"/>
          <w:b/>
          <w:color w:val="auto"/>
          <w:sz w:val="24"/>
          <w:szCs w:val="24"/>
        </w:rPr>
        <w:t>、其  他</w:t>
      </w:r>
      <w:bookmarkEnd w:id="104"/>
    </w:p>
    <w:p>
      <w:pPr>
        <w:pStyle w:val="42"/>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除磋商文件规定的资信及商务文件要求格式外，供应商还可以提供（不限于）如下证明材料：</w:t>
      </w:r>
    </w:p>
    <w:p>
      <w:pPr>
        <w:pStyle w:val="42"/>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hAnsi="宋体" w:eastAsia="宋体" w:cs="宋体"/>
          <w:b/>
          <w:bCs/>
          <w:color w:val="auto"/>
          <w:sz w:val="21"/>
          <w:szCs w:val="21"/>
          <w:lang w:eastAsia="zh-CN"/>
        </w:rPr>
        <w:t>（</w:t>
      </w:r>
      <w:r>
        <w:rPr>
          <w:rFonts w:hint="eastAsia" w:hAnsi="宋体" w:eastAsia="宋体" w:cs="宋体"/>
          <w:b/>
          <w:bCs/>
          <w:color w:val="auto"/>
          <w:sz w:val="21"/>
          <w:szCs w:val="21"/>
          <w:lang w:val="en-US" w:eastAsia="zh-CN"/>
        </w:rPr>
        <w:t>1</w:t>
      </w:r>
      <w:r>
        <w:rPr>
          <w:rFonts w:hint="eastAsia" w:hAnsi="宋体" w:eastAsia="宋体" w:cs="宋体"/>
          <w:b/>
          <w:bCs/>
          <w:color w:val="auto"/>
          <w:sz w:val="21"/>
          <w:szCs w:val="21"/>
          <w:lang w:eastAsia="zh-CN"/>
        </w:rPr>
        <w:t>）</w:t>
      </w:r>
      <w:r>
        <w:rPr>
          <w:rFonts w:hint="eastAsia" w:ascii="宋体" w:hAnsi="宋体" w:eastAsia="宋体" w:cs="宋体"/>
          <w:b/>
          <w:bCs/>
          <w:color w:val="auto"/>
          <w:sz w:val="21"/>
          <w:szCs w:val="21"/>
        </w:rPr>
        <w:t>资信及商务评审办法要求的其他资料；</w:t>
      </w:r>
    </w:p>
    <w:p>
      <w:pPr>
        <w:pStyle w:val="42"/>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hAnsi="宋体" w:eastAsia="宋体" w:cs="宋体"/>
          <w:b/>
          <w:bCs/>
          <w:color w:val="auto"/>
          <w:sz w:val="21"/>
          <w:szCs w:val="21"/>
          <w:lang w:eastAsia="zh-CN"/>
        </w:rPr>
        <w:t>（</w:t>
      </w:r>
      <w:r>
        <w:rPr>
          <w:rFonts w:hint="eastAsia" w:hAnsi="宋体" w:eastAsia="宋体" w:cs="宋体"/>
          <w:b/>
          <w:bCs/>
          <w:color w:val="auto"/>
          <w:sz w:val="21"/>
          <w:szCs w:val="21"/>
          <w:lang w:val="en-US" w:eastAsia="zh-CN"/>
        </w:rPr>
        <w:t>2</w:t>
      </w:r>
      <w:r>
        <w:rPr>
          <w:rFonts w:hint="eastAsia" w:hAnsi="宋体" w:eastAsia="宋体" w:cs="宋体"/>
          <w:b/>
          <w:bCs/>
          <w:color w:val="auto"/>
          <w:sz w:val="21"/>
          <w:szCs w:val="21"/>
          <w:lang w:eastAsia="zh-CN"/>
        </w:rPr>
        <w:t>）</w:t>
      </w:r>
      <w:r>
        <w:rPr>
          <w:rFonts w:hint="eastAsia" w:ascii="宋体" w:hAnsi="宋体" w:eastAsia="宋体" w:cs="宋体"/>
          <w:b/>
          <w:bCs/>
          <w:color w:val="auto"/>
          <w:sz w:val="21"/>
          <w:szCs w:val="21"/>
        </w:rPr>
        <w:t>供应商认为可以证明其资信及商务方面的其他材料；</w:t>
      </w:r>
    </w:p>
    <w:p>
      <w:pPr>
        <w:pStyle w:val="42"/>
        <w:pageBreakBefore w:val="0"/>
        <w:kinsoku/>
        <w:overflowPunct/>
        <w:topLinePunct w:val="0"/>
        <w:bidi w:val="0"/>
        <w:spacing w:line="400" w:lineRule="exact"/>
        <w:ind w:firstLine="422" w:firstLineChars="200"/>
        <w:rPr>
          <w:rFonts w:hint="eastAsia" w:ascii="宋体" w:hAnsi="宋体" w:eastAsia="宋体" w:cs="宋体"/>
          <w:b/>
          <w:bCs/>
          <w:color w:val="auto"/>
          <w:sz w:val="21"/>
          <w:szCs w:val="21"/>
        </w:rPr>
      </w:pPr>
      <w:r>
        <w:rPr>
          <w:rFonts w:hint="eastAsia" w:hAnsi="宋体" w:eastAsia="宋体" w:cs="宋体"/>
          <w:b/>
          <w:bCs/>
          <w:color w:val="auto"/>
          <w:sz w:val="21"/>
          <w:szCs w:val="21"/>
          <w:lang w:eastAsia="zh-CN"/>
        </w:rPr>
        <w:t>（</w:t>
      </w:r>
      <w:r>
        <w:rPr>
          <w:rFonts w:hint="eastAsia" w:hAnsi="宋体" w:eastAsia="宋体" w:cs="宋体"/>
          <w:b/>
          <w:bCs/>
          <w:color w:val="auto"/>
          <w:sz w:val="21"/>
          <w:szCs w:val="21"/>
          <w:lang w:val="en-US" w:eastAsia="zh-CN"/>
        </w:rPr>
        <w:t>3</w:t>
      </w:r>
      <w:r>
        <w:rPr>
          <w:rFonts w:hint="eastAsia" w:hAnsi="宋体" w:eastAsia="宋体" w:cs="宋体"/>
          <w:b/>
          <w:bCs/>
          <w:color w:val="auto"/>
          <w:sz w:val="21"/>
          <w:szCs w:val="21"/>
          <w:lang w:eastAsia="zh-CN"/>
        </w:rPr>
        <w:t>）</w:t>
      </w:r>
      <w:r>
        <w:rPr>
          <w:rFonts w:hint="eastAsia" w:ascii="宋体" w:hAnsi="宋体" w:eastAsia="宋体" w:cs="宋体"/>
          <w:b/>
          <w:bCs/>
          <w:color w:val="auto"/>
          <w:sz w:val="21"/>
          <w:szCs w:val="21"/>
        </w:rPr>
        <w:t>供应商认为需要提供的及评分办法要求提供的其他资料</w:t>
      </w:r>
    </w:p>
    <w:p>
      <w:pPr>
        <w:pStyle w:val="43"/>
        <w:pageBreakBefore w:val="0"/>
        <w:kinsoku/>
        <w:overflowPunct/>
        <w:topLinePunct w:val="0"/>
        <w:bidi w:val="0"/>
        <w:snapToGrid w:val="0"/>
        <w:spacing w:line="400" w:lineRule="exact"/>
        <w:ind w:left="0" w:leftChars="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格式自拟。</w:t>
      </w:r>
    </w:p>
    <w:p>
      <w:pPr>
        <w:pageBreakBefore w:val="0"/>
        <w:kinsoku/>
        <w:overflowPunct/>
        <w:topLinePunct w:val="0"/>
        <w:bidi w:val="0"/>
        <w:spacing w:line="400" w:lineRule="exact"/>
        <w:jc w:val="center"/>
        <w:rPr>
          <w:rFonts w:hint="eastAsia" w:ascii="宋体" w:hAnsi="宋体" w:eastAsia="宋体" w:cs="宋体"/>
          <w:b/>
          <w:color w:val="auto"/>
          <w:sz w:val="24"/>
          <w:szCs w:val="24"/>
        </w:rPr>
      </w:pPr>
    </w:p>
    <w:p>
      <w:pPr>
        <w:pStyle w:val="7"/>
        <w:pageBreakBefore w:val="0"/>
        <w:kinsoku/>
        <w:overflowPunct/>
        <w:topLinePunct w:val="0"/>
        <w:bidi w:val="0"/>
        <w:spacing w:line="400" w:lineRule="exact"/>
        <w:ind w:firstLine="0"/>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0"/>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0"/>
        <w:rPr>
          <w:rFonts w:hint="eastAsia" w:ascii="宋体" w:hAnsi="宋体" w:eastAsia="宋体" w:cs="宋体"/>
          <w:color w:val="auto"/>
          <w:sz w:val="21"/>
          <w:szCs w:val="21"/>
          <w:u w:val="single"/>
        </w:rPr>
      </w:pPr>
      <w:r>
        <w:rPr>
          <w:rFonts w:hint="eastAsia" w:ascii="宋体" w:hAnsi="宋体" w:eastAsia="宋体" w:cs="宋体"/>
          <w:color w:val="auto"/>
          <w:sz w:val="21"/>
          <w:szCs w:val="21"/>
        </w:rPr>
        <w:br w:type="page"/>
      </w:r>
    </w:p>
    <w:p>
      <w:pPr>
        <w:pStyle w:val="4"/>
        <w:pageBreakBefore w:val="0"/>
        <w:kinsoku/>
        <w:overflowPunct/>
        <w:topLinePunct w:val="0"/>
        <w:bidi w:val="0"/>
        <w:spacing w:line="400" w:lineRule="exact"/>
        <w:ind w:firstLine="0" w:firstLineChars="0"/>
        <w:jc w:val="center"/>
        <w:outlineLvl w:val="1"/>
        <w:rPr>
          <w:rFonts w:hint="eastAsia" w:ascii="宋体" w:hAnsi="宋体" w:eastAsia="宋体" w:cs="宋体"/>
          <w:color w:val="auto"/>
          <w:sz w:val="28"/>
          <w:szCs w:val="28"/>
        </w:rPr>
      </w:pPr>
      <w:bookmarkStart w:id="105" w:name="_Toc15497221"/>
      <w:bookmarkStart w:id="106" w:name="_Toc48143003"/>
      <w:bookmarkStart w:id="107" w:name="_Toc5635"/>
      <w:r>
        <w:rPr>
          <w:rFonts w:hint="eastAsia" w:ascii="宋体" w:hAnsi="宋体" w:eastAsia="宋体" w:cs="宋体"/>
          <w:color w:val="auto"/>
          <w:sz w:val="28"/>
          <w:szCs w:val="28"/>
        </w:rPr>
        <w:t>三   报价文件格式</w:t>
      </w:r>
      <w:bookmarkEnd w:id="102"/>
      <w:bookmarkEnd w:id="105"/>
      <w:bookmarkEnd w:id="106"/>
      <w:bookmarkEnd w:id="107"/>
    </w:p>
    <w:p>
      <w:pPr>
        <w:pageBreakBefore w:val="0"/>
        <w:kinsoku/>
        <w:overflowPunct/>
        <w:topLinePunct w:val="0"/>
        <w:bidi w:val="0"/>
        <w:spacing w:line="400" w:lineRule="exact"/>
        <w:jc w:val="both"/>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ageBreakBefore w:val="0"/>
        <w:kinsoku/>
        <w:overflowPunct/>
        <w:topLinePunct w:val="0"/>
        <w:bidi w:val="0"/>
        <w:spacing w:line="400" w:lineRule="exact"/>
        <w:jc w:val="center"/>
        <w:rPr>
          <w:rFonts w:hint="eastAsia" w:ascii="宋体" w:hAnsi="宋体" w:eastAsia="宋体" w:cs="宋体"/>
          <w:color w:val="auto"/>
          <w:sz w:val="21"/>
          <w:szCs w:val="21"/>
        </w:rPr>
      </w:pPr>
    </w:p>
    <w:p>
      <w:pPr>
        <w:pStyle w:val="7"/>
        <w:pageBreakBefore w:val="0"/>
        <w:kinsoku/>
        <w:overflowPunct/>
        <w:topLinePunct w:val="0"/>
        <w:bidi w:val="0"/>
        <w:spacing w:line="400" w:lineRule="exact"/>
        <w:ind w:firstLine="4006" w:firstLineChars="1900"/>
        <w:jc w:val="both"/>
        <w:outlineLvl w:val="2"/>
        <w:rPr>
          <w:rFonts w:hint="eastAsia" w:ascii="宋体" w:hAnsi="宋体" w:eastAsia="宋体" w:cs="宋体"/>
          <w:b/>
          <w:color w:val="auto"/>
          <w:sz w:val="21"/>
          <w:szCs w:val="21"/>
        </w:rPr>
      </w:pPr>
      <w:bookmarkStart w:id="108" w:name="_Toc2808"/>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开标一览表</w:t>
      </w:r>
      <w:bookmarkEnd w:id="108"/>
    </w:p>
    <w:p>
      <w:pPr>
        <w:pStyle w:val="44"/>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采购编号：        </w:t>
      </w:r>
    </w:p>
    <w:p>
      <w:pPr>
        <w:pStyle w:val="44"/>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项目名称：                                                </w:t>
      </w:r>
    </w:p>
    <w:p>
      <w:pPr>
        <w:pStyle w:val="44"/>
        <w:pageBreakBefore w:val="0"/>
        <w:kinsoku/>
        <w:overflowPunct/>
        <w:topLinePunct w:val="0"/>
        <w:bidi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报价金额单位：人民币元</w:t>
      </w:r>
    </w:p>
    <w:tbl>
      <w:tblPr>
        <w:tblStyle w:val="23"/>
        <w:tblW w:w="9319"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11"/>
        <w:gridCol w:w="6508"/>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2811" w:type="dxa"/>
            <w:tcBorders>
              <w:top w:val="double" w:color="000000" w:sz="6" w:space="0"/>
              <w:left w:val="double" w:color="000000" w:sz="6" w:space="0"/>
              <w:bottom w:val="single" w:color="000000" w:sz="6" w:space="0"/>
              <w:right w:val="single" w:color="000000" w:sz="6" w:space="0"/>
            </w:tcBorders>
            <w:noWrap w:val="0"/>
            <w:vAlign w:val="center"/>
          </w:tcPr>
          <w:p>
            <w:pPr>
              <w:pStyle w:val="44"/>
              <w:pageBreakBefore w:val="0"/>
              <w:tabs>
                <w:tab w:val="left" w:pos="420"/>
                <w:tab w:val="center" w:pos="4153"/>
                <w:tab w:val="right" w:pos="8306"/>
              </w:tabs>
              <w:kinsoku/>
              <w:overflowPunct/>
              <w:topLinePunct w:val="0"/>
              <w:bidi w:val="0"/>
              <w:adjustRightInd w:val="0"/>
              <w:spacing w:line="400" w:lineRule="exact"/>
              <w:jc w:val="center"/>
              <w:rPr>
                <w:rFonts w:hint="eastAsia" w:ascii="宋体" w:hAnsi="宋体" w:eastAsia="宋体" w:cs="宋体"/>
                <w:caps/>
                <w:color w:val="auto"/>
                <w:spacing w:val="20"/>
                <w:kern w:val="0"/>
                <w:sz w:val="21"/>
                <w:szCs w:val="21"/>
              </w:rPr>
            </w:pPr>
            <w:r>
              <w:rPr>
                <w:rFonts w:hint="eastAsia" w:ascii="宋体" w:hAnsi="宋体" w:eastAsia="宋体" w:cs="宋体"/>
                <w:caps/>
                <w:color w:val="auto"/>
                <w:spacing w:val="20"/>
                <w:kern w:val="0"/>
                <w:sz w:val="21"/>
                <w:szCs w:val="21"/>
              </w:rPr>
              <w:t>名称</w:t>
            </w:r>
          </w:p>
        </w:tc>
        <w:tc>
          <w:tcPr>
            <w:tcW w:w="6508" w:type="dxa"/>
            <w:tcBorders>
              <w:top w:val="double" w:color="000000" w:sz="6" w:space="0"/>
              <w:left w:val="single" w:color="000000" w:sz="6" w:space="0"/>
              <w:bottom w:val="single" w:color="000000" w:sz="6" w:space="0"/>
              <w:right w:val="double" w:color="000000" w:sz="6" w:space="0"/>
            </w:tcBorders>
            <w:noWrap w:val="0"/>
            <w:vAlign w:val="center"/>
          </w:tcPr>
          <w:p>
            <w:pPr>
              <w:pStyle w:val="44"/>
              <w:pageBreakBefore w:val="0"/>
              <w:kinsoku/>
              <w:overflowPunct/>
              <w:topLinePunct w:val="0"/>
              <w:bidi w:val="0"/>
              <w:spacing w:line="400" w:lineRule="exact"/>
              <w:jc w:val="center"/>
              <w:rPr>
                <w:rFonts w:hint="eastAsia" w:ascii="宋体" w:hAnsi="宋体" w:eastAsia="宋体" w:cs="宋体"/>
                <w:caps/>
                <w:color w:val="auto"/>
                <w:spacing w:val="20"/>
                <w:sz w:val="21"/>
                <w:szCs w:val="21"/>
              </w:rPr>
            </w:pPr>
            <w:r>
              <w:rPr>
                <w:rFonts w:hint="eastAsia" w:ascii="宋体" w:hAnsi="宋体" w:eastAsia="宋体" w:cs="宋体"/>
                <w:caps/>
                <w:color w:val="auto"/>
                <w:spacing w:val="20"/>
                <w:sz w:val="21"/>
                <w:szCs w:val="21"/>
              </w:rPr>
              <w:t>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92" w:hRule="atLeast"/>
          <w:jc w:val="center"/>
        </w:trPr>
        <w:tc>
          <w:tcPr>
            <w:tcW w:w="2811" w:type="dxa"/>
            <w:tcBorders>
              <w:top w:val="single" w:color="000000" w:sz="6" w:space="0"/>
              <w:left w:val="double" w:color="000000" w:sz="6" w:space="0"/>
              <w:bottom w:val="double" w:color="000000" w:sz="6" w:space="0"/>
              <w:right w:val="single" w:color="000000" w:sz="6" w:space="0"/>
            </w:tcBorders>
            <w:noWrap w:val="0"/>
            <w:vAlign w:val="center"/>
          </w:tcPr>
          <w:p>
            <w:pPr>
              <w:pStyle w:val="44"/>
              <w:pageBreakBefore w:val="0"/>
              <w:kinsoku/>
              <w:overflowPunct/>
              <w:topLinePunct w:val="0"/>
              <w:bidi w:val="0"/>
              <w:spacing w:line="400" w:lineRule="exact"/>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项目报价</w:t>
            </w:r>
          </w:p>
        </w:tc>
        <w:tc>
          <w:tcPr>
            <w:tcW w:w="6508" w:type="dxa"/>
            <w:tcBorders>
              <w:top w:val="single" w:color="000000" w:sz="6" w:space="0"/>
              <w:left w:val="single" w:color="000000" w:sz="6" w:space="0"/>
              <w:bottom w:val="double" w:color="000000" w:sz="6" w:space="0"/>
              <w:right w:val="double" w:color="000000" w:sz="6" w:space="0"/>
            </w:tcBorders>
            <w:noWrap w:val="0"/>
            <w:vAlign w:val="center"/>
          </w:tcPr>
          <w:p>
            <w:pPr>
              <w:pStyle w:val="44"/>
              <w:pageBreakBefore w:val="0"/>
              <w:kinsoku/>
              <w:overflowPunct/>
              <w:topLinePunct w:val="0"/>
              <w:bidi w:val="0"/>
              <w:spacing w:line="400" w:lineRule="exact"/>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大写</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pacing w:val="20"/>
                <w:sz w:val="21"/>
                <w:szCs w:val="21"/>
              </w:rPr>
              <w:t>（￥：</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pacing w:val="20"/>
                <w:sz w:val="21"/>
                <w:szCs w:val="21"/>
              </w:rPr>
              <w:t>）</w:t>
            </w:r>
          </w:p>
        </w:tc>
      </w:tr>
    </w:tbl>
    <w:p>
      <w:pPr>
        <w:pStyle w:val="44"/>
        <w:pageBreakBefore w:val="0"/>
        <w:kinsoku/>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44"/>
        <w:pageBreakBefore w:val="0"/>
        <w:kinsoku/>
        <w:overflowPunct/>
        <w:topLinePunct w:val="0"/>
        <w:bidi w:val="0"/>
        <w:spacing w:line="40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注：.报价一经涂改，应在涂改处加盖单位公章或由负责人或授权代表签字或盖章，否则其报价文件不进入评定，报价得分为0，且不得推荐为中标候选人。</w:t>
      </w:r>
    </w:p>
    <w:p>
      <w:pPr>
        <w:pStyle w:val="44"/>
        <w:pageBreakBefore w:val="0"/>
        <w:kinsoku/>
        <w:overflowPunct/>
        <w:topLinePunct w:val="0"/>
        <w:bidi w:val="0"/>
        <w:spacing w:line="400" w:lineRule="exact"/>
        <w:ind w:firstLine="210" w:firstLineChars="100"/>
        <w:rPr>
          <w:rFonts w:hint="eastAsia" w:ascii="宋体" w:hAnsi="宋体" w:eastAsia="宋体" w:cs="宋体"/>
          <w:bCs/>
          <w:color w:val="auto"/>
          <w:sz w:val="21"/>
          <w:szCs w:val="21"/>
        </w:rPr>
      </w:pPr>
    </w:p>
    <w:p>
      <w:pPr>
        <w:pageBreakBefore w:val="0"/>
        <w:kinsoku/>
        <w:overflowPunct/>
        <w:topLinePunct w:val="0"/>
        <w:bidi w:val="0"/>
        <w:spacing w:line="400" w:lineRule="exact"/>
        <w:ind w:left="105" w:leftChars="50"/>
        <w:rPr>
          <w:rFonts w:hint="eastAsia" w:ascii="宋体" w:hAnsi="宋体" w:eastAsia="宋体" w:cs="宋体"/>
          <w:b/>
          <w:color w:val="auto"/>
          <w:sz w:val="21"/>
          <w:szCs w:val="21"/>
          <w:u w:val="single"/>
        </w:rPr>
      </w:pPr>
    </w:p>
    <w:p>
      <w:pPr>
        <w:pageBreakBefore w:val="0"/>
        <w:kinsoku/>
        <w:overflowPunct/>
        <w:topLinePunct w:val="0"/>
        <w:bidi w:val="0"/>
        <w:spacing w:line="400" w:lineRule="exact"/>
        <w:rPr>
          <w:rFonts w:hint="eastAsia" w:ascii="宋体" w:hAnsi="宋体" w:eastAsia="宋体" w:cs="宋体"/>
          <w:b/>
          <w:color w:val="auto"/>
          <w:sz w:val="21"/>
          <w:szCs w:val="21"/>
          <w:u w:val="single"/>
        </w:rPr>
      </w:pPr>
    </w:p>
    <w:p>
      <w:pPr>
        <w:pageBreakBefore w:val="0"/>
        <w:kinsoku/>
        <w:overflowPunct/>
        <w:topLinePunct w:val="0"/>
        <w:bidi w:val="0"/>
        <w:spacing w:line="400" w:lineRule="exact"/>
        <w:rPr>
          <w:rFonts w:hint="eastAsia" w:ascii="宋体" w:hAnsi="宋体" w:eastAsia="宋体" w:cs="宋体"/>
          <w:bCs/>
          <w:color w:val="auto"/>
          <w:sz w:val="21"/>
          <w:szCs w:val="21"/>
        </w:rPr>
      </w:pPr>
    </w:p>
    <w:p>
      <w:pPr>
        <w:pageBreakBefore w:val="0"/>
        <w:kinsoku/>
        <w:overflowPunct/>
        <w:topLinePunct w:val="0"/>
        <w:bidi w:val="0"/>
        <w:spacing w:line="400" w:lineRule="exact"/>
        <w:rPr>
          <w:rFonts w:hint="eastAsia" w:ascii="宋体" w:hAnsi="宋体" w:eastAsia="宋体" w:cs="宋体"/>
          <w:b/>
          <w:bCs/>
          <w:color w:val="auto"/>
          <w:sz w:val="21"/>
          <w:szCs w:val="21"/>
        </w:rPr>
      </w:pPr>
    </w:p>
    <w:p>
      <w:pPr>
        <w:pageBreakBefore w:val="0"/>
        <w:kinsoku/>
        <w:overflowPunct/>
        <w:topLinePunct w:val="0"/>
        <w:bidi w:val="0"/>
        <w:spacing w:line="400" w:lineRule="exact"/>
        <w:ind w:firstLine="4725" w:firstLineChars="2250"/>
        <w:rPr>
          <w:rFonts w:hint="eastAsia" w:ascii="宋体" w:hAnsi="宋体" w:eastAsia="宋体" w:cs="宋体"/>
          <w:bCs/>
          <w:color w:val="auto"/>
          <w:sz w:val="21"/>
          <w:szCs w:val="21"/>
        </w:rPr>
      </w:pP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全称（盖章）：</w:t>
      </w:r>
    </w:p>
    <w:p>
      <w:pPr>
        <w:pageBreakBefore w:val="0"/>
        <w:kinsoku/>
        <w:overflowPunct/>
        <w:topLinePunct w:val="0"/>
        <w:bidi w:val="0"/>
        <w:spacing w:line="400" w:lineRule="exact"/>
        <w:ind w:firstLine="4725" w:firstLineChars="225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法定代表人或授权代表（签字）：</w:t>
      </w:r>
    </w:p>
    <w:p>
      <w:pPr>
        <w:pageBreakBefore w:val="0"/>
        <w:kinsoku/>
        <w:overflowPunct/>
        <w:topLinePunct w:val="0"/>
        <w:bidi w:val="0"/>
        <w:spacing w:line="400" w:lineRule="exact"/>
        <w:ind w:firstLine="4725" w:firstLineChars="2250"/>
        <w:rPr>
          <w:rFonts w:hint="eastAsia" w:ascii="宋体" w:hAnsi="宋体" w:eastAsia="宋体" w:cs="宋体"/>
          <w:bCs/>
          <w:color w:val="auto"/>
          <w:sz w:val="21"/>
          <w:szCs w:val="21"/>
        </w:rPr>
      </w:pPr>
      <w:r>
        <w:rPr>
          <w:rFonts w:hint="eastAsia" w:ascii="宋体" w:hAnsi="宋体" w:eastAsia="宋体" w:cs="宋体"/>
          <w:bCs/>
          <w:color w:val="auto"/>
          <w:sz w:val="21"/>
          <w:szCs w:val="21"/>
        </w:rPr>
        <w:t>日          期：  年  月  日</w:t>
      </w: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pStyle w:val="9"/>
        <w:rPr>
          <w:rFonts w:hint="eastAsia" w:ascii="宋体" w:hAnsi="宋体" w:eastAsia="宋体" w:cs="宋体"/>
          <w:bCs/>
          <w:color w:val="auto"/>
          <w:sz w:val="21"/>
          <w:szCs w:val="21"/>
        </w:rPr>
      </w:pPr>
    </w:p>
    <w:p>
      <w:pPr>
        <w:rPr>
          <w:rFonts w:hint="eastAsia" w:ascii="宋体" w:hAnsi="宋体" w:eastAsia="宋体" w:cs="宋体"/>
          <w:bCs/>
          <w:color w:val="auto"/>
          <w:sz w:val="21"/>
          <w:szCs w:val="21"/>
        </w:rPr>
      </w:pPr>
    </w:p>
    <w:p>
      <w:pPr>
        <w:pStyle w:val="27"/>
        <w:rPr>
          <w:rFonts w:hint="eastAsia"/>
        </w:rPr>
      </w:pPr>
    </w:p>
    <w:p>
      <w:pPr>
        <w:pStyle w:val="3"/>
        <w:tabs>
          <w:tab w:val="left" w:pos="1080"/>
        </w:tabs>
        <w:spacing w:line="400" w:lineRule="exact"/>
        <w:rPr>
          <w:rStyle w:val="28"/>
          <w:rFonts w:hint="eastAsia" w:asciiTheme="minorEastAsia" w:hAnsiTheme="minorEastAsia" w:eastAsiaTheme="minorEastAsia" w:cstheme="minorEastAsia"/>
          <w:b/>
          <w:color w:val="auto"/>
          <w:sz w:val="24"/>
          <w:szCs w:val="24"/>
        </w:rPr>
      </w:pPr>
      <w:bookmarkStart w:id="109" w:name="_Toc10464"/>
      <w:r>
        <w:rPr>
          <w:rStyle w:val="28"/>
          <w:rFonts w:hint="eastAsia" w:asciiTheme="minorEastAsia" w:hAnsiTheme="minorEastAsia" w:eastAsiaTheme="minorEastAsia" w:cstheme="minorEastAsia"/>
          <w:b/>
          <w:color w:val="auto"/>
          <w:sz w:val="24"/>
          <w:szCs w:val="24"/>
        </w:rPr>
        <w:t>第六章  磋商办法和细则</w:t>
      </w:r>
      <w:bookmarkEnd w:id="109"/>
    </w:p>
    <w:p>
      <w:pPr>
        <w:pStyle w:val="15"/>
        <w:snapToGrid/>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参考《中华人民共和国政府采购法》等有关法律法规的规定，并结合本项目的实际，按照公正、公平、科学、择优的原则选择成交供应商，特制定本办法。</w:t>
      </w:r>
    </w:p>
    <w:p>
      <w:pPr>
        <w:pStyle w:val="4"/>
        <w:keepNext w:val="0"/>
        <w:spacing w:before="0" w:after="0" w:line="360" w:lineRule="exact"/>
        <w:jc w:val="both"/>
        <w:rPr>
          <w:rFonts w:ascii="宋体" w:hAnsi="宋体" w:eastAsia="宋体" w:cs="宋体"/>
          <w:b w:val="0"/>
          <w:color w:val="auto"/>
          <w:sz w:val="21"/>
          <w:szCs w:val="21"/>
        </w:rPr>
      </w:pPr>
      <w:bookmarkStart w:id="110" w:name="_Toc335664295"/>
      <w:bookmarkStart w:id="111" w:name="_Toc31275"/>
      <w:bookmarkStart w:id="112" w:name="_Toc390938601"/>
      <w:r>
        <w:rPr>
          <w:rFonts w:hint="eastAsia" w:ascii="宋体" w:hAnsi="宋体" w:eastAsia="宋体" w:cs="宋体"/>
          <w:b w:val="0"/>
          <w:color w:val="auto"/>
          <w:sz w:val="21"/>
          <w:szCs w:val="21"/>
        </w:rPr>
        <w:t>一   总则</w:t>
      </w:r>
      <w:bookmarkEnd w:id="110"/>
      <w:bookmarkEnd w:id="111"/>
      <w:bookmarkEnd w:id="112"/>
    </w:p>
    <w:p>
      <w:pPr>
        <w:spacing w:line="360" w:lineRule="exact"/>
        <w:ind w:firstLine="420" w:firstLineChars="200"/>
        <w:rPr>
          <w:rFonts w:ascii="宋体" w:hAnsi="宋体" w:cs="宋体"/>
          <w:color w:val="auto"/>
          <w:szCs w:val="21"/>
        </w:rPr>
      </w:pPr>
      <w:r>
        <w:rPr>
          <w:rFonts w:hint="eastAsia" w:ascii="宋体" w:hAnsi="宋体" w:cs="宋体"/>
          <w:color w:val="auto"/>
          <w:szCs w:val="21"/>
        </w:rPr>
        <w:t>1.1为最大限度地保护各当事人的权益，磋商小组应严格按照磋商文件的技术、资信、商务要求，对响应文件进行综合分析评价并编制磋商报告。磋商人员必须严格遵守保密规定，不得泄漏磋商有关的情况，不得索贿受贿，不得参加影响磋商的任何活动。</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1.2磋商时，磋商小组应对照磋商文件规定的条件和标准，对响应文件的合规性、完整性和有效性进行审查、比较和评估。</w:t>
      </w:r>
    </w:p>
    <w:p>
      <w:pPr>
        <w:spacing w:line="360" w:lineRule="exact"/>
        <w:ind w:firstLine="420" w:firstLineChars="200"/>
        <w:rPr>
          <w:rFonts w:ascii="宋体" w:hAnsi="宋体" w:cs="宋体"/>
          <w:color w:val="auto"/>
          <w:szCs w:val="21"/>
        </w:rPr>
      </w:pPr>
      <w:r>
        <w:rPr>
          <w:rFonts w:hint="eastAsia" w:ascii="宋体" w:hAnsi="宋体" w:cs="宋体"/>
          <w:color w:val="auto"/>
          <w:szCs w:val="21"/>
        </w:rPr>
        <w:t>对竞争性磋商供应商的资格条件、主要技术参数、商务磋商和其他磋商要素等，磋商小组应逐项进行审查、比较，不得漏评、少评。如发现与磋商文件要求相偏离的，应对其偏离情况进行必要的核实，并在工作底稿中予以说明；如属于实质性偏离或符合无效响应条件的，可当场询问竞争性磋商供应商，并可允许竞争性磋商供应商进行陈述申辩，但不允许其对偏离条款进行补充、修正或撤回。</w:t>
      </w:r>
    </w:p>
    <w:p>
      <w:pPr>
        <w:spacing w:line="360" w:lineRule="exact"/>
        <w:ind w:firstLine="422" w:firstLineChars="200"/>
        <w:rPr>
          <w:rFonts w:ascii="宋体" w:hAnsi="宋体" w:cs="宋体"/>
          <w:b/>
          <w:color w:val="auto"/>
          <w:szCs w:val="21"/>
        </w:rPr>
      </w:pPr>
      <w:r>
        <w:rPr>
          <w:rFonts w:hint="eastAsia" w:ascii="宋体" w:hAnsi="宋体" w:cs="宋体"/>
          <w:b/>
          <w:color w:val="auto"/>
          <w:szCs w:val="21"/>
        </w:rPr>
        <w:t>1.3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标委员会按总得分从高到低推荐中标人候选人，由采购人确认第一中标候选人作为本项目中标人。</w:t>
      </w:r>
    </w:p>
    <w:p>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rPr>
      </w:pPr>
      <w:bookmarkStart w:id="113" w:name="_Toc335664296"/>
      <w:bookmarkStart w:id="114" w:name="_Toc13811"/>
      <w:bookmarkStart w:id="115" w:name="_Toc390938602"/>
      <w:r>
        <w:rPr>
          <w:rFonts w:hint="eastAsia" w:ascii="宋体" w:hAnsi="宋体" w:eastAsia="宋体" w:cs="宋体"/>
          <w:b w:val="0"/>
          <w:bCs w:val="0"/>
          <w:color w:val="auto"/>
          <w:sz w:val="21"/>
          <w:szCs w:val="21"/>
        </w:rPr>
        <w:t xml:space="preserve">二  </w:t>
      </w:r>
      <w:bookmarkEnd w:id="113"/>
      <w:r>
        <w:rPr>
          <w:rFonts w:hint="eastAsia" w:ascii="宋体" w:hAnsi="宋体" w:eastAsia="宋体" w:cs="宋体"/>
          <w:b w:val="0"/>
          <w:bCs w:val="0"/>
          <w:color w:val="auto"/>
          <w:sz w:val="21"/>
          <w:szCs w:val="21"/>
        </w:rPr>
        <w:t>磋商小组</w:t>
      </w:r>
      <w:bookmarkEnd w:id="114"/>
      <w:bookmarkEnd w:id="115"/>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2.1磋商小组</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2.1.1成员：由采购人代表和磋商小组</w:t>
      </w:r>
      <w:r>
        <w:rPr>
          <w:rFonts w:hint="eastAsia" w:ascii="宋体" w:hAnsi="宋体" w:cs="宋体"/>
          <w:color w:val="auto"/>
          <w:sz w:val="21"/>
          <w:szCs w:val="21"/>
          <w:lang w:val="en-US" w:eastAsia="zh-CN"/>
        </w:rPr>
        <w:t>或磋商小组</w:t>
      </w:r>
      <w:r>
        <w:rPr>
          <w:rFonts w:hint="eastAsia" w:ascii="宋体" w:hAnsi="宋体" w:eastAsia="宋体" w:cs="宋体"/>
          <w:color w:val="auto"/>
          <w:sz w:val="21"/>
          <w:szCs w:val="21"/>
        </w:rPr>
        <w:t>组成，其中磋商小组不得少于磋商小组总人数的三分之二。磋商小组由采购人按规定组建。</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2.1.2职责：按政府采购法律法规的有关规定执行，磋商小组成员应按磋商文件规定的磋商要求、磋商程序、磋商内容、磋商方法和磋商标准进行磋商，对磋商意见承担个人责任。</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2.2如发现磋商小组的磋商意见带有明显倾向性，或不按规定程序和标准磋商的，可要求磋商小组进行书面澄清和说明。</w:t>
      </w:r>
    </w:p>
    <w:p>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bCs w:val="0"/>
          <w:color w:val="auto"/>
          <w:sz w:val="21"/>
          <w:szCs w:val="21"/>
        </w:rPr>
      </w:pPr>
      <w:bookmarkStart w:id="116" w:name="_Toc390938603"/>
      <w:bookmarkStart w:id="117" w:name="_Toc3727"/>
      <w:bookmarkStart w:id="118" w:name="_Toc335664298"/>
      <w:r>
        <w:rPr>
          <w:rFonts w:hint="eastAsia" w:ascii="宋体" w:hAnsi="宋体" w:eastAsia="宋体" w:cs="宋体"/>
          <w:color w:val="auto"/>
          <w:sz w:val="21"/>
          <w:szCs w:val="21"/>
        </w:rPr>
        <w:t xml:space="preserve">三  </w:t>
      </w:r>
      <w:r>
        <w:rPr>
          <w:rFonts w:hint="eastAsia" w:ascii="宋体" w:hAnsi="宋体" w:eastAsia="宋体" w:cs="宋体"/>
          <w:b w:val="0"/>
          <w:bCs w:val="0"/>
          <w:color w:val="auto"/>
          <w:sz w:val="21"/>
          <w:szCs w:val="21"/>
        </w:rPr>
        <w:t>磋商程序</w:t>
      </w:r>
      <w:bookmarkEnd w:id="116"/>
      <w:bookmarkEnd w:id="117"/>
      <w:bookmarkEnd w:id="118"/>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bookmarkStart w:id="119" w:name="_Toc335664299"/>
      <w:bookmarkStart w:id="120" w:name="_Toc390938605"/>
      <w:r>
        <w:rPr>
          <w:rFonts w:hint="eastAsia" w:ascii="宋体" w:hAnsi="宋体" w:eastAsia="宋体" w:cs="宋体"/>
          <w:b/>
          <w:color w:val="auto"/>
          <w:sz w:val="21"/>
          <w:szCs w:val="21"/>
        </w:rPr>
        <w:t>3.1 符合性审查</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3.2 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3.2.1磋商小组对响应文件进行评审，并根据磋商文件规定的程序、评定成交的标准等事项与实质性响应磋商文件要求的供应商进行多轮磋商。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小组按磋商文件提交的顺序分别进行磋商（若有演示、讲解内容，演示、讲解顺序同磋商顺序）。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响应文件</w:t>
      </w:r>
      <w:r>
        <w:rPr>
          <w:rFonts w:hint="eastAsia" w:ascii="宋体" w:hAnsi="宋体" w:eastAsia="宋体" w:cs="宋体"/>
          <w:color w:val="auto"/>
          <w:sz w:val="21"/>
          <w:szCs w:val="21"/>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（3）在磋商过程中，磋商小组可以根据磋商文件和磋商情况实质性变动采购需求中的技术、服务要求以及合同条款。实质性变动的内容，须经采购人代表确认。</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对磋商文件作出实质性变动是磋商文件的有效组成部分，磋商小组应当及时以书面形式同时通知所有参加磋商的供应商。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（5）磋商小组采用综合评分法对确定作出最后报价的供应商的响应文件进行综合评分。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（6）供应商提交最后报价，代理机构当场宣读各供应商最后报价，并宣布资信商务技及术得分。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（7）磋商小组对报价进行评分。</w:t>
      </w:r>
    </w:p>
    <w:p>
      <w:pPr>
        <w:keepNext w:val="0"/>
        <w:keepLines w:val="0"/>
        <w:pageBreakBefore w:val="0"/>
        <w:widowControl w:val="0"/>
        <w:tabs>
          <w:tab w:val="left" w:pos="6870"/>
        </w:tabs>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3.2.2 磋商注意事项</w:t>
      </w:r>
      <w:r>
        <w:rPr>
          <w:rFonts w:hint="eastAsia" w:ascii="宋体" w:hAnsi="宋体" w:eastAsia="宋体" w:cs="宋体"/>
          <w:b/>
          <w:color w:val="auto"/>
          <w:sz w:val="21"/>
          <w:szCs w:val="21"/>
        </w:rPr>
        <w:tab/>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时，参与磋商的供应商应派代表在指定的地点参加磋商。参与磋商的供应商人员应及时解释和澄清磋商响应文件相关内容，以书面的形式重新做出承诺并签署确定。后一轮磋商的价格、服务承诺及优惠条件等必须优于或等于前一轮磋商的价格、服务承诺及优惠条件等。</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出席磋商的有关人员：监督人员、磋商小组成员和采购代理机构工作人员；监督人员负责现场监督。参与磋商的供应商的所有磋商响应文件(包括每次报价及重新承诺)截至时间前由采购代理机构工作人员进行接收，任何参与磋商的个人均不得私自拆封。磋商小组负责本次项目所有磋商任务，包括全程磋商、推荐成交候选人、填写评审报告等。</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 评审</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3.3.1 技术文件评审</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（1）磋商小组依据磋商文件的规定，对各</w:t>
      </w:r>
      <w:r>
        <w:rPr>
          <w:rFonts w:hint="eastAsia" w:ascii="宋体" w:hAnsi="宋体" w:eastAsia="宋体" w:cs="宋体"/>
          <w:color w:val="auto"/>
          <w:kern w:val="0"/>
          <w:sz w:val="21"/>
          <w:szCs w:val="21"/>
        </w:rPr>
        <w:t>供应商的</w:t>
      </w:r>
      <w:r>
        <w:rPr>
          <w:rFonts w:hint="eastAsia" w:ascii="宋体" w:hAnsi="宋体" w:eastAsia="宋体" w:cs="宋体"/>
          <w:color w:val="auto"/>
          <w:sz w:val="21"/>
          <w:szCs w:val="21"/>
        </w:rPr>
        <w:t>技术文件进行独立评审。对各</w:t>
      </w:r>
      <w:r>
        <w:rPr>
          <w:rFonts w:hint="eastAsia" w:ascii="宋体" w:hAnsi="宋体" w:eastAsia="宋体" w:cs="宋体"/>
          <w:color w:val="auto"/>
          <w:kern w:val="0"/>
          <w:sz w:val="21"/>
          <w:szCs w:val="21"/>
        </w:rPr>
        <w:t>响应文件</w:t>
      </w:r>
      <w:r>
        <w:rPr>
          <w:rFonts w:hint="eastAsia" w:ascii="宋体" w:hAnsi="宋体" w:eastAsia="宋体" w:cs="宋体"/>
          <w:color w:val="auto"/>
          <w:sz w:val="21"/>
          <w:szCs w:val="21"/>
        </w:rPr>
        <w:t>进行比较和必要的澄清，若有演示、样品要求和技术文件评审同步进行，演示顺序为响应文件递交顺序，并根据审查、澄清、演示、样品等情况结合评审办法进行独立打分；</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（2）各供应商的技术得分，为各磋商小组成员对该供应商的技术得分结果汇总后的算术平均数。</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3.3.2 资信及商务文件评审</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磋商小组依据磋商文件的规定，对各</w:t>
      </w:r>
      <w:r>
        <w:rPr>
          <w:rFonts w:hint="eastAsia" w:ascii="宋体" w:hAnsi="宋体" w:eastAsia="宋体" w:cs="宋体"/>
          <w:color w:val="auto"/>
          <w:kern w:val="0"/>
          <w:sz w:val="21"/>
          <w:szCs w:val="21"/>
        </w:rPr>
        <w:t>供应商的</w:t>
      </w:r>
      <w:r>
        <w:rPr>
          <w:rFonts w:hint="eastAsia" w:ascii="宋体" w:hAnsi="宋体" w:eastAsia="宋体" w:cs="宋体"/>
          <w:color w:val="auto"/>
          <w:sz w:val="21"/>
          <w:szCs w:val="21"/>
        </w:rPr>
        <w:t>资信及商务文件进行评审，对客观分应统一意见后统一给分。</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3.3.3 报价文件评审</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（1）磋商小组依据磋商文件的规定，对各供应商的最终报价的合理性进行审查，必要时可要求供应商对其报价做出澄清、说明。</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（2）报价修正； </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）磋商小组根据供应商的报价和评审标准，计算各供应商的报价得分。</w:t>
      </w:r>
    </w:p>
    <w:p>
      <w:pPr>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3.4 评审结果</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3.4.1 评审结果汇总，供应商结果排序；</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3.4.2 起草磋商报告，确定成交候选人；</w:t>
      </w:r>
    </w:p>
    <w:p>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color w:val="auto"/>
          <w:sz w:val="21"/>
          <w:szCs w:val="21"/>
        </w:rPr>
      </w:pPr>
      <w:bookmarkStart w:id="121" w:name="_Toc20501"/>
      <w:r>
        <w:rPr>
          <w:rFonts w:hint="eastAsia" w:ascii="宋体" w:hAnsi="宋体" w:eastAsia="宋体" w:cs="宋体"/>
          <w:b w:val="0"/>
          <w:bCs w:val="0"/>
          <w:color w:val="auto"/>
          <w:sz w:val="21"/>
          <w:szCs w:val="21"/>
        </w:rPr>
        <w:t xml:space="preserve">四   </w:t>
      </w:r>
      <w:bookmarkEnd w:id="119"/>
      <w:r>
        <w:rPr>
          <w:rFonts w:hint="eastAsia" w:ascii="宋体" w:hAnsi="宋体" w:eastAsia="宋体" w:cs="宋体"/>
          <w:b w:val="0"/>
          <w:color w:val="auto"/>
          <w:sz w:val="21"/>
          <w:szCs w:val="21"/>
        </w:rPr>
        <w:t>磋商内容及规定</w:t>
      </w:r>
      <w:bookmarkEnd w:id="120"/>
      <w:bookmarkEnd w:id="121"/>
    </w:p>
    <w:p>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资信商务及技术分的权重为</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磋商由磋商小组负责，磋商报告由采购单位确认，成交通知书由采购代理机构发出。</w:t>
      </w:r>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磋商结果在评定当日在开标大厅宣布。</w:t>
      </w:r>
    </w:p>
    <w:p>
      <w:pPr>
        <w:pStyle w:val="4"/>
        <w:keepNext w:val="0"/>
        <w:keepLines w:val="0"/>
        <w:pageBreakBefore w:val="0"/>
        <w:widowControl w:val="0"/>
        <w:kinsoku/>
        <w:wordWrap/>
        <w:overflowPunct/>
        <w:topLinePunct w:val="0"/>
        <w:autoSpaceDE/>
        <w:autoSpaceDN/>
        <w:bidi w:val="0"/>
        <w:spacing w:before="0" w:after="0" w:line="360" w:lineRule="exact"/>
        <w:jc w:val="both"/>
        <w:rPr>
          <w:rFonts w:hint="eastAsia" w:ascii="宋体" w:hAnsi="宋体" w:eastAsia="宋体" w:cs="宋体"/>
          <w:b w:val="0"/>
          <w:color w:val="auto"/>
          <w:sz w:val="21"/>
          <w:szCs w:val="21"/>
        </w:rPr>
      </w:pPr>
      <w:bookmarkStart w:id="122" w:name="_Toc7141"/>
      <w:r>
        <w:rPr>
          <w:rFonts w:hint="eastAsia" w:ascii="宋体" w:hAnsi="宋体" w:eastAsia="宋体" w:cs="宋体"/>
          <w:b w:val="0"/>
          <w:bCs w:val="0"/>
          <w:color w:val="auto"/>
          <w:sz w:val="21"/>
          <w:szCs w:val="21"/>
        </w:rPr>
        <w:t xml:space="preserve">五  </w:t>
      </w:r>
      <w:r>
        <w:rPr>
          <w:rFonts w:hint="eastAsia" w:ascii="宋体" w:hAnsi="宋体" w:eastAsia="宋体" w:cs="宋体"/>
          <w:b w:val="0"/>
          <w:color w:val="auto"/>
          <w:sz w:val="21"/>
          <w:szCs w:val="21"/>
        </w:rPr>
        <w:t>评标办法和细则</w:t>
      </w:r>
      <w:bookmarkEnd w:id="122"/>
    </w:p>
    <w:p>
      <w:pPr>
        <w:pStyle w:val="15"/>
        <w:snapToGrid/>
        <w:spacing w:line="360" w:lineRule="exact"/>
        <w:ind w:firstLine="420" w:firstLineChars="200"/>
        <w:rPr>
          <w:rFonts w:hint="eastAsia" w:ascii="宋体" w:hAnsi="宋体" w:eastAsia="宋体" w:cs="宋体"/>
          <w:color w:val="auto"/>
          <w:sz w:val="21"/>
          <w:szCs w:val="21"/>
        </w:rPr>
      </w:pPr>
      <w:bookmarkStart w:id="123" w:name="_Toc390938606"/>
      <w:bookmarkStart w:id="124" w:name="_Toc335664301"/>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   报价分（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pStyle w:val="15"/>
        <w:snapToGrid/>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.1.1 </w:t>
      </w:r>
      <w:r>
        <w:rPr>
          <w:rFonts w:hint="eastAsia" w:ascii="宋体" w:hAnsi="宋体" w:eastAsia="宋体" w:cs="宋体"/>
          <w:color w:val="auto"/>
          <w:sz w:val="21"/>
          <w:szCs w:val="21"/>
          <w:lang w:val="en-US" w:eastAsia="zh-CN"/>
        </w:rPr>
        <w:t>评标</w:t>
      </w:r>
      <w:r>
        <w:rPr>
          <w:rFonts w:hint="eastAsia" w:ascii="宋体" w:hAnsi="宋体" w:eastAsia="宋体" w:cs="宋体"/>
          <w:color w:val="auto"/>
          <w:sz w:val="21"/>
          <w:szCs w:val="21"/>
        </w:rPr>
        <w:t>基准价=进入</w:t>
      </w:r>
      <w:r>
        <w:rPr>
          <w:rFonts w:hint="eastAsia" w:ascii="宋体" w:hAnsi="宋体" w:eastAsia="宋体" w:cs="宋体"/>
          <w:color w:val="auto"/>
          <w:sz w:val="21"/>
          <w:szCs w:val="21"/>
          <w:lang w:eastAsia="zh-CN"/>
        </w:rPr>
        <w:t>报价评审</w:t>
      </w:r>
      <w:r>
        <w:rPr>
          <w:rFonts w:hint="eastAsia" w:ascii="宋体" w:hAnsi="宋体" w:eastAsia="宋体" w:cs="宋体"/>
          <w:color w:val="auto"/>
          <w:sz w:val="21"/>
          <w:szCs w:val="21"/>
        </w:rPr>
        <w:t>的各供应商最终有效磋商报价中的最</w:t>
      </w:r>
      <w:r>
        <w:rPr>
          <w:rFonts w:hint="eastAsia" w:ascii="宋体" w:hAnsi="宋体" w:eastAsia="宋体" w:cs="宋体"/>
          <w:color w:val="auto"/>
          <w:sz w:val="21"/>
          <w:szCs w:val="21"/>
          <w:lang w:val="en-US" w:eastAsia="zh-CN"/>
        </w:rPr>
        <w:t>低</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为评标基准价</w:t>
      </w:r>
      <w:r>
        <w:rPr>
          <w:rFonts w:hint="eastAsia" w:ascii="宋体" w:hAnsi="宋体" w:eastAsia="宋体" w:cs="宋体"/>
          <w:color w:val="auto"/>
          <w:sz w:val="21"/>
          <w:szCs w:val="21"/>
          <w:lang w:eastAsia="zh-CN"/>
        </w:rPr>
        <w:t>，磋商报价等于</w:t>
      </w:r>
      <w:r>
        <w:rPr>
          <w:rFonts w:hint="eastAsia" w:ascii="宋体" w:hAnsi="宋体" w:eastAsia="宋体" w:cs="宋体"/>
          <w:color w:val="auto"/>
          <w:sz w:val="21"/>
          <w:szCs w:val="21"/>
          <w:lang w:val="en-US" w:eastAsia="zh-CN"/>
        </w:rPr>
        <w:t>评标基准价的得8分，磋商报价每高于评标基准价 1 个百分点的加 0.2 分，最高加2分。不为整数时，按插入法（计算结果四舍五入保留 2 位小数）。</w:t>
      </w:r>
    </w:p>
    <w:p>
      <w:pPr>
        <w:pStyle w:val="15"/>
        <w:snapToGrid/>
        <w:spacing w:line="360" w:lineRule="exact"/>
        <w:ind w:firstLine="420" w:firstLineChars="200"/>
        <w:rPr>
          <w:rFonts w:hint="eastAsia"/>
          <w:color w:val="auto"/>
        </w:rPr>
      </w:pPr>
      <w:r>
        <w:rPr>
          <w:rFonts w:hint="eastAsia" w:ascii="宋体" w:hAnsi="宋体" w:eastAsia="宋体" w:cs="宋体"/>
          <w:color w:val="auto"/>
          <w:sz w:val="21"/>
          <w:szCs w:val="21"/>
          <w:lang w:val="en-US" w:eastAsia="zh-CN"/>
        </w:rPr>
        <w:t>具体计算公式如下：报价得分=8+|磋商报价/评标基准价-1|*0.2*100（结果四舍五入保留2位小数）</w:t>
      </w:r>
    </w:p>
    <w:p>
      <w:pPr>
        <w:pStyle w:val="15"/>
        <w:snapToGri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rPr>
        <w:t>.2  资信商务及技术分</w:t>
      </w:r>
      <w:r>
        <w:rPr>
          <w:rFonts w:hint="eastAsia" w:ascii="宋体" w:hAnsi="宋体" w:eastAsia="宋体" w:cs="宋体"/>
          <w:color w:val="auto"/>
          <w:sz w:val="21"/>
          <w:szCs w:val="21"/>
          <w:u w:val="single"/>
          <w:lang w:val="en-US" w:eastAsia="zh-CN"/>
        </w:rPr>
        <w:t>90</w:t>
      </w:r>
      <w:r>
        <w:rPr>
          <w:rFonts w:hint="eastAsia" w:ascii="宋体" w:hAnsi="宋体" w:eastAsia="宋体" w:cs="宋体"/>
          <w:color w:val="auto"/>
          <w:sz w:val="21"/>
          <w:szCs w:val="21"/>
        </w:rPr>
        <w:t>分，</w:t>
      </w:r>
    </w:p>
    <w:p>
      <w:pPr>
        <w:pStyle w:val="15"/>
        <w:snapToGri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评审资信、商务、技术内容及分值，详细评分见下表:</w:t>
      </w:r>
    </w:p>
    <w:tbl>
      <w:tblPr>
        <w:tblStyle w:val="23"/>
        <w:tblW w:w="10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615"/>
        <w:gridCol w:w="972"/>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序号</w:t>
            </w:r>
          </w:p>
        </w:tc>
        <w:tc>
          <w:tcPr>
            <w:tcW w:w="161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分值（分）</w:t>
            </w:r>
          </w:p>
        </w:tc>
        <w:tc>
          <w:tcPr>
            <w:tcW w:w="70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53" w:type="dxa"/>
            <w:vMerge w:val="restart"/>
            <w:vAlign w:val="center"/>
          </w:tcPr>
          <w:p>
            <w:pPr>
              <w:pStyle w:val="9"/>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615" w:type="dxa"/>
            <w:vMerge w:val="restart"/>
            <w:vAlign w:val="center"/>
          </w:tcPr>
          <w:p>
            <w:pPr>
              <w:pStyle w:val="9"/>
              <w:ind w:firstLine="210" w:firstLineChars="100"/>
              <w:jc w:val="both"/>
              <w:rPr>
                <w:rFonts w:hint="default" w:eastAsia="宋体"/>
                <w:color w:val="auto"/>
                <w:highlight w:val="none"/>
                <w:lang w:val="en-US" w:eastAsia="zh-CN"/>
              </w:rPr>
            </w:pPr>
            <w:r>
              <w:rPr>
                <w:rFonts w:hint="default" w:ascii="宋体" w:hAnsi="宋体" w:eastAsia="宋体" w:cs="宋体"/>
                <w:color w:val="auto"/>
                <w:kern w:val="2"/>
                <w:sz w:val="21"/>
                <w:szCs w:val="21"/>
                <w:highlight w:val="none"/>
                <w:lang w:val="en-US" w:eastAsia="zh-CN" w:bidi="ar-SA"/>
              </w:rPr>
              <w:t>认证证书</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7022" w:type="dxa"/>
            <w:vAlign w:val="center"/>
          </w:tcPr>
          <w:p>
            <w:pPr>
              <w:keepNext w:val="0"/>
              <w:keepLines w:val="0"/>
              <w:pageBreakBefore w:val="0"/>
              <w:widowControl/>
              <w:tabs>
                <w:tab w:val="left" w:pos="1176"/>
              </w:tabs>
              <w:kinsoku/>
              <w:wordWrap/>
              <w:overflowPunct/>
              <w:topLinePunct w:val="0"/>
              <w:autoSpaceDE/>
              <w:autoSpaceDN/>
              <w:bidi w:val="0"/>
              <w:adjustRightInd/>
              <w:snapToGrid/>
              <w:spacing w:line="300" w:lineRule="exact"/>
              <w:jc w:val="left"/>
              <w:textAlignment w:val="auto"/>
              <w:rPr>
                <w:rFonts w:hint="eastAsia" w:eastAsia="宋体"/>
                <w:color w:val="auto"/>
                <w:highlight w:val="none"/>
                <w:lang w:eastAsia="zh-CN"/>
              </w:rPr>
            </w:pPr>
            <w:r>
              <w:rPr>
                <w:rFonts w:hint="eastAsia"/>
              </w:rPr>
              <w:t>供应商获得</w:t>
            </w:r>
            <w:r>
              <w:rPr>
                <w:rFonts w:hint="eastAsia"/>
                <w:lang w:eastAsia="zh-CN"/>
              </w:rPr>
              <w:t>“</w:t>
            </w:r>
            <w:r>
              <w:rPr>
                <w:rFonts w:hint="eastAsia"/>
              </w:rPr>
              <w:t>残疾人社</w:t>
            </w:r>
            <w:r>
              <w:rPr>
                <w:rFonts w:hint="eastAsia"/>
                <w:lang w:eastAsia="zh-CN"/>
              </w:rPr>
              <w:t>区</w:t>
            </w:r>
            <w:r>
              <w:rPr>
                <w:rFonts w:hint="eastAsia"/>
              </w:rPr>
              <w:t>会康复示范站</w:t>
            </w:r>
            <w:r>
              <w:rPr>
                <w:rFonts w:hint="eastAsia"/>
                <w:lang w:eastAsia="zh-CN"/>
              </w:rPr>
              <w:t>”荣誉的</w:t>
            </w:r>
            <w:r>
              <w:rPr>
                <w:rFonts w:hint="eastAsia"/>
              </w:rPr>
              <w:t>，省部级每项得5分，地市级每项得3分，区级每项得1分，最高分5分，没有不得分（</w:t>
            </w:r>
            <w:r>
              <w:rPr>
                <w:rStyle w:val="49"/>
                <w:rFonts w:hint="eastAsia" w:ascii="宋体" w:hAnsi="宋体" w:eastAsia="宋体" w:cs="宋体"/>
                <w:i w:val="0"/>
                <w:iCs w:val="0"/>
                <w:color w:val="000000"/>
                <w:lang w:val="en-US" w:eastAsia="zh-CN" w:bidi="ar"/>
              </w:rPr>
              <w:t>相关证明材料复印件加盖公章后装入资信及商务文件中，否则不得分）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53" w:type="dxa"/>
            <w:vMerge w:val="continue"/>
            <w:vAlign w:val="center"/>
          </w:tcPr>
          <w:p>
            <w:pPr>
              <w:pStyle w:val="9"/>
              <w:ind w:firstLine="560" w:firstLineChars="200"/>
              <w:rPr>
                <w:rFonts w:hint="default" w:eastAsia="宋体"/>
                <w:color w:val="auto"/>
                <w:highlight w:val="none"/>
                <w:lang w:val="en-US" w:eastAsia="zh-CN"/>
              </w:rPr>
            </w:pPr>
          </w:p>
        </w:tc>
        <w:tc>
          <w:tcPr>
            <w:tcW w:w="1615" w:type="dxa"/>
            <w:vMerge w:val="continue"/>
            <w:vAlign w:val="center"/>
          </w:tcPr>
          <w:p>
            <w:pPr>
              <w:pStyle w:val="9"/>
              <w:ind w:firstLine="560" w:firstLineChars="200"/>
              <w:jc w:val="center"/>
              <w:rPr>
                <w:rFonts w:hint="default" w:eastAsia="宋体"/>
                <w:color w:val="auto"/>
                <w:highlight w:val="none"/>
                <w:lang w:val="en-US" w:eastAsia="zh-CN"/>
              </w:rPr>
            </w:pP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p>
        </w:tc>
        <w:tc>
          <w:tcPr>
            <w:tcW w:w="7022" w:type="dxa"/>
            <w:vAlign w:val="center"/>
          </w:tcPr>
          <w:p>
            <w:pPr>
              <w:keepNext w:val="0"/>
              <w:keepLines w:val="0"/>
              <w:pageBreakBefore w:val="0"/>
              <w:widowControl/>
              <w:tabs>
                <w:tab w:val="left" w:pos="1426"/>
              </w:tabs>
              <w:kinsoku/>
              <w:wordWrap/>
              <w:overflowPunct/>
              <w:topLinePunct w:val="0"/>
              <w:autoSpaceDE/>
              <w:autoSpaceDN/>
              <w:bidi w:val="0"/>
              <w:adjustRightInd/>
              <w:snapToGrid/>
              <w:spacing w:line="300" w:lineRule="exact"/>
              <w:jc w:val="left"/>
              <w:textAlignment w:val="auto"/>
              <w:rPr>
                <w:rFonts w:hint="eastAsia" w:eastAsia="宋体"/>
                <w:color w:val="auto"/>
                <w:highlight w:val="none"/>
                <w:lang w:eastAsia="zh-CN"/>
              </w:rPr>
            </w:pPr>
            <w:r>
              <w:rPr>
                <w:rFonts w:hint="eastAsia"/>
                <w:color w:val="auto"/>
                <w:highlight w:val="none"/>
                <w:lang w:eastAsia="zh-CN"/>
              </w:rPr>
              <w:t>供应商具有ISO 9001质量管理体系证书的得2分，获得ISO 14001环境管理体系证书的得2分，获得ISO 45001职业健康安全管理体系证书的得2分，最高分6分，没有不得分</w:t>
            </w:r>
            <w:r>
              <w:rPr>
                <w:rStyle w:val="49"/>
                <w:rFonts w:hint="eastAsia" w:ascii="宋体" w:hAnsi="宋体" w:eastAsia="宋体" w:cs="宋体"/>
                <w:i w:val="0"/>
                <w:iCs w:val="0"/>
                <w:color w:val="000000"/>
                <w:lang w:val="en-US" w:eastAsia="zh-CN" w:bidi="ar"/>
              </w:rPr>
              <w:t>（相关资质证书复印件加盖公章后装入资信及商务文件中，否则不得分）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53" w:type="dxa"/>
            <w:vMerge w:val="continue"/>
            <w:vAlign w:val="center"/>
          </w:tcPr>
          <w:p>
            <w:pPr>
              <w:pStyle w:val="9"/>
              <w:ind w:firstLine="560" w:firstLineChars="200"/>
              <w:rPr>
                <w:rFonts w:hint="default" w:eastAsia="宋体"/>
                <w:color w:val="auto"/>
                <w:highlight w:val="none"/>
                <w:lang w:val="en-US" w:eastAsia="zh-CN"/>
              </w:rPr>
            </w:pPr>
          </w:p>
        </w:tc>
        <w:tc>
          <w:tcPr>
            <w:tcW w:w="1615" w:type="dxa"/>
            <w:vMerge w:val="continue"/>
            <w:vAlign w:val="center"/>
          </w:tcPr>
          <w:p>
            <w:pPr>
              <w:pStyle w:val="9"/>
              <w:ind w:firstLine="560" w:firstLineChars="200"/>
              <w:jc w:val="center"/>
              <w:rPr>
                <w:rFonts w:hint="default" w:eastAsia="宋体"/>
                <w:color w:val="auto"/>
                <w:highlight w:val="none"/>
                <w:lang w:val="en-US" w:eastAsia="zh-CN"/>
              </w:rPr>
            </w:pP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702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highlight w:val="none"/>
              </w:rPr>
            </w:pPr>
            <w:r>
              <w:rPr>
                <w:rFonts w:hint="eastAsia"/>
                <w:color w:val="auto"/>
                <w:highlight w:val="none"/>
              </w:rPr>
              <w:t>供应商具有护理人员持证上岗，助理照护师的得</w:t>
            </w:r>
            <w:r>
              <w:rPr>
                <w:rFonts w:hint="eastAsia"/>
                <w:color w:val="auto"/>
                <w:highlight w:val="none"/>
                <w:lang w:val="en-US" w:eastAsia="zh-CN"/>
              </w:rPr>
              <w:t>4</w:t>
            </w:r>
            <w:r>
              <w:rPr>
                <w:rFonts w:hint="eastAsia"/>
                <w:color w:val="auto"/>
                <w:highlight w:val="none"/>
              </w:rPr>
              <w:t>分，高级护理员的得3分，中级护理员的得1分，最高分</w:t>
            </w:r>
            <w:r>
              <w:rPr>
                <w:rFonts w:hint="eastAsia"/>
                <w:color w:val="auto"/>
                <w:highlight w:val="none"/>
                <w:lang w:val="en-US" w:eastAsia="zh-CN"/>
              </w:rPr>
              <w:t>4</w:t>
            </w:r>
            <w:r>
              <w:rPr>
                <w:rFonts w:hint="eastAsia"/>
                <w:color w:val="auto"/>
                <w:highlight w:val="none"/>
              </w:rPr>
              <w:t>分，没有不得分；</w:t>
            </w:r>
            <w:r>
              <w:rPr>
                <w:rStyle w:val="49"/>
                <w:rFonts w:hint="eastAsia" w:ascii="宋体" w:hAnsi="宋体" w:eastAsia="宋体" w:cs="宋体"/>
                <w:i w:val="0"/>
                <w:iCs w:val="0"/>
                <w:color w:val="000000"/>
                <w:lang w:val="en-US" w:eastAsia="zh-CN" w:bidi="ar"/>
              </w:rPr>
              <w:t>（相关证书复印件加盖公章后装入资信及商务文件中，否则不得分）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95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61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企业业绩</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0-1</w:t>
            </w:r>
          </w:p>
        </w:tc>
        <w:tc>
          <w:tcPr>
            <w:tcW w:w="7022"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供应商拥有五年完整年度以</w:t>
            </w:r>
            <w:r>
              <w:rPr>
                <w:rFonts w:hint="eastAsia"/>
                <w:color w:val="auto"/>
                <w:highlight w:val="none"/>
                <w:lang w:val="en-US" w:eastAsia="zh-CN"/>
              </w:rPr>
              <w:t>上康复医院运营项目的得1分；没有不得分。</w:t>
            </w:r>
            <w:r>
              <w:rPr>
                <w:rStyle w:val="49"/>
                <w:rFonts w:hint="eastAsia" w:ascii="宋体" w:hAnsi="宋体" w:eastAsia="宋体" w:cs="宋体"/>
                <w:i w:val="0"/>
                <w:iCs w:val="0"/>
                <w:color w:val="000000"/>
                <w:lang w:val="en-US" w:eastAsia="zh-CN" w:bidi="ar"/>
              </w:rPr>
              <w:t>（相关证明材料复印件加盖公章后装入资信及商务文件中，否则不得分）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5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olor w:val="auto"/>
                <w:highlight w:val="none"/>
                <w:lang w:val="en-US" w:eastAsia="zh-CN"/>
              </w:rPr>
            </w:pPr>
            <w:r>
              <w:rPr>
                <w:rFonts w:hint="eastAsia"/>
                <w:color w:val="auto"/>
                <w:highlight w:val="none"/>
                <w:lang w:val="en-US" w:eastAsia="zh-CN"/>
              </w:rPr>
              <w:t>3</w:t>
            </w:r>
          </w:p>
        </w:tc>
        <w:tc>
          <w:tcPr>
            <w:tcW w:w="1615"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color w:val="auto"/>
                <w:highlight w:val="none"/>
                <w:lang w:val="en-US" w:eastAsia="zh-CN"/>
              </w:rPr>
              <w:t>企业实力</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0-4</w:t>
            </w:r>
          </w:p>
        </w:tc>
        <w:tc>
          <w:tcPr>
            <w:tcW w:w="7022"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供应商拥有独立的信息服务平台，自主研发或委托第三方机构独立定制研发，拥知识产权得4分，没有不得分。</w:t>
            </w:r>
            <w:r>
              <w:rPr>
                <w:rStyle w:val="49"/>
                <w:rFonts w:hint="eastAsia" w:ascii="宋体" w:hAnsi="宋体" w:eastAsia="宋体" w:cs="宋体"/>
                <w:i w:val="0"/>
                <w:iCs w:val="0"/>
                <w:color w:val="000000"/>
                <w:lang w:val="en-US" w:eastAsia="zh-CN" w:bidi="ar"/>
              </w:rPr>
              <w:t>（相关证明材料复印件加盖公章后装入资信及商务文件中，否则不得分）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5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p>
        </w:tc>
        <w:tc>
          <w:tcPr>
            <w:tcW w:w="161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olor w:val="auto"/>
                <w:highlight w:val="none"/>
                <w:lang w:val="en-US" w:eastAsia="zh-CN"/>
              </w:rPr>
            </w:pPr>
          </w:p>
        </w:tc>
        <w:tc>
          <w:tcPr>
            <w:tcW w:w="972" w:type="dxa"/>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0-7</w:t>
            </w:r>
          </w:p>
        </w:tc>
        <w:tc>
          <w:tcPr>
            <w:tcW w:w="7022"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供应商近五年养老或残疾人托养项目的案例（对运行的入住率，管理水平的先进性、创新性等方面进行评价）。</w:t>
            </w:r>
          </w:p>
          <w:p>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1）横向比较入住率高的，管理水平先进性、创新性好的，得7-5分；</w:t>
            </w:r>
          </w:p>
          <w:p>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2）入住率一般的，管理水平先进性、创新性一般的，得4-3分；</w:t>
            </w:r>
          </w:p>
          <w:p>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3）入住率差的，管理水平先进性、创新性差，得2-1分；</w:t>
            </w:r>
          </w:p>
          <w:p>
            <w:pPr>
              <w:keepNext w:val="0"/>
              <w:keepLines w:val="0"/>
              <w:widowControl/>
              <w:suppressLineNumbers w:val="0"/>
              <w:jc w:val="left"/>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5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1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财务分析</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702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en-US" w:eastAsia="zh-CN" w:bidi="ar-SA"/>
              </w:rPr>
              <w:t>财务分析项：收费标准（合理性最高得2-0分)、财务管理和使用制度（合理性最高得1-0分)、管理服务期内每年的运营收支（合理性最高得0.5-0.0分)及收益预测（合理性最高0.5-0.0分)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53" w:type="dxa"/>
            <w:vAlign w:val="center"/>
          </w:tcPr>
          <w:p>
            <w:pPr>
              <w:bidi w:val="0"/>
              <w:jc w:val="center"/>
              <w:rPr>
                <w:rFonts w:hint="default"/>
                <w:lang w:val="en-US" w:eastAsia="zh-CN"/>
              </w:rPr>
            </w:pPr>
            <w:r>
              <w:rPr>
                <w:rFonts w:hint="eastAsia"/>
                <w:lang w:val="en-US" w:eastAsia="zh-CN"/>
              </w:rPr>
              <w:t>5</w:t>
            </w:r>
          </w:p>
        </w:tc>
        <w:tc>
          <w:tcPr>
            <w:tcW w:w="1615" w:type="dxa"/>
            <w:vAlign w:val="center"/>
          </w:tcPr>
          <w:p>
            <w:pPr>
              <w:bidi w:val="0"/>
              <w:jc w:val="both"/>
              <w:rPr>
                <w:rFonts w:hint="eastAsia"/>
                <w:lang w:val="en-US" w:eastAsia="zh-CN"/>
              </w:rPr>
            </w:pPr>
            <w:r>
              <w:rPr>
                <w:rFonts w:hint="eastAsia"/>
                <w:lang w:val="en-US" w:eastAsia="zh-CN"/>
              </w:rPr>
              <w:t>后续投入方案</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7022" w:type="dxa"/>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根据医疗康复护理服务设备投入是否能满足入住残疾人入托需求，并提供医疗设备拟有效投入不少于500万元主要医疗设施类清单及时间，依据符合程度、优化情况打分（依据先投入,多投入的为优；后投入少投入为劣。若拟投入值少于要求值95%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3" w:type="dxa"/>
            <w:vMerge w:val="restart"/>
            <w:vAlign w:val="center"/>
          </w:tcPr>
          <w:p>
            <w:pPr>
              <w:bidi w:val="0"/>
              <w:jc w:val="center"/>
              <w:rPr>
                <w:rFonts w:hint="default"/>
                <w:lang w:val="en-US" w:eastAsia="zh-CN"/>
              </w:rPr>
            </w:pPr>
            <w:r>
              <w:rPr>
                <w:rFonts w:hint="eastAsia"/>
                <w:lang w:val="en-US" w:eastAsia="zh-CN"/>
              </w:rPr>
              <w:t>6</w:t>
            </w:r>
          </w:p>
        </w:tc>
        <w:tc>
          <w:tcPr>
            <w:tcW w:w="1615" w:type="dxa"/>
            <w:vMerge w:val="restart"/>
            <w:vAlign w:val="center"/>
          </w:tcPr>
          <w:p>
            <w:pPr>
              <w:bidi w:val="0"/>
              <w:jc w:val="both"/>
              <w:rPr>
                <w:rFonts w:hint="eastAsia"/>
                <w:lang w:val="en-US" w:eastAsia="zh-CN"/>
              </w:rPr>
            </w:pPr>
            <w:r>
              <w:rPr>
                <w:rFonts w:hint="eastAsia"/>
                <w:lang w:val="en-US" w:eastAsia="zh-CN"/>
              </w:rPr>
              <w:t>托养人员的服务质量方案</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0-6</w:t>
            </w:r>
          </w:p>
        </w:tc>
        <w:tc>
          <w:tcPr>
            <w:tcW w:w="7022" w:type="dxa"/>
            <w:vAlign w:val="center"/>
          </w:tcPr>
          <w:p>
            <w:pPr>
              <w:tabs>
                <w:tab w:val="left" w:pos="1628"/>
              </w:tabs>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供应商承诺免费提供集中托养人员日常用药每人每年达到600元的（或根据托养残疾人个体情况为其免费提供穿戴衣物）得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分，每增加100元得1分，最高6分。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53" w:type="dxa"/>
            <w:vMerge w:val="continue"/>
            <w:vAlign w:val="center"/>
          </w:tcPr>
          <w:p>
            <w:pPr>
              <w:bidi w:val="0"/>
              <w:jc w:val="center"/>
              <w:rPr>
                <w:rFonts w:hint="eastAsia"/>
                <w:lang w:val="en-US" w:eastAsia="zh-CN"/>
              </w:rPr>
            </w:pPr>
          </w:p>
        </w:tc>
        <w:tc>
          <w:tcPr>
            <w:tcW w:w="1615" w:type="dxa"/>
            <w:vMerge w:val="continue"/>
            <w:vAlign w:val="center"/>
          </w:tcPr>
          <w:p>
            <w:pPr>
              <w:bidi w:val="0"/>
              <w:jc w:val="both"/>
              <w:rPr>
                <w:rFonts w:hint="eastAsia"/>
                <w:lang w:val="en-US" w:eastAsia="zh-CN"/>
              </w:rPr>
            </w:pP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w:t>
            </w:r>
          </w:p>
        </w:tc>
        <w:tc>
          <w:tcPr>
            <w:tcW w:w="70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供应商承诺免费提供毛巾、牙膏、牙刷等日常生活用品。</w:t>
            </w:r>
            <w:r>
              <w:rPr>
                <w:rFonts w:hint="eastAsia" w:ascii="宋体" w:hAnsi="宋体" w:cs="宋体"/>
                <w:color w:val="auto"/>
                <w:kern w:val="2"/>
                <w:sz w:val="21"/>
                <w:szCs w:val="21"/>
                <w:highlight w:val="none"/>
                <w:lang w:val="en-US" w:eastAsia="zh-CN" w:bidi="ar-SA"/>
              </w:rPr>
              <w:t>(提供不全的不得分）</w:t>
            </w:r>
          </w:p>
          <w:p>
            <w:pPr>
              <w:tabs>
                <w:tab w:val="left" w:pos="1628"/>
              </w:tabs>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3" w:type="dxa"/>
            <w:vMerge w:val="continue"/>
            <w:vAlign w:val="center"/>
          </w:tcPr>
          <w:p>
            <w:pPr>
              <w:bidi w:val="0"/>
              <w:jc w:val="center"/>
              <w:rPr>
                <w:rFonts w:hint="default"/>
                <w:lang w:val="en-US" w:eastAsia="zh-CN"/>
              </w:rPr>
            </w:pPr>
          </w:p>
        </w:tc>
        <w:tc>
          <w:tcPr>
            <w:tcW w:w="1615" w:type="dxa"/>
            <w:vMerge w:val="continue"/>
            <w:vAlign w:val="center"/>
          </w:tcPr>
          <w:p>
            <w:pPr>
              <w:bidi w:val="0"/>
              <w:jc w:val="both"/>
              <w:rPr>
                <w:rFonts w:hint="eastAsia"/>
                <w:lang w:val="en-US" w:eastAsia="zh-CN"/>
              </w:rPr>
            </w:pPr>
          </w:p>
        </w:tc>
        <w:tc>
          <w:tcPr>
            <w:tcW w:w="97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7022" w:type="dxa"/>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对指定重度残疾托养人员的服务质量方案（承诺），由评审专家酌情打分。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针对本项目的具体情况，提出了具体可行的</w:t>
            </w:r>
            <w:r>
              <w:rPr>
                <w:rFonts w:hint="eastAsia" w:ascii="宋体" w:hAnsi="宋体" w:cs="宋体"/>
                <w:spacing w:val="-2"/>
                <w:szCs w:val="21"/>
                <w:lang w:val="en-US" w:eastAsia="zh-CN"/>
              </w:rPr>
              <w:t>服务质量方</w:t>
            </w:r>
            <w:r>
              <w:rPr>
                <w:rFonts w:hint="eastAsia" w:ascii="宋体" w:hAnsi="宋体" w:eastAsia="宋体" w:cs="宋体"/>
                <w:spacing w:val="-2"/>
                <w:szCs w:val="21"/>
                <w:lang w:val="en-US" w:eastAsia="zh-CN"/>
              </w:rPr>
              <w:t>案</w:t>
            </w:r>
            <w:r>
              <w:rPr>
                <w:rFonts w:hint="eastAsia" w:ascii="宋体" w:hAnsi="宋体" w:eastAsia="宋体" w:cs="宋体"/>
                <w:szCs w:val="21"/>
                <w:highlight w:val="none"/>
                <w:lang w:eastAsia="zh-CN"/>
              </w:rPr>
              <w:t>，得</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2）针对本项目的具体情况，</w:t>
            </w:r>
            <w:r>
              <w:rPr>
                <w:rFonts w:hint="eastAsia" w:ascii="宋体" w:hAnsi="宋体" w:cs="宋体"/>
                <w:szCs w:val="21"/>
                <w:highlight w:val="none"/>
                <w:lang w:val="en-US" w:eastAsia="zh-CN"/>
              </w:rPr>
              <w:t>合理性、</w:t>
            </w:r>
            <w:r>
              <w:rPr>
                <w:rFonts w:hint="eastAsia" w:ascii="宋体" w:hAnsi="宋体" w:eastAsia="宋体" w:cs="宋体"/>
                <w:szCs w:val="21"/>
                <w:highlight w:val="none"/>
                <w:lang w:val="en-US" w:eastAsia="zh-CN"/>
              </w:rPr>
              <w:t>可行性一般的，得</w:t>
            </w:r>
            <w:r>
              <w:rPr>
                <w:rFonts w:hint="eastAsia" w:ascii="宋体" w:hAnsi="宋体" w:cs="宋体"/>
                <w:szCs w:val="21"/>
                <w:highlight w:val="none"/>
                <w:lang w:val="en-US" w:eastAsia="zh-CN"/>
              </w:rPr>
              <w:t>3-2</w:t>
            </w:r>
            <w:r>
              <w:rPr>
                <w:rFonts w:hint="eastAsia" w:ascii="宋体" w:hAnsi="宋体" w:eastAsia="宋体" w:cs="宋体"/>
                <w:szCs w:val="21"/>
                <w:highlight w:val="none"/>
                <w:lang w:val="en-US" w:eastAsia="zh-CN"/>
              </w:rPr>
              <w:t>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3）上述内容的不完整 、合理性差，可行性差，得</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分；</w:t>
            </w:r>
          </w:p>
          <w:p>
            <w:pPr>
              <w:rPr>
                <w:rFonts w:hint="eastAsia"/>
                <w:lang w:val="en-US" w:eastAsia="zh-CN"/>
              </w:rPr>
            </w:pPr>
            <w:r>
              <w:rPr>
                <w:rFonts w:hint="eastAsia" w:ascii="宋体" w:hAnsi="宋体" w:eastAsia="宋体" w:cs="宋体"/>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95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615"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管理方案</w:t>
            </w:r>
          </w:p>
        </w:tc>
        <w:tc>
          <w:tcPr>
            <w:tcW w:w="972" w:type="dxa"/>
            <w:vAlign w:val="center"/>
          </w:tcPr>
          <w:p>
            <w:pPr>
              <w:keepNext w:val="0"/>
              <w:keepLines w:val="0"/>
              <w:widowControl/>
              <w:suppressLineNumbers w:val="0"/>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3</w:t>
            </w:r>
          </w:p>
        </w:tc>
        <w:tc>
          <w:tcPr>
            <w:tcW w:w="70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对该项目整体管理理念、建设计划的科学合理性与可行性</w:t>
            </w:r>
            <w:r>
              <w:rPr>
                <w:rFonts w:hint="eastAsia" w:ascii="宋体" w:hAnsi="宋体" w:eastAsia="宋体" w:cs="宋体"/>
                <w:spacing w:val="-2"/>
                <w:szCs w:val="21"/>
              </w:rPr>
              <w:t>由评审专家酌情打分</w:t>
            </w:r>
            <w:r>
              <w:rPr>
                <w:rFonts w:hint="eastAsia" w:ascii="宋体" w:hAnsi="宋体" w:eastAsia="宋体" w:cs="宋体"/>
                <w:i w:val="0"/>
                <w:iCs w:val="0"/>
                <w:color w:val="000000"/>
                <w:kern w:val="0"/>
                <w:sz w:val="22"/>
                <w:szCs w:val="22"/>
                <w:u w:val="none"/>
                <w:lang w:val="en-US" w:eastAsia="zh-CN" w:bidi="ar"/>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针对本项目的具体情况，提出了具体可行的</w:t>
            </w:r>
            <w:r>
              <w:rPr>
                <w:rFonts w:hint="eastAsia" w:ascii="宋体" w:hAnsi="宋体" w:cs="宋体"/>
                <w:spacing w:val="-2"/>
                <w:szCs w:val="21"/>
                <w:lang w:val="en-US" w:eastAsia="zh-CN"/>
              </w:rPr>
              <w:t>管理理念</w:t>
            </w:r>
            <w:r>
              <w:rPr>
                <w:rFonts w:hint="eastAsia" w:ascii="宋体" w:hAnsi="宋体" w:eastAsia="宋体" w:cs="宋体"/>
                <w:szCs w:val="21"/>
                <w:highlight w:val="none"/>
                <w:lang w:eastAsia="zh-CN"/>
              </w:rPr>
              <w:t>，得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2）针对本项目的具体情况，</w:t>
            </w:r>
            <w:r>
              <w:rPr>
                <w:rFonts w:hint="eastAsia" w:ascii="宋体" w:hAnsi="宋体" w:cs="宋体"/>
                <w:szCs w:val="21"/>
                <w:highlight w:val="none"/>
                <w:lang w:val="en-US" w:eastAsia="zh-CN"/>
              </w:rPr>
              <w:t>合理性、</w:t>
            </w:r>
            <w:r>
              <w:rPr>
                <w:rFonts w:hint="eastAsia" w:ascii="宋体" w:hAnsi="宋体" w:eastAsia="宋体" w:cs="宋体"/>
                <w:szCs w:val="21"/>
                <w:highlight w:val="none"/>
                <w:lang w:val="en-US" w:eastAsia="zh-CN"/>
              </w:rPr>
              <w:t>可行性一般的，得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3）上述内容的不完整 、合理性差，可行性差，得</w:t>
            </w:r>
            <w:r>
              <w:rPr>
                <w:rFonts w:hint="eastAsia" w:ascii="宋体" w:hAnsi="宋体" w:cs="宋体"/>
                <w:szCs w:val="21"/>
                <w:highlight w:val="none"/>
                <w:lang w:val="en-US" w:eastAsia="zh-CN"/>
              </w:rPr>
              <w:t>1</w:t>
            </w:r>
            <w:bookmarkStart w:id="125" w:name="_GoBack"/>
            <w:bookmarkEnd w:id="125"/>
            <w:r>
              <w:rPr>
                <w:rFonts w:hint="eastAsia" w:ascii="宋体" w:hAnsi="宋体" w:eastAsia="宋体" w:cs="宋体"/>
                <w:szCs w:val="21"/>
                <w:highlight w:val="none"/>
                <w:lang w:val="en-US" w:eastAsia="zh-CN"/>
              </w:rPr>
              <w:t>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zh-CN" w:eastAsia="zh-CN" w:bidi="ar"/>
              </w:rPr>
            </w:pPr>
            <w:r>
              <w:rPr>
                <w:rFonts w:hint="eastAsia" w:ascii="宋体" w:hAnsi="宋体" w:eastAsia="宋体" w:cs="宋体"/>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p>
        </w:tc>
        <w:tc>
          <w:tcPr>
            <w:tcW w:w="161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p>
        </w:tc>
        <w:tc>
          <w:tcPr>
            <w:tcW w:w="972" w:type="dxa"/>
            <w:vAlign w:val="center"/>
          </w:tcPr>
          <w:p>
            <w:pPr>
              <w:keepNext w:val="0"/>
              <w:keepLines w:val="0"/>
              <w:pageBreakBefore w:val="0"/>
              <w:kinsoku/>
              <w:wordWrap/>
              <w:overflowPunct/>
              <w:topLinePunct w:val="0"/>
              <w:autoSpaceDE/>
              <w:autoSpaceDN/>
              <w:bidi w:val="0"/>
              <w:snapToGrid w:val="0"/>
              <w:spacing w:line="312" w:lineRule="auto"/>
              <w:jc w:val="center"/>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0-4</w:t>
            </w:r>
          </w:p>
        </w:tc>
        <w:tc>
          <w:tcPr>
            <w:tcW w:w="7022" w:type="dxa"/>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根据提供的整体运营方案和经营模式的科学性、合理性、可行性及优劣性由评审专家酌情打分。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1）针对本项目的具体情况，提出了具体可行的运营方案等，得4分；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2）针对本项目的具体情况，合理性、可行性一般的，得3-2分；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3）上述内容的不完整 、合理性差，可行性差，得1-0分；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5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p>
        </w:tc>
        <w:tc>
          <w:tcPr>
            <w:tcW w:w="161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p>
        </w:tc>
        <w:tc>
          <w:tcPr>
            <w:tcW w:w="972"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c>
          <w:tcPr>
            <w:tcW w:w="7022" w:type="dxa"/>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根据医养结合服务理念、专业发展定位及服务项目配置是否合理、护理等级是否实行分区管理、能否满足残疾人服务需求等情况</w:t>
            </w:r>
            <w:r>
              <w:rPr>
                <w:rFonts w:hint="eastAsia" w:ascii="宋体" w:hAnsi="宋体" w:eastAsia="宋体" w:cs="宋体"/>
                <w:spacing w:val="-2"/>
                <w:szCs w:val="21"/>
              </w:rPr>
              <w:t>由评审专家酌情打分</w:t>
            </w:r>
            <w:r>
              <w:rPr>
                <w:rFonts w:hint="eastAsia" w:ascii="宋体" w:hAnsi="宋体" w:eastAsia="宋体" w:cs="宋体"/>
                <w:i w:val="0"/>
                <w:iCs w:val="0"/>
                <w:color w:val="000000"/>
                <w:kern w:val="0"/>
                <w:sz w:val="22"/>
                <w:szCs w:val="22"/>
                <w:u w:val="none"/>
                <w:lang w:val="en-US" w:eastAsia="zh-CN" w:bidi="ar"/>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针对本项目的具体情况，提出了具体可行的</w:t>
            </w:r>
            <w:r>
              <w:rPr>
                <w:rFonts w:hint="eastAsia" w:ascii="宋体" w:hAnsi="宋体" w:cs="宋体"/>
                <w:spacing w:val="-2"/>
                <w:szCs w:val="21"/>
                <w:lang w:val="en-US" w:eastAsia="zh-CN"/>
              </w:rPr>
              <w:t>服务理念等</w:t>
            </w:r>
            <w:r>
              <w:rPr>
                <w:rFonts w:hint="eastAsia" w:ascii="宋体" w:hAnsi="宋体" w:eastAsia="宋体" w:cs="宋体"/>
                <w:szCs w:val="21"/>
                <w:highlight w:val="none"/>
                <w:lang w:eastAsia="zh-CN"/>
              </w:rPr>
              <w:t>，得</w:t>
            </w:r>
            <w:r>
              <w:rPr>
                <w:rFonts w:hint="eastAsia" w:ascii="宋体" w:hAnsi="宋体" w:cs="宋体"/>
                <w:szCs w:val="21"/>
                <w:highlight w:val="none"/>
                <w:lang w:val="en-US" w:eastAsia="zh-CN"/>
              </w:rPr>
              <w:t>5-4</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2）针对本项目的具体情况，</w:t>
            </w:r>
            <w:r>
              <w:rPr>
                <w:rFonts w:hint="eastAsia" w:ascii="宋体" w:hAnsi="宋体" w:cs="宋体"/>
                <w:szCs w:val="21"/>
                <w:highlight w:val="none"/>
                <w:lang w:val="en-US" w:eastAsia="zh-CN"/>
              </w:rPr>
              <w:t>合理性、</w:t>
            </w:r>
            <w:r>
              <w:rPr>
                <w:rFonts w:hint="eastAsia" w:ascii="宋体" w:hAnsi="宋体" w:eastAsia="宋体" w:cs="宋体"/>
                <w:szCs w:val="21"/>
                <w:highlight w:val="none"/>
                <w:lang w:val="en-US" w:eastAsia="zh-CN"/>
              </w:rPr>
              <w:t>可行性一般的，得</w:t>
            </w:r>
            <w:r>
              <w:rPr>
                <w:rFonts w:hint="eastAsia" w:ascii="宋体" w:hAnsi="宋体" w:cs="宋体"/>
                <w:szCs w:val="21"/>
                <w:highlight w:val="none"/>
                <w:lang w:val="en-US" w:eastAsia="zh-CN"/>
              </w:rPr>
              <w:t>3-2</w:t>
            </w:r>
            <w:r>
              <w:rPr>
                <w:rFonts w:hint="eastAsia" w:ascii="宋体" w:hAnsi="宋体" w:eastAsia="宋体" w:cs="宋体"/>
                <w:szCs w:val="21"/>
                <w:highlight w:val="none"/>
                <w:lang w:val="en-US" w:eastAsia="zh-CN"/>
              </w:rPr>
              <w:t>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3）上述内容的不完整 、合理性差，可行性差，得</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分；</w:t>
            </w:r>
          </w:p>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5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p>
        </w:tc>
        <w:tc>
          <w:tcPr>
            <w:tcW w:w="161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p>
        </w:tc>
        <w:tc>
          <w:tcPr>
            <w:tcW w:w="97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4</w:t>
            </w:r>
          </w:p>
        </w:tc>
        <w:tc>
          <w:tcPr>
            <w:tcW w:w="7022" w:type="dxa"/>
            <w:vAlign w:val="center"/>
          </w:tcPr>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根据提供收费标准的合理性、可行性及优劣性进行</w:t>
            </w:r>
            <w:r>
              <w:rPr>
                <w:rFonts w:hint="eastAsia" w:ascii="宋体" w:hAnsi="宋体" w:eastAsia="宋体" w:cs="宋体"/>
                <w:spacing w:val="-2"/>
                <w:szCs w:val="21"/>
              </w:rPr>
              <w:t>由评审专家酌情打分</w:t>
            </w:r>
            <w:r>
              <w:rPr>
                <w:rFonts w:hint="eastAsia" w:ascii="宋体" w:hAnsi="宋体" w:eastAsia="宋体" w:cs="宋体"/>
                <w:i w:val="0"/>
                <w:iCs w:val="0"/>
                <w:color w:val="000000"/>
                <w:kern w:val="0"/>
                <w:sz w:val="22"/>
                <w:szCs w:val="22"/>
                <w:u w:val="none"/>
                <w:lang w:val="en-US" w:eastAsia="zh-CN" w:bidi="ar"/>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针对本项目的具体情况，提出了具体可行的</w:t>
            </w:r>
            <w:r>
              <w:rPr>
                <w:rFonts w:hint="eastAsia" w:ascii="宋体" w:hAnsi="宋体" w:cs="宋体"/>
                <w:spacing w:val="-2"/>
                <w:szCs w:val="21"/>
                <w:lang w:val="en-US" w:eastAsia="zh-CN"/>
              </w:rPr>
              <w:t>收费标准等</w:t>
            </w:r>
            <w:r>
              <w:rPr>
                <w:rFonts w:hint="eastAsia" w:ascii="宋体" w:hAnsi="宋体" w:eastAsia="宋体" w:cs="宋体"/>
                <w:szCs w:val="21"/>
                <w:highlight w:val="none"/>
                <w:lang w:eastAsia="zh-CN"/>
              </w:rPr>
              <w:t>，得</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2）针对本项目的具体情况，</w:t>
            </w:r>
            <w:r>
              <w:rPr>
                <w:rFonts w:hint="eastAsia" w:ascii="宋体" w:hAnsi="宋体" w:cs="宋体"/>
                <w:szCs w:val="21"/>
                <w:highlight w:val="none"/>
                <w:lang w:val="en-US" w:eastAsia="zh-CN"/>
              </w:rPr>
              <w:t>合理性、</w:t>
            </w:r>
            <w:r>
              <w:rPr>
                <w:rFonts w:hint="eastAsia" w:ascii="宋体" w:hAnsi="宋体" w:eastAsia="宋体" w:cs="宋体"/>
                <w:szCs w:val="21"/>
                <w:highlight w:val="none"/>
                <w:lang w:val="en-US" w:eastAsia="zh-CN"/>
              </w:rPr>
              <w:t>可行性一般的，得</w:t>
            </w:r>
            <w:r>
              <w:rPr>
                <w:rFonts w:hint="eastAsia" w:ascii="宋体" w:hAnsi="宋体" w:cs="宋体"/>
                <w:szCs w:val="21"/>
                <w:highlight w:val="none"/>
                <w:lang w:val="en-US" w:eastAsia="zh-CN"/>
              </w:rPr>
              <w:t>3-2</w:t>
            </w:r>
            <w:r>
              <w:rPr>
                <w:rFonts w:hint="eastAsia" w:ascii="宋体" w:hAnsi="宋体" w:eastAsia="宋体" w:cs="宋体"/>
                <w:szCs w:val="21"/>
                <w:highlight w:val="none"/>
                <w:lang w:val="en-US" w:eastAsia="zh-CN"/>
              </w:rPr>
              <w:t>分；</w:t>
            </w:r>
          </w:p>
          <w:p>
            <w:pPr>
              <w:keepNext w:val="0"/>
              <w:keepLines w:val="0"/>
              <w:pageBreakBefore w:val="0"/>
              <w:kinsoku/>
              <w:wordWrap/>
              <w:overflowPunct/>
              <w:topLinePunct w:val="0"/>
              <w:autoSpaceDE/>
              <w:autoSpaceDN/>
              <w:bidi w:val="0"/>
              <w:snapToGrid w:val="0"/>
              <w:spacing w:line="312"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3）上述内容的不完整 、合理性差，可行性差，得</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分；</w:t>
            </w:r>
          </w:p>
          <w:p>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Cs w:val="21"/>
                <w:highlight w:val="none"/>
                <w:lang w:val="en-US" w:eastAsia="zh-CN"/>
              </w:rPr>
              <w:t xml:space="preserve">不提供不得分 </w:t>
            </w:r>
          </w:p>
        </w:tc>
      </w:tr>
    </w:tbl>
    <w:tbl>
      <w:tblPr>
        <w:tblStyle w:val="23"/>
        <w:tblpPr w:leftFromText="180" w:rightFromText="180" w:vertAnchor="text" w:horzAnchor="page" w:tblpX="826" w:tblpY="38"/>
        <w:tblOverlap w:val="never"/>
        <w:tblW w:w="10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599"/>
        <w:gridCol w:w="984"/>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4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tc>
        <w:tc>
          <w:tcPr>
            <w:tcW w:w="159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sz w:val="21"/>
                <w:szCs w:val="21"/>
                <w:highlight w:val="none"/>
                <w:lang w:val="en-US" w:eastAsia="zh-CN"/>
              </w:rPr>
            </w:pP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703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根据提供</w:t>
            </w:r>
            <w:r>
              <w:rPr>
                <w:rFonts w:hint="eastAsia" w:ascii="宋体" w:hAnsi="宋体" w:eastAsia="宋体" w:cs="宋体"/>
                <w:szCs w:val="21"/>
                <w:highlight w:val="none"/>
                <w:lang w:val="en-US" w:eastAsia="zh-CN"/>
              </w:rPr>
              <w:t>的托养中心的定</w:t>
            </w:r>
            <w:r>
              <w:rPr>
                <w:rFonts w:hint="eastAsia" w:ascii="宋体" w:hAnsi="宋体" w:eastAsia="宋体" w:cs="宋体"/>
                <w:color w:val="auto"/>
                <w:sz w:val="21"/>
                <w:szCs w:val="21"/>
                <w:highlight w:val="none"/>
                <w:lang w:val="en-US" w:eastAsia="zh-CN"/>
              </w:rPr>
              <w:t>位及投入运行方案，</w:t>
            </w:r>
            <w:r>
              <w:rPr>
                <w:rFonts w:hint="eastAsia" w:ascii="宋体" w:hAnsi="宋体" w:eastAsia="宋体" w:cs="宋体"/>
                <w:color w:val="auto"/>
                <w:sz w:val="21"/>
                <w:szCs w:val="21"/>
                <w:highlight w:val="none"/>
              </w:rPr>
              <w:t>由评审专家酌情打分</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针对本项目的具体情况，提出了具体可行的</w:t>
            </w:r>
            <w:r>
              <w:rPr>
                <w:rFonts w:hint="eastAsia" w:ascii="宋体" w:hAnsi="宋体" w:eastAsia="宋体" w:cs="宋体"/>
                <w:color w:val="auto"/>
                <w:sz w:val="21"/>
                <w:szCs w:val="21"/>
                <w:highlight w:val="none"/>
                <w:lang w:val="en-US" w:eastAsia="zh-CN"/>
              </w:rPr>
              <w:t>运行方案</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2）针对本项目的具体情况，合理性、可行性一般的，得</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3）上述内容的不完整 、合理性差，可行性差，得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4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99"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人员配备</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703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根据护理人员队伍配备建设方案，</w:t>
            </w:r>
            <w:r>
              <w:rPr>
                <w:rFonts w:hint="eastAsia" w:ascii="宋体" w:hAnsi="宋体" w:eastAsia="宋体" w:cs="宋体"/>
                <w:color w:val="auto"/>
                <w:sz w:val="21"/>
                <w:szCs w:val="21"/>
                <w:highlight w:val="none"/>
              </w:rPr>
              <w:t>由评审专家酌情打分</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针对本项目的具体情况，提出了具体可行的</w:t>
            </w:r>
            <w:r>
              <w:rPr>
                <w:rFonts w:hint="eastAsia" w:ascii="宋体" w:hAnsi="宋体" w:eastAsia="宋体" w:cs="宋体"/>
                <w:color w:val="auto"/>
                <w:sz w:val="21"/>
                <w:szCs w:val="21"/>
                <w:highlight w:val="none"/>
                <w:lang w:val="en-US" w:eastAsia="zh-CN"/>
              </w:rPr>
              <w:t>建设方案</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2）针对本项目的具体情况，合理性、可行性一般的，得</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3）上述内容的不完整 、合理性差，可行性差，得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tc>
        <w:tc>
          <w:tcPr>
            <w:tcW w:w="159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703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残疾人托养中心根据专业医务人员资质和人员配备比例情况</w:t>
            </w:r>
            <w:r>
              <w:rPr>
                <w:rFonts w:hint="eastAsia" w:ascii="宋体" w:hAnsi="宋体" w:eastAsia="宋体" w:cs="宋体"/>
                <w:color w:val="auto"/>
                <w:sz w:val="21"/>
                <w:szCs w:val="21"/>
                <w:highlight w:val="none"/>
              </w:rPr>
              <w:t>由评审专家酌情打分</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针对本项目的具体情况，提出了具体可行的</w:t>
            </w:r>
            <w:r>
              <w:rPr>
                <w:rFonts w:hint="eastAsia" w:ascii="宋体" w:hAnsi="宋体" w:eastAsia="宋体" w:cs="宋体"/>
                <w:color w:val="auto"/>
                <w:sz w:val="21"/>
                <w:szCs w:val="21"/>
                <w:highlight w:val="none"/>
                <w:lang w:val="en-US" w:eastAsia="zh-CN"/>
              </w:rPr>
              <w:t>比例情况</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2）针对本项目的具体情况，合理性、可行性一般的，得</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3）上述内容的不完整 、合理性差，可行性差，得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4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tc>
        <w:tc>
          <w:tcPr>
            <w:tcW w:w="1599"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703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根据派驻的社工人员的数量，持证等情况内容</w:t>
            </w:r>
            <w:r>
              <w:rPr>
                <w:rFonts w:hint="eastAsia" w:ascii="宋体" w:hAnsi="宋体" w:eastAsia="宋体" w:cs="宋体"/>
                <w:color w:val="auto"/>
                <w:sz w:val="21"/>
                <w:szCs w:val="21"/>
                <w:highlight w:val="none"/>
              </w:rPr>
              <w:t>由评审专家酌情打分</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4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应急保障措</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施</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c>
          <w:tcPr>
            <w:tcW w:w="703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根据本项目提出突发事件发生时的应急预案和应急处理措施方案，由评审专家酌情打分。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1）针对本项目的具体情况，提出了具体可行的安全管理方案等，得4分；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2）针对本项目的具体情况，合理性、可行性一般的，得3-2分；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3）上述内容的不完整 、合理性差，可行性差，得1-0分；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4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9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创新性建议</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703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对本项目的合理化建议及服务优惠承诺等</w:t>
            </w:r>
            <w:r>
              <w:rPr>
                <w:rFonts w:hint="eastAsia" w:ascii="宋体" w:hAnsi="宋体" w:eastAsia="宋体" w:cs="宋体"/>
                <w:color w:val="auto"/>
                <w:sz w:val="21"/>
                <w:szCs w:val="21"/>
                <w:highlight w:val="none"/>
              </w:rPr>
              <w:t>由评审专家酌情打分</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针对本项目的具体情况，提出了合理可行的</w:t>
            </w:r>
            <w:r>
              <w:rPr>
                <w:rFonts w:hint="eastAsia" w:ascii="宋体" w:hAnsi="宋体" w:eastAsia="宋体" w:cs="宋体"/>
                <w:color w:val="auto"/>
                <w:sz w:val="21"/>
                <w:szCs w:val="21"/>
                <w:highlight w:val="none"/>
                <w:lang w:val="en-US" w:eastAsia="zh-CN"/>
              </w:rPr>
              <w:t>建议及承诺</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2）针对本项目的具体情况，合理性、可行性一般的，得2-1分；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不提供不得分 </w:t>
            </w:r>
          </w:p>
        </w:tc>
      </w:tr>
      <w:bookmarkEnd w:id="123"/>
      <w:bookmarkEnd w:id="124"/>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本项目最终得分=资信商务及技术得分＋报价得分；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评分时保留小数2位，计算评分值时保留小数2位，第三位小数按四舍五入取舍。</w:t>
      </w:r>
    </w:p>
    <w:sectPr>
      <w:headerReference r:id="rId8" w:type="first"/>
      <w:footerReference r:id="rId9" w:type="first"/>
      <w:headerReference r:id="rId7" w:type="default"/>
      <w:pgSz w:w="11906" w:h="16838"/>
      <w:pgMar w:top="1240" w:right="866" w:bottom="1440" w:left="96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ind w:right="360"/>
      <w:rPr>
        <w:rFonts w:hint="default"/>
        <w:lang w:val="en-US"/>
      </w:rPr>
    </w:pPr>
    <w:r>
      <w:rPr>
        <w:rFonts w:hint="eastAsia" w:ascii="宋体" w:hAnsi="宋体" w:eastAsia="宋体"/>
        <w:sz w:val="20"/>
      </w:rPr>
      <w:t>招标代理机构：</w:t>
    </w:r>
    <w:r>
      <w:rPr>
        <w:rFonts w:hint="eastAsia" w:ascii="宋体" w:hAnsi="宋体"/>
        <w:sz w:val="20"/>
        <w:lang w:eastAsia="zh-CN"/>
      </w:rPr>
      <w:t>浙江惠同建设工程管理有限公司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r>
      <w:rPr>
        <w:rFonts w:hint="eastAsia" w:ascii="宋体" w:hAnsi="宋体" w:eastAsia="宋体"/>
        <w:sz w:val="20"/>
      </w:rPr>
      <w:t>电话：</w:t>
    </w:r>
    <w:r>
      <w:rPr>
        <w:rFonts w:hint="eastAsia" w:ascii="宋体" w:hAnsi="宋体" w:eastAsia="宋体"/>
        <w:sz w:val="20"/>
        <w:lang w:val="en-US" w:eastAsia="zh-CN"/>
      </w:rPr>
      <w:t>0578-5520525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ind w:right="360"/>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sz w:val="20"/>
      </w:rPr>
      <w:t>招标代理机构：</w:t>
    </w:r>
    <w:r>
      <w:rPr>
        <w:rFonts w:hint="eastAsia" w:ascii="宋体" w:hAnsi="宋体"/>
        <w:sz w:val="20"/>
        <w:lang w:eastAsia="zh-CN"/>
      </w:rPr>
      <w:t>浙江惠同建设工程管理有限公司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r>
      <w:rPr>
        <w:rFonts w:hint="eastAsia" w:ascii="宋体" w:hAnsi="宋体" w:eastAsia="宋体"/>
        <w:sz w:val="20"/>
      </w:rPr>
      <w:t>电话：</w:t>
    </w:r>
    <w:r>
      <w:rPr>
        <w:rFonts w:hint="eastAsia" w:ascii="宋体" w:hAnsi="宋体"/>
        <w:sz w:val="20"/>
        <w:lang w:val="en-US" w:eastAsia="zh-CN"/>
      </w:rPr>
      <w:t>15005783895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ind w:right="360"/>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sz w:val="20"/>
      </w:rPr>
      <w:t>招标代理机构：</w:t>
    </w:r>
    <w:r>
      <w:rPr>
        <w:rFonts w:hint="eastAsia" w:ascii="宋体" w:hAnsi="宋体"/>
        <w:sz w:val="20"/>
        <w:lang w:eastAsia="zh-CN"/>
      </w:rPr>
      <w:t>浙江惠同建设工程管理有限公司</w:t>
    </w:r>
    <w:r>
      <w:rPr>
        <w:rFonts w:hint="eastAsia" w:ascii="宋体" w:hAnsi="宋体" w:eastAsia="宋体"/>
        <w:sz w:val="20"/>
      </w:rPr>
      <w:t xml:space="preserve">  </w:t>
    </w:r>
    <w:r>
      <w:rPr>
        <w:rFonts w:hint="eastAsia" w:ascii="宋体" w:hAnsi="宋体" w:eastAsia="宋体"/>
        <w:sz w:val="20"/>
        <w:lang w:val="en-US" w:eastAsia="zh-CN"/>
      </w:rPr>
      <w:t xml:space="preserve">                                   </w:t>
    </w:r>
    <w:r>
      <w:rPr>
        <w:rFonts w:hint="eastAsia" w:ascii="宋体" w:hAnsi="宋体" w:eastAsia="宋体"/>
        <w:sz w:val="20"/>
      </w:rPr>
      <w:t>电话：</w:t>
    </w:r>
    <w:r>
      <w:rPr>
        <w:rFonts w:hint="eastAsia" w:ascii="宋体" w:hAnsi="宋体" w:eastAsia="宋体"/>
        <w:sz w:val="20"/>
        <w:lang w:val="en-US" w:eastAsia="zh-CN"/>
      </w:rPr>
      <w:t>0578-</w:t>
    </w:r>
    <w:r>
      <w:rPr>
        <w:rFonts w:hint="eastAsia" w:ascii="宋体" w:hAnsi="宋体"/>
        <w:sz w:val="20"/>
        <w:lang w:val="en-US" w:eastAsia="zh-CN"/>
      </w:rPr>
      <w:t>5538879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pPr>
    <w:r>
      <w:rPr>
        <w:rFonts w:hint="eastAsia" w:ascii="宋体" w:hAnsi="宋体" w:cs="宋体"/>
        <w:sz w:val="21"/>
        <w:szCs w:val="21"/>
        <w:lang w:eastAsia="zh-CN"/>
      </w:rPr>
      <w:t>青田县残疾人综合服务中心委托运营管理项目</w:t>
    </w:r>
    <w:r>
      <w:rPr>
        <w:rFonts w:hint="eastAsia" w:ascii="宋体" w:hAnsi="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pPr>
    <w:r>
      <w:rPr>
        <w:rFonts w:hint="eastAsia" w:ascii="宋体" w:hAnsi="宋体" w:cs="宋体"/>
        <w:sz w:val="21"/>
        <w:szCs w:val="21"/>
        <w:lang w:eastAsia="zh-CN"/>
      </w:rPr>
      <w:t>青田县残疾人综合服务中心委托运营管理项目</w:t>
    </w:r>
    <w:r>
      <w:rPr>
        <w:rFonts w:hint="eastAsia" w:ascii="宋体" w:hAnsi="宋体" w:cs="宋体"/>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pPr>
    <w:r>
      <w:rPr>
        <w:rFonts w:hint="eastAsia" w:ascii="宋体" w:hAnsi="宋体" w:cs="宋体"/>
        <w:sz w:val="21"/>
        <w:szCs w:val="21"/>
        <w:lang w:eastAsia="zh-CN"/>
      </w:rPr>
      <w:t>青田县残疾人综合服务中心委托运营管理项目</w:t>
    </w:r>
    <w:r>
      <w:rPr>
        <w:rFonts w:hint="eastAsia" w:ascii="宋体" w:hAnsi="宋体" w:cs="宋体"/>
        <w:sz w:val="21"/>
        <w:szCs w:val="21"/>
      </w:rPr>
      <w:t>竞争性磋商文件</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640D3"/>
    <w:multiLevelType w:val="singleLevel"/>
    <w:tmpl w:val="088640D3"/>
    <w:lvl w:ilvl="0" w:tentative="0">
      <w:start w:val="2"/>
      <w:numFmt w:val="chineseCounting"/>
      <w:suff w:val="nothing"/>
      <w:lvlText w:val="%1、"/>
      <w:lvlJc w:val="left"/>
      <w:rPr>
        <w:rFonts w:hint="eastAsia"/>
      </w:rPr>
    </w:lvl>
  </w:abstractNum>
  <w:abstractNum w:abstractNumId="1">
    <w:nsid w:val="13693B10"/>
    <w:multiLevelType w:val="singleLevel"/>
    <w:tmpl w:val="13693B10"/>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2120B4EA"/>
    <w:multiLevelType w:val="singleLevel"/>
    <w:tmpl w:val="2120B4EA"/>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OTNlOTRiYWNhYThjZjFkMjJlYTk5ZDllYTkyOTEifQ=="/>
  </w:docVars>
  <w:rsids>
    <w:rsidRoot w:val="127E314D"/>
    <w:rsid w:val="000B6281"/>
    <w:rsid w:val="00F86DE6"/>
    <w:rsid w:val="01560A8F"/>
    <w:rsid w:val="01E23F97"/>
    <w:rsid w:val="03836A76"/>
    <w:rsid w:val="03914FCC"/>
    <w:rsid w:val="04347A0A"/>
    <w:rsid w:val="04F05A45"/>
    <w:rsid w:val="052719D4"/>
    <w:rsid w:val="05B20F4D"/>
    <w:rsid w:val="05CD5394"/>
    <w:rsid w:val="06231E4A"/>
    <w:rsid w:val="072C0A97"/>
    <w:rsid w:val="074E105B"/>
    <w:rsid w:val="07FF2C05"/>
    <w:rsid w:val="08442E22"/>
    <w:rsid w:val="08814ABF"/>
    <w:rsid w:val="091001B3"/>
    <w:rsid w:val="09354689"/>
    <w:rsid w:val="09374DB2"/>
    <w:rsid w:val="09CA15FB"/>
    <w:rsid w:val="0ABA2E08"/>
    <w:rsid w:val="0B3348DE"/>
    <w:rsid w:val="0B4E0730"/>
    <w:rsid w:val="0B8F617F"/>
    <w:rsid w:val="0BEF3B6A"/>
    <w:rsid w:val="0C040028"/>
    <w:rsid w:val="0C1B1C59"/>
    <w:rsid w:val="0C4A6E11"/>
    <w:rsid w:val="0C5C1993"/>
    <w:rsid w:val="0C94770E"/>
    <w:rsid w:val="0C9F66CF"/>
    <w:rsid w:val="0CC655AB"/>
    <w:rsid w:val="0D8238FA"/>
    <w:rsid w:val="0DDD7D5C"/>
    <w:rsid w:val="0E835D2D"/>
    <w:rsid w:val="0F0A247F"/>
    <w:rsid w:val="0F0B0C88"/>
    <w:rsid w:val="0FAD72D9"/>
    <w:rsid w:val="0FB30EDE"/>
    <w:rsid w:val="0FC4592A"/>
    <w:rsid w:val="109A01D6"/>
    <w:rsid w:val="10C64A87"/>
    <w:rsid w:val="10CA5CE4"/>
    <w:rsid w:val="10D47672"/>
    <w:rsid w:val="10FB39C9"/>
    <w:rsid w:val="113965D0"/>
    <w:rsid w:val="118B0F65"/>
    <w:rsid w:val="12384497"/>
    <w:rsid w:val="126A78BE"/>
    <w:rsid w:val="127E314D"/>
    <w:rsid w:val="12887BC1"/>
    <w:rsid w:val="13390EFF"/>
    <w:rsid w:val="13F84916"/>
    <w:rsid w:val="148F1103"/>
    <w:rsid w:val="14C56285"/>
    <w:rsid w:val="159B3CED"/>
    <w:rsid w:val="1652416B"/>
    <w:rsid w:val="16CF36C7"/>
    <w:rsid w:val="170A6E3A"/>
    <w:rsid w:val="178347CF"/>
    <w:rsid w:val="17B84AE8"/>
    <w:rsid w:val="19407BE6"/>
    <w:rsid w:val="196E0440"/>
    <w:rsid w:val="19742C91"/>
    <w:rsid w:val="1AC11F06"/>
    <w:rsid w:val="1B8E223A"/>
    <w:rsid w:val="1B917B2A"/>
    <w:rsid w:val="1BC647A1"/>
    <w:rsid w:val="1BFE76A0"/>
    <w:rsid w:val="1C555649"/>
    <w:rsid w:val="1C560397"/>
    <w:rsid w:val="1C632B49"/>
    <w:rsid w:val="1C7A6810"/>
    <w:rsid w:val="1D6B7F07"/>
    <w:rsid w:val="1DAA1A4F"/>
    <w:rsid w:val="1E04425D"/>
    <w:rsid w:val="1E0A3D9A"/>
    <w:rsid w:val="1EB34817"/>
    <w:rsid w:val="1F5F40BD"/>
    <w:rsid w:val="1FD75D28"/>
    <w:rsid w:val="202F16C0"/>
    <w:rsid w:val="20623843"/>
    <w:rsid w:val="221B494C"/>
    <w:rsid w:val="235B1ECD"/>
    <w:rsid w:val="242A0059"/>
    <w:rsid w:val="24B26FF0"/>
    <w:rsid w:val="24E91D7F"/>
    <w:rsid w:val="251D242F"/>
    <w:rsid w:val="258C4EBE"/>
    <w:rsid w:val="25931158"/>
    <w:rsid w:val="25AE61E7"/>
    <w:rsid w:val="25B53D0A"/>
    <w:rsid w:val="25B61BC7"/>
    <w:rsid w:val="265F5158"/>
    <w:rsid w:val="270011E4"/>
    <w:rsid w:val="275E1C63"/>
    <w:rsid w:val="278C564A"/>
    <w:rsid w:val="278E4F1E"/>
    <w:rsid w:val="279E660A"/>
    <w:rsid w:val="27FC457D"/>
    <w:rsid w:val="27FC632B"/>
    <w:rsid w:val="284B72B3"/>
    <w:rsid w:val="28D74AE0"/>
    <w:rsid w:val="292D0DD9"/>
    <w:rsid w:val="29C7798F"/>
    <w:rsid w:val="2A2F3C15"/>
    <w:rsid w:val="2A44031E"/>
    <w:rsid w:val="2A9A54A5"/>
    <w:rsid w:val="2B133171"/>
    <w:rsid w:val="2B941FAE"/>
    <w:rsid w:val="2BD75B94"/>
    <w:rsid w:val="2CA15F4F"/>
    <w:rsid w:val="2CD351CB"/>
    <w:rsid w:val="2D085772"/>
    <w:rsid w:val="2D1063D5"/>
    <w:rsid w:val="2D8C0151"/>
    <w:rsid w:val="2DCE4936"/>
    <w:rsid w:val="2F560A17"/>
    <w:rsid w:val="30D60BF8"/>
    <w:rsid w:val="310821E5"/>
    <w:rsid w:val="310E7BFC"/>
    <w:rsid w:val="3159659D"/>
    <w:rsid w:val="320C1861"/>
    <w:rsid w:val="32E14A9C"/>
    <w:rsid w:val="33093FF2"/>
    <w:rsid w:val="332826CA"/>
    <w:rsid w:val="33CB5542"/>
    <w:rsid w:val="33CE7E37"/>
    <w:rsid w:val="33E84C26"/>
    <w:rsid w:val="34190338"/>
    <w:rsid w:val="35357321"/>
    <w:rsid w:val="35646D94"/>
    <w:rsid w:val="35781CA4"/>
    <w:rsid w:val="35EE1854"/>
    <w:rsid w:val="35EE3844"/>
    <w:rsid w:val="36070CBD"/>
    <w:rsid w:val="36C070BE"/>
    <w:rsid w:val="36D72FA2"/>
    <w:rsid w:val="385C5F52"/>
    <w:rsid w:val="38686815"/>
    <w:rsid w:val="3886614A"/>
    <w:rsid w:val="38C764E2"/>
    <w:rsid w:val="39861EF9"/>
    <w:rsid w:val="3AB85F2B"/>
    <w:rsid w:val="3ACE4735"/>
    <w:rsid w:val="3BAE5737"/>
    <w:rsid w:val="3BD467C5"/>
    <w:rsid w:val="3C447B2D"/>
    <w:rsid w:val="3C81206C"/>
    <w:rsid w:val="3C830E54"/>
    <w:rsid w:val="3CBD00B2"/>
    <w:rsid w:val="3D393422"/>
    <w:rsid w:val="3DAF37CA"/>
    <w:rsid w:val="3E9F57A2"/>
    <w:rsid w:val="3EA942F3"/>
    <w:rsid w:val="3F19736B"/>
    <w:rsid w:val="40432528"/>
    <w:rsid w:val="408F58F6"/>
    <w:rsid w:val="41300064"/>
    <w:rsid w:val="41483F38"/>
    <w:rsid w:val="41D56122"/>
    <w:rsid w:val="41D76128"/>
    <w:rsid w:val="427B0E39"/>
    <w:rsid w:val="427F36C9"/>
    <w:rsid w:val="42B24F36"/>
    <w:rsid w:val="42C65A5C"/>
    <w:rsid w:val="43192030"/>
    <w:rsid w:val="431E5187"/>
    <w:rsid w:val="4354033F"/>
    <w:rsid w:val="43805C0B"/>
    <w:rsid w:val="44027418"/>
    <w:rsid w:val="443F5AC6"/>
    <w:rsid w:val="44580F55"/>
    <w:rsid w:val="44DA4D23"/>
    <w:rsid w:val="45E5269D"/>
    <w:rsid w:val="45F338C3"/>
    <w:rsid w:val="463B2A6B"/>
    <w:rsid w:val="4654512D"/>
    <w:rsid w:val="46601D24"/>
    <w:rsid w:val="46756273"/>
    <w:rsid w:val="4695706E"/>
    <w:rsid w:val="46997E9F"/>
    <w:rsid w:val="470D4552"/>
    <w:rsid w:val="48677399"/>
    <w:rsid w:val="48CE566A"/>
    <w:rsid w:val="48DC7235"/>
    <w:rsid w:val="49AA39E1"/>
    <w:rsid w:val="4A677B24"/>
    <w:rsid w:val="4AFD6FB3"/>
    <w:rsid w:val="4BAD30B6"/>
    <w:rsid w:val="4C5C7F25"/>
    <w:rsid w:val="4C7173D1"/>
    <w:rsid w:val="4CEA67EB"/>
    <w:rsid w:val="4CEE3363"/>
    <w:rsid w:val="4D973154"/>
    <w:rsid w:val="4E0E5026"/>
    <w:rsid w:val="4E0F34AB"/>
    <w:rsid w:val="4FC264E3"/>
    <w:rsid w:val="50CA0485"/>
    <w:rsid w:val="51180B8E"/>
    <w:rsid w:val="51F015A9"/>
    <w:rsid w:val="52075749"/>
    <w:rsid w:val="525D11AB"/>
    <w:rsid w:val="52D26F8D"/>
    <w:rsid w:val="52E537AB"/>
    <w:rsid w:val="52FA19B3"/>
    <w:rsid w:val="5327060C"/>
    <w:rsid w:val="536C1D08"/>
    <w:rsid w:val="537D008D"/>
    <w:rsid w:val="53E81F5B"/>
    <w:rsid w:val="54047D25"/>
    <w:rsid w:val="54EF20B2"/>
    <w:rsid w:val="554039EB"/>
    <w:rsid w:val="55737C10"/>
    <w:rsid w:val="55915A56"/>
    <w:rsid w:val="55A97CB4"/>
    <w:rsid w:val="56066443"/>
    <w:rsid w:val="56241B5C"/>
    <w:rsid w:val="565A381B"/>
    <w:rsid w:val="5674118A"/>
    <w:rsid w:val="57686C8A"/>
    <w:rsid w:val="58454742"/>
    <w:rsid w:val="58CD7914"/>
    <w:rsid w:val="595079D6"/>
    <w:rsid w:val="59907C63"/>
    <w:rsid w:val="5A094754"/>
    <w:rsid w:val="5A6000EC"/>
    <w:rsid w:val="5A785436"/>
    <w:rsid w:val="5B2D4472"/>
    <w:rsid w:val="5BCD0326"/>
    <w:rsid w:val="5C0276AD"/>
    <w:rsid w:val="5C1E38A5"/>
    <w:rsid w:val="5C237623"/>
    <w:rsid w:val="5D235B2D"/>
    <w:rsid w:val="5D6C0D62"/>
    <w:rsid w:val="5D707100"/>
    <w:rsid w:val="5DC331FB"/>
    <w:rsid w:val="5E1019A2"/>
    <w:rsid w:val="5E873E9A"/>
    <w:rsid w:val="5F801812"/>
    <w:rsid w:val="5FEA0B84"/>
    <w:rsid w:val="60234096"/>
    <w:rsid w:val="607233C4"/>
    <w:rsid w:val="60DC25E5"/>
    <w:rsid w:val="61281F8B"/>
    <w:rsid w:val="612B3297"/>
    <w:rsid w:val="6143497B"/>
    <w:rsid w:val="61B551C2"/>
    <w:rsid w:val="61C74597"/>
    <w:rsid w:val="61CE7693"/>
    <w:rsid w:val="61FB63C4"/>
    <w:rsid w:val="626B762E"/>
    <w:rsid w:val="62AC3ECF"/>
    <w:rsid w:val="62E775FD"/>
    <w:rsid w:val="64805649"/>
    <w:rsid w:val="64B4710A"/>
    <w:rsid w:val="64F10667"/>
    <w:rsid w:val="65071D5E"/>
    <w:rsid w:val="65323CE2"/>
    <w:rsid w:val="658D448B"/>
    <w:rsid w:val="658E5B0E"/>
    <w:rsid w:val="66285F62"/>
    <w:rsid w:val="66AD08C8"/>
    <w:rsid w:val="675B399E"/>
    <w:rsid w:val="67E61C31"/>
    <w:rsid w:val="686B660F"/>
    <w:rsid w:val="68700F08"/>
    <w:rsid w:val="68710C3E"/>
    <w:rsid w:val="68CC52CB"/>
    <w:rsid w:val="68D74D82"/>
    <w:rsid w:val="6A805E8B"/>
    <w:rsid w:val="6ABE50E7"/>
    <w:rsid w:val="6B3B6738"/>
    <w:rsid w:val="6B8D6E79"/>
    <w:rsid w:val="6BC92896"/>
    <w:rsid w:val="6BF55A4E"/>
    <w:rsid w:val="6C141FA8"/>
    <w:rsid w:val="6C315445"/>
    <w:rsid w:val="6CFE5C6F"/>
    <w:rsid w:val="6D9723E8"/>
    <w:rsid w:val="6DA95225"/>
    <w:rsid w:val="6DEF3E28"/>
    <w:rsid w:val="6E307B99"/>
    <w:rsid w:val="6E6B7C7A"/>
    <w:rsid w:val="6E7E70EB"/>
    <w:rsid w:val="6EE24EE2"/>
    <w:rsid w:val="6F5E47A3"/>
    <w:rsid w:val="6F753579"/>
    <w:rsid w:val="6F76793D"/>
    <w:rsid w:val="6FE80510"/>
    <w:rsid w:val="70F10A14"/>
    <w:rsid w:val="713378AB"/>
    <w:rsid w:val="71946BA2"/>
    <w:rsid w:val="71CC00E9"/>
    <w:rsid w:val="71DE0C5C"/>
    <w:rsid w:val="723B3CB9"/>
    <w:rsid w:val="730C2768"/>
    <w:rsid w:val="73560FD6"/>
    <w:rsid w:val="73DB2866"/>
    <w:rsid w:val="74582986"/>
    <w:rsid w:val="74B135FD"/>
    <w:rsid w:val="75243D99"/>
    <w:rsid w:val="75626126"/>
    <w:rsid w:val="75684BD6"/>
    <w:rsid w:val="75705230"/>
    <w:rsid w:val="75C14359"/>
    <w:rsid w:val="763F6BF6"/>
    <w:rsid w:val="76405EED"/>
    <w:rsid w:val="7658588B"/>
    <w:rsid w:val="77EE008E"/>
    <w:rsid w:val="7A291769"/>
    <w:rsid w:val="7A2F5884"/>
    <w:rsid w:val="7A805CC0"/>
    <w:rsid w:val="7AA3416D"/>
    <w:rsid w:val="7AD15400"/>
    <w:rsid w:val="7BC716B8"/>
    <w:rsid w:val="7BF17998"/>
    <w:rsid w:val="7CC55E61"/>
    <w:rsid w:val="7D0B491F"/>
    <w:rsid w:val="7D2120FB"/>
    <w:rsid w:val="7D2D1C58"/>
    <w:rsid w:val="7DC811B5"/>
    <w:rsid w:val="7DEC53A6"/>
    <w:rsid w:val="7DF6183B"/>
    <w:rsid w:val="7EFC18E2"/>
    <w:rsid w:val="7FF3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autoRedefine/>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autoRedefine/>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autoRedefine/>
    <w:qFormat/>
    <w:uiPriority w:val="0"/>
    <w:pPr>
      <w:keepNext/>
      <w:keepLines/>
      <w:spacing w:line="240" w:lineRule="auto"/>
      <w:ind w:firstLine="602" w:firstLineChars="200"/>
      <w:outlineLvl w:val="2"/>
    </w:pPr>
    <w:rPr>
      <w:rFonts w:ascii="仿宋_GB2312" w:hAnsi="仿宋_GB2312" w:eastAsia="仿宋_GB2312"/>
      <w:b/>
      <w:bCs/>
      <w:sz w:val="30"/>
      <w:szCs w:val="20"/>
    </w:rPr>
  </w:style>
  <w:style w:type="paragraph" w:styleId="6">
    <w:name w:val="heading 4"/>
    <w:basedOn w:val="1"/>
    <w:next w:val="1"/>
    <w:autoRedefine/>
    <w:qFormat/>
    <w:uiPriority w:val="9"/>
    <w:pPr>
      <w:keepLines/>
      <w:widowControl/>
      <w:spacing w:before="280" w:after="290" w:line="372" w:lineRule="auto"/>
      <w:outlineLvl w:val="3"/>
    </w:pPr>
    <w:rPr>
      <w:rFonts w:ascii="Arial" w:hAnsi="Arial" w:eastAsia="黑体"/>
      <w:b/>
      <w:color w:val="000000"/>
      <w:sz w:val="28"/>
      <w:szCs w:val="20"/>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toc 4"/>
    <w:basedOn w:val="1"/>
    <w:next w:val="1"/>
    <w:autoRedefine/>
    <w:qFormat/>
    <w:uiPriority w:val="0"/>
    <w:pPr>
      <w:ind w:left="1260" w:leftChars="600"/>
    </w:pPr>
    <w:rPr>
      <w:rFonts w:ascii="Calibri" w:hAnsi="Calibri" w:eastAsia="宋体" w:cs="Times New Roman"/>
      <w:szCs w:val="22"/>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tabs>
        <w:tab w:val="left" w:pos="208"/>
      </w:tabs>
      <w:spacing w:line="432" w:lineRule="auto"/>
    </w:pPr>
    <w:rPr>
      <w:rFonts w:ascii="仿宋_GB2312" w:eastAsia="仿宋_GB2312"/>
      <w:sz w:val="28"/>
    </w:rPr>
  </w:style>
  <w:style w:type="paragraph" w:styleId="10">
    <w:name w:val="Body Text Indent"/>
    <w:basedOn w:val="1"/>
    <w:next w:val="1"/>
    <w:autoRedefine/>
    <w:qFormat/>
    <w:uiPriority w:val="0"/>
    <w:pPr>
      <w:ind w:firstLine="540"/>
    </w:pPr>
    <w:rPr>
      <w:sz w:val="28"/>
      <w:szCs w:val="20"/>
    </w:rPr>
  </w:style>
  <w:style w:type="paragraph" w:styleId="11">
    <w:name w:val="List Bullet 2"/>
    <w:basedOn w:val="1"/>
    <w:next w:val="1"/>
    <w:autoRedefine/>
    <w:qFormat/>
    <w:uiPriority w:val="0"/>
    <w:pPr>
      <w:numPr>
        <w:ilvl w:val="0"/>
        <w:numId w:val="1"/>
      </w:numPr>
    </w:pPr>
  </w:style>
  <w:style w:type="paragraph" w:styleId="12">
    <w:name w:val="toc 3"/>
    <w:basedOn w:val="1"/>
    <w:next w:val="1"/>
    <w:autoRedefine/>
    <w:qFormat/>
    <w:uiPriority w:val="39"/>
    <w:pPr>
      <w:tabs>
        <w:tab w:val="right" w:leader="dot" w:pos="9060"/>
      </w:tabs>
      <w:ind w:left="1"/>
    </w:pPr>
    <w:rPr>
      <w:rFonts w:ascii="仿宋_GB2312" w:eastAsia="仿宋_GB2312"/>
      <w:sz w:val="24"/>
      <w:szCs w:val="36"/>
    </w:rPr>
  </w:style>
  <w:style w:type="paragraph" w:styleId="13">
    <w:name w:val="Plain Text"/>
    <w:basedOn w:val="1"/>
    <w:next w:val="1"/>
    <w:autoRedefine/>
    <w:qFormat/>
    <w:uiPriority w:val="0"/>
    <w:rPr>
      <w:rFonts w:ascii="宋体" w:hAnsi="Courier New"/>
      <w:szCs w:val="20"/>
    </w:rPr>
  </w:style>
  <w:style w:type="paragraph" w:styleId="14">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5">
    <w:name w:val="Body Text Indent 2"/>
    <w:basedOn w:val="1"/>
    <w:autoRedefine/>
    <w:qFormat/>
    <w:uiPriority w:val="99"/>
    <w:pPr>
      <w:snapToGrid w:val="0"/>
      <w:spacing w:line="400" w:lineRule="exact"/>
      <w:ind w:firstLine="480"/>
    </w:pPr>
    <w:rPr>
      <w:rFonts w:eastAsia="仿宋_GB2312"/>
      <w:sz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List"/>
    <w:basedOn w:val="1"/>
    <w:autoRedefine/>
    <w:qFormat/>
    <w:uiPriority w:val="0"/>
    <w:pPr>
      <w:ind w:left="200" w:hanging="200" w:hangingChars="200"/>
    </w:pPr>
    <w:rPr>
      <w:rFonts w:ascii="Times New Roman" w:hAnsi="Times New Roman"/>
      <w:szCs w:val="24"/>
    </w:rPr>
  </w:style>
  <w:style w:type="paragraph" w:styleId="20">
    <w:name w:val="toc 6"/>
    <w:basedOn w:val="1"/>
    <w:next w:val="1"/>
    <w:autoRedefine/>
    <w:qFormat/>
    <w:uiPriority w:val="39"/>
    <w:pPr>
      <w:widowControl/>
      <w:ind w:left="1000"/>
      <w:jc w:val="left"/>
    </w:pPr>
    <w:rPr>
      <w:kern w:val="0"/>
      <w:sz w:val="18"/>
      <w:szCs w:val="20"/>
    </w:rPr>
  </w:style>
  <w:style w:type="paragraph" w:styleId="21">
    <w:name w:val="toc 2"/>
    <w:basedOn w:val="1"/>
    <w:next w:val="1"/>
    <w:autoRedefine/>
    <w:qFormat/>
    <w:uiPriority w:val="39"/>
    <w:pPr>
      <w:tabs>
        <w:tab w:val="right" w:leader="dot" w:pos="9060"/>
      </w:tabs>
    </w:pPr>
    <w:rPr>
      <w:rFonts w:ascii="宋体" w:hAnsi="宋体"/>
      <w:b/>
      <w:bCs/>
      <w:sz w:val="24"/>
    </w:rPr>
  </w:style>
  <w:style w:type="paragraph" w:styleId="22">
    <w:name w:val="Body Text First Indent"/>
    <w:basedOn w:val="9"/>
    <w:next w:val="1"/>
    <w:autoRedefine/>
    <w:qFormat/>
    <w:uiPriority w:val="0"/>
    <w:pPr>
      <w:spacing w:after="120" w:line="240" w:lineRule="auto"/>
      <w:ind w:firstLine="420" w:firstLineChars="100"/>
    </w:pPr>
    <w:rPr>
      <w:rFonts w:ascii="Times New Roman" w:eastAsia="宋体"/>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autoRedefine/>
    <w:qFormat/>
    <w:uiPriority w:val="99"/>
    <w:rPr>
      <w:color w:val="0000FF"/>
      <w:u w:val="single"/>
    </w:rPr>
  </w:style>
  <w:style w:type="paragraph" w:customStyle="1" w:styleId="27">
    <w:name w:val="正文ok"/>
    <w:autoRedefine/>
    <w:qFormat/>
    <w:uiPriority w:val="0"/>
    <w:pPr>
      <w:spacing w:line="360" w:lineRule="auto"/>
      <w:ind w:firstLine="200" w:firstLineChars="200"/>
    </w:pPr>
    <w:rPr>
      <w:rFonts w:ascii="宋体" w:hAnsi="Times New Roman" w:eastAsia="宋体" w:cs="宋体"/>
      <w:sz w:val="24"/>
      <w:szCs w:val="24"/>
      <w:lang w:val="en-US" w:eastAsia="zh-CN" w:bidi="ar-SA"/>
    </w:rPr>
  </w:style>
  <w:style w:type="character" w:customStyle="1" w:styleId="28">
    <w:name w:val="标题 1 Char"/>
    <w:link w:val="3"/>
    <w:autoRedefine/>
    <w:qFormat/>
    <w:uiPriority w:val="9"/>
    <w:rPr>
      <w:rFonts w:ascii="仿宋_GB2312" w:eastAsia="仿宋_GB2312"/>
      <w:b/>
      <w:sz w:val="44"/>
    </w:rPr>
  </w:style>
  <w:style w:type="paragraph" w:customStyle="1" w:styleId="29">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正文_1"/>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31">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纯文本_0_0"/>
    <w:basedOn w:val="31"/>
    <w:autoRedefine/>
    <w:qFormat/>
    <w:uiPriority w:val="0"/>
    <w:rPr>
      <w:rFonts w:ascii="宋体" w:hAnsi="Courier New"/>
      <w:szCs w:val="21"/>
    </w:rPr>
  </w:style>
  <w:style w:type="paragraph" w:customStyle="1" w:styleId="33">
    <w:name w:val="纯文本_0"/>
    <w:basedOn w:val="1"/>
    <w:autoRedefine/>
    <w:unhideWhenUsed/>
    <w:qFormat/>
    <w:uiPriority w:val="0"/>
    <w:rPr>
      <w:rFonts w:ascii="宋体" w:hAnsi="Courier New"/>
      <w:kern w:val="0"/>
      <w:sz w:val="20"/>
      <w:szCs w:val="20"/>
    </w:rPr>
  </w:style>
  <w:style w:type="paragraph" w:customStyle="1" w:styleId="34">
    <w:name w:val="纯文本_1"/>
    <w:basedOn w:val="1"/>
    <w:autoRedefine/>
    <w:qFormat/>
    <w:uiPriority w:val="0"/>
    <w:rPr>
      <w:rFonts w:ascii="宋体" w:hAnsi="Courier New"/>
      <w:szCs w:val="20"/>
    </w:rPr>
  </w:style>
  <w:style w:type="paragraph" w:customStyle="1" w:styleId="35">
    <w:name w:val="正文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纯文本_3"/>
    <w:basedOn w:val="35"/>
    <w:autoRedefine/>
    <w:qFormat/>
    <w:uiPriority w:val="0"/>
    <w:rPr>
      <w:rFonts w:ascii="宋体" w:hAnsi="Courier New"/>
      <w:szCs w:val="20"/>
    </w:rPr>
  </w:style>
  <w:style w:type="paragraph" w:customStyle="1" w:styleId="37">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纯文本_4_3"/>
    <w:basedOn w:val="1"/>
    <w:autoRedefine/>
    <w:qFormat/>
    <w:uiPriority w:val="0"/>
    <w:rPr>
      <w:rFonts w:ascii="宋体" w:hAnsi="Courier New"/>
      <w:szCs w:val="20"/>
    </w:rPr>
  </w:style>
  <w:style w:type="paragraph" w:customStyle="1" w:styleId="40">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纯文本_5_0"/>
    <w:basedOn w:val="1"/>
    <w:autoRedefine/>
    <w:qFormat/>
    <w:uiPriority w:val="0"/>
    <w:rPr>
      <w:rFonts w:ascii="宋体" w:hAnsi="Courier New"/>
      <w:szCs w:val="20"/>
    </w:rPr>
  </w:style>
  <w:style w:type="paragraph" w:customStyle="1" w:styleId="43">
    <w:name w:val="正文文字缩进"/>
    <w:basedOn w:val="1"/>
    <w:next w:val="1"/>
    <w:autoRedefine/>
    <w:qFormat/>
    <w:uiPriority w:val="0"/>
    <w:pPr>
      <w:widowControl/>
      <w:spacing w:line="400" w:lineRule="atLeast"/>
      <w:ind w:left="210" w:firstLine="210"/>
    </w:pPr>
    <w:rPr>
      <w:rFonts w:ascii="宋体"/>
      <w:color w:val="000000"/>
      <w:szCs w:val="20"/>
    </w:rPr>
  </w:style>
  <w:style w:type="paragraph" w:customStyle="1" w:styleId="44">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styleId="46">
    <w:name w:val="No Spacing"/>
    <w:autoRedefine/>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character" w:customStyle="1" w:styleId="47">
    <w:name w:val="textcontents1"/>
    <w:basedOn w:val="25"/>
    <w:autoRedefine/>
    <w:qFormat/>
    <w:uiPriority w:val="0"/>
    <w:rPr>
      <w:color w:val="000000"/>
      <w:sz w:val="30"/>
      <w:szCs w:val="30"/>
    </w:rPr>
  </w:style>
  <w:style w:type="paragraph" w:customStyle="1" w:styleId="48">
    <w:name w:val="Normal_22"/>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49">
    <w:name w:val="font51"/>
    <w:basedOn w:val="25"/>
    <w:autoRedefine/>
    <w:qFormat/>
    <w:uiPriority w:val="0"/>
    <w:rPr>
      <w:rFonts w:hint="eastAsia" w:ascii="宋体" w:hAnsi="宋体" w:eastAsia="宋体" w:cs="宋体"/>
      <w:b/>
      <w:bCs/>
      <w:color w:val="000000"/>
      <w:sz w:val="22"/>
      <w:szCs w:val="22"/>
      <w:u w:val="none"/>
    </w:rPr>
  </w:style>
  <w:style w:type="character" w:customStyle="1" w:styleId="50">
    <w:name w:val="font11"/>
    <w:basedOn w:val="25"/>
    <w:autoRedefine/>
    <w:qFormat/>
    <w:uiPriority w:val="0"/>
    <w:rPr>
      <w:rFonts w:hint="eastAsia" w:ascii="宋体" w:hAnsi="宋体" w:eastAsia="宋体" w:cs="宋体"/>
      <w:color w:val="000000"/>
      <w:sz w:val="22"/>
      <w:szCs w:val="22"/>
      <w:u w:val="none"/>
    </w:rPr>
  </w:style>
  <w:style w:type="character" w:customStyle="1" w:styleId="51">
    <w:name w:val="font61"/>
    <w:basedOn w:val="25"/>
    <w:autoRedefine/>
    <w:qFormat/>
    <w:uiPriority w:val="0"/>
    <w:rPr>
      <w:rFonts w:hint="eastAsia" w:ascii="宋体" w:hAnsi="宋体" w:eastAsia="宋体" w:cs="宋体"/>
      <w:b/>
      <w:bCs/>
      <w:color w:val="000000"/>
      <w:sz w:val="22"/>
      <w:szCs w:val="22"/>
      <w:u w:val="none"/>
    </w:rPr>
  </w:style>
  <w:style w:type="character" w:customStyle="1" w:styleId="52">
    <w:name w:val="font21"/>
    <w:basedOn w:val="25"/>
    <w:autoRedefine/>
    <w:qFormat/>
    <w:uiPriority w:val="0"/>
    <w:rPr>
      <w:rFonts w:hint="eastAsia" w:ascii="宋体" w:hAnsi="宋体" w:eastAsia="宋体" w:cs="宋体"/>
      <w:color w:val="000000"/>
      <w:sz w:val="22"/>
      <w:szCs w:val="22"/>
      <w:u w:val="none"/>
    </w:rPr>
  </w:style>
  <w:style w:type="character" w:customStyle="1" w:styleId="53">
    <w:name w:val="font01"/>
    <w:basedOn w:val="2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33498</Words>
  <Characters>35821</Characters>
  <Lines>0</Lines>
  <Paragraphs>0</Paragraphs>
  <TotalTime>3</TotalTime>
  <ScaleCrop>false</ScaleCrop>
  <LinksUpToDate>false</LinksUpToDate>
  <CharactersWithSpaces>37324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2021-04-07T01:19:00Z</dcterms:created>
  <dc:creator>风起春寒</dc:creator>
  <cp:lastModifiedBy>WPS_1645430505</cp:lastModifiedBy>
  <cp:lastPrinted>2024-04-30T03:03:00Z</cp:lastPrinted>
  <dcterms:modified xsi:type="dcterms:W3CDTF">2024-05-13T08:09:40Z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CD0F018AEAD647C39BBCAF889C4E0D51</vt:lpwstr>
  </property>
</Properties>
</file>