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hint="eastAsia" w:ascii="宋体" w:eastAsia="宋体" w:cs="宋体"/>
          <w:b/>
          <w:bCs/>
          <w:sz w:val="32"/>
          <w:szCs w:val="32"/>
          <w:highlight w:val="none"/>
          <w:lang w:eastAsia="zh-CN"/>
        </w:rPr>
      </w:pPr>
      <w:r>
        <w:rPr>
          <w:rFonts w:hint="eastAsia" w:ascii="宋体" w:hAnsi="宋体" w:cs="宋体"/>
          <w:b/>
          <w:bCs/>
          <w:sz w:val="32"/>
          <w:szCs w:val="32"/>
          <w:highlight w:val="none"/>
          <w:lang w:eastAsia="zh-CN"/>
        </w:rPr>
        <w:t>柳市镇里隆村货运码头三年租赁权</w:t>
      </w:r>
    </w:p>
    <w:p>
      <w:pPr>
        <w:spacing w:afterLines="50"/>
        <w:jc w:val="center"/>
        <w:rPr>
          <w:rFonts w:ascii="宋体" w:cs="宋体"/>
          <w:b/>
          <w:bCs/>
          <w:sz w:val="32"/>
          <w:szCs w:val="32"/>
          <w:highlight w:val="none"/>
        </w:rPr>
      </w:pPr>
      <w:r>
        <w:rPr>
          <w:rFonts w:hint="eastAsia" w:ascii="宋体" w:hAnsi="宋体" w:cs="宋体"/>
          <w:b/>
          <w:bCs/>
          <w:sz w:val="32"/>
          <w:szCs w:val="32"/>
          <w:highlight w:val="none"/>
        </w:rPr>
        <w:t>网络竞价文件</w:t>
      </w:r>
    </w:p>
    <w:p>
      <w:pPr>
        <w:spacing w:afterLines="50"/>
        <w:jc w:val="center"/>
        <w:rPr>
          <w:rFonts w:ascii="宋体" w:cs="宋体"/>
          <w:b/>
          <w:bCs/>
          <w:sz w:val="28"/>
          <w:szCs w:val="28"/>
          <w:highlight w:val="none"/>
        </w:rPr>
      </w:pPr>
      <w:r>
        <w:rPr>
          <w:rFonts w:ascii="宋体" w:cs="宋体"/>
          <w:b/>
          <w:sz w:val="28"/>
          <w:szCs w:val="28"/>
          <w:highlight w:val="none"/>
        </w:rPr>
        <w:drawing>
          <wp:inline distT="0" distB="0" distL="114300" distR="114300">
            <wp:extent cx="5715000" cy="2648585"/>
            <wp:effectExtent l="0" t="0" r="0" b="3175"/>
            <wp:docPr id="1" name="图片 1" descr="D:\下载\柳市镇里隆村货运码头三年租赁权\申请资料\照片.png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下载\柳市镇里隆村货运码头三年租赁权\申请资料\照片.png照片"/>
                    <pic:cNvPicPr>
                      <a:picLocks noChangeAspect="1"/>
                    </pic:cNvPicPr>
                  </pic:nvPicPr>
                  <pic:blipFill>
                    <a:blip r:embed="rId7"/>
                    <a:stretch>
                      <a:fillRect/>
                    </a:stretch>
                  </pic:blipFill>
                  <pic:spPr>
                    <a:xfrm>
                      <a:off x="0" y="0"/>
                      <a:ext cx="5715000" cy="2648585"/>
                    </a:xfrm>
                    <a:prstGeom prst="rect">
                      <a:avLst/>
                    </a:prstGeom>
                    <a:noFill/>
                    <a:ln>
                      <a:noFill/>
                    </a:ln>
                  </pic:spPr>
                </pic:pic>
              </a:graphicData>
            </a:graphic>
          </wp:inline>
        </w:drawing>
      </w:r>
    </w:p>
    <w:p>
      <w:pPr>
        <w:jc w:val="left"/>
        <w:rPr>
          <w:rFonts w:ascii="方正小标宋简体" w:eastAsia="方正小标宋简体"/>
          <w:sz w:val="24"/>
          <w:highlight w:val="none"/>
        </w:rPr>
      </w:pPr>
      <w:r>
        <w:rPr>
          <w:rFonts w:hint="eastAsia" w:ascii="方正小标宋简体" w:eastAsia="方正小标宋简体"/>
          <w:sz w:val="24"/>
          <w:highlight w:val="none"/>
        </w:rPr>
        <w:t>拍卖代理机构：温州市嘉诚拍卖有限公司</w:t>
      </w:r>
    </w:p>
    <w:p>
      <w:pPr>
        <w:spacing w:line="720" w:lineRule="auto"/>
        <w:ind w:right="-334" w:rightChars="-159"/>
        <w:jc w:val="left"/>
        <w:rPr>
          <w:rFonts w:ascii="方正小标宋简体" w:eastAsia="方正小标宋简体"/>
          <w:sz w:val="24"/>
          <w:highlight w:val="none"/>
        </w:rPr>
      </w:pPr>
      <w:r>
        <w:rPr>
          <w:rFonts w:hint="eastAsia" w:ascii="方正小标宋简体" w:eastAsia="方正小标宋简体"/>
          <w:sz w:val="24"/>
          <w:highlight w:val="none"/>
        </w:rPr>
        <w:t>联系人：王先生</w:t>
      </w:r>
      <w:bookmarkStart w:id="6" w:name="_GoBack"/>
      <w:bookmarkEnd w:id="6"/>
    </w:p>
    <w:p>
      <w:pPr>
        <w:spacing w:line="720" w:lineRule="auto"/>
        <w:ind w:right="-334" w:rightChars="-159"/>
        <w:jc w:val="left"/>
        <w:rPr>
          <w:rFonts w:ascii="方正小标宋简体" w:eastAsia="方正小标宋简体"/>
          <w:sz w:val="24"/>
          <w:highlight w:val="none"/>
        </w:rPr>
        <w:sectPr>
          <w:footerReference r:id="rId3" w:type="default"/>
          <w:pgSz w:w="11906" w:h="16838"/>
          <w:pgMar w:top="1440" w:right="1440" w:bottom="1440" w:left="1440" w:header="851" w:footer="992" w:gutter="0"/>
          <w:pgNumType w:start="1"/>
          <w:cols w:space="720" w:num="1"/>
          <w:docGrid w:type="lines" w:linePitch="312" w:charSpace="0"/>
        </w:sectPr>
      </w:pPr>
      <w:r>
        <w:rPr>
          <w:rFonts w:hint="eastAsia" w:ascii="方正小标宋简体" w:eastAsia="方正小标宋简体"/>
          <w:sz w:val="24"/>
          <w:highlight w:val="none"/>
        </w:rPr>
        <w:t>联系方式：</w:t>
      </w:r>
      <w:r>
        <w:rPr>
          <w:rFonts w:ascii="方正小标宋简体" w:eastAsia="方正小标宋简体"/>
          <w:sz w:val="24"/>
          <w:highlight w:val="none"/>
        </w:rPr>
        <w:t xml:space="preserve">0577-61662669  </w:t>
      </w:r>
      <w:r>
        <w:rPr>
          <w:rFonts w:hint="eastAsia" w:ascii="方正小标宋简体" w:eastAsia="方正小标宋简体"/>
          <w:sz w:val="24"/>
          <w:highlight w:val="none"/>
        </w:rPr>
        <w:t>；</w:t>
      </w:r>
      <w:r>
        <w:rPr>
          <w:rFonts w:ascii="方正小标宋简体" w:eastAsia="方正小标宋简体"/>
          <w:sz w:val="24"/>
          <w:highlight w:val="none"/>
        </w:rPr>
        <w:t>18906633065</w:t>
      </w:r>
    </w:p>
    <w:p>
      <w:pPr>
        <w:jc w:val="center"/>
        <w:rPr>
          <w:sz w:val="52"/>
          <w:szCs w:val="52"/>
          <w:highlight w:val="none"/>
        </w:rPr>
      </w:pPr>
      <w:r>
        <w:rPr>
          <w:rFonts w:hint="eastAsia" w:eastAsia="楷体_GB2312"/>
          <w:b/>
          <w:bCs/>
          <w:sz w:val="52"/>
          <w:szCs w:val="52"/>
          <w:highlight w:val="none"/>
        </w:rPr>
        <w:t>目录</w:t>
      </w:r>
    </w:p>
    <w:p>
      <w:pPr>
        <w:rPr>
          <w:highlight w:val="none"/>
        </w:rPr>
      </w:pPr>
    </w:p>
    <w:p>
      <w:pPr>
        <w:rPr>
          <w:highlight w:val="none"/>
        </w:rPr>
      </w:pPr>
    </w:p>
    <w:p>
      <w:pPr>
        <w:rPr>
          <w:highlight w:val="none"/>
        </w:rPr>
      </w:pPr>
    </w:p>
    <w:p>
      <w:pPr>
        <w:pStyle w:val="6"/>
        <w:tabs>
          <w:tab w:val="right" w:leader="dot" w:pos="9026"/>
        </w:tabs>
        <w:spacing w:line="720" w:lineRule="auto"/>
        <w:rPr>
          <w:rStyle w:val="11"/>
          <w:rFonts w:ascii="方正小标宋简体" w:eastAsia="方正小标宋简体"/>
          <w:b/>
          <w:color w:val="auto"/>
          <w:sz w:val="30"/>
          <w:szCs w:val="30"/>
          <w:highlight w:val="none"/>
          <w:u w:val="none"/>
        </w:rPr>
      </w:pP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公告</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竞价公告</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2</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须知</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竞价须知</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5</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合同</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租赁合同（样本）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10</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成交确认书</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成交确认书（样本）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13</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highlight w:val="none"/>
        </w:rPr>
        <w:fldChar w:fldCharType="begin"/>
      </w:r>
      <w:r>
        <w:rPr>
          <w:highlight w:val="none"/>
        </w:rPr>
        <w:instrText xml:space="preserve"> HYPERLINK \l "消防" </w:instrText>
      </w:r>
      <w:r>
        <w:rPr>
          <w:highlight w:val="none"/>
        </w:rPr>
        <w:fldChar w:fldCharType="separate"/>
      </w:r>
      <w:r>
        <w:rPr>
          <w:rStyle w:val="11"/>
          <w:rFonts w:hint="eastAsia" w:ascii="宋体" w:hAnsi="宋体" w:cs="宋体"/>
          <w:color w:val="auto"/>
          <w:sz w:val="30"/>
          <w:szCs w:val="30"/>
          <w:highlight w:val="none"/>
          <w:u w:val="none"/>
        </w:rPr>
        <w:t>消防责任协议书（样本）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14</w:t>
      </w:r>
      <w:r>
        <w:rPr>
          <w:rStyle w:val="11"/>
          <w:rFonts w:ascii="宋体" w:hAnsi="宋体" w:cs="宋体"/>
          <w:color w:val="auto"/>
          <w:sz w:val="30"/>
          <w:szCs w:val="30"/>
          <w:highlight w:val="none"/>
          <w:u w:val="none"/>
        </w:rPr>
        <w:fldChar w:fldCharType="end"/>
      </w:r>
    </w:p>
    <w:p>
      <w:pPr>
        <w:rPr>
          <w:highlight w:val="none"/>
        </w:rPr>
      </w:pPr>
    </w:p>
    <w:p>
      <w:pPr>
        <w:rPr>
          <w:highlight w:val="none"/>
        </w:rPr>
      </w:pPr>
    </w:p>
    <w:p>
      <w:pPr>
        <w:rPr>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rPr>
          <w:b/>
          <w:bCs/>
          <w:sz w:val="32"/>
          <w:szCs w:val="32"/>
          <w:highlight w:val="none"/>
        </w:rPr>
      </w:pPr>
    </w:p>
    <w:p>
      <w:pPr>
        <w:spacing w:afterLines="50"/>
        <w:jc w:val="center"/>
        <w:rPr>
          <w:rFonts w:hint="eastAsia" w:ascii="宋体" w:eastAsia="宋体" w:cs="宋体"/>
          <w:b/>
          <w:bCs/>
          <w:sz w:val="32"/>
          <w:szCs w:val="32"/>
          <w:highlight w:val="none"/>
          <w:lang w:eastAsia="zh-CN"/>
        </w:rPr>
      </w:pPr>
      <w:bookmarkStart w:id="0" w:name="公告"/>
      <w:bookmarkStart w:id="1" w:name="OLE_LINK1"/>
      <w:r>
        <w:rPr>
          <w:rFonts w:hint="eastAsia" w:ascii="宋体" w:hAnsi="宋体" w:cs="宋体"/>
          <w:b/>
          <w:bCs/>
          <w:sz w:val="32"/>
          <w:szCs w:val="32"/>
          <w:highlight w:val="none"/>
          <w:lang w:eastAsia="zh-CN"/>
        </w:rPr>
        <w:t>柳市镇里隆村货运码头三年租赁权</w:t>
      </w:r>
    </w:p>
    <w:p>
      <w:pPr>
        <w:spacing w:afterLines="50"/>
        <w:jc w:val="center"/>
        <w:rPr>
          <w:b/>
          <w:bCs/>
          <w:sz w:val="32"/>
          <w:szCs w:val="32"/>
          <w:highlight w:val="none"/>
        </w:rPr>
      </w:pPr>
      <w:r>
        <w:rPr>
          <w:rFonts w:hint="eastAsia"/>
          <w:b/>
          <w:bCs/>
          <w:sz w:val="32"/>
          <w:szCs w:val="32"/>
          <w:highlight w:val="none"/>
        </w:rPr>
        <w:t>竞价公告</w:t>
      </w:r>
    </w:p>
    <w:p>
      <w:pPr>
        <w:spacing w:afterLines="50"/>
        <w:jc w:val="center"/>
        <w:rPr>
          <w:rFonts w:ascii="宋体" w:cs="宋体"/>
          <w:b/>
          <w:bCs/>
          <w:szCs w:val="21"/>
          <w:highlight w:val="none"/>
        </w:rPr>
      </w:pPr>
      <w:r>
        <w:rPr>
          <w:rFonts w:hint="eastAsia" w:ascii="宋体" w:hAnsi="宋体" w:cs="宋体"/>
          <w:b/>
          <w:bCs/>
          <w:szCs w:val="21"/>
          <w:highlight w:val="none"/>
        </w:rPr>
        <w:t>乐农村产权告字</w:t>
      </w:r>
      <w:r>
        <w:rPr>
          <w:rFonts w:hint="eastAsia" w:ascii="宋体" w:hAnsi="宋体" w:cs="宋体"/>
          <w:b/>
          <w:bCs/>
          <w:szCs w:val="21"/>
          <w:highlight w:val="none"/>
          <w:lang w:eastAsia="zh-CN"/>
        </w:rPr>
        <w:t>【2024】0105</w:t>
      </w:r>
      <w:r>
        <w:rPr>
          <w:rFonts w:hint="eastAsia" w:ascii="宋体" w:hAnsi="宋体" w:cs="宋体"/>
          <w:b/>
          <w:bCs/>
          <w:szCs w:val="21"/>
          <w:highlight w:val="none"/>
        </w:rPr>
        <w:t>号</w:t>
      </w:r>
    </w:p>
    <w:bookmarkEnd w:id="0"/>
    <w:p>
      <w:pPr>
        <w:widowControl/>
        <w:spacing w:line="312" w:lineRule="auto"/>
        <w:ind w:firstLine="420" w:firstLineChars="200"/>
        <w:rPr>
          <w:rFonts w:ascii="Tahoma" w:hAnsi="Tahoma" w:cs="Tahoma"/>
          <w:color w:val="666666"/>
          <w:kern w:val="0"/>
          <w:szCs w:val="21"/>
          <w:highlight w:val="none"/>
        </w:rPr>
      </w:pPr>
      <w:r>
        <w:rPr>
          <w:rFonts w:hint="eastAsia" w:ascii="宋体" w:hAnsi="宋体" w:cs="Tahoma"/>
          <w:color w:val="000000"/>
          <w:kern w:val="0"/>
          <w:szCs w:val="21"/>
          <w:highlight w:val="none"/>
          <w:lang w:eastAsia="zh-CN"/>
        </w:rPr>
        <w:t>乐清市柳市镇里隆村股份经济合作社</w:t>
      </w:r>
      <w:r>
        <w:rPr>
          <w:rFonts w:hint="eastAsia" w:ascii="宋体" w:hAnsi="宋体" w:cs="Tahoma"/>
          <w:color w:val="000000"/>
          <w:kern w:val="0"/>
          <w:szCs w:val="21"/>
          <w:highlight w:val="none"/>
        </w:rPr>
        <w:t>委托温州市嘉诚拍卖有限公司将</w:t>
      </w:r>
      <w:r>
        <w:rPr>
          <w:rFonts w:hint="eastAsia" w:ascii="宋体" w:hAnsi="宋体" w:cs="Tahoma"/>
          <w:color w:val="000000"/>
          <w:kern w:val="0"/>
          <w:szCs w:val="21"/>
          <w:highlight w:val="none"/>
          <w:lang w:eastAsia="zh-CN"/>
        </w:rPr>
        <w:t>于2024年6月13日10:00至2024年6月14日10:00止</w:t>
      </w:r>
      <w:r>
        <w:rPr>
          <w:rFonts w:hint="eastAsia" w:ascii="宋体" w:hAnsi="宋体" w:cs="Tahoma"/>
          <w:color w:val="000000"/>
          <w:kern w:val="0"/>
          <w:szCs w:val="21"/>
          <w:highlight w:val="none"/>
        </w:rPr>
        <w:t>（延时除外）在淘宝资产处置网络平台上</w:t>
      </w:r>
      <w:r>
        <w:rPr>
          <w:rFonts w:ascii="宋体" w:hAnsi="宋体" w:cs="Tahoma"/>
          <w:color w:val="000000"/>
          <w:kern w:val="0"/>
          <w:szCs w:val="21"/>
          <w:highlight w:val="none"/>
        </w:rPr>
        <w:t>(</w:t>
      </w:r>
      <w:r>
        <w:rPr>
          <w:rFonts w:hint="eastAsia" w:ascii="宋体" w:hAnsi="宋体" w:cs="Tahoma"/>
          <w:color w:val="000000"/>
          <w:kern w:val="0"/>
          <w:szCs w:val="21"/>
          <w:highlight w:val="none"/>
        </w:rPr>
        <w:t>网址</w:t>
      </w:r>
      <w:r>
        <w:rPr>
          <w:rFonts w:hint="eastAsia" w:ascii="宋体" w:hAnsi="宋体" w:cs="Tahoma"/>
          <w:kern w:val="0"/>
          <w:szCs w:val="21"/>
          <w:highlight w:val="none"/>
        </w:rPr>
        <w:t>：</w:t>
      </w:r>
      <w:r>
        <w:rPr>
          <w:rFonts w:ascii="宋体" w:hAnsi="宋体" w:cs="Tahoma"/>
          <w:kern w:val="0"/>
          <w:szCs w:val="21"/>
          <w:highlight w:val="none"/>
        </w:rPr>
        <w:t>https://zc-paimai.taobao.com/zc/zc_item.htm?user_id=3383749630</w:t>
      </w:r>
      <w:r>
        <w:rPr>
          <w:rFonts w:hint="eastAsia" w:ascii="宋体" w:hAnsi="宋体" w:cs="Tahoma"/>
          <w:kern w:val="0"/>
          <w:szCs w:val="21"/>
          <w:highlight w:val="none"/>
        </w:rPr>
        <w:t>；户名：乐清市公共资源交易中心）</w:t>
      </w:r>
      <w:r>
        <w:rPr>
          <w:rFonts w:hint="eastAsia" w:ascii="宋体" w:hAnsi="宋体" w:cs="Tahoma"/>
          <w:color w:val="000000"/>
          <w:kern w:val="0"/>
          <w:szCs w:val="21"/>
          <w:highlight w:val="none"/>
        </w:rPr>
        <w:t>对下述标的进行公开竞价，现公告如下：</w:t>
      </w:r>
    </w:p>
    <w:p>
      <w:pPr>
        <w:widowControl/>
        <w:spacing w:line="312" w:lineRule="auto"/>
        <w:ind w:firstLine="422" w:firstLineChars="200"/>
        <w:jc w:val="left"/>
        <w:rPr>
          <w:rFonts w:ascii="Tahoma" w:hAnsi="Tahoma" w:cs="Tahoma"/>
          <w:color w:val="666666"/>
          <w:kern w:val="0"/>
          <w:szCs w:val="21"/>
          <w:highlight w:val="none"/>
        </w:rPr>
      </w:pPr>
      <w:r>
        <w:rPr>
          <w:rFonts w:hint="eastAsia" w:ascii="宋体" w:hAnsi="宋体" w:cs="Tahoma"/>
          <w:b/>
          <w:bCs/>
          <w:color w:val="000000"/>
          <w:kern w:val="0"/>
          <w:szCs w:val="21"/>
          <w:highlight w:val="none"/>
        </w:rPr>
        <w:t>一、标的基本情况：</w:t>
      </w:r>
    </w:p>
    <w:bookmarkEnd w:id="1"/>
    <w:tbl>
      <w:tblPr>
        <w:tblStyle w:val="9"/>
        <w:tblW w:w="8499" w:type="dxa"/>
        <w:jc w:val="center"/>
        <w:tblLayout w:type="autofit"/>
        <w:tblCellMar>
          <w:top w:w="0" w:type="dxa"/>
          <w:left w:w="10" w:type="dxa"/>
          <w:bottom w:w="0" w:type="dxa"/>
          <w:right w:w="10" w:type="dxa"/>
        </w:tblCellMar>
      </w:tblPr>
      <w:tblGrid>
        <w:gridCol w:w="2050"/>
        <w:gridCol w:w="1235"/>
        <w:gridCol w:w="932"/>
        <w:gridCol w:w="1237"/>
        <w:gridCol w:w="1099"/>
        <w:gridCol w:w="1032"/>
        <w:gridCol w:w="914"/>
      </w:tblGrid>
      <w:tr>
        <w:tblPrEx>
          <w:tblCellMar>
            <w:top w:w="0" w:type="dxa"/>
            <w:left w:w="10" w:type="dxa"/>
            <w:bottom w:w="0" w:type="dxa"/>
            <w:right w:w="10" w:type="dxa"/>
          </w:tblCellMar>
        </w:tblPrEx>
        <w:trPr>
          <w:trHeight w:val="889" w:hRule="atLeast"/>
          <w:jc w:val="center"/>
        </w:trPr>
        <w:tc>
          <w:tcPr>
            <w:tcW w:w="20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hAnsi="宋体" w:cs="宋体"/>
                <w:sz w:val="22"/>
                <w:szCs w:val="22"/>
                <w:highlight w:val="none"/>
              </w:rPr>
              <w:t>标的</w:t>
            </w:r>
          </w:p>
        </w:tc>
        <w:tc>
          <w:tcPr>
            <w:tcW w:w="123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租赁面积约</w:t>
            </w:r>
            <w:r>
              <w:rPr>
                <w:rFonts w:ascii="宋体" w:hAnsi="宋体" w:cs="宋体"/>
                <w:sz w:val="22"/>
                <w:szCs w:val="22"/>
                <w:highlight w:val="none"/>
              </w:rPr>
              <w:t>(</w:t>
            </w:r>
            <w:r>
              <w:rPr>
                <w:rFonts w:hint="eastAsia" w:ascii="宋体" w:hAnsi="宋体" w:cs="宋体"/>
                <w:sz w:val="22"/>
                <w:szCs w:val="22"/>
                <w:highlight w:val="none"/>
              </w:rPr>
              <w:t>㎡</w:t>
            </w:r>
            <w:r>
              <w:rPr>
                <w:rFonts w:ascii="宋体" w:hAnsi="宋体" w:cs="宋体"/>
                <w:sz w:val="22"/>
                <w:szCs w:val="22"/>
                <w:highlight w:val="none"/>
              </w:rPr>
              <w:t>)</w:t>
            </w:r>
          </w:p>
        </w:tc>
        <w:tc>
          <w:tcPr>
            <w:tcW w:w="9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租赁期限（年）</w:t>
            </w:r>
          </w:p>
        </w:tc>
        <w:tc>
          <w:tcPr>
            <w:tcW w:w="123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首年租金起始价</w:t>
            </w:r>
          </w:p>
          <w:p>
            <w:pPr>
              <w:spacing w:line="320" w:lineRule="exact"/>
              <w:jc w:val="center"/>
              <w:rPr>
                <w:rFonts w:ascii="宋体" w:cs="宋体"/>
                <w:sz w:val="22"/>
                <w:szCs w:val="22"/>
                <w:highlight w:val="none"/>
              </w:rPr>
            </w:pPr>
            <w:r>
              <w:rPr>
                <w:rFonts w:ascii="宋体" w:cs="宋体"/>
                <w:sz w:val="22"/>
                <w:szCs w:val="22"/>
                <w:highlight w:val="none"/>
              </w:rPr>
              <w:t>(</w:t>
            </w:r>
            <w:r>
              <w:rPr>
                <w:rFonts w:hint="eastAsia" w:ascii="宋体" w:cs="宋体"/>
                <w:sz w:val="22"/>
                <w:szCs w:val="22"/>
                <w:highlight w:val="none"/>
              </w:rPr>
              <w:t>万元）</w:t>
            </w:r>
          </w:p>
        </w:tc>
        <w:tc>
          <w:tcPr>
            <w:tcW w:w="109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竞买保证金</w:t>
            </w: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c>
          <w:tcPr>
            <w:tcW w:w="10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履约保证金（万元）</w:t>
            </w:r>
          </w:p>
        </w:tc>
        <w:tc>
          <w:tcPr>
            <w:tcW w:w="91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竞价增价幅度</w:t>
            </w:r>
          </w:p>
          <w:p>
            <w:pPr>
              <w:spacing w:line="320" w:lineRule="exact"/>
              <w:jc w:val="center"/>
              <w:rPr>
                <w:rFonts w:ascii="宋体" w:cs="宋体"/>
                <w:sz w:val="22"/>
                <w:szCs w:val="22"/>
                <w:highlight w:val="none"/>
              </w:rPr>
            </w:pP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r>
      <w:tr>
        <w:tblPrEx>
          <w:tblCellMar>
            <w:top w:w="0" w:type="dxa"/>
            <w:left w:w="10" w:type="dxa"/>
            <w:bottom w:w="0" w:type="dxa"/>
            <w:right w:w="10" w:type="dxa"/>
          </w:tblCellMar>
        </w:tblPrEx>
        <w:trPr>
          <w:trHeight w:val="915" w:hRule="atLeast"/>
          <w:jc w:val="center"/>
        </w:trPr>
        <w:tc>
          <w:tcPr>
            <w:tcW w:w="20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left"/>
              <w:rPr>
                <w:rFonts w:hint="eastAsia" w:ascii="宋体" w:eastAsia="宋体" w:cs="宋体"/>
                <w:sz w:val="22"/>
                <w:szCs w:val="22"/>
                <w:highlight w:val="none"/>
                <w:lang w:eastAsia="zh-CN"/>
              </w:rPr>
            </w:pPr>
            <w:r>
              <w:rPr>
                <w:rFonts w:hint="eastAsia" w:ascii="宋体" w:cs="宋体"/>
                <w:sz w:val="22"/>
                <w:szCs w:val="22"/>
                <w:highlight w:val="none"/>
                <w:lang w:eastAsia="zh-CN"/>
              </w:rPr>
              <w:t>柳市镇里隆村货运码头三年租赁权</w:t>
            </w:r>
          </w:p>
        </w:tc>
        <w:tc>
          <w:tcPr>
            <w:tcW w:w="123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1080</w:t>
            </w:r>
          </w:p>
        </w:tc>
        <w:tc>
          <w:tcPr>
            <w:tcW w:w="9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ascii="宋体" w:hAnsi="宋体" w:cs="宋体"/>
                <w:sz w:val="22"/>
                <w:szCs w:val="22"/>
                <w:highlight w:val="none"/>
              </w:rPr>
              <w:t>3</w:t>
            </w:r>
          </w:p>
        </w:tc>
        <w:tc>
          <w:tcPr>
            <w:tcW w:w="123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30</w:t>
            </w:r>
          </w:p>
        </w:tc>
        <w:tc>
          <w:tcPr>
            <w:tcW w:w="109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15</w:t>
            </w:r>
          </w:p>
        </w:tc>
        <w:tc>
          <w:tcPr>
            <w:tcW w:w="103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cs="宋体"/>
                <w:sz w:val="22"/>
                <w:szCs w:val="22"/>
                <w:highlight w:val="none"/>
                <w:lang w:val="en-US" w:eastAsia="zh-CN"/>
              </w:rPr>
              <w:t>5</w:t>
            </w:r>
          </w:p>
        </w:tc>
        <w:tc>
          <w:tcPr>
            <w:tcW w:w="914"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ascii="宋体" w:cs="宋体"/>
                <w:sz w:val="22"/>
                <w:szCs w:val="22"/>
                <w:highlight w:val="none"/>
              </w:rPr>
              <w:t>0.1</w:t>
            </w:r>
          </w:p>
        </w:tc>
      </w:tr>
    </w:tbl>
    <w:p>
      <w:pPr>
        <w:spacing w:line="312" w:lineRule="auto"/>
        <w:ind w:firstLine="422" w:firstLineChars="200"/>
        <w:rPr>
          <w:rFonts w:ascii="宋体" w:cs="宋体"/>
          <w:bCs/>
          <w:szCs w:val="21"/>
          <w:highlight w:val="none"/>
        </w:rPr>
      </w:pPr>
      <w:r>
        <w:rPr>
          <w:rFonts w:hint="eastAsia" w:ascii="宋体" w:hAnsi="宋体" w:cs="宋体"/>
          <w:b/>
          <w:szCs w:val="21"/>
          <w:highlight w:val="none"/>
        </w:rPr>
        <w:t>注：</w:t>
      </w:r>
      <w:r>
        <w:rPr>
          <w:rFonts w:ascii="宋体" w:hAnsi="宋体" w:cs="宋体"/>
          <w:bCs/>
          <w:szCs w:val="21"/>
          <w:highlight w:val="none"/>
        </w:rPr>
        <w:t>1</w:t>
      </w:r>
      <w:r>
        <w:rPr>
          <w:rFonts w:hint="eastAsia" w:ascii="宋体" w:hAnsi="宋体" w:cs="宋体"/>
          <w:bCs/>
          <w:szCs w:val="21"/>
          <w:highlight w:val="none"/>
        </w:rPr>
        <w:t>、标的物坐落于</w:t>
      </w:r>
      <w:r>
        <w:rPr>
          <w:rFonts w:hint="eastAsia" w:ascii="宋体" w:hAnsi="宋体" w:cs="宋体"/>
          <w:bCs/>
          <w:szCs w:val="21"/>
          <w:highlight w:val="none"/>
          <w:lang w:eastAsia="zh-CN"/>
        </w:rPr>
        <w:t>柳市镇里隆村</w:t>
      </w:r>
      <w:r>
        <w:rPr>
          <w:rFonts w:hint="eastAsia" w:ascii="宋体" w:hAnsi="宋体" w:cs="宋体"/>
          <w:bCs/>
          <w:szCs w:val="21"/>
          <w:highlight w:val="none"/>
        </w:rPr>
        <w:t>，无不动产权证，本次租赁已在委托人所在地乡镇人民政府备案。请竞买人务必实地勘查以确认标的物实物状况，有关标的的其他相关情况，可向主管部门进行查询，一旦出价参与竞买，即视为对标的物状况</w:t>
      </w:r>
      <w:r>
        <w:rPr>
          <w:rFonts w:hint="eastAsia" w:ascii="宋体" w:hAnsi="宋体" w:cs="宋体"/>
          <w:bCs/>
          <w:szCs w:val="21"/>
          <w:highlight w:val="none"/>
          <w:lang w:eastAsia="zh-CN"/>
        </w:rPr>
        <w:t>及价格</w:t>
      </w:r>
      <w:r>
        <w:rPr>
          <w:rFonts w:hint="eastAsia" w:ascii="宋体" w:hAnsi="宋体" w:cs="宋体"/>
          <w:bCs/>
          <w:szCs w:val="21"/>
          <w:highlight w:val="none"/>
        </w:rPr>
        <w:t>的认可，竞得人承诺不因此向委托人主张任何权利。</w:t>
      </w:r>
    </w:p>
    <w:p>
      <w:pPr>
        <w:spacing w:line="312" w:lineRule="auto"/>
        <w:ind w:firstLine="420" w:firstLineChars="200"/>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、委托人在标的成交后一个月内将标的物移交给竞得人使用，标的物未按时移交造成相关问题由委托人自行承担，与温州市嘉诚拍卖有限公司无涉。</w:t>
      </w:r>
    </w:p>
    <w:p>
      <w:pPr>
        <w:spacing w:line="312" w:lineRule="auto"/>
        <w:ind w:firstLine="420" w:firstLineChars="200"/>
        <w:rPr>
          <w:rFonts w:asci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以上标的以现场实物为准。其外观、面积、结构、固定装修及内在质量以移交时的现状为准。对房屋外观、质量问题、结构调整、固定装修损坏、房地产面积差异等不作担保，由竞买人自行承担相关责任，由此产生的问题也不影响竞价成交结果及成交价格。</w:t>
      </w:r>
    </w:p>
    <w:p>
      <w:pPr>
        <w:spacing w:line="312" w:lineRule="auto"/>
        <w:ind w:firstLine="420" w:firstLineChars="200"/>
        <w:rPr>
          <w:rFonts w:asci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、成交总租金为净租金，因租赁行为产生的依法律法规规定</w:t>
      </w:r>
      <w:r>
        <w:rPr>
          <w:rFonts w:hint="eastAsia" w:ascii="宋体" w:hAnsi="宋体" w:cs="宋体"/>
          <w:szCs w:val="21"/>
          <w:highlight w:val="none"/>
        </w:rPr>
        <w:t>双方</w:t>
      </w:r>
      <w:r>
        <w:rPr>
          <w:rFonts w:hint="eastAsia" w:ascii="宋体" w:hAnsi="宋体" w:cs="宋体"/>
          <w:bCs/>
          <w:szCs w:val="21"/>
          <w:highlight w:val="none"/>
        </w:rPr>
        <w:t>应交的所有税费由竞得人承担。</w:t>
      </w:r>
    </w:p>
    <w:p>
      <w:pPr>
        <w:spacing w:line="312" w:lineRule="auto"/>
        <w:ind w:firstLine="422" w:firstLineChars="200"/>
        <w:rPr>
          <w:rFonts w:ascii="Tahoma" w:hAnsi="Tahoma" w:cs="Tahoma"/>
          <w:color w:val="666666"/>
          <w:szCs w:val="21"/>
          <w:highlight w:val="none"/>
        </w:rPr>
      </w:pPr>
      <w:r>
        <w:rPr>
          <w:rFonts w:hint="eastAsia" w:ascii="宋体" w:hAnsi="宋体" w:cs="宋体"/>
          <w:b/>
          <w:color w:val="000000"/>
          <w:szCs w:val="21"/>
          <w:highlight w:val="none"/>
        </w:rPr>
        <w:t>二、竞买人条件：</w:t>
      </w:r>
    </w:p>
    <w:p>
      <w:pPr>
        <w:pStyle w:val="8"/>
        <w:widowControl/>
        <w:spacing w:beforeAutospacing="0" w:afterAutospacing="0" w:line="312" w:lineRule="auto"/>
        <w:ind w:firstLine="420" w:firstLineChars="200"/>
        <w:rPr>
          <w:rFonts w:ascii="Segoe UI" w:hAnsi="Segoe UI" w:cs="Segoe UI"/>
          <w:color w:val="111F2C"/>
          <w:sz w:val="21"/>
          <w:szCs w:val="21"/>
          <w:highlight w:val="none"/>
          <w:shd w:val="clear" w:color="auto" w:fill="FFFFFF"/>
        </w:rPr>
      </w:pPr>
      <w:r>
        <w:rPr>
          <w:rFonts w:hint="eastAsia" w:ascii="Segoe UI" w:hAnsi="Segoe UI" w:cs="Segoe UI"/>
          <w:color w:val="111F2C"/>
          <w:sz w:val="21"/>
          <w:szCs w:val="21"/>
          <w:highlight w:val="none"/>
          <w:shd w:val="clear" w:color="auto" w:fill="FFFFFF"/>
        </w:rPr>
        <w:t>具有完全民事行为能力的自然人、法人及其他能独立承担经济责任的组织等。</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若竞买人提供虚假文件、隐瞒事实、骗取竞买资格的，或不符合条件参加竞买的，其竞买结果无效，保证金不予退还。该竞买人还须承担由此产生的一切损失（包括但不限于交易服务费、平台软件服务费、委托人应付相关费用、标的再行竞价产生的成交款差额等）和相应的法律责任。</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租赁用途限制：</w:t>
      </w:r>
      <w:r>
        <w:rPr>
          <w:rFonts w:hint="eastAsia" w:ascii="宋体" w:hAnsi="宋体" w:cs="宋体"/>
          <w:b/>
          <w:color w:val="000000"/>
          <w:sz w:val="21"/>
          <w:szCs w:val="21"/>
          <w:highlight w:val="none"/>
          <w:lang w:eastAsia="zh-CN"/>
        </w:rPr>
        <w:t>仅作钢材、其他金属物品、食品装卸运作码头，不得转为其它物品装卸运作：包括但不限于煤、水泥、易燃、易爆、多尘物品运作和走私物品等。严禁经营重噪音、重污染、危险品等行业。竞得人必须合法经营码头，做好卫生防尘等工作</w:t>
      </w:r>
      <w:r>
        <w:rPr>
          <w:rFonts w:hint="eastAsia" w:ascii="宋体" w:hAnsi="宋体" w:cs="宋体"/>
          <w:b/>
          <w:color w:val="000000"/>
          <w:sz w:val="21"/>
          <w:szCs w:val="21"/>
          <w:highlight w:val="none"/>
        </w:rPr>
        <w:t>。</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三、竞价方式：</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竞价方式：以增价方式进行网络竞价，有一人报名出价并满足成交条件方可成交，不设保留价。</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本次竞价活动设置延时出价功能，在竞价活动结束前，每最后</w:t>
      </w:r>
      <w:r>
        <w:rPr>
          <w:rFonts w:ascii="宋体" w:hAnsi="宋体" w:cs="宋体"/>
          <w:color w:val="000000"/>
          <w:sz w:val="21"/>
          <w:szCs w:val="21"/>
          <w:highlight w:val="none"/>
        </w:rPr>
        <w:t>5</w:t>
      </w:r>
      <w:r>
        <w:rPr>
          <w:rFonts w:hint="eastAsia" w:ascii="宋体" w:hAnsi="宋体" w:cs="宋体"/>
          <w:color w:val="000000"/>
          <w:sz w:val="21"/>
          <w:szCs w:val="21"/>
          <w:highlight w:val="none"/>
        </w:rPr>
        <w:t>分钟如果有竞买人出价，将自动延迟</w:t>
      </w:r>
      <w:r>
        <w:rPr>
          <w:rFonts w:ascii="宋体" w:hAnsi="宋体" w:cs="宋体"/>
          <w:color w:val="000000"/>
          <w:sz w:val="21"/>
          <w:szCs w:val="21"/>
          <w:highlight w:val="none"/>
        </w:rPr>
        <w:t>5</w:t>
      </w:r>
      <w:r>
        <w:rPr>
          <w:rFonts w:hint="eastAsia" w:ascii="宋体" w:hAnsi="宋体" w:cs="宋体"/>
          <w:color w:val="000000"/>
          <w:sz w:val="21"/>
          <w:szCs w:val="21"/>
          <w:highlight w:val="none"/>
        </w:rPr>
        <w:t>分钟。</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四、租金支付方式：</w:t>
      </w:r>
    </w:p>
    <w:p>
      <w:pPr>
        <w:pStyle w:val="8"/>
        <w:widowControl/>
        <w:spacing w:beforeAutospacing="0" w:afterAutospacing="0" w:line="312" w:lineRule="auto"/>
        <w:ind w:firstLine="420" w:firstLineChars="200"/>
        <w:rPr>
          <w:rFonts w:ascii="宋体" w:cs="宋体"/>
          <w:bCs/>
          <w:color w:val="000000"/>
          <w:sz w:val="21"/>
          <w:szCs w:val="21"/>
          <w:highlight w:val="none"/>
        </w:rPr>
      </w:pPr>
      <w:r>
        <w:rPr>
          <w:rFonts w:hint="eastAsia" w:ascii="宋体" w:hAnsi="宋体" w:cs="宋体"/>
          <w:bCs/>
          <w:color w:val="000000"/>
          <w:sz w:val="21"/>
          <w:szCs w:val="21"/>
          <w:highlight w:val="none"/>
        </w:rPr>
        <w:t>标的三年总成交租金分三期支付，租金按年支付，每年租金相同，一年一付，先付后用。首年租金（扣除竞买保证金后的余款）和履约保证金在成交后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个工作日内以转账的方式缴入乐清市公共资源交易中心投标保证金专户，从第二期起，每期租金应于上一年租期到期前</w:t>
      </w:r>
      <w:r>
        <w:rPr>
          <w:rFonts w:ascii="宋体" w:hAnsi="宋体" w:cs="宋体"/>
          <w:bCs/>
          <w:color w:val="000000"/>
          <w:sz w:val="21"/>
          <w:szCs w:val="21"/>
          <w:highlight w:val="none"/>
        </w:rPr>
        <w:t>30</w:t>
      </w:r>
      <w:r>
        <w:rPr>
          <w:rFonts w:hint="eastAsia" w:ascii="宋体" w:hAnsi="宋体" w:cs="宋体"/>
          <w:bCs/>
          <w:color w:val="000000"/>
          <w:sz w:val="21"/>
          <w:szCs w:val="21"/>
          <w:highlight w:val="none"/>
        </w:rPr>
        <w:t>日支付给委托人。</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五、咨询、展示看样的时间与方式：</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即日起至竞价前一日</w:t>
      </w:r>
      <w:r>
        <w:rPr>
          <w:rFonts w:ascii="宋体" w:hAnsi="宋体" w:cs="宋体"/>
          <w:color w:val="000000"/>
          <w:sz w:val="21"/>
          <w:szCs w:val="21"/>
          <w:highlight w:val="none"/>
        </w:rPr>
        <w:t>16:30</w:t>
      </w:r>
      <w:r>
        <w:rPr>
          <w:rFonts w:hint="eastAsia" w:ascii="宋体" w:hAnsi="宋体" w:cs="宋体"/>
          <w:color w:val="000000"/>
          <w:sz w:val="21"/>
          <w:szCs w:val="21"/>
          <w:highlight w:val="none"/>
        </w:rPr>
        <w:t>止（工作时间）接受咨询，有意者自行实地看样。</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六、报名及保证金有关事宜：</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、报名时间：公告之日起至对应标的竞价结束前。</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买人需在上述淘宝网资产处置网络平台或扫描手机二维码报名参拍并交纳对应标的的竞买保证金。如参与竞买人未开设淘宝或支付宝账户，可委托代理人（具备完全民事行为能力的自然人）进行，但委托双方须共同携带合法有效的身份证明、委托书等，前往温州市嘉诚拍卖有限公司办理委托手续，经确认后方能进行网络竞价，如委托手续不全或未办理委托手续的，</w:t>
      </w:r>
      <w:r>
        <w:rPr>
          <w:rFonts w:hint="eastAsia" w:ascii="Segoe UI" w:hAnsi="Segoe UI" w:cs="Segoe UI"/>
          <w:color w:val="111F2C"/>
          <w:sz w:val="21"/>
          <w:szCs w:val="21"/>
          <w:highlight w:val="none"/>
          <w:shd w:val="clear" w:color="auto" w:fill="FFFFFF"/>
        </w:rPr>
        <w:t>竞买活动认定为竞买人的个人行为</w:t>
      </w:r>
      <w:r>
        <w:rPr>
          <w:rFonts w:hint="eastAsia" w:ascii="宋体" w:hAnsi="宋体" w:cs="宋体"/>
          <w:color w:val="000000"/>
          <w:sz w:val="21"/>
          <w:szCs w:val="21"/>
          <w:highlight w:val="none"/>
        </w:rPr>
        <w:t>，由其承担一切法律责任。竞买成功后，竞得人（法定代表人、其他组织的负责人）须与委托代理人一同到温州市嘉诚拍卖有限公司办理相关手续。</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、竞价前竞买人的支付宝账户中应有足够的余额支付保证金，竞买人在对标的第一次确认出价竞买前，按淘宝系统提示报名缴纳保证金，系统会自动冻结该笔款项。</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、竞价成交的，竞得人冻结的保证金在缴清淘宝平台软件服务费后将自动转为成交履约保证金，其他竞买人的保证金在竞价活动结束后即时解冻，保证金冻结期间不计利息。</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、竞买人参与</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，支付保证金可能会碰到当天限额无法支付的情况，请竞买人根据自身情况选择网上银行提前充值。</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七、价款结算及标的物交割：</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、竞得人须在竞价成交后</w:t>
      </w:r>
      <w:r>
        <w:rPr>
          <w:rFonts w:ascii="宋体" w:hAnsi="宋体" w:cs="宋体"/>
          <w:color w:val="000000"/>
          <w:sz w:val="21"/>
          <w:szCs w:val="21"/>
          <w:highlight w:val="none"/>
        </w:rPr>
        <w:t>1</w:t>
      </w:r>
      <w:r>
        <w:rPr>
          <w:rFonts w:hint="eastAsia" w:ascii="宋体" w:hAnsi="宋体" w:cs="宋体"/>
          <w:color w:val="000000"/>
          <w:sz w:val="21"/>
          <w:szCs w:val="21"/>
          <w:highlight w:val="none"/>
        </w:rPr>
        <w:t>个工作日内，凭相关身份证明到温州市嘉诚拍卖有限公司签署《成交确认书》、《租赁合同》、《消防安全责任书》等。</w:t>
      </w:r>
    </w:p>
    <w:p>
      <w:pPr>
        <w:spacing w:line="300" w:lineRule="auto"/>
        <w:ind w:firstLine="420" w:firstLineChars="200"/>
        <w:rPr>
          <w:rFonts w:ascii="宋体"/>
          <w:szCs w:val="21"/>
          <w:highlight w:val="none"/>
        </w:rPr>
      </w:pPr>
      <w:r>
        <w:rPr>
          <w:rFonts w:hint="eastAsia" w:ascii="宋体" w:hAnsi="宋体"/>
          <w:szCs w:val="21"/>
          <w:highlight w:val="none"/>
        </w:rPr>
        <w:t>竞得人须在竞价成交后</w:t>
      </w:r>
      <w:r>
        <w:rPr>
          <w:rFonts w:ascii="宋体" w:hAnsi="宋体"/>
          <w:szCs w:val="21"/>
          <w:highlight w:val="none"/>
        </w:rPr>
        <w:t>3</w:t>
      </w:r>
      <w:r>
        <w:rPr>
          <w:rFonts w:hint="eastAsia" w:ascii="宋体" w:hAnsi="宋体"/>
          <w:szCs w:val="21"/>
          <w:highlight w:val="none"/>
        </w:rPr>
        <w:t>个工作日内将首年成交租金（扣除竞买保证金后的余款）和履约保证金等款项以转账的方式向乐清市公共资源交易中心缴清</w:t>
      </w:r>
      <w:r>
        <w:rPr>
          <w:rFonts w:ascii="宋体" w:hAnsi="宋体"/>
          <w:szCs w:val="21"/>
          <w:highlight w:val="none"/>
        </w:rPr>
        <w:t>(</w:t>
      </w:r>
      <w:r>
        <w:rPr>
          <w:rFonts w:hint="eastAsia" w:ascii="宋体" w:hAnsi="宋体"/>
          <w:szCs w:val="21"/>
          <w:highlight w:val="none"/>
        </w:rPr>
        <w:t>开户名称：乐清市公共资源交易中心投标保证金专户；开户银行：中国银行乐清市支行营业部；账号：</w:t>
      </w:r>
      <w:r>
        <w:rPr>
          <w:rFonts w:ascii="宋体" w:hAnsi="宋体"/>
          <w:szCs w:val="21"/>
          <w:highlight w:val="none"/>
        </w:rPr>
        <w:t>361076669755),</w:t>
      </w:r>
      <w:r>
        <w:rPr>
          <w:rFonts w:hint="eastAsia" w:ascii="宋体" w:hAnsi="宋体"/>
          <w:szCs w:val="21"/>
          <w:highlight w:val="none"/>
        </w:rPr>
        <w:t>并将温州市嘉诚拍卖有限公司收取的竞价服务费缴入温州市嘉诚拍卖有限公司指定账户（开户单位：温州市嘉诚拍卖有限公司；开户银行：</w:t>
      </w:r>
      <w:r>
        <w:rPr>
          <w:rFonts w:hint="eastAsia" w:ascii="宋体" w:hAnsi="宋体"/>
          <w:szCs w:val="21"/>
          <w:highlight w:val="none"/>
          <w:lang w:eastAsia="zh-CN"/>
        </w:rPr>
        <w:t>中国银行温州经济开发区支行营业部</w:t>
      </w:r>
      <w:r>
        <w:rPr>
          <w:rFonts w:hint="eastAsia" w:ascii="宋体" w:hAnsi="宋体"/>
          <w:szCs w:val="21"/>
          <w:highlight w:val="none"/>
        </w:rPr>
        <w:t>；账号：</w:t>
      </w:r>
      <w:r>
        <w:rPr>
          <w:rFonts w:ascii="宋体" w:hAnsi="宋体"/>
          <w:szCs w:val="21"/>
          <w:highlight w:val="none"/>
        </w:rPr>
        <w:t>3675 7397 6042</w:t>
      </w:r>
      <w:r>
        <w:rPr>
          <w:rFonts w:hint="eastAsia" w:ascii="宋体" w:hAnsi="宋体"/>
          <w:szCs w:val="21"/>
          <w:highlight w:val="none"/>
        </w:rPr>
        <w:t>），并于成交后</w:t>
      </w:r>
      <w:r>
        <w:rPr>
          <w:rFonts w:ascii="宋体" w:hAnsi="宋体"/>
          <w:szCs w:val="21"/>
          <w:highlight w:val="none"/>
        </w:rPr>
        <w:t>3</w:t>
      </w:r>
      <w:r>
        <w:rPr>
          <w:rFonts w:hint="eastAsia" w:ascii="宋体" w:hAnsi="宋体"/>
          <w:szCs w:val="21"/>
          <w:highlight w:val="none"/>
        </w:rPr>
        <w:t>个工作日内向淘宝平台支付规定的淘宝平台软件服务费。履约保证金于租赁期结束后扣除竞得人所欠税、费后</w:t>
      </w:r>
      <w:r>
        <w:rPr>
          <w:rFonts w:hint="eastAsia" w:ascii="宋体" w:hAnsi="宋体"/>
          <w:szCs w:val="21"/>
          <w:highlight w:val="none"/>
          <w:lang w:eastAsia="zh-CN"/>
        </w:rPr>
        <w:t>由委托人</w:t>
      </w:r>
      <w:r>
        <w:rPr>
          <w:rFonts w:hint="eastAsia" w:ascii="宋体" w:hAnsi="宋体"/>
          <w:szCs w:val="21"/>
          <w:highlight w:val="none"/>
        </w:rPr>
        <w:t>无息退还。</w:t>
      </w:r>
    </w:p>
    <w:p>
      <w:pPr>
        <w:pStyle w:val="8"/>
        <w:widowControl/>
        <w:spacing w:beforeAutospacing="0" w:afterAutospacing="0" w:line="312" w:lineRule="auto"/>
        <w:ind w:firstLine="422" w:firstLineChars="200"/>
        <w:rPr>
          <w:rFonts w:ascii="宋体" w:cs="宋体"/>
          <w:color w:val="000000"/>
          <w:sz w:val="21"/>
          <w:szCs w:val="21"/>
          <w:highlight w:val="none"/>
        </w:rPr>
      </w:pPr>
      <w:r>
        <w:rPr>
          <w:rFonts w:hint="eastAsia" w:ascii="宋体" w:hAnsi="宋体" w:cs="宋体"/>
          <w:b/>
          <w:bCs/>
          <w:color w:val="000000"/>
          <w:sz w:val="21"/>
          <w:szCs w:val="21"/>
          <w:highlight w:val="none"/>
        </w:rPr>
        <w:t>淘宝资产处置网络平台根据竞价页面成交金额向竞得人收取软件服务费（收费标准详见竞价须知）。</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、竞得人在竞价成交后</w:t>
      </w:r>
      <w:r>
        <w:rPr>
          <w:rFonts w:ascii="宋体" w:hAnsi="宋体" w:cs="宋体"/>
          <w:color w:val="000000"/>
          <w:sz w:val="21"/>
          <w:szCs w:val="21"/>
          <w:highlight w:val="none"/>
        </w:rPr>
        <w:t>5</w:t>
      </w:r>
      <w:r>
        <w:rPr>
          <w:rFonts w:hint="eastAsia" w:ascii="宋体" w:hAnsi="宋体" w:cs="宋体"/>
          <w:color w:val="000000"/>
          <w:sz w:val="21"/>
          <w:szCs w:val="21"/>
          <w:highlight w:val="none"/>
        </w:rPr>
        <w:t>个工作日内，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、交易结果公布：交易结束后</w:t>
      </w:r>
      <w:r>
        <w:rPr>
          <w:rFonts w:ascii="宋体" w:hAnsi="宋体" w:cs="宋体"/>
          <w:color w:val="000000"/>
          <w:sz w:val="21"/>
          <w:szCs w:val="21"/>
          <w:highlight w:val="none"/>
        </w:rPr>
        <w:t>10</w:t>
      </w:r>
      <w:r>
        <w:rPr>
          <w:rFonts w:hint="eastAsia" w:ascii="宋体" w:hAnsi="宋体" w:cs="宋体"/>
          <w:color w:val="000000"/>
          <w:sz w:val="21"/>
          <w:szCs w:val="21"/>
          <w:highlight w:val="none"/>
        </w:rPr>
        <w:t>个工作日内，将在乐清市公共资源交易中心网站（</w:t>
      </w:r>
      <w:r>
        <w:rPr>
          <w:rFonts w:ascii="宋体" w:hAnsi="宋体" w:cs="宋体"/>
          <w:color w:val="000000"/>
          <w:sz w:val="21"/>
          <w:szCs w:val="21"/>
          <w:highlight w:val="none"/>
        </w:rPr>
        <w:t>http://www.yueqing.gov.cn/col/col1229165452/index.html</w:t>
      </w:r>
      <w:r>
        <w:rPr>
          <w:rFonts w:hint="eastAsia" w:ascii="宋体" w:hAnsi="宋体" w:cs="宋体"/>
          <w:color w:val="000000"/>
          <w:sz w:val="21"/>
          <w:szCs w:val="21"/>
          <w:highlight w:val="none"/>
        </w:rPr>
        <w:t>）公布此次交易结果。</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八、特别提醒：</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、在租赁期间，牵涉到的水、电、通讯、物业管理费和相关部门管理费用等一切经营费用以及租赁使用期间的日常维修、维护、保养等费用，均由竞得人承担并自行结算。</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、标的物以实物现状为准，温州市嘉诚拍卖有限公司不承担本标的瑕疵担保。有意者请亲自实地看样，未看样的竞买人视为对本标的实物现状的确认，责任自负。</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竞得人须自行承担标的物租赁涉及的有关经营活动所产生的审批风险和责任，营业执照等相关经营手续需自行办理。若标的物建筑存在瑕疵部分，由竞得人承担由此产生的审批、经营风险，并自行接受行政主管部门处理，委托人与温州市嘉诚拍卖有限公司不承担相关责任及赔偿责任。</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竞买人报名参与竞价，即表明已完全知晓标的物权属、权利性质、用途等相关问题，若因标的物权属、权利性质、用途等相关问题导致竞得人无法办理经营证照或其它纠纷的，由竞得人自行承担风险，不影响竞价成交结果，也不作为解除租赁合同的理由。</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、租赁期限内，竞得人须征得委托人书面同意后，方可将标的物进行转租，转租的管理工作由竞得人负责，包括自行向转租户收取租金等，并自行承担转租行为的后果。</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6</w:t>
      </w:r>
      <w:r>
        <w:rPr>
          <w:rFonts w:hint="eastAsia" w:ascii="宋体" w:hAnsi="宋体" w:cs="宋体"/>
          <w:color w:val="000000"/>
          <w:sz w:val="21"/>
          <w:szCs w:val="21"/>
          <w:highlight w:val="none"/>
        </w:rPr>
        <w:t>、租赁期限内，若标的物被行政主管部门拆除，委托人退还剩余租期的租金，不赔偿竞得人其它损失。</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7</w:t>
      </w:r>
      <w:r>
        <w:rPr>
          <w:rFonts w:hint="eastAsia" w:ascii="宋体" w:hAnsi="宋体" w:cs="宋体"/>
          <w:color w:val="000000"/>
          <w:sz w:val="21"/>
          <w:szCs w:val="21"/>
          <w:highlight w:val="none"/>
        </w:rPr>
        <w:t>、竞买人在竞价前请务必再仔细阅读《竞价须知》，一旦报名参与竞价即视为对本标的竞价相关文本的确认。</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8</w:t>
      </w:r>
      <w:r>
        <w:rPr>
          <w:rFonts w:hint="eastAsia" w:ascii="宋体" w:hAnsi="宋体" w:cs="宋体"/>
          <w:color w:val="000000"/>
          <w:sz w:val="21"/>
          <w:szCs w:val="21"/>
          <w:highlight w:val="none"/>
        </w:rPr>
        <w:t>、本次竞价活动计价货币为人民币，竞价时的起始价、成交价均不含竞得人在标的物交割时所发生的任何税、费。</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9</w:t>
      </w:r>
      <w:r>
        <w:rPr>
          <w:rFonts w:hint="eastAsia" w:ascii="宋体" w:hAnsi="宋体" w:cs="宋体"/>
          <w:color w:val="000000"/>
          <w:sz w:val="21"/>
          <w:szCs w:val="21"/>
          <w:highlight w:val="none"/>
        </w:rPr>
        <w:t>、竞买人在竞价结束前应未被“信用中国（</w:t>
      </w:r>
      <w:r>
        <w:rPr>
          <w:rFonts w:ascii="宋体" w:hAnsi="宋体" w:cs="宋体"/>
          <w:color w:val="000000"/>
          <w:sz w:val="21"/>
          <w:szCs w:val="21"/>
          <w:highlight w:val="none"/>
        </w:rPr>
        <w:t>http://www.creditchina.gov.cn</w:t>
      </w:r>
      <w:r>
        <w:rPr>
          <w:rFonts w:hint="eastAsia" w:ascii="宋体" w:hAnsi="宋体" w:cs="宋体"/>
          <w:color w:val="000000"/>
          <w:sz w:val="21"/>
          <w:szCs w:val="21"/>
          <w:highlight w:val="none"/>
        </w:rPr>
        <w:t>）”列入失信被执行人名单的或已被列入失信被执行人名单但已执行完结者。若不符合条件参加竞买的，其竞买无效或取消其竞得资格，并自行承担相应的法律责任。</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本公告其他未尽事宜，请向温州市嘉诚拍卖有限公司咨询。</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咨询电话：</w:t>
      </w:r>
      <w:r>
        <w:rPr>
          <w:rFonts w:ascii="宋体" w:hAnsi="宋体" w:cs="宋体"/>
          <w:color w:val="000000"/>
          <w:sz w:val="21"/>
          <w:szCs w:val="21"/>
          <w:highlight w:val="none"/>
        </w:rPr>
        <w:t>0577-61662669</w:t>
      </w:r>
      <w:r>
        <w:rPr>
          <w:rFonts w:hint="eastAsia" w:ascii="宋体" w:hAnsi="宋体" w:cs="宋体"/>
          <w:color w:val="000000"/>
          <w:sz w:val="21"/>
          <w:szCs w:val="21"/>
          <w:highlight w:val="none"/>
        </w:rPr>
        <w:t>，</w:t>
      </w:r>
      <w:r>
        <w:rPr>
          <w:rFonts w:ascii="宋体" w:hAnsi="宋体" w:cs="宋体"/>
          <w:color w:val="000000"/>
          <w:sz w:val="21"/>
          <w:szCs w:val="21"/>
          <w:highlight w:val="none"/>
        </w:rPr>
        <w:t>0577-61882668</w:t>
      </w:r>
      <w:r>
        <w:rPr>
          <w:rFonts w:hint="eastAsia" w:ascii="宋体" w:hAnsi="宋体" w:cs="宋体"/>
          <w:color w:val="000000"/>
          <w:sz w:val="21"/>
          <w:szCs w:val="21"/>
          <w:highlight w:val="none"/>
        </w:rPr>
        <w:t>，</w:t>
      </w:r>
      <w:r>
        <w:rPr>
          <w:rFonts w:ascii="宋体" w:hAnsi="宋体" w:cs="宋体"/>
          <w:color w:val="000000"/>
          <w:sz w:val="21"/>
          <w:szCs w:val="21"/>
          <w:highlight w:val="none"/>
        </w:rPr>
        <w:t>18906633065</w:t>
      </w:r>
      <w:r>
        <w:rPr>
          <w:rFonts w:hint="eastAsia" w:ascii="宋体" w:hAnsi="宋体" w:cs="宋体"/>
          <w:color w:val="000000"/>
          <w:sz w:val="21"/>
          <w:szCs w:val="21"/>
          <w:highlight w:val="none"/>
        </w:rPr>
        <w:t>；联系人</w:t>
      </w:r>
      <w:r>
        <w:rPr>
          <w:rFonts w:ascii="宋体" w:hAnsi="宋体" w:cs="宋体"/>
          <w:color w:val="000000"/>
          <w:sz w:val="21"/>
          <w:szCs w:val="21"/>
          <w:highlight w:val="none"/>
        </w:rPr>
        <w:t>:</w:t>
      </w:r>
      <w:r>
        <w:rPr>
          <w:rFonts w:hint="eastAsia" w:ascii="宋体" w:hAnsi="宋体" w:cs="宋体"/>
          <w:color w:val="000000"/>
          <w:sz w:val="21"/>
          <w:szCs w:val="21"/>
          <w:highlight w:val="none"/>
        </w:rPr>
        <w:t>王先生</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联系地址：乐清市伯乐东路</w:t>
      </w:r>
      <w:r>
        <w:rPr>
          <w:rFonts w:ascii="宋体" w:hAnsi="宋体" w:cs="宋体"/>
          <w:color w:val="000000"/>
          <w:sz w:val="21"/>
          <w:szCs w:val="21"/>
          <w:highlight w:val="none"/>
        </w:rPr>
        <w:t>888</w:t>
      </w:r>
      <w:r>
        <w:rPr>
          <w:rFonts w:hint="eastAsia" w:ascii="宋体" w:hAnsi="宋体" w:cs="宋体"/>
          <w:color w:val="000000"/>
          <w:sz w:val="21"/>
          <w:szCs w:val="21"/>
          <w:highlight w:val="none"/>
        </w:rPr>
        <w:t>号西南附属楼公共资源交易中心</w:t>
      </w:r>
      <w:r>
        <w:rPr>
          <w:rFonts w:ascii="宋体" w:hAnsi="宋体" w:cs="宋体"/>
          <w:color w:val="000000"/>
          <w:sz w:val="21"/>
          <w:szCs w:val="21"/>
          <w:highlight w:val="none"/>
        </w:rPr>
        <w:t>4</w:t>
      </w:r>
      <w:r>
        <w:rPr>
          <w:rFonts w:hint="eastAsia" w:ascii="宋体" w:hAnsi="宋体" w:cs="宋体"/>
          <w:color w:val="000000"/>
          <w:sz w:val="21"/>
          <w:szCs w:val="21"/>
          <w:highlight w:val="none"/>
        </w:rPr>
        <w:t>楼</w:t>
      </w:r>
      <w:r>
        <w:rPr>
          <w:rFonts w:ascii="宋体" w:hAnsi="宋体" w:cs="宋体"/>
          <w:color w:val="000000"/>
          <w:sz w:val="21"/>
          <w:szCs w:val="21"/>
          <w:highlight w:val="none"/>
        </w:rPr>
        <w:t>B11</w:t>
      </w:r>
      <w:r>
        <w:rPr>
          <w:rFonts w:hint="eastAsia" w:ascii="宋体" w:hAnsi="宋体" w:cs="宋体"/>
          <w:color w:val="000000"/>
          <w:sz w:val="21"/>
          <w:szCs w:val="21"/>
          <w:highlight w:val="none"/>
        </w:rPr>
        <w:t>室</w:t>
      </w:r>
    </w:p>
    <w:p>
      <w:pPr>
        <w:pStyle w:val="8"/>
        <w:widowControl/>
        <w:spacing w:beforeAutospacing="0" w:afterAutospacing="0" w:line="312" w:lineRule="auto"/>
        <w:ind w:firstLine="420" w:firstLineChars="200"/>
        <w:rPr>
          <w:rFonts w:ascii="宋体" w:cs="宋体"/>
          <w:color w:val="000000"/>
          <w:sz w:val="21"/>
          <w:szCs w:val="21"/>
          <w:highlight w:val="none"/>
        </w:rPr>
      </w:pPr>
      <w:r>
        <w:rPr>
          <w:rFonts w:hint="eastAsia" w:ascii="宋体" w:hAnsi="宋体" w:cs="宋体"/>
          <w:color w:val="000000"/>
          <w:sz w:val="21"/>
          <w:szCs w:val="21"/>
          <w:highlight w:val="none"/>
        </w:rPr>
        <w:t>乡镇监督电话：</w:t>
      </w:r>
      <w:r>
        <w:rPr>
          <w:rFonts w:ascii="宋体" w:hAnsi="宋体" w:cs="宋体"/>
          <w:sz w:val="21"/>
          <w:szCs w:val="21"/>
          <w:highlight w:val="none"/>
        </w:rPr>
        <w:t>0577-61723031</w:t>
      </w:r>
    </w:p>
    <w:p>
      <w:pPr>
        <w:pStyle w:val="8"/>
        <w:widowControl/>
        <w:spacing w:beforeAutospacing="0" w:afterAutospacing="0" w:line="312" w:lineRule="auto"/>
        <w:ind w:right="525"/>
        <w:jc w:val="right"/>
        <w:rPr>
          <w:rFonts w:ascii="宋体" w:cs="宋体"/>
          <w:color w:val="000000"/>
          <w:sz w:val="21"/>
          <w:szCs w:val="21"/>
          <w:highlight w:val="none"/>
        </w:rPr>
      </w:pPr>
    </w:p>
    <w:p>
      <w:pPr>
        <w:pStyle w:val="8"/>
        <w:widowControl/>
        <w:spacing w:beforeAutospacing="0" w:afterAutospacing="0" w:line="312" w:lineRule="auto"/>
        <w:ind w:right="420" w:firstLine="420"/>
        <w:jc w:val="right"/>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乐清市柳市镇里隆村股份经济合作社</w:t>
      </w:r>
    </w:p>
    <w:p>
      <w:pPr>
        <w:pStyle w:val="8"/>
        <w:widowControl/>
        <w:spacing w:beforeAutospacing="0" w:afterAutospacing="0" w:line="312" w:lineRule="auto"/>
        <w:ind w:right="420" w:firstLine="420"/>
        <w:jc w:val="right"/>
        <w:rPr>
          <w:rFonts w:ascii="Tahoma" w:hAnsi="Tahoma" w:cs="Tahoma"/>
          <w:color w:val="666666"/>
          <w:sz w:val="21"/>
          <w:szCs w:val="21"/>
          <w:highlight w:val="none"/>
        </w:rPr>
      </w:pPr>
      <w:r>
        <w:rPr>
          <w:rFonts w:hint="eastAsia" w:ascii="宋体" w:hAnsi="宋体" w:cs="宋体"/>
          <w:color w:val="000000"/>
          <w:sz w:val="21"/>
          <w:szCs w:val="21"/>
          <w:highlight w:val="none"/>
        </w:rPr>
        <w:t>温州市嘉诚拍卖有限公司</w:t>
      </w:r>
    </w:p>
    <w:p>
      <w:pPr>
        <w:pStyle w:val="8"/>
        <w:widowControl/>
        <w:spacing w:beforeAutospacing="0" w:afterAutospacing="0" w:line="312" w:lineRule="auto"/>
        <w:ind w:right="420" w:firstLine="420"/>
        <w:jc w:val="right"/>
        <w:rPr>
          <w:rFonts w:hint="eastAsia" w:ascii="宋体" w:eastAsia="宋体" w:cs="宋体"/>
          <w:color w:val="000000"/>
          <w:sz w:val="21"/>
          <w:szCs w:val="21"/>
          <w:highlight w:val="none"/>
          <w:lang w:eastAsia="zh-CN"/>
        </w:rPr>
        <w:sectPr>
          <w:footerReference r:id="rId4" w:type="default"/>
          <w:pgSz w:w="11906" w:h="16838"/>
          <w:pgMar w:top="1440" w:right="1587" w:bottom="1440" w:left="1587" w:header="851" w:footer="992" w:gutter="0"/>
          <w:pgNumType w:start="1"/>
          <w:cols w:space="0" w:num="1"/>
          <w:docGrid w:type="lines" w:linePitch="312" w:charSpace="0"/>
        </w:sectPr>
      </w:pPr>
      <w:r>
        <w:rPr>
          <w:rFonts w:hint="eastAsia" w:ascii="宋体" w:hAnsi="宋体" w:cs="宋体"/>
          <w:color w:val="000000"/>
          <w:sz w:val="21"/>
          <w:szCs w:val="21"/>
          <w:highlight w:val="none"/>
          <w:lang w:eastAsia="zh-CN"/>
        </w:rPr>
        <w:t>2024年6月3日</w:t>
      </w:r>
    </w:p>
    <w:p>
      <w:pPr>
        <w:jc w:val="center"/>
        <w:rPr>
          <w:rFonts w:hint="eastAsia" w:ascii="宋体" w:eastAsia="宋体" w:cs="宋体"/>
          <w:b/>
          <w:bCs/>
          <w:sz w:val="32"/>
          <w:szCs w:val="28"/>
          <w:highlight w:val="none"/>
          <w:lang w:eastAsia="zh-CN"/>
        </w:rPr>
      </w:pPr>
      <w:r>
        <w:rPr>
          <w:rFonts w:hint="eastAsia" w:ascii="宋体" w:hAnsi="宋体" w:cs="宋体"/>
          <w:b/>
          <w:bCs/>
          <w:sz w:val="32"/>
          <w:szCs w:val="28"/>
          <w:highlight w:val="none"/>
          <w:lang w:eastAsia="zh-CN"/>
        </w:rPr>
        <w:t>柳市镇里隆村货运码头三年租赁权</w:t>
      </w:r>
    </w:p>
    <w:p>
      <w:pPr>
        <w:ind w:firstLine="3855" w:firstLineChars="1200"/>
        <w:rPr>
          <w:rFonts w:ascii="宋体" w:cs="宋体"/>
          <w:b/>
          <w:bCs/>
          <w:sz w:val="32"/>
          <w:szCs w:val="32"/>
          <w:highlight w:val="none"/>
        </w:rPr>
      </w:pPr>
      <w:r>
        <w:rPr>
          <w:rFonts w:hint="eastAsia" w:ascii="宋体" w:hAnsi="宋体" w:cs="宋体"/>
          <w:b/>
          <w:bCs/>
          <w:sz w:val="32"/>
          <w:szCs w:val="32"/>
          <w:highlight w:val="none"/>
        </w:rPr>
        <w:t>竞价须知</w:t>
      </w:r>
      <w:bookmarkStart w:id="2" w:name="须知"/>
      <w:bookmarkEnd w:id="2"/>
    </w:p>
    <w:p>
      <w:pPr>
        <w:widowControl/>
        <w:wordWrap w:val="0"/>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lang w:eastAsia="zh-CN"/>
        </w:rPr>
        <w:t>乐清市柳市镇里隆村股份经济合作社</w:t>
      </w:r>
      <w:r>
        <w:rPr>
          <w:rFonts w:hint="eastAsia" w:ascii="宋体" w:hAnsi="宋体" w:cs="Tahoma"/>
          <w:color w:val="000000"/>
          <w:kern w:val="0"/>
          <w:szCs w:val="21"/>
          <w:highlight w:val="none"/>
        </w:rPr>
        <w:t>委托温州市嘉诚拍卖有限公司将</w:t>
      </w:r>
      <w:r>
        <w:rPr>
          <w:rFonts w:hint="eastAsia" w:ascii="宋体" w:hAnsi="宋体" w:cs="Tahoma"/>
          <w:color w:val="000000"/>
          <w:kern w:val="0"/>
          <w:szCs w:val="21"/>
          <w:highlight w:val="none"/>
          <w:lang w:eastAsia="zh-CN"/>
        </w:rPr>
        <w:t>于2024年6月13日10:00至2024年6月14日10:00止</w:t>
      </w:r>
      <w:r>
        <w:rPr>
          <w:rFonts w:hint="eastAsia" w:ascii="宋体" w:hAnsi="宋体" w:cs="Tahoma"/>
          <w:color w:val="000000"/>
          <w:kern w:val="0"/>
          <w:szCs w:val="21"/>
          <w:highlight w:val="none"/>
        </w:rPr>
        <w:t>（延时除外）在淘宝资产处置网络平台上</w:t>
      </w:r>
      <w:r>
        <w:rPr>
          <w:rFonts w:ascii="宋体" w:hAnsi="宋体" w:cs="Tahoma"/>
          <w:color w:val="000000"/>
          <w:kern w:val="0"/>
          <w:szCs w:val="21"/>
          <w:highlight w:val="none"/>
        </w:rPr>
        <w:t>(</w:t>
      </w:r>
      <w:r>
        <w:rPr>
          <w:rFonts w:hint="eastAsia" w:ascii="宋体" w:hAnsi="宋体" w:cs="Tahoma"/>
          <w:color w:val="000000"/>
          <w:kern w:val="0"/>
          <w:szCs w:val="21"/>
          <w:highlight w:val="none"/>
        </w:rPr>
        <w:t>网址</w:t>
      </w:r>
      <w:r>
        <w:rPr>
          <w:rFonts w:hint="eastAsia" w:ascii="宋体" w:hAnsi="宋体" w:cs="Tahoma"/>
          <w:kern w:val="0"/>
          <w:szCs w:val="21"/>
          <w:highlight w:val="none"/>
        </w:rPr>
        <w:t>：</w:t>
      </w:r>
      <w:r>
        <w:rPr>
          <w:rFonts w:ascii="宋体" w:hAnsi="宋体" w:cs="Tahoma"/>
          <w:kern w:val="0"/>
          <w:szCs w:val="21"/>
          <w:highlight w:val="none"/>
        </w:rPr>
        <w:t>https://zc-paimai.taobao.com/zc/zc_item.htm?user_id=3383749630</w:t>
      </w:r>
      <w:r>
        <w:rPr>
          <w:rFonts w:hint="eastAsia" w:ascii="宋体" w:hAnsi="宋体" w:cs="Tahoma"/>
          <w:kern w:val="0"/>
          <w:szCs w:val="21"/>
          <w:highlight w:val="none"/>
        </w:rPr>
        <w:t>；户名：乐清市公共资源交易中心）</w:t>
      </w:r>
      <w:r>
        <w:rPr>
          <w:rFonts w:hint="eastAsia" w:ascii="宋体" w:hAnsi="宋体" w:cs="Tahoma"/>
          <w:color w:val="000000"/>
          <w:kern w:val="0"/>
          <w:szCs w:val="21"/>
          <w:highlight w:val="none"/>
        </w:rPr>
        <w:t>对下述标的进行公开竞价，现将有关网上竞价事宜告知如下：</w:t>
      </w:r>
    </w:p>
    <w:p>
      <w:pPr>
        <w:widowControl/>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rPr>
        <w:t>一、本《竞价须知》根据相关法律、法规所制订，竞买人应认真仔细阅读，了解本须知的全部内容。</w:t>
      </w:r>
    </w:p>
    <w:p>
      <w:pPr>
        <w:widowControl/>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rPr>
        <w:t>二、本次竞价活动遵循“公开、公平、公正、诚实守信”的原则，竞价活动具备法律效力。参加本次竞价活动的竞买人必须遵守本须知的各项条款，一旦竞买人参与竞价，即表明已完全了解该标的情况，并对自己的行为承担法律责任。</w:t>
      </w:r>
    </w:p>
    <w:p>
      <w:pPr>
        <w:widowControl/>
        <w:spacing w:afterLines="50" w:line="440" w:lineRule="exact"/>
        <w:ind w:firstLine="422" w:firstLineChars="200"/>
        <w:jc w:val="left"/>
        <w:rPr>
          <w:rFonts w:ascii="宋体" w:cs="Tahoma"/>
          <w:b/>
          <w:bCs/>
          <w:color w:val="000000"/>
          <w:kern w:val="0"/>
          <w:szCs w:val="21"/>
          <w:highlight w:val="none"/>
        </w:rPr>
      </w:pPr>
      <w:r>
        <w:rPr>
          <w:rFonts w:hint="eastAsia" w:ascii="宋体" w:hAnsi="宋体" w:cs="Tahoma"/>
          <w:b/>
          <w:bCs/>
          <w:color w:val="000000"/>
          <w:kern w:val="0"/>
          <w:szCs w:val="21"/>
          <w:highlight w:val="none"/>
        </w:rPr>
        <w:t>三、标的：</w:t>
      </w:r>
    </w:p>
    <w:tbl>
      <w:tblPr>
        <w:tblStyle w:val="9"/>
        <w:tblpPr w:leftFromText="180" w:rightFromText="180" w:vertAnchor="text" w:horzAnchor="page" w:tblpX="1242" w:tblpY="1"/>
        <w:tblOverlap w:val="never"/>
        <w:tblW w:w="8743" w:type="dxa"/>
        <w:tblInd w:w="0" w:type="dxa"/>
        <w:tblLayout w:type="autofit"/>
        <w:tblCellMar>
          <w:top w:w="0" w:type="dxa"/>
          <w:left w:w="10" w:type="dxa"/>
          <w:bottom w:w="0" w:type="dxa"/>
          <w:right w:w="10" w:type="dxa"/>
        </w:tblCellMar>
      </w:tblPr>
      <w:tblGrid>
        <w:gridCol w:w="2069"/>
        <w:gridCol w:w="1245"/>
        <w:gridCol w:w="940"/>
        <w:gridCol w:w="1247"/>
        <w:gridCol w:w="1109"/>
        <w:gridCol w:w="1041"/>
        <w:gridCol w:w="1092"/>
      </w:tblGrid>
      <w:tr>
        <w:tblPrEx>
          <w:tblCellMar>
            <w:top w:w="0" w:type="dxa"/>
            <w:left w:w="10" w:type="dxa"/>
            <w:bottom w:w="0" w:type="dxa"/>
            <w:right w:w="10" w:type="dxa"/>
          </w:tblCellMar>
        </w:tblPrEx>
        <w:trPr>
          <w:trHeight w:val="992" w:hRule="atLeast"/>
        </w:trPr>
        <w:tc>
          <w:tcPr>
            <w:tcW w:w="206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hAnsi="宋体" w:cs="宋体"/>
                <w:sz w:val="22"/>
                <w:szCs w:val="22"/>
                <w:highlight w:val="none"/>
              </w:rPr>
              <w:t>标的</w:t>
            </w:r>
          </w:p>
        </w:tc>
        <w:tc>
          <w:tcPr>
            <w:tcW w:w="12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租赁面积约</w:t>
            </w:r>
            <w:r>
              <w:rPr>
                <w:rFonts w:ascii="宋体" w:hAnsi="宋体" w:cs="宋体"/>
                <w:sz w:val="22"/>
                <w:szCs w:val="22"/>
                <w:highlight w:val="none"/>
              </w:rPr>
              <w:t>(</w:t>
            </w:r>
            <w:r>
              <w:rPr>
                <w:rFonts w:hint="eastAsia" w:ascii="宋体" w:hAnsi="宋体" w:cs="宋体"/>
                <w:sz w:val="22"/>
                <w:szCs w:val="22"/>
                <w:highlight w:val="none"/>
              </w:rPr>
              <w:t>㎡</w:t>
            </w:r>
            <w:r>
              <w:rPr>
                <w:rFonts w:ascii="宋体" w:hAnsi="宋体" w:cs="宋体"/>
                <w:sz w:val="22"/>
                <w:szCs w:val="22"/>
                <w:highlight w:val="none"/>
              </w:rPr>
              <w:t>)</w:t>
            </w:r>
          </w:p>
        </w:tc>
        <w:tc>
          <w:tcPr>
            <w:tcW w:w="94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租赁期限（年）</w:t>
            </w:r>
          </w:p>
        </w:tc>
        <w:tc>
          <w:tcPr>
            <w:tcW w:w="124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首年租金起始价</w:t>
            </w:r>
          </w:p>
          <w:p>
            <w:pPr>
              <w:spacing w:line="320" w:lineRule="exact"/>
              <w:jc w:val="center"/>
              <w:rPr>
                <w:rFonts w:ascii="宋体" w:cs="宋体"/>
                <w:sz w:val="22"/>
                <w:szCs w:val="22"/>
                <w:highlight w:val="none"/>
              </w:rPr>
            </w:pPr>
            <w:r>
              <w:rPr>
                <w:rFonts w:ascii="宋体" w:cs="宋体"/>
                <w:sz w:val="22"/>
                <w:szCs w:val="22"/>
                <w:highlight w:val="none"/>
              </w:rPr>
              <w:t>(</w:t>
            </w:r>
            <w:r>
              <w:rPr>
                <w:rFonts w:hint="eastAsia" w:ascii="宋体" w:cs="宋体"/>
                <w:sz w:val="22"/>
                <w:szCs w:val="22"/>
                <w:highlight w:val="none"/>
              </w:rPr>
              <w:t>万元）</w:t>
            </w:r>
          </w:p>
        </w:tc>
        <w:tc>
          <w:tcPr>
            <w:tcW w:w="110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竞买保证金</w:t>
            </w: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c>
          <w:tcPr>
            <w:tcW w:w="104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履约保证金（万元）</w:t>
            </w:r>
          </w:p>
        </w:tc>
        <w:tc>
          <w:tcPr>
            <w:tcW w:w="109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竞价增价幅度</w:t>
            </w:r>
          </w:p>
          <w:p>
            <w:pPr>
              <w:spacing w:line="320" w:lineRule="exact"/>
              <w:jc w:val="center"/>
              <w:rPr>
                <w:rFonts w:ascii="宋体" w:cs="宋体"/>
                <w:sz w:val="22"/>
                <w:szCs w:val="22"/>
                <w:highlight w:val="none"/>
              </w:rPr>
            </w:pP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r>
      <w:tr>
        <w:tblPrEx>
          <w:tblCellMar>
            <w:top w:w="0" w:type="dxa"/>
            <w:left w:w="10" w:type="dxa"/>
            <w:bottom w:w="0" w:type="dxa"/>
            <w:right w:w="10" w:type="dxa"/>
          </w:tblCellMar>
        </w:tblPrEx>
        <w:trPr>
          <w:trHeight w:val="1007" w:hRule="atLeast"/>
        </w:trPr>
        <w:tc>
          <w:tcPr>
            <w:tcW w:w="206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left"/>
              <w:rPr>
                <w:rFonts w:hint="eastAsia" w:ascii="宋体" w:eastAsia="宋体" w:cs="宋体"/>
                <w:sz w:val="22"/>
                <w:szCs w:val="22"/>
                <w:highlight w:val="none"/>
                <w:lang w:eastAsia="zh-CN"/>
              </w:rPr>
            </w:pPr>
            <w:r>
              <w:rPr>
                <w:rFonts w:hint="eastAsia" w:ascii="宋体" w:cs="宋体"/>
                <w:sz w:val="22"/>
                <w:szCs w:val="22"/>
                <w:highlight w:val="none"/>
                <w:lang w:eastAsia="zh-CN"/>
              </w:rPr>
              <w:t>柳市镇里隆村货运码头三年租赁权</w:t>
            </w:r>
          </w:p>
        </w:tc>
        <w:tc>
          <w:tcPr>
            <w:tcW w:w="124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1080</w:t>
            </w:r>
          </w:p>
        </w:tc>
        <w:tc>
          <w:tcPr>
            <w:tcW w:w="94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ascii="宋体" w:hAnsi="宋体" w:cs="宋体"/>
                <w:sz w:val="22"/>
                <w:szCs w:val="22"/>
                <w:highlight w:val="none"/>
              </w:rPr>
              <w:t>3</w:t>
            </w:r>
          </w:p>
        </w:tc>
        <w:tc>
          <w:tcPr>
            <w:tcW w:w="124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30</w:t>
            </w:r>
          </w:p>
        </w:tc>
        <w:tc>
          <w:tcPr>
            <w:tcW w:w="110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15</w:t>
            </w:r>
          </w:p>
        </w:tc>
        <w:tc>
          <w:tcPr>
            <w:tcW w:w="104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cs="宋体"/>
                <w:sz w:val="22"/>
                <w:szCs w:val="22"/>
                <w:highlight w:val="none"/>
                <w:lang w:val="en-US" w:eastAsia="zh-CN"/>
              </w:rPr>
              <w:t>5</w:t>
            </w:r>
          </w:p>
        </w:tc>
        <w:tc>
          <w:tcPr>
            <w:tcW w:w="1092"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p>
          <w:p>
            <w:pPr>
              <w:spacing w:line="320" w:lineRule="exact"/>
              <w:jc w:val="center"/>
              <w:rPr>
                <w:rFonts w:ascii="宋体" w:cs="宋体"/>
                <w:sz w:val="22"/>
                <w:szCs w:val="22"/>
                <w:highlight w:val="none"/>
              </w:rPr>
            </w:pPr>
            <w:r>
              <w:rPr>
                <w:rFonts w:ascii="宋体" w:hAnsi="宋体" w:cs="宋体"/>
                <w:sz w:val="22"/>
                <w:szCs w:val="22"/>
                <w:highlight w:val="none"/>
              </w:rPr>
              <w:t>0.1</w:t>
            </w:r>
          </w:p>
          <w:p>
            <w:pPr>
              <w:spacing w:line="320" w:lineRule="exact"/>
              <w:jc w:val="center"/>
              <w:rPr>
                <w:rFonts w:ascii="宋体" w:cs="宋体"/>
                <w:sz w:val="22"/>
                <w:szCs w:val="22"/>
                <w:highlight w:val="none"/>
              </w:rPr>
            </w:pPr>
          </w:p>
        </w:tc>
      </w:tr>
    </w:tbl>
    <w:p>
      <w:pPr>
        <w:spacing w:line="312" w:lineRule="auto"/>
        <w:ind w:firstLine="422" w:firstLineChars="200"/>
        <w:rPr>
          <w:rFonts w:ascii="宋体" w:cs="宋体"/>
          <w:bCs/>
          <w:szCs w:val="21"/>
          <w:highlight w:val="none"/>
        </w:rPr>
      </w:pPr>
      <w:r>
        <w:rPr>
          <w:rFonts w:hint="eastAsia" w:ascii="宋体" w:hAnsi="宋体" w:cs="宋体"/>
          <w:b/>
          <w:szCs w:val="21"/>
          <w:highlight w:val="none"/>
        </w:rPr>
        <w:t>注：</w:t>
      </w:r>
      <w:r>
        <w:rPr>
          <w:rFonts w:ascii="宋体" w:hAnsi="宋体" w:cs="宋体"/>
          <w:bCs/>
          <w:szCs w:val="21"/>
          <w:highlight w:val="none"/>
        </w:rPr>
        <w:t>1</w:t>
      </w:r>
      <w:r>
        <w:rPr>
          <w:rFonts w:hint="eastAsia" w:ascii="宋体" w:hAnsi="宋体" w:cs="宋体"/>
          <w:bCs/>
          <w:szCs w:val="21"/>
          <w:highlight w:val="none"/>
        </w:rPr>
        <w:t>、标的物坐落于</w:t>
      </w:r>
      <w:r>
        <w:rPr>
          <w:rFonts w:hint="eastAsia" w:ascii="宋体" w:hAnsi="宋体" w:cs="宋体"/>
          <w:bCs/>
          <w:szCs w:val="21"/>
          <w:highlight w:val="none"/>
          <w:lang w:eastAsia="zh-CN"/>
        </w:rPr>
        <w:t>柳市镇里隆村</w:t>
      </w:r>
      <w:r>
        <w:rPr>
          <w:rFonts w:hint="eastAsia" w:ascii="宋体" w:hAnsi="宋体" w:cs="宋体"/>
          <w:bCs/>
          <w:szCs w:val="21"/>
          <w:highlight w:val="none"/>
        </w:rPr>
        <w:t>，无不动产权证，本次租赁已在委托人所在地乡镇人民政府备案。请竞买人务必实地勘查以确认标的物实物状况，有关标的的其他相关情况，可向主管部门进行查询，一旦出价参与竞买，即视为对标的物状况</w:t>
      </w:r>
      <w:r>
        <w:rPr>
          <w:rFonts w:hint="eastAsia" w:ascii="宋体" w:hAnsi="宋体" w:cs="宋体"/>
          <w:bCs/>
          <w:szCs w:val="21"/>
          <w:highlight w:val="none"/>
          <w:lang w:eastAsia="zh-CN"/>
        </w:rPr>
        <w:t>及价格</w:t>
      </w:r>
      <w:r>
        <w:rPr>
          <w:rFonts w:hint="eastAsia" w:ascii="宋体" w:hAnsi="宋体" w:cs="宋体"/>
          <w:bCs/>
          <w:szCs w:val="21"/>
          <w:highlight w:val="none"/>
        </w:rPr>
        <w:t>的认可，竞得人承诺不因此向委托人主张任何权利。</w:t>
      </w:r>
    </w:p>
    <w:p>
      <w:pPr>
        <w:spacing w:line="312" w:lineRule="auto"/>
        <w:ind w:firstLine="420" w:firstLineChars="200"/>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、委托人在标的成交后一个月内将标的物移交给竞得人使用，标的物未按时移交造成相关问题由委托人自行承担，与温州市嘉诚拍卖有限公司无涉。</w:t>
      </w:r>
    </w:p>
    <w:p>
      <w:pPr>
        <w:spacing w:line="312" w:lineRule="auto"/>
        <w:ind w:firstLine="420" w:firstLineChars="200"/>
        <w:rPr>
          <w:rFonts w:asci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以上标的以现场实物为准。其外观、面积、结构、固定装修及内在质量以移交时的现状为准。对房屋外观、质量问题、结构调整、固定装修损坏、房地产面积差异等不作担保，由竞买人自行承担相关责任，由此产生的问题也不影响竞价成交结果及成交价格。</w:t>
      </w:r>
    </w:p>
    <w:p>
      <w:pPr>
        <w:spacing w:line="312" w:lineRule="auto"/>
        <w:ind w:firstLine="420" w:firstLineChars="200"/>
        <w:rPr>
          <w:rFonts w:asci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、成交总租金为净租金，因租赁行为产生的依法律法规规定</w:t>
      </w:r>
      <w:r>
        <w:rPr>
          <w:rFonts w:hint="eastAsia" w:ascii="宋体" w:hAnsi="宋体" w:cs="宋体"/>
          <w:szCs w:val="21"/>
          <w:highlight w:val="none"/>
        </w:rPr>
        <w:t>双方</w:t>
      </w:r>
      <w:r>
        <w:rPr>
          <w:rFonts w:hint="eastAsia" w:ascii="宋体" w:hAnsi="宋体" w:cs="宋体"/>
          <w:bCs/>
          <w:szCs w:val="21"/>
          <w:highlight w:val="none"/>
        </w:rPr>
        <w:t>应交的所有税费由竞得人承担。</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四、竞买人条件及租赁限制：</w:t>
      </w:r>
    </w:p>
    <w:p>
      <w:pPr>
        <w:pStyle w:val="8"/>
        <w:widowControl/>
        <w:spacing w:beforeAutospacing="0" w:afterAutospacing="0" w:line="440" w:lineRule="exact"/>
        <w:ind w:firstLine="420" w:firstLineChars="200"/>
        <w:rPr>
          <w:rFonts w:ascii="Segoe UI" w:hAnsi="Segoe UI" w:cs="Segoe UI"/>
          <w:color w:val="111F2C"/>
          <w:sz w:val="21"/>
          <w:szCs w:val="21"/>
          <w:highlight w:val="none"/>
          <w:shd w:val="clear" w:color="auto" w:fill="FFFFFF"/>
        </w:rPr>
      </w:pPr>
      <w:r>
        <w:rPr>
          <w:rFonts w:hint="eastAsia" w:ascii="Segoe UI" w:hAnsi="Segoe UI" w:cs="Segoe UI"/>
          <w:color w:val="111F2C"/>
          <w:sz w:val="21"/>
          <w:szCs w:val="21"/>
          <w:highlight w:val="none"/>
          <w:shd w:val="clear" w:color="auto" w:fill="FFFFFF"/>
        </w:rPr>
        <w:t>具有完全民事行为能力的自然人、法人及其他能独立承担经济责任的组织等。</w:t>
      </w:r>
    </w:p>
    <w:p>
      <w:pPr>
        <w:pStyle w:val="8"/>
        <w:widowControl/>
        <w:spacing w:beforeAutospacing="0" w:afterAutospacing="0" w:line="440" w:lineRule="exact"/>
        <w:ind w:firstLine="422" w:firstLineChars="200"/>
        <w:rPr>
          <w:rFonts w:hint="eastAsia" w:ascii="宋体" w:hAnsi="宋体" w:cs="宋体"/>
          <w:b/>
          <w:color w:val="000000"/>
          <w:sz w:val="21"/>
          <w:szCs w:val="21"/>
          <w:highlight w:val="none"/>
        </w:rPr>
      </w:pPr>
      <w:r>
        <w:rPr>
          <w:rFonts w:hint="eastAsia" w:ascii="宋体" w:hAnsi="宋体" w:cs="宋体"/>
          <w:b/>
          <w:color w:val="000000"/>
          <w:sz w:val="21"/>
          <w:szCs w:val="21"/>
          <w:highlight w:val="none"/>
        </w:rPr>
        <w:t>若竞买人提供虚假文件、隐瞒事实、骗取竞买资格的，或不符合条件参加竞买的，其竞买结果无效，保证金不予退还。该竞买人还须承担由此产生的一切损失（包括但不限于交易服务费、平台软件服务费、委托人应付相关费用、标的再行竞价产生的成交款差额等）和相应的法律责任。</w:t>
      </w:r>
    </w:p>
    <w:p>
      <w:pPr>
        <w:pStyle w:val="8"/>
        <w:widowControl/>
        <w:spacing w:beforeAutospacing="0" w:afterAutospacing="0" w:line="440" w:lineRule="exact"/>
        <w:ind w:firstLine="422" w:firstLineChars="200"/>
        <w:rPr>
          <w:rFonts w:ascii="宋体" w:cs="宋体"/>
          <w:b/>
          <w:color w:val="000000"/>
          <w:sz w:val="21"/>
          <w:szCs w:val="21"/>
          <w:highlight w:val="none"/>
        </w:rPr>
      </w:pPr>
      <w:r>
        <w:rPr>
          <w:rFonts w:hint="eastAsia" w:ascii="宋体" w:hAnsi="宋体" w:cs="宋体"/>
          <w:b/>
          <w:color w:val="000000"/>
          <w:sz w:val="21"/>
          <w:szCs w:val="21"/>
          <w:highlight w:val="none"/>
        </w:rPr>
        <w:t>租赁用途限制：</w:t>
      </w:r>
      <w:r>
        <w:rPr>
          <w:rFonts w:hint="eastAsia" w:ascii="宋体" w:hAnsi="宋体" w:cs="宋体"/>
          <w:b/>
          <w:color w:val="000000"/>
          <w:sz w:val="21"/>
          <w:szCs w:val="21"/>
          <w:highlight w:val="none"/>
          <w:lang w:eastAsia="zh-CN"/>
        </w:rPr>
        <w:t>仅作钢材、其他金属物品、食品装卸运作码头，不得转为其它物品装卸运作：包括但不限于煤、水泥、易燃、易爆、多尘物品运作和走私物品等。严禁经营重噪音、重污染、危险品等行业。竞得人必须合法经营码头，做好卫生防尘等工作</w:t>
      </w:r>
      <w:r>
        <w:rPr>
          <w:rFonts w:hint="eastAsia" w:ascii="宋体" w:hAnsi="宋体" w:cs="宋体"/>
          <w:b/>
          <w:color w:val="000000"/>
          <w:sz w:val="21"/>
          <w:szCs w:val="21"/>
          <w:highlight w:val="none"/>
        </w:rPr>
        <w:t>。</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五、竞买活动的相关规定：</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、报名时间：公告之日起至对应标的竞价结束前。</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买人需在上述淘宝网资产处置网络平台或扫描手机二维码报名参拍并交纳对应标的的竞买保证金。如参与竞买人未开设淘宝或支付宝账户，可委托代理人（具备完全民事行为能力的自然人）进行，但委托双方须共同携带合法有效的身份证明、委托书等，前往温州市嘉诚拍卖有限公司办理委托手续，经确认后方能进行网络</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，如委托手续不全或未办理委托手续的，</w:t>
      </w:r>
      <w:r>
        <w:rPr>
          <w:rFonts w:hint="eastAsia" w:ascii="Segoe UI" w:hAnsi="Segoe UI" w:cs="Segoe UI"/>
          <w:color w:val="111F2C"/>
          <w:sz w:val="21"/>
          <w:szCs w:val="21"/>
          <w:highlight w:val="none"/>
          <w:shd w:val="clear" w:color="auto" w:fill="FFFFFF"/>
        </w:rPr>
        <w:t>竞买活动认定为竞买人的个人行为</w:t>
      </w:r>
      <w:r>
        <w:rPr>
          <w:rFonts w:hint="eastAsia" w:ascii="宋体" w:hAnsi="宋体" w:cs="宋体"/>
          <w:color w:val="000000"/>
          <w:sz w:val="21"/>
          <w:szCs w:val="21"/>
          <w:highlight w:val="none"/>
        </w:rPr>
        <w:t>，由其承担一切法律责任。竞买成功后，竞得人（法定代表人、其他组织的负责人）须与委托代理人一同到温州市嘉诚拍卖有限公司办理相关手续。</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、竞</w:t>
      </w:r>
      <w:r>
        <w:rPr>
          <w:rFonts w:hint="eastAsia" w:ascii="宋体" w:hAnsi="宋体" w:cs="宋体"/>
          <w:color w:val="000000"/>
          <w:sz w:val="21"/>
          <w:szCs w:val="21"/>
          <w:highlight w:val="none"/>
          <w:lang w:eastAsia="zh-CN"/>
        </w:rPr>
        <w:t>买</w:t>
      </w:r>
      <w:r>
        <w:rPr>
          <w:rFonts w:hint="eastAsia" w:ascii="宋体" w:hAnsi="宋体" w:cs="宋体"/>
          <w:color w:val="000000"/>
          <w:sz w:val="21"/>
          <w:szCs w:val="21"/>
          <w:highlight w:val="none"/>
        </w:rPr>
        <w:t>前竞买人的支付宝账户中应有足够的余额支付保证金，竞买人在对标的第一次确认出价</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前，按淘宝系统提示报名缴纳保证金，系统会自动冻结该笔款项。本标的竞得者在本须知约定的时间向淘宝支付平台软件服务费后，原冻结的保证金自动转入指定账户作为成交履约保证金冲抵部分成交款，其他未成交竞买人的保证金在活动结束后即时解冻，保证金冻结期间不计利息。</w:t>
      </w:r>
    </w:p>
    <w:p>
      <w:pPr>
        <w:pStyle w:val="8"/>
        <w:widowControl/>
        <w:spacing w:beforeAutospacing="0" w:afterAutospacing="0" w:line="440" w:lineRule="exact"/>
        <w:ind w:firstLine="420" w:firstLineChars="20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、本次竞价活动设置延时出价功能，在竞价活动结束前，每最后</w:t>
      </w:r>
      <w:r>
        <w:rPr>
          <w:rFonts w:ascii="宋体" w:hAnsi="宋体" w:cs="宋体"/>
          <w:color w:val="000000"/>
          <w:sz w:val="21"/>
          <w:szCs w:val="21"/>
          <w:highlight w:val="none"/>
        </w:rPr>
        <w:t>5</w:t>
      </w:r>
      <w:r>
        <w:rPr>
          <w:rFonts w:hint="eastAsia" w:ascii="宋体" w:hAnsi="宋体" w:cs="宋体"/>
          <w:color w:val="000000"/>
          <w:sz w:val="21"/>
          <w:szCs w:val="21"/>
          <w:highlight w:val="none"/>
        </w:rPr>
        <w:t>分钟如果有竞买人出价，就自动延迟</w:t>
      </w:r>
      <w:r>
        <w:rPr>
          <w:rFonts w:ascii="宋体" w:hAnsi="宋体" w:cs="宋体"/>
          <w:color w:val="000000"/>
          <w:sz w:val="21"/>
          <w:szCs w:val="21"/>
          <w:highlight w:val="none"/>
        </w:rPr>
        <w:t>5</w:t>
      </w:r>
      <w:r>
        <w:rPr>
          <w:rFonts w:hint="eastAsia" w:ascii="宋体" w:hAnsi="宋体" w:cs="宋体"/>
          <w:color w:val="000000"/>
          <w:sz w:val="21"/>
          <w:szCs w:val="21"/>
          <w:highlight w:val="none"/>
        </w:rPr>
        <w:t>分钟。</w:t>
      </w:r>
    </w:p>
    <w:p>
      <w:pPr>
        <w:pStyle w:val="8"/>
        <w:widowControl/>
        <w:wordWrap w:val="0"/>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本次竞价是经法定公告期和展示期后才举行的，就标的已知及可能存在的瑕疵已在本次竞价资料中作了详尽的说明。竞价人对标的所作的说明和提供的资料、图片等，仅供竞买人参考，不构成对标的的任何担保。所以请竞买人在竞价前必须仔细审查标的，调查是否存在瑕疵，认真研究查看所竞买标的的实际情况，并请亲临展示现场，实地看样，未看样的竞买人视为对本标的实物现状的确认，慎重决定竞买行为，竞买人一旦作出竞买决定，即表明已完全了解，并接受标的物的现状和一切已知及未知的瑕疵。</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六、价款结算、标的物交割、费用负担情况：</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、竞得人须在竞价成交后</w:t>
      </w:r>
      <w:r>
        <w:rPr>
          <w:rFonts w:ascii="宋体" w:hAnsi="宋体" w:cs="宋体"/>
          <w:color w:val="000000"/>
          <w:sz w:val="21"/>
          <w:szCs w:val="21"/>
          <w:highlight w:val="none"/>
        </w:rPr>
        <w:t>1</w:t>
      </w:r>
      <w:r>
        <w:rPr>
          <w:rFonts w:hint="eastAsia" w:ascii="宋体" w:hAnsi="宋体" w:cs="宋体"/>
          <w:color w:val="000000"/>
          <w:sz w:val="21"/>
          <w:szCs w:val="21"/>
          <w:highlight w:val="none"/>
        </w:rPr>
        <w:t>个工作日内，凭保证金交付凭证及相关身份证明到温州市嘉诚拍卖有限公司签署《成交确认书》、《租赁合同》、《消防安全责任书》等。</w:t>
      </w:r>
    </w:p>
    <w:p>
      <w:pPr>
        <w:pStyle w:val="8"/>
        <w:widowControl/>
        <w:wordWrap w:val="0"/>
        <w:spacing w:beforeAutospacing="0" w:afterAutospacing="0" w:line="440" w:lineRule="exact"/>
        <w:ind w:firstLine="420" w:firstLineChars="200"/>
        <w:rPr>
          <w:rFonts w:ascii="宋体" w:cs="宋体"/>
          <w:b/>
          <w:color w:val="000000"/>
          <w:sz w:val="21"/>
          <w:szCs w:val="21"/>
          <w:highlight w:val="none"/>
        </w:rPr>
      </w:pPr>
      <w:r>
        <w:rPr>
          <w:rFonts w:hint="eastAsia" w:ascii="宋体" w:hAnsi="宋体" w:cs="宋体"/>
          <w:bCs/>
          <w:color w:val="000000"/>
          <w:sz w:val="21"/>
          <w:szCs w:val="21"/>
          <w:highlight w:val="none"/>
        </w:rPr>
        <w:t>竞得人须在竞价成交后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个工作日内将首年成交租金（扣除竞买保证金后的余款）和履约保证金等款项以转账的方式向乐清市公共资源交易中心缴清</w:t>
      </w:r>
      <w:r>
        <w:rPr>
          <w:rFonts w:ascii="宋体" w:hAnsi="宋体" w:cs="宋体"/>
          <w:bCs/>
          <w:color w:val="000000"/>
          <w:sz w:val="21"/>
          <w:szCs w:val="21"/>
          <w:highlight w:val="none"/>
        </w:rPr>
        <w:t>(</w:t>
      </w:r>
      <w:r>
        <w:rPr>
          <w:rFonts w:hint="eastAsia" w:ascii="宋体" w:hAnsi="宋体" w:cs="宋体"/>
          <w:bCs/>
          <w:color w:val="000000"/>
          <w:sz w:val="21"/>
          <w:szCs w:val="21"/>
          <w:highlight w:val="none"/>
        </w:rPr>
        <w:t>开户名称：乐清市公共资源交易中心投标保证金专户；开户银行：中国银行乐清市支行营业部；账号：</w:t>
      </w:r>
      <w:r>
        <w:rPr>
          <w:rFonts w:ascii="宋体" w:hAnsi="宋体" w:cs="宋体"/>
          <w:bCs/>
          <w:color w:val="000000"/>
          <w:sz w:val="21"/>
          <w:szCs w:val="21"/>
          <w:highlight w:val="none"/>
        </w:rPr>
        <w:t>361076669755),</w:t>
      </w:r>
      <w:r>
        <w:rPr>
          <w:rFonts w:hint="eastAsia" w:ascii="宋体" w:hAnsi="宋体" w:cs="宋体"/>
          <w:bCs/>
          <w:color w:val="000000"/>
          <w:sz w:val="21"/>
          <w:szCs w:val="21"/>
          <w:highlight w:val="none"/>
        </w:rPr>
        <w:t>并将温州市嘉诚拍卖有限公司收取的竞价服务费缴入温州市嘉诚拍卖有限公司指定账户（开户单位：温州市嘉诚拍卖有限公司；开户银行：</w:t>
      </w:r>
      <w:r>
        <w:rPr>
          <w:rFonts w:hint="eastAsia" w:ascii="宋体" w:hAnsi="宋体" w:cs="宋体"/>
          <w:bCs/>
          <w:color w:val="000000"/>
          <w:sz w:val="21"/>
          <w:szCs w:val="21"/>
          <w:highlight w:val="none"/>
          <w:lang w:eastAsia="zh-CN"/>
        </w:rPr>
        <w:t>中国银行温州经济开发区支行营业部</w:t>
      </w:r>
      <w:r>
        <w:rPr>
          <w:rFonts w:hint="eastAsia" w:ascii="宋体" w:hAnsi="宋体" w:cs="宋体"/>
          <w:bCs/>
          <w:color w:val="000000"/>
          <w:sz w:val="21"/>
          <w:szCs w:val="21"/>
          <w:highlight w:val="none"/>
        </w:rPr>
        <w:t>；账号：</w:t>
      </w:r>
      <w:r>
        <w:rPr>
          <w:rFonts w:ascii="宋体" w:hAnsi="宋体" w:cs="宋体"/>
          <w:bCs/>
          <w:color w:val="000000"/>
          <w:sz w:val="21"/>
          <w:szCs w:val="21"/>
          <w:highlight w:val="none"/>
        </w:rPr>
        <w:t>3675 7397 6042</w:t>
      </w:r>
      <w:r>
        <w:rPr>
          <w:rFonts w:hint="eastAsia" w:ascii="宋体" w:hAnsi="宋体" w:cs="宋体"/>
          <w:bCs/>
          <w:color w:val="000000"/>
          <w:sz w:val="21"/>
          <w:szCs w:val="21"/>
          <w:highlight w:val="none"/>
        </w:rPr>
        <w:t>），并于成交后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个工作日内向淘宝平台支付规定的淘宝平台软件服务费。履约保证金于租赁期结束后扣除竞得人所欠税、费后</w:t>
      </w:r>
      <w:r>
        <w:rPr>
          <w:rFonts w:hint="eastAsia" w:ascii="宋体" w:hAnsi="宋体" w:cs="宋体"/>
          <w:bCs/>
          <w:color w:val="000000"/>
          <w:sz w:val="21"/>
          <w:szCs w:val="21"/>
          <w:highlight w:val="none"/>
          <w:lang w:eastAsia="zh-CN"/>
        </w:rPr>
        <w:t>由委托人</w:t>
      </w:r>
      <w:r>
        <w:rPr>
          <w:rFonts w:hint="eastAsia" w:ascii="宋体" w:hAnsi="宋体" w:cs="宋体"/>
          <w:bCs/>
          <w:color w:val="000000"/>
          <w:sz w:val="21"/>
          <w:szCs w:val="21"/>
          <w:highlight w:val="none"/>
        </w:rPr>
        <w:t>无息退还。</w:t>
      </w:r>
    </w:p>
    <w:p>
      <w:pPr>
        <w:pStyle w:val="8"/>
        <w:widowControl/>
        <w:spacing w:beforeAutospacing="0" w:afterAutospacing="0" w:line="440" w:lineRule="exact"/>
        <w:ind w:firstLine="422" w:firstLineChars="200"/>
        <w:jc w:val="center"/>
        <w:rPr>
          <w:rFonts w:ascii="宋体" w:cs="宋体"/>
          <w:b/>
          <w:color w:val="000000"/>
          <w:sz w:val="21"/>
          <w:szCs w:val="21"/>
          <w:highlight w:val="none"/>
        </w:rPr>
      </w:pPr>
      <w:r>
        <w:rPr>
          <w:rFonts w:hint="eastAsia" w:ascii="宋体" w:hAnsi="宋体" w:cs="宋体"/>
          <w:b/>
          <w:color w:val="000000"/>
          <w:sz w:val="21"/>
          <w:szCs w:val="21"/>
          <w:highlight w:val="none"/>
        </w:rPr>
        <w:t>服务费按标的总成交价款（成交首年租金乘以租赁期限）差额定率累进法计算</w:t>
      </w:r>
    </w:p>
    <w:p>
      <w:pPr>
        <w:pStyle w:val="8"/>
        <w:widowControl/>
        <w:spacing w:beforeAutospacing="0" w:afterAutospacing="0" w:line="440" w:lineRule="exact"/>
        <w:ind w:firstLine="422" w:firstLineChars="200"/>
        <w:jc w:val="center"/>
        <w:rPr>
          <w:rFonts w:ascii="宋体" w:cs="宋体"/>
          <w:b/>
          <w:color w:val="000000"/>
          <w:sz w:val="21"/>
          <w:szCs w:val="21"/>
          <w:highlight w:val="none"/>
        </w:rPr>
      </w:pPr>
    </w:p>
    <w:tbl>
      <w:tblPr>
        <w:tblStyle w:val="9"/>
        <w:tblW w:w="79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30"/>
        <w:gridCol w:w="2574"/>
        <w:gridCol w:w="1784"/>
        <w:gridCol w:w="1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计费基价</w:t>
            </w:r>
          </w:p>
        </w:tc>
        <w:tc>
          <w:tcPr>
            <w:tcW w:w="25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成交额（万元）</w:t>
            </w:r>
          </w:p>
        </w:tc>
        <w:tc>
          <w:tcPr>
            <w:tcW w:w="17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收费标准（</w:t>
            </w:r>
            <w:r>
              <w:rPr>
                <w:rFonts w:ascii="宋体" w:hAnsi="宋体" w:cs="宋体"/>
                <w:b/>
                <w:color w:val="000000"/>
                <w:sz w:val="21"/>
                <w:szCs w:val="21"/>
                <w:highlight w:val="none"/>
              </w:rPr>
              <w:t>%</w:t>
            </w:r>
            <w:r>
              <w:rPr>
                <w:rFonts w:hint="eastAsia" w:ascii="宋体" w:hAnsi="宋体" w:cs="宋体"/>
                <w:b/>
                <w:color w:val="000000"/>
                <w:sz w:val="21"/>
                <w:szCs w:val="21"/>
                <w:highlight w:val="none"/>
              </w:rPr>
              <w:t>）</w:t>
            </w:r>
          </w:p>
        </w:tc>
        <w:tc>
          <w:tcPr>
            <w:tcW w:w="16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成交额</w:t>
            </w: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w:t>
            </w:r>
            <w:r>
              <w:rPr>
                <w:rFonts w:hint="eastAsia" w:ascii="宋体" w:hAnsi="宋体" w:cs="宋体"/>
                <w:color w:val="000000"/>
                <w:sz w:val="21"/>
                <w:szCs w:val="21"/>
                <w:highlight w:val="none"/>
              </w:rPr>
              <w:t>以下（含</w:t>
            </w:r>
            <w:r>
              <w:rPr>
                <w:rFonts w:ascii="宋体" w:hAnsi="宋体" w:cs="宋体"/>
                <w:color w:val="000000"/>
                <w:sz w:val="21"/>
                <w:szCs w:val="21"/>
                <w:highlight w:val="none"/>
              </w:rPr>
              <w:t>50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w:t>
            </w:r>
          </w:p>
        </w:tc>
        <w:tc>
          <w:tcPr>
            <w:tcW w:w="165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低于</w:t>
            </w:r>
            <w:r>
              <w:rPr>
                <w:rFonts w:ascii="宋体" w:hAnsi="宋体" w:cs="宋体"/>
                <w:color w:val="000000"/>
                <w:sz w:val="21"/>
                <w:szCs w:val="21"/>
                <w:highlight w:val="none"/>
              </w:rPr>
              <w:t>500</w:t>
            </w:r>
            <w:r>
              <w:rPr>
                <w:rFonts w:hint="eastAsia" w:ascii="宋体" w:hAnsi="宋体" w:cs="宋体"/>
                <w:color w:val="000000"/>
                <w:sz w:val="21"/>
                <w:szCs w:val="21"/>
                <w:highlight w:val="none"/>
              </w:rPr>
              <w:t>元按</w:t>
            </w:r>
            <w:r>
              <w:rPr>
                <w:rFonts w:ascii="宋体" w:hAnsi="宋体" w:cs="宋体"/>
                <w:color w:val="000000"/>
                <w:sz w:val="21"/>
                <w:szCs w:val="21"/>
                <w:highlight w:val="none"/>
              </w:rPr>
              <w:t>500</w:t>
            </w:r>
            <w:r>
              <w:rPr>
                <w:rFonts w:hint="eastAsia" w:ascii="宋体" w:hAnsi="宋体" w:cs="宋体"/>
                <w:color w:val="000000"/>
                <w:sz w:val="21"/>
                <w:szCs w:val="21"/>
                <w:highlight w:val="none"/>
              </w:rPr>
              <w:t>元计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50-100</w:t>
            </w:r>
            <w:r>
              <w:rPr>
                <w:rFonts w:hint="eastAsia" w:ascii="宋体" w:hAnsi="宋体" w:cs="宋体"/>
                <w:color w:val="000000"/>
                <w:sz w:val="21"/>
                <w:szCs w:val="21"/>
                <w:highlight w:val="none"/>
              </w:rPr>
              <w:t>（含</w:t>
            </w:r>
            <w:r>
              <w:rPr>
                <w:rFonts w:ascii="宋体" w:hAnsi="宋体" w:cs="宋体"/>
                <w:color w:val="000000"/>
                <w:sz w:val="21"/>
                <w:szCs w:val="21"/>
                <w:highlight w:val="none"/>
              </w:rPr>
              <w:t>100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0.8</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100-500</w:t>
            </w:r>
            <w:r>
              <w:rPr>
                <w:rFonts w:hint="eastAsia" w:ascii="宋体" w:hAnsi="宋体" w:cs="宋体"/>
                <w:color w:val="000000"/>
                <w:sz w:val="21"/>
                <w:szCs w:val="21"/>
                <w:highlight w:val="none"/>
              </w:rPr>
              <w:t>（含</w:t>
            </w:r>
            <w:r>
              <w:rPr>
                <w:rFonts w:ascii="宋体" w:hAnsi="宋体" w:cs="宋体"/>
                <w:color w:val="000000"/>
                <w:sz w:val="21"/>
                <w:szCs w:val="21"/>
                <w:highlight w:val="none"/>
              </w:rPr>
              <w:t>500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0.6</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500-1000</w:t>
            </w:r>
            <w:r>
              <w:rPr>
                <w:rFonts w:hint="eastAsia" w:ascii="宋体" w:hAnsi="宋体" w:cs="宋体"/>
                <w:color w:val="000000"/>
                <w:sz w:val="21"/>
                <w:szCs w:val="21"/>
                <w:highlight w:val="none"/>
              </w:rPr>
              <w:t>（含</w:t>
            </w:r>
            <w:r>
              <w:rPr>
                <w:rFonts w:ascii="宋体" w:hAnsi="宋体" w:cs="宋体"/>
                <w:color w:val="000000"/>
                <w:sz w:val="21"/>
                <w:szCs w:val="21"/>
                <w:highlight w:val="none"/>
              </w:rPr>
              <w:t>1000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0.4</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1000-2000</w:t>
            </w:r>
            <w:r>
              <w:rPr>
                <w:rFonts w:hint="eastAsia" w:ascii="宋体" w:hAnsi="宋体" w:cs="宋体"/>
                <w:color w:val="000000"/>
                <w:sz w:val="21"/>
                <w:szCs w:val="21"/>
                <w:highlight w:val="none"/>
              </w:rPr>
              <w:t>（含</w:t>
            </w:r>
            <w:r>
              <w:rPr>
                <w:rFonts w:ascii="宋体" w:hAnsi="宋体" w:cs="宋体"/>
                <w:color w:val="000000"/>
                <w:sz w:val="21"/>
                <w:szCs w:val="21"/>
                <w:highlight w:val="none"/>
              </w:rPr>
              <w:t>2000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0.3</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2000-5000</w:t>
            </w:r>
            <w:r>
              <w:rPr>
                <w:rFonts w:hint="eastAsia" w:ascii="宋体" w:hAnsi="宋体" w:cs="宋体"/>
                <w:color w:val="000000"/>
                <w:sz w:val="21"/>
                <w:szCs w:val="21"/>
                <w:highlight w:val="none"/>
              </w:rPr>
              <w:t>（含</w:t>
            </w:r>
            <w:r>
              <w:rPr>
                <w:rFonts w:ascii="宋体" w:hAnsi="宋体" w:cs="宋体"/>
                <w:color w:val="000000"/>
                <w:sz w:val="21"/>
                <w:szCs w:val="21"/>
                <w:highlight w:val="none"/>
              </w:rPr>
              <w:t>5000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0.2</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4" w:hRule="atLeast"/>
          <w:jc w:val="center"/>
        </w:trPr>
        <w:tc>
          <w:tcPr>
            <w:tcW w:w="1930" w:type="dxa"/>
            <w:vMerge w:val="continue"/>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5000</w:t>
            </w:r>
            <w:r>
              <w:rPr>
                <w:rFonts w:hint="eastAsia" w:ascii="宋体" w:hAnsi="宋体" w:cs="宋体"/>
                <w:color w:val="000000"/>
                <w:sz w:val="21"/>
                <w:szCs w:val="21"/>
                <w:highlight w:val="none"/>
              </w:rPr>
              <w:t>以上</w:t>
            </w:r>
          </w:p>
        </w:tc>
        <w:tc>
          <w:tcPr>
            <w:tcW w:w="178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0.1</w:t>
            </w:r>
          </w:p>
        </w:tc>
        <w:tc>
          <w:tcPr>
            <w:tcW w:w="1652" w:type="dxa"/>
            <w:vMerge w:val="continue"/>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4" w:hRule="atLeast"/>
          <w:jc w:val="center"/>
        </w:trPr>
        <w:tc>
          <w:tcPr>
            <w:tcW w:w="79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cs="宋体"/>
                <w:color w:val="666666"/>
                <w:szCs w:val="21"/>
                <w:highlight w:val="none"/>
              </w:rPr>
            </w:pPr>
            <w:r>
              <w:rPr>
                <w:rFonts w:hint="eastAsia" w:ascii="宋体" w:hAnsi="宋体" w:cs="宋体"/>
                <w:color w:val="000000"/>
                <w:kern w:val="0"/>
                <w:szCs w:val="21"/>
                <w:highlight w:val="none"/>
              </w:rPr>
              <w:t>例：某标的总成交价款为</w:t>
            </w:r>
            <w:r>
              <w:rPr>
                <w:rFonts w:ascii="宋体" w:hAnsi="宋体" w:cs="宋体"/>
                <w:color w:val="000000"/>
                <w:kern w:val="0"/>
                <w:szCs w:val="21"/>
                <w:highlight w:val="none"/>
              </w:rPr>
              <w:t>1636</w:t>
            </w:r>
            <w:r>
              <w:rPr>
                <w:rFonts w:hint="eastAsia" w:ascii="宋体" w:hAnsi="宋体" w:cs="宋体"/>
                <w:color w:val="000000"/>
                <w:kern w:val="0"/>
                <w:szCs w:val="21"/>
                <w:highlight w:val="none"/>
              </w:rPr>
              <w:t>万元，计算服务费收费金额为</w:t>
            </w:r>
            <w:r>
              <w:rPr>
                <w:rFonts w:ascii="宋体" w:hAnsi="宋体" w:cs="宋体"/>
                <w:color w:val="000000"/>
                <w:kern w:val="0"/>
                <w:szCs w:val="21"/>
                <w:highlight w:val="none"/>
              </w:rPr>
              <w:t>7.208</w:t>
            </w:r>
            <w:r>
              <w:rPr>
                <w:rFonts w:hint="eastAsia" w:ascii="宋体" w:hAnsi="宋体" w:cs="宋体"/>
                <w:color w:val="000000"/>
                <w:kern w:val="0"/>
                <w:szCs w:val="21"/>
                <w:highlight w:val="none"/>
              </w:rPr>
              <w:t>万元</w:t>
            </w:r>
            <w:r>
              <w:rPr>
                <w:rFonts w:ascii="宋体" w:hAnsi="宋体" w:cs="宋体"/>
                <w:color w:val="000000"/>
                <w:kern w:val="0"/>
                <w:szCs w:val="21"/>
                <w:highlight w:val="none"/>
              </w:rPr>
              <w:t>=50</w:t>
            </w:r>
            <w:r>
              <w:rPr>
                <w:rFonts w:hint="eastAsia" w:ascii="宋体" w:hAnsi="宋体" w:cs="宋体"/>
                <w:color w:val="000000"/>
                <w:kern w:val="0"/>
                <w:szCs w:val="21"/>
                <w:highlight w:val="none"/>
              </w:rPr>
              <w:t>万</w:t>
            </w:r>
            <w:r>
              <w:rPr>
                <w:rFonts w:ascii="宋体" w:hAnsi="宋体" w:cs="宋体"/>
                <w:color w:val="000000"/>
                <w:kern w:val="0"/>
                <w:szCs w:val="21"/>
                <w:highlight w:val="none"/>
              </w:rPr>
              <w:t>*1%+</w:t>
            </w:r>
            <w:r>
              <w:rPr>
                <w:rFonts w:hint="eastAsia" w:ascii="宋体" w:hAnsi="宋体" w:cs="宋体"/>
                <w:color w:val="000000"/>
                <w:kern w:val="0"/>
                <w:szCs w:val="21"/>
                <w:highlight w:val="none"/>
              </w:rPr>
              <w:t>（</w:t>
            </w:r>
            <w:r>
              <w:rPr>
                <w:rFonts w:ascii="宋体" w:hAnsi="宋体" w:cs="宋体"/>
                <w:color w:val="000000"/>
                <w:kern w:val="0"/>
                <w:szCs w:val="21"/>
                <w:highlight w:val="none"/>
              </w:rPr>
              <w:t>100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50</w:t>
            </w:r>
            <w:r>
              <w:rPr>
                <w:rFonts w:hint="eastAsia" w:ascii="宋体" w:hAnsi="宋体" w:cs="宋体"/>
                <w:color w:val="000000"/>
                <w:kern w:val="0"/>
                <w:szCs w:val="21"/>
                <w:highlight w:val="none"/>
              </w:rPr>
              <w:t>万）</w:t>
            </w:r>
            <w:r>
              <w:rPr>
                <w:rFonts w:ascii="宋体" w:hAnsi="宋体" w:cs="宋体"/>
                <w:color w:val="000000"/>
                <w:kern w:val="0"/>
                <w:szCs w:val="21"/>
                <w:highlight w:val="none"/>
              </w:rPr>
              <w:t>*0.8%+</w:t>
            </w:r>
            <w:r>
              <w:rPr>
                <w:rFonts w:hint="eastAsia" w:ascii="宋体" w:hAnsi="宋体" w:cs="宋体"/>
                <w:color w:val="000000"/>
                <w:kern w:val="0"/>
                <w:szCs w:val="21"/>
                <w:highlight w:val="none"/>
              </w:rPr>
              <w:t>（</w:t>
            </w:r>
            <w:r>
              <w:rPr>
                <w:rFonts w:ascii="宋体" w:hAnsi="宋体" w:cs="宋体"/>
                <w:color w:val="000000"/>
                <w:kern w:val="0"/>
                <w:szCs w:val="21"/>
                <w:highlight w:val="none"/>
              </w:rPr>
              <w:t>500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100</w:t>
            </w:r>
            <w:r>
              <w:rPr>
                <w:rFonts w:hint="eastAsia" w:ascii="宋体" w:hAnsi="宋体" w:cs="宋体"/>
                <w:color w:val="000000"/>
                <w:kern w:val="0"/>
                <w:szCs w:val="21"/>
                <w:highlight w:val="none"/>
              </w:rPr>
              <w:t>万）</w:t>
            </w:r>
            <w:r>
              <w:rPr>
                <w:rFonts w:ascii="宋体" w:hAnsi="宋体" w:cs="宋体"/>
                <w:color w:val="000000"/>
                <w:kern w:val="0"/>
                <w:szCs w:val="21"/>
                <w:highlight w:val="none"/>
              </w:rPr>
              <w:t>*0.6%+</w:t>
            </w:r>
            <w:r>
              <w:rPr>
                <w:rFonts w:hint="eastAsia" w:ascii="宋体" w:hAnsi="宋体" w:cs="宋体"/>
                <w:color w:val="000000"/>
                <w:kern w:val="0"/>
                <w:szCs w:val="21"/>
                <w:highlight w:val="none"/>
              </w:rPr>
              <w:t>（</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500</w:t>
            </w:r>
            <w:r>
              <w:rPr>
                <w:rFonts w:hint="eastAsia" w:ascii="宋体" w:hAnsi="宋体" w:cs="宋体"/>
                <w:color w:val="000000"/>
                <w:kern w:val="0"/>
                <w:szCs w:val="21"/>
                <w:highlight w:val="none"/>
              </w:rPr>
              <w:t>万）</w:t>
            </w:r>
            <w:r>
              <w:rPr>
                <w:rFonts w:ascii="宋体" w:hAnsi="宋体" w:cs="宋体"/>
                <w:color w:val="000000"/>
                <w:kern w:val="0"/>
                <w:szCs w:val="21"/>
                <w:highlight w:val="none"/>
              </w:rPr>
              <w:t>*0.4%+</w:t>
            </w:r>
            <w:r>
              <w:rPr>
                <w:rFonts w:hint="eastAsia" w:ascii="宋体" w:hAnsi="宋体" w:cs="宋体"/>
                <w:color w:val="000000"/>
                <w:kern w:val="0"/>
                <w:szCs w:val="21"/>
                <w:highlight w:val="none"/>
              </w:rPr>
              <w:t>（</w:t>
            </w:r>
            <w:r>
              <w:rPr>
                <w:rFonts w:ascii="宋体" w:hAnsi="宋体" w:cs="宋体"/>
                <w:color w:val="000000"/>
                <w:kern w:val="0"/>
                <w:szCs w:val="21"/>
                <w:highlight w:val="none"/>
              </w:rPr>
              <w:t>1636</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*0.3%</w:t>
            </w:r>
          </w:p>
        </w:tc>
      </w:tr>
    </w:tbl>
    <w:p>
      <w:pPr>
        <w:pStyle w:val="8"/>
        <w:widowControl/>
        <w:spacing w:beforeAutospacing="0" w:afterAutospacing="0" w:line="312" w:lineRule="auto"/>
        <w:ind w:firstLine="422" w:firstLineChars="200"/>
        <w:jc w:val="both"/>
        <w:rPr>
          <w:rFonts w:ascii="宋体" w:cs="宋体"/>
          <w:b/>
          <w:bCs/>
          <w:color w:val="000000"/>
          <w:sz w:val="21"/>
          <w:szCs w:val="21"/>
          <w:highlight w:val="none"/>
        </w:rPr>
      </w:pPr>
    </w:p>
    <w:p>
      <w:pPr>
        <w:pStyle w:val="8"/>
        <w:widowControl/>
        <w:spacing w:beforeAutospacing="0" w:afterAutospacing="0" w:line="312" w:lineRule="auto"/>
        <w:ind w:firstLine="422" w:firstLineChars="200"/>
        <w:jc w:val="both"/>
        <w:rPr>
          <w:rFonts w:ascii="宋体"/>
          <w:highlight w:val="none"/>
        </w:rPr>
      </w:pPr>
      <w:r>
        <w:rPr>
          <w:rFonts w:hint="eastAsia" w:ascii="宋体" w:hAnsi="宋体" w:cs="宋体"/>
          <w:b/>
          <w:bCs/>
          <w:color w:val="000000"/>
          <w:sz w:val="21"/>
          <w:szCs w:val="21"/>
          <w:highlight w:val="none"/>
        </w:rPr>
        <w:t>淘宝资产处置网络平台根据竞价页面成交金额向竞得人收取软件服务费。</w:t>
      </w:r>
    </w:p>
    <w:p>
      <w:pPr>
        <w:jc w:val="center"/>
        <w:rPr>
          <w:rFonts w:ascii="宋体" w:cs="宋体"/>
          <w:color w:val="000000"/>
          <w:kern w:val="0"/>
          <w:szCs w:val="21"/>
          <w:highlight w:val="none"/>
        </w:rPr>
      </w:pPr>
      <w:r>
        <w:rPr>
          <w:rFonts w:hint="eastAsia" w:ascii="宋体" w:hAnsi="宋体" w:cs="宋体"/>
          <w:color w:val="000000"/>
          <w:kern w:val="0"/>
          <w:szCs w:val="21"/>
          <w:highlight w:val="none"/>
        </w:rPr>
        <w:t>淘宝软件服务费收费标准</w:t>
      </w:r>
    </w:p>
    <w:tbl>
      <w:tblPr>
        <w:tblStyle w:val="9"/>
        <w:tblW w:w="79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45"/>
        <w:gridCol w:w="2559"/>
        <w:gridCol w:w="1784"/>
        <w:gridCol w:w="1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计费基价</w:t>
            </w:r>
          </w:p>
        </w:tc>
        <w:tc>
          <w:tcPr>
            <w:tcW w:w="2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bCs/>
                <w:color w:val="000000"/>
                <w:sz w:val="21"/>
                <w:szCs w:val="21"/>
                <w:highlight w:val="none"/>
              </w:rPr>
              <w:t>竞价页面成交金额</w:t>
            </w:r>
            <w:r>
              <w:rPr>
                <w:rFonts w:hint="eastAsia" w:ascii="宋体" w:hAnsi="宋体" w:cs="宋体"/>
                <w:b/>
                <w:color w:val="000000"/>
                <w:sz w:val="21"/>
                <w:szCs w:val="21"/>
                <w:highlight w:val="none"/>
              </w:rPr>
              <w:t>（万元）</w:t>
            </w:r>
          </w:p>
        </w:tc>
        <w:tc>
          <w:tcPr>
            <w:tcW w:w="17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收费标准（</w:t>
            </w:r>
            <w:r>
              <w:rPr>
                <w:rFonts w:ascii="宋体" w:hAnsi="宋体" w:cs="宋体"/>
                <w:b/>
                <w:color w:val="000000"/>
                <w:sz w:val="21"/>
                <w:szCs w:val="21"/>
                <w:highlight w:val="none"/>
              </w:rPr>
              <w:t>%</w:t>
            </w:r>
            <w:r>
              <w:rPr>
                <w:rFonts w:hint="eastAsia" w:ascii="宋体" w:hAnsi="宋体" w:cs="宋体"/>
                <w:b/>
                <w:color w:val="000000"/>
                <w:sz w:val="21"/>
                <w:szCs w:val="21"/>
                <w:highlight w:val="none"/>
              </w:rPr>
              <w:t>）</w:t>
            </w:r>
          </w:p>
        </w:tc>
        <w:tc>
          <w:tcPr>
            <w:tcW w:w="16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9" w:hRule="atLeast"/>
          <w:jc w:val="center"/>
        </w:trPr>
        <w:tc>
          <w:tcPr>
            <w:tcW w:w="194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竞价页面成交金额</w:t>
            </w:r>
          </w:p>
        </w:tc>
        <w:tc>
          <w:tcPr>
            <w:tcW w:w="255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cs="宋体"/>
                <w:sz w:val="21"/>
                <w:szCs w:val="21"/>
                <w:highlight w:val="none"/>
              </w:rPr>
              <w:t>1000</w:t>
            </w:r>
            <w:r>
              <w:rPr>
                <w:rFonts w:hint="eastAsia" w:ascii="宋体" w:cs="宋体"/>
                <w:sz w:val="21"/>
                <w:szCs w:val="21"/>
                <w:highlight w:val="none"/>
              </w:rPr>
              <w:t>以下（含</w:t>
            </w:r>
            <w:r>
              <w:rPr>
                <w:rFonts w:ascii="宋体" w:cs="宋体"/>
                <w:sz w:val="21"/>
                <w:szCs w:val="21"/>
                <w:highlight w:val="none"/>
              </w:rPr>
              <w:t>1000</w:t>
            </w:r>
            <w:r>
              <w:rPr>
                <w:rFonts w:hint="eastAsia" w:ascii="宋体" w:cs="宋体"/>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w:t>
            </w:r>
          </w:p>
        </w:tc>
        <w:tc>
          <w:tcPr>
            <w:tcW w:w="165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rPr>
                <w:rFonts w:ascii="宋体" w:cs="宋体"/>
                <w:sz w:val="21"/>
                <w:szCs w:val="21"/>
                <w:highlight w:val="none"/>
              </w:rPr>
            </w:pPr>
            <w:r>
              <w:rPr>
                <w:rFonts w:hint="eastAsia" w:ascii="宋体" w:cs="宋体"/>
                <w:sz w:val="21"/>
                <w:szCs w:val="21"/>
                <w:highlight w:val="none"/>
              </w:rPr>
              <w:t>软件服务费收费按差额定率累进法计算；各个标的单独计算，不可累计；单个标的软件服务费上限</w:t>
            </w:r>
            <w:r>
              <w:rPr>
                <w:rFonts w:ascii="宋体" w:cs="宋体"/>
                <w:sz w:val="21"/>
                <w:szCs w:val="21"/>
                <w:highlight w:val="none"/>
              </w:rPr>
              <w:t>200</w:t>
            </w:r>
            <w:r>
              <w:rPr>
                <w:rFonts w:hint="eastAsia" w:ascii="宋体" w:cs="宋体"/>
                <w:sz w:val="21"/>
                <w:szCs w:val="21"/>
                <w:highlight w:val="none"/>
              </w:rPr>
              <w:t>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45" w:type="dxa"/>
            <w:vMerge w:val="continue"/>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59"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1000</w:t>
            </w:r>
            <w:r>
              <w:rPr>
                <w:rFonts w:hint="eastAsia" w:ascii="宋体" w:hAnsi="宋体" w:cs="宋体"/>
                <w:color w:val="000000"/>
                <w:sz w:val="21"/>
                <w:szCs w:val="21"/>
                <w:highlight w:val="none"/>
              </w:rPr>
              <w:t>以上</w:t>
            </w:r>
          </w:p>
        </w:tc>
        <w:tc>
          <w:tcPr>
            <w:tcW w:w="178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cs="宋体"/>
                <w:sz w:val="21"/>
                <w:szCs w:val="21"/>
                <w:highlight w:val="none"/>
              </w:rPr>
              <w:t>0.5</w:t>
            </w:r>
          </w:p>
        </w:tc>
        <w:tc>
          <w:tcPr>
            <w:tcW w:w="1652" w:type="dxa"/>
            <w:vMerge w:val="continue"/>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79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cs="宋体"/>
                <w:color w:val="666666"/>
                <w:szCs w:val="21"/>
                <w:highlight w:val="none"/>
              </w:rPr>
            </w:pPr>
            <w:r>
              <w:rPr>
                <w:rFonts w:hint="eastAsia" w:ascii="宋体" w:hAnsi="宋体" w:cs="宋体"/>
                <w:color w:val="000000"/>
                <w:kern w:val="0"/>
                <w:szCs w:val="21"/>
                <w:highlight w:val="none"/>
              </w:rPr>
              <w:t>例：某标的竞价页面成交金额为</w:t>
            </w:r>
            <w:r>
              <w:rPr>
                <w:rFonts w:ascii="宋体" w:hAnsi="宋体" w:cs="宋体"/>
                <w:color w:val="000000"/>
                <w:kern w:val="0"/>
                <w:szCs w:val="21"/>
                <w:highlight w:val="none"/>
              </w:rPr>
              <w:t>1636</w:t>
            </w:r>
            <w:r>
              <w:rPr>
                <w:rFonts w:hint="eastAsia" w:ascii="宋体" w:hAnsi="宋体" w:cs="宋体"/>
                <w:color w:val="000000"/>
                <w:kern w:val="0"/>
                <w:szCs w:val="21"/>
                <w:highlight w:val="none"/>
              </w:rPr>
              <w:t>万元，计算软件服务费收费金额为</w:t>
            </w:r>
            <w:r>
              <w:rPr>
                <w:rFonts w:ascii="宋体" w:hAnsi="宋体" w:cs="宋体"/>
                <w:color w:val="000000"/>
                <w:kern w:val="0"/>
                <w:szCs w:val="21"/>
                <w:highlight w:val="none"/>
              </w:rPr>
              <w:t>13.18</w:t>
            </w:r>
            <w:r>
              <w:rPr>
                <w:rFonts w:hint="eastAsia" w:ascii="宋体" w:hAnsi="宋体" w:cs="宋体"/>
                <w:color w:val="000000"/>
                <w:kern w:val="0"/>
                <w:szCs w:val="21"/>
                <w:highlight w:val="none"/>
              </w:rPr>
              <w:t>万元</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*1%+</w:t>
            </w:r>
            <w:r>
              <w:rPr>
                <w:rFonts w:hint="eastAsia" w:ascii="宋体" w:hAnsi="宋体" w:cs="宋体"/>
                <w:color w:val="000000"/>
                <w:kern w:val="0"/>
                <w:szCs w:val="21"/>
                <w:highlight w:val="none"/>
              </w:rPr>
              <w:t>（</w:t>
            </w:r>
            <w:r>
              <w:rPr>
                <w:rFonts w:ascii="宋体" w:hAnsi="宋体" w:cs="宋体"/>
                <w:color w:val="000000"/>
                <w:kern w:val="0"/>
                <w:szCs w:val="21"/>
                <w:highlight w:val="none"/>
              </w:rPr>
              <w:t>1636</w:t>
            </w:r>
            <w:r>
              <w:rPr>
                <w:rFonts w:hint="eastAsia" w:ascii="宋体" w:hAnsi="宋体" w:cs="宋体"/>
                <w:color w:val="000000"/>
                <w:kern w:val="0"/>
                <w:szCs w:val="21"/>
                <w:highlight w:val="none"/>
              </w:rPr>
              <w:t>万</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*0.5%</w:t>
            </w:r>
          </w:p>
        </w:tc>
      </w:tr>
    </w:tbl>
    <w:p>
      <w:pPr>
        <w:pStyle w:val="8"/>
        <w:widowControl/>
        <w:spacing w:beforeAutospacing="0" w:afterAutospacing="0" w:line="440" w:lineRule="exact"/>
        <w:ind w:firstLine="420" w:firstLineChars="20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、竞得人在竞价成交后</w:t>
      </w:r>
      <w:r>
        <w:rPr>
          <w:rFonts w:ascii="宋体" w:hAnsi="宋体" w:cs="宋体"/>
          <w:color w:val="000000"/>
          <w:sz w:val="21"/>
          <w:szCs w:val="21"/>
          <w:highlight w:val="none"/>
        </w:rPr>
        <w:t>5</w:t>
      </w:r>
      <w:r>
        <w:rPr>
          <w:rFonts w:hint="eastAsia" w:ascii="宋体" w:hAnsi="宋体" w:cs="宋体"/>
          <w:color w:val="000000"/>
          <w:sz w:val="21"/>
          <w:szCs w:val="21"/>
          <w:highlight w:val="none"/>
        </w:rPr>
        <w:t>个工作日内，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pStyle w:val="8"/>
        <w:widowControl/>
        <w:spacing w:beforeAutospacing="0" w:afterAutospacing="0" w:line="440" w:lineRule="exact"/>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、交易结果公布：交易结束后</w:t>
      </w:r>
      <w:r>
        <w:rPr>
          <w:rFonts w:ascii="宋体" w:hAnsi="宋体" w:cs="宋体"/>
          <w:color w:val="000000"/>
          <w:sz w:val="21"/>
          <w:szCs w:val="21"/>
          <w:highlight w:val="none"/>
        </w:rPr>
        <w:t>10</w:t>
      </w:r>
      <w:r>
        <w:rPr>
          <w:rFonts w:hint="eastAsia" w:ascii="宋体" w:hAnsi="宋体" w:cs="宋体"/>
          <w:color w:val="000000"/>
          <w:sz w:val="21"/>
          <w:szCs w:val="21"/>
          <w:highlight w:val="none"/>
        </w:rPr>
        <w:t>个工作日内，将在乐清市公共资源交易中心网站（</w:t>
      </w:r>
      <w:r>
        <w:rPr>
          <w:rFonts w:ascii="宋体" w:hAnsi="宋体" w:cs="宋体"/>
          <w:color w:val="000000"/>
          <w:sz w:val="21"/>
          <w:szCs w:val="21"/>
          <w:highlight w:val="none"/>
        </w:rPr>
        <w:t>http://www.yueqing.gov.cn/col/col1229165452/index.html</w:t>
      </w:r>
      <w:r>
        <w:rPr>
          <w:rFonts w:hint="eastAsia" w:ascii="宋体" w:hAnsi="宋体" w:cs="宋体"/>
          <w:color w:val="000000"/>
          <w:sz w:val="21"/>
          <w:szCs w:val="21"/>
          <w:highlight w:val="none"/>
        </w:rPr>
        <w:t>）公布此次交易结果。</w:t>
      </w:r>
    </w:p>
    <w:p>
      <w:pPr>
        <w:pStyle w:val="8"/>
        <w:widowControl/>
        <w:spacing w:beforeAutospacing="0" w:afterAutospacing="0" w:line="440" w:lineRule="exact"/>
        <w:ind w:firstLine="420"/>
        <w:rPr>
          <w:rFonts w:hint="eastAsia" w:ascii="宋体" w:hAns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、在租赁期间，牵涉到的水、电、通讯、物业管理费和相关部门管理费用等一切经营费用以及租赁使用期间的日常维修、维护、保养等费用，均由竞得人承担并自行结算。</w:t>
      </w:r>
    </w:p>
    <w:p>
      <w:pPr>
        <w:pStyle w:val="8"/>
        <w:widowControl/>
        <w:spacing w:beforeAutospacing="0" w:afterAutospacing="0" w:line="440" w:lineRule="exact"/>
        <w:ind w:firstLine="420"/>
        <w:rPr>
          <w:rFonts w:hint="eastAsia" w:ascii="宋体" w:hAnsi="宋体" w:cs="宋体"/>
          <w:b/>
          <w:bCs/>
          <w:color w:val="FF0000"/>
          <w:sz w:val="21"/>
          <w:szCs w:val="21"/>
          <w:highlight w:val="none"/>
        </w:rPr>
      </w:pPr>
      <w:r>
        <w:rPr>
          <w:rFonts w:hint="eastAsia" w:ascii="宋体" w:hAnsi="宋体" w:cs="宋体"/>
          <w:b/>
          <w:bCs/>
          <w:color w:val="FF0000"/>
          <w:sz w:val="21"/>
          <w:szCs w:val="21"/>
          <w:highlight w:val="none"/>
        </w:rPr>
        <w:t>特别注意：本次竞价页面显示的尾款支付时间为“通过淘宝订单支付”的时间，不适用本次竞价。本次竞价尾款支付方式及时间按本须知第六条执行。</w:t>
      </w:r>
    </w:p>
    <w:p>
      <w:pPr>
        <w:pStyle w:val="8"/>
        <w:widowControl/>
        <w:spacing w:beforeAutospacing="0" w:afterAutospacing="0" w:line="440" w:lineRule="exact"/>
        <w:ind w:firstLine="422" w:firstLineChars="200"/>
        <w:rPr>
          <w:rFonts w:ascii="宋体" w:cs="宋体"/>
          <w:color w:val="666666"/>
          <w:sz w:val="21"/>
          <w:szCs w:val="21"/>
          <w:highlight w:val="none"/>
        </w:rPr>
      </w:pPr>
      <w:r>
        <w:rPr>
          <w:rFonts w:hint="eastAsia" w:ascii="宋体" w:hAnsi="宋体" w:cs="宋体"/>
          <w:b/>
          <w:color w:val="000000"/>
          <w:sz w:val="21"/>
          <w:szCs w:val="21"/>
          <w:highlight w:val="none"/>
        </w:rPr>
        <w:t>七、违规、违约责任：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、竞价成交后，竞得人逾期不签订《成交确认书》、《租赁合同》、《消防安全责任书》等，或逾期不履行《成交确认书》约定的支付竞价成交价款、竞价服务费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淘宝平台软件服务费</w:t>
      </w:r>
      <w:r>
        <w:rPr>
          <w:rFonts w:hint="eastAsia" w:ascii="宋体" w:hAnsi="宋体" w:cs="宋体"/>
          <w:color w:val="000000"/>
          <w:sz w:val="21"/>
          <w:szCs w:val="21"/>
          <w:highlight w:val="none"/>
          <w:lang w:eastAsia="zh-CN"/>
        </w:rPr>
        <w:t>及其他约定费用</w:t>
      </w:r>
      <w:r>
        <w:rPr>
          <w:rFonts w:hint="eastAsia" w:ascii="宋体" w:hAnsi="宋体" w:cs="宋体"/>
          <w:color w:val="000000"/>
          <w:sz w:val="21"/>
          <w:szCs w:val="21"/>
          <w:highlight w:val="none"/>
        </w:rPr>
        <w:t>等义务的视为违约，应承担违约责任，除竞得人的竞买保证金不予退还外，还应赔偿由此造成的经济损失。竞价标的物征得委托人同意后再行竞价，原竞得人应当支付第一次竞价中应当支付的竞价服务费，再行竞价的总成交价款低于原竞价总成交价款的，原竞得人应当补足差额。</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、竞价成交后，若委托人违约，由委托人承担全部责任，与温州市嘉诚拍卖有限公司无涉，竞得人可直接向委托人追溯责任。温州市嘉诚拍卖有限公司可提供资料证明协助竞得人向委托人追溯责任。</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cs="宋体"/>
          <w:b/>
          <w:sz w:val="21"/>
          <w:szCs w:val="21"/>
          <w:highlight w:val="none"/>
        </w:rPr>
        <w:t>八、</w:t>
      </w:r>
      <w:r>
        <w:rPr>
          <w:rFonts w:hint="eastAsia" w:ascii="宋体" w:hAnsi="宋体" w:cs="宋体"/>
          <w:b/>
          <w:sz w:val="21"/>
          <w:szCs w:val="21"/>
          <w:highlight w:val="none"/>
        </w:rPr>
        <w:t>其</w:t>
      </w:r>
      <w:r>
        <w:rPr>
          <w:rFonts w:hint="eastAsia" w:ascii="宋体" w:hAnsi="宋体" w:cs="宋体"/>
          <w:b/>
          <w:color w:val="000000"/>
          <w:sz w:val="21"/>
          <w:szCs w:val="21"/>
          <w:highlight w:val="none"/>
        </w:rPr>
        <w:t>他注意事项：</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自行承担标的物租赁涉及的有关经营活动所产生的审批风险和责任，营业执照等相关经营手续需自行办理。若标的物建筑存在瑕疵部分，由竞得人承担由此产生的审批、经营风险，并自行接受行政主管部门处理，委托人与温州市嘉诚拍卖有限公司不承担相关责任及赔偿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买人报名参与竞价，即表明已完全知晓标的物权属、权利性质、用途等相关问题，若因标的物权属、权利性质、用途等相关问题导致竞得人无法办理经营证照或其它纠纷的，由竞得人自行承担风险，不影响竞价成交结果，也不作为解除租赁合同的理由。</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、租赁期限内，竞得人须征得委托人书面同意后，方可将标的物进行转租，转租的管理工作由竞得人负责，包括自行向转租户收取租金等，并自行承担转租行为的后果。</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、租赁期限内，若标的物被行政主管部门拆除，委托人退还剩余租期的租金，不赔偿竞得人其它损失。</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、竞得人付款后应及时提取标的物，逾期不办理的，竞得人应支付由此产生的费用，并承担本标的物可能发生的损毁、灭失等后果。</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6</w:t>
      </w:r>
      <w:r>
        <w:rPr>
          <w:rFonts w:hint="eastAsia" w:ascii="宋体" w:hAnsi="宋体" w:cs="宋体"/>
          <w:color w:val="000000"/>
          <w:sz w:val="21"/>
          <w:szCs w:val="21"/>
          <w:highlight w:val="none"/>
        </w:rPr>
        <w:t>、委托人承诺对所委托交易的所有标的物均归其所有，并对其有处分的权力，若因此原因问题出现的纠纷，纠纷包括但不限于竞得人经营审批问题、租赁物租赁期内拆迁改造、面积误差、租金争议、腾空交付等，均由委托人负责解释与处理，纠纷处理根据委托人与竞得人的合同约定进行处理，温州市嘉诚拍卖有限公司对此不承担责任。</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7</w:t>
      </w:r>
      <w:r>
        <w:rPr>
          <w:rFonts w:hint="eastAsia" w:ascii="宋体" w:hAnsi="宋体" w:cs="宋体"/>
          <w:color w:val="000000"/>
          <w:sz w:val="21"/>
          <w:szCs w:val="21"/>
          <w:highlight w:val="none"/>
        </w:rPr>
        <w:t>、竞得人在使用标的物时和租赁期间须严格遵守有关消防安全管理的规定，楼道、消防通道不得占用，如竞得人因违反消防法规或操作程序等情况造成灾害事故，后果由竞得人自负。</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8</w:t>
      </w:r>
      <w:r>
        <w:rPr>
          <w:rFonts w:hint="eastAsia" w:ascii="宋体" w:hAnsi="宋体" w:cs="宋体"/>
          <w:color w:val="000000"/>
          <w:sz w:val="21"/>
          <w:szCs w:val="21"/>
          <w:highlight w:val="none"/>
        </w:rPr>
        <w:t>、竞得人须善意管理、妥善使用标的物，因使用不当造成的人身和财产的损害由竞得人承担法律责任。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9</w:t>
      </w:r>
      <w:r>
        <w:rPr>
          <w:rFonts w:hint="eastAsia" w:ascii="宋体" w:hAnsi="宋体" w:cs="宋体"/>
          <w:color w:val="000000"/>
          <w:sz w:val="21"/>
          <w:szCs w:val="21"/>
          <w:highlight w:val="none"/>
        </w:rPr>
        <w:t>、所有参与的竞买人应当遵守《竞价须知》及《竞价公告》的规定，不得阻挠其他竞买人竞</w:t>
      </w:r>
      <w:r>
        <w:rPr>
          <w:rFonts w:hint="eastAsia" w:ascii="宋体" w:hAnsi="宋体" w:cs="宋体"/>
          <w:color w:val="000000"/>
          <w:sz w:val="21"/>
          <w:szCs w:val="21"/>
          <w:highlight w:val="none"/>
          <w:lang w:eastAsia="zh-CN"/>
        </w:rPr>
        <w:t>买</w:t>
      </w:r>
      <w:r>
        <w:rPr>
          <w:rFonts w:hint="eastAsia" w:ascii="宋体" w:hAnsi="宋体" w:cs="宋体"/>
          <w:color w:val="000000"/>
          <w:sz w:val="21"/>
          <w:szCs w:val="21"/>
          <w:highlight w:val="none"/>
        </w:rPr>
        <w:t>，不得操纵、垄断</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价格，严禁竞买人恶意串标，上述行为一经查实，将取消其竞买资格，向其追缴竞买保证金并追究相关的法律责任。</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10</w:t>
      </w:r>
      <w:r>
        <w:rPr>
          <w:rFonts w:hint="eastAsia" w:ascii="宋体" w:hAnsi="宋体" w:cs="宋体"/>
          <w:color w:val="000000"/>
          <w:sz w:val="21"/>
          <w:szCs w:val="21"/>
          <w:highlight w:val="none"/>
        </w:rPr>
        <w:t>、本次竞价活动计价货币为人民币，竞价时的起始价、成交价均不含交易产生的税费。</w:t>
      </w:r>
    </w:p>
    <w:p>
      <w:pPr>
        <w:pStyle w:val="8"/>
        <w:widowControl/>
        <w:spacing w:beforeAutospacing="0" w:afterAutospacing="0" w:line="440" w:lineRule="exact"/>
        <w:ind w:firstLine="422" w:firstLineChars="200"/>
        <w:rPr>
          <w:rFonts w:ascii="宋体" w:cs="宋体"/>
          <w:color w:val="666666"/>
          <w:sz w:val="21"/>
          <w:szCs w:val="21"/>
          <w:highlight w:val="none"/>
        </w:rPr>
      </w:pPr>
      <w:r>
        <w:rPr>
          <w:rFonts w:hint="eastAsia" w:ascii="宋体" w:hAnsi="宋体" w:cs="宋体"/>
          <w:b/>
          <w:color w:val="000000"/>
          <w:sz w:val="21"/>
          <w:szCs w:val="21"/>
          <w:highlight w:val="none"/>
        </w:rPr>
        <w:t>九、委托人</w:t>
      </w:r>
      <w:r>
        <w:rPr>
          <w:rFonts w:hint="eastAsia" w:ascii="宋体" w:hAnsi="宋体" w:cs="宋体"/>
          <w:b/>
          <w:color w:val="000000"/>
          <w:sz w:val="21"/>
          <w:szCs w:val="21"/>
          <w:highlight w:val="none"/>
          <w:lang w:eastAsia="zh-CN"/>
        </w:rPr>
        <w:t>及温州市嘉诚拍卖有限公司</w:t>
      </w:r>
      <w:r>
        <w:rPr>
          <w:rFonts w:hint="eastAsia" w:ascii="宋体" w:hAnsi="宋体" w:cs="宋体"/>
          <w:b/>
          <w:color w:val="000000"/>
          <w:sz w:val="21"/>
          <w:szCs w:val="21"/>
          <w:highlight w:val="none"/>
        </w:rPr>
        <w:t>根据法律规定有权在竞价结束前中止竞价或撤回竞价标的。</w:t>
      </w:r>
    </w:p>
    <w:p>
      <w:pPr>
        <w:pStyle w:val="8"/>
        <w:widowControl/>
        <w:spacing w:beforeAutospacing="0" w:afterAutospacing="0" w:line="440" w:lineRule="exact"/>
        <w:ind w:firstLine="422"/>
        <w:rPr>
          <w:rFonts w:ascii="宋体" w:cs="宋体"/>
          <w:b/>
          <w:color w:val="000000"/>
          <w:sz w:val="21"/>
          <w:szCs w:val="21"/>
          <w:highlight w:val="none"/>
        </w:rPr>
      </w:pPr>
      <w:r>
        <w:rPr>
          <w:rFonts w:hint="eastAsia" w:ascii="宋体" w:hAnsi="宋体" w:cs="宋体"/>
          <w:b/>
          <w:color w:val="000000"/>
          <w:sz w:val="21"/>
          <w:szCs w:val="21"/>
          <w:highlight w:val="none"/>
        </w:rPr>
        <w:t>十、网络竞价系统遭受攻击或网络故障、网络堵塞、电力中断、自然灾害等不可抗力因素造成交易中止及交易错误的，委托人及温州市嘉诚拍卖有限公司不承担由此产生的后果和法律责任。因竞买人使用的电脑、手机等操作系统遭受攻击、网络故障、电力中断、软硬件故障及自然灾害等因素导致竞买人不能正常参与网络竞价的，或者竞买人的网络竞价账号丢失、被他人冒用、盗用的，由竞买人自行负责，委托人及温州市嘉诚拍卖有限公司不承担责任。</w:t>
      </w:r>
    </w:p>
    <w:p>
      <w:pPr>
        <w:pStyle w:val="8"/>
        <w:widowControl/>
        <w:spacing w:beforeAutospacing="0" w:afterAutospacing="0" w:line="440" w:lineRule="exact"/>
        <w:ind w:firstLine="422"/>
        <w:rPr>
          <w:rFonts w:ascii="宋体" w:cs="宋体"/>
          <w:b/>
          <w:color w:val="000000"/>
          <w:sz w:val="21"/>
          <w:szCs w:val="21"/>
          <w:highlight w:val="none"/>
        </w:rPr>
      </w:pPr>
      <w:r>
        <w:rPr>
          <w:rFonts w:hint="eastAsia" w:ascii="宋体" w:hAnsi="宋体" w:cs="宋体"/>
          <w:bCs/>
          <w:color w:val="000000"/>
          <w:sz w:val="21"/>
          <w:szCs w:val="21"/>
          <w:highlight w:val="none"/>
        </w:rPr>
        <w:t>十一、竞买人在竞价结束前应未被“信用中国（</w:t>
      </w:r>
      <w:r>
        <w:rPr>
          <w:rFonts w:ascii="宋体" w:hAnsi="宋体" w:cs="宋体"/>
          <w:bCs/>
          <w:color w:val="000000"/>
          <w:sz w:val="21"/>
          <w:szCs w:val="21"/>
          <w:highlight w:val="none"/>
        </w:rPr>
        <w:t>http://www.creditchina.gov.cn</w:t>
      </w:r>
      <w:r>
        <w:rPr>
          <w:rFonts w:hint="eastAsia" w:ascii="宋体" w:hAnsi="宋体" w:cs="宋体"/>
          <w:bCs/>
          <w:color w:val="000000"/>
          <w:sz w:val="21"/>
          <w:szCs w:val="21"/>
          <w:highlight w:val="none"/>
        </w:rPr>
        <w:t>）”列入失信被执行人名单的或已被列入失信被执行人名单但已执行完结者。若不符合条件参加竞买的，其竞买无效或取消其竞得资格，并自行承担相应的法律责任。</w:t>
      </w:r>
    </w:p>
    <w:p>
      <w:pPr>
        <w:pStyle w:val="8"/>
        <w:widowControl/>
        <w:spacing w:beforeAutospacing="0" w:afterAutospacing="0" w:line="420" w:lineRule="exact"/>
        <w:ind w:firstLine="420" w:firstLineChars="200"/>
        <w:rPr>
          <w:rFonts w:ascii="宋体" w:cs="Tahoma"/>
          <w:color w:val="666666"/>
          <w:sz w:val="21"/>
          <w:szCs w:val="21"/>
          <w:highlight w:val="none"/>
        </w:rPr>
      </w:pPr>
      <w:r>
        <w:rPr>
          <w:rFonts w:hint="eastAsia" w:ascii="宋体" w:hAnsi="宋体" w:cs="宋体"/>
          <w:color w:val="000000"/>
          <w:sz w:val="21"/>
          <w:szCs w:val="21"/>
          <w:highlight w:val="none"/>
        </w:rPr>
        <w:t>本公告其他未尽事宜，请向温州市嘉诚拍卖有限公司咨询。</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hAnsi="宋体" w:cs="宋体"/>
          <w:color w:val="000000"/>
          <w:sz w:val="21"/>
          <w:szCs w:val="21"/>
          <w:highlight w:val="none"/>
        </w:rPr>
        <w:t>咨询电话：</w:t>
      </w:r>
      <w:r>
        <w:rPr>
          <w:rFonts w:ascii="宋体" w:hAnsi="宋体" w:cs="宋体"/>
          <w:color w:val="000000"/>
          <w:sz w:val="21"/>
          <w:szCs w:val="21"/>
          <w:highlight w:val="none"/>
        </w:rPr>
        <w:t>0577-61662669</w:t>
      </w:r>
      <w:r>
        <w:rPr>
          <w:rFonts w:hint="eastAsia" w:ascii="宋体" w:hAnsi="宋体" w:cs="宋体"/>
          <w:color w:val="000000"/>
          <w:sz w:val="21"/>
          <w:szCs w:val="21"/>
          <w:highlight w:val="none"/>
        </w:rPr>
        <w:t>，</w:t>
      </w:r>
      <w:r>
        <w:rPr>
          <w:rFonts w:ascii="宋体" w:hAnsi="宋体" w:cs="宋体"/>
          <w:color w:val="000000"/>
          <w:sz w:val="21"/>
          <w:szCs w:val="21"/>
          <w:highlight w:val="none"/>
        </w:rPr>
        <w:t>0577-61882668</w:t>
      </w:r>
      <w:r>
        <w:rPr>
          <w:rFonts w:hint="eastAsia" w:ascii="宋体" w:hAnsi="宋体" w:cs="宋体"/>
          <w:color w:val="000000"/>
          <w:sz w:val="21"/>
          <w:szCs w:val="21"/>
          <w:highlight w:val="none"/>
        </w:rPr>
        <w:t>，</w:t>
      </w:r>
      <w:r>
        <w:rPr>
          <w:rFonts w:ascii="宋体" w:hAnsi="宋体" w:cs="宋体"/>
          <w:color w:val="000000"/>
          <w:sz w:val="21"/>
          <w:szCs w:val="21"/>
          <w:highlight w:val="none"/>
        </w:rPr>
        <w:t>18906633065</w:t>
      </w:r>
      <w:r>
        <w:rPr>
          <w:rFonts w:hint="eastAsia" w:ascii="宋体" w:hAnsi="宋体" w:cs="宋体"/>
          <w:color w:val="000000"/>
          <w:sz w:val="21"/>
          <w:szCs w:val="21"/>
          <w:highlight w:val="none"/>
        </w:rPr>
        <w:t>；联系人</w:t>
      </w:r>
      <w:r>
        <w:rPr>
          <w:rFonts w:ascii="宋体" w:hAnsi="宋体" w:cs="宋体"/>
          <w:color w:val="000000"/>
          <w:sz w:val="21"/>
          <w:szCs w:val="21"/>
          <w:highlight w:val="none"/>
        </w:rPr>
        <w:t>:</w:t>
      </w:r>
      <w:r>
        <w:rPr>
          <w:rFonts w:hint="eastAsia" w:ascii="宋体" w:hAnsi="宋体" w:cs="宋体"/>
          <w:color w:val="000000"/>
          <w:sz w:val="21"/>
          <w:szCs w:val="21"/>
          <w:highlight w:val="none"/>
        </w:rPr>
        <w:t>王先生</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hAnsi="宋体" w:cs="宋体"/>
          <w:color w:val="000000"/>
          <w:sz w:val="21"/>
          <w:szCs w:val="21"/>
          <w:highlight w:val="none"/>
        </w:rPr>
        <w:t>联系地址：乐清市伯乐东路</w:t>
      </w:r>
      <w:r>
        <w:rPr>
          <w:rFonts w:ascii="宋体" w:hAnsi="宋体" w:cs="宋体"/>
          <w:color w:val="000000"/>
          <w:sz w:val="21"/>
          <w:szCs w:val="21"/>
          <w:highlight w:val="none"/>
        </w:rPr>
        <w:t>888</w:t>
      </w:r>
      <w:r>
        <w:rPr>
          <w:rFonts w:hint="eastAsia" w:ascii="宋体" w:hAnsi="宋体" w:cs="宋体"/>
          <w:color w:val="000000"/>
          <w:sz w:val="21"/>
          <w:szCs w:val="21"/>
          <w:highlight w:val="none"/>
        </w:rPr>
        <w:t>号西南附属楼公共资源交易中心</w:t>
      </w:r>
      <w:r>
        <w:rPr>
          <w:rFonts w:ascii="宋体" w:hAnsi="宋体" w:cs="宋体"/>
          <w:color w:val="000000"/>
          <w:sz w:val="21"/>
          <w:szCs w:val="21"/>
          <w:highlight w:val="none"/>
        </w:rPr>
        <w:t>4</w:t>
      </w:r>
      <w:r>
        <w:rPr>
          <w:rFonts w:hint="eastAsia" w:ascii="宋体" w:hAnsi="宋体" w:cs="宋体"/>
          <w:color w:val="000000"/>
          <w:sz w:val="21"/>
          <w:szCs w:val="21"/>
          <w:highlight w:val="none"/>
        </w:rPr>
        <w:t>楼</w:t>
      </w:r>
      <w:r>
        <w:rPr>
          <w:rFonts w:ascii="宋体" w:hAnsi="宋体" w:cs="宋体"/>
          <w:color w:val="000000"/>
          <w:sz w:val="21"/>
          <w:szCs w:val="21"/>
          <w:highlight w:val="none"/>
        </w:rPr>
        <w:t>B11</w:t>
      </w:r>
      <w:r>
        <w:rPr>
          <w:rFonts w:hint="eastAsia" w:ascii="宋体" w:hAnsi="宋体" w:cs="宋体"/>
          <w:color w:val="000000"/>
          <w:sz w:val="21"/>
          <w:szCs w:val="21"/>
          <w:highlight w:val="none"/>
        </w:rPr>
        <w:t>室</w:t>
      </w:r>
    </w:p>
    <w:p>
      <w:pPr>
        <w:pStyle w:val="8"/>
        <w:widowControl/>
        <w:spacing w:beforeAutospacing="0" w:afterAutospacing="0" w:line="440" w:lineRule="exact"/>
        <w:ind w:firstLine="420"/>
        <w:rPr>
          <w:rFonts w:ascii="宋体" w:cs="宋体"/>
          <w:color w:val="000000"/>
          <w:sz w:val="21"/>
          <w:szCs w:val="21"/>
          <w:highlight w:val="none"/>
        </w:rPr>
      </w:pPr>
      <w:r>
        <w:rPr>
          <w:rFonts w:hint="eastAsia" w:ascii="宋体" w:hAnsi="宋体" w:cs="宋体"/>
          <w:color w:val="000000"/>
          <w:sz w:val="21"/>
          <w:szCs w:val="21"/>
          <w:highlight w:val="none"/>
        </w:rPr>
        <w:t>乡镇监督电话：</w:t>
      </w:r>
      <w:r>
        <w:rPr>
          <w:rFonts w:ascii="宋体" w:hAnsi="宋体" w:cs="宋体"/>
          <w:sz w:val="21"/>
          <w:szCs w:val="21"/>
          <w:highlight w:val="none"/>
        </w:rPr>
        <w:t>0577-61723031</w:t>
      </w:r>
    </w:p>
    <w:p>
      <w:pPr>
        <w:pStyle w:val="8"/>
        <w:widowControl/>
        <w:spacing w:beforeAutospacing="0" w:afterAutospacing="0" w:line="440" w:lineRule="exact"/>
        <w:ind w:firstLine="420"/>
        <w:rPr>
          <w:rFonts w:ascii="宋体" w:cs="宋体"/>
          <w:color w:val="000000"/>
          <w:sz w:val="21"/>
          <w:szCs w:val="21"/>
          <w:highlight w:val="none"/>
        </w:rPr>
      </w:pPr>
    </w:p>
    <w:p>
      <w:pPr>
        <w:pStyle w:val="8"/>
        <w:widowControl/>
        <w:spacing w:beforeAutospacing="0" w:afterAutospacing="0" w:line="312" w:lineRule="auto"/>
        <w:ind w:right="420" w:firstLine="420"/>
        <w:jc w:val="right"/>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乐清市柳市镇里隆村股份经济合作社</w:t>
      </w:r>
    </w:p>
    <w:p>
      <w:pPr>
        <w:pStyle w:val="8"/>
        <w:widowControl/>
        <w:spacing w:beforeAutospacing="0" w:afterAutospacing="0" w:line="312" w:lineRule="auto"/>
        <w:ind w:right="420" w:firstLine="420"/>
        <w:jc w:val="right"/>
        <w:rPr>
          <w:rFonts w:ascii="Tahoma" w:hAnsi="Tahoma" w:cs="Tahoma"/>
          <w:color w:val="666666"/>
          <w:sz w:val="21"/>
          <w:szCs w:val="21"/>
          <w:highlight w:val="none"/>
        </w:rPr>
      </w:pPr>
      <w:r>
        <w:rPr>
          <w:rFonts w:hint="eastAsia" w:ascii="宋体" w:hAnsi="宋体" w:cs="宋体"/>
          <w:color w:val="000000"/>
          <w:sz w:val="21"/>
          <w:szCs w:val="21"/>
          <w:highlight w:val="none"/>
        </w:rPr>
        <w:t>温州市嘉诚拍卖有限公司</w:t>
      </w:r>
    </w:p>
    <w:p>
      <w:pPr>
        <w:pStyle w:val="8"/>
        <w:widowControl/>
        <w:wordWrap w:val="0"/>
        <w:spacing w:beforeAutospacing="0" w:afterAutospacing="0" w:line="312" w:lineRule="auto"/>
        <w:ind w:right="420" w:firstLine="420"/>
        <w:jc w:val="right"/>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2024年6月3日</w:t>
      </w:r>
    </w:p>
    <w:p>
      <w:pPr>
        <w:pStyle w:val="8"/>
        <w:widowControl/>
        <w:wordWrap w:val="0"/>
        <w:spacing w:beforeAutospacing="0" w:afterAutospacing="0" w:line="312" w:lineRule="auto"/>
        <w:ind w:right="420" w:firstLine="420"/>
        <w:jc w:val="right"/>
        <w:rPr>
          <w:rFonts w:ascii="宋体" w:cs="宋体"/>
          <w:color w:val="000000"/>
          <w:sz w:val="21"/>
          <w:szCs w:val="21"/>
          <w:highlight w:val="none"/>
        </w:rPr>
      </w:pPr>
    </w:p>
    <w:p>
      <w:pPr>
        <w:spacing w:line="360" w:lineRule="auto"/>
        <w:ind w:firstLine="480" w:firstLineChars="200"/>
        <w:rPr>
          <w:rFonts w:ascii="宋体"/>
          <w:sz w:val="24"/>
          <w:highlight w:val="none"/>
        </w:rPr>
      </w:pPr>
    </w:p>
    <w:p>
      <w:pPr>
        <w:spacing w:line="420" w:lineRule="atLeast"/>
        <w:ind w:firstLine="3213" w:firstLineChars="1000"/>
        <w:rPr>
          <w:rFonts w:ascii="宋体" w:cs="宋体"/>
          <w:b/>
          <w:color w:val="000000"/>
          <w:sz w:val="32"/>
          <w:szCs w:val="32"/>
          <w:highlight w:val="none"/>
        </w:rPr>
      </w:pPr>
      <w:r>
        <w:rPr>
          <w:rFonts w:hint="eastAsia" w:ascii="宋体" w:hAnsi="宋体" w:cs="宋体"/>
          <w:b/>
          <w:color w:val="000000"/>
          <w:sz w:val="32"/>
          <w:szCs w:val="32"/>
          <w:highlight w:val="none"/>
        </w:rPr>
        <w:t>租赁合同（样本）</w:t>
      </w:r>
      <w:bookmarkStart w:id="3" w:name="合同"/>
      <w:bookmarkEnd w:id="3"/>
    </w:p>
    <w:p>
      <w:pPr>
        <w:spacing w:line="420" w:lineRule="atLeast"/>
        <w:jc w:val="right"/>
        <w:rPr>
          <w:rFonts w:ascii="宋体" w:cs="宋体"/>
          <w:b/>
          <w:bCs/>
          <w:szCs w:val="21"/>
          <w:highlight w:val="none"/>
        </w:rPr>
      </w:pPr>
      <w:r>
        <w:rPr>
          <w:rFonts w:hint="eastAsia" w:ascii="宋体" w:hAnsi="宋体" w:cs="宋体"/>
          <w:b/>
          <w:bCs/>
          <w:szCs w:val="21"/>
          <w:highlight w:val="none"/>
        </w:rPr>
        <w:t>乐农村产权告字</w:t>
      </w:r>
      <w:r>
        <w:rPr>
          <w:rFonts w:hint="eastAsia" w:ascii="宋体" w:hAnsi="宋体" w:cs="宋体"/>
          <w:b/>
          <w:bCs/>
          <w:szCs w:val="21"/>
          <w:highlight w:val="none"/>
          <w:lang w:eastAsia="zh-CN"/>
        </w:rPr>
        <w:t>【2024】0105</w:t>
      </w:r>
      <w:r>
        <w:rPr>
          <w:rFonts w:hint="eastAsia" w:ascii="宋体" w:hAnsi="宋体" w:cs="宋体"/>
          <w:b/>
          <w:bCs/>
          <w:szCs w:val="21"/>
          <w:highlight w:val="none"/>
        </w:rPr>
        <w:t>号</w:t>
      </w:r>
    </w:p>
    <w:p>
      <w:pPr>
        <w:snapToGrid w:val="0"/>
        <w:spacing w:line="440" w:lineRule="exact"/>
        <w:ind w:right="73"/>
        <w:jc w:val="left"/>
        <w:rPr>
          <w:rFonts w:ascii="宋体" w:cs="宋体"/>
          <w:color w:val="000000"/>
          <w:szCs w:val="21"/>
          <w:highlight w:val="none"/>
        </w:rPr>
      </w:pPr>
      <w:r>
        <w:rPr>
          <w:rFonts w:hint="eastAsia" w:ascii="宋体" w:hAnsi="宋体" w:cs="宋体"/>
          <w:color w:val="000000"/>
          <w:szCs w:val="21"/>
          <w:highlight w:val="none"/>
        </w:rPr>
        <w:t>出租方（以下简称甲方）：</w:t>
      </w:r>
      <w:r>
        <w:rPr>
          <w:rFonts w:hint="eastAsia" w:ascii="宋体" w:hAnsi="宋体" w:cs="宋体"/>
          <w:bCs/>
          <w:sz w:val="22"/>
          <w:szCs w:val="22"/>
          <w:highlight w:val="none"/>
          <w:u w:val="single"/>
          <w:lang w:eastAsia="zh-CN"/>
        </w:rPr>
        <w:t>乐清市柳市镇里隆村股份经济合作社</w:t>
      </w:r>
      <w:r>
        <w:rPr>
          <w:rFonts w:ascii="宋体" w:hAnsi="宋体" w:cs="宋体"/>
          <w:bCs/>
          <w:sz w:val="22"/>
          <w:szCs w:val="22"/>
          <w:highlight w:val="none"/>
          <w:u w:val="single"/>
        </w:rPr>
        <w:t xml:space="preserve">    </w:t>
      </w:r>
    </w:p>
    <w:p>
      <w:pPr>
        <w:snapToGrid w:val="0"/>
        <w:spacing w:line="440" w:lineRule="exact"/>
        <w:ind w:right="73"/>
        <w:jc w:val="left"/>
        <w:rPr>
          <w:rFonts w:ascii="宋体" w:cs="宋体"/>
          <w:color w:val="000000"/>
          <w:szCs w:val="21"/>
          <w:highlight w:val="none"/>
        </w:rPr>
      </w:pPr>
      <w:r>
        <w:rPr>
          <w:rFonts w:hint="eastAsia" w:ascii="宋体" w:hAnsi="宋体" w:cs="宋体"/>
          <w:color w:val="000000"/>
          <w:szCs w:val="21"/>
          <w:highlight w:val="none"/>
        </w:rPr>
        <w:t>承租方（以下简称乙方）：</w:t>
      </w:r>
      <w:r>
        <w:rPr>
          <w:rFonts w:ascii="宋体" w:cs="宋体"/>
          <w:color w:val="000000"/>
          <w:szCs w:val="21"/>
          <w:highlight w:val="none"/>
          <w:u w:val="single"/>
        </w:rPr>
        <w:t xml:space="preserve">                                      </w:t>
      </w:r>
    </w:p>
    <w:p>
      <w:pPr>
        <w:snapToGrid w:val="0"/>
        <w:spacing w:line="440" w:lineRule="exact"/>
        <w:ind w:right="74" w:firstLine="420" w:firstLineChars="200"/>
        <w:jc w:val="left"/>
        <w:rPr>
          <w:rFonts w:ascii="宋体" w:cs="宋体"/>
          <w:color w:val="000000"/>
          <w:szCs w:val="21"/>
          <w:highlight w:val="none"/>
        </w:rPr>
      </w:pPr>
      <w:r>
        <w:rPr>
          <w:rFonts w:hint="eastAsia" w:ascii="宋体" w:hAnsi="宋体" w:cs="宋体"/>
          <w:color w:val="000000"/>
          <w:szCs w:val="21"/>
          <w:highlight w:val="none"/>
        </w:rPr>
        <w:t>依据《中华人民共和国民法典》相关条款规定，为明确双方权利和义务，经双方充分协商达成如下一致合同条款，双方共同信守遵照并执行。</w:t>
      </w:r>
    </w:p>
    <w:p>
      <w:pPr>
        <w:snapToGrid w:val="0"/>
        <w:spacing w:line="440" w:lineRule="exact"/>
        <w:ind w:right="73" w:firstLine="422" w:firstLineChars="200"/>
        <w:jc w:val="left"/>
        <w:rPr>
          <w:rFonts w:ascii="宋体" w:cs="宋体"/>
          <w:color w:val="000000"/>
          <w:szCs w:val="21"/>
          <w:highlight w:val="none"/>
        </w:rPr>
      </w:pPr>
      <w:r>
        <w:rPr>
          <w:rFonts w:hint="eastAsia" w:ascii="宋体" w:hAnsi="宋体" w:cs="宋体"/>
          <w:b/>
          <w:color w:val="000000"/>
          <w:szCs w:val="21"/>
          <w:highlight w:val="none"/>
        </w:rPr>
        <w:t>一、租赁物</w:t>
      </w:r>
      <w:r>
        <w:rPr>
          <w:rFonts w:hint="eastAsia" w:ascii="宋体" w:hAnsi="宋体" w:cs="宋体"/>
          <w:color w:val="000000"/>
          <w:szCs w:val="21"/>
          <w:highlight w:val="none"/>
        </w:rPr>
        <w:t>：</w:t>
      </w:r>
    </w:p>
    <w:p>
      <w:pPr>
        <w:spacing w:line="440" w:lineRule="exact"/>
        <w:ind w:firstLine="420"/>
        <w:jc w:val="left"/>
        <w:rPr>
          <w:rFonts w:ascii="宋体" w:cs="宋体"/>
          <w:bCs/>
          <w:color w:val="000000"/>
          <w:szCs w:val="21"/>
          <w:highlight w:val="none"/>
          <w:u w:val="single"/>
        </w:rPr>
      </w:pPr>
      <w:r>
        <w:rPr>
          <w:rFonts w:hint="eastAsia" w:ascii="宋体" w:hAnsi="宋体" w:cs="宋体"/>
          <w:bCs/>
          <w:sz w:val="22"/>
          <w:szCs w:val="22"/>
          <w:highlight w:val="none"/>
        </w:rPr>
        <w:t>柳市镇里隆村货运码头</w:t>
      </w:r>
      <w:r>
        <w:rPr>
          <w:rFonts w:ascii="宋体" w:cs="宋体"/>
          <w:bCs/>
          <w:sz w:val="22"/>
          <w:szCs w:val="22"/>
          <w:highlight w:val="none"/>
        </w:rPr>
        <w:t>,</w:t>
      </w:r>
      <w:r>
        <w:rPr>
          <w:rFonts w:hint="eastAsia" w:ascii="宋体" w:hAnsi="宋体" w:cs="宋体"/>
          <w:szCs w:val="21"/>
          <w:highlight w:val="none"/>
        </w:rPr>
        <w:t>坐落于</w:t>
      </w:r>
      <w:r>
        <w:rPr>
          <w:rFonts w:hint="eastAsia" w:ascii="宋体" w:hAnsi="宋体" w:cs="宋体"/>
          <w:bCs/>
          <w:sz w:val="22"/>
          <w:szCs w:val="22"/>
          <w:highlight w:val="none"/>
          <w:lang w:eastAsia="zh-CN"/>
        </w:rPr>
        <w:t>柳市镇里隆村</w:t>
      </w:r>
      <w:r>
        <w:rPr>
          <w:rFonts w:hint="eastAsia" w:ascii="宋体" w:hAnsi="宋体" w:cs="宋体"/>
          <w:bCs/>
          <w:szCs w:val="21"/>
          <w:highlight w:val="none"/>
        </w:rPr>
        <w:t>，</w:t>
      </w:r>
      <w:r>
        <w:rPr>
          <w:rFonts w:hint="eastAsia" w:ascii="宋体" w:hAnsi="宋体" w:cs="宋体"/>
          <w:bCs/>
          <w:color w:val="000000"/>
          <w:szCs w:val="21"/>
          <w:highlight w:val="none"/>
        </w:rPr>
        <w:t>租赁总面积约</w:t>
      </w:r>
      <w:r>
        <w:rPr>
          <w:rFonts w:hint="eastAsia" w:ascii="宋体" w:hAnsi="宋体" w:cs="宋体"/>
          <w:bCs/>
          <w:color w:val="000000"/>
          <w:szCs w:val="21"/>
          <w:highlight w:val="none"/>
          <w:u w:val="single"/>
          <w:lang w:val="en-US" w:eastAsia="zh-CN"/>
        </w:rPr>
        <w:t>1080</w:t>
      </w:r>
      <w:r>
        <w:rPr>
          <w:rFonts w:hint="eastAsia" w:ascii="宋体" w:hAnsi="宋体" w:cs="宋体"/>
          <w:bCs/>
          <w:color w:val="000000"/>
          <w:szCs w:val="21"/>
          <w:highlight w:val="none"/>
          <w:u w:val="single"/>
        </w:rPr>
        <w:t>㎡。</w:t>
      </w:r>
    </w:p>
    <w:p>
      <w:pPr>
        <w:spacing w:line="440" w:lineRule="exact"/>
        <w:ind w:firstLine="420" w:firstLineChars="200"/>
        <w:jc w:val="left"/>
        <w:rPr>
          <w:rFonts w:ascii="宋体" w:cs="宋体"/>
          <w:bCs/>
          <w:szCs w:val="21"/>
          <w:highlight w:val="none"/>
        </w:rPr>
      </w:pPr>
      <w:r>
        <w:rPr>
          <w:rFonts w:ascii="宋体" w:hAnsi="宋体" w:cs="宋体"/>
          <w:bCs/>
          <w:color w:val="000000"/>
          <w:szCs w:val="21"/>
          <w:highlight w:val="none"/>
        </w:rPr>
        <w:t>1.</w:t>
      </w:r>
      <w:r>
        <w:rPr>
          <w:rFonts w:hint="eastAsia" w:ascii="宋体" w:hAnsi="宋体" w:cs="宋体"/>
          <w:bCs/>
          <w:color w:val="000000"/>
          <w:szCs w:val="21"/>
          <w:highlight w:val="none"/>
        </w:rPr>
        <w:t>租赁物</w:t>
      </w:r>
      <w:r>
        <w:rPr>
          <w:rFonts w:hint="eastAsia" w:ascii="宋体" w:hAnsi="宋体" w:cs="宋体"/>
          <w:bCs/>
          <w:szCs w:val="21"/>
          <w:highlight w:val="none"/>
        </w:rPr>
        <w:t>无不动产权证，本次租赁已在甲方所在地乡镇人民政府备案。</w:t>
      </w:r>
    </w:p>
    <w:p>
      <w:pPr>
        <w:spacing w:line="440" w:lineRule="exact"/>
        <w:ind w:firstLine="420" w:firstLineChars="200"/>
        <w:jc w:val="left"/>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以上</w:t>
      </w:r>
      <w:r>
        <w:rPr>
          <w:rFonts w:hint="eastAsia" w:ascii="宋体" w:hAnsi="宋体" w:cs="宋体"/>
          <w:bCs/>
          <w:color w:val="000000"/>
          <w:szCs w:val="21"/>
          <w:highlight w:val="none"/>
        </w:rPr>
        <w:t>租赁物</w:t>
      </w:r>
      <w:r>
        <w:rPr>
          <w:rFonts w:hint="eastAsia" w:ascii="宋体" w:hAnsi="宋体" w:cs="宋体"/>
          <w:bCs/>
          <w:szCs w:val="21"/>
          <w:highlight w:val="none"/>
        </w:rPr>
        <w:t>以现场实物为准。其外观、面积、结构、固定装修及内在质量以移交时的现状为准。对房屋外观、质量问题、结构调整、固定装修损坏、房地产面积差异等不作担保。</w:t>
      </w:r>
    </w:p>
    <w:p>
      <w:pPr>
        <w:spacing w:line="440" w:lineRule="exact"/>
        <w:ind w:firstLine="420"/>
        <w:jc w:val="left"/>
        <w:rPr>
          <w:rFonts w:hint="eastAsia" w:ascii="宋体" w:hAnsi="宋体" w:cs="宋体"/>
          <w:bCs/>
          <w:szCs w:val="21"/>
          <w:highlight w:val="none"/>
        </w:rPr>
      </w:pPr>
      <w:r>
        <w:rPr>
          <w:rFonts w:hint="eastAsia" w:ascii="宋体" w:hAnsi="宋体" w:cs="宋体"/>
          <w:bCs/>
          <w:szCs w:val="21"/>
          <w:highlight w:val="none"/>
        </w:rPr>
        <w:t>3、因租赁物权属（如产权证问题等）、权利性质、用途等相关问题导致乙方无法办理经营证照或其它纠纷的，或租赁物因违反规划用途、涉及违法、违章部分等原因产生的政府费用（包括但不限于行政处罚等费用）和不利法律后果（包括但不限于行政强制措施、行政强制执行等）均由乙方自行承担风险，与甲方无涉，不作为解除租赁合同的理由。</w:t>
      </w:r>
    </w:p>
    <w:p>
      <w:pPr>
        <w:spacing w:line="440" w:lineRule="exact"/>
        <w:ind w:firstLine="420" w:firstLineChars="200"/>
        <w:jc w:val="left"/>
        <w:rPr>
          <w:rFonts w:ascii="宋体" w:cs="宋体"/>
          <w:bCs/>
          <w:szCs w:val="21"/>
          <w:highlight w:val="none"/>
        </w:rPr>
      </w:pPr>
      <w:r>
        <w:rPr>
          <w:rFonts w:hint="eastAsia" w:ascii="宋体" w:hAnsi="宋体" w:cs="宋体"/>
          <w:bCs/>
          <w:szCs w:val="21"/>
          <w:highlight w:val="none"/>
        </w:rPr>
        <w:t>4</w:t>
      </w:r>
      <w:r>
        <w:rPr>
          <w:rFonts w:hint="eastAsia" w:ascii="宋体" w:hAnsi="宋体" w:cs="宋体"/>
          <w:bCs/>
          <w:szCs w:val="21"/>
          <w:highlight w:val="none"/>
          <w:lang w:eastAsia="zh-CN"/>
        </w:rPr>
        <w:t>、</w:t>
      </w:r>
      <w:r>
        <w:rPr>
          <w:rFonts w:hint="eastAsia" w:ascii="宋体" w:hAnsi="宋体" w:cs="宋体"/>
          <w:bCs/>
          <w:szCs w:val="21"/>
          <w:highlight w:val="none"/>
        </w:rPr>
        <w:t>乙方对租赁物描述的所有内容清楚且明知，承诺不因此向甲方主张任何权利。</w:t>
      </w:r>
    </w:p>
    <w:p>
      <w:pPr>
        <w:spacing w:line="440" w:lineRule="exact"/>
        <w:ind w:firstLine="420"/>
        <w:jc w:val="left"/>
        <w:rPr>
          <w:rFonts w:ascii="宋体" w:cs="宋体"/>
          <w:b/>
          <w:color w:val="000000"/>
          <w:szCs w:val="21"/>
          <w:highlight w:val="none"/>
        </w:rPr>
      </w:pPr>
      <w:r>
        <w:rPr>
          <w:rFonts w:hint="eastAsia" w:ascii="宋体" w:hAnsi="宋体" w:cs="宋体"/>
          <w:b/>
          <w:color w:val="000000"/>
          <w:szCs w:val="21"/>
          <w:highlight w:val="none"/>
        </w:rPr>
        <w:t>二、租金及相关费用的约定：</w:t>
      </w:r>
    </w:p>
    <w:p>
      <w:pPr>
        <w:snapToGrid w:val="0"/>
        <w:spacing w:line="440" w:lineRule="exact"/>
        <w:ind w:firstLine="420" w:firstLineChars="200"/>
        <w:jc w:val="left"/>
        <w:rPr>
          <w:rFonts w:ascii="宋体" w:cs="Tahoma"/>
          <w:szCs w:val="21"/>
          <w:highlight w:val="none"/>
        </w:rPr>
      </w:pPr>
      <w:r>
        <w:rPr>
          <w:rFonts w:ascii="宋体" w:hAnsi="宋体" w:cs="Tahoma"/>
          <w:szCs w:val="21"/>
          <w:highlight w:val="none"/>
        </w:rPr>
        <w:t>1.</w:t>
      </w:r>
      <w:r>
        <w:rPr>
          <w:rFonts w:hint="eastAsia" w:ascii="宋体" w:hAnsi="宋体" w:cs="Tahoma"/>
          <w:szCs w:val="21"/>
          <w:highlight w:val="none"/>
        </w:rPr>
        <w:t>三年总租金为人民币</w:t>
      </w:r>
      <w:r>
        <w:rPr>
          <w:rFonts w:ascii="宋体" w:hAnsi="宋体" w:cs="Tahoma"/>
          <w:szCs w:val="21"/>
          <w:highlight w:val="none"/>
          <w:u w:val="single"/>
        </w:rPr>
        <w:t xml:space="preserve">     </w:t>
      </w:r>
      <w:r>
        <w:rPr>
          <w:rFonts w:hint="eastAsia" w:ascii="宋体" w:hAnsi="宋体" w:cs="Tahoma"/>
          <w:szCs w:val="21"/>
          <w:highlight w:val="none"/>
        </w:rPr>
        <w:t>万元（大写：</w:t>
      </w:r>
      <w:r>
        <w:rPr>
          <w:rFonts w:ascii="宋体" w:hAnsi="宋体" w:cs="Tahoma"/>
          <w:szCs w:val="21"/>
          <w:highlight w:val="none"/>
          <w:u w:val="single"/>
        </w:rPr>
        <w:t xml:space="preserve">                  </w:t>
      </w:r>
      <w:r>
        <w:rPr>
          <w:rFonts w:hint="eastAsia" w:ascii="宋体" w:hAnsi="宋体" w:cs="Tahoma"/>
          <w:szCs w:val="21"/>
          <w:highlight w:val="none"/>
        </w:rPr>
        <w:t>），分三期支付，每期租金</w:t>
      </w:r>
      <w:r>
        <w:rPr>
          <w:rFonts w:ascii="宋体" w:hAnsi="宋体" w:cs="Tahoma"/>
          <w:szCs w:val="21"/>
          <w:highlight w:val="none"/>
          <w:u w:val="single"/>
        </w:rPr>
        <w:t xml:space="preserve">      </w:t>
      </w:r>
      <w:r>
        <w:rPr>
          <w:rFonts w:ascii="宋体" w:hAnsi="宋体" w:cs="Tahoma"/>
          <w:szCs w:val="21"/>
          <w:highlight w:val="none"/>
        </w:rPr>
        <w:t xml:space="preserve">    </w:t>
      </w:r>
      <w:r>
        <w:rPr>
          <w:rFonts w:hint="eastAsia" w:ascii="宋体" w:hAnsi="宋体" w:cs="Tahoma"/>
          <w:szCs w:val="21"/>
          <w:highlight w:val="none"/>
        </w:rPr>
        <w:t>万元，租金按年支付，一年一付，先付后用。首年租金（扣除竞买保证金后的余款）和履约保证金在成交后</w:t>
      </w:r>
      <w:r>
        <w:rPr>
          <w:rFonts w:ascii="宋体" w:hAnsi="宋体" w:cs="Tahoma"/>
          <w:szCs w:val="21"/>
          <w:highlight w:val="none"/>
        </w:rPr>
        <w:t xml:space="preserve"> 3 </w:t>
      </w:r>
      <w:r>
        <w:rPr>
          <w:rFonts w:hint="eastAsia" w:ascii="宋体" w:hAnsi="宋体" w:cs="Tahoma"/>
          <w:szCs w:val="21"/>
          <w:highlight w:val="none"/>
        </w:rPr>
        <w:t>个工作日内以转账的方式缴入乐清市公共资源交易中心投标保证金专户，从第二年起，每年租金应于上一年租期到期前</w:t>
      </w:r>
      <w:r>
        <w:rPr>
          <w:rFonts w:ascii="宋体" w:hAnsi="宋体" w:cs="Tahoma"/>
          <w:szCs w:val="21"/>
          <w:highlight w:val="none"/>
        </w:rPr>
        <w:t xml:space="preserve"> 30 </w:t>
      </w:r>
      <w:r>
        <w:rPr>
          <w:rFonts w:hint="eastAsia" w:ascii="宋体" w:hAnsi="宋体" w:cs="Tahoma"/>
          <w:szCs w:val="21"/>
          <w:highlight w:val="none"/>
        </w:rPr>
        <w:t>日支付给甲方。</w:t>
      </w:r>
    </w:p>
    <w:p>
      <w:pPr>
        <w:snapToGrid w:val="0"/>
        <w:spacing w:line="440" w:lineRule="exact"/>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乙方应交纳履约保证金为人民币</w:t>
      </w:r>
      <w:r>
        <w:rPr>
          <w:rFonts w:hint="eastAsia" w:ascii="宋体" w:cs="宋体"/>
          <w:szCs w:val="21"/>
          <w:highlight w:val="none"/>
          <w:u w:val="single"/>
          <w:lang w:val="en-US" w:eastAsia="zh-CN"/>
        </w:rPr>
        <w:t>50000</w:t>
      </w:r>
      <w:r>
        <w:rPr>
          <w:rFonts w:hint="eastAsia" w:ascii="宋体" w:hAnsi="宋体" w:cs="宋体"/>
          <w:szCs w:val="21"/>
          <w:highlight w:val="none"/>
        </w:rPr>
        <w:t>元（大写：</w:t>
      </w:r>
      <w:r>
        <w:rPr>
          <w:rFonts w:hint="eastAsia" w:ascii="宋体" w:cs="宋体"/>
          <w:szCs w:val="21"/>
          <w:highlight w:val="none"/>
          <w:u w:val="single"/>
          <w:lang w:val="en-US" w:eastAsia="zh-CN"/>
        </w:rPr>
        <w:t>伍万元整</w:t>
      </w:r>
      <w:r>
        <w:rPr>
          <w:rFonts w:hint="eastAsia" w:ascii="宋体" w:hAnsi="宋体" w:cs="宋体"/>
          <w:szCs w:val="21"/>
          <w:highlight w:val="none"/>
        </w:rPr>
        <w:t>）。租赁期满，履约保证金用以冲抵合同约定由乙方承担的费用后，剩余部分由甲方无息归还给乙方。</w:t>
      </w:r>
    </w:p>
    <w:p>
      <w:pPr>
        <w:snapToGrid w:val="0"/>
        <w:spacing w:line="440" w:lineRule="exact"/>
        <w:ind w:firstLine="420" w:firstLineChars="200"/>
        <w:rPr>
          <w:rFonts w:ascii="宋体" w:cs="宋体"/>
          <w:color w:val="000000"/>
          <w:szCs w:val="21"/>
          <w:highlight w:val="none"/>
        </w:rPr>
      </w:pPr>
      <w:r>
        <w:rPr>
          <w:rFonts w:ascii="宋体" w:hAnsi="宋体" w:cs="宋体"/>
          <w:szCs w:val="21"/>
          <w:highlight w:val="none"/>
        </w:rPr>
        <w:t>3</w:t>
      </w:r>
      <w:r>
        <w:rPr>
          <w:rFonts w:ascii="宋体" w:cs="宋体"/>
          <w:szCs w:val="21"/>
          <w:highlight w:val="none"/>
        </w:rPr>
        <w:t>.</w:t>
      </w:r>
      <w:r>
        <w:rPr>
          <w:rFonts w:hint="eastAsia" w:ascii="宋体" w:hAnsi="宋体" w:cs="宋体"/>
          <w:szCs w:val="21"/>
          <w:highlight w:val="none"/>
        </w:rPr>
        <w:t>因甲方收取</w:t>
      </w:r>
      <w:r>
        <w:rPr>
          <w:rFonts w:hint="eastAsia" w:ascii="宋体" w:hAnsi="宋体" w:cs="宋体"/>
          <w:color w:val="000000"/>
          <w:szCs w:val="21"/>
          <w:highlight w:val="none"/>
        </w:rPr>
        <w:t>的租金为净租金，因租赁行为而产生的依法律法规规定双方应交的所有税费由乙方承担；</w:t>
      </w:r>
      <w:r>
        <w:rPr>
          <w:rFonts w:hint="eastAsia" w:ascii="宋体" w:hAnsi="宋体" w:cs="宋体"/>
          <w:szCs w:val="21"/>
          <w:highlight w:val="none"/>
        </w:rPr>
        <w:t>在租</w:t>
      </w:r>
      <w:r>
        <w:rPr>
          <w:rFonts w:hint="eastAsia" w:ascii="宋体" w:hAnsi="宋体" w:cs="宋体"/>
          <w:color w:val="000000"/>
          <w:szCs w:val="21"/>
          <w:highlight w:val="none"/>
        </w:rPr>
        <w:t>赁期间，牵涉到的水、电、通讯、物业管理费和相关部门管理费用等一切经营费用以及租赁使用期间的日常维修、维护、保养费用由乙方承担并自行结算。</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三、租赁期限：</w:t>
      </w:r>
    </w:p>
    <w:p>
      <w:pPr>
        <w:snapToGrid w:val="0"/>
        <w:spacing w:line="440" w:lineRule="exact"/>
        <w:ind w:firstLine="420" w:firstLineChars="200"/>
        <w:rPr>
          <w:rFonts w:ascii="宋体" w:cs="宋体"/>
          <w:color w:val="000000"/>
          <w:szCs w:val="21"/>
          <w:highlight w:val="none"/>
        </w:rPr>
      </w:pPr>
      <w:r>
        <w:rPr>
          <w:rFonts w:hint="eastAsia" w:ascii="宋体" w:cs="宋体"/>
          <w:color w:val="000000"/>
          <w:szCs w:val="21"/>
          <w:highlight w:val="none"/>
        </w:rPr>
        <w:t>租赁期限，共计为三年，自</w:t>
      </w:r>
      <w:r>
        <w:rPr>
          <w:rFonts w:ascii="宋体" w:cs="宋体"/>
          <w:color w:val="000000"/>
          <w:szCs w:val="21"/>
          <w:highlight w:val="none"/>
          <w:u w:val="single"/>
        </w:rPr>
        <w:t>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年</w:t>
      </w:r>
      <w:r>
        <w:rPr>
          <w:rFonts w:ascii="宋体" w:cs="宋体"/>
          <w:color w:val="000000"/>
          <w:szCs w:val="21"/>
          <w:highlight w:val="none"/>
          <w:u w:val="single"/>
        </w:rPr>
        <w:t xml:space="preserve">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月</w:t>
      </w:r>
      <w:r>
        <w:rPr>
          <w:rFonts w:ascii="宋体" w:cs="宋体"/>
          <w:color w:val="000000"/>
          <w:szCs w:val="21"/>
          <w:highlight w:val="none"/>
          <w:u w:val="single"/>
        </w:rPr>
        <w:t xml:space="preserve">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日起至</w:t>
      </w:r>
      <w:r>
        <w:rPr>
          <w:rFonts w:ascii="宋体" w:cs="宋体"/>
          <w:color w:val="000000"/>
          <w:szCs w:val="21"/>
          <w:highlight w:val="none"/>
          <w:u w:val="single"/>
        </w:rPr>
        <w:t>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年</w:t>
      </w:r>
      <w:r>
        <w:rPr>
          <w:rFonts w:ascii="宋体" w:cs="宋体"/>
          <w:color w:val="000000"/>
          <w:szCs w:val="21"/>
          <w:highlight w:val="none"/>
          <w:u w:val="single"/>
        </w:rPr>
        <w:t xml:space="preserve">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月</w:t>
      </w:r>
      <w:r>
        <w:rPr>
          <w:rFonts w:ascii="宋体" w:cs="宋体"/>
          <w:color w:val="000000"/>
          <w:szCs w:val="21"/>
          <w:highlight w:val="none"/>
          <w:u w:val="single"/>
        </w:rPr>
        <w:t xml:space="preserve">  </w:t>
      </w:r>
      <w:r>
        <w:rPr>
          <w:rFonts w:hint="eastAsia" w:ascii="宋体" w:cs="宋体"/>
          <w:color w:val="000000"/>
          <w:szCs w:val="21"/>
          <w:highlight w:val="none"/>
          <w:u w:val="single"/>
          <w:lang w:val="en-US" w:eastAsia="zh-CN"/>
        </w:rPr>
        <w:t xml:space="preserve">   </w:t>
      </w:r>
      <w:r>
        <w:rPr>
          <w:rFonts w:ascii="宋体" w:cs="宋体"/>
          <w:color w:val="000000"/>
          <w:szCs w:val="21"/>
          <w:highlight w:val="none"/>
          <w:u w:val="single"/>
        </w:rPr>
        <w:t xml:space="preserve"> </w:t>
      </w:r>
      <w:r>
        <w:rPr>
          <w:rFonts w:hint="eastAsia" w:ascii="宋体" w:cs="宋体"/>
          <w:color w:val="000000"/>
          <w:szCs w:val="21"/>
          <w:highlight w:val="none"/>
        </w:rPr>
        <w:t>日止。</w:t>
      </w:r>
    </w:p>
    <w:p>
      <w:pPr>
        <w:snapToGrid w:val="0"/>
        <w:spacing w:line="440" w:lineRule="exact"/>
        <w:ind w:firstLine="420" w:firstLineChars="200"/>
        <w:rPr>
          <w:rFonts w:hint="eastAsia" w:ascii="宋体" w:eastAsia="宋体" w:cs="宋体"/>
          <w:szCs w:val="21"/>
          <w:highlight w:val="none"/>
          <w:lang w:eastAsia="zh-CN"/>
        </w:rPr>
      </w:pPr>
      <w:r>
        <w:rPr>
          <w:rFonts w:hint="eastAsia" w:ascii="宋体" w:cs="宋体"/>
          <w:color w:val="000000"/>
          <w:szCs w:val="21"/>
          <w:highlight w:val="none"/>
          <w:lang w:eastAsia="zh-CN"/>
        </w:rPr>
        <w:t>注：若因租赁物移交日期延期，上述期限具体起止日期以移交时签订的补充协议为准。</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四、装修装潢的约定：</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乙方有权自行对上述租赁物进行装潢或装修，但须将装修方案提交给甲方备案。乙方不得擅自改变租赁物的结构及用途。乙方装潢或装修均应遵照相关法律、法规等的规定。</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五、租赁物维修建设：</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乙方在租赁期间享有租赁物所有设施的专用权。乙方应负责租赁物内相关基础设施的维护，并保证在本合同终止时归还甲方。乙方在租赁期限内应善意管理租赁物，因乙方使用不当造成损坏的，乙方应负责维修，费用由乙方承担。</w:t>
      </w:r>
    </w:p>
    <w:p>
      <w:pPr>
        <w:snapToGrid w:val="0"/>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乙方因正常经营需要，在租赁物内进行固定资产建设、装修装饰的，应事先征得甲方的书面同意，按规定需向有关部门审批的，则由乙方自行报有关部门批准后，方可进行。乙方增设的附属设施、设备、搭建的建筑物、构筑物及其维修责任及费用均由乙方负责。租赁期满，乙方不再继续承租</w:t>
      </w:r>
      <w:r>
        <w:rPr>
          <w:rFonts w:hint="eastAsia" w:ascii="宋体" w:hAnsi="宋体" w:cs="宋体"/>
          <w:color w:val="000000"/>
          <w:szCs w:val="21"/>
          <w:highlight w:val="none"/>
          <w:lang w:val="en-US" w:eastAsia="zh-CN"/>
        </w:rPr>
        <w:t>或提前解除本租赁合同</w:t>
      </w:r>
      <w:r>
        <w:rPr>
          <w:rFonts w:hint="eastAsia" w:ascii="宋体" w:hAnsi="宋体" w:cs="宋体"/>
          <w:color w:val="000000"/>
          <w:szCs w:val="21"/>
          <w:highlight w:val="none"/>
        </w:rPr>
        <w:t>的，租赁物的装潢或装修设施及搭建的建筑物、构筑物除可移动物品（如空调等）外均无条件无偿归甲方所有。</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租赁期间，如租赁物发生自然损坏或屋面漏水等，维修及维修费用由乙方承担。如因自然灾害、不可抗力等导致租赁物或租赁物内其他设施损毁的，双方互不承担赔偿责任。</w:t>
      </w:r>
    </w:p>
    <w:p>
      <w:pPr>
        <w:snapToGrid w:val="0"/>
        <w:spacing w:line="440" w:lineRule="exact"/>
        <w:ind w:firstLine="422" w:firstLineChars="200"/>
        <w:rPr>
          <w:rFonts w:ascii="宋体" w:cs="宋体"/>
          <w:color w:val="000000"/>
          <w:szCs w:val="21"/>
          <w:highlight w:val="none"/>
          <w:u w:val="single"/>
        </w:rPr>
      </w:pPr>
      <w:r>
        <w:rPr>
          <w:rFonts w:hint="eastAsia" w:ascii="宋体" w:hAnsi="宋体" w:cs="宋体"/>
          <w:b/>
          <w:color w:val="000000"/>
          <w:szCs w:val="21"/>
          <w:highlight w:val="none"/>
        </w:rPr>
        <w:t>六、租赁物交付时的状态：</w:t>
      </w:r>
      <w:r>
        <w:rPr>
          <w:rFonts w:hint="eastAsia" w:ascii="宋体" w:hAnsi="宋体" w:cs="宋体"/>
          <w:color w:val="000000"/>
          <w:szCs w:val="21"/>
          <w:highlight w:val="none"/>
        </w:rPr>
        <w:t>以交付时的现状态、现质量进行。</w:t>
      </w:r>
    </w:p>
    <w:p>
      <w:pPr>
        <w:snapToGrid w:val="0"/>
        <w:spacing w:line="440" w:lineRule="exact"/>
        <w:ind w:firstLine="422" w:firstLineChars="200"/>
        <w:rPr>
          <w:rFonts w:ascii="宋体" w:cs="宋体"/>
          <w:color w:val="000000"/>
          <w:szCs w:val="21"/>
          <w:highlight w:val="none"/>
          <w:u w:val="single"/>
        </w:rPr>
      </w:pPr>
      <w:r>
        <w:rPr>
          <w:rFonts w:hint="eastAsia" w:ascii="宋体" w:hAnsi="宋体" w:cs="宋体"/>
          <w:b/>
          <w:color w:val="000000"/>
          <w:szCs w:val="21"/>
          <w:highlight w:val="none"/>
        </w:rPr>
        <w:t>七、租赁用途限制：</w:t>
      </w:r>
      <w:r>
        <w:rPr>
          <w:rFonts w:hint="eastAsia" w:ascii="宋体" w:hAnsi="宋体" w:cs="宋体"/>
          <w:color w:val="000000"/>
          <w:szCs w:val="21"/>
          <w:highlight w:val="none"/>
          <w:lang w:eastAsia="zh-CN"/>
        </w:rPr>
        <w:t>仅作钢材、其他金属物品、食品装卸运作码头，不得转为其它物品装卸运作：包括但不限于煤、水泥、易燃、易爆、多尘物品运作和走私物品等。严禁经营重噪音、重污染、危险品等行业。竞得人必须合法经营码头，做好卫生防尘等工作</w:t>
      </w:r>
      <w:r>
        <w:rPr>
          <w:rFonts w:hint="eastAsia" w:ascii="宋体" w:hAnsi="宋体" w:cs="宋体"/>
          <w:color w:val="000000"/>
          <w:szCs w:val="21"/>
          <w:highlight w:val="none"/>
        </w:rPr>
        <w:t>。</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八、关于转租：</w:t>
      </w:r>
      <w:r>
        <w:rPr>
          <w:rFonts w:hint="eastAsia" w:ascii="宋体" w:hAnsi="宋体" w:cs="宋体"/>
          <w:color w:val="000000"/>
          <w:szCs w:val="21"/>
          <w:highlight w:val="none"/>
        </w:rPr>
        <w:t>本合同租赁期限内，乙方须经得甲方书面同意后，方可将租赁物进行转租。乙方须将转租协议及相关资料交至甲方审核并登记备案。转租的管理工作由乙方负责，包括向转租户收取租金等。本合同规定的甲乙双方的责任和权利不因乙方转租而改变。</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如发生转租行为，乙方还必须遵守下列条款：</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、乙方应在转租租约中列明，倘本合同提前终止，乙方与转租户的转租租约应同时终止。</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、因转租行为产生的一切纠纷概由乙方负责处理。</w:t>
      </w:r>
    </w:p>
    <w:p>
      <w:pPr>
        <w:snapToGrid w:val="0"/>
        <w:spacing w:line="440" w:lineRule="exact"/>
        <w:ind w:firstLine="441"/>
        <w:rPr>
          <w:rFonts w:ascii="宋体" w:cs="宋体"/>
          <w:b/>
          <w:color w:val="000000"/>
          <w:szCs w:val="21"/>
          <w:highlight w:val="none"/>
        </w:rPr>
      </w:pPr>
      <w:r>
        <w:rPr>
          <w:rFonts w:hint="eastAsia" w:ascii="宋体" w:hAnsi="宋体" w:cs="宋体"/>
          <w:b/>
          <w:color w:val="000000"/>
          <w:szCs w:val="21"/>
          <w:highlight w:val="none"/>
        </w:rPr>
        <w:t>九、</w:t>
      </w:r>
      <w:r>
        <w:rPr>
          <w:rFonts w:hint="eastAsia" w:ascii="宋体" w:hAnsi="宋体" w:cs="宋体"/>
          <w:color w:val="000000"/>
          <w:szCs w:val="21"/>
          <w:highlight w:val="none"/>
        </w:rPr>
        <w:t>乙方在租赁期间，须保持租赁物消防通道畅通（楼道、消防通道不得占用），严格遵守有关消防安全管理的规定，确保安全经营，自本租赁物交付乙方使用之日起，全部安全责任由乙方负责，如乙方因违反消防法规或操作程序等情况造成灾害事故，后果由乙方自负。若乙方改变现实际用途须经得甲方同意。乙方须善意管理、妥善使用租赁物，因使用不当造成的人身和财产的损害由乙方承担法律责任。</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十、</w:t>
      </w:r>
      <w:r>
        <w:rPr>
          <w:rFonts w:hint="eastAsia" w:ascii="宋体" w:hAnsi="宋体" w:cs="宋体"/>
          <w:color w:val="000000"/>
          <w:szCs w:val="21"/>
          <w:highlight w:val="none"/>
        </w:rPr>
        <w:t>乙方须自行承担租赁物租赁涉及的有关经营活动所产生的审批风险和责任，营业执照等相关经营手续需自行办理，在办理经营审批手续前须向甲方报备。若租赁物存在违法、违章部分，由乙方承担由此产生的审批、经营风险，并自行接受行政主管部门处理，甲方不承担相关责任及赔偿责任。租赁期限内，若租赁物被行政主管部门拆除，甲方退还剩余租期的租金，不赔偿乙方其它损失。</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十一、</w:t>
      </w:r>
      <w:r>
        <w:rPr>
          <w:rFonts w:hint="eastAsia" w:ascii="宋体" w:hAnsi="宋体" w:cs="宋体"/>
          <w:color w:val="000000"/>
          <w:szCs w:val="21"/>
          <w:highlight w:val="none"/>
        </w:rPr>
        <w:t>租赁期间，遇国家政策变动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包括拆迁、征收等</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或自然灾害等不可抗力因素造成要求收回租赁物时，乙方应无条件同意终止本租赁合同，甲方不负责补偿任何费用。</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十二、违约责任：</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、合同生效后，任一方不履行义务或者履行义务不符合约定的，应当承担继续履行、采取补救措施或者赔偿损失等违约责任。</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、乙方遗失或损坏租赁物附属设施设备的，甲方有权向乙方提出索赔。</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、本合同租赁期满，乙方未经甲方同意，继续使用租赁物，除按当期市场价向甲方补交租金等费用外，甲方有权收回该租赁物，并有权处置租赁物内乙方未搬离的所有物件，租赁物另行出租。</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4</w:t>
      </w:r>
      <w:r>
        <w:rPr>
          <w:rFonts w:hint="eastAsia" w:ascii="宋体" w:hAnsi="宋体" w:cs="宋体"/>
          <w:color w:val="000000"/>
          <w:szCs w:val="21"/>
          <w:highlight w:val="none"/>
        </w:rPr>
        <w:t>、乙方有下列情形之一的，甲方可终止合同，收回租赁物，且不返还履约保证金</w:t>
      </w:r>
      <w:r>
        <w:rPr>
          <w:rFonts w:ascii="宋体" w:hAnsi="宋体" w:cs="宋体"/>
          <w:color w:val="000000"/>
          <w:szCs w:val="21"/>
          <w:highlight w:val="none"/>
        </w:rPr>
        <w:t>:</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利用租赁物进行非法活动，损害公共利益的；未经甲方同意，乙方擅自将租赁物转租给他人的或转经营其他行业的；逾期未缴租金的；违反本合同其他相关约定的。</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十三、</w:t>
      </w:r>
      <w:r>
        <w:rPr>
          <w:rFonts w:hint="eastAsia" w:ascii="宋体" w:hAnsi="宋体" w:cs="宋体"/>
          <w:color w:val="000000"/>
          <w:szCs w:val="21"/>
          <w:highlight w:val="none"/>
        </w:rPr>
        <w:t>本合同未尽事宜可由双方另订补充协议，补充协议与本合同具有同等法律效力。甲乙双方如在解释和履行本合同时发生的一切争议，应通过友好协商解决，协商不成时，依法向乐清市人民法院起诉解决。</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十四、</w:t>
      </w:r>
      <w:r>
        <w:rPr>
          <w:rFonts w:hint="eastAsia" w:ascii="宋体" w:hAnsi="宋体" w:cs="宋体"/>
          <w:color w:val="000000"/>
          <w:szCs w:val="21"/>
          <w:highlight w:val="none"/>
        </w:rPr>
        <w:t>本合同一式叁份，甲乙双方各执一份，乐清市公共资源交易中心一份。本合同自双方签订之日即时生效。</w:t>
      </w:r>
    </w:p>
    <w:p>
      <w:pPr>
        <w:spacing w:line="440" w:lineRule="exact"/>
        <w:rPr>
          <w:rFonts w:ascii="宋体" w:cs="宋体"/>
          <w:b/>
          <w:color w:val="000000"/>
          <w:szCs w:val="21"/>
          <w:highlight w:val="none"/>
        </w:rPr>
      </w:pPr>
    </w:p>
    <w:p>
      <w:pPr>
        <w:spacing w:line="440" w:lineRule="exact"/>
        <w:rPr>
          <w:rFonts w:ascii="宋体" w:cs="宋体"/>
          <w:color w:val="000000"/>
          <w:szCs w:val="21"/>
          <w:highlight w:val="none"/>
        </w:rPr>
      </w:pPr>
      <w:r>
        <w:rPr>
          <w:rFonts w:hint="eastAsia" w:ascii="宋体" w:hAnsi="宋体" w:cs="宋体"/>
          <w:color w:val="000000"/>
          <w:szCs w:val="21"/>
          <w:highlight w:val="none"/>
        </w:rPr>
        <w:t>甲方：</w:t>
      </w:r>
      <w:r>
        <w:rPr>
          <w:rFonts w:hint="eastAsia" w:ascii="宋体" w:hAnsi="宋体" w:cs="Tahoma"/>
          <w:bCs/>
          <w:color w:val="000000"/>
          <w:kern w:val="0"/>
          <w:szCs w:val="21"/>
          <w:highlight w:val="none"/>
          <w:u w:val="single"/>
          <w:lang w:eastAsia="zh-CN"/>
        </w:rPr>
        <w:t>乐清市柳市镇里隆村股份经济合作社</w:t>
      </w:r>
      <w:r>
        <w:rPr>
          <w:rFonts w:ascii="宋体" w:hAnsi="宋体" w:cs="Tahoma"/>
          <w:color w:val="000000"/>
          <w:kern w:val="0"/>
          <w:szCs w:val="21"/>
          <w:highlight w:val="none"/>
        </w:rPr>
        <w:t xml:space="preserve">                 </w:t>
      </w:r>
      <w:r>
        <w:rPr>
          <w:rFonts w:hint="eastAsia" w:ascii="宋体" w:hAnsi="宋体" w:cs="宋体"/>
          <w:color w:val="000000"/>
          <w:szCs w:val="21"/>
          <w:highlight w:val="none"/>
        </w:rPr>
        <w:t>乙方：</w:t>
      </w:r>
    </w:p>
    <w:p>
      <w:pPr>
        <w:spacing w:line="440" w:lineRule="exact"/>
        <w:rPr>
          <w:rFonts w:ascii="宋体" w:cs="宋体"/>
          <w:color w:val="000000"/>
          <w:szCs w:val="21"/>
          <w:highlight w:val="none"/>
        </w:rPr>
      </w:pPr>
      <w:r>
        <w:rPr>
          <w:rFonts w:hint="eastAsia" w:ascii="宋体" w:hAnsi="宋体" w:cs="宋体"/>
          <w:color w:val="000000"/>
          <w:szCs w:val="21"/>
          <w:highlight w:val="none"/>
        </w:rPr>
        <w:t>代表人：</w:t>
      </w:r>
      <w:r>
        <w:rPr>
          <w:rFonts w:ascii="宋体" w:hAnsi="宋体" w:cs="宋体"/>
          <w:color w:val="000000"/>
          <w:szCs w:val="21"/>
          <w:highlight w:val="none"/>
        </w:rPr>
        <w:t xml:space="preserve">                                               </w:t>
      </w:r>
      <w:r>
        <w:rPr>
          <w:rFonts w:hint="eastAsia" w:ascii="宋体" w:hAnsi="宋体" w:cs="宋体"/>
          <w:color w:val="000000"/>
          <w:szCs w:val="21"/>
          <w:highlight w:val="none"/>
        </w:rPr>
        <w:t>代表人</w:t>
      </w:r>
      <w:r>
        <w:rPr>
          <w:rFonts w:ascii="宋体" w:hAnsi="宋体" w:cs="宋体"/>
          <w:color w:val="000000"/>
          <w:szCs w:val="21"/>
          <w:highlight w:val="none"/>
        </w:rPr>
        <w:t>:</w:t>
      </w:r>
    </w:p>
    <w:p>
      <w:pPr>
        <w:spacing w:line="440" w:lineRule="exact"/>
        <w:rPr>
          <w:rFonts w:ascii="宋体" w:cs="宋体"/>
          <w:color w:val="000000"/>
          <w:szCs w:val="21"/>
          <w:highlight w:val="none"/>
        </w:rPr>
      </w:pPr>
      <w:r>
        <w:rPr>
          <w:rFonts w:hint="eastAsia" w:ascii="宋体" w:hAnsi="宋体" w:cs="宋体"/>
          <w:color w:val="000000"/>
          <w:szCs w:val="21"/>
          <w:highlight w:val="none"/>
        </w:rPr>
        <w:t>地址：</w:t>
      </w:r>
      <w:r>
        <w:rPr>
          <w:rFonts w:ascii="宋体" w:hAnsi="宋体" w:cs="宋体"/>
          <w:color w:val="000000"/>
          <w:szCs w:val="21"/>
          <w:highlight w:val="none"/>
        </w:rPr>
        <w:t xml:space="preserve">                                                 </w:t>
      </w:r>
      <w:r>
        <w:rPr>
          <w:rFonts w:hint="eastAsia" w:ascii="宋体" w:hAnsi="宋体" w:cs="宋体"/>
          <w:color w:val="000000"/>
          <w:szCs w:val="21"/>
          <w:highlight w:val="none"/>
        </w:rPr>
        <w:t>身份证：</w:t>
      </w:r>
    </w:p>
    <w:p>
      <w:pPr>
        <w:spacing w:line="440" w:lineRule="exact"/>
        <w:rPr>
          <w:rFonts w:ascii="宋体" w:cs="宋体"/>
          <w:color w:val="000000"/>
          <w:szCs w:val="21"/>
          <w:highlight w:val="none"/>
        </w:rPr>
      </w:pPr>
      <w:r>
        <w:rPr>
          <w:rFonts w:hint="eastAsia" w:ascii="宋体" w:hAnsi="宋体" w:cs="宋体"/>
          <w:color w:val="000000"/>
          <w:szCs w:val="21"/>
          <w:highlight w:val="none"/>
        </w:rPr>
        <w:t>电话：</w:t>
      </w:r>
      <w:r>
        <w:rPr>
          <w:rFonts w:ascii="宋体" w:hAnsi="宋体" w:cs="宋体"/>
          <w:color w:val="000000"/>
          <w:szCs w:val="21"/>
          <w:highlight w:val="none"/>
        </w:rPr>
        <w:t xml:space="preserve">                                                 </w:t>
      </w:r>
      <w:r>
        <w:rPr>
          <w:rFonts w:hint="eastAsia" w:ascii="宋体" w:hAnsi="宋体" w:cs="宋体"/>
          <w:color w:val="000000"/>
          <w:szCs w:val="21"/>
          <w:highlight w:val="none"/>
        </w:rPr>
        <w:t>电话：</w:t>
      </w:r>
    </w:p>
    <w:p>
      <w:pPr>
        <w:spacing w:line="440" w:lineRule="exact"/>
        <w:rPr>
          <w:rFonts w:ascii="宋体" w:cs="宋体"/>
          <w:color w:val="000000"/>
          <w:szCs w:val="21"/>
          <w:highlight w:val="none"/>
        </w:rPr>
      </w:pPr>
    </w:p>
    <w:p>
      <w:pPr>
        <w:spacing w:line="440" w:lineRule="exact"/>
        <w:rPr>
          <w:rFonts w:ascii="宋体" w:cs="宋体"/>
          <w:color w:val="000000"/>
          <w:szCs w:val="21"/>
          <w:highlight w:val="none"/>
        </w:rPr>
      </w:pPr>
    </w:p>
    <w:p>
      <w:pPr>
        <w:wordWrap w:val="0"/>
        <w:ind w:firstLine="420" w:firstLineChars="200"/>
        <w:jc w:val="right"/>
        <w:rPr>
          <w:rFonts w:ascii="宋体" w:cs="宋体"/>
          <w:b/>
          <w:bCs/>
          <w:sz w:val="36"/>
          <w:szCs w:val="36"/>
          <w:highlight w:val="none"/>
        </w:rPr>
      </w:pPr>
      <w:r>
        <w:rPr>
          <w:rFonts w:hint="eastAsia" w:ascii="宋体" w:hAnsi="宋体" w:cs="宋体"/>
          <w:color w:val="000000"/>
          <w:szCs w:val="21"/>
          <w:highlight w:val="none"/>
        </w:rPr>
        <w:t>合同签订日期：</w:t>
      </w:r>
      <w:r>
        <w:rPr>
          <w:rFonts w:ascii="宋体" w:hAnsi="宋体" w:cs="宋体"/>
          <w:color w:val="000000"/>
          <w:szCs w:val="21"/>
          <w:highlight w:val="none"/>
        </w:rPr>
        <w:t>202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w:t>
      </w:r>
      <w:r>
        <w:rPr>
          <w:rFonts w:ascii="宋体" w:hAnsi="宋体" w:cs="宋体"/>
          <w:color w:val="000000"/>
          <w:szCs w:val="21"/>
          <w:highlight w:val="none"/>
        </w:rPr>
        <w:t xml:space="preserve">   </w:t>
      </w:r>
      <w:r>
        <w:rPr>
          <w:rFonts w:hint="eastAsia" w:ascii="宋体" w:hAnsi="宋体" w:cs="宋体"/>
          <w:color w:val="000000"/>
          <w:szCs w:val="21"/>
          <w:highlight w:val="none"/>
        </w:rPr>
        <w:t>月</w:t>
      </w:r>
      <w:r>
        <w:rPr>
          <w:rFonts w:ascii="宋体" w:hAnsi="宋体" w:cs="宋体"/>
          <w:color w:val="000000"/>
          <w:szCs w:val="21"/>
          <w:highlight w:val="none"/>
        </w:rPr>
        <w:t xml:space="preserve">   </w:t>
      </w:r>
      <w:r>
        <w:rPr>
          <w:rFonts w:hint="eastAsia" w:ascii="宋体" w:hAnsi="宋体" w:cs="宋体"/>
          <w:color w:val="000000"/>
          <w:szCs w:val="21"/>
          <w:highlight w:val="none"/>
        </w:rPr>
        <w:t>日</w:t>
      </w:r>
    </w:p>
    <w:p>
      <w:pPr>
        <w:ind w:left="0" w:leftChars="0" w:firstLine="0" w:firstLineChars="0"/>
        <w:jc w:val="center"/>
        <w:rPr>
          <w:rFonts w:ascii="宋体"/>
          <w:b/>
          <w:bCs/>
          <w:sz w:val="36"/>
          <w:szCs w:val="36"/>
          <w:highlight w:val="none"/>
        </w:rPr>
      </w:pPr>
      <w:r>
        <w:rPr>
          <w:rFonts w:ascii="宋体" w:cs="宋体"/>
          <w:b/>
          <w:bCs/>
          <w:sz w:val="36"/>
          <w:szCs w:val="36"/>
          <w:highlight w:val="none"/>
        </w:rPr>
        <w:br w:type="page"/>
      </w:r>
      <w:r>
        <w:rPr>
          <w:rFonts w:hint="eastAsia" w:ascii="宋体" w:hAnsi="宋体" w:cs="宋体"/>
          <w:b/>
          <w:bCs/>
          <w:sz w:val="36"/>
          <w:szCs w:val="36"/>
          <w:highlight w:val="none"/>
        </w:rPr>
        <w:t>成交确认书（样本）</w:t>
      </w:r>
      <w:bookmarkStart w:id="4" w:name="成交确认书"/>
      <w:bookmarkEnd w:id="4"/>
    </w:p>
    <w:p>
      <w:pPr>
        <w:ind w:firstLine="420" w:firstLineChars="200"/>
        <w:jc w:val="left"/>
        <w:rPr>
          <w:rFonts w:ascii="宋体" w:cs="宋体"/>
          <w:color w:val="000000"/>
          <w:highlight w:val="none"/>
        </w:rPr>
      </w:pPr>
      <w:r>
        <w:rPr>
          <w:rFonts w:hint="eastAsia" w:ascii="宋体" w:hAnsi="宋体" w:cs="Tahoma"/>
          <w:color w:val="000000"/>
          <w:kern w:val="0"/>
          <w:szCs w:val="21"/>
          <w:highlight w:val="none"/>
          <w:lang w:eastAsia="zh-CN"/>
        </w:rPr>
        <w:t>于2024年6月13日10:00至2024年6月14日10:00止</w:t>
      </w:r>
      <w:r>
        <w:rPr>
          <w:rFonts w:hint="eastAsia" w:ascii="宋体" w:hAnsi="宋体" w:cs="Tahoma"/>
          <w:color w:val="000000"/>
          <w:kern w:val="0"/>
          <w:szCs w:val="21"/>
          <w:highlight w:val="none"/>
        </w:rPr>
        <w:t>（延时除外）</w:t>
      </w:r>
      <w:r>
        <w:rPr>
          <w:rFonts w:hint="eastAsia" w:ascii="宋体" w:hAnsi="宋体" w:cs="宋体"/>
          <w:highlight w:val="none"/>
        </w:rPr>
        <w:t>在淘宝资产处置</w:t>
      </w:r>
      <w:r>
        <w:rPr>
          <w:rFonts w:hint="eastAsia" w:ascii="宋体" w:hAnsi="宋体" w:cs="宋体"/>
          <w:color w:val="000000"/>
          <w:highlight w:val="none"/>
        </w:rPr>
        <w:t>网络平台进行的</w:t>
      </w:r>
      <w:r>
        <w:rPr>
          <w:rFonts w:hint="eastAsia" w:ascii="宋体" w:hAnsi="宋体" w:cs="宋体"/>
          <w:bCs/>
          <w:szCs w:val="21"/>
          <w:highlight w:val="none"/>
          <w:u w:val="single"/>
          <w:lang w:eastAsia="zh-CN"/>
        </w:rPr>
        <w:t>柳市镇里隆村货运码头三年租赁权</w:t>
      </w:r>
      <w:r>
        <w:rPr>
          <w:rFonts w:hint="eastAsia" w:ascii="宋体" w:hAnsi="宋体" w:cs="宋体"/>
          <w:color w:val="000000"/>
          <w:highlight w:val="none"/>
        </w:rPr>
        <w:t>竞价活动中，最终由</w:t>
      </w:r>
      <w:r>
        <w:rPr>
          <w:rFonts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lang w:eastAsia="zh-CN"/>
        </w:rPr>
        <w:t xml:space="preserve">（竞买号牌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lang w:eastAsia="zh-CN"/>
        </w:rPr>
        <w:t xml:space="preserve"> #）</w:t>
      </w:r>
      <w:r>
        <w:rPr>
          <w:rFonts w:ascii="宋体" w:hAnsi="宋体" w:cs="宋体"/>
          <w:color w:val="000000"/>
          <w:highlight w:val="none"/>
          <w:u w:val="single"/>
        </w:rPr>
        <w:t xml:space="preserve"> </w:t>
      </w:r>
      <w:r>
        <w:rPr>
          <w:rFonts w:hint="eastAsia" w:ascii="宋体" w:hAnsi="宋体" w:cs="宋体"/>
          <w:color w:val="000000"/>
          <w:highlight w:val="none"/>
        </w:rPr>
        <w:t>以首年成交租金人民币</w:t>
      </w:r>
      <w:r>
        <w:rPr>
          <w:rFonts w:ascii="宋体" w:hAnsi="宋体" w:cs="宋体"/>
          <w:color w:val="000000"/>
          <w:highlight w:val="none"/>
          <w:u w:val="single"/>
        </w:rPr>
        <w:t xml:space="preserve">           </w:t>
      </w:r>
      <w:r>
        <w:rPr>
          <w:rFonts w:hint="eastAsia" w:ascii="宋体" w:hAnsi="宋体" w:cs="宋体"/>
          <w:color w:val="000000"/>
          <w:highlight w:val="none"/>
        </w:rPr>
        <w:t>万元（大写：</w:t>
      </w:r>
      <w:r>
        <w:rPr>
          <w:rFonts w:ascii="宋体" w:hAnsi="宋体" w:cs="宋体"/>
          <w:color w:val="000000"/>
          <w:highlight w:val="none"/>
          <w:u w:val="single"/>
        </w:rPr>
        <w:t xml:space="preserve">             </w:t>
      </w:r>
      <w:r>
        <w:rPr>
          <w:rFonts w:hint="eastAsia" w:ascii="宋体" w:hAnsi="宋体" w:cs="宋体"/>
          <w:color w:val="000000"/>
          <w:highlight w:val="none"/>
        </w:rPr>
        <w:t>）竞得。</w:t>
      </w:r>
    </w:p>
    <w:p>
      <w:pPr>
        <w:ind w:firstLine="422" w:firstLineChars="200"/>
        <w:rPr>
          <w:rFonts w:ascii="宋体" w:cs="宋体"/>
          <w:b/>
          <w:bCs/>
          <w:color w:val="000000"/>
          <w:highlight w:val="none"/>
        </w:rPr>
      </w:pPr>
      <w:r>
        <w:rPr>
          <w:rFonts w:hint="eastAsia" w:ascii="宋体" w:hAnsi="宋体" w:cs="宋体"/>
          <w:b/>
          <w:bCs/>
          <w:color w:val="000000"/>
          <w:highlight w:val="none"/>
        </w:rPr>
        <w:t>成交租金支付方式：标的三年总成交租金分三期支付，租金按年支付，每年租金相同，一年一付，先付后用。首年租金（扣除竞买保证金后的余款）和履约保证金在成交后</w:t>
      </w:r>
      <w:r>
        <w:rPr>
          <w:rFonts w:ascii="宋体" w:hAnsi="宋体" w:cs="宋体"/>
          <w:b/>
          <w:bCs/>
          <w:color w:val="000000"/>
          <w:highlight w:val="none"/>
        </w:rPr>
        <w:t>3</w:t>
      </w:r>
      <w:r>
        <w:rPr>
          <w:rFonts w:hint="eastAsia" w:ascii="宋体" w:hAnsi="宋体" w:cs="宋体"/>
          <w:b/>
          <w:bCs/>
          <w:color w:val="000000"/>
          <w:highlight w:val="none"/>
        </w:rPr>
        <w:t>个工作日内以转账的方式缴入乐清市公共资源交易中心投标保证金专户，从第二期起，每期租金应于上一年租期到期前</w:t>
      </w:r>
      <w:r>
        <w:rPr>
          <w:rFonts w:ascii="宋体" w:hAnsi="宋体" w:cs="宋体"/>
          <w:b/>
          <w:bCs/>
          <w:color w:val="000000"/>
          <w:highlight w:val="none"/>
        </w:rPr>
        <w:t>30</w:t>
      </w:r>
      <w:r>
        <w:rPr>
          <w:rFonts w:hint="eastAsia" w:ascii="宋体" w:hAnsi="宋体" w:cs="宋体"/>
          <w:b/>
          <w:bCs/>
          <w:color w:val="000000"/>
          <w:highlight w:val="none"/>
        </w:rPr>
        <w:t>日支付给委托人。</w:t>
      </w:r>
    </w:p>
    <w:p>
      <w:pPr>
        <w:ind w:firstLine="420" w:firstLineChars="200"/>
        <w:rPr>
          <w:rFonts w:ascii="宋体"/>
          <w:highlight w:val="none"/>
        </w:rPr>
      </w:pPr>
      <w:r>
        <w:rPr>
          <w:rFonts w:hint="eastAsia" w:ascii="宋体" w:hAnsi="宋体" w:cs="宋体"/>
          <w:highlight w:val="none"/>
        </w:rPr>
        <w:t>依照《中华人民共和国民法典》及有关法律、法规之规定，双方同意签订成交确认书：</w:t>
      </w:r>
    </w:p>
    <w:p>
      <w:pPr>
        <w:ind w:firstLine="404" w:firstLineChars="200"/>
        <w:rPr>
          <w:rFonts w:ascii="宋体"/>
          <w:spacing w:val="-4"/>
          <w:highlight w:val="none"/>
        </w:rPr>
      </w:pPr>
      <w:r>
        <w:rPr>
          <w:rFonts w:hint="eastAsia" w:ascii="宋体" w:hAnsi="宋体" w:cs="宋体"/>
          <w:spacing w:val="-4"/>
          <w:highlight w:val="none"/>
        </w:rPr>
        <w:t>一、本确认书之竞得人应视作已行使查阅有关标的物资料的权利，并已现场勘察了标的物的具体状况，认可并接受标的物的现状和一切已知及未知的瑕疵。</w:t>
      </w:r>
    </w:p>
    <w:p>
      <w:pPr>
        <w:ind w:firstLine="420" w:firstLineChars="200"/>
        <w:rPr>
          <w:rFonts w:ascii="宋体" w:cs="宋体"/>
          <w:highlight w:val="none"/>
        </w:rPr>
      </w:pPr>
      <w:r>
        <w:rPr>
          <w:rFonts w:hint="eastAsia" w:ascii="宋体" w:hAnsi="宋体" w:cs="宋体"/>
          <w:highlight w:val="none"/>
        </w:rPr>
        <w:t>二、竞价成交后，竞得人于成交后</w:t>
      </w:r>
      <w:r>
        <w:rPr>
          <w:rFonts w:ascii="宋体" w:hAnsi="宋体" w:cs="宋体"/>
          <w:b/>
          <w:bCs/>
          <w:highlight w:val="none"/>
        </w:rPr>
        <w:t>1</w:t>
      </w:r>
      <w:r>
        <w:rPr>
          <w:rFonts w:hint="eastAsia" w:ascii="宋体" w:hAnsi="宋体" w:cs="宋体"/>
          <w:b/>
          <w:bCs/>
          <w:highlight w:val="none"/>
        </w:rPr>
        <w:t>个工作日内</w:t>
      </w:r>
      <w:r>
        <w:rPr>
          <w:rFonts w:hint="eastAsia" w:ascii="宋体" w:hAnsi="宋体" w:cs="宋体"/>
          <w:highlight w:val="none"/>
        </w:rPr>
        <w:t>凭保证金付款凭证及相关身份证明到温州市嘉诚拍卖有限公司签署《成交确认书》</w:t>
      </w:r>
      <w:r>
        <w:rPr>
          <w:rFonts w:hint="eastAsia" w:ascii="宋体" w:hAnsi="宋体" w:cs="宋体"/>
          <w:color w:val="000000"/>
          <w:szCs w:val="21"/>
          <w:highlight w:val="none"/>
        </w:rPr>
        <w:t>、《租赁合同》、《消防安全责任书》等</w:t>
      </w:r>
      <w:r>
        <w:rPr>
          <w:rFonts w:hint="eastAsia" w:ascii="宋体" w:hAnsi="宋体" w:cs="宋体"/>
          <w:highlight w:val="none"/>
        </w:rPr>
        <w:t>。竞得人须在竞价成交后</w:t>
      </w:r>
      <w:r>
        <w:rPr>
          <w:rFonts w:ascii="宋体" w:hAnsi="宋体" w:cs="宋体"/>
          <w:b/>
          <w:bCs/>
          <w:highlight w:val="none"/>
        </w:rPr>
        <w:t>3</w:t>
      </w:r>
      <w:r>
        <w:rPr>
          <w:rFonts w:hint="eastAsia" w:ascii="宋体" w:hAnsi="宋体" w:cs="宋体"/>
          <w:b/>
          <w:bCs/>
          <w:highlight w:val="none"/>
        </w:rPr>
        <w:t>个工作日内</w:t>
      </w:r>
      <w:r>
        <w:rPr>
          <w:rFonts w:hint="eastAsia" w:ascii="宋体" w:hAnsi="宋体" w:cs="宋体"/>
          <w:highlight w:val="none"/>
        </w:rPr>
        <w:t>以转账的方式向乐清市公共资源交易中心缴清首年成交租金（扣除竞买保证金后的余款）和履约保证金等款项，同时将温州市嘉诚拍卖有限公司收取的竞价服务费缴入温州市嘉诚拍卖有限公司指定账户，并向淘宝平台支付规定的淘宝平台软件服务费。竞得人在竞价成交后</w:t>
      </w:r>
      <w:r>
        <w:rPr>
          <w:rFonts w:ascii="宋体" w:hAnsi="宋体" w:cs="宋体"/>
          <w:b/>
          <w:bCs/>
          <w:highlight w:val="none"/>
        </w:rPr>
        <w:t>5</w:t>
      </w:r>
      <w:r>
        <w:rPr>
          <w:rFonts w:hint="eastAsia" w:ascii="宋体" w:hAnsi="宋体" w:cs="宋体"/>
          <w:b/>
          <w:bCs/>
          <w:highlight w:val="none"/>
        </w:rPr>
        <w:t>个工作日内</w:t>
      </w:r>
      <w:r>
        <w:rPr>
          <w:rFonts w:hint="eastAsia" w:ascii="宋体" w:hAnsi="宋体" w:cs="宋体"/>
          <w:highlight w:val="none"/>
        </w:rPr>
        <w:t>，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ind w:firstLine="420" w:firstLineChars="200"/>
        <w:rPr>
          <w:rFonts w:ascii="宋体" w:cs="宋体"/>
          <w:highlight w:val="none"/>
        </w:rPr>
      </w:pPr>
      <w:r>
        <w:rPr>
          <w:rFonts w:hint="eastAsia" w:ascii="宋体" w:hAnsi="宋体" w:cs="宋体"/>
          <w:highlight w:val="none"/>
        </w:rPr>
        <w:t>竞价成交后，竞得人逾期不签订《成交确认书》、《租赁合同》、《消防安全责任书》等，或逾期不履行本《成交确认书》约定的支付竞价成交价款、竞价服务费</w:t>
      </w:r>
      <w:r>
        <w:rPr>
          <w:rFonts w:hint="eastAsia" w:ascii="宋体" w:hAnsi="宋体" w:cs="宋体"/>
          <w:highlight w:val="none"/>
          <w:lang w:eastAsia="zh-CN"/>
        </w:rPr>
        <w:t>、</w:t>
      </w:r>
      <w:r>
        <w:rPr>
          <w:rFonts w:hint="eastAsia" w:ascii="宋体" w:hAnsi="宋体" w:cs="宋体"/>
          <w:highlight w:val="none"/>
        </w:rPr>
        <w:t>淘宝平台软件服务费</w:t>
      </w:r>
      <w:r>
        <w:rPr>
          <w:rFonts w:hint="eastAsia" w:ascii="宋体" w:hAnsi="宋体" w:cs="宋体"/>
          <w:highlight w:val="none"/>
          <w:lang w:eastAsia="zh-CN"/>
        </w:rPr>
        <w:t>及其他约定费用</w:t>
      </w:r>
      <w:r>
        <w:rPr>
          <w:rFonts w:hint="eastAsia" w:ascii="宋体" w:hAnsi="宋体" w:cs="宋体"/>
          <w:highlight w:val="none"/>
        </w:rPr>
        <w:t>等义务的视为违约，应承担违约责任，除竞得人的竞买保证金不予退还外，还应赔偿由此造成的经济损失。标的征得委托人同意后再行竞价，原竞得人应当支付第一次竞价中应当支付的竞价服务费，再行竞价的总成交价款低于原竞价总成交价款的，原竞得人应当补足差额。</w:t>
      </w:r>
    </w:p>
    <w:p>
      <w:pPr>
        <w:ind w:firstLine="420" w:firstLineChars="200"/>
        <w:rPr>
          <w:rFonts w:ascii="宋体" w:cs="宋体"/>
          <w:highlight w:val="none"/>
        </w:rPr>
      </w:pPr>
      <w:r>
        <w:rPr>
          <w:rFonts w:hint="eastAsia" w:ascii="宋体" w:hAnsi="宋体" w:cs="宋体"/>
          <w:highlight w:val="none"/>
        </w:rPr>
        <w:t>三、其他一切相关事宜均按照《竞价公告》及《竞价须知》约定的条款履行。</w:t>
      </w:r>
      <w:r>
        <w:rPr>
          <w:rFonts w:ascii="宋体" w:cs="宋体"/>
          <w:highlight w:val="none"/>
        </w:rPr>
        <w:tab/>
      </w:r>
    </w:p>
    <w:p>
      <w:pPr>
        <w:ind w:firstLine="420" w:firstLineChars="200"/>
        <w:rPr>
          <w:rFonts w:ascii="宋体" w:cs="宋体"/>
          <w:highlight w:val="none"/>
        </w:rPr>
      </w:pPr>
      <w:r>
        <w:rPr>
          <w:rFonts w:hint="eastAsia" w:ascii="宋体" w:hAnsi="宋体" w:cs="宋体"/>
          <w:highlight w:val="none"/>
        </w:rPr>
        <w:t>四、本《成交确认书》履行过程中发生纠纷时，由委托人与竞得人双方协商解决，协商不成时，依法向当地人民法院起诉解决。</w:t>
      </w:r>
    </w:p>
    <w:p>
      <w:pPr>
        <w:ind w:firstLine="420" w:firstLineChars="200"/>
        <w:rPr>
          <w:rFonts w:ascii="宋体" w:cs="宋体"/>
          <w:highlight w:val="none"/>
        </w:rPr>
      </w:pPr>
      <w:r>
        <w:rPr>
          <w:rFonts w:hint="eastAsia" w:ascii="宋体" w:hAnsi="宋体" w:cs="宋体"/>
          <w:highlight w:val="none"/>
        </w:rPr>
        <w:t>本《成交确认书》一式贰份，温州市嘉诚拍卖有限公司执壹份，相关部门备案壹份，均具同等法律效力。</w:t>
      </w:r>
    </w:p>
    <w:p>
      <w:pPr>
        <w:ind w:firstLine="420" w:firstLineChars="200"/>
        <w:rPr>
          <w:rFonts w:ascii="宋体" w:cs="宋体"/>
          <w:highlight w:val="none"/>
        </w:rPr>
      </w:pPr>
      <w:r>
        <w:rPr>
          <w:rFonts w:hint="eastAsia" w:ascii="宋体" w:hAnsi="宋体" w:cs="宋体"/>
          <w:highlight w:val="none"/>
        </w:rPr>
        <w:t>特此确认。</w:t>
      </w:r>
    </w:p>
    <w:p>
      <w:pPr>
        <w:spacing w:line="360" w:lineRule="auto"/>
        <w:rPr>
          <w:rFonts w:ascii="宋体" w:cs="宋体"/>
          <w:color w:val="000000"/>
          <w:highlight w:val="none"/>
        </w:rPr>
      </w:pPr>
    </w:p>
    <w:p>
      <w:pPr>
        <w:spacing w:line="360" w:lineRule="auto"/>
        <w:rPr>
          <w:rFonts w:ascii="宋体"/>
          <w:color w:val="000000"/>
          <w:highlight w:val="none"/>
        </w:rPr>
      </w:pPr>
      <w:r>
        <w:rPr>
          <w:rFonts w:hint="eastAsia" w:ascii="宋体" w:hAnsi="宋体" w:cs="宋体"/>
          <w:color w:val="000000"/>
          <w:highlight w:val="none"/>
        </w:rPr>
        <w:t>委托人：</w:t>
      </w:r>
      <w:r>
        <w:rPr>
          <w:rFonts w:hint="eastAsia" w:ascii="宋体" w:hAnsi="宋体" w:cs="Tahoma"/>
          <w:color w:val="000000"/>
          <w:kern w:val="0"/>
          <w:szCs w:val="21"/>
          <w:highlight w:val="none"/>
          <w:u w:val="single"/>
          <w:lang w:eastAsia="zh-CN"/>
        </w:rPr>
        <w:t>乐清市柳市镇里隆村股份经济合作社</w:t>
      </w:r>
      <w:r>
        <w:rPr>
          <w:rFonts w:hint="eastAsia" w:ascii="宋体" w:hAnsi="宋体" w:cs="宋体"/>
          <w:color w:val="000000"/>
          <w:highlight w:val="none"/>
        </w:rPr>
        <w:t>（加盖公章）</w:t>
      </w:r>
    </w:p>
    <w:p>
      <w:pPr>
        <w:spacing w:line="360" w:lineRule="auto"/>
        <w:rPr>
          <w:rFonts w:ascii="宋体"/>
          <w:color w:val="000000"/>
          <w:highlight w:val="none"/>
          <w:u w:val="single"/>
        </w:rPr>
      </w:pPr>
      <w:r>
        <w:rPr>
          <w:rFonts w:hint="eastAsia" w:ascii="宋体" w:hAnsi="宋体" w:cs="宋体"/>
          <w:color w:val="000000"/>
          <w:highlight w:val="none"/>
        </w:rPr>
        <w:t>代表人：</w:t>
      </w:r>
      <w:r>
        <w:rPr>
          <w:rFonts w:ascii="宋体" w:hAnsi="宋体" w:cs="宋体"/>
          <w:color w:val="000000"/>
          <w:highlight w:val="none"/>
          <w:u w:val="single"/>
        </w:rPr>
        <w:t xml:space="preserve">                                </w:t>
      </w:r>
    </w:p>
    <w:p>
      <w:pPr>
        <w:spacing w:line="360" w:lineRule="auto"/>
        <w:rPr>
          <w:rFonts w:ascii="宋体"/>
          <w:color w:val="000000"/>
          <w:highlight w:val="none"/>
        </w:rPr>
      </w:pPr>
    </w:p>
    <w:p>
      <w:pPr>
        <w:spacing w:line="360" w:lineRule="auto"/>
        <w:rPr>
          <w:rFonts w:ascii="宋体" w:cs="宋体"/>
          <w:color w:val="000000"/>
          <w:highlight w:val="none"/>
          <w:u w:val="single"/>
        </w:rPr>
      </w:pPr>
      <w:r>
        <w:rPr>
          <w:rFonts w:hint="eastAsia" w:ascii="宋体" w:hAnsi="宋体" w:cs="宋体"/>
          <w:color w:val="000000"/>
          <w:highlight w:val="none"/>
        </w:rPr>
        <w:t>竞得人：</w:t>
      </w:r>
      <w:r>
        <w:rPr>
          <w:rFonts w:ascii="宋体" w:hAnsi="宋体" w:cs="宋体"/>
          <w:color w:val="000000"/>
          <w:highlight w:val="none"/>
          <w:u w:val="single"/>
        </w:rPr>
        <w:t xml:space="preserve">                                </w:t>
      </w:r>
      <w:r>
        <w:rPr>
          <w:rFonts w:hint="eastAsia" w:ascii="宋体" w:hAnsi="宋体" w:cs="宋体"/>
          <w:color w:val="000000"/>
          <w:highlight w:val="none"/>
        </w:rPr>
        <w:t>（签章）</w:t>
      </w:r>
    </w:p>
    <w:p>
      <w:pPr>
        <w:spacing w:line="360" w:lineRule="auto"/>
        <w:rPr>
          <w:rFonts w:ascii="宋体" w:cs="宋体"/>
          <w:color w:val="000000"/>
          <w:highlight w:val="none"/>
        </w:rPr>
      </w:pPr>
    </w:p>
    <w:p>
      <w:pPr>
        <w:spacing w:line="360" w:lineRule="auto"/>
        <w:rPr>
          <w:rFonts w:ascii="宋体" w:cs="宋体"/>
          <w:color w:val="000000"/>
          <w:highlight w:val="none"/>
          <w:u w:val="single"/>
        </w:rPr>
      </w:pPr>
      <w:r>
        <w:rPr>
          <w:rFonts w:hint="eastAsia" w:ascii="宋体" w:hAnsi="宋体" w:cs="宋体"/>
          <w:color w:val="000000"/>
          <w:highlight w:val="none"/>
        </w:rPr>
        <w:t>受托人：温州市嘉诚拍卖有限公司</w:t>
      </w:r>
    </w:p>
    <w:p>
      <w:pPr>
        <w:spacing w:line="360" w:lineRule="auto"/>
        <w:jc w:val="right"/>
        <w:rPr>
          <w:rFonts w:ascii="宋体"/>
          <w:b/>
          <w:bCs/>
          <w:color w:val="000000"/>
          <w:sz w:val="32"/>
          <w:szCs w:val="32"/>
          <w:highlight w:val="none"/>
        </w:rPr>
      </w:pPr>
      <w:r>
        <w:rPr>
          <w:rFonts w:ascii="宋体" w:hAnsi="宋体" w:cs="宋体"/>
          <w:color w:val="000000"/>
          <w:highlight w:val="none"/>
        </w:rPr>
        <w:t>202</w:t>
      </w:r>
      <w:r>
        <w:rPr>
          <w:rFonts w:hint="eastAsia" w:ascii="宋体" w:hAnsi="宋体" w:cs="宋体"/>
          <w:color w:val="000000"/>
          <w:highlight w:val="none"/>
          <w:lang w:val="en-US" w:eastAsia="zh-CN"/>
        </w:rPr>
        <w:t>4</w:t>
      </w:r>
      <w:r>
        <w:rPr>
          <w:rFonts w:hint="eastAsia" w:ascii="宋体" w:hAnsi="宋体" w:cs="宋体"/>
          <w:color w:val="000000"/>
          <w:highlight w:val="none"/>
        </w:rPr>
        <w:t>年</w:t>
      </w:r>
      <w:r>
        <w:rPr>
          <w:rFonts w:ascii="宋体" w:hAnsi="宋体" w:cs="宋体"/>
          <w:color w:val="000000"/>
          <w:highlight w:val="none"/>
        </w:rPr>
        <w:t xml:space="preserve">  </w:t>
      </w:r>
      <w:r>
        <w:rPr>
          <w:rFonts w:hint="eastAsia" w:ascii="宋体" w:hAnsi="宋体" w:cs="宋体"/>
          <w:color w:val="000000"/>
          <w:highlight w:val="none"/>
        </w:rPr>
        <w:t>月</w:t>
      </w:r>
      <w:r>
        <w:rPr>
          <w:rFonts w:ascii="宋体" w:hAnsi="宋体" w:cs="宋体"/>
          <w:color w:val="000000"/>
          <w:highlight w:val="none"/>
        </w:rPr>
        <w:t xml:space="preserve">  </w:t>
      </w:r>
      <w:r>
        <w:rPr>
          <w:rFonts w:hint="eastAsia" w:ascii="宋体" w:hAnsi="宋体" w:cs="宋体"/>
          <w:color w:val="000000"/>
          <w:highlight w:val="none"/>
        </w:rPr>
        <w:t>日</w:t>
      </w:r>
    </w:p>
    <w:p>
      <w:pPr>
        <w:tabs>
          <w:tab w:val="left" w:pos="195"/>
          <w:tab w:val="center" w:pos="4503"/>
        </w:tabs>
        <w:spacing w:afterLines="100" w:line="520" w:lineRule="exact"/>
        <w:ind w:right="-687" w:rightChars="-327"/>
        <w:jc w:val="center"/>
        <w:rPr>
          <w:rFonts w:ascii="宋体"/>
          <w:b/>
          <w:bCs/>
          <w:color w:val="000000"/>
          <w:sz w:val="32"/>
          <w:szCs w:val="32"/>
          <w:highlight w:val="none"/>
        </w:rPr>
      </w:pPr>
      <w:r>
        <w:rPr>
          <w:rFonts w:hint="eastAsia" w:ascii="宋体" w:hAnsi="宋体"/>
          <w:b/>
          <w:bCs/>
          <w:color w:val="000000"/>
          <w:sz w:val="32"/>
          <w:szCs w:val="32"/>
          <w:highlight w:val="none"/>
        </w:rPr>
        <w:t>消防安全责任协议书</w:t>
      </w:r>
      <w:bookmarkStart w:id="5" w:name="消防"/>
      <w:bookmarkEnd w:id="5"/>
      <w:r>
        <w:rPr>
          <w:rFonts w:hint="eastAsia" w:ascii="宋体" w:hAnsi="宋体"/>
          <w:b/>
          <w:bCs/>
          <w:color w:val="000000"/>
          <w:sz w:val="32"/>
          <w:szCs w:val="32"/>
          <w:highlight w:val="none"/>
        </w:rPr>
        <w:t>（样本）</w:t>
      </w:r>
    </w:p>
    <w:p>
      <w:pPr>
        <w:spacing w:line="520" w:lineRule="exact"/>
        <w:ind w:right="359" w:rightChars="171"/>
        <w:rPr>
          <w:rFonts w:hint="eastAsia" w:ascii="宋体" w:eastAsia="宋体"/>
          <w:b/>
          <w:color w:val="000000"/>
          <w:szCs w:val="21"/>
          <w:highlight w:val="none"/>
          <w:u w:val="single"/>
          <w:lang w:eastAsia="zh-CN"/>
        </w:rPr>
      </w:pPr>
      <w:r>
        <w:rPr>
          <w:rFonts w:hint="eastAsia" w:ascii="宋体" w:hAnsi="宋体"/>
          <w:b/>
          <w:color w:val="000000"/>
          <w:szCs w:val="21"/>
          <w:highlight w:val="none"/>
        </w:rPr>
        <w:t>出租方（以下简称甲方）：</w:t>
      </w:r>
      <w:r>
        <w:rPr>
          <w:rFonts w:hint="eastAsia" w:ascii="宋体" w:hAnsi="宋体" w:cs="Tahoma"/>
          <w:b/>
          <w:color w:val="000000"/>
          <w:kern w:val="0"/>
          <w:szCs w:val="21"/>
          <w:highlight w:val="none"/>
          <w:u w:val="single"/>
          <w:lang w:eastAsia="zh-CN"/>
        </w:rPr>
        <w:t>乐清市柳市镇里隆村股份经济合作社</w:t>
      </w:r>
    </w:p>
    <w:p>
      <w:pPr>
        <w:spacing w:afterLines="50" w:line="520" w:lineRule="exact"/>
        <w:ind w:right="359" w:rightChars="171"/>
        <w:rPr>
          <w:rFonts w:ascii="宋体"/>
          <w:b/>
          <w:color w:val="000000"/>
          <w:szCs w:val="21"/>
          <w:highlight w:val="none"/>
          <w:u w:val="single"/>
        </w:rPr>
      </w:pPr>
      <w:r>
        <w:rPr>
          <w:rFonts w:hint="eastAsia" w:ascii="宋体" w:hAnsi="宋体"/>
          <w:b/>
          <w:color w:val="000000"/>
          <w:szCs w:val="21"/>
          <w:highlight w:val="none"/>
        </w:rPr>
        <w:t>承租方（以下简称乙方）：</w:t>
      </w:r>
      <w:r>
        <w:rPr>
          <w:rFonts w:ascii="宋体" w:hAnsi="宋体" w:cs="Tahoma"/>
          <w:b/>
          <w:color w:val="000000"/>
          <w:kern w:val="0"/>
          <w:szCs w:val="21"/>
          <w:highlight w:val="none"/>
          <w:u w:val="single"/>
        </w:rPr>
        <w:t xml:space="preserve">                                </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乙方经公开方式竞价取得</w:t>
      </w:r>
      <w:r>
        <w:rPr>
          <w:rFonts w:hint="eastAsia" w:ascii="宋体" w:hAnsi="宋体"/>
          <w:color w:val="000000"/>
          <w:szCs w:val="21"/>
          <w:highlight w:val="none"/>
          <w:lang w:eastAsia="zh-CN"/>
        </w:rPr>
        <w:t>柳市镇里隆村货运码头三年租赁权</w:t>
      </w:r>
      <w:r>
        <w:rPr>
          <w:rFonts w:hint="eastAsia" w:ascii="宋体" w:hAnsi="宋体"/>
          <w:color w:val="000000"/>
          <w:szCs w:val="21"/>
          <w:highlight w:val="none"/>
        </w:rPr>
        <w:t>。为明确双方责任，确保人员、财产安全，经双方协商同意，签订本协议：</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一、乙方必须严格遵守执行政府有关消防安全管理规定，切实抓好用火用电管理；</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二、乙方按有关规定配备消防灭火器材，完善消防设施；</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三、对有关部门检查发现的火灾隐患，乙方必须自行消除；</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四、甲方仅出租租赁物给乙方使用，如乙方因违反消防法规或操作程序等情况造成灾害事故，其后果由乙方自负，甲方概不负责；</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五、乙方在承租标的物内进行装修时，应严格遵守用火用电制度，不乱拉乱接电源线，禁止擅自更改燃气管线和消防设施；严格要求所有人员遵守国家消防法规的有关规定，自觉遵守有关的安全操作规程和制度，提高安全意识，不得在出入口、过道和消防疏散通道堆放杂物、停放车辆，保持消防通道畅通，切实消除火灾隐患，确保施工安全。</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六、本协议一式壹份，留存乐清市公共资源交易中心，自签订之日起生效。</w:t>
      </w:r>
    </w:p>
    <w:p>
      <w:pPr>
        <w:spacing w:line="560" w:lineRule="exact"/>
        <w:rPr>
          <w:rFonts w:ascii="宋体"/>
          <w:color w:val="000000"/>
          <w:szCs w:val="21"/>
          <w:highlight w:val="none"/>
        </w:rPr>
      </w:pP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甲方（盖章）：</w:t>
      </w:r>
      <w:r>
        <w:rPr>
          <w:rFonts w:ascii="宋体" w:hAnsi="宋体"/>
          <w:color w:val="000000"/>
          <w:szCs w:val="21"/>
          <w:highlight w:val="none"/>
        </w:rPr>
        <w:t xml:space="preserve">                        </w:t>
      </w:r>
      <w:r>
        <w:rPr>
          <w:rFonts w:hint="eastAsia" w:ascii="宋体" w:hAnsi="宋体"/>
          <w:color w:val="000000"/>
          <w:szCs w:val="21"/>
          <w:highlight w:val="none"/>
        </w:rPr>
        <w:t>乙方（签章）：</w:t>
      </w:r>
    </w:p>
    <w:p>
      <w:pPr>
        <w:spacing w:line="560" w:lineRule="exact"/>
        <w:rPr>
          <w:rFonts w:ascii="宋体"/>
          <w:color w:val="000000"/>
          <w:szCs w:val="21"/>
          <w:highlight w:val="none"/>
        </w:rPr>
      </w:pPr>
    </w:p>
    <w:p>
      <w:pPr>
        <w:spacing w:line="560" w:lineRule="exact"/>
        <w:jc w:val="right"/>
        <w:rPr>
          <w:rFonts w:ascii="宋体"/>
          <w:color w:val="000000"/>
          <w:szCs w:val="21"/>
          <w:highlight w:val="none"/>
        </w:rPr>
      </w:pPr>
    </w:p>
    <w:p>
      <w:pPr>
        <w:spacing w:line="560" w:lineRule="exact"/>
        <w:jc w:val="right"/>
        <w:rPr>
          <w:rFonts w:ascii="宋体"/>
          <w:color w:val="000000"/>
          <w:szCs w:val="21"/>
          <w:highlight w:val="none"/>
        </w:rPr>
      </w:pPr>
      <w:r>
        <w:rPr>
          <w:rFonts w:hint="eastAsia" w:ascii="宋体" w:hAnsi="宋体"/>
          <w:color w:val="000000"/>
          <w:szCs w:val="21"/>
          <w:highlight w:val="none"/>
        </w:rPr>
        <w:t>协议签订时间：</w:t>
      </w:r>
      <w:r>
        <w:rPr>
          <w:rFonts w:ascii="宋体" w:hAnsi="宋体"/>
          <w:color w:val="000000"/>
          <w:szCs w:val="21"/>
          <w:highlight w:val="none"/>
        </w:rPr>
        <w:t>202</w:t>
      </w:r>
      <w:r>
        <w:rPr>
          <w:rFonts w:hint="eastAsia" w:ascii="宋体" w:hAnsi="宋体"/>
          <w:color w:val="000000"/>
          <w:szCs w:val="21"/>
          <w:highlight w:val="none"/>
          <w:lang w:val="en-US" w:eastAsia="zh-CN"/>
        </w:rPr>
        <w:t>4</w:t>
      </w:r>
      <w:r>
        <w:rPr>
          <w:rFonts w:hint="eastAsia" w:ascii="宋体" w:hAnsi="宋体"/>
          <w:color w:val="000000"/>
          <w:szCs w:val="21"/>
          <w:highlight w:val="none"/>
        </w:rPr>
        <w:t>年</w:t>
      </w:r>
      <w:r>
        <w:rPr>
          <w:rFonts w:ascii="宋体" w:hAnsi="宋体"/>
          <w:color w:val="000000"/>
          <w:szCs w:val="21"/>
          <w:highlight w:val="none"/>
        </w:rPr>
        <w:t xml:space="preserve">  </w:t>
      </w:r>
      <w:r>
        <w:rPr>
          <w:rFonts w:hint="eastAsia" w:ascii="宋体" w:hAnsi="宋体"/>
          <w:color w:val="000000"/>
          <w:szCs w:val="21"/>
          <w:highlight w:val="none"/>
        </w:rPr>
        <w:t>月</w:t>
      </w:r>
      <w:r>
        <w:rPr>
          <w:rFonts w:ascii="宋体" w:hAnsi="宋体"/>
          <w:color w:val="000000"/>
          <w:szCs w:val="21"/>
          <w:highlight w:val="none"/>
        </w:rPr>
        <w:t xml:space="preserve">  </w:t>
      </w:r>
      <w:r>
        <w:rPr>
          <w:rFonts w:hint="eastAsia" w:ascii="宋体" w:hAnsi="宋体"/>
          <w:color w:val="000000"/>
          <w:szCs w:val="21"/>
          <w:highlight w:val="none"/>
        </w:rPr>
        <w:t>日</w:t>
      </w:r>
    </w:p>
    <w:p>
      <w:pPr>
        <w:spacing w:line="560" w:lineRule="exact"/>
        <w:jc w:val="right"/>
        <w:rPr>
          <w:rFonts w:ascii="宋体"/>
          <w:color w:val="000000"/>
          <w:szCs w:val="21"/>
          <w:highlight w:val="none"/>
        </w:rPr>
      </w:pPr>
    </w:p>
    <w:p>
      <w:pPr>
        <w:spacing w:line="560" w:lineRule="exact"/>
        <w:ind w:right="420" w:rightChars="200"/>
        <w:rPr>
          <w:rFonts w:ascii="宋体"/>
          <w:color w:val="000000"/>
          <w:szCs w:val="21"/>
          <w:highlight w:val="none"/>
        </w:rPr>
      </w:pPr>
    </w:p>
    <w:sectPr>
      <w:footerReference r:id="rId5" w:type="default"/>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960" w:firstLineChars="22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rPr>
                              <w:rFonts w:hint="eastAsia"/>
                            </w:rPr>
                            <w:t>第</w:t>
                          </w:r>
                          <w:r>
                            <w:fldChar w:fldCharType="begin"/>
                          </w:r>
                          <w:r>
                            <w:instrText xml:space="preserve"> PAGE  \* MERGEFORMAT </w:instrText>
                          </w:r>
                          <w:r>
                            <w:fldChar w:fldCharType="separate"/>
                          </w:r>
                          <w:r>
                            <w:t>5</w:t>
                          </w:r>
                          <w:r>
                            <w:fldChar w:fldCharType="end"/>
                          </w:r>
                          <w:r>
                            <w:rPr>
                              <w:rFonts w:hint="eastAsia"/>
                            </w:rPr>
                            <w:t>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pPr>
                      <w:pStyle w:val="4"/>
                    </w:pPr>
                    <w:r>
                      <w:rPr>
                        <w:rFonts w:hint="eastAsia"/>
                      </w:rPr>
                      <w:t>第</w:t>
                    </w:r>
                    <w:r>
                      <w:fldChar w:fldCharType="begin"/>
                    </w:r>
                    <w:r>
                      <w:instrText xml:space="preserve"> PAGE  \* MERGEFORMAT </w:instrText>
                    </w:r>
                    <w:r>
                      <w:fldChar w:fldCharType="separate"/>
                    </w:r>
                    <w:r>
                      <w:t>5</w:t>
                    </w:r>
                    <w:r>
                      <w:fldChar w:fldCharType="end"/>
                    </w:r>
                    <w:r>
                      <w:rPr>
                        <w:rFonts w:hint="eastAsia"/>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AOxSsz1AEAAKUDAAAOAAAAAAAAAAEAIAAAAB8B&#10;AABkcnMvZTJvRG9jLnhtbFBLBQYAAAAABgAGAFkBAABlBQAAAAA=&#10;">
              <v:fill on="f" focussize="0,0"/>
              <v:stroke on="f" weight="0.5pt"/>
              <v:imagedata o:title=""/>
              <o:lock v:ext="edit" aspectratio="f"/>
              <v:textbox inset="0mm,0mm,0mm,0mm" style="mso-fit-shape-to-text:t;">
                <w:txbxContent>
                  <w:p>
                    <w:pPr>
                      <w:pStyle w:val="4"/>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ZmRjMjA0NmRjMTA2NjZkM2U3N2MyY2IxZDAzNTYifQ=="/>
  </w:docVars>
  <w:rsids>
    <w:rsidRoot w:val="00B17270"/>
    <w:rsid w:val="00000261"/>
    <w:rsid w:val="00004EA0"/>
    <w:rsid w:val="00013C0F"/>
    <w:rsid w:val="00027812"/>
    <w:rsid w:val="0003029C"/>
    <w:rsid w:val="00044D4C"/>
    <w:rsid w:val="000525E3"/>
    <w:rsid w:val="000551BA"/>
    <w:rsid w:val="000560F3"/>
    <w:rsid w:val="00061276"/>
    <w:rsid w:val="00067D8E"/>
    <w:rsid w:val="000725A3"/>
    <w:rsid w:val="00076128"/>
    <w:rsid w:val="00093191"/>
    <w:rsid w:val="000A27F9"/>
    <w:rsid w:val="000B2AEA"/>
    <w:rsid w:val="000B3645"/>
    <w:rsid w:val="000C17BA"/>
    <w:rsid w:val="000C2A9F"/>
    <w:rsid w:val="000C399F"/>
    <w:rsid w:val="000C4CEC"/>
    <w:rsid w:val="000D0E21"/>
    <w:rsid w:val="000E3D18"/>
    <w:rsid w:val="000F58BD"/>
    <w:rsid w:val="0011519E"/>
    <w:rsid w:val="00120399"/>
    <w:rsid w:val="00121D84"/>
    <w:rsid w:val="00122D3E"/>
    <w:rsid w:val="001232F8"/>
    <w:rsid w:val="00133FED"/>
    <w:rsid w:val="00153241"/>
    <w:rsid w:val="0017218D"/>
    <w:rsid w:val="001A7EA3"/>
    <w:rsid w:val="001B6676"/>
    <w:rsid w:val="001C36AA"/>
    <w:rsid w:val="001F1C0A"/>
    <w:rsid w:val="001F62E9"/>
    <w:rsid w:val="001F7A8A"/>
    <w:rsid w:val="00201572"/>
    <w:rsid w:val="00210BB6"/>
    <w:rsid w:val="00220ADC"/>
    <w:rsid w:val="00222729"/>
    <w:rsid w:val="002241C6"/>
    <w:rsid w:val="00236075"/>
    <w:rsid w:val="00236B18"/>
    <w:rsid w:val="0024121D"/>
    <w:rsid w:val="00244883"/>
    <w:rsid w:val="00250254"/>
    <w:rsid w:val="0028210E"/>
    <w:rsid w:val="00285E68"/>
    <w:rsid w:val="002C4614"/>
    <w:rsid w:val="002E6666"/>
    <w:rsid w:val="002F18AE"/>
    <w:rsid w:val="002F5E0D"/>
    <w:rsid w:val="00300F40"/>
    <w:rsid w:val="0030232F"/>
    <w:rsid w:val="003066C4"/>
    <w:rsid w:val="0031174E"/>
    <w:rsid w:val="00313D7E"/>
    <w:rsid w:val="003174D9"/>
    <w:rsid w:val="003223F5"/>
    <w:rsid w:val="00323284"/>
    <w:rsid w:val="003265F4"/>
    <w:rsid w:val="0034218B"/>
    <w:rsid w:val="003426E1"/>
    <w:rsid w:val="00351523"/>
    <w:rsid w:val="0035787A"/>
    <w:rsid w:val="00363971"/>
    <w:rsid w:val="00377A77"/>
    <w:rsid w:val="00394EB6"/>
    <w:rsid w:val="003A0688"/>
    <w:rsid w:val="003A4EF2"/>
    <w:rsid w:val="003B3A05"/>
    <w:rsid w:val="003E335A"/>
    <w:rsid w:val="0040261A"/>
    <w:rsid w:val="00403E9B"/>
    <w:rsid w:val="004062D2"/>
    <w:rsid w:val="00410F54"/>
    <w:rsid w:val="004140C6"/>
    <w:rsid w:val="00423EE2"/>
    <w:rsid w:val="004426E2"/>
    <w:rsid w:val="00454DE7"/>
    <w:rsid w:val="00464E62"/>
    <w:rsid w:val="004753AF"/>
    <w:rsid w:val="00475A05"/>
    <w:rsid w:val="00481714"/>
    <w:rsid w:val="004B3F48"/>
    <w:rsid w:val="004D0BF2"/>
    <w:rsid w:val="004D351B"/>
    <w:rsid w:val="004D68C6"/>
    <w:rsid w:val="004D6DB2"/>
    <w:rsid w:val="00501BF6"/>
    <w:rsid w:val="00506592"/>
    <w:rsid w:val="00511355"/>
    <w:rsid w:val="0051322B"/>
    <w:rsid w:val="00515114"/>
    <w:rsid w:val="00517BFC"/>
    <w:rsid w:val="00524799"/>
    <w:rsid w:val="005342CE"/>
    <w:rsid w:val="00571C49"/>
    <w:rsid w:val="00576F4D"/>
    <w:rsid w:val="00580622"/>
    <w:rsid w:val="005863FA"/>
    <w:rsid w:val="00586A37"/>
    <w:rsid w:val="00594EEB"/>
    <w:rsid w:val="005A0233"/>
    <w:rsid w:val="005A0B24"/>
    <w:rsid w:val="005B59B6"/>
    <w:rsid w:val="005E64D2"/>
    <w:rsid w:val="005F5CB4"/>
    <w:rsid w:val="005F70BC"/>
    <w:rsid w:val="00616EEA"/>
    <w:rsid w:val="00634392"/>
    <w:rsid w:val="006358B1"/>
    <w:rsid w:val="0063746D"/>
    <w:rsid w:val="006472F5"/>
    <w:rsid w:val="0064785C"/>
    <w:rsid w:val="00652C47"/>
    <w:rsid w:val="0066633C"/>
    <w:rsid w:val="006A15F3"/>
    <w:rsid w:val="006A5902"/>
    <w:rsid w:val="006A6135"/>
    <w:rsid w:val="006B6B7C"/>
    <w:rsid w:val="006B78C2"/>
    <w:rsid w:val="006F5309"/>
    <w:rsid w:val="006F57B4"/>
    <w:rsid w:val="007060F1"/>
    <w:rsid w:val="00710F13"/>
    <w:rsid w:val="0071548F"/>
    <w:rsid w:val="00723127"/>
    <w:rsid w:val="007239BB"/>
    <w:rsid w:val="007472FD"/>
    <w:rsid w:val="0076383F"/>
    <w:rsid w:val="007715F2"/>
    <w:rsid w:val="00775250"/>
    <w:rsid w:val="00777A8D"/>
    <w:rsid w:val="007822DB"/>
    <w:rsid w:val="0078362A"/>
    <w:rsid w:val="007838AE"/>
    <w:rsid w:val="007934C7"/>
    <w:rsid w:val="007B32C0"/>
    <w:rsid w:val="007B4112"/>
    <w:rsid w:val="007C3CED"/>
    <w:rsid w:val="007E045F"/>
    <w:rsid w:val="007F1EDE"/>
    <w:rsid w:val="007F6524"/>
    <w:rsid w:val="00816CD5"/>
    <w:rsid w:val="0081738F"/>
    <w:rsid w:val="008213C5"/>
    <w:rsid w:val="00822AAA"/>
    <w:rsid w:val="0083229C"/>
    <w:rsid w:val="00837B19"/>
    <w:rsid w:val="00840736"/>
    <w:rsid w:val="00841035"/>
    <w:rsid w:val="00842D7F"/>
    <w:rsid w:val="008526D4"/>
    <w:rsid w:val="0086360B"/>
    <w:rsid w:val="00873E1E"/>
    <w:rsid w:val="00876408"/>
    <w:rsid w:val="008851B1"/>
    <w:rsid w:val="0089750E"/>
    <w:rsid w:val="008A3D6F"/>
    <w:rsid w:val="008A7043"/>
    <w:rsid w:val="008A7707"/>
    <w:rsid w:val="008D0746"/>
    <w:rsid w:val="008D24E8"/>
    <w:rsid w:val="008F0C2E"/>
    <w:rsid w:val="008F6ED4"/>
    <w:rsid w:val="009028A2"/>
    <w:rsid w:val="009041AC"/>
    <w:rsid w:val="009213A1"/>
    <w:rsid w:val="00922412"/>
    <w:rsid w:val="0094014E"/>
    <w:rsid w:val="009814B1"/>
    <w:rsid w:val="009A1990"/>
    <w:rsid w:val="009A2A61"/>
    <w:rsid w:val="009A7392"/>
    <w:rsid w:val="009B0731"/>
    <w:rsid w:val="009B3DEC"/>
    <w:rsid w:val="009B5C8D"/>
    <w:rsid w:val="009B700F"/>
    <w:rsid w:val="009C6F9D"/>
    <w:rsid w:val="009E1541"/>
    <w:rsid w:val="009F4DCE"/>
    <w:rsid w:val="00A0002F"/>
    <w:rsid w:val="00A1116E"/>
    <w:rsid w:val="00A179E9"/>
    <w:rsid w:val="00A2362A"/>
    <w:rsid w:val="00A56831"/>
    <w:rsid w:val="00A7457F"/>
    <w:rsid w:val="00A750E3"/>
    <w:rsid w:val="00A83526"/>
    <w:rsid w:val="00A86903"/>
    <w:rsid w:val="00A92DB4"/>
    <w:rsid w:val="00A94D7F"/>
    <w:rsid w:val="00AA01EB"/>
    <w:rsid w:val="00AA20E8"/>
    <w:rsid w:val="00AA78AC"/>
    <w:rsid w:val="00AB4CA3"/>
    <w:rsid w:val="00AC2C2A"/>
    <w:rsid w:val="00AE097B"/>
    <w:rsid w:val="00AF04E4"/>
    <w:rsid w:val="00AF7B95"/>
    <w:rsid w:val="00B16DF8"/>
    <w:rsid w:val="00B17270"/>
    <w:rsid w:val="00B22CFE"/>
    <w:rsid w:val="00B52A36"/>
    <w:rsid w:val="00B577EE"/>
    <w:rsid w:val="00B6408D"/>
    <w:rsid w:val="00B678AD"/>
    <w:rsid w:val="00B944B0"/>
    <w:rsid w:val="00BA2DEA"/>
    <w:rsid w:val="00BC4C80"/>
    <w:rsid w:val="00BD26E9"/>
    <w:rsid w:val="00BD2B10"/>
    <w:rsid w:val="00BD4611"/>
    <w:rsid w:val="00BF672B"/>
    <w:rsid w:val="00C05B83"/>
    <w:rsid w:val="00C12F9F"/>
    <w:rsid w:val="00C15B79"/>
    <w:rsid w:val="00C24477"/>
    <w:rsid w:val="00C552A8"/>
    <w:rsid w:val="00C62EDA"/>
    <w:rsid w:val="00C946B7"/>
    <w:rsid w:val="00CB7E38"/>
    <w:rsid w:val="00CC2DD1"/>
    <w:rsid w:val="00CC3FB3"/>
    <w:rsid w:val="00CC7572"/>
    <w:rsid w:val="00CD0BF4"/>
    <w:rsid w:val="00CE1352"/>
    <w:rsid w:val="00CF6909"/>
    <w:rsid w:val="00D06BA4"/>
    <w:rsid w:val="00D12C96"/>
    <w:rsid w:val="00D16548"/>
    <w:rsid w:val="00D244CE"/>
    <w:rsid w:val="00D414A3"/>
    <w:rsid w:val="00D53BA8"/>
    <w:rsid w:val="00D61F61"/>
    <w:rsid w:val="00D64969"/>
    <w:rsid w:val="00D75885"/>
    <w:rsid w:val="00D80F96"/>
    <w:rsid w:val="00D85D96"/>
    <w:rsid w:val="00D90662"/>
    <w:rsid w:val="00D95378"/>
    <w:rsid w:val="00DA235F"/>
    <w:rsid w:val="00DA2361"/>
    <w:rsid w:val="00DB0D1F"/>
    <w:rsid w:val="00DB2ADD"/>
    <w:rsid w:val="00DB515B"/>
    <w:rsid w:val="00DC6214"/>
    <w:rsid w:val="00DE1AC7"/>
    <w:rsid w:val="00DE2BB4"/>
    <w:rsid w:val="00DE6713"/>
    <w:rsid w:val="00DF17DE"/>
    <w:rsid w:val="00DF2758"/>
    <w:rsid w:val="00DF623C"/>
    <w:rsid w:val="00E01134"/>
    <w:rsid w:val="00E11071"/>
    <w:rsid w:val="00E1591B"/>
    <w:rsid w:val="00E3012E"/>
    <w:rsid w:val="00E42EC4"/>
    <w:rsid w:val="00E43197"/>
    <w:rsid w:val="00E46DEA"/>
    <w:rsid w:val="00E5068C"/>
    <w:rsid w:val="00E6262E"/>
    <w:rsid w:val="00E65689"/>
    <w:rsid w:val="00E862F0"/>
    <w:rsid w:val="00E86C56"/>
    <w:rsid w:val="00E86DFE"/>
    <w:rsid w:val="00E9215D"/>
    <w:rsid w:val="00E93AA0"/>
    <w:rsid w:val="00E93F16"/>
    <w:rsid w:val="00E95FA6"/>
    <w:rsid w:val="00E97657"/>
    <w:rsid w:val="00EC3763"/>
    <w:rsid w:val="00EC685C"/>
    <w:rsid w:val="00EC7798"/>
    <w:rsid w:val="00EF279F"/>
    <w:rsid w:val="00F00B33"/>
    <w:rsid w:val="00F1367F"/>
    <w:rsid w:val="00F21E22"/>
    <w:rsid w:val="00F25948"/>
    <w:rsid w:val="00F535F0"/>
    <w:rsid w:val="00F538B9"/>
    <w:rsid w:val="00F5421D"/>
    <w:rsid w:val="00F5613D"/>
    <w:rsid w:val="00F5628E"/>
    <w:rsid w:val="00F64922"/>
    <w:rsid w:val="00F738A3"/>
    <w:rsid w:val="00F7509C"/>
    <w:rsid w:val="00F750A1"/>
    <w:rsid w:val="00F84DAA"/>
    <w:rsid w:val="00F96C22"/>
    <w:rsid w:val="00FB207D"/>
    <w:rsid w:val="00FB4070"/>
    <w:rsid w:val="00FB6452"/>
    <w:rsid w:val="00FC1C34"/>
    <w:rsid w:val="00FC2944"/>
    <w:rsid w:val="00FC3359"/>
    <w:rsid w:val="00FE11EC"/>
    <w:rsid w:val="00FF55CA"/>
    <w:rsid w:val="012A627A"/>
    <w:rsid w:val="01477A19"/>
    <w:rsid w:val="0153024F"/>
    <w:rsid w:val="0165616B"/>
    <w:rsid w:val="016D608F"/>
    <w:rsid w:val="01B3097E"/>
    <w:rsid w:val="01B77DBE"/>
    <w:rsid w:val="020944AF"/>
    <w:rsid w:val="02457A1A"/>
    <w:rsid w:val="028A0C18"/>
    <w:rsid w:val="0336042C"/>
    <w:rsid w:val="035F67D4"/>
    <w:rsid w:val="04174D15"/>
    <w:rsid w:val="042E468C"/>
    <w:rsid w:val="048F01A7"/>
    <w:rsid w:val="04E1435F"/>
    <w:rsid w:val="052B0D58"/>
    <w:rsid w:val="056402AA"/>
    <w:rsid w:val="05BE71C1"/>
    <w:rsid w:val="05CB3754"/>
    <w:rsid w:val="06315CC4"/>
    <w:rsid w:val="06361A71"/>
    <w:rsid w:val="06854894"/>
    <w:rsid w:val="069115F5"/>
    <w:rsid w:val="06BF7F3A"/>
    <w:rsid w:val="06D211E4"/>
    <w:rsid w:val="06E647BA"/>
    <w:rsid w:val="07235519"/>
    <w:rsid w:val="07DD7EF3"/>
    <w:rsid w:val="08285F2E"/>
    <w:rsid w:val="08D54423"/>
    <w:rsid w:val="08DC48E4"/>
    <w:rsid w:val="091F2DC7"/>
    <w:rsid w:val="09341466"/>
    <w:rsid w:val="096C4D06"/>
    <w:rsid w:val="0A572259"/>
    <w:rsid w:val="0A5D65B7"/>
    <w:rsid w:val="0AAD3528"/>
    <w:rsid w:val="0AE90EA1"/>
    <w:rsid w:val="0B08726E"/>
    <w:rsid w:val="0B32603F"/>
    <w:rsid w:val="0BB86A01"/>
    <w:rsid w:val="0BD747E6"/>
    <w:rsid w:val="0C05292A"/>
    <w:rsid w:val="0C1A4511"/>
    <w:rsid w:val="0C8507CD"/>
    <w:rsid w:val="0CCB368A"/>
    <w:rsid w:val="0D2A4B1B"/>
    <w:rsid w:val="0D37159F"/>
    <w:rsid w:val="0D4F16E6"/>
    <w:rsid w:val="0D92770C"/>
    <w:rsid w:val="0DA675CD"/>
    <w:rsid w:val="0DAA2CA6"/>
    <w:rsid w:val="0DDD68F9"/>
    <w:rsid w:val="0EAE56B6"/>
    <w:rsid w:val="0EB831B0"/>
    <w:rsid w:val="0EED175D"/>
    <w:rsid w:val="10373BE4"/>
    <w:rsid w:val="10756AC1"/>
    <w:rsid w:val="109B6AAA"/>
    <w:rsid w:val="111E4B64"/>
    <w:rsid w:val="11797992"/>
    <w:rsid w:val="117B600C"/>
    <w:rsid w:val="118E6F03"/>
    <w:rsid w:val="11BA1122"/>
    <w:rsid w:val="12185473"/>
    <w:rsid w:val="121A1DE0"/>
    <w:rsid w:val="13DD1CAF"/>
    <w:rsid w:val="142B0D2D"/>
    <w:rsid w:val="14DB4B97"/>
    <w:rsid w:val="15191E0F"/>
    <w:rsid w:val="15905002"/>
    <w:rsid w:val="15C42148"/>
    <w:rsid w:val="15D8610A"/>
    <w:rsid w:val="15F415B6"/>
    <w:rsid w:val="1687375B"/>
    <w:rsid w:val="16AE43EB"/>
    <w:rsid w:val="16C56918"/>
    <w:rsid w:val="17195497"/>
    <w:rsid w:val="171A6553"/>
    <w:rsid w:val="175C290B"/>
    <w:rsid w:val="17785558"/>
    <w:rsid w:val="178C05F4"/>
    <w:rsid w:val="178C5BE6"/>
    <w:rsid w:val="17907CD6"/>
    <w:rsid w:val="17CA0EE6"/>
    <w:rsid w:val="181918AA"/>
    <w:rsid w:val="188C3AA2"/>
    <w:rsid w:val="18A01112"/>
    <w:rsid w:val="18E37D3D"/>
    <w:rsid w:val="19380017"/>
    <w:rsid w:val="193C2867"/>
    <w:rsid w:val="19555E64"/>
    <w:rsid w:val="199532F6"/>
    <w:rsid w:val="19CD30A3"/>
    <w:rsid w:val="1A21011E"/>
    <w:rsid w:val="1A5D7CA8"/>
    <w:rsid w:val="1AAD2FB2"/>
    <w:rsid w:val="1AE540D2"/>
    <w:rsid w:val="1B1D704F"/>
    <w:rsid w:val="1B613898"/>
    <w:rsid w:val="1BCE4DE3"/>
    <w:rsid w:val="1BF86B97"/>
    <w:rsid w:val="1C236837"/>
    <w:rsid w:val="1C2662FD"/>
    <w:rsid w:val="1C7642D0"/>
    <w:rsid w:val="1CC846A0"/>
    <w:rsid w:val="1D5E5D84"/>
    <w:rsid w:val="1D5F2807"/>
    <w:rsid w:val="1DCC68CA"/>
    <w:rsid w:val="1E2A34C8"/>
    <w:rsid w:val="1E6B0634"/>
    <w:rsid w:val="1EE51C78"/>
    <w:rsid w:val="1F1D7713"/>
    <w:rsid w:val="1F2E6E87"/>
    <w:rsid w:val="1F4715FA"/>
    <w:rsid w:val="1F65065E"/>
    <w:rsid w:val="1F7D07B8"/>
    <w:rsid w:val="1F997C58"/>
    <w:rsid w:val="204077B5"/>
    <w:rsid w:val="209D5F6F"/>
    <w:rsid w:val="20B84C55"/>
    <w:rsid w:val="21463D8F"/>
    <w:rsid w:val="217707D0"/>
    <w:rsid w:val="21897CAF"/>
    <w:rsid w:val="21C87D17"/>
    <w:rsid w:val="21F765E8"/>
    <w:rsid w:val="22370A94"/>
    <w:rsid w:val="223921BD"/>
    <w:rsid w:val="2244502D"/>
    <w:rsid w:val="22714881"/>
    <w:rsid w:val="22990F15"/>
    <w:rsid w:val="22AA722C"/>
    <w:rsid w:val="232341F1"/>
    <w:rsid w:val="234F5B11"/>
    <w:rsid w:val="23512164"/>
    <w:rsid w:val="23CE7CA9"/>
    <w:rsid w:val="23F110D9"/>
    <w:rsid w:val="2409787E"/>
    <w:rsid w:val="24883DA1"/>
    <w:rsid w:val="256C53C5"/>
    <w:rsid w:val="260724FA"/>
    <w:rsid w:val="263B3BA0"/>
    <w:rsid w:val="265201C5"/>
    <w:rsid w:val="26E568BD"/>
    <w:rsid w:val="271B013B"/>
    <w:rsid w:val="27BC42E6"/>
    <w:rsid w:val="27EF6467"/>
    <w:rsid w:val="28793F06"/>
    <w:rsid w:val="288320D7"/>
    <w:rsid w:val="28860173"/>
    <w:rsid w:val="28B042F6"/>
    <w:rsid w:val="28CD627E"/>
    <w:rsid w:val="28FE7336"/>
    <w:rsid w:val="295A25C6"/>
    <w:rsid w:val="297053EB"/>
    <w:rsid w:val="29797F82"/>
    <w:rsid w:val="29B85228"/>
    <w:rsid w:val="2A5E737F"/>
    <w:rsid w:val="2A8D5B3E"/>
    <w:rsid w:val="2A8E0CCA"/>
    <w:rsid w:val="2B3C79B3"/>
    <w:rsid w:val="2B71035A"/>
    <w:rsid w:val="2B8B6855"/>
    <w:rsid w:val="2C166452"/>
    <w:rsid w:val="2C3259C9"/>
    <w:rsid w:val="2C350517"/>
    <w:rsid w:val="2C5969E8"/>
    <w:rsid w:val="2C8C2686"/>
    <w:rsid w:val="2CD2232B"/>
    <w:rsid w:val="2CF11330"/>
    <w:rsid w:val="2D2E6556"/>
    <w:rsid w:val="2D410F9D"/>
    <w:rsid w:val="2D4530FE"/>
    <w:rsid w:val="2D454726"/>
    <w:rsid w:val="2D6C358D"/>
    <w:rsid w:val="2D71296A"/>
    <w:rsid w:val="2D8A48FD"/>
    <w:rsid w:val="2DF20291"/>
    <w:rsid w:val="2E0D7E32"/>
    <w:rsid w:val="2EBC7021"/>
    <w:rsid w:val="2EC00DD8"/>
    <w:rsid w:val="2ECD1770"/>
    <w:rsid w:val="2F2A6FAB"/>
    <w:rsid w:val="2F2C449A"/>
    <w:rsid w:val="2F2D5271"/>
    <w:rsid w:val="30D872F2"/>
    <w:rsid w:val="30E16FC1"/>
    <w:rsid w:val="31014451"/>
    <w:rsid w:val="31886C23"/>
    <w:rsid w:val="31C15B2A"/>
    <w:rsid w:val="324F2255"/>
    <w:rsid w:val="32613A0E"/>
    <w:rsid w:val="329E7A38"/>
    <w:rsid w:val="330C5C14"/>
    <w:rsid w:val="336F4E90"/>
    <w:rsid w:val="33801A8B"/>
    <w:rsid w:val="339D4ED7"/>
    <w:rsid w:val="33B23C5B"/>
    <w:rsid w:val="33B82B50"/>
    <w:rsid w:val="33C36E46"/>
    <w:rsid w:val="33F81ACC"/>
    <w:rsid w:val="34031B21"/>
    <w:rsid w:val="34502FFE"/>
    <w:rsid w:val="34895056"/>
    <w:rsid w:val="359A1B73"/>
    <w:rsid w:val="35CA17A0"/>
    <w:rsid w:val="35EE5766"/>
    <w:rsid w:val="36127FE1"/>
    <w:rsid w:val="365F27AE"/>
    <w:rsid w:val="36C624CE"/>
    <w:rsid w:val="36E603CD"/>
    <w:rsid w:val="37434AE0"/>
    <w:rsid w:val="37D62242"/>
    <w:rsid w:val="380A1B4B"/>
    <w:rsid w:val="385E18A8"/>
    <w:rsid w:val="386E47F8"/>
    <w:rsid w:val="38892259"/>
    <w:rsid w:val="38CE7A98"/>
    <w:rsid w:val="39433140"/>
    <w:rsid w:val="3A602902"/>
    <w:rsid w:val="3A7D0816"/>
    <w:rsid w:val="3AE8131F"/>
    <w:rsid w:val="3AFB3055"/>
    <w:rsid w:val="3B66227D"/>
    <w:rsid w:val="3B6F6D77"/>
    <w:rsid w:val="3B9C4CB7"/>
    <w:rsid w:val="3BA7452F"/>
    <w:rsid w:val="3BC73D57"/>
    <w:rsid w:val="3BD130BB"/>
    <w:rsid w:val="3BDB69C2"/>
    <w:rsid w:val="3BE020CF"/>
    <w:rsid w:val="3BE25D4C"/>
    <w:rsid w:val="3BFF1A6E"/>
    <w:rsid w:val="3C956303"/>
    <w:rsid w:val="3D146657"/>
    <w:rsid w:val="3D9A10B9"/>
    <w:rsid w:val="3DBA5021"/>
    <w:rsid w:val="3DC74F0F"/>
    <w:rsid w:val="3DFE43ED"/>
    <w:rsid w:val="3E2C1507"/>
    <w:rsid w:val="3E324222"/>
    <w:rsid w:val="3F354FE0"/>
    <w:rsid w:val="3F891D8A"/>
    <w:rsid w:val="3FD1086C"/>
    <w:rsid w:val="3FF64BE8"/>
    <w:rsid w:val="3FFD0276"/>
    <w:rsid w:val="40671690"/>
    <w:rsid w:val="41DE7476"/>
    <w:rsid w:val="42036D00"/>
    <w:rsid w:val="42EC3109"/>
    <w:rsid w:val="43521FAD"/>
    <w:rsid w:val="43B01034"/>
    <w:rsid w:val="43F6263F"/>
    <w:rsid w:val="44056250"/>
    <w:rsid w:val="44064C46"/>
    <w:rsid w:val="445A34E8"/>
    <w:rsid w:val="44C016A5"/>
    <w:rsid w:val="452F1DAE"/>
    <w:rsid w:val="453F0F4A"/>
    <w:rsid w:val="458F6A0A"/>
    <w:rsid w:val="45CB2CE3"/>
    <w:rsid w:val="45F001F8"/>
    <w:rsid w:val="467F4550"/>
    <w:rsid w:val="46B22F82"/>
    <w:rsid w:val="46C7182E"/>
    <w:rsid w:val="474D7B89"/>
    <w:rsid w:val="47781406"/>
    <w:rsid w:val="481505B9"/>
    <w:rsid w:val="485A6A13"/>
    <w:rsid w:val="487834AA"/>
    <w:rsid w:val="48E33FCD"/>
    <w:rsid w:val="49A777E0"/>
    <w:rsid w:val="49C604E2"/>
    <w:rsid w:val="49D55E99"/>
    <w:rsid w:val="4A650803"/>
    <w:rsid w:val="4A7548E4"/>
    <w:rsid w:val="4AAB3DF0"/>
    <w:rsid w:val="4AC6642C"/>
    <w:rsid w:val="4ADD02EF"/>
    <w:rsid w:val="4B3D3E7A"/>
    <w:rsid w:val="4B3E29AA"/>
    <w:rsid w:val="4B7B6F28"/>
    <w:rsid w:val="4B951644"/>
    <w:rsid w:val="4BE84EC1"/>
    <w:rsid w:val="4C33220C"/>
    <w:rsid w:val="4C3461A8"/>
    <w:rsid w:val="4C3E6CE0"/>
    <w:rsid w:val="4C417F49"/>
    <w:rsid w:val="4C6152C4"/>
    <w:rsid w:val="4C993C71"/>
    <w:rsid w:val="4CB34095"/>
    <w:rsid w:val="4CD9025D"/>
    <w:rsid w:val="4DC47EC9"/>
    <w:rsid w:val="4DE51965"/>
    <w:rsid w:val="4E107553"/>
    <w:rsid w:val="4E37481B"/>
    <w:rsid w:val="4F00103E"/>
    <w:rsid w:val="4F1C0A49"/>
    <w:rsid w:val="4F33065D"/>
    <w:rsid w:val="4F6E47A2"/>
    <w:rsid w:val="507E51BC"/>
    <w:rsid w:val="50814F88"/>
    <w:rsid w:val="509D641F"/>
    <w:rsid w:val="50DE479B"/>
    <w:rsid w:val="51EB0A34"/>
    <w:rsid w:val="51EB3120"/>
    <w:rsid w:val="51F52B8E"/>
    <w:rsid w:val="52030A69"/>
    <w:rsid w:val="52063BE7"/>
    <w:rsid w:val="52C71A9F"/>
    <w:rsid w:val="53095C72"/>
    <w:rsid w:val="530E26CD"/>
    <w:rsid w:val="537D3320"/>
    <w:rsid w:val="53B510D0"/>
    <w:rsid w:val="53CA32C3"/>
    <w:rsid w:val="53D61877"/>
    <w:rsid w:val="53DB27BF"/>
    <w:rsid w:val="54044A47"/>
    <w:rsid w:val="542C3416"/>
    <w:rsid w:val="546411A9"/>
    <w:rsid w:val="547D5C5C"/>
    <w:rsid w:val="548124D3"/>
    <w:rsid w:val="549E66D9"/>
    <w:rsid w:val="550602AC"/>
    <w:rsid w:val="5541225D"/>
    <w:rsid w:val="55B73365"/>
    <w:rsid w:val="55F929BC"/>
    <w:rsid w:val="568D567B"/>
    <w:rsid w:val="56EF1792"/>
    <w:rsid w:val="575626CA"/>
    <w:rsid w:val="57614862"/>
    <w:rsid w:val="57FD1154"/>
    <w:rsid w:val="583A06A1"/>
    <w:rsid w:val="589A2B5F"/>
    <w:rsid w:val="58A823D5"/>
    <w:rsid w:val="58E74622"/>
    <w:rsid w:val="592A4893"/>
    <w:rsid w:val="5984391F"/>
    <w:rsid w:val="59855248"/>
    <w:rsid w:val="59972002"/>
    <w:rsid w:val="5A42175A"/>
    <w:rsid w:val="5A704464"/>
    <w:rsid w:val="5ADD5C22"/>
    <w:rsid w:val="5AF238B1"/>
    <w:rsid w:val="5AF37B27"/>
    <w:rsid w:val="5B2425B9"/>
    <w:rsid w:val="5B3600C5"/>
    <w:rsid w:val="5B424C8E"/>
    <w:rsid w:val="5B4B026A"/>
    <w:rsid w:val="5B7634A8"/>
    <w:rsid w:val="5B7D662E"/>
    <w:rsid w:val="5B905977"/>
    <w:rsid w:val="5BDA4E9F"/>
    <w:rsid w:val="5BE87920"/>
    <w:rsid w:val="5BED1A16"/>
    <w:rsid w:val="5C3B3B21"/>
    <w:rsid w:val="5CCC1A69"/>
    <w:rsid w:val="5CD2245B"/>
    <w:rsid w:val="5CD365F9"/>
    <w:rsid w:val="5DA76336"/>
    <w:rsid w:val="5DC1418C"/>
    <w:rsid w:val="5DE5483F"/>
    <w:rsid w:val="5E081DC9"/>
    <w:rsid w:val="5F3A6E69"/>
    <w:rsid w:val="5FA8050E"/>
    <w:rsid w:val="60A61D20"/>
    <w:rsid w:val="611B4D18"/>
    <w:rsid w:val="612308F7"/>
    <w:rsid w:val="614405C4"/>
    <w:rsid w:val="626E3A82"/>
    <w:rsid w:val="62AC665C"/>
    <w:rsid w:val="62D109DF"/>
    <w:rsid w:val="62E66343"/>
    <w:rsid w:val="62F94B7D"/>
    <w:rsid w:val="630300A3"/>
    <w:rsid w:val="63C508B8"/>
    <w:rsid w:val="654E0D5C"/>
    <w:rsid w:val="65A77328"/>
    <w:rsid w:val="6602703B"/>
    <w:rsid w:val="668E38C5"/>
    <w:rsid w:val="67127F9B"/>
    <w:rsid w:val="67445FDD"/>
    <w:rsid w:val="67C134AF"/>
    <w:rsid w:val="67C30766"/>
    <w:rsid w:val="682F361C"/>
    <w:rsid w:val="68366A9B"/>
    <w:rsid w:val="687E731B"/>
    <w:rsid w:val="68A4111E"/>
    <w:rsid w:val="69CE7D67"/>
    <w:rsid w:val="69D34B3B"/>
    <w:rsid w:val="6A12249F"/>
    <w:rsid w:val="6ACB04AF"/>
    <w:rsid w:val="6B055D87"/>
    <w:rsid w:val="6B68125B"/>
    <w:rsid w:val="6C4E5DAE"/>
    <w:rsid w:val="6D1A0369"/>
    <w:rsid w:val="6D9446F8"/>
    <w:rsid w:val="6DAC1416"/>
    <w:rsid w:val="6DB111F8"/>
    <w:rsid w:val="6E7F236A"/>
    <w:rsid w:val="6EAA0F97"/>
    <w:rsid w:val="6F21293A"/>
    <w:rsid w:val="6F43403C"/>
    <w:rsid w:val="6F6B0852"/>
    <w:rsid w:val="6FAC478D"/>
    <w:rsid w:val="6FF93DD3"/>
    <w:rsid w:val="70344640"/>
    <w:rsid w:val="706A274F"/>
    <w:rsid w:val="70FB55B7"/>
    <w:rsid w:val="70FF7452"/>
    <w:rsid w:val="720863BA"/>
    <w:rsid w:val="72BF2B75"/>
    <w:rsid w:val="72C46ABE"/>
    <w:rsid w:val="72C604AC"/>
    <w:rsid w:val="72F50B45"/>
    <w:rsid w:val="73732A41"/>
    <w:rsid w:val="73AC25F1"/>
    <w:rsid w:val="73D40F6B"/>
    <w:rsid w:val="73DB3D25"/>
    <w:rsid w:val="74300518"/>
    <w:rsid w:val="746045ED"/>
    <w:rsid w:val="74606BCE"/>
    <w:rsid w:val="747749AE"/>
    <w:rsid w:val="74C50124"/>
    <w:rsid w:val="74EB362A"/>
    <w:rsid w:val="75035B2E"/>
    <w:rsid w:val="752D1CD7"/>
    <w:rsid w:val="75AD4E65"/>
    <w:rsid w:val="75D81C8E"/>
    <w:rsid w:val="76223DB7"/>
    <w:rsid w:val="765A35BE"/>
    <w:rsid w:val="76791E7B"/>
    <w:rsid w:val="779534E8"/>
    <w:rsid w:val="789A3406"/>
    <w:rsid w:val="789D1D22"/>
    <w:rsid w:val="79207227"/>
    <w:rsid w:val="79396BDC"/>
    <w:rsid w:val="794210A8"/>
    <w:rsid w:val="796F7D93"/>
    <w:rsid w:val="79822F44"/>
    <w:rsid w:val="79C61DC6"/>
    <w:rsid w:val="79FD70AD"/>
    <w:rsid w:val="7A69302F"/>
    <w:rsid w:val="7ACA3C24"/>
    <w:rsid w:val="7ADE53D0"/>
    <w:rsid w:val="7AE01C48"/>
    <w:rsid w:val="7B563443"/>
    <w:rsid w:val="7B9A754F"/>
    <w:rsid w:val="7B9E374C"/>
    <w:rsid w:val="7BA25BE3"/>
    <w:rsid w:val="7BC34726"/>
    <w:rsid w:val="7C311D3E"/>
    <w:rsid w:val="7C930C08"/>
    <w:rsid w:val="7D6E35D9"/>
    <w:rsid w:val="7E074314"/>
    <w:rsid w:val="7E320878"/>
    <w:rsid w:val="7E551B5B"/>
    <w:rsid w:val="7EB263E3"/>
    <w:rsid w:val="7EB36FC7"/>
    <w:rsid w:val="7EFF6BDA"/>
    <w:rsid w:val="7F0B2261"/>
    <w:rsid w:val="7F0E5077"/>
    <w:rsid w:val="7FA63F55"/>
    <w:rsid w:val="7FB30B4F"/>
    <w:rsid w:val="7FCB4241"/>
    <w:rsid w:val="7FDB0AD6"/>
    <w:rsid w:val="7FFF1B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bCs/>
      <w:kern w:val="0"/>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99"/>
  </w:style>
  <w:style w:type="paragraph" w:styleId="7">
    <w:name w:val="HTML Preformatted"/>
    <w:basedOn w:val="1"/>
    <w:link w:val="17"/>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8">
    <w:name w:val="Normal (Web)"/>
    <w:basedOn w:val="1"/>
    <w:qFormat/>
    <w:uiPriority w:val="99"/>
    <w:pPr>
      <w:spacing w:beforeAutospacing="1" w:afterAutospacing="1"/>
      <w:jc w:val="left"/>
    </w:pPr>
    <w:rPr>
      <w:kern w:val="0"/>
      <w:sz w:val="24"/>
    </w:rPr>
  </w:style>
  <w:style w:type="character" w:styleId="11">
    <w:name w:val="FollowedHyperlink"/>
    <w:basedOn w:val="10"/>
    <w:semiHidden/>
    <w:qFormat/>
    <w:uiPriority w:val="99"/>
    <w:rPr>
      <w:rFonts w:cs="Times New Roman"/>
      <w:color w:val="800080"/>
      <w:u w:val="single"/>
    </w:rPr>
  </w:style>
  <w:style w:type="character" w:styleId="12">
    <w:name w:val="Hyperlink"/>
    <w:basedOn w:val="10"/>
    <w:qFormat/>
    <w:uiPriority w:val="99"/>
    <w:rPr>
      <w:rFonts w:cs="Times New Roman"/>
      <w:color w:val="0000FF"/>
      <w:u w:val="single"/>
    </w:rPr>
  </w:style>
  <w:style w:type="character" w:customStyle="1" w:styleId="13">
    <w:name w:val="Heading 2 Char"/>
    <w:basedOn w:val="10"/>
    <w:link w:val="2"/>
    <w:semiHidden/>
    <w:qFormat/>
    <w:locked/>
    <w:uiPriority w:val="99"/>
    <w:rPr>
      <w:rFonts w:ascii="Cambria" w:hAnsi="Cambria" w:eastAsia="宋体" w:cs="Times New Roman"/>
      <w:b/>
      <w:sz w:val="32"/>
    </w:rPr>
  </w:style>
  <w:style w:type="character" w:customStyle="1" w:styleId="14">
    <w:name w:val="Balloon Text Char"/>
    <w:basedOn w:val="10"/>
    <w:link w:val="3"/>
    <w:semiHidden/>
    <w:qFormat/>
    <w:locked/>
    <w:uiPriority w:val="99"/>
    <w:rPr>
      <w:rFonts w:ascii="Calibri" w:hAnsi="Calibri" w:cs="Times New Roman"/>
      <w:kern w:val="2"/>
      <w:sz w:val="18"/>
    </w:rPr>
  </w:style>
  <w:style w:type="character" w:customStyle="1" w:styleId="15">
    <w:name w:val="Footer Char"/>
    <w:basedOn w:val="10"/>
    <w:link w:val="4"/>
    <w:qFormat/>
    <w:locked/>
    <w:uiPriority w:val="99"/>
    <w:rPr>
      <w:rFonts w:ascii="Calibri" w:hAnsi="Calibri" w:eastAsia="宋体" w:cs="Times New Roman"/>
      <w:kern w:val="2"/>
      <w:sz w:val="18"/>
    </w:rPr>
  </w:style>
  <w:style w:type="character" w:customStyle="1" w:styleId="16">
    <w:name w:val="Header Char"/>
    <w:basedOn w:val="10"/>
    <w:link w:val="5"/>
    <w:qFormat/>
    <w:locked/>
    <w:uiPriority w:val="99"/>
    <w:rPr>
      <w:rFonts w:ascii="Calibri" w:hAnsi="Calibri" w:eastAsia="宋体" w:cs="Times New Roman"/>
      <w:kern w:val="2"/>
      <w:sz w:val="18"/>
    </w:rPr>
  </w:style>
  <w:style w:type="character" w:customStyle="1" w:styleId="17">
    <w:name w:val="HTML Preformatted Char"/>
    <w:basedOn w:val="10"/>
    <w:link w:val="7"/>
    <w:semiHidden/>
    <w:qFormat/>
    <w:locked/>
    <w:uiPriority w:val="99"/>
    <w:rPr>
      <w:rFonts w:ascii="Courier New" w:hAnsi="Courier New" w:cs="Times New Roman"/>
      <w:sz w:val="20"/>
    </w:rPr>
  </w:style>
  <w:style w:type="paragraph" w:customStyle="1" w:styleId="18">
    <w:name w:val="p"/>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apple-converted-space"/>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16</Pages>
  <Words>11694</Words>
  <Characters>12423</Characters>
  <Lines>0</Lines>
  <Paragraphs>0</Paragraphs>
  <TotalTime>6</TotalTime>
  <ScaleCrop>false</ScaleCrop>
  <LinksUpToDate>false</LinksUpToDate>
  <CharactersWithSpaces>12951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2018-08-10T10:29:00Z</dcterms:created>
  <dc:creator>lenovo</dc:creator>
  <cp:lastModifiedBy>NTKO</cp:lastModifiedBy>
  <cp:lastPrinted>2020-12-07T02:57:00Z</cp:lastPrinted>
  <dcterms:modified xsi:type="dcterms:W3CDTF">2024-06-03T08:13:44Z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D7983C379AFD489BBE909011B7DFAC6E</vt:lpwstr>
  </property>
</Properties>
</file>