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val="en-US" w:eastAsia="zh-CN"/>
        </w:rPr>
      </w:pP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60" w:lineRule="exact"/>
        <w:jc w:val="both"/>
        <w:rPr>
          <w:rFonts w:hint="default" w:ascii="小标宋" w:hAnsi="小标宋" w:eastAsia="小标宋" w:cs="小标宋"/>
          <w:sz w:val="44"/>
          <w:szCs w:val="44"/>
          <w:lang w:val="en-US" w:eastAsia="zh-CN"/>
        </w:rPr>
      </w:pPr>
    </w:p>
    <w:p>
      <w:pPr>
        <w:spacing w:line="560" w:lineRule="exact"/>
        <w:jc w:val="center"/>
        <w:rPr>
          <w:rFonts w:ascii="小标宋" w:hAnsi="小标宋" w:eastAsia="小标宋" w:cs="小标宋"/>
          <w:sz w:val="44"/>
          <w:szCs w:val="44"/>
        </w:rPr>
      </w:pPr>
      <w:r>
        <w:rPr>
          <w:rFonts w:hint="eastAsia" w:ascii="小标宋" w:hAnsi="小标宋" w:eastAsia="小标宋" w:cs="小标宋"/>
          <w:sz w:val="44"/>
          <w:szCs w:val="44"/>
        </w:rPr>
        <w:t>庆元县临时用地管理实施细则</w:t>
      </w:r>
    </w:p>
    <w:p>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严格规范我县临时用地管理，切实加强土地要素服务保障，落实最严格的耕地保护制度和节约集约用地制度，根据土地管理相关法律法规和《自然资源部关于规范临时用地管理的通知》（自然资规〔2021〕2号）、《浙江省自然资源厅关于进一步规范临时用地管理的通知》（浙自然资规〔2023〕18号）、《丽水市自然资源和规划局关于进一步加强涉耕临时用地批后监管工作的通知》（丽自然资规发〔2024〕6号）等规定，经县政府同意，结合我县实际，特制定本实施细则。</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总体目标</w:t>
      </w:r>
    </w:p>
    <w:p>
      <w:pPr>
        <w:spacing w:line="560" w:lineRule="exact"/>
        <w:ind w:firstLine="640" w:firstLineChars="200"/>
      </w:pPr>
      <w:r>
        <w:rPr>
          <w:rFonts w:hint="eastAsia" w:ascii="仿宋_GB2312" w:hAnsi="仿宋_GB2312" w:eastAsia="仿宋_GB2312" w:cs="仿宋_GB2312"/>
          <w:sz w:val="32"/>
          <w:szCs w:val="32"/>
        </w:rPr>
        <w:t>切实加强临时用地管理，严格遵循“节约集约、保护耕地、依法申请、合理使用、落实复垦”的原则，进一步规范临时用地审批流程和监管职责，强化临时用地规划利用、耕地智保、违法查处、复垦监管等协同配合，形成工作合力，</w:t>
      </w:r>
      <w:r>
        <w:rPr>
          <w:rFonts w:hint="eastAsia" w:ascii="仿宋_GB2312" w:hAnsi="仿宋" w:eastAsia="仿宋_GB2312" w:cs="仿宋"/>
          <w:sz w:val="32"/>
          <w:szCs w:val="32"/>
        </w:rPr>
        <w:t>围绕“前端主动服务、中端严格监管、全程闭环管控”，</w:t>
      </w:r>
      <w:r>
        <w:rPr>
          <w:rFonts w:hint="eastAsia" w:ascii="仿宋_GB2312" w:hAnsi="仿宋_GB2312" w:eastAsia="仿宋_GB2312" w:cs="仿宋_GB2312"/>
          <w:sz w:val="32"/>
          <w:szCs w:val="32"/>
        </w:rPr>
        <w:t>构建临时用地“全生命周期”监管体系，合理满足建设项目施工、地质勘查等临时用地需求，尽量不占或少占耕地，助力我县经济社会发展和生态文明建设。</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临时用地使用范围</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临时用地是指因建设项目施工、地质勘查等临时使用，不修建永久性建（构）筑物，使用后可恢复的土地（通过复垦可恢复原地类或者达到可供利用状态）。与建设项目施工、地质勘查等无关的用地，使用后无法恢复到原地类或者复垦达不到可供利用状态的用地，不得批准使用临时用地。临时用地的范围包括：</w:t>
      </w:r>
    </w:p>
    <w:p>
      <w:pPr>
        <w:numPr>
          <w:ilvl w:val="0"/>
          <w:numId w:val="2"/>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施工过程中建设的直接服务于施工人员的临时办公和生活用房，包括临时办公用房、生活用房、工棚等使用的土地；直接服务于工程施工的项目自用辅助工程，包括农用地表土剥离堆放场、材料堆场、制梁场、拌合站、钢筋加工厂、施工便道、运输便道、地上线路架设、地下管线敷设作业，以及能源、交通、水利等基础设施项目的取土场、弃土（渣）场等使用的土地。</w:t>
      </w:r>
    </w:p>
    <w:p>
      <w:pPr>
        <w:numPr>
          <w:ilvl w:val="0"/>
          <w:numId w:val="2"/>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矿产资源勘查、工程地质勘查、水文地质勘查等，在勘查期间临时生活用房、临时工棚、勘查作业及其辅助工程、施工便道、运输便道等使用的土地，包括油气、地热、矿泉水资源勘查中钻井井场、配套管线、电力设施、进场道路等钻井及配套设施使用的土地。</w:t>
      </w:r>
    </w:p>
    <w:p>
      <w:pPr>
        <w:numPr>
          <w:ilvl w:val="0"/>
          <w:numId w:val="2"/>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考古、文物保护等临时性文物保护设施、工地安全设施、后勤设施使用的土地。</w:t>
      </w:r>
    </w:p>
    <w:p>
      <w:pPr>
        <w:numPr>
          <w:ilvl w:val="0"/>
          <w:numId w:val="2"/>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符合法律、法规规定的其他需要临时使用的土地。</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储备土地未供应前，土地储备机构可将储备土地或连同地上建（构）筑物，通过出租、临时使用等方式加以利用。储备土地临时利用管理按《庆元县储备土地临时利用管理规定》（庆自然资规发〔2024〕27号）执行。</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临时用地选址要求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临时用地选址要坚持节约集约、科学合理选址，优先使用建设用地和未利用地，尽量不占或者少占耕地，尽量避让永久基本农田保护红线和生态保护红线。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（一）临时用地地类认定以最新年度国土变更调查成果现状地类为准，无需往前追溯地类。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制梁场、拌合站等难以恢复原种植条件的不得以临时用地方式占用耕地和永久基本农田。直接服务于铁路、公路、水利工程施工的制梁场、拌合站临时使用土地的，其土地复垦方案通过论证、业主单位签订承诺书，明确了复垦完成时限和恢复责任，确保能够恢复种植条件的，经市自然资源和规划局批准，可以占用耕地，但不得占用永久基本农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使用后土地复垦难度较大的临时用地，要严格控制占用耕地。除地质勘查、地下管线埋设、抢险救灾等需要使用临时用地外，国家和省批准立项的交通、能源、水利、军事设施等项目建设需要使用临时用地的，经论证临时用地选址超出建设项目周边5公里均难以避让永久基本农田的，方可占用永久基本农田；其他项目不得占用永久基本农田。临时用地确需占用永久基本农田的，必须能够恢复原种植条件，并符合《自然资源部 农业农村部关于加强和改进永久基本农田保护工作的通知》（自然资规〔2019〕1号）中申请条件、土壤剥离、复垦验收等有关规定。</w:t>
      </w:r>
    </w:p>
    <w:p>
      <w:pPr>
        <w:widowControl/>
        <w:spacing w:line="560" w:lineRule="exact"/>
        <w:ind w:firstLine="640" w:firstLineChars="200"/>
        <w:jc w:val="left"/>
        <w:rPr>
          <w:rFonts w:ascii="仿宋_GB2312" w:hAnsi="宋体" w:eastAsia="仿宋_GB2312" w:cs="仿宋_GB2312"/>
          <w:kern w:val="0"/>
          <w:sz w:val="31"/>
          <w:szCs w:val="31"/>
        </w:rPr>
      </w:pPr>
      <w:r>
        <w:rPr>
          <w:rFonts w:hint="eastAsia" w:ascii="仿宋_GB2312" w:hAnsi="仿宋_GB2312" w:eastAsia="仿宋_GB2312" w:cs="仿宋_GB2312"/>
          <w:sz w:val="32"/>
          <w:szCs w:val="32"/>
        </w:rPr>
        <w:t>（四）生态保护红线内允许的有限人为活动和国家重大项目占用生态保护红线涉及临时用地的，参照临时占用永久基本农田规定办理，严格落实恢复责任，</w:t>
      </w:r>
      <w:r>
        <w:rPr>
          <w:rFonts w:hint="eastAsia" w:ascii="仿宋_GB2312" w:hAnsi="宋体" w:eastAsia="仿宋_GB2312" w:cs="仿宋_GB2312"/>
          <w:kern w:val="0"/>
          <w:sz w:val="31"/>
          <w:szCs w:val="31"/>
        </w:rPr>
        <w:t>并严格按照《浙江省人民政府办公厅关于加强生态保护红线监管的实施意见》（</w:t>
      </w:r>
      <w:r>
        <w:rPr>
          <w:rFonts w:hint="eastAsia" w:ascii="仿宋_GB2312" w:hAnsi="仿宋_GB2312" w:eastAsia="仿宋_GB2312" w:cs="仿宋_GB2312"/>
          <w:sz w:val="32"/>
          <w:szCs w:val="32"/>
        </w:rPr>
        <w:t>浙政办发〔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w:t>
      </w:r>
      <w:r>
        <w:rPr>
          <w:rFonts w:hint="eastAsia" w:ascii="仿宋_GB2312" w:hAnsi="宋体" w:eastAsia="仿宋_GB2312" w:cs="仿宋_GB2312"/>
          <w:kern w:val="0"/>
          <w:sz w:val="31"/>
          <w:szCs w:val="31"/>
        </w:rPr>
        <w:t>）要求进行审批。建设项目用地无法避让生态红线的项目，其临时用地确需在其周边考虑并同时无法避让生态红线的，临时用地和建设项目用地一并纳入涉及生态红线的论证，经论证通过和批准同意后，才能报批临时用地。涉及自然保护地等生态类控制线的，须经相关主管部门前置审批同意。</w:t>
      </w:r>
    </w:p>
    <w:p>
      <w:pPr>
        <w:widowControl/>
        <w:spacing w:line="560" w:lineRule="exact"/>
        <w:ind w:firstLine="620" w:firstLineChars="200"/>
        <w:jc w:val="left"/>
        <w:rPr>
          <w:rFonts w:ascii="仿宋_GB2312" w:hAnsi="宋体" w:eastAsia="仿宋_GB2312" w:cs="仿宋_GB2312"/>
          <w:kern w:val="0"/>
          <w:sz w:val="31"/>
          <w:szCs w:val="31"/>
        </w:rPr>
      </w:pPr>
      <w:r>
        <w:rPr>
          <w:rFonts w:hint="eastAsia" w:ascii="仿宋_GB2312" w:hAnsi="宋体" w:eastAsia="仿宋_GB2312" w:cs="仿宋_GB2312"/>
          <w:kern w:val="0"/>
          <w:sz w:val="31"/>
          <w:szCs w:val="31"/>
        </w:rPr>
        <w:t>（五）申请使用的临时用地不得影响近期建设规划或者控</w:t>
      </w:r>
      <w:r>
        <w:rPr>
          <w:rFonts w:ascii="仿宋_GB2312" w:hAnsi="宋体" w:eastAsia="仿宋_GB2312" w:cs="仿宋_GB2312"/>
          <w:kern w:val="0"/>
          <w:sz w:val="31"/>
          <w:szCs w:val="31"/>
        </w:rPr>
        <w:t>制性详细规划的实施，不得妨碍道路交通、损坏水利等公共设</w:t>
      </w:r>
      <w:r>
        <w:rPr>
          <w:rFonts w:hint="eastAsia" w:ascii="仿宋_GB2312" w:hAnsi="宋体" w:eastAsia="仿宋_GB2312" w:cs="仿宋_GB2312"/>
          <w:kern w:val="0"/>
          <w:sz w:val="31"/>
          <w:szCs w:val="31"/>
        </w:rPr>
        <w:t>施，不得造成安全隐患。房地产、工业、商服、娱乐等项目建设时所需的临时施工用地应尽量不占或者少占耕地，原则上在供地范围内自行落实或申请临时使用存量建设用地。</w:t>
      </w:r>
    </w:p>
    <w:p>
      <w:pPr>
        <w:widowControl/>
        <w:spacing w:line="560" w:lineRule="exact"/>
        <w:ind w:firstLine="620" w:firstLineChars="200"/>
        <w:jc w:val="left"/>
        <w:rPr>
          <w:rFonts w:ascii="仿宋_GB2312" w:hAnsi="宋体" w:eastAsia="仿宋_GB2312" w:cs="仿宋_GB2312"/>
          <w:kern w:val="0"/>
          <w:sz w:val="31"/>
          <w:szCs w:val="31"/>
        </w:rPr>
      </w:pPr>
      <w:r>
        <w:rPr>
          <w:rFonts w:hint="eastAsia" w:ascii="仿宋_GB2312" w:hAnsi="宋体" w:eastAsia="仿宋_GB2312" w:cs="仿宋_GB2312"/>
          <w:kern w:val="0"/>
          <w:sz w:val="31"/>
          <w:szCs w:val="31"/>
        </w:rPr>
        <w:t>（六）</w:t>
      </w:r>
      <w:r>
        <w:rPr>
          <w:rFonts w:hint="eastAsia" w:ascii="仿宋_GB2312" w:hAnsi="仿宋" w:eastAsia="仿宋_GB2312" w:cs="仿宋"/>
          <w:sz w:val="32"/>
          <w:szCs w:val="32"/>
        </w:rPr>
        <w:t>重大项目建设在选址预审和报批阶段应同步谋划材料堆场、制梁场、拌合站、钢筋加工厂、施工便道等临时用地选址，并提前开展资料收集、勘测定界、</w:t>
      </w:r>
      <w:r>
        <w:rPr>
          <w:rFonts w:hint="eastAsia" w:ascii="仿宋_GB2312" w:hAnsi="仿宋_GB2312" w:eastAsia="仿宋_GB2312" w:cs="仿宋_GB2312"/>
          <w:sz w:val="32"/>
          <w:szCs w:val="32"/>
        </w:rPr>
        <w:t>难以避让</w:t>
      </w:r>
      <w:r>
        <w:rPr>
          <w:rFonts w:hint="eastAsia" w:ascii="仿宋_GB2312" w:hAnsi="仿宋" w:eastAsia="仿宋_GB2312" w:cs="仿宋"/>
          <w:sz w:val="32"/>
          <w:szCs w:val="32"/>
        </w:rPr>
        <w:t>永农论证等前期报批准备工作，避免出现因未批先用等情况引发的违法用地行为。</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临时用地使用期限和规模</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（一）使用期限。</w:t>
      </w:r>
      <w:r>
        <w:rPr>
          <w:rFonts w:hint="eastAsia" w:ascii="仿宋_GB2312" w:hAnsi="仿宋_GB2312" w:eastAsia="仿宋_GB2312" w:cs="仿宋_GB2312"/>
          <w:sz w:val="32"/>
          <w:szCs w:val="32"/>
        </w:rPr>
        <w:t>临时用地的使用期限自批准之日起算，一般不超过两年。建设周期较长的能源、交通、水利等基础设施建设项目施工使用的临时用地期限不超过四年。</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城镇开发边界内临时建设用地规划许可、临时建设工程规划许可的期限应当与临时用地期限相衔接。</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于占用耕地以外地类的临时用地，在规定的使用期限内，不改变用途和范围的前提下，经临时用地原审批机关批准，可以确定给其他建设项目作为临时用地使用，但必须明确土地复垦义务人，确保土地复垦义务履行到位。</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（二）规模要求。</w:t>
      </w:r>
      <w:r>
        <w:rPr>
          <w:rFonts w:hint="eastAsia" w:ascii="仿宋_GB2312" w:hAnsi="仿宋_GB2312" w:eastAsia="仿宋_GB2312" w:cs="仿宋_GB2312"/>
          <w:sz w:val="32"/>
          <w:szCs w:val="32"/>
        </w:rPr>
        <w:t>根据临时使用用途的功能特点、建设内容等实际需求，参照现行各类用地标准、行业专业技术设计、建设规范等，结合主体建设项目的地形地质、工程条件等因素合理确定临时用地规模。除省级以上交通、能源、水利等重大基础设施外，一般建设项目使用的临时用地规模原则上不超过主体项目批准面积的30%，且单块临时用地规模原则上不超过50亩；确需超出的，需开展节地论证。建（构）筑物结构原则上不得超过2层，材料上无特殊要求的，不得采用现浇钢筋混凝土等耐久性材料。</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临时用地申请要求和审批流程</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（一）申请主体。</w:t>
      </w:r>
      <w:r>
        <w:rPr>
          <w:rFonts w:hint="eastAsia" w:ascii="仿宋_GB2312" w:hAnsi="仿宋_GB2312" w:eastAsia="仿宋_GB2312" w:cs="仿宋_GB2312"/>
          <w:sz w:val="32"/>
          <w:szCs w:val="32"/>
        </w:rPr>
        <w:t>临时用地申请人应为项目建设依据文件明确的项目业主。铁路、高速公路等线性工程项目可由项目业主书面委托施工单位承担临时用地申请的具体工作，临时用地申请主体不变。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（二）审批主体。</w:t>
      </w:r>
      <w:r>
        <w:rPr>
          <w:rFonts w:hint="eastAsia" w:ascii="仿宋_GB2312" w:hAnsi="仿宋_GB2312" w:eastAsia="仿宋_GB2312" w:cs="仿宋_GB2312"/>
          <w:sz w:val="32"/>
          <w:szCs w:val="32"/>
        </w:rPr>
        <w:t>临时用地审批由县自然资源和规划局负责，其中涉及占用耕地、永久基本农田和生态保护红线的，经县自然资源和规划局受理审查后，报市自然资源和规划局审批。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（三）申请与审批流程。</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1.用地意向与空间适配。</w:t>
      </w:r>
      <w:r>
        <w:rPr>
          <w:rFonts w:hint="eastAsia" w:ascii="仿宋_GB2312" w:hAnsi="仿宋_GB2312" w:eastAsia="仿宋_GB2312" w:cs="仿宋_GB2312"/>
          <w:sz w:val="32"/>
          <w:szCs w:val="32"/>
        </w:rPr>
        <w:t>临时用地申请人根据项目实际需要，提出用地意向，申请临时用地前由所在地乡镇人民政府（街道办事处）（以下简称乡镇（街道））组织自然资源、交通、水利、农业农村、生态环境等相关主管部门对临时用地意向选址进行实地踏勘，提出踏勘意见。拟选址范围内占用耕地、永久基本农田、生态保护红线的，应提供占用必要性的文字说明。县自然资源和规划局依托省域空间治理平台就项目是否符合选址要求开展空间适配工作，充分研判耕地保护、城镇布局、土地利用及各类空间制约因素，严格把关，提出临时用地选址意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2.临时用地申请。</w:t>
      </w:r>
      <w:r>
        <w:rPr>
          <w:rFonts w:hint="eastAsia" w:ascii="仿宋_GB2312" w:hAnsi="仿宋_GB2312" w:eastAsia="仿宋_GB2312" w:cs="仿宋_GB2312"/>
          <w:sz w:val="32"/>
          <w:szCs w:val="32"/>
        </w:rPr>
        <w:t>需要使用临时用地的，申请人向县自然资源和规划局提出申请，并提交下列材料：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（1）临时用地申请书、申请人身份资料。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临时使用土地合同及土地权属资料。临时使用未确定使用权的国有土地的，由申请人与县自然资源和规划局或县人民政府指定的单位签订，其中临时使用已纳入土地储备库的国有土地的，由申请人与土地储备机构签订；临时使用已确定使用权的国有土地的，由申请人与国有土地使用权人签订；临时使用农民集体所有土地的，由申请人与土地所属的农村集体经济组织或村民委员会签订；涉及承包土地的，应先征得承包权人书面同意。临时使用未确定使用权的国有土地的，临时使用土地补偿费全额缴纳县级国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（3）单独选址建设项目，提供审批（或核准、备案）文件；其他建设项目，提供建设用地批复文件；用于矿产资源勘查的，提供探矿权许可证（或勘查项目任务书、勘查委托合同）。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（4）临时使用农用地的，提供土地复垦协议和土地复垦方案，涉及占用永久基本农田、生态保护红线的，还应出具不可避让论证等书面意见；临时使用建设用地、未利用地的，提供土地恢复协议。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（5）临时占用湿地、自然保护地等，应提供占用湿地、自然保护地的审查意见或审批结果。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相关图件资料：标注临时用地位置和范围的勘测定界图及电子文件（2000国家大地坐标系），土地利用现状照片以及《临时用地项目实地踏勘意见表》。涉及生态控制线（生态红线、自然保护地或湿地）的，应注明涉及的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（7）临时用地位于地质灾害易发区的，应提供地质灾害危险性评估报告以及做好地质灾害防护工作承诺书。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（8）临时用地规模超过规模限制的，提供节地论证材料。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（9）存在未批先用的，提供违法处罚及执行到位的材料。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（10）需要提交的其他材料。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用地申请原则上应在项目建设用地审批完成后（准许先行动工的除外）或取得地质勘查权后提出。对项目建设亟需使用的临时用地，可采取容缺方式先行受理用地申请。在相关建设项目未取得供地手续前，同步开展批前公示、内部审核等工作。项目业主正式提交建设项目供地手续文件后核发临时用地批准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临时占用林地、草地的，按《自然资源部 国家林业和草原局&lt;关于以第三次全国国土地调查成果为基础明确林地管理边界规范林地管理的通知&gt;》（自然资发〔2023〕53号）、《浙江省林业局关于贯彻落实国家林业和草原局&lt;建设项目使用林地审核审批管理规范&gt;的通知》（浙林资〔2022〕4号）、《浙江省林业局关于规范草原征占用审核审批管理的通知（试行）》（浙林湿〔2023〕64号）的规定执行。</w:t>
      </w:r>
    </w:p>
    <w:p>
      <w:pPr>
        <w:widowControl/>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3.受理及审查。</w:t>
      </w:r>
      <w:r>
        <w:rPr>
          <w:rFonts w:hint="eastAsia" w:ascii="仿宋_GB2312" w:hAnsi="仿宋_GB2312" w:eastAsia="仿宋_GB2312" w:cs="仿宋_GB2312"/>
          <w:sz w:val="32"/>
          <w:szCs w:val="32"/>
        </w:rPr>
        <w:t>临时用地由县自然资源和规划局负责受理及审查。县自然资源和规划局应建立开发利用、空间规划、用途管制、耕地保护、确权登记、执法监督、林业管理、自然资源所等参与的联合审查机制，依法受理，严格审查。</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4.资金落实。</w:t>
      </w:r>
      <w:r>
        <w:rPr>
          <w:rFonts w:hint="eastAsia" w:ascii="仿宋_GB2312" w:hAnsi="仿宋_GB2312" w:eastAsia="仿宋_GB2312" w:cs="仿宋_GB2312"/>
          <w:sz w:val="32"/>
          <w:szCs w:val="32"/>
        </w:rPr>
        <w:t>经审查通过的，县自然资源和规划局通知临时用地申请人在约定银行的专门账户预存土地复垦费或者提供银行保函。土地复垦费用按照经论证的土地复垦方案确定的资金数额预存，并由申请人与县自然资源和规划局、所在地乡镇（街道）、银行签订土地复垦费用使用监管协议。银行保函应以独立保函形式出具，载明银行担保责任，担保期应不短于土地复垦义务存续期，且保函金额应能确保复垦到位，同时提供建设单位承诺书。土地复垦费用专项用于土地复垦，任何单位和个人不得截留、挤占、挪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5.备案公示。</w:t>
      </w:r>
      <w:r>
        <w:rPr>
          <w:rFonts w:hint="eastAsia" w:ascii="仿宋_GB2312" w:hAnsi="仿宋_GB2312" w:eastAsia="仿宋_GB2312" w:cs="仿宋_GB2312"/>
          <w:sz w:val="32"/>
          <w:szCs w:val="32"/>
        </w:rPr>
        <w:t>项目业主按要求预存土地复垦费用或者提供银行保函，并按照《临时使用土地合同》约定要求缴纳的临时用地补偿费用凭证后，县自然资源和规划局及时核发临时用地批准书，并在临时用地批准后20个工作日内，将临时用地的批准文件、合同以及四至范围、土地复垦方案及审查意见、耕地与其他地类矢量数据、土地复垦费用预存情况、土地利用现状照片影像资料等传至自然资源部临时用地信息系统完成系统配号，同时在县政府门户网站向社会公开临时用地批准信息。</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临时用地复垦和验收</w:t>
      </w:r>
    </w:p>
    <w:p>
      <w:pPr>
        <w:numPr>
          <w:ilvl w:val="0"/>
          <w:numId w:val="3"/>
        </w:num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恢复要求。</w:t>
      </w:r>
      <w:r>
        <w:rPr>
          <w:rFonts w:hint="eastAsia" w:ascii="仿宋_GB2312" w:hAnsi="仿宋_GB2312" w:eastAsia="仿宋_GB2312" w:cs="仿宋_GB2312"/>
          <w:sz w:val="32"/>
          <w:szCs w:val="32"/>
        </w:rPr>
        <w:t>临时用地申请人为土地复垦义务人。临时用地使用期限满后，土地复垦义务人应按照临时使用土地合同约定，将临时用地恢复原地类或可供利用状态，最长不超过一年。使用耕地的应当复垦为耕地，确保耕地面积不减少、质量不降低；使用耕地以外的其他农用地应当复垦为原地类；使用未利用地的，对于符合条件的鼓励复垦为耕地；占用其他土地的，应当恢复原状。因气候、灾害等不可抗力因素影响复垦的，经原审批单位批准可以适当延长复垦期限。临时用地使用期限内或复垦期限内已完成农用地转用的，不再进行复垦，但应按照建设用地标准恢复，相关土地复垦费用退回。</w:t>
      </w:r>
    </w:p>
    <w:p>
      <w:pPr>
        <w:numPr>
          <w:ilvl w:val="0"/>
          <w:numId w:val="3"/>
        </w:num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复垦责任。</w:t>
      </w:r>
      <w:r>
        <w:rPr>
          <w:rFonts w:hint="eastAsia" w:ascii="仿宋_GB2312" w:hAnsi="仿宋_GB2312" w:eastAsia="仿宋_GB2312" w:cs="仿宋_GB2312"/>
          <w:sz w:val="32"/>
          <w:szCs w:val="32"/>
        </w:rPr>
        <w:t>临时用地复垦及验收按照《土地复垦条例》《土地复垦条例实施办法》等有关规定执行。土地复垦义务人限期不复垦，或者复垦验收中经整改仍不合格的，由所在地乡镇（街道）代为组织复垦，复垦费用从土地复垦义务人预存的土地复垦费用中支取，或向出具保函的担保银行索取，支付给复垦任务承担单位。复垦费用不足部分由土地复垦义务人承担。</w:t>
      </w:r>
    </w:p>
    <w:p>
      <w:pPr>
        <w:numPr>
          <w:ilvl w:val="0"/>
          <w:numId w:val="3"/>
        </w:num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复垦验收。</w:t>
      </w:r>
      <w:r>
        <w:rPr>
          <w:rFonts w:hint="eastAsia" w:ascii="仿宋_GB2312" w:hAnsi="仿宋_GB2312" w:eastAsia="仿宋_GB2312" w:cs="仿宋_GB2312"/>
          <w:sz w:val="32"/>
          <w:szCs w:val="32"/>
        </w:rPr>
        <w:t>县自然资源和规划局会同水利、农业农村、生态环境等有关部门和所在地乡镇（街道），组织邀请有关专家和土地权利人或其代表，按照土地复垦方案、土地复垦计划，对复垦后的土地类型、面积、质量及管护措施等情况进行验收，形成初步验收结果后，在临时用地所在地公告15日，听取相关权利人的意见。经验收合格的，向土地复垦义务人出具《土地复垦验收合格确认书》。经验收不合格的，向土地复垦义务人出具书面整改意见，列明需要整改的事项，由土地复垦义务人限期整改完成后重新申请验收。临时用地使用人凭县自然资源和规划局出具的《土地复垦验收合格确认书》申请办理退还土地复垦费。临时使用建设用地、未利用地的恢复，由县自然资源和规划局负责验收，并出具《土地恢复验收合格确认书》。</w:t>
      </w:r>
    </w:p>
    <w:p>
      <w:pPr>
        <w:spacing w:line="560" w:lineRule="exact"/>
        <w:ind w:firstLine="636"/>
        <w:rPr>
          <w:rFonts w:ascii="仿宋_GB2312" w:hAnsi="仿宋_GB2312" w:eastAsia="仿宋_GB2312" w:cs="仿宋_GB2312"/>
          <w:sz w:val="32"/>
          <w:szCs w:val="32"/>
        </w:rPr>
      </w:pPr>
      <w:r>
        <w:rPr>
          <w:rFonts w:hint="eastAsia" w:ascii="仿宋_GB2312" w:hAnsi="仿宋_GB2312" w:eastAsia="仿宋_GB2312" w:cs="仿宋_GB2312"/>
          <w:sz w:val="32"/>
          <w:szCs w:val="32"/>
        </w:rPr>
        <w:t>县自然资源和规划局应当在临时用地复垦（恢复）验收后，将验收合格确认书、现状照片等材料传至自然资源部临时用地信息系统。</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临时用地使用要求及批后监管</w:t>
      </w:r>
    </w:p>
    <w:p>
      <w:pPr>
        <w:numPr>
          <w:ilvl w:val="0"/>
          <w:numId w:val="4"/>
        </w:num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使用要求。</w:t>
      </w:r>
      <w:r>
        <w:rPr>
          <w:rFonts w:hint="eastAsia" w:ascii="仿宋_GB2312" w:hAnsi="仿宋_GB2312" w:eastAsia="仿宋_GB2312" w:cs="仿宋_GB2312"/>
          <w:sz w:val="32"/>
          <w:szCs w:val="32"/>
        </w:rPr>
        <w:t>临时用地批准后，临时用地使用人应当在临时用地范围落实“挂牌施工”，载明批准机关、批准用途、四至范围和使用期限等内容，严格按照批准的用途、位置和面积使用土地，不得擅自转让、出租、抵押临时用地，不得在临时用地上修建永久性建（构）筑物。对可能被损毁的耕地、林地、园地等农用地，应当按规定进行表土剥离，用于被损毁土地的复垦。因国家建设</w:t>
      </w:r>
      <w:r>
        <w:rPr>
          <w:rFonts w:hint="eastAsia" w:ascii="仿宋_GB2312" w:hAnsi="仿宋_GB2312" w:eastAsia="仿宋_GB2312" w:cs="仿宋_GB2312"/>
          <w:bCs/>
          <w:sz w:val="32"/>
          <w:szCs w:val="32"/>
        </w:rPr>
        <w:t>或实施村庄建设规划</w:t>
      </w:r>
      <w:r>
        <w:rPr>
          <w:rFonts w:hint="eastAsia" w:ascii="仿宋_GB2312" w:hAnsi="仿宋_GB2312" w:eastAsia="仿宋_GB2312" w:cs="仿宋_GB2312"/>
          <w:sz w:val="32"/>
          <w:szCs w:val="32"/>
        </w:rPr>
        <w:t>需要使用土地时，临时用地使用人应当无条件服从，并在规定的期限内自行拆除地上的建（构）筑物和其他附属设施，</w:t>
      </w:r>
      <w:r>
        <w:rPr>
          <w:rFonts w:hint="eastAsia" w:ascii="仿宋_GB2312" w:hAnsi="仿宋_GB2312" w:eastAsia="仿宋_GB2312" w:cs="仿宋_GB2312"/>
          <w:bCs/>
          <w:sz w:val="32"/>
          <w:szCs w:val="32"/>
        </w:rPr>
        <w:t>原审批的《临时用地批准书》同时作废。</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（二）监管职责。</w:t>
      </w:r>
      <w:r>
        <w:rPr>
          <w:rFonts w:hint="eastAsia" w:ascii="仿宋_GB2312" w:hAnsi="仿宋_GB2312" w:eastAsia="仿宋_GB2312" w:cs="仿宋_GB2312"/>
          <w:sz w:val="32"/>
          <w:szCs w:val="32"/>
        </w:rPr>
        <w:t>县自然资源和规划局牵头会同水利、农业农村、生态环境、项目主管等部门及乡镇（街道）加强临时用地批后监管，形成多部门联动监管机制。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自然资源和规划局负责临时用地的全程监管，督促临时用地使用人在临时用地范围落实“挂牌”施工，依法依规使用临时用地，如期履行复垦义务和恢复责任；建立临时用地批后动态巡查监管制度，明确巡查监管责任，落实批后现场巡查、复垦预警等日常监管工作，探索运用科技手段，在耕地保护、林地保护、国土变更调查、执法、生态修复等自然资源管理工作中，监督检查临时用地批准、使用、复垦等情况，切实加强日常监督管理。</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临时用地项目主管部门、所在地乡镇（街道）及水利、农业农村、生态环境等行业主管部门承担共同监管责任，配合县自然资源和规划局做好临时用地日常监督管理，切实防止“批用不符、少批多占、退而不复垦”等问题发生。项目主管部门负责督促临时用地使用人依法依规使用临时用地；乡镇（街道）负责辖区内临时用地日常监督巡查，发现问题及时上报县自然资源和规划局及相关行业主管部门；</w:t>
      </w:r>
      <w:r>
        <w:rPr>
          <w:rFonts w:hint="eastAsia" w:ascii="仿宋_GB2312" w:hAnsi="仿宋_GB2312" w:eastAsia="仿宋_GB2312" w:cs="仿宋_GB2312"/>
          <w:color w:val="auto"/>
          <w:sz w:val="32"/>
          <w:szCs w:val="32"/>
        </w:rPr>
        <w:t>县农业农村局负责临时用地使用期间农田设施保护的监管和临时用地退出复垦后耕地的种植管护；县水利局负责临时用地使用期间水利设施保护的监管；市生态环境局庆元分局负责临时用地使用期间生态环境保护的监管。</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（三）监管措施。</w:t>
      </w:r>
      <w:r>
        <w:rPr>
          <w:rFonts w:hint="eastAsia" w:ascii="仿宋_GB2312" w:hAnsi="宋体" w:eastAsia="仿宋_GB2312" w:cs="仿宋_GB2312"/>
          <w:kern w:val="0"/>
          <w:sz w:val="31"/>
          <w:szCs w:val="31"/>
        </w:rPr>
        <w:t>临时用地占用耕地的，纳入“耕地智保”、“田长制”监管和后续耕地保护执法；临时用地超批准范围、未批先用、擅自改变用途、修建永久性建（构）筑物、逾期不恢复种植条件、违反土地复垦规定等违法行为，纳入执法监察进行管理，依照相关法律法规进行处理。</w:t>
      </w:r>
      <w:r>
        <w:rPr>
          <w:rFonts w:hint="eastAsia" w:ascii="仿宋_GB2312" w:hAnsi="仿宋" w:eastAsia="仿宋_GB2312" w:cs="仿宋"/>
          <w:sz w:val="32"/>
          <w:szCs w:val="32"/>
        </w:rPr>
        <w:t>临时用地使用期满，县自然资源和规划局要以书面形式通知并督促临时用地使用者及时退出占用的土地并在规定（约定）时限内履行土地复垦（恢复）义务，建设项目用地单位未在规定时限内履行土地复垦（恢复）义务的，限期拒不整改的要进行立案查处，且不得受理新的临时用地申请。涉及临时用地使用的建设项目申请竣工验收时，应同步退出临时用地占用的土地，对临时用地未按时退出仍在使用的，原则上不予发放竣工验收核实意见书。</w:t>
      </w:r>
      <w:r>
        <w:rPr>
          <w:rFonts w:hint="eastAsia" w:ascii="仿宋_GB2312" w:hAnsi="宋体" w:eastAsia="仿宋_GB2312" w:cs="仿宋_GB2312"/>
          <w:kern w:val="0"/>
          <w:sz w:val="31"/>
          <w:szCs w:val="31"/>
        </w:rPr>
        <w:t>申请使用的临时用地未批先用问题未依法处置到位的，不得受理临时用地使用申请。临时用地破坏农田水利设施、使用过程造成环境污染等情形的，由行业主管部门按规定查处。</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本实施细则自2024年  月  日起实施，有效期五年。实施过程中，上级部门有新规定的，从其规定。《庆元县临时用地管理暂行办法》（庆政发〔2015〕111号）同时废止。</w:t>
      </w:r>
    </w:p>
    <w:p>
      <w:pPr>
        <w:rPr>
          <w:rFonts w:ascii="仿宋_GB2312" w:hAnsi="仿宋_GB2312" w:eastAsia="仿宋_GB2312" w:cs="仿宋_GB2312"/>
          <w:b/>
          <w:bCs/>
          <w:sz w:val="28"/>
          <w:szCs w:val="28"/>
        </w:rPr>
        <w:sectPr>
          <w:pgSz w:w="11906" w:h="16838"/>
          <w:pgMar w:top="2098" w:right="1474" w:bottom="1984" w:left="1587" w:header="851" w:footer="992" w:gutter="0"/>
          <w:cols w:space="425" w:num="1"/>
          <w:docGrid w:type="lines" w:linePitch="312" w:charSpace="0"/>
        </w:sectPr>
      </w:pPr>
    </w:p>
    <w:p>
      <w:pPr>
        <w:spacing w:line="560" w:lineRule="exact"/>
        <w:rPr>
          <w:rFonts w:ascii="方正小标宋_GBK" w:hAnsi="宋体" w:eastAsia="方正小标宋_GBK" w:cs="宋体"/>
          <w:kern w:val="0"/>
          <w:sz w:val="44"/>
          <w:szCs w:val="44"/>
        </w:rPr>
      </w:pPr>
      <w:r>
        <w:rPr>
          <w:rFonts w:hint="eastAsia" w:ascii="仿宋_GB2312" w:hAnsi="仿宋_GB2312" w:eastAsia="仿宋_GB2312" w:cs="仿宋_GB2312"/>
          <w:b/>
          <w:bCs/>
          <w:sz w:val="28"/>
          <w:szCs w:val="28"/>
        </w:rPr>
        <w:t>附件1</w:t>
      </w:r>
    </w:p>
    <w:p>
      <w:pPr>
        <w:widowControl/>
        <w:spacing w:before="100" w:beforeAutospacing="1" w:after="240"/>
        <w:ind w:left="140"/>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临时用地</w:t>
      </w:r>
      <w:r>
        <w:rPr>
          <w:rFonts w:ascii="方正小标宋_GBK" w:hAnsi="宋体" w:eastAsia="方正小标宋_GBK" w:cs="宋体"/>
          <w:kern w:val="0"/>
          <w:sz w:val="44"/>
          <w:szCs w:val="44"/>
        </w:rPr>
        <w:t>项目</w:t>
      </w:r>
      <w:r>
        <w:rPr>
          <w:rFonts w:hint="eastAsia" w:ascii="方正小标宋_GBK" w:hAnsi="宋体" w:eastAsia="方正小标宋_GBK" w:cs="宋体"/>
          <w:kern w:val="0"/>
          <w:sz w:val="44"/>
          <w:szCs w:val="44"/>
        </w:rPr>
        <w:t>实地踏勘</w:t>
      </w:r>
      <w:r>
        <w:rPr>
          <w:rFonts w:ascii="方正小标宋_GBK" w:hAnsi="宋体" w:eastAsia="方正小标宋_GBK" w:cs="宋体"/>
          <w:kern w:val="0"/>
          <w:sz w:val="44"/>
          <w:szCs w:val="44"/>
        </w:rPr>
        <w:t>意见</w:t>
      </w:r>
      <w:r>
        <w:rPr>
          <w:rFonts w:hint="eastAsia" w:ascii="方正小标宋_GBK" w:hAnsi="宋体" w:eastAsia="方正小标宋_GBK" w:cs="宋体"/>
          <w:kern w:val="0"/>
          <w:sz w:val="44"/>
          <w:szCs w:val="44"/>
        </w:rPr>
        <w:t>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545"/>
        <w:gridCol w:w="1939"/>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2" w:type="dxa"/>
            <w:vAlign w:val="center"/>
          </w:tcPr>
          <w:p>
            <w:pPr>
              <w:widowControl/>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w:t>
            </w:r>
          </w:p>
        </w:tc>
        <w:tc>
          <w:tcPr>
            <w:tcW w:w="7200" w:type="dxa"/>
            <w:gridSpan w:val="3"/>
            <w:vAlign w:val="center"/>
          </w:tcPr>
          <w:p>
            <w:pPr>
              <w:widowControl/>
              <w:spacing w:line="320" w:lineRule="exact"/>
              <w:jc w:val="center"/>
              <w:rPr>
                <w:rFonts w:ascii="仿宋_GB2312" w:hAnsi="仿宋_GB2312" w:eastAsia="仿宋_GB2312" w:cs="仿宋_GB2312"/>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2" w:type="dxa"/>
            <w:vAlign w:val="center"/>
          </w:tcPr>
          <w:p>
            <w:pPr>
              <w:widowControl/>
              <w:spacing w:line="320" w:lineRule="exact"/>
              <w:jc w:val="center"/>
              <w:rPr>
                <w:rFonts w:ascii="仿宋_GB2312" w:hAnsi="仿宋_GB2312" w:eastAsia="仿宋_GB2312" w:cs="仿宋_GB2312"/>
                <w:kern w:val="0"/>
                <w:sz w:val="40"/>
                <w:szCs w:val="40"/>
              </w:rPr>
            </w:pPr>
            <w:r>
              <w:rPr>
                <w:rFonts w:hint="eastAsia" w:ascii="仿宋_GB2312" w:hAnsi="仿宋_GB2312" w:eastAsia="仿宋_GB2312" w:cs="仿宋_GB2312"/>
                <w:kern w:val="0"/>
                <w:sz w:val="32"/>
                <w:szCs w:val="32"/>
              </w:rPr>
              <w:t>申请人</w:t>
            </w:r>
          </w:p>
        </w:tc>
        <w:tc>
          <w:tcPr>
            <w:tcW w:w="7200" w:type="dxa"/>
            <w:gridSpan w:val="3"/>
            <w:vAlign w:val="center"/>
          </w:tcPr>
          <w:p>
            <w:pPr>
              <w:spacing w:line="320" w:lineRule="exact"/>
              <w:jc w:val="center"/>
              <w:rPr>
                <w:rFonts w:ascii="仿宋_GB2312" w:hAnsi="仿宋_GB2312" w:eastAsia="仿宋_GB2312" w:cs="仿宋_GB2312"/>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2" w:type="dxa"/>
            <w:vAlign w:val="center"/>
          </w:tcPr>
          <w:p>
            <w:pPr>
              <w:widowControl/>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p>
        </w:tc>
        <w:tc>
          <w:tcPr>
            <w:tcW w:w="2545" w:type="dxa"/>
            <w:vAlign w:val="center"/>
          </w:tcPr>
          <w:p>
            <w:pPr>
              <w:widowControl/>
              <w:spacing w:line="320" w:lineRule="exact"/>
              <w:jc w:val="center"/>
              <w:rPr>
                <w:rFonts w:ascii="仿宋_GB2312" w:hAnsi="仿宋_GB2312" w:eastAsia="仿宋_GB2312" w:cs="仿宋_GB2312"/>
                <w:kern w:val="0"/>
                <w:sz w:val="40"/>
                <w:szCs w:val="40"/>
              </w:rPr>
            </w:pPr>
          </w:p>
        </w:tc>
        <w:tc>
          <w:tcPr>
            <w:tcW w:w="1939" w:type="dxa"/>
            <w:vAlign w:val="center"/>
          </w:tcPr>
          <w:p>
            <w:pPr>
              <w:widowControl/>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tc>
        <w:tc>
          <w:tcPr>
            <w:tcW w:w="2716" w:type="dxa"/>
            <w:vAlign w:val="center"/>
          </w:tcPr>
          <w:p>
            <w:pPr>
              <w:widowControl/>
              <w:spacing w:line="320" w:lineRule="exact"/>
              <w:jc w:val="center"/>
              <w:rPr>
                <w:rFonts w:ascii="仿宋_GB2312" w:hAnsi="仿宋_GB2312" w:eastAsia="仿宋_GB2312" w:cs="仿宋_GB2312"/>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2" w:type="dxa"/>
            <w:vAlign w:val="center"/>
          </w:tcPr>
          <w:p>
            <w:pPr>
              <w:widowControl/>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用地坐落</w:t>
            </w:r>
          </w:p>
        </w:tc>
        <w:tc>
          <w:tcPr>
            <w:tcW w:w="7200" w:type="dxa"/>
            <w:gridSpan w:val="3"/>
            <w:vAlign w:val="center"/>
          </w:tcPr>
          <w:p>
            <w:pPr>
              <w:widowControl/>
              <w:spacing w:line="32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2" w:type="dxa"/>
            <w:vAlign w:val="center"/>
          </w:tcPr>
          <w:p>
            <w:pPr>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用地类型</w:t>
            </w:r>
          </w:p>
        </w:tc>
        <w:tc>
          <w:tcPr>
            <w:tcW w:w="7200" w:type="dxa"/>
            <w:gridSpan w:val="3"/>
            <w:vAlign w:val="center"/>
          </w:tcPr>
          <w:p>
            <w:pPr>
              <w:widowControl/>
              <w:spacing w:line="320" w:lineRule="exact"/>
              <w:rPr>
                <w:rFonts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 xml:space="preserve">建设项目施工       </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矿产资源勘查、地质勘查</w:t>
            </w:r>
          </w:p>
          <w:p>
            <w:pPr>
              <w:widowControl/>
              <w:spacing w:line="320" w:lineRule="exac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 xml:space="preserve">考古、文物保护     </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2" w:type="dxa"/>
            <w:vAlign w:val="center"/>
          </w:tcPr>
          <w:p>
            <w:pPr>
              <w:spacing w:line="32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用地面积</w:t>
            </w:r>
          </w:p>
        </w:tc>
        <w:tc>
          <w:tcPr>
            <w:tcW w:w="7200" w:type="dxa"/>
            <w:gridSpan w:val="3"/>
            <w:vAlign w:val="center"/>
          </w:tcPr>
          <w:p>
            <w:pPr>
              <w:widowControl/>
              <w:spacing w:line="32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842"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乡镇（街道）意  见</w:t>
            </w:r>
          </w:p>
        </w:tc>
        <w:tc>
          <w:tcPr>
            <w:tcW w:w="7200" w:type="dxa"/>
            <w:gridSpan w:val="3"/>
          </w:tcPr>
          <w:p>
            <w:pPr>
              <w:spacing w:line="400" w:lineRule="exact"/>
              <w:ind w:right="700"/>
              <w:rPr>
                <w:rFonts w:ascii="仿宋_GB2312" w:hAnsi="仿宋_GB2312" w:eastAsia="仿宋_GB2312" w:cs="仿宋_GB2312"/>
                <w:kern w:val="0"/>
                <w:sz w:val="32"/>
                <w:szCs w:val="32"/>
              </w:rPr>
            </w:pPr>
          </w:p>
          <w:p>
            <w:pPr>
              <w:spacing w:line="400" w:lineRule="exact"/>
              <w:ind w:right="700"/>
              <w:rPr>
                <w:rFonts w:ascii="仿宋_GB2312" w:hAnsi="仿宋_GB2312" w:eastAsia="仿宋_GB2312" w:cs="仿宋_GB2312"/>
                <w:kern w:val="0"/>
                <w:sz w:val="32"/>
                <w:szCs w:val="32"/>
              </w:rPr>
            </w:pPr>
          </w:p>
          <w:p>
            <w:pPr>
              <w:spacing w:line="400" w:lineRule="exact"/>
              <w:ind w:right="700"/>
              <w:rPr>
                <w:rFonts w:ascii="仿宋_GB2312" w:hAnsi="仿宋_GB2312" w:eastAsia="仿宋_GB2312" w:cs="仿宋_GB2312"/>
                <w:kern w:val="0"/>
                <w:sz w:val="32"/>
                <w:szCs w:val="32"/>
              </w:rPr>
            </w:pPr>
          </w:p>
          <w:p>
            <w:pPr>
              <w:spacing w:line="400" w:lineRule="exact"/>
              <w:ind w:right="700"/>
              <w:rPr>
                <w:rFonts w:ascii="仿宋_GB2312" w:hAnsi="仿宋_GB2312" w:eastAsia="仿宋_GB2312" w:cs="仿宋_GB2312"/>
                <w:kern w:val="0"/>
                <w:sz w:val="32"/>
                <w:szCs w:val="32"/>
              </w:rPr>
            </w:pPr>
          </w:p>
          <w:p>
            <w:pPr>
              <w:spacing w:line="400" w:lineRule="exact"/>
              <w:ind w:right="140"/>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 xml:space="preserve">经办人：                    </w:t>
            </w:r>
            <w:r>
              <w:rPr>
                <w:rFonts w:hint="eastAsia" w:ascii="仿宋_GB2312" w:hAnsi="仿宋_GB2312" w:eastAsia="仿宋_GB2312" w:cs="仿宋_GB2312"/>
                <w:sz w:val="32"/>
                <w:szCs w:val="32"/>
              </w:rPr>
              <w:t>（盖  章）</w:t>
            </w:r>
          </w:p>
          <w:p>
            <w:pPr>
              <w:spacing w:line="400" w:lineRule="exact"/>
              <w:ind w:right="700" w:firstLine="4480" w:firstLineChars="1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842"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自然资源和规划部门</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意  见</w:t>
            </w:r>
          </w:p>
        </w:tc>
        <w:tc>
          <w:tcPr>
            <w:tcW w:w="7200" w:type="dxa"/>
            <w:gridSpan w:val="3"/>
          </w:tcPr>
          <w:p>
            <w:pPr>
              <w:spacing w:line="400" w:lineRule="exact"/>
              <w:ind w:right="700"/>
              <w:rPr>
                <w:rFonts w:ascii="仿宋_GB2312" w:hAnsi="仿宋_GB2312" w:eastAsia="仿宋_GB2312" w:cs="仿宋_GB2312"/>
                <w:kern w:val="0"/>
                <w:sz w:val="32"/>
                <w:szCs w:val="32"/>
              </w:rPr>
            </w:pPr>
          </w:p>
          <w:p>
            <w:pPr>
              <w:spacing w:line="400" w:lineRule="exact"/>
              <w:ind w:right="700"/>
              <w:rPr>
                <w:rFonts w:ascii="仿宋_GB2312" w:hAnsi="仿宋_GB2312" w:eastAsia="仿宋_GB2312" w:cs="仿宋_GB2312"/>
                <w:kern w:val="0"/>
                <w:sz w:val="32"/>
                <w:szCs w:val="32"/>
              </w:rPr>
            </w:pPr>
          </w:p>
          <w:p>
            <w:pPr>
              <w:spacing w:line="400" w:lineRule="exact"/>
              <w:ind w:right="700"/>
              <w:rPr>
                <w:rFonts w:ascii="仿宋_GB2312" w:hAnsi="仿宋_GB2312" w:eastAsia="仿宋_GB2312" w:cs="仿宋_GB2312"/>
                <w:kern w:val="0"/>
                <w:sz w:val="32"/>
                <w:szCs w:val="32"/>
              </w:rPr>
            </w:pPr>
          </w:p>
          <w:p>
            <w:pPr>
              <w:spacing w:line="400" w:lineRule="exact"/>
              <w:ind w:right="700"/>
              <w:rPr>
                <w:rFonts w:ascii="仿宋_GB2312" w:hAnsi="仿宋_GB2312" w:eastAsia="仿宋_GB2312" w:cs="仿宋_GB2312"/>
                <w:kern w:val="0"/>
                <w:sz w:val="32"/>
                <w:szCs w:val="32"/>
              </w:rPr>
            </w:pPr>
          </w:p>
          <w:p>
            <w:pPr>
              <w:spacing w:line="400" w:lineRule="exact"/>
              <w:ind w:right="140"/>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 xml:space="preserve">经办人：                    </w:t>
            </w:r>
            <w:r>
              <w:rPr>
                <w:rFonts w:hint="eastAsia" w:ascii="仿宋_GB2312" w:hAnsi="仿宋_GB2312" w:eastAsia="仿宋_GB2312" w:cs="仿宋_GB2312"/>
                <w:sz w:val="32"/>
                <w:szCs w:val="32"/>
              </w:rPr>
              <w:t>（盖  章）</w:t>
            </w:r>
          </w:p>
          <w:p>
            <w:pPr>
              <w:spacing w:line="400" w:lineRule="exact"/>
              <w:ind w:right="140" w:firstLine="4480" w:firstLineChars="1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842"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生态环境</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意  见</w:t>
            </w:r>
          </w:p>
        </w:tc>
        <w:tc>
          <w:tcPr>
            <w:tcW w:w="7200" w:type="dxa"/>
            <w:gridSpan w:val="3"/>
            <w:vAlign w:val="bottom"/>
          </w:tcPr>
          <w:p>
            <w:pPr>
              <w:spacing w:line="400" w:lineRule="exact"/>
              <w:ind w:right="700"/>
              <w:rPr>
                <w:rFonts w:ascii="仿宋_GB2312" w:hAnsi="仿宋_GB2312" w:eastAsia="仿宋_GB2312" w:cs="仿宋_GB2312"/>
                <w:kern w:val="0"/>
                <w:sz w:val="32"/>
                <w:szCs w:val="32"/>
              </w:rPr>
            </w:pPr>
          </w:p>
          <w:p>
            <w:pPr>
              <w:spacing w:line="400" w:lineRule="exact"/>
              <w:ind w:right="140"/>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 xml:space="preserve">经办人：                    </w:t>
            </w:r>
            <w:r>
              <w:rPr>
                <w:rFonts w:hint="eastAsia" w:ascii="仿宋_GB2312" w:hAnsi="仿宋_GB2312" w:eastAsia="仿宋_GB2312" w:cs="仿宋_GB2312"/>
                <w:sz w:val="32"/>
                <w:szCs w:val="32"/>
              </w:rPr>
              <w:t>（盖  章）</w:t>
            </w:r>
          </w:p>
          <w:p>
            <w:pPr>
              <w:widowControl/>
              <w:spacing w:line="400" w:lineRule="exact"/>
              <w:ind w:right="1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842" w:type="dxa"/>
            <w:vMerge w:val="restart"/>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交通、水利、农业农村等</w:t>
            </w:r>
          </w:p>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部门意见</w:t>
            </w:r>
          </w:p>
        </w:tc>
        <w:tc>
          <w:tcPr>
            <w:tcW w:w="7200" w:type="dxa"/>
            <w:gridSpan w:val="3"/>
            <w:vAlign w:val="bottom"/>
          </w:tcPr>
          <w:p>
            <w:pPr>
              <w:spacing w:line="400" w:lineRule="exact"/>
              <w:ind w:right="140"/>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 xml:space="preserve">经办人：                    </w:t>
            </w:r>
            <w:r>
              <w:rPr>
                <w:rFonts w:hint="eastAsia" w:ascii="仿宋_GB2312" w:hAnsi="仿宋_GB2312" w:eastAsia="仿宋_GB2312" w:cs="仿宋_GB2312"/>
                <w:sz w:val="32"/>
                <w:szCs w:val="32"/>
              </w:rPr>
              <w:t>（盖  章）</w:t>
            </w:r>
          </w:p>
          <w:p>
            <w:pPr>
              <w:widowControl/>
              <w:spacing w:line="400" w:lineRule="exact"/>
              <w:ind w:right="28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842" w:type="dxa"/>
            <w:vMerge w:val="continue"/>
            <w:vAlign w:val="center"/>
          </w:tcPr>
          <w:p>
            <w:pPr>
              <w:spacing w:line="360" w:lineRule="exact"/>
              <w:jc w:val="center"/>
              <w:rPr>
                <w:rFonts w:ascii="仿宋_GB2312" w:hAnsi="仿宋_GB2312" w:eastAsia="仿宋_GB2312" w:cs="仿宋_GB2312"/>
                <w:kern w:val="0"/>
                <w:sz w:val="32"/>
                <w:szCs w:val="32"/>
              </w:rPr>
            </w:pPr>
          </w:p>
        </w:tc>
        <w:tc>
          <w:tcPr>
            <w:tcW w:w="7200" w:type="dxa"/>
            <w:gridSpan w:val="3"/>
            <w:vAlign w:val="bottom"/>
          </w:tcPr>
          <w:p>
            <w:pPr>
              <w:spacing w:line="400" w:lineRule="exact"/>
              <w:ind w:right="140"/>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 xml:space="preserve">经办人：                    </w:t>
            </w:r>
            <w:r>
              <w:rPr>
                <w:rFonts w:hint="eastAsia" w:ascii="仿宋_GB2312" w:hAnsi="仿宋_GB2312" w:eastAsia="仿宋_GB2312" w:cs="仿宋_GB2312"/>
                <w:sz w:val="32"/>
                <w:szCs w:val="32"/>
              </w:rPr>
              <w:t>（盖  章）</w:t>
            </w:r>
          </w:p>
          <w:p>
            <w:pPr>
              <w:widowControl/>
              <w:spacing w:line="400" w:lineRule="exact"/>
              <w:ind w:right="28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842" w:type="dxa"/>
            <w:vMerge w:val="continue"/>
            <w:vAlign w:val="center"/>
          </w:tcPr>
          <w:p>
            <w:pPr>
              <w:spacing w:line="360" w:lineRule="exact"/>
              <w:jc w:val="center"/>
              <w:rPr>
                <w:rFonts w:ascii="仿宋_GB2312" w:hAnsi="仿宋_GB2312" w:eastAsia="仿宋_GB2312" w:cs="仿宋_GB2312"/>
                <w:kern w:val="0"/>
                <w:sz w:val="32"/>
                <w:szCs w:val="32"/>
              </w:rPr>
            </w:pPr>
          </w:p>
        </w:tc>
        <w:tc>
          <w:tcPr>
            <w:tcW w:w="7200" w:type="dxa"/>
            <w:gridSpan w:val="3"/>
            <w:vAlign w:val="bottom"/>
          </w:tcPr>
          <w:p>
            <w:pPr>
              <w:spacing w:line="400" w:lineRule="exact"/>
              <w:ind w:right="140"/>
              <w:rPr>
                <w:rFonts w:ascii="仿宋_GB2312" w:hAnsi="仿宋_GB2312" w:eastAsia="仿宋_GB2312" w:cs="仿宋_GB2312"/>
                <w:kern w:val="0"/>
                <w:sz w:val="28"/>
                <w:szCs w:val="28"/>
              </w:rPr>
            </w:pPr>
            <w:r>
              <w:rPr>
                <w:rFonts w:hint="eastAsia" w:ascii="仿宋_GB2312" w:hAnsi="仿宋_GB2312" w:eastAsia="仿宋_GB2312" w:cs="仿宋_GB2312"/>
                <w:kern w:val="0"/>
                <w:sz w:val="32"/>
                <w:szCs w:val="32"/>
              </w:rPr>
              <w:t xml:space="preserve">经办人：                    </w:t>
            </w:r>
            <w:r>
              <w:rPr>
                <w:rFonts w:hint="eastAsia" w:ascii="仿宋_GB2312" w:hAnsi="仿宋_GB2312" w:eastAsia="仿宋_GB2312" w:cs="仿宋_GB2312"/>
                <w:sz w:val="32"/>
                <w:szCs w:val="32"/>
              </w:rPr>
              <w:t>（盖  章）</w:t>
            </w:r>
          </w:p>
          <w:p>
            <w:pPr>
              <w:spacing w:line="400" w:lineRule="exact"/>
              <w:ind w:right="14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4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c>
          <w:tcPr>
            <w:tcW w:w="7200" w:type="dxa"/>
            <w:gridSpan w:val="3"/>
            <w:vAlign w:val="center"/>
          </w:tcPr>
          <w:p>
            <w:pPr>
              <w:spacing w:line="400" w:lineRule="exact"/>
              <w:ind w:right="140"/>
              <w:rPr>
                <w:rFonts w:ascii="仿宋_GB2312" w:hAnsi="仿宋_GB2312" w:eastAsia="仿宋_GB2312" w:cs="仿宋_GB2312"/>
                <w:kern w:val="0"/>
                <w:sz w:val="32"/>
                <w:szCs w:val="32"/>
              </w:rPr>
            </w:pPr>
          </w:p>
        </w:tc>
      </w:tr>
    </w:tbl>
    <w:p/>
    <w:p>
      <w:pPr>
        <w:spacing w:line="56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注：本表可根据临时用地涉及部门进行调整。</w:t>
      </w:r>
    </w:p>
    <w:p>
      <w:pPr>
        <w:rPr>
          <w:rFonts w:ascii="仿宋_GB2312" w:hAnsi="仿宋_GB2312" w:eastAsia="仿宋_GB2312" w:cs="仿宋_GB2312"/>
          <w:b/>
          <w:bCs/>
          <w:sz w:val="28"/>
          <w:szCs w:val="28"/>
        </w:rPr>
        <w:sectPr>
          <w:pgSz w:w="11906" w:h="16838"/>
          <w:pgMar w:top="2098" w:right="1474" w:bottom="1984" w:left="1587" w:header="851" w:footer="992" w:gutter="0"/>
          <w:cols w:space="425" w:num="1"/>
          <w:docGrid w:type="lines" w:linePitch="312" w:charSpace="0"/>
        </w:sectPr>
      </w:pP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附件2</w:t>
      </w:r>
    </w:p>
    <w:p>
      <w:pPr>
        <w:spacing w:beforeLines="50" w:afterLines="50" w:line="560" w:lineRule="exact"/>
        <w:jc w:val="center"/>
        <w:rPr>
          <w:rFonts w:ascii="小标宋" w:hAnsi="小标宋" w:eastAsia="小标宋" w:cs="小标宋"/>
          <w:sz w:val="52"/>
          <w:szCs w:val="52"/>
        </w:rPr>
      </w:pPr>
      <w:r>
        <w:rPr>
          <w:rFonts w:hint="eastAsia" w:ascii="小标宋" w:hAnsi="小标宋" w:eastAsia="小标宋" w:cs="小标宋"/>
          <w:sz w:val="52"/>
          <w:szCs w:val="52"/>
        </w:rPr>
        <w:t>临时用地批准书</w:t>
      </w:r>
    </w:p>
    <w:p>
      <w:pPr>
        <w:spacing w:beforeLines="50" w:afterLines="5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庆临字〔202 〕第 号</w:t>
      </w:r>
    </w:p>
    <w:p>
      <w:pPr>
        <w:spacing w:beforeLines="50" w:afterLines="50"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根据《中</w:t>
      </w:r>
      <w:r>
        <w:rPr>
          <w:rFonts w:hint="eastAsia" w:ascii="仿宋_GB2312" w:hAnsi="仿宋_GB2312" w:eastAsia="仿宋_GB2312" w:cs="仿宋_GB2312"/>
          <w:sz w:val="32"/>
          <w:szCs w:val="32"/>
          <w:lang w:eastAsia="zh-CN"/>
        </w:rPr>
        <w:t>华</w:t>
      </w:r>
      <w:bookmarkStart w:id="0" w:name="_GoBack"/>
      <w:bookmarkEnd w:id="0"/>
      <w:r>
        <w:rPr>
          <w:rFonts w:hint="eastAsia" w:ascii="仿宋_GB2312" w:hAnsi="仿宋_GB2312" w:eastAsia="仿宋_GB2312" w:cs="仿宋_GB2312"/>
          <w:sz w:val="32"/>
          <w:szCs w:val="32"/>
        </w:rPr>
        <w:t>人民共和国土地管理法》、《中华人民共和国土地管理法实施条例》和《浙江省土地管理条例》，本项目临时用地经批准，准予临时使用。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350"/>
        <w:gridCol w:w="2100"/>
        <w:gridCol w:w="1980"/>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02"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用地单位</w:t>
            </w:r>
          </w:p>
        </w:tc>
        <w:tc>
          <w:tcPr>
            <w:tcW w:w="7459" w:type="dxa"/>
            <w:gridSpan w:val="4"/>
            <w:vAlign w:val="center"/>
          </w:tcPr>
          <w:p>
            <w:pPr>
              <w:spacing w:line="4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02"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459" w:type="dxa"/>
            <w:gridSpan w:val="4"/>
            <w:vAlign w:val="center"/>
          </w:tcPr>
          <w:p>
            <w:pPr>
              <w:spacing w:line="4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02"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用地位置</w:t>
            </w:r>
          </w:p>
        </w:tc>
        <w:tc>
          <w:tcPr>
            <w:tcW w:w="7459" w:type="dxa"/>
            <w:gridSpan w:val="4"/>
            <w:vAlign w:val="center"/>
          </w:tcPr>
          <w:p>
            <w:pPr>
              <w:spacing w:line="4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2" w:type="dxa"/>
            <w:vMerge w:val="restart"/>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批准临时</w:t>
            </w:r>
          </w:p>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使用土地</w:t>
            </w:r>
          </w:p>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面积</w:t>
            </w:r>
          </w:p>
        </w:tc>
        <w:tc>
          <w:tcPr>
            <w:tcW w:w="1350" w:type="dxa"/>
            <w:vAlign w:val="center"/>
          </w:tcPr>
          <w:p>
            <w:pPr>
              <w:spacing w:line="400" w:lineRule="exact"/>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地类</w:t>
            </w:r>
          </w:p>
        </w:tc>
        <w:tc>
          <w:tcPr>
            <w:tcW w:w="2100" w:type="dxa"/>
            <w:vAlign w:val="center"/>
          </w:tcPr>
          <w:p>
            <w:pPr>
              <w:spacing w:line="400" w:lineRule="exact"/>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批准面积 </w:t>
            </w:r>
          </w:p>
        </w:tc>
        <w:tc>
          <w:tcPr>
            <w:tcW w:w="1980" w:type="dxa"/>
            <w:vAlign w:val="center"/>
          </w:tcPr>
          <w:p>
            <w:pPr>
              <w:spacing w:line="400" w:lineRule="exact"/>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地类</w:t>
            </w:r>
          </w:p>
        </w:tc>
        <w:tc>
          <w:tcPr>
            <w:tcW w:w="2029" w:type="dxa"/>
            <w:vAlign w:val="center"/>
          </w:tcPr>
          <w:p>
            <w:pPr>
              <w:spacing w:line="400" w:lineRule="exact"/>
              <w:jc w:val="center"/>
              <w:rPr>
                <w:rFonts w:ascii="仿宋_GB2312" w:hAnsi="仿宋_GB2312" w:eastAsia="仿宋_GB2312" w:cs="仿宋_GB2312"/>
                <w:b/>
                <w:bCs/>
                <w:sz w:val="28"/>
                <w:szCs w:val="28"/>
              </w:rPr>
            </w:pPr>
            <w:r>
              <w:rPr>
                <w:rFonts w:ascii="仿宋_GB2312" w:hAnsi="仿宋_GB2312" w:eastAsia="仿宋_GB2312" w:cs="仿宋_GB2312"/>
                <w:b/>
                <w:bCs/>
                <w:sz w:val="28"/>
                <w:szCs w:val="28"/>
              </w:rPr>
              <w:t>批准面积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2" w:type="dxa"/>
            <w:vMerge w:val="continue"/>
            <w:vAlign w:val="center"/>
          </w:tcPr>
          <w:p>
            <w:pPr>
              <w:spacing w:line="400" w:lineRule="exact"/>
              <w:rPr>
                <w:rFonts w:ascii="仿宋_GB2312" w:hAnsi="仿宋_GB2312" w:eastAsia="仿宋_GB2312" w:cs="仿宋_GB2312"/>
                <w:sz w:val="28"/>
                <w:szCs w:val="28"/>
              </w:rPr>
            </w:pPr>
          </w:p>
        </w:tc>
        <w:tc>
          <w:tcPr>
            <w:tcW w:w="135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耕地</w:t>
            </w:r>
          </w:p>
        </w:tc>
        <w:tc>
          <w:tcPr>
            <w:tcW w:w="2100" w:type="dxa"/>
            <w:vAlign w:val="center"/>
          </w:tcPr>
          <w:p>
            <w:pPr>
              <w:spacing w:line="400" w:lineRule="exact"/>
              <w:jc w:val="right"/>
              <w:rPr>
                <w:sz w:val="20"/>
                <w:szCs w:val="22"/>
              </w:rPr>
            </w:pPr>
            <w:r>
              <w:rPr>
                <w:rFonts w:hint="eastAsia" w:ascii="仿宋_GB2312" w:hAnsi="仿宋_GB2312" w:eastAsia="仿宋_GB2312" w:cs="仿宋_GB2312"/>
                <w:sz w:val="28"/>
                <w:szCs w:val="28"/>
              </w:rPr>
              <w:t>平方米</w:t>
            </w:r>
          </w:p>
        </w:tc>
        <w:tc>
          <w:tcPr>
            <w:tcW w:w="1980" w:type="dxa"/>
            <w:vAlign w:val="center"/>
          </w:tcPr>
          <w:p>
            <w:pPr>
              <w:spacing w:line="400" w:lineRule="exact"/>
              <w:rPr>
                <w:sz w:val="20"/>
                <w:szCs w:val="22"/>
              </w:rPr>
            </w:pPr>
            <w:r>
              <w:rPr>
                <w:rFonts w:hint="eastAsia" w:ascii="仿宋_GB2312" w:hAnsi="仿宋_GB2312" w:eastAsia="仿宋_GB2312" w:cs="仿宋_GB2312"/>
                <w:sz w:val="28"/>
                <w:szCs w:val="28"/>
              </w:rPr>
              <w:t>其他农用地</w:t>
            </w:r>
          </w:p>
        </w:tc>
        <w:tc>
          <w:tcPr>
            <w:tcW w:w="2029" w:type="dxa"/>
            <w:vAlign w:val="center"/>
          </w:tcPr>
          <w:p>
            <w:pPr>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2" w:type="dxa"/>
            <w:vMerge w:val="continue"/>
            <w:vAlign w:val="center"/>
          </w:tcPr>
          <w:p>
            <w:pPr>
              <w:spacing w:line="400" w:lineRule="exact"/>
              <w:rPr>
                <w:rFonts w:ascii="仿宋_GB2312" w:hAnsi="仿宋_GB2312" w:eastAsia="仿宋_GB2312" w:cs="仿宋_GB2312"/>
                <w:sz w:val="28"/>
                <w:szCs w:val="28"/>
              </w:rPr>
            </w:pPr>
          </w:p>
        </w:tc>
        <w:tc>
          <w:tcPr>
            <w:tcW w:w="135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林地</w:t>
            </w:r>
          </w:p>
        </w:tc>
        <w:tc>
          <w:tcPr>
            <w:tcW w:w="2100" w:type="dxa"/>
            <w:vAlign w:val="center"/>
          </w:tcPr>
          <w:p>
            <w:pPr>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c>
          <w:tcPr>
            <w:tcW w:w="1980"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建设用地</w:t>
            </w:r>
          </w:p>
        </w:tc>
        <w:tc>
          <w:tcPr>
            <w:tcW w:w="2029" w:type="dxa"/>
            <w:vAlign w:val="center"/>
          </w:tcPr>
          <w:p>
            <w:pPr>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2" w:type="dxa"/>
            <w:vMerge w:val="continue"/>
            <w:vAlign w:val="center"/>
          </w:tcPr>
          <w:p>
            <w:pPr>
              <w:spacing w:line="400" w:lineRule="exact"/>
              <w:rPr>
                <w:rFonts w:ascii="仿宋_GB2312" w:hAnsi="仿宋_GB2312" w:eastAsia="仿宋_GB2312" w:cs="仿宋_GB2312"/>
                <w:sz w:val="28"/>
                <w:szCs w:val="28"/>
              </w:rPr>
            </w:pPr>
          </w:p>
        </w:tc>
        <w:tc>
          <w:tcPr>
            <w:tcW w:w="135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园地</w:t>
            </w:r>
          </w:p>
        </w:tc>
        <w:tc>
          <w:tcPr>
            <w:tcW w:w="2100" w:type="dxa"/>
            <w:vAlign w:val="center"/>
          </w:tcPr>
          <w:p>
            <w:pPr>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c>
          <w:tcPr>
            <w:tcW w:w="1980" w:type="dxa"/>
            <w:vAlign w:val="center"/>
          </w:tcPr>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未利用地</w:t>
            </w:r>
          </w:p>
        </w:tc>
        <w:tc>
          <w:tcPr>
            <w:tcW w:w="2029" w:type="dxa"/>
            <w:vAlign w:val="center"/>
          </w:tcPr>
          <w:p>
            <w:pPr>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2" w:type="dxa"/>
            <w:vMerge w:val="continue"/>
            <w:vAlign w:val="center"/>
          </w:tcPr>
          <w:p>
            <w:pPr>
              <w:spacing w:line="400" w:lineRule="exact"/>
              <w:rPr>
                <w:rFonts w:ascii="仿宋_GB2312" w:hAnsi="仿宋_GB2312" w:eastAsia="仿宋_GB2312" w:cs="仿宋_GB2312"/>
                <w:sz w:val="28"/>
                <w:szCs w:val="28"/>
              </w:rPr>
            </w:pPr>
          </w:p>
        </w:tc>
        <w:tc>
          <w:tcPr>
            <w:tcW w:w="135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6109" w:type="dxa"/>
            <w:gridSpan w:val="3"/>
            <w:vAlign w:val="center"/>
          </w:tcPr>
          <w:p>
            <w:pPr>
              <w:spacing w:line="40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02"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使用期限</w:t>
            </w:r>
          </w:p>
        </w:tc>
        <w:tc>
          <w:tcPr>
            <w:tcW w:w="7459" w:type="dxa"/>
            <w:gridSpan w:val="4"/>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自202 年 月 日起至 202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exact"/>
        </w:trPr>
        <w:tc>
          <w:tcPr>
            <w:tcW w:w="1602" w:type="dxa"/>
            <w:vAlign w:val="center"/>
          </w:tcPr>
          <w:p>
            <w:pPr>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使用要求</w:t>
            </w:r>
          </w:p>
        </w:tc>
        <w:tc>
          <w:tcPr>
            <w:tcW w:w="7459" w:type="dxa"/>
            <w:gridSpan w:val="4"/>
            <w:vAlign w:val="center"/>
          </w:tcPr>
          <w:p>
            <w:pPr>
              <w:spacing w:line="300" w:lineRule="exact"/>
              <w:rPr>
                <w:rFonts w:ascii="仿宋_GB2312" w:hAnsi="仿宋_GB2312" w:eastAsia="仿宋_GB2312" w:cs="仿宋_GB2312"/>
                <w:sz w:val="24"/>
              </w:rPr>
            </w:pPr>
            <w:r>
              <w:rPr>
                <w:rFonts w:ascii="仿宋_GB2312" w:hAnsi="仿宋_GB2312" w:eastAsia="仿宋_GB2312" w:cs="仿宋_GB2312"/>
                <w:sz w:val="24"/>
              </w:rPr>
              <w:t>1. 应当按照批准的用途使用土地，不得转让、出租、抵押，严禁在上述批准临时用地范围内修建永久性建筑物或构筑物。</w:t>
            </w:r>
          </w:p>
          <w:p>
            <w:pPr>
              <w:spacing w:line="300" w:lineRule="exact"/>
              <w:rPr>
                <w:rFonts w:ascii="仿宋_GB2312" w:hAnsi="仿宋_GB2312" w:eastAsia="仿宋_GB2312" w:cs="仿宋_GB2312"/>
                <w:sz w:val="24"/>
              </w:rPr>
            </w:pPr>
            <w:r>
              <w:rPr>
                <w:rFonts w:ascii="仿宋_GB2312" w:hAnsi="仿宋_GB2312" w:eastAsia="仿宋_GB2312" w:cs="仿宋_GB2312"/>
                <w:sz w:val="24"/>
              </w:rPr>
              <w:t>2. 对可能被损毁的耕地、林地、园地等农用地，应当按规定进行表土剥离用于被损毁土地的复垦，未按规定通过表土剥离验收的，不得动工使用。</w:t>
            </w:r>
          </w:p>
          <w:p>
            <w:pPr>
              <w:spacing w:line="300" w:lineRule="exact"/>
              <w:rPr>
                <w:rFonts w:ascii="仿宋_GB2312" w:hAnsi="仿宋_GB2312" w:eastAsia="仿宋_GB2312" w:cs="仿宋_GB2312"/>
                <w:sz w:val="24"/>
              </w:rPr>
            </w:pPr>
            <w:r>
              <w:rPr>
                <w:rFonts w:ascii="仿宋_GB2312" w:hAnsi="仿宋_GB2312" w:eastAsia="仿宋_GB2312" w:cs="仿宋_GB2312"/>
                <w:sz w:val="24"/>
              </w:rPr>
              <w:t>3. 应缴纳临时用地补偿费用，预存土地复垦费用，按规定申报缴纳耕地占用税。</w:t>
            </w:r>
          </w:p>
          <w:p>
            <w:pPr>
              <w:spacing w:line="300" w:lineRule="exact"/>
              <w:rPr>
                <w:rFonts w:ascii="仿宋_GB2312" w:hAnsi="仿宋_GB2312" w:eastAsia="仿宋_GB2312" w:cs="仿宋_GB2312"/>
                <w:sz w:val="28"/>
                <w:szCs w:val="28"/>
              </w:rPr>
            </w:pPr>
            <w:r>
              <w:rPr>
                <w:rFonts w:ascii="仿宋_GB2312" w:hAnsi="仿宋_GB2312" w:eastAsia="仿宋_GB2312" w:cs="仿宋_GB2312"/>
                <w:sz w:val="24"/>
              </w:rPr>
              <w:t>4. 建设项目申请竣工验收前或临时用地使用期满，应及时退出</w:t>
            </w:r>
            <w:r>
              <w:rPr>
                <w:rFonts w:ascii="仿宋_GB2312" w:hAnsi="仿宋_GB2312" w:eastAsia="仿宋_GB2312" w:cs="仿宋_GB2312"/>
                <w:sz w:val="28"/>
                <w:szCs w:val="28"/>
              </w:rPr>
              <w:t>占用</w:t>
            </w:r>
            <w:r>
              <w:rPr>
                <w:rFonts w:ascii="仿宋_GB2312" w:hAnsi="仿宋_GB2312" w:eastAsia="仿宋_GB2312" w:cs="仿宋_GB2312"/>
                <w:sz w:val="24"/>
              </w:rPr>
              <w:t>的土地，并在规定时间内完成临时建（构）筑物拆除和土地复垦（一年内完成土地复垦）工作，使其达到可供利用状态，占用耕地的应当恢复种植条件，确保耕地面积不减少、</w:t>
            </w:r>
            <w:r>
              <w:rPr>
                <w:rFonts w:ascii="仿宋_GB2312" w:hAnsi="仿宋_GB2312" w:eastAsia="仿宋_GB2312" w:cs="仿宋_GB2312"/>
                <w:sz w:val="22"/>
                <w:szCs w:val="22"/>
              </w:rPr>
              <w:t>质量</w:t>
            </w:r>
            <w:r>
              <w:rPr>
                <w:rFonts w:ascii="仿宋_GB2312" w:hAnsi="仿宋_GB2312" w:eastAsia="仿宋_GB2312" w:cs="仿宋_GB2312"/>
                <w:sz w:val="24"/>
              </w:rPr>
              <w:t>不降低。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459" w:type="dxa"/>
            <w:gridSpan w:val="4"/>
          </w:tcPr>
          <w:p>
            <w:pPr>
              <w:spacing w:line="400" w:lineRule="exact"/>
              <w:rPr>
                <w:rFonts w:ascii="仿宋_GB2312" w:hAnsi="仿宋_GB2312" w:eastAsia="仿宋_GB2312" w:cs="仿宋_GB2312"/>
                <w:sz w:val="28"/>
                <w:szCs w:val="28"/>
              </w:rPr>
            </w:pPr>
          </w:p>
        </w:tc>
      </w:tr>
    </w:tbl>
    <w:p>
      <w:pPr>
        <w:spacing w:line="560" w:lineRule="exact"/>
        <w:rPr>
          <w:rFonts w:ascii="方正小标宋_GBK" w:hAnsi="宋体" w:eastAsia="方正小标宋_GBK" w:cs="宋体"/>
          <w:kern w:val="0"/>
          <w:sz w:val="44"/>
          <w:szCs w:val="44"/>
        </w:rPr>
      </w:pPr>
      <w:r>
        <w:rPr>
          <w:rFonts w:hint="eastAsia" w:ascii="仿宋_GB2312" w:hAnsi="仿宋_GB2312" w:eastAsia="仿宋_GB2312" w:cs="仿宋_GB2312"/>
          <w:b/>
          <w:bCs/>
          <w:sz w:val="28"/>
          <w:szCs w:val="28"/>
        </w:rPr>
        <w:t>附件3</w:t>
      </w:r>
    </w:p>
    <w:p>
      <w:pPr>
        <w:widowControl/>
        <w:spacing w:line="500" w:lineRule="exact"/>
        <w:jc w:val="center"/>
        <w:rPr>
          <w:rFonts w:ascii="宋体" w:hAnsi="宋体" w:cs="宋体"/>
          <w:b/>
          <w:kern w:val="0"/>
          <w:sz w:val="44"/>
          <w:szCs w:val="44"/>
        </w:rPr>
      </w:pPr>
    </w:p>
    <w:p>
      <w:pPr>
        <w:widowControl/>
        <w:spacing w:line="500" w:lineRule="exact"/>
        <w:jc w:val="center"/>
        <w:rPr>
          <w:rFonts w:ascii="小标宋" w:hAnsi="小标宋" w:eastAsia="小标宋" w:cs="小标宋"/>
          <w:bCs/>
          <w:kern w:val="0"/>
          <w:sz w:val="44"/>
          <w:szCs w:val="44"/>
        </w:rPr>
      </w:pPr>
      <w:r>
        <w:rPr>
          <w:rFonts w:hint="eastAsia" w:ascii="小标宋" w:hAnsi="小标宋" w:eastAsia="小标宋" w:cs="小标宋"/>
          <w:bCs/>
          <w:kern w:val="0"/>
          <w:sz w:val="44"/>
          <w:szCs w:val="44"/>
        </w:rPr>
        <w:t>临时用地复垦协议书（模板）</w:t>
      </w:r>
    </w:p>
    <w:p>
      <w:pPr>
        <w:widowControl/>
        <w:adjustRightInd w:val="0"/>
        <w:snapToGrid w:val="0"/>
        <w:spacing w:line="500" w:lineRule="exact"/>
        <w:ind w:firstLine="560" w:firstLineChars="200"/>
        <w:rPr>
          <w:rFonts w:ascii="宋体" w:hAnsi="宋体"/>
          <w:sz w:val="28"/>
          <w:szCs w:val="28"/>
        </w:rPr>
      </w:pPr>
    </w:p>
    <w:p>
      <w:pPr>
        <w:widowControl/>
        <w:adjustRightInd w:val="0"/>
        <w:snapToGrid w:val="0"/>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甲方：土地所有权人</w:t>
      </w:r>
    </w:p>
    <w:p>
      <w:pPr>
        <w:widowControl/>
        <w:adjustRightInd w:val="0"/>
        <w:snapToGrid w:val="0"/>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乙方：临时用地使用人</w:t>
      </w:r>
    </w:p>
    <w:p>
      <w:pPr>
        <w:widowControl/>
        <w:adjustRightInd w:val="0"/>
        <w:snapToGrid w:val="0"/>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丙方：临时用地所在地乡镇（街道）</w:t>
      </w:r>
    </w:p>
    <w:p>
      <w:pPr>
        <w:widowControl/>
        <w:adjustRightInd w:val="0"/>
        <w:snapToGrid w:val="0"/>
        <w:spacing w:line="560" w:lineRule="exact"/>
        <w:rPr>
          <w:rFonts w:ascii="仿宋_GB2312" w:hAnsi="仿宋_GB2312" w:eastAsia="仿宋_GB2312" w:cs="仿宋_GB2312"/>
          <w:kern w:val="0"/>
          <w:sz w:val="32"/>
          <w:szCs w:val="32"/>
        </w:rPr>
      </w:pP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因项目建设施工的需要，乙方临时使用位于处土地，用地</w:t>
      </w:r>
      <w:r>
        <w:rPr>
          <w:rFonts w:ascii="仿宋_GB2312" w:hAnsi="仿宋_GB2312" w:eastAsia="仿宋_GB2312" w:cs="仿宋_GB2312"/>
          <w:bCs/>
          <w:sz w:val="32"/>
          <w:szCs w:val="32"/>
        </w:rPr>
        <w:t>面积</w:t>
      </w:r>
      <w:r>
        <w:rPr>
          <w:rFonts w:hint="eastAsia" w:ascii="仿宋_GB2312" w:hAnsi="仿宋_GB2312" w:eastAsia="仿宋_GB2312" w:cs="仿宋_GB2312"/>
          <w:bCs/>
          <w:sz w:val="32"/>
          <w:szCs w:val="32"/>
        </w:rPr>
        <w:t>平方米，（其中耕地平方米、林地平方米、园地平方米、其他农用地平方米、建设用地平方米、未利用地平方米）。现经三方协商订立以下协议：</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乙方应按照土地复垦方案确定的资金数额，预存土地复垦费用到乙方在约定银行开设的“土地复垦费用专门账户”，并由乙方与县自然资源和规划局、所在地乡镇（街道）、银行签订土地复垦费用使用监管协议。（或：乙方应按照土地复垦方案确定的资金数额，提供银行保函，</w:t>
      </w:r>
      <w:r>
        <w:rPr>
          <w:rFonts w:hint="eastAsia" w:ascii="仿宋_GB2312" w:hAnsi="仿宋_GB2312" w:eastAsia="仿宋_GB2312" w:cs="仿宋_GB2312"/>
          <w:sz w:val="32"/>
          <w:szCs w:val="32"/>
        </w:rPr>
        <w:t>银行保函以独立保函形式出具，载明银行担保责任，担保期与土地复垦义务存续期相同，且保函金额和有效期应能确保复垦到位，同时提供建设单位承诺书。）</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二、乙方应当严格按照批准的用途、位置和面积使用土地，不得转让、出租、抵押临时用地，不得在临时用地上修建永久性建（构）筑物。</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三、乙方必须在使用期限届满前无偿拆除地面建筑物、构筑物和其他附属设施，并在临时用地使用期限满后</w:t>
      </w:r>
      <w:r>
        <w:rPr>
          <w:rFonts w:ascii="仿宋_GB2312" w:hAnsi="仿宋_GB2312" w:eastAsia="仿宋_GB2312" w:cs="仿宋_GB2312"/>
          <w:bCs/>
          <w:sz w:val="32"/>
          <w:szCs w:val="32"/>
          <w:u w:val="single"/>
        </w:rPr>
        <w:t>12</w:t>
      </w:r>
      <w:r>
        <w:rPr>
          <w:rFonts w:hint="eastAsia" w:ascii="仿宋_GB2312" w:hAnsi="仿宋_GB2312" w:eastAsia="仿宋_GB2312" w:cs="仿宋_GB2312"/>
          <w:bCs/>
          <w:sz w:val="32"/>
          <w:szCs w:val="32"/>
        </w:rPr>
        <w:t>个</w:t>
      </w:r>
      <w:r>
        <w:rPr>
          <w:rFonts w:ascii="仿宋_GB2312" w:hAnsi="仿宋_GB2312" w:eastAsia="仿宋_GB2312" w:cs="仿宋_GB2312"/>
          <w:bCs/>
          <w:sz w:val="32"/>
          <w:szCs w:val="32"/>
        </w:rPr>
        <w:t>月</w:t>
      </w:r>
      <w:r>
        <w:rPr>
          <w:rFonts w:hint="eastAsia" w:ascii="仿宋_GB2312" w:hAnsi="仿宋_GB2312" w:eastAsia="仿宋_GB2312" w:cs="仿宋_GB2312"/>
          <w:bCs/>
          <w:sz w:val="32"/>
          <w:szCs w:val="32"/>
        </w:rPr>
        <w:t>内，按照《X</w:t>
      </w:r>
      <w:r>
        <w:rPr>
          <w:rFonts w:ascii="仿宋_GB2312" w:hAnsi="仿宋_GB2312" w:eastAsia="仿宋_GB2312" w:cs="仿宋_GB2312"/>
          <w:bCs/>
          <w:sz w:val="32"/>
          <w:szCs w:val="32"/>
        </w:rPr>
        <w:t>X</w:t>
      </w:r>
      <w:r>
        <w:rPr>
          <w:rFonts w:hint="eastAsia" w:ascii="仿宋_GB2312" w:hAnsi="仿宋_GB2312" w:eastAsia="仿宋_GB2312" w:cs="仿宋_GB2312"/>
          <w:bCs/>
          <w:sz w:val="32"/>
          <w:szCs w:val="32"/>
        </w:rPr>
        <w:t xml:space="preserve">临时用地土地复垦方案》中内容和《土地复垦条例》、《土地复垦条例实施办法》等相关规定进行土地复垦，费用由乙方承担。 </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土地复垦完成后，乙方向县自然资源和规划局提出复垦验收申请,县自然资源和规划局组织相关部门进行验收，验收不合格的由县自然资源和规划局督促乙方整改，直至达到复垦标准止，土地复垦费用由乙方承担。</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乙方不复垦，或者复垦验收后经整改仍不合格的，由丙方代为组织复垦，复垦费用从乙方预存的土地复垦费用中支取。复垦费用不足部分由乙方承担。</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因国家建设或实施村庄建设规划需要时，乙方必须无条件服从，在规定期限内自行拆除临时用地上的建（构）筑物。</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七、今后乙方如有违反本临时用地复垦协议内容，自愿接受相关部门的处理。</w:t>
      </w:r>
    </w:p>
    <w:p>
      <w:pPr>
        <w:widowControl/>
        <w:adjustRightInd w:val="0"/>
        <w:snapToGrid w:val="0"/>
        <w:spacing w:line="560" w:lineRule="exact"/>
        <w:ind w:firstLine="640" w:firstLineChars="200"/>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八、本协议一式四份，甲、乙、丙三方各执一份，庆元县自然资源和规划局执一份。</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甲方（负责人签字盖章）：</w:t>
      </w:r>
    </w:p>
    <w:p>
      <w:pPr>
        <w:widowControl/>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乙方（负责人签字盖章）：</w:t>
      </w:r>
    </w:p>
    <w:p>
      <w:pPr>
        <w:widowControl/>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丙方（负责人签字盖章）：</w:t>
      </w:r>
    </w:p>
    <w:p>
      <w:pPr>
        <w:widowControl/>
        <w:adjustRightInd w:val="0"/>
        <w:snapToGrid w:val="0"/>
        <w:spacing w:line="560" w:lineRule="exact"/>
        <w:ind w:firstLine="6240" w:firstLineChars="1950"/>
        <w:rPr>
          <w:rFonts w:ascii="仿宋_GB2312" w:hAnsi="仿宋_GB2312" w:eastAsia="仿宋_GB2312" w:cs="仿宋_GB2312"/>
          <w:b/>
          <w:bCs/>
          <w:sz w:val="28"/>
          <w:szCs w:val="28"/>
        </w:rPr>
      </w:pPr>
      <w:r>
        <w:rPr>
          <w:rFonts w:hint="eastAsia" w:ascii="仿宋_GB2312" w:hAnsi="仿宋_GB2312" w:eastAsia="仿宋_GB2312" w:cs="仿宋_GB2312"/>
          <w:kern w:val="0"/>
          <w:sz w:val="32"/>
          <w:szCs w:val="32"/>
        </w:rPr>
        <w:t>年   月   日</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附件4</w:t>
      </w:r>
    </w:p>
    <w:p>
      <w:pPr>
        <w:spacing w:line="560" w:lineRule="exact"/>
        <w:rPr>
          <w:rFonts w:ascii="新宋体" w:hAnsi="新宋体" w:eastAsia="新宋体" w:cs="新宋体"/>
          <w:b/>
          <w:kern w:val="0"/>
          <w:sz w:val="44"/>
          <w:szCs w:val="44"/>
        </w:rPr>
      </w:pPr>
    </w:p>
    <w:p>
      <w:pPr>
        <w:jc w:val="center"/>
        <w:rPr>
          <w:b/>
          <w:bCs/>
          <w:sz w:val="28"/>
          <w:szCs w:val="28"/>
        </w:rPr>
      </w:pPr>
      <w:r>
        <w:rPr>
          <w:rFonts w:hint="eastAsia" w:ascii="新宋体" w:hAnsi="新宋体" w:eastAsia="新宋体" w:cs="新宋体"/>
          <w:b/>
          <w:kern w:val="0"/>
          <w:sz w:val="44"/>
          <w:szCs w:val="44"/>
        </w:rPr>
        <w:t>土地复垦（恢复）验收合格确认书</w:t>
      </w:r>
      <w:r>
        <w:rPr>
          <w:rFonts w:hint="eastAsia" w:ascii="楷体" w:hAnsi="楷体" w:eastAsia="楷体" w:cs="楷体"/>
          <w:sz w:val="32"/>
          <w:szCs w:val="32"/>
        </w:rPr>
        <w:t>（样表）</w:t>
      </w:r>
    </w:p>
    <w:p>
      <w:pPr>
        <w:rPr>
          <w:sz w:val="24"/>
        </w:rPr>
      </w:pPr>
      <w:r>
        <w:rPr>
          <w:rFonts w:hint="eastAsia" w:ascii="宋体" w:hAnsi="宋体" w:cs="宋体"/>
          <w:kern w:val="0"/>
          <w:sz w:val="20"/>
          <w:szCs w:val="20"/>
        </w:rPr>
        <w:t xml:space="preserve">编号： **县2024-0*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471"/>
        <w:gridCol w:w="454"/>
        <w:gridCol w:w="1017"/>
        <w:gridCol w:w="1471"/>
        <w:gridCol w:w="147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166" w:type="dxa"/>
            <w:vMerge w:val="restart"/>
            <w:noWrap/>
            <w:vAlign w:val="center"/>
          </w:tcPr>
          <w:p>
            <w:pPr>
              <w:spacing w:line="480" w:lineRule="auto"/>
              <w:jc w:val="center"/>
              <w:rPr>
                <w:rFonts w:ascii="Times New Roman" w:hAnsi="Times New Roman" w:cs="Times New Roman"/>
                <w:sz w:val="24"/>
              </w:rPr>
            </w:pPr>
            <w:r>
              <w:rPr>
                <w:rFonts w:hint="eastAsia" w:ascii="Times New Roman" w:hAnsi="Times New Roman" w:cs="Times New Roman"/>
                <w:sz w:val="24"/>
              </w:rPr>
              <w:t>临时</w:t>
            </w:r>
          </w:p>
          <w:p>
            <w:pPr>
              <w:spacing w:line="480" w:lineRule="auto"/>
              <w:jc w:val="center"/>
              <w:rPr>
                <w:rFonts w:ascii="Times New Roman" w:hAnsi="Times New Roman" w:cs="Times New Roman"/>
                <w:sz w:val="24"/>
              </w:rPr>
            </w:pPr>
            <w:r>
              <w:rPr>
                <w:rFonts w:hint="eastAsia" w:ascii="Times New Roman" w:hAnsi="Times New Roman" w:cs="Times New Roman"/>
                <w:sz w:val="24"/>
              </w:rPr>
              <w:t>用地</w:t>
            </w:r>
          </w:p>
          <w:p>
            <w:pPr>
              <w:spacing w:line="480" w:lineRule="auto"/>
              <w:jc w:val="center"/>
              <w:rPr>
                <w:rFonts w:ascii="Times New Roman" w:hAnsi="Times New Roman" w:cs="Times New Roman"/>
                <w:sz w:val="24"/>
              </w:rPr>
            </w:pPr>
            <w:r>
              <w:rPr>
                <w:rFonts w:hint="eastAsia" w:ascii="Times New Roman" w:hAnsi="Times New Roman" w:cs="Times New Roman"/>
                <w:sz w:val="24"/>
              </w:rPr>
              <w:t>项目</w:t>
            </w:r>
          </w:p>
          <w:p>
            <w:pPr>
              <w:spacing w:line="480" w:lineRule="auto"/>
              <w:jc w:val="center"/>
              <w:rPr>
                <w:rFonts w:ascii="Times New Roman" w:hAnsi="Times New Roman" w:cs="Times New Roman"/>
                <w:sz w:val="24"/>
              </w:rPr>
            </w:pPr>
            <w:r>
              <w:rPr>
                <w:rFonts w:hint="eastAsia" w:ascii="Times New Roman" w:hAnsi="Times New Roman" w:cs="Times New Roman"/>
                <w:sz w:val="24"/>
              </w:rPr>
              <w:t>情况</w:t>
            </w:r>
          </w:p>
        </w:tc>
        <w:tc>
          <w:tcPr>
            <w:tcW w:w="1925" w:type="dxa"/>
            <w:gridSpan w:val="2"/>
            <w:noWrap/>
            <w:vAlign w:val="center"/>
          </w:tcPr>
          <w:p>
            <w:pPr>
              <w:spacing w:line="480" w:lineRule="auto"/>
              <w:jc w:val="center"/>
              <w:rPr>
                <w:rFonts w:ascii="Times New Roman" w:hAnsi="Times New Roman" w:cs="Times New Roman"/>
                <w:sz w:val="24"/>
              </w:rPr>
            </w:pPr>
            <w:r>
              <w:rPr>
                <w:rFonts w:ascii="Times New Roman" w:hAnsi="Times New Roman" w:cs="Times New Roman"/>
                <w:sz w:val="24"/>
              </w:rPr>
              <w:t>项目名称</w:t>
            </w:r>
          </w:p>
        </w:tc>
        <w:tc>
          <w:tcPr>
            <w:tcW w:w="5431" w:type="dxa"/>
            <w:gridSpan w:val="4"/>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166" w:type="dxa"/>
            <w:vMerge w:val="continue"/>
            <w:noWrap/>
          </w:tcPr>
          <w:p>
            <w:pPr>
              <w:spacing w:line="480" w:lineRule="auto"/>
              <w:jc w:val="center"/>
              <w:rPr>
                <w:rFonts w:ascii="Times New Roman" w:hAnsi="Times New Roman" w:cs="Times New Roman"/>
                <w:sz w:val="24"/>
              </w:rPr>
            </w:pPr>
          </w:p>
        </w:tc>
        <w:tc>
          <w:tcPr>
            <w:tcW w:w="1925" w:type="dxa"/>
            <w:gridSpan w:val="2"/>
            <w:noWrap/>
            <w:vAlign w:val="center"/>
          </w:tcPr>
          <w:p>
            <w:pPr>
              <w:spacing w:line="480" w:lineRule="auto"/>
              <w:jc w:val="center"/>
              <w:rPr>
                <w:rFonts w:ascii="Times New Roman" w:hAnsi="Times New Roman" w:cs="Times New Roman"/>
                <w:sz w:val="24"/>
              </w:rPr>
            </w:pPr>
            <w:r>
              <w:rPr>
                <w:rFonts w:ascii="Times New Roman" w:hAnsi="Times New Roman" w:cs="Times New Roman"/>
                <w:sz w:val="24"/>
              </w:rPr>
              <w:t>用地单位</w:t>
            </w:r>
          </w:p>
        </w:tc>
        <w:tc>
          <w:tcPr>
            <w:tcW w:w="5431" w:type="dxa"/>
            <w:gridSpan w:val="4"/>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166" w:type="dxa"/>
            <w:vMerge w:val="continue"/>
            <w:noWrap/>
          </w:tcPr>
          <w:p>
            <w:pPr>
              <w:spacing w:line="480" w:lineRule="auto"/>
              <w:jc w:val="center"/>
              <w:rPr>
                <w:rFonts w:ascii="Times New Roman" w:hAnsi="Times New Roman" w:cs="Times New Roman"/>
                <w:sz w:val="24"/>
              </w:rPr>
            </w:pPr>
          </w:p>
        </w:tc>
        <w:tc>
          <w:tcPr>
            <w:tcW w:w="1925" w:type="dxa"/>
            <w:gridSpan w:val="2"/>
            <w:noWrap/>
            <w:vAlign w:val="center"/>
          </w:tcPr>
          <w:p>
            <w:pPr>
              <w:spacing w:line="480" w:lineRule="auto"/>
              <w:jc w:val="center"/>
              <w:rPr>
                <w:rFonts w:ascii="Times New Roman" w:hAnsi="Times New Roman" w:cs="Times New Roman"/>
                <w:sz w:val="24"/>
              </w:rPr>
            </w:pPr>
            <w:r>
              <w:rPr>
                <w:rFonts w:hint="eastAsia" w:ascii="Times New Roman" w:hAnsi="Times New Roman" w:cs="Times New Roman"/>
                <w:sz w:val="24"/>
              </w:rPr>
              <w:t>批准文号</w:t>
            </w:r>
          </w:p>
        </w:tc>
        <w:tc>
          <w:tcPr>
            <w:tcW w:w="5431" w:type="dxa"/>
            <w:gridSpan w:val="4"/>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166" w:type="dxa"/>
            <w:vMerge w:val="continue"/>
            <w:noWrap/>
          </w:tcPr>
          <w:p>
            <w:pPr>
              <w:spacing w:line="480" w:lineRule="auto"/>
              <w:jc w:val="center"/>
              <w:rPr>
                <w:rFonts w:ascii="Times New Roman" w:hAnsi="Times New Roman" w:cs="Times New Roman"/>
                <w:sz w:val="24"/>
              </w:rPr>
            </w:pPr>
          </w:p>
        </w:tc>
        <w:tc>
          <w:tcPr>
            <w:tcW w:w="1925" w:type="dxa"/>
            <w:gridSpan w:val="2"/>
            <w:noWrap/>
            <w:vAlign w:val="center"/>
          </w:tcPr>
          <w:p>
            <w:pPr>
              <w:spacing w:line="480" w:lineRule="auto"/>
              <w:jc w:val="center"/>
              <w:rPr>
                <w:rFonts w:ascii="Times New Roman" w:hAnsi="Times New Roman" w:cs="Times New Roman"/>
                <w:sz w:val="24"/>
              </w:rPr>
            </w:pPr>
            <w:r>
              <w:rPr>
                <w:rFonts w:ascii="Times New Roman" w:hAnsi="Times New Roman" w:cs="Times New Roman"/>
                <w:sz w:val="24"/>
              </w:rPr>
              <w:t>土地</w:t>
            </w:r>
            <w:r>
              <w:rPr>
                <w:rFonts w:hint="eastAsia" w:ascii="Times New Roman" w:hAnsi="Times New Roman" w:cs="Times New Roman"/>
                <w:sz w:val="24"/>
              </w:rPr>
              <w:t>座落</w:t>
            </w:r>
          </w:p>
        </w:tc>
        <w:tc>
          <w:tcPr>
            <w:tcW w:w="5431" w:type="dxa"/>
            <w:gridSpan w:val="4"/>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166" w:type="dxa"/>
            <w:vMerge w:val="continue"/>
            <w:noWrap/>
          </w:tcPr>
          <w:p>
            <w:pPr>
              <w:spacing w:line="480" w:lineRule="auto"/>
              <w:jc w:val="center"/>
              <w:rPr>
                <w:rFonts w:ascii="Times New Roman" w:hAnsi="Times New Roman" w:cs="Times New Roman"/>
                <w:sz w:val="24"/>
              </w:rPr>
            </w:pPr>
          </w:p>
        </w:tc>
        <w:tc>
          <w:tcPr>
            <w:tcW w:w="1925" w:type="dxa"/>
            <w:gridSpan w:val="2"/>
            <w:noWrap/>
            <w:vAlign w:val="center"/>
          </w:tcPr>
          <w:p>
            <w:pPr>
              <w:spacing w:line="480" w:lineRule="auto"/>
              <w:jc w:val="center"/>
              <w:rPr>
                <w:rFonts w:ascii="Times New Roman" w:hAnsi="Times New Roman" w:cs="Times New Roman"/>
                <w:sz w:val="24"/>
              </w:rPr>
            </w:pPr>
            <w:r>
              <w:rPr>
                <w:rFonts w:ascii="Times New Roman" w:hAnsi="Times New Roman" w:cs="Times New Roman"/>
                <w:sz w:val="24"/>
              </w:rPr>
              <w:t>使用用途</w:t>
            </w:r>
          </w:p>
        </w:tc>
        <w:tc>
          <w:tcPr>
            <w:tcW w:w="5431" w:type="dxa"/>
            <w:gridSpan w:val="4"/>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166" w:type="dxa"/>
            <w:vMerge w:val="continue"/>
            <w:noWrap/>
          </w:tcPr>
          <w:p>
            <w:pPr>
              <w:spacing w:line="480" w:lineRule="auto"/>
              <w:jc w:val="center"/>
              <w:rPr>
                <w:rFonts w:ascii="Times New Roman" w:hAnsi="Times New Roman" w:cs="Times New Roman"/>
                <w:sz w:val="24"/>
              </w:rPr>
            </w:pPr>
          </w:p>
        </w:tc>
        <w:tc>
          <w:tcPr>
            <w:tcW w:w="1925" w:type="dxa"/>
            <w:gridSpan w:val="2"/>
            <w:noWrap/>
            <w:vAlign w:val="center"/>
          </w:tcPr>
          <w:p>
            <w:pPr>
              <w:spacing w:line="340" w:lineRule="exact"/>
              <w:jc w:val="center"/>
              <w:rPr>
                <w:rFonts w:ascii="Times New Roman" w:hAnsi="Times New Roman" w:cs="Times New Roman"/>
                <w:sz w:val="24"/>
              </w:rPr>
            </w:pPr>
            <w:r>
              <w:rPr>
                <w:rFonts w:hint="eastAsia" w:ascii="Times New Roman" w:hAnsi="Times New Roman" w:cs="Times New Roman"/>
                <w:sz w:val="24"/>
              </w:rPr>
              <w:t>占用耕地和永久基本农田情况</w:t>
            </w:r>
          </w:p>
        </w:tc>
        <w:tc>
          <w:tcPr>
            <w:tcW w:w="5431" w:type="dxa"/>
            <w:gridSpan w:val="4"/>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66" w:type="dxa"/>
            <w:noWrap/>
            <w:vAlign w:val="center"/>
          </w:tcPr>
          <w:p>
            <w:pPr>
              <w:jc w:val="center"/>
              <w:rPr>
                <w:rFonts w:ascii="Times New Roman" w:hAnsi="Times New Roman" w:cs="Times New Roman"/>
                <w:sz w:val="24"/>
              </w:rPr>
            </w:pPr>
            <w:r>
              <w:rPr>
                <w:rFonts w:hint="eastAsia" w:ascii="Times New Roman" w:hAnsi="Times New Roman" w:cs="Times New Roman"/>
                <w:sz w:val="24"/>
              </w:rPr>
              <w:t>土地复垦（恢复）目标</w:t>
            </w:r>
          </w:p>
        </w:tc>
        <w:tc>
          <w:tcPr>
            <w:tcW w:w="7356" w:type="dxa"/>
            <w:gridSpan w:val="6"/>
            <w:noWrap/>
          </w:tcPr>
          <w:p>
            <w:pPr>
              <w:spacing w:line="480" w:lineRule="auto"/>
              <w:jc w:val="center"/>
              <w:rPr>
                <w:rFonts w:ascii="Times New Roman" w:hAnsi="Times New Roman" w:cs="Times New Roman"/>
                <w:sz w:val="24"/>
              </w:rPr>
            </w:pPr>
          </w:p>
          <w:p>
            <w:pPr>
              <w:spacing w:line="480" w:lineRule="auto"/>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66" w:type="dxa"/>
            <w:noWrap/>
            <w:vAlign w:val="center"/>
          </w:tcPr>
          <w:p>
            <w:pPr>
              <w:jc w:val="center"/>
              <w:rPr>
                <w:rFonts w:ascii="Times New Roman" w:hAnsi="Times New Roman" w:cs="Times New Roman"/>
                <w:sz w:val="24"/>
              </w:rPr>
            </w:pPr>
            <w:r>
              <w:rPr>
                <w:rFonts w:hint="eastAsia" w:ascii="Times New Roman" w:hAnsi="Times New Roman" w:cs="Times New Roman"/>
                <w:sz w:val="24"/>
              </w:rPr>
              <w:t>土地复垦（恢复）完成情况</w:t>
            </w:r>
          </w:p>
        </w:tc>
        <w:tc>
          <w:tcPr>
            <w:tcW w:w="7356" w:type="dxa"/>
            <w:gridSpan w:val="6"/>
            <w:noWrap/>
          </w:tcPr>
          <w:p/>
          <w:p>
            <w:pPr>
              <w:pStyle w:val="9"/>
              <w:ind w:firstLine="400"/>
            </w:pPr>
          </w:p>
          <w:p>
            <w:pPr>
              <w:pStyle w:val="9"/>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1166" w:type="dxa"/>
            <w:noWrap/>
            <w:vAlign w:val="center"/>
          </w:tcPr>
          <w:p>
            <w:pPr>
              <w:jc w:val="center"/>
              <w:rPr>
                <w:rFonts w:ascii="Times New Roman" w:hAnsi="Times New Roman" w:cs="Times New Roman"/>
                <w:sz w:val="24"/>
              </w:rPr>
            </w:pPr>
            <w:r>
              <w:rPr>
                <w:rFonts w:hint="eastAsia" w:ascii="Times New Roman" w:hAnsi="Times New Roman" w:cs="Times New Roman"/>
                <w:sz w:val="24"/>
              </w:rPr>
              <w:t>专家</w:t>
            </w:r>
          </w:p>
          <w:p>
            <w:pPr>
              <w:jc w:val="center"/>
              <w:rPr>
                <w:rFonts w:ascii="Times New Roman" w:hAnsi="Times New Roman" w:cs="Times New Roman"/>
                <w:sz w:val="24"/>
              </w:rPr>
            </w:pPr>
            <w:r>
              <w:rPr>
                <w:rFonts w:hint="eastAsia" w:ascii="Times New Roman" w:hAnsi="Times New Roman" w:cs="Times New Roman"/>
                <w:sz w:val="24"/>
              </w:rPr>
              <w:t>验收</w:t>
            </w:r>
          </w:p>
          <w:p>
            <w:pPr>
              <w:jc w:val="center"/>
              <w:rPr>
                <w:rFonts w:ascii="Times New Roman" w:hAnsi="Times New Roman" w:cs="Times New Roman"/>
                <w:sz w:val="24"/>
              </w:rPr>
            </w:pPr>
            <w:r>
              <w:rPr>
                <w:rFonts w:hint="eastAsia" w:ascii="Times New Roman" w:hAnsi="Times New Roman" w:cs="Times New Roman"/>
                <w:sz w:val="24"/>
              </w:rPr>
              <w:t>结论</w:t>
            </w:r>
          </w:p>
        </w:tc>
        <w:tc>
          <w:tcPr>
            <w:tcW w:w="7356" w:type="dxa"/>
            <w:gridSpan w:val="6"/>
            <w:noWrap/>
          </w:tcPr>
          <w:p>
            <w:pPr>
              <w:spacing w:line="480" w:lineRule="auto"/>
              <w:jc w:val="center"/>
              <w:rPr>
                <w:rFonts w:ascii="Times New Roman" w:hAnsi="Times New Roman" w:cs="Times New Roman"/>
                <w:sz w:val="24"/>
              </w:rPr>
            </w:pPr>
          </w:p>
          <w:p/>
          <w:p>
            <w:pPr>
              <w:pStyle w:val="9"/>
              <w:ind w:firstLine="400"/>
            </w:pPr>
          </w:p>
          <w:p>
            <w:pPr>
              <w:pStyle w:val="8"/>
              <w:ind w:firstLine="210"/>
            </w:pPr>
          </w:p>
          <w:p>
            <w:pPr>
              <w:spacing w:line="480" w:lineRule="auto"/>
              <w:jc w:val="center"/>
              <w:rPr>
                <w:rFonts w:ascii="Times New Roman" w:hAnsi="Times New Roman" w:cs="Times New Roman"/>
                <w:sz w:val="24"/>
              </w:rPr>
            </w:pPr>
            <w:r>
              <w:rPr>
                <w:rFonts w:ascii="Times New Roman" w:hAnsi="Times New Roman" w:cs="Times New Roman"/>
                <w:sz w:val="24"/>
              </w:rPr>
              <w:t xml:space="preserve">专家组组长签名：                         </w:t>
            </w:r>
          </w:p>
          <w:p>
            <w:pPr>
              <w:spacing w:line="480" w:lineRule="auto"/>
              <w:jc w:val="center"/>
              <w:rPr>
                <w:rFonts w:ascii="Times New Roman" w:hAnsi="Times New Roman" w:cs="Times New Roman"/>
                <w:sz w:val="24"/>
              </w:rPr>
            </w:pPr>
            <w:r>
              <w:rPr>
                <w:rFonts w:ascii="Times New Roman" w:hAnsi="Times New Roman" w:cs="Times New Roman"/>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restart"/>
            <w:noWrap/>
            <w:vAlign w:val="center"/>
          </w:tcPr>
          <w:p>
            <w:pPr>
              <w:spacing w:line="480" w:lineRule="auto"/>
              <w:jc w:val="center"/>
              <w:rPr>
                <w:rFonts w:ascii="Times New Roman" w:hAnsi="Times New Roman" w:cs="Times New Roman"/>
                <w:sz w:val="24"/>
              </w:rPr>
            </w:pPr>
            <w:r>
              <w:rPr>
                <w:rFonts w:ascii="Times New Roman" w:hAnsi="Times New Roman" w:cs="Times New Roman"/>
                <w:sz w:val="24"/>
              </w:rPr>
              <w:t>验收</w:t>
            </w:r>
          </w:p>
          <w:p>
            <w:pPr>
              <w:spacing w:line="480" w:lineRule="auto"/>
              <w:jc w:val="center"/>
              <w:rPr>
                <w:rFonts w:ascii="Times New Roman" w:hAnsi="Times New Roman" w:cs="Times New Roman"/>
                <w:sz w:val="24"/>
              </w:rPr>
            </w:pPr>
            <w:r>
              <w:rPr>
                <w:rFonts w:hint="eastAsia" w:ascii="Times New Roman" w:hAnsi="Times New Roman" w:cs="Times New Roman"/>
                <w:sz w:val="24"/>
              </w:rPr>
              <w:t>专家</w:t>
            </w:r>
          </w:p>
          <w:p>
            <w:pPr>
              <w:spacing w:line="480" w:lineRule="auto"/>
              <w:jc w:val="center"/>
              <w:rPr>
                <w:rFonts w:ascii="Times New Roman" w:hAnsi="Times New Roman" w:cs="Times New Roman"/>
                <w:sz w:val="24"/>
              </w:rPr>
            </w:pPr>
            <w:r>
              <w:rPr>
                <w:rFonts w:hint="eastAsia" w:ascii="Times New Roman" w:hAnsi="Times New Roman" w:cs="Times New Roman"/>
                <w:sz w:val="24"/>
              </w:rPr>
              <w:t>名单</w:t>
            </w:r>
          </w:p>
        </w:tc>
        <w:tc>
          <w:tcPr>
            <w:tcW w:w="1471" w:type="dxa"/>
            <w:noWrap/>
          </w:tcPr>
          <w:p>
            <w:pPr>
              <w:spacing w:line="480" w:lineRule="auto"/>
              <w:jc w:val="center"/>
              <w:rPr>
                <w:rFonts w:ascii="Times New Roman" w:hAnsi="Times New Roman" w:cs="Times New Roman"/>
                <w:sz w:val="24"/>
              </w:rPr>
            </w:pPr>
            <w:r>
              <w:rPr>
                <w:rFonts w:ascii="Times New Roman" w:hAnsi="Times New Roman" w:cs="Times New Roman"/>
                <w:sz w:val="24"/>
              </w:rPr>
              <w:t>姓名</w:t>
            </w:r>
          </w:p>
        </w:tc>
        <w:tc>
          <w:tcPr>
            <w:tcW w:w="1471" w:type="dxa"/>
            <w:gridSpan w:val="2"/>
            <w:noWrap/>
          </w:tcPr>
          <w:p>
            <w:pPr>
              <w:spacing w:line="480" w:lineRule="auto"/>
              <w:jc w:val="center"/>
              <w:rPr>
                <w:rFonts w:ascii="Times New Roman" w:hAnsi="Times New Roman" w:cs="Times New Roman"/>
                <w:sz w:val="24"/>
              </w:rPr>
            </w:pPr>
            <w:r>
              <w:rPr>
                <w:rFonts w:ascii="Times New Roman" w:hAnsi="Times New Roman" w:cs="Times New Roman"/>
                <w:sz w:val="24"/>
              </w:rPr>
              <w:t>职务</w:t>
            </w:r>
          </w:p>
        </w:tc>
        <w:tc>
          <w:tcPr>
            <w:tcW w:w="1471" w:type="dxa"/>
            <w:noWrap/>
          </w:tcPr>
          <w:p>
            <w:pPr>
              <w:spacing w:line="480" w:lineRule="auto"/>
              <w:jc w:val="center"/>
              <w:rPr>
                <w:rFonts w:ascii="Times New Roman" w:hAnsi="Times New Roman" w:cs="Times New Roman"/>
                <w:sz w:val="24"/>
              </w:rPr>
            </w:pPr>
            <w:r>
              <w:rPr>
                <w:rFonts w:ascii="Times New Roman" w:hAnsi="Times New Roman" w:cs="Times New Roman"/>
                <w:sz w:val="24"/>
              </w:rPr>
              <w:t>职称</w:t>
            </w:r>
          </w:p>
        </w:tc>
        <w:tc>
          <w:tcPr>
            <w:tcW w:w="1471" w:type="dxa"/>
            <w:noWrap/>
          </w:tcPr>
          <w:p>
            <w:pPr>
              <w:spacing w:line="480" w:lineRule="auto"/>
              <w:jc w:val="center"/>
              <w:rPr>
                <w:rFonts w:ascii="Times New Roman" w:hAnsi="Times New Roman" w:cs="Times New Roman"/>
                <w:sz w:val="24"/>
              </w:rPr>
            </w:pPr>
            <w:r>
              <w:rPr>
                <w:rFonts w:ascii="Times New Roman" w:hAnsi="Times New Roman" w:cs="Times New Roman"/>
                <w:sz w:val="24"/>
              </w:rPr>
              <w:t>联系电话</w:t>
            </w:r>
          </w:p>
        </w:tc>
        <w:tc>
          <w:tcPr>
            <w:tcW w:w="1472" w:type="dxa"/>
            <w:noWrap/>
          </w:tcPr>
          <w:p>
            <w:pPr>
              <w:spacing w:line="480" w:lineRule="auto"/>
              <w:jc w:val="center"/>
              <w:rPr>
                <w:rFonts w:ascii="Times New Roman" w:hAnsi="Times New Roman" w:cs="Times New Roman"/>
                <w:sz w:val="24"/>
              </w:rPr>
            </w:pPr>
            <w:r>
              <w:rPr>
                <w:rFonts w:ascii="Times New Roman" w:hAnsi="Times New Roman"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continue"/>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gridSpan w:val="2"/>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2" w:type="dxa"/>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continue"/>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gridSpan w:val="2"/>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2" w:type="dxa"/>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continue"/>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gridSpan w:val="2"/>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2" w:type="dxa"/>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continue"/>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gridSpan w:val="2"/>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2" w:type="dxa"/>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continue"/>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gridSpan w:val="2"/>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2" w:type="dxa"/>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166" w:type="dxa"/>
            <w:vMerge w:val="continue"/>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gridSpan w:val="2"/>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1" w:type="dxa"/>
            <w:noWrap/>
          </w:tcPr>
          <w:p>
            <w:pPr>
              <w:spacing w:line="480" w:lineRule="auto"/>
              <w:jc w:val="center"/>
              <w:rPr>
                <w:rFonts w:ascii="Times New Roman" w:hAnsi="Times New Roman" w:cs="Times New Roman"/>
                <w:sz w:val="24"/>
              </w:rPr>
            </w:pPr>
          </w:p>
        </w:tc>
        <w:tc>
          <w:tcPr>
            <w:tcW w:w="1472" w:type="dxa"/>
            <w:noWrap/>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trPr>
        <w:tc>
          <w:tcPr>
            <w:tcW w:w="1166" w:type="dxa"/>
            <w:noWrap/>
          </w:tcPr>
          <w:p>
            <w:pPr>
              <w:spacing w:line="400" w:lineRule="exact"/>
              <w:ind w:firstLine="360" w:firstLineChars="150"/>
              <w:rPr>
                <w:rFonts w:ascii="Times New Roman" w:hAnsi="Times New Roman" w:cs="Times New Roman"/>
                <w:sz w:val="24"/>
              </w:rPr>
            </w:pPr>
            <w:r>
              <w:rPr>
                <w:rFonts w:ascii="Times New Roman" w:hAnsi="Times New Roman" w:cs="Times New Roman"/>
                <w:sz w:val="24"/>
              </w:rPr>
              <w:t>自</w:t>
            </w:r>
          </w:p>
          <w:p>
            <w:pPr>
              <w:spacing w:line="400" w:lineRule="exact"/>
              <w:jc w:val="center"/>
              <w:rPr>
                <w:rFonts w:ascii="Times New Roman" w:hAnsi="Times New Roman" w:cs="Times New Roman"/>
                <w:sz w:val="24"/>
              </w:rPr>
            </w:pPr>
            <w:r>
              <w:rPr>
                <w:rFonts w:ascii="Times New Roman" w:hAnsi="Times New Roman" w:cs="Times New Roman"/>
                <w:sz w:val="24"/>
              </w:rPr>
              <w:t>然</w:t>
            </w:r>
          </w:p>
          <w:p>
            <w:pPr>
              <w:spacing w:line="400" w:lineRule="exact"/>
              <w:jc w:val="center"/>
              <w:rPr>
                <w:rFonts w:ascii="Times New Roman" w:hAnsi="Times New Roman" w:cs="Times New Roman"/>
                <w:sz w:val="24"/>
              </w:rPr>
            </w:pPr>
            <w:r>
              <w:rPr>
                <w:rFonts w:ascii="Times New Roman" w:hAnsi="Times New Roman" w:cs="Times New Roman"/>
                <w:sz w:val="24"/>
              </w:rPr>
              <w:t>资</w:t>
            </w:r>
          </w:p>
          <w:p>
            <w:pPr>
              <w:spacing w:line="400" w:lineRule="exact"/>
              <w:jc w:val="center"/>
              <w:rPr>
                <w:rFonts w:ascii="Times New Roman" w:hAnsi="Times New Roman" w:cs="Times New Roman"/>
                <w:sz w:val="24"/>
              </w:rPr>
            </w:pPr>
            <w:r>
              <w:rPr>
                <w:rFonts w:ascii="Times New Roman" w:hAnsi="Times New Roman" w:cs="Times New Roman"/>
                <w:sz w:val="24"/>
              </w:rPr>
              <w:t>源</w:t>
            </w:r>
          </w:p>
          <w:p>
            <w:pPr>
              <w:spacing w:line="400" w:lineRule="exact"/>
              <w:jc w:val="center"/>
              <w:rPr>
                <w:rFonts w:ascii="Times New Roman" w:hAnsi="Times New Roman" w:cs="Times New Roman"/>
                <w:sz w:val="24"/>
              </w:rPr>
            </w:pPr>
            <w:r>
              <w:rPr>
                <w:rFonts w:ascii="Times New Roman" w:hAnsi="Times New Roman" w:cs="Times New Roman"/>
                <w:sz w:val="24"/>
              </w:rPr>
              <w:t>和</w:t>
            </w:r>
          </w:p>
          <w:p>
            <w:pPr>
              <w:spacing w:line="400" w:lineRule="exact"/>
              <w:jc w:val="center"/>
              <w:rPr>
                <w:rFonts w:ascii="Times New Roman" w:hAnsi="Times New Roman" w:cs="Times New Roman"/>
                <w:sz w:val="24"/>
              </w:rPr>
            </w:pPr>
            <w:r>
              <w:rPr>
                <w:rFonts w:ascii="Times New Roman" w:hAnsi="Times New Roman" w:cs="Times New Roman"/>
                <w:sz w:val="24"/>
              </w:rPr>
              <w:t>规</w:t>
            </w:r>
          </w:p>
          <w:p>
            <w:pPr>
              <w:spacing w:line="400" w:lineRule="exact"/>
              <w:jc w:val="center"/>
              <w:rPr>
                <w:rFonts w:ascii="Times New Roman" w:hAnsi="Times New Roman" w:cs="Times New Roman"/>
                <w:sz w:val="24"/>
              </w:rPr>
            </w:pPr>
            <w:r>
              <w:rPr>
                <w:rFonts w:ascii="Times New Roman" w:hAnsi="Times New Roman" w:cs="Times New Roman"/>
                <w:sz w:val="24"/>
              </w:rPr>
              <w:t>划</w:t>
            </w:r>
          </w:p>
          <w:p>
            <w:pPr>
              <w:spacing w:line="400" w:lineRule="exact"/>
              <w:jc w:val="center"/>
              <w:rPr>
                <w:rFonts w:ascii="Times New Roman" w:hAnsi="Times New Roman" w:cs="Times New Roman"/>
                <w:sz w:val="24"/>
              </w:rPr>
            </w:pPr>
            <w:r>
              <w:rPr>
                <w:rFonts w:hint="eastAsia" w:ascii="Times New Roman" w:hAnsi="Times New Roman" w:cs="Times New Roman"/>
                <w:sz w:val="24"/>
              </w:rPr>
              <w:t>局</w:t>
            </w:r>
          </w:p>
          <w:p>
            <w:pPr>
              <w:spacing w:line="400" w:lineRule="exact"/>
              <w:jc w:val="center"/>
              <w:rPr>
                <w:rFonts w:ascii="Times New Roman" w:hAnsi="Times New Roman" w:cs="Times New Roman"/>
                <w:sz w:val="24"/>
              </w:rPr>
            </w:pPr>
            <w:r>
              <w:rPr>
                <w:rFonts w:hint="eastAsia" w:ascii="Times New Roman" w:hAnsi="Times New Roman" w:cs="Times New Roman"/>
                <w:sz w:val="24"/>
              </w:rPr>
              <w:t>验</w:t>
            </w:r>
          </w:p>
          <w:p>
            <w:pPr>
              <w:spacing w:line="400" w:lineRule="exact"/>
              <w:jc w:val="center"/>
              <w:rPr>
                <w:rFonts w:ascii="Times New Roman" w:hAnsi="Times New Roman" w:cs="Times New Roman"/>
                <w:sz w:val="24"/>
              </w:rPr>
            </w:pPr>
            <w:r>
              <w:rPr>
                <w:rFonts w:hint="eastAsia" w:ascii="Times New Roman" w:hAnsi="Times New Roman" w:cs="Times New Roman"/>
                <w:sz w:val="24"/>
              </w:rPr>
              <w:t>收</w:t>
            </w:r>
          </w:p>
          <w:p>
            <w:pPr>
              <w:spacing w:line="400" w:lineRule="exact"/>
              <w:jc w:val="center"/>
              <w:rPr>
                <w:rFonts w:ascii="Times New Roman" w:hAnsi="Times New Roman" w:cs="Times New Roman"/>
                <w:sz w:val="24"/>
              </w:rPr>
            </w:pPr>
            <w:r>
              <w:rPr>
                <w:rFonts w:ascii="Times New Roman" w:hAnsi="Times New Roman" w:cs="Times New Roman"/>
                <w:sz w:val="24"/>
              </w:rPr>
              <w:t>意</w:t>
            </w:r>
          </w:p>
          <w:p>
            <w:pPr>
              <w:spacing w:line="400" w:lineRule="exact"/>
              <w:jc w:val="center"/>
              <w:rPr>
                <w:rFonts w:ascii="Times New Roman" w:hAnsi="Times New Roman" w:cs="Times New Roman"/>
                <w:sz w:val="24"/>
              </w:rPr>
            </w:pPr>
            <w:r>
              <w:rPr>
                <w:rFonts w:ascii="Times New Roman" w:hAnsi="Times New Roman" w:cs="Times New Roman"/>
                <w:sz w:val="24"/>
              </w:rPr>
              <w:t>见</w:t>
            </w:r>
          </w:p>
        </w:tc>
        <w:tc>
          <w:tcPr>
            <w:tcW w:w="7356" w:type="dxa"/>
            <w:gridSpan w:val="6"/>
            <w:noWrap/>
          </w:tcPr>
          <w:p>
            <w:pPr>
              <w:spacing w:line="480" w:lineRule="auto"/>
            </w:pPr>
          </w:p>
          <w:p>
            <w:pPr>
              <w:spacing w:line="480" w:lineRule="auto"/>
              <w:jc w:val="center"/>
            </w:pPr>
          </w:p>
          <w:p>
            <w:pPr>
              <w:spacing w:line="480" w:lineRule="auto"/>
              <w:jc w:val="center"/>
            </w:pPr>
          </w:p>
          <w:p>
            <w:pPr>
              <w:pStyle w:val="9"/>
              <w:ind w:firstLine="400"/>
            </w:pPr>
          </w:p>
          <w:p>
            <w:pPr>
              <w:spacing w:line="480" w:lineRule="auto"/>
              <w:jc w:val="center"/>
            </w:pPr>
          </w:p>
          <w:p>
            <w:pPr>
              <w:spacing w:line="480" w:lineRule="auto"/>
              <w:jc w:val="center"/>
            </w:pPr>
            <w:r>
              <w:t xml:space="preserve">主管领导签字：                       </w:t>
            </w:r>
          </w:p>
          <w:p>
            <w:pPr>
              <w:spacing w:line="480" w:lineRule="auto"/>
              <w:jc w:val="center"/>
            </w:pPr>
            <w:r>
              <w:t>县</w:t>
            </w:r>
            <w:r>
              <w:rPr>
                <w:rFonts w:hint="eastAsia"/>
              </w:rPr>
              <w:t>自然资源和规划局</w:t>
            </w:r>
            <w:r>
              <w:t xml:space="preserve">（公章）    </w:t>
            </w:r>
          </w:p>
          <w:p>
            <w:pPr>
              <w:spacing w:line="480" w:lineRule="auto"/>
              <w:jc w:val="center"/>
            </w:pPr>
            <w: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66" w:type="dxa"/>
            <w:noWrap/>
          </w:tcPr>
          <w:p>
            <w:pPr>
              <w:spacing w:line="480" w:lineRule="auto"/>
              <w:jc w:val="center"/>
              <w:rPr>
                <w:rFonts w:ascii="Times New Roman" w:hAnsi="Times New Roman" w:cs="Times New Roman"/>
                <w:sz w:val="24"/>
              </w:rPr>
            </w:pPr>
            <w:r>
              <w:rPr>
                <w:rFonts w:hint="eastAsia" w:ascii="Times New Roman" w:hAnsi="Times New Roman" w:cs="Times New Roman"/>
                <w:sz w:val="24"/>
              </w:rPr>
              <w:t>备注</w:t>
            </w:r>
          </w:p>
        </w:tc>
        <w:tc>
          <w:tcPr>
            <w:tcW w:w="7356" w:type="dxa"/>
            <w:gridSpan w:val="6"/>
            <w:noWrap/>
          </w:tcPr>
          <w:p>
            <w:pPr>
              <w:spacing w:line="480" w:lineRule="auto"/>
              <w:jc w:val="center"/>
              <w:rPr>
                <w:rFonts w:ascii="Times New Roman" w:hAnsi="Times New Roman" w:cs="Times New Roman"/>
                <w:sz w:val="24"/>
              </w:rPr>
            </w:pPr>
          </w:p>
        </w:tc>
      </w:tr>
    </w:tbl>
    <w:p>
      <w:pPr>
        <w:spacing w:line="360" w:lineRule="auto"/>
        <w:rPr>
          <w:rFonts w:ascii="Times New Roman" w:hAnsi="Times New Roman" w:eastAsia="仿宋" w:cs="Times New Roman"/>
          <w:sz w:val="24"/>
        </w:rPr>
      </w:pPr>
      <w:r>
        <w:rPr>
          <w:rFonts w:ascii="Times New Roman" w:hAnsi="Times New Roman" w:eastAsia="仿宋" w:cs="Times New Roman"/>
          <w:sz w:val="24"/>
        </w:rPr>
        <w:t>填表说明：</w:t>
      </w:r>
    </w:p>
    <w:p>
      <w:pPr>
        <w:spacing w:line="360" w:lineRule="auto"/>
        <w:rPr>
          <w:rFonts w:ascii="Times New Roman" w:hAnsi="Times New Roman" w:eastAsia="仿宋" w:cs="Times New Roman"/>
          <w:sz w:val="24"/>
        </w:rPr>
      </w:pPr>
      <w:r>
        <w:rPr>
          <w:rFonts w:ascii="Times New Roman" w:hAnsi="Times New Roman" w:eastAsia="仿宋" w:cs="Times New Roman"/>
          <w:sz w:val="24"/>
        </w:rPr>
        <w:t>1.专家组要在评审表上填写验收结论并附专家组本人签名。</w:t>
      </w:r>
    </w:p>
    <w:p>
      <w:pPr>
        <w:spacing w:line="360" w:lineRule="auto"/>
        <w:ind w:left="240" w:hanging="240" w:hangingChars="100"/>
        <w:rPr>
          <w:rFonts w:ascii="仿宋_GB2312" w:hAnsi="仿宋_GB2312" w:eastAsia="仿宋_GB2312" w:cs="仿宋_GB2312"/>
          <w:sz w:val="32"/>
          <w:szCs w:val="32"/>
        </w:rPr>
      </w:pPr>
      <w:r>
        <w:rPr>
          <w:rFonts w:ascii="Times New Roman" w:hAnsi="Times New Roman" w:eastAsia="仿宋" w:cs="Times New Roman"/>
          <w:sz w:val="24"/>
        </w:rPr>
        <w:t>2.自然资源和规划</w:t>
      </w:r>
      <w:r>
        <w:rPr>
          <w:rFonts w:hint="eastAsia" w:ascii="Times New Roman" w:hAnsi="Times New Roman" w:eastAsia="仿宋" w:cs="Times New Roman"/>
          <w:sz w:val="24"/>
        </w:rPr>
        <w:t>局</w:t>
      </w:r>
      <w:r>
        <w:rPr>
          <w:rFonts w:ascii="Times New Roman" w:hAnsi="Times New Roman" w:eastAsia="仿宋" w:cs="Times New Roman"/>
          <w:sz w:val="24"/>
        </w:rPr>
        <w:t>审查意见：组织验收的自然资源和规划对专家结论审查后签署的意见，需明确</w:t>
      </w:r>
      <w:r>
        <w:rPr>
          <w:rFonts w:hint="eastAsia" w:ascii="Times New Roman" w:hAnsi="Times New Roman" w:eastAsia="仿宋" w:cs="Times New Roman"/>
          <w:sz w:val="24"/>
        </w:rPr>
        <w:t>该临时用地地块是否完成复垦（恢复）</w:t>
      </w:r>
      <w:r>
        <w:rPr>
          <w:rFonts w:ascii="Times New Roman" w:hAnsi="Times New Roman" w:eastAsia="仿宋" w:cs="Times New Roman"/>
          <w:sz w:val="24"/>
        </w:rPr>
        <w:t>。</w:t>
      </w:r>
    </w:p>
    <w:p>
      <w:pPr>
        <w:spacing w:line="560" w:lineRule="exact"/>
        <w:rPr>
          <w:rFonts w:ascii="仿宋_GB2312" w:hAnsi="仿宋_GB2312" w:eastAsia="仿宋_GB2312" w:cs="仿宋_GB2312"/>
          <w:b/>
          <w:bCs/>
          <w:sz w:val="28"/>
          <w:szCs w:val="28"/>
        </w:rPr>
      </w:pPr>
    </w:p>
    <w:p>
      <w:pPr>
        <w:spacing w:line="560" w:lineRule="exact"/>
        <w:rPr>
          <w:rFonts w:ascii="华文中宋" w:hAnsi="华文中宋" w:eastAsia="仿宋_GB2312"/>
          <w:sz w:val="44"/>
          <w:szCs w:val="44"/>
        </w:rPr>
      </w:pPr>
      <w:r>
        <w:rPr>
          <w:rFonts w:hint="eastAsia" w:ascii="仿宋_GB2312" w:hAnsi="仿宋_GB2312" w:eastAsia="仿宋_GB2312" w:cs="仿宋_GB2312"/>
          <w:b/>
          <w:bCs/>
          <w:sz w:val="28"/>
          <w:szCs w:val="28"/>
        </w:rPr>
        <w:t>附件5</w:t>
      </w:r>
    </w:p>
    <w:p>
      <w:pPr>
        <w:pStyle w:val="9"/>
        <w:ind w:left="0" w:leftChars="0" w:firstLine="0" w:firstLineChars="0"/>
        <w:jc w:val="center"/>
        <w:rPr>
          <w:rFonts w:ascii="仿宋_GB2312" w:hAnsi="华文中宋" w:eastAsia="仿宋_GB2312" w:cs="Times New Roman"/>
          <w:kern w:val="2"/>
          <w:sz w:val="32"/>
          <w:szCs w:val="32"/>
        </w:rPr>
      </w:pPr>
      <w:r>
        <w:rPr>
          <w:rFonts w:hint="eastAsia" w:ascii="华文中宋" w:hAnsi="华文中宋" w:eastAsia="华文中宋"/>
          <w:sz w:val="44"/>
          <w:szCs w:val="44"/>
        </w:rPr>
        <w:t>临时用地挂牌施工信息公示牌</w:t>
      </w:r>
      <w:r>
        <w:rPr>
          <w:rFonts w:hint="eastAsia" w:ascii="仿宋_GB2312" w:hAnsi="华文中宋" w:eastAsia="仿宋_GB2312" w:cs="Times New Roman"/>
          <w:kern w:val="2"/>
          <w:sz w:val="32"/>
          <w:szCs w:val="32"/>
        </w:rPr>
        <w:t>（样表）</w:t>
      </w:r>
    </w:p>
    <w:p>
      <w:r>
        <w:rPr>
          <w:rFonts w:hint="eastAsia" w:ascii="宋体" w:hAnsi="宋体" w:cs="宋体"/>
          <w:kern w:val="0"/>
          <w:sz w:val="20"/>
          <w:szCs w:val="20"/>
        </w:rPr>
        <w:t>编号： **县2024-0*</w:t>
      </w:r>
    </w:p>
    <w:tbl>
      <w:tblPr>
        <w:tblStyle w:val="10"/>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5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用地单位</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项目名称</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土地座落</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批准机关</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批准文号</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用地面积</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批准用途</w:t>
            </w:r>
          </w:p>
        </w:tc>
        <w:tc>
          <w:tcPr>
            <w:tcW w:w="5872" w:type="dxa"/>
            <w:noWrap/>
            <w:vAlign w:val="center"/>
          </w:tcPr>
          <w:p>
            <w:pPr>
              <w:jc w:val="center"/>
              <w:rPr>
                <w:rFonts w:ascii="仿宋_GB2312" w:hAnsi="华文中宋"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使用期限</w:t>
            </w:r>
          </w:p>
        </w:tc>
        <w:tc>
          <w:tcPr>
            <w:tcW w:w="5872" w:type="dxa"/>
            <w:noWrap/>
            <w:vAlign w:val="center"/>
          </w:tcPr>
          <w:p>
            <w:pPr>
              <w:jc w:val="center"/>
              <w:rPr>
                <w:rFonts w:ascii="仿宋_GB2312" w:hAnsi="华文中宋" w:eastAsia="仿宋_GB2312" w:cs="Times New Roman"/>
                <w:sz w:val="32"/>
                <w:szCs w:val="32"/>
              </w:rPr>
            </w:pPr>
            <w:r>
              <w:rPr>
                <w:rFonts w:hint="eastAsia" w:ascii="仿宋_GB2312" w:hAnsi="仿宋_GB2312" w:eastAsia="仿宋_GB2312" w:cs="仿宋_GB2312"/>
                <w:kern w:val="0"/>
                <w:sz w:val="30"/>
                <w:szCs w:val="30"/>
              </w:rPr>
              <w:t>自     年  月  日起至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复垦期限</w:t>
            </w:r>
          </w:p>
        </w:tc>
        <w:tc>
          <w:tcPr>
            <w:tcW w:w="5872" w:type="dxa"/>
            <w:noWrap/>
            <w:vAlign w:val="center"/>
          </w:tcPr>
          <w:p>
            <w:pPr>
              <w:jc w:val="center"/>
              <w:rPr>
                <w:rFonts w:ascii="仿宋_GB2312" w:hAnsi="华文中宋" w:eastAsia="仿宋_GB2312" w:cs="Times New Roman"/>
                <w:sz w:val="32"/>
                <w:szCs w:val="32"/>
              </w:rPr>
            </w:pPr>
            <w:r>
              <w:rPr>
                <w:rFonts w:hint="eastAsia" w:ascii="仿宋_GB2312" w:hAnsi="仿宋_GB2312" w:eastAsia="仿宋_GB2312" w:cs="仿宋_GB2312"/>
                <w:kern w:val="0"/>
                <w:sz w:val="30"/>
                <w:szCs w:val="30"/>
              </w:rPr>
              <w:t>自     年  月  日起至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709" w:type="dxa"/>
            <w:noWrap/>
            <w:vAlign w:val="center"/>
          </w:tcPr>
          <w:p>
            <w:pPr>
              <w:jc w:val="center"/>
              <w:rPr>
                <w:rFonts w:ascii="仿宋_GB2312" w:hAnsi="华文中宋" w:eastAsia="仿宋_GB2312"/>
                <w:sz w:val="32"/>
                <w:szCs w:val="32"/>
              </w:rPr>
            </w:pPr>
            <w:r>
              <w:rPr>
                <w:rFonts w:hint="eastAsia" w:ascii="仿宋_GB2312" w:hAnsi="华文中宋" w:eastAsia="仿宋_GB2312"/>
                <w:sz w:val="32"/>
                <w:szCs w:val="32"/>
              </w:rPr>
              <w:t>备注</w:t>
            </w:r>
          </w:p>
        </w:tc>
        <w:tc>
          <w:tcPr>
            <w:tcW w:w="5872" w:type="dxa"/>
            <w:noWrap/>
            <w:vAlign w:val="center"/>
          </w:tcPr>
          <w:p>
            <w:pPr>
              <w:jc w:val="center"/>
              <w:rPr>
                <w:rFonts w:ascii="仿宋_GB2312" w:hAnsi="华文中宋" w:eastAsia="仿宋_GB2312" w:cs="Times New Roman"/>
                <w:sz w:val="32"/>
                <w:szCs w:val="32"/>
              </w:rPr>
            </w:pPr>
          </w:p>
        </w:tc>
      </w:tr>
    </w:tbl>
    <w:p>
      <w:pPr>
        <w:pStyle w:val="8"/>
        <w:ind w:firstLine="210"/>
      </w:pPr>
    </w:p>
    <w:p>
      <w:pPr>
        <w:pStyle w:val="9"/>
        <w:ind w:left="0" w:leftChars="0" w:firstLine="0" w:firstLineChars="0"/>
      </w:pPr>
    </w:p>
    <w:p>
      <w:pPr>
        <w:ind w:firstLine="320" w:firstLineChars="100"/>
        <w:rPr>
          <w:rFonts w:ascii="黑体" w:eastAsia="黑体"/>
          <w:sz w:val="32"/>
          <w:szCs w:val="32"/>
        </w:rPr>
      </w:pPr>
      <w:r>
        <w:rPr>
          <w:rFonts w:hint="eastAsia" w:ascii="黑体" w:eastAsia="黑体"/>
          <w:sz w:val="32"/>
          <w:szCs w:val="32"/>
        </w:rPr>
        <w:t>监督机构：</w:t>
      </w:r>
    </w:p>
    <w:p>
      <w:pPr>
        <w:ind w:firstLine="320" w:firstLineChars="100"/>
        <w:rPr>
          <w:rFonts w:ascii="黑体" w:eastAsia="黑体"/>
          <w:sz w:val="32"/>
          <w:szCs w:val="32"/>
        </w:rPr>
      </w:pPr>
      <w:r>
        <w:rPr>
          <w:rFonts w:hint="eastAsia" w:ascii="黑体" w:eastAsia="黑体"/>
          <w:sz w:val="32"/>
          <w:szCs w:val="32"/>
        </w:rPr>
        <w:t>监督电话：</w:t>
      </w:r>
    </w:p>
    <w:p>
      <w:pPr>
        <w:spacing w:line="360" w:lineRule="auto"/>
        <w:rPr>
          <w:rFonts w:ascii="仿宋_GB2312" w:hAnsi="仿宋_GB2312" w:eastAsia="仿宋_GB2312" w:cs="仿宋_GB2312"/>
          <w:sz w:val="32"/>
          <w:szCs w:val="32"/>
        </w:rPr>
      </w:pPr>
    </w:p>
    <w:p>
      <w:pPr>
        <w:tabs>
          <w:tab w:val="left" w:pos="922"/>
        </w:tabs>
        <w:jc w:val="lef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CAD64"/>
    <w:multiLevelType w:val="singleLevel"/>
    <w:tmpl w:val="8D5CAD64"/>
    <w:lvl w:ilvl="0" w:tentative="0">
      <w:start w:val="1"/>
      <w:numFmt w:val="chineseCounting"/>
      <w:suff w:val="nothing"/>
      <w:lvlText w:val="（%1）"/>
      <w:lvlJc w:val="left"/>
      <w:rPr>
        <w:rFonts w:hint="eastAsia"/>
      </w:rPr>
    </w:lvl>
  </w:abstractNum>
  <w:abstractNum w:abstractNumId="1">
    <w:nsid w:val="C3D71945"/>
    <w:multiLevelType w:val="singleLevel"/>
    <w:tmpl w:val="C3D71945"/>
    <w:lvl w:ilvl="0" w:tentative="0">
      <w:start w:val="1"/>
      <w:numFmt w:val="chineseCounting"/>
      <w:suff w:val="nothing"/>
      <w:lvlText w:val="（%1）"/>
      <w:lvlJc w:val="left"/>
      <w:rPr>
        <w:rFonts w:hint="eastAsia"/>
      </w:rPr>
    </w:lvl>
  </w:abstractNum>
  <w:abstractNum w:abstractNumId="2">
    <w:nsid w:val="0E699B2E"/>
    <w:multiLevelType w:val="singleLevel"/>
    <w:tmpl w:val="0E699B2E"/>
    <w:lvl w:ilvl="0" w:tentative="0">
      <w:start w:val="1"/>
      <w:numFmt w:val="chineseCounting"/>
      <w:suff w:val="nothing"/>
      <w:lvlText w:val="%1、"/>
      <w:lvlJc w:val="left"/>
      <w:rPr>
        <w:rFonts w:hint="eastAsia"/>
      </w:rPr>
    </w:lvl>
  </w:abstractNum>
  <w:abstractNum w:abstractNumId="3">
    <w:nsid w:val="4D917A7B"/>
    <w:multiLevelType w:val="singleLevel"/>
    <w:tmpl w:val="4D917A7B"/>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ThmMTEwZTU4NTAwMjYzNDIyYzk4NWUxOTAwOWIifQ=="/>
  </w:docVars>
  <w:rsids>
    <w:rsidRoot w:val="009C51C8"/>
    <w:rsid w:val="00066C2C"/>
    <w:rsid w:val="00097917"/>
    <w:rsid w:val="000B45F4"/>
    <w:rsid w:val="001407CA"/>
    <w:rsid w:val="00185BB0"/>
    <w:rsid w:val="002A33D8"/>
    <w:rsid w:val="002F41AC"/>
    <w:rsid w:val="003604CA"/>
    <w:rsid w:val="00437DE9"/>
    <w:rsid w:val="004B3E4E"/>
    <w:rsid w:val="00507D3B"/>
    <w:rsid w:val="00601ACA"/>
    <w:rsid w:val="007C37F7"/>
    <w:rsid w:val="00814FDB"/>
    <w:rsid w:val="0094113F"/>
    <w:rsid w:val="00955122"/>
    <w:rsid w:val="00970E82"/>
    <w:rsid w:val="00981E7D"/>
    <w:rsid w:val="009C51C8"/>
    <w:rsid w:val="00AB7D06"/>
    <w:rsid w:val="00AF56A7"/>
    <w:rsid w:val="00AF60B5"/>
    <w:rsid w:val="00B02425"/>
    <w:rsid w:val="00B155B2"/>
    <w:rsid w:val="00BD086F"/>
    <w:rsid w:val="00BD0D46"/>
    <w:rsid w:val="00BD68FD"/>
    <w:rsid w:val="00C07D9B"/>
    <w:rsid w:val="00C10466"/>
    <w:rsid w:val="00D149BC"/>
    <w:rsid w:val="00D9417B"/>
    <w:rsid w:val="00DB6B56"/>
    <w:rsid w:val="00EF6F44"/>
    <w:rsid w:val="00F0789E"/>
    <w:rsid w:val="00F15F1D"/>
    <w:rsid w:val="00F544CD"/>
    <w:rsid w:val="00F7763D"/>
    <w:rsid w:val="02AE27D3"/>
    <w:rsid w:val="03755836"/>
    <w:rsid w:val="04294C7C"/>
    <w:rsid w:val="06447711"/>
    <w:rsid w:val="091B76C3"/>
    <w:rsid w:val="10FE6654"/>
    <w:rsid w:val="117A2FA0"/>
    <w:rsid w:val="11D700F5"/>
    <w:rsid w:val="16121E71"/>
    <w:rsid w:val="1855407B"/>
    <w:rsid w:val="1F6376EF"/>
    <w:rsid w:val="22523EF8"/>
    <w:rsid w:val="231208E4"/>
    <w:rsid w:val="29735598"/>
    <w:rsid w:val="31841607"/>
    <w:rsid w:val="336D5EBA"/>
    <w:rsid w:val="3E4E5159"/>
    <w:rsid w:val="3F97628F"/>
    <w:rsid w:val="494F72A0"/>
    <w:rsid w:val="4A191FA0"/>
    <w:rsid w:val="4AF508A3"/>
    <w:rsid w:val="4BF62E2C"/>
    <w:rsid w:val="4CAE7BC7"/>
    <w:rsid w:val="4D5C49BE"/>
    <w:rsid w:val="4EBC4F8A"/>
    <w:rsid w:val="4F1B5192"/>
    <w:rsid w:val="552E199D"/>
    <w:rsid w:val="59FD3FC4"/>
    <w:rsid w:val="5AE754BA"/>
    <w:rsid w:val="658F7F88"/>
    <w:rsid w:val="65D82C83"/>
    <w:rsid w:val="6B6C5765"/>
    <w:rsid w:val="6B901E5F"/>
    <w:rsid w:val="6C5E7E96"/>
    <w:rsid w:val="74841C6D"/>
    <w:rsid w:val="79AF7FFD"/>
    <w:rsid w:val="79F96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560" w:lineRule="exact"/>
      <w:ind w:firstLine="420" w:firstLineChars="200"/>
    </w:pPr>
    <w:rPr>
      <w:rFonts w:ascii="方正仿宋_GBK" w:hAnsi="宋体" w:eastAsia="方正仿宋_GBK"/>
      <w:kern w:val="0"/>
      <w:sz w:val="32"/>
      <w:szCs w:val="32"/>
    </w:rPr>
  </w:style>
  <w:style w:type="paragraph" w:styleId="3">
    <w:name w:val="toc 8"/>
    <w:next w:val="1"/>
    <w:qFormat/>
    <w:uiPriority w:val="0"/>
    <w:pPr>
      <w:widowControl w:val="0"/>
      <w:wordWrap w:val="0"/>
      <w:ind w:left="1270"/>
      <w:jc w:val="both"/>
    </w:pPr>
    <w:rPr>
      <w:rFonts w:ascii="Times New Roman" w:hAnsi="Times New Roman" w:eastAsia="宋体" w:cs="Times New Roman"/>
      <w:kern w:val="2"/>
      <w:sz w:val="21"/>
      <w:szCs w:val="24"/>
      <w:lang w:val="en-US" w:eastAsia="zh-CN" w:bidi="ar-SA"/>
    </w:rPr>
  </w:style>
  <w:style w:type="paragraph" w:styleId="4">
    <w:name w:val="Body Text Indent"/>
    <w:basedOn w:val="1"/>
    <w:next w:val="2"/>
    <w:unhideWhenUsed/>
    <w:qFormat/>
    <w:uiPriority w:val="0"/>
    <w:pPr>
      <w:spacing w:after="120"/>
      <w:ind w:left="420" w:leftChars="200"/>
    </w:pPr>
    <w:rPr>
      <w:rFonts w:ascii="Times New Roman" w:hAnsi="Times New Roman"/>
      <w:kern w:val="0"/>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next w:val="1"/>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paragraph" w:styleId="9">
    <w:name w:val="Body Text First Indent 2"/>
    <w:basedOn w:val="4"/>
    <w:next w:val="8"/>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页眉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D0E14-5B27-4AF6-BED9-36BF5DA763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1384</Words>
  <Characters>7893</Characters>
  <Lines>65</Lines>
  <Paragraphs>18</Paragraphs>
  <TotalTime>3</TotalTime>
  <ScaleCrop>false</ScaleCrop>
  <LinksUpToDate>false</LinksUpToDate>
  <CharactersWithSpaces>9259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2023-10-01T03:31:00Z</dcterms:created>
  <dc:creator>admin</dc:creator>
  <cp:lastModifiedBy>练芳芳</cp:lastModifiedBy>
  <dcterms:modified xsi:type="dcterms:W3CDTF">2024-04-17T00:58:12Z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5331DB65E0514BEF9AF16A56C64EF87D</vt:lpwstr>
  </property>
</Properties>
</file>