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3950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kern w:val="44"/>
          <w:sz w:val="44"/>
          <w:szCs w:val="44"/>
        </w:rPr>
      </w:pPr>
      <w:bookmarkStart w:id="0" w:name="_Hlk188029659"/>
      <w:bookmarkEnd w:id="0"/>
      <w:r>
        <w:rPr>
          <w:rFonts w:hint="eastAsia" w:ascii="方正小标宋简体" w:hAnsi="方正小标宋简体" w:eastAsia="方正小标宋简体" w:cs="方正小标宋简体"/>
          <w:b w:val="0"/>
          <w:bCs w:val="0"/>
          <w:kern w:val="44"/>
          <w:sz w:val="44"/>
          <w:szCs w:val="44"/>
        </w:rPr>
        <w:t>《兰溪市桃花坞历史地段保护规划（2021</w:t>
      </w:r>
      <w:r>
        <w:rPr>
          <w:rFonts w:hint="eastAsia" w:ascii="方正小标宋简体" w:hAnsi="方正小标宋简体" w:eastAsia="方正小标宋简体" w:cs="方正小标宋简体"/>
          <w:b w:val="0"/>
          <w:bCs w:val="0"/>
          <w:kern w:val="44"/>
          <w:sz w:val="44"/>
          <w:szCs w:val="44"/>
          <w:lang w:eastAsia="zh-CN"/>
        </w:rPr>
        <w:t>—</w:t>
      </w:r>
      <w:r>
        <w:rPr>
          <w:rFonts w:hint="eastAsia" w:ascii="方正小标宋简体" w:hAnsi="方正小标宋简体" w:eastAsia="方正小标宋简体" w:cs="方正小标宋简体"/>
          <w:b w:val="0"/>
          <w:bCs w:val="0"/>
          <w:kern w:val="44"/>
          <w:sz w:val="44"/>
          <w:szCs w:val="44"/>
        </w:rPr>
        <w:t>2035年）》</w:t>
      </w:r>
      <w:r>
        <w:rPr>
          <w:rFonts w:hint="eastAsia" w:ascii="方正小标宋简体" w:hAnsi="方正小标宋简体" w:eastAsia="方正小标宋简体" w:cs="方正小标宋简体"/>
          <w:b w:val="0"/>
          <w:bCs w:val="0"/>
          <w:kern w:val="44"/>
          <w:sz w:val="44"/>
          <w:szCs w:val="44"/>
          <w:lang w:eastAsia="zh-CN"/>
        </w:rPr>
        <w:t>（</w:t>
      </w:r>
      <w:r>
        <w:rPr>
          <w:rFonts w:hint="eastAsia" w:ascii="方正小标宋简体" w:hAnsi="方正小标宋简体" w:eastAsia="方正小标宋简体" w:cs="方正小标宋简体"/>
          <w:b w:val="0"/>
          <w:bCs w:val="0"/>
          <w:sz w:val="44"/>
          <w:szCs w:val="44"/>
        </w:rPr>
        <w:t>草案</w:t>
      </w:r>
      <w:r>
        <w:rPr>
          <w:rFonts w:hint="eastAsia" w:ascii="方正小标宋简体" w:hAnsi="方正小标宋简体" w:eastAsia="方正小标宋简体" w:cs="方正小标宋简体"/>
          <w:b w:val="0"/>
          <w:bCs w:val="0"/>
          <w:sz w:val="44"/>
          <w:szCs w:val="44"/>
          <w:lang w:eastAsia="zh-CN"/>
        </w:rPr>
        <w:t>）</w:t>
      </w:r>
    </w:p>
    <w:p w14:paraId="66DDB16A">
      <w:pPr>
        <w:ind w:firstLine="560"/>
        <w:rPr>
          <w:rFonts w:hint="eastAsia" w:ascii="仿宋" w:hAnsi="仿宋" w:eastAsia="仿宋"/>
          <w:sz w:val="28"/>
          <w:szCs w:val="32"/>
        </w:rPr>
      </w:pPr>
    </w:p>
    <w:p w14:paraId="468DC53C">
      <w:pPr>
        <w:pStyle w:val="2"/>
        <w:pageBreakBefore w:val="0"/>
        <w:widowControl w:val="0"/>
        <w:kinsoku/>
        <w:wordWrap/>
        <w:overflowPunct/>
        <w:topLinePunct w:val="0"/>
        <w:autoSpaceDE/>
        <w:autoSpaceDN/>
        <w:bidi w:val="0"/>
        <w:adjustRightInd/>
        <w:snapToGrid/>
        <w:spacing w:line="560" w:lineRule="exact"/>
        <w:ind w:firstLine="560"/>
        <w:textAlignment w:val="auto"/>
        <w:rPr>
          <w:rFonts w:hint="eastAsia"/>
          <w:sz w:val="32"/>
          <w:szCs w:val="32"/>
        </w:rPr>
      </w:pPr>
      <w:r>
        <w:rPr>
          <w:rFonts w:hint="eastAsia"/>
          <w:sz w:val="32"/>
          <w:szCs w:val="32"/>
        </w:rPr>
        <w:t>一、</w:t>
      </w:r>
      <w:r>
        <w:rPr>
          <w:sz w:val="32"/>
          <w:szCs w:val="32"/>
        </w:rPr>
        <w:t>桃花坞历史地段</w:t>
      </w:r>
      <w:r>
        <w:rPr>
          <w:rFonts w:hint="eastAsia"/>
          <w:sz w:val="32"/>
          <w:szCs w:val="32"/>
        </w:rPr>
        <w:t>概述</w:t>
      </w:r>
    </w:p>
    <w:p w14:paraId="18499624">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ascii="宋体" w:hAnsi="宋体"/>
          <w:sz w:val="32"/>
          <w:szCs w:val="32"/>
        </w:rPr>
        <w:t>桃花坞历史地段</w:t>
      </w:r>
      <w:r>
        <w:rPr>
          <w:rFonts w:hint="eastAsia" w:ascii="宋体" w:hAnsi="宋体"/>
          <w:sz w:val="32"/>
          <w:szCs w:val="32"/>
        </w:rPr>
        <w:t>（以下简称本历史地段</w:t>
      </w:r>
      <w:r>
        <w:rPr>
          <w:rFonts w:ascii="宋体" w:hAnsi="宋体"/>
          <w:sz w:val="32"/>
          <w:szCs w:val="32"/>
        </w:rPr>
        <w:t>）</w:t>
      </w:r>
      <w:r>
        <w:rPr>
          <w:rFonts w:hint="eastAsia" w:ascii="宋体" w:hAnsi="宋体"/>
          <w:sz w:val="32"/>
          <w:szCs w:val="32"/>
        </w:rPr>
        <w:t>位于兰溪古城南门外、大云山下，是兰溪传统居住群落与自然山水结合的代表地段。规划范围现有省级文保单位2处：周懋森古栈房及爱莲堂、兰溪商埠行业会所—米业公会，市级文保单位3处：荷塘沿14号民居、唐壬森故居及本保殿、金衢特委旧址，未定级不可移动文物1</w:t>
      </w:r>
      <w:r>
        <w:rPr>
          <w:rFonts w:ascii="宋体" w:hAnsi="宋体"/>
          <w:sz w:val="32"/>
          <w:szCs w:val="32"/>
        </w:rPr>
        <w:t>7</w:t>
      </w:r>
      <w:r>
        <w:rPr>
          <w:rFonts w:hint="eastAsia" w:ascii="宋体" w:hAnsi="宋体"/>
          <w:sz w:val="32"/>
          <w:szCs w:val="32"/>
        </w:rPr>
        <w:t>处（其中9处同属历史建筑）。</w:t>
      </w:r>
    </w:p>
    <w:p w14:paraId="7C905366">
      <w:pPr>
        <w:pStyle w:val="2"/>
        <w:pageBreakBefore w:val="0"/>
        <w:widowControl w:val="0"/>
        <w:kinsoku/>
        <w:wordWrap/>
        <w:overflowPunct/>
        <w:topLinePunct w:val="0"/>
        <w:autoSpaceDE/>
        <w:autoSpaceDN/>
        <w:bidi w:val="0"/>
        <w:adjustRightInd/>
        <w:snapToGrid/>
        <w:spacing w:line="560" w:lineRule="exact"/>
        <w:ind w:firstLine="560"/>
        <w:textAlignment w:val="auto"/>
        <w:rPr>
          <w:rFonts w:hint="eastAsia"/>
          <w:sz w:val="32"/>
          <w:szCs w:val="32"/>
        </w:rPr>
      </w:pPr>
      <w:r>
        <w:rPr>
          <w:rFonts w:hint="eastAsia"/>
          <w:sz w:val="32"/>
          <w:szCs w:val="32"/>
        </w:rPr>
        <w:t>二、</w:t>
      </w:r>
      <w:r>
        <w:rPr>
          <w:sz w:val="32"/>
          <w:szCs w:val="32"/>
        </w:rPr>
        <w:t>历史文化价值与特色</w:t>
      </w:r>
    </w:p>
    <w:p w14:paraId="37942580">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bookmarkStart w:id="1" w:name="_Toc88498912"/>
      <w:bookmarkStart w:id="2" w:name="OLE_LINK1"/>
      <w:r>
        <w:rPr>
          <w:rFonts w:hint="eastAsia" w:ascii="宋体" w:hAnsi="宋体"/>
          <w:sz w:val="32"/>
          <w:szCs w:val="32"/>
        </w:rPr>
        <w:t>本历史地段的</w:t>
      </w:r>
      <w:r>
        <w:rPr>
          <w:sz w:val="32"/>
          <w:szCs w:val="32"/>
        </w:rPr>
        <w:t>历史文化价值与特色</w:t>
      </w:r>
      <w:r>
        <w:rPr>
          <w:rFonts w:hint="eastAsia"/>
          <w:sz w:val="32"/>
          <w:szCs w:val="32"/>
        </w:rPr>
        <w:t>主要体现为</w:t>
      </w:r>
      <w:r>
        <w:rPr>
          <w:rFonts w:hint="eastAsia" w:ascii="宋体" w:hAnsi="宋体"/>
          <w:sz w:val="32"/>
          <w:szCs w:val="32"/>
        </w:rPr>
        <w:t>兰溪古城外桃源人家的诗意栖居地、山林景观名胜地，此外“双街”区块和里坞区块分别体现为</w:t>
      </w:r>
      <w:bookmarkEnd w:id="1"/>
      <w:r>
        <w:rPr>
          <w:rFonts w:hint="eastAsia" w:ascii="宋体" w:hAnsi="宋体"/>
          <w:sz w:val="32"/>
          <w:szCs w:val="32"/>
        </w:rPr>
        <w:t>兰溪商埠繁荣和客商云集的见证地、</w:t>
      </w:r>
      <w:r>
        <w:rPr>
          <w:rFonts w:hint="eastAsia" w:ascii="宋体" w:hAnsi="宋体"/>
          <w:sz w:val="32"/>
          <w:szCs w:val="32"/>
          <w:lang w:eastAsia="zh-CN"/>
        </w:rPr>
        <w:t>中华人民共和国成立后</w:t>
      </w:r>
      <w:r>
        <w:rPr>
          <w:rFonts w:hint="eastAsia" w:ascii="宋体" w:hAnsi="宋体"/>
          <w:sz w:val="32"/>
          <w:szCs w:val="32"/>
        </w:rPr>
        <w:t>兰溪工业发展的城南聚集地和知名药企培育地。</w:t>
      </w:r>
    </w:p>
    <w:bookmarkEnd w:id="2"/>
    <w:p w14:paraId="7A918F92">
      <w:pPr>
        <w:pStyle w:val="2"/>
        <w:pageBreakBefore w:val="0"/>
        <w:widowControl w:val="0"/>
        <w:kinsoku/>
        <w:wordWrap/>
        <w:overflowPunct/>
        <w:topLinePunct w:val="0"/>
        <w:autoSpaceDE/>
        <w:autoSpaceDN/>
        <w:bidi w:val="0"/>
        <w:adjustRightInd/>
        <w:snapToGrid/>
        <w:spacing w:line="560" w:lineRule="exact"/>
        <w:ind w:firstLine="560"/>
        <w:textAlignment w:val="auto"/>
        <w:rPr>
          <w:rFonts w:hint="eastAsia"/>
          <w:sz w:val="32"/>
          <w:szCs w:val="32"/>
        </w:rPr>
      </w:pPr>
      <w:r>
        <w:rPr>
          <w:rFonts w:hint="eastAsia"/>
          <w:sz w:val="32"/>
          <w:szCs w:val="32"/>
        </w:rPr>
        <w:t>三</w:t>
      </w:r>
      <w:r>
        <w:rPr>
          <w:sz w:val="32"/>
          <w:szCs w:val="32"/>
        </w:rPr>
        <w:t>、保护原则</w:t>
      </w:r>
    </w:p>
    <w:p w14:paraId="3729E1A6">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坚持以习近平文化思想为指导，坚持以社会主义核心价值观为引领，贯彻落实保护第一、加强管理、挖掘价值、有效利用、让文物活起来的工作要求。</w:t>
      </w:r>
    </w:p>
    <w:p w14:paraId="0FA79D20">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ascii="宋体" w:hAnsi="宋体"/>
          <w:sz w:val="32"/>
          <w:szCs w:val="32"/>
        </w:rPr>
        <w:t>坚持保护</w:t>
      </w:r>
      <w:r>
        <w:rPr>
          <w:rFonts w:hint="eastAsia" w:ascii="宋体" w:hAnsi="宋体"/>
          <w:sz w:val="32"/>
          <w:szCs w:val="32"/>
        </w:rPr>
        <w:t>历史地段</w:t>
      </w:r>
      <w:r>
        <w:rPr>
          <w:rFonts w:ascii="宋体" w:hAnsi="宋体"/>
          <w:sz w:val="32"/>
          <w:szCs w:val="32"/>
        </w:rPr>
        <w:t>真实性、完整性、延续性</w:t>
      </w:r>
      <w:r>
        <w:rPr>
          <w:rFonts w:hint="eastAsia" w:ascii="宋体" w:hAnsi="宋体"/>
          <w:sz w:val="32"/>
          <w:szCs w:val="32"/>
        </w:rPr>
        <w:t>的</w:t>
      </w:r>
      <w:r>
        <w:rPr>
          <w:rFonts w:ascii="宋体" w:hAnsi="宋体"/>
          <w:sz w:val="32"/>
          <w:szCs w:val="32"/>
        </w:rPr>
        <w:t>原则</w:t>
      </w:r>
      <w:r>
        <w:rPr>
          <w:rFonts w:hint="eastAsia" w:ascii="宋体" w:hAnsi="宋体"/>
          <w:sz w:val="32"/>
          <w:szCs w:val="32"/>
        </w:rPr>
        <w:t>。</w:t>
      </w:r>
    </w:p>
    <w:p w14:paraId="1DE3237C">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ascii="宋体" w:hAnsi="宋体"/>
          <w:sz w:val="32"/>
          <w:szCs w:val="32"/>
        </w:rPr>
        <w:t>坚持</w:t>
      </w:r>
      <w:r>
        <w:rPr>
          <w:rFonts w:hint="eastAsia" w:ascii="宋体" w:hAnsi="宋体"/>
          <w:sz w:val="32"/>
          <w:szCs w:val="32"/>
        </w:rPr>
        <w:t>保护历史地段</w:t>
      </w:r>
      <w:r>
        <w:rPr>
          <w:rFonts w:ascii="宋体" w:hAnsi="宋体"/>
          <w:sz w:val="32"/>
          <w:szCs w:val="32"/>
        </w:rPr>
        <w:t>价值</w:t>
      </w:r>
      <w:r>
        <w:rPr>
          <w:rFonts w:hint="eastAsia" w:ascii="宋体" w:hAnsi="宋体"/>
          <w:sz w:val="32"/>
          <w:szCs w:val="32"/>
        </w:rPr>
        <w:t>特色为导向</w:t>
      </w:r>
      <w:r>
        <w:rPr>
          <w:rFonts w:ascii="宋体" w:hAnsi="宋体"/>
          <w:sz w:val="32"/>
          <w:szCs w:val="32"/>
        </w:rPr>
        <w:t>、应保尽保</w:t>
      </w:r>
      <w:r>
        <w:rPr>
          <w:rFonts w:hint="eastAsia" w:ascii="宋体" w:hAnsi="宋体"/>
          <w:sz w:val="32"/>
          <w:szCs w:val="32"/>
        </w:rPr>
        <w:t>的</w:t>
      </w:r>
      <w:r>
        <w:rPr>
          <w:rFonts w:ascii="宋体" w:hAnsi="宋体"/>
          <w:sz w:val="32"/>
          <w:szCs w:val="32"/>
        </w:rPr>
        <w:t>原则</w:t>
      </w:r>
      <w:r>
        <w:rPr>
          <w:rFonts w:hint="eastAsia" w:ascii="宋体" w:hAnsi="宋体"/>
          <w:sz w:val="32"/>
          <w:szCs w:val="32"/>
        </w:rPr>
        <w:t>。</w:t>
      </w:r>
    </w:p>
    <w:p w14:paraId="00DCCDC1">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ascii="宋体" w:hAnsi="宋体"/>
          <w:sz w:val="32"/>
          <w:szCs w:val="32"/>
        </w:rPr>
        <w:t>坚持</w:t>
      </w:r>
      <w:r>
        <w:rPr>
          <w:rFonts w:hint="eastAsia" w:ascii="宋体" w:hAnsi="宋体"/>
          <w:sz w:val="32"/>
          <w:szCs w:val="32"/>
        </w:rPr>
        <w:t>历史地段</w:t>
      </w:r>
      <w:r>
        <w:rPr>
          <w:rFonts w:ascii="宋体" w:hAnsi="宋体"/>
          <w:sz w:val="32"/>
          <w:szCs w:val="32"/>
        </w:rPr>
        <w:t>活态传承、合理利用、可持续发展的原则</w:t>
      </w:r>
      <w:r>
        <w:rPr>
          <w:rFonts w:hint="eastAsia" w:ascii="宋体" w:hAnsi="宋体"/>
          <w:sz w:val="32"/>
          <w:szCs w:val="32"/>
        </w:rPr>
        <w:t>。</w:t>
      </w:r>
    </w:p>
    <w:p w14:paraId="04C56C2D">
      <w:pPr>
        <w:pStyle w:val="2"/>
        <w:pageBreakBefore w:val="0"/>
        <w:widowControl w:val="0"/>
        <w:kinsoku/>
        <w:wordWrap/>
        <w:overflowPunct/>
        <w:topLinePunct w:val="0"/>
        <w:autoSpaceDE/>
        <w:autoSpaceDN/>
        <w:bidi w:val="0"/>
        <w:adjustRightInd/>
        <w:snapToGrid/>
        <w:spacing w:line="560" w:lineRule="exact"/>
        <w:ind w:firstLine="560"/>
        <w:textAlignment w:val="auto"/>
        <w:rPr>
          <w:rFonts w:hint="eastAsia"/>
          <w:sz w:val="32"/>
          <w:szCs w:val="32"/>
        </w:rPr>
      </w:pPr>
      <w:r>
        <w:rPr>
          <w:rFonts w:hint="eastAsia"/>
          <w:sz w:val="32"/>
          <w:szCs w:val="32"/>
        </w:rPr>
        <w:t>四</w:t>
      </w:r>
      <w:r>
        <w:rPr>
          <w:sz w:val="32"/>
          <w:szCs w:val="32"/>
        </w:rPr>
        <w:t>、</w:t>
      </w:r>
      <w:r>
        <w:rPr>
          <w:rFonts w:hint="eastAsia"/>
          <w:sz w:val="32"/>
          <w:szCs w:val="32"/>
        </w:rPr>
        <w:t>保护内容</w:t>
      </w:r>
    </w:p>
    <w:p w14:paraId="1EA6A701">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本历史地段的保护内容包括：2</w:t>
      </w:r>
      <w:r>
        <w:rPr>
          <w:rFonts w:ascii="宋体" w:hAnsi="宋体"/>
          <w:sz w:val="32"/>
          <w:szCs w:val="32"/>
        </w:rPr>
        <w:t>处</w:t>
      </w:r>
      <w:r>
        <w:rPr>
          <w:rFonts w:hint="eastAsia" w:ascii="宋体" w:hAnsi="宋体"/>
          <w:sz w:val="32"/>
          <w:szCs w:val="32"/>
        </w:rPr>
        <w:t>省级文保单位、</w:t>
      </w:r>
      <w:r>
        <w:rPr>
          <w:rFonts w:ascii="宋体" w:hAnsi="宋体"/>
          <w:sz w:val="32"/>
          <w:szCs w:val="32"/>
        </w:rPr>
        <w:t>3处</w:t>
      </w:r>
      <w:r>
        <w:rPr>
          <w:rFonts w:hint="eastAsia" w:ascii="宋体" w:hAnsi="宋体"/>
          <w:sz w:val="32"/>
          <w:szCs w:val="32"/>
        </w:rPr>
        <w:t>市级文保单位、</w:t>
      </w:r>
      <w:r>
        <w:rPr>
          <w:rFonts w:ascii="宋体" w:hAnsi="宋体"/>
          <w:sz w:val="32"/>
          <w:szCs w:val="32"/>
        </w:rPr>
        <w:t>17</w:t>
      </w:r>
      <w:r>
        <w:rPr>
          <w:rFonts w:hint="eastAsia" w:ascii="宋体" w:hAnsi="宋体"/>
          <w:sz w:val="32"/>
          <w:szCs w:val="32"/>
        </w:rPr>
        <w:t>处未定级不可移动文物、9处历史建筑（均同属未定级不可移动文物）、</w:t>
      </w:r>
      <w:r>
        <w:rPr>
          <w:rFonts w:ascii="宋体" w:hAnsi="宋体"/>
          <w:sz w:val="32"/>
          <w:szCs w:val="32"/>
        </w:rPr>
        <w:t>8</w:t>
      </w:r>
      <w:r>
        <w:rPr>
          <w:rFonts w:hint="eastAsia" w:ascii="宋体" w:hAnsi="宋体"/>
          <w:sz w:val="32"/>
          <w:szCs w:val="32"/>
        </w:rPr>
        <w:t>处推荐历史</w:t>
      </w:r>
      <w:r>
        <w:rPr>
          <w:rFonts w:ascii="宋体" w:hAnsi="宋体"/>
          <w:sz w:val="32"/>
          <w:szCs w:val="32"/>
        </w:rPr>
        <w:t>建筑</w:t>
      </w:r>
      <w:r>
        <w:rPr>
          <w:rFonts w:hint="eastAsia" w:ascii="宋体" w:hAnsi="宋体"/>
          <w:sz w:val="32"/>
          <w:szCs w:val="32"/>
        </w:rPr>
        <w:t>、4</w:t>
      </w:r>
      <w:r>
        <w:rPr>
          <w:rFonts w:ascii="宋体" w:hAnsi="宋体"/>
          <w:sz w:val="32"/>
          <w:szCs w:val="32"/>
        </w:rPr>
        <w:t>2处</w:t>
      </w:r>
      <w:r>
        <w:rPr>
          <w:rFonts w:hint="eastAsia" w:ascii="宋体" w:hAnsi="宋体"/>
          <w:sz w:val="32"/>
          <w:szCs w:val="32"/>
        </w:rPr>
        <w:t>推荐传统风貌建筑、整体空间</w:t>
      </w:r>
      <w:r>
        <w:rPr>
          <w:rFonts w:ascii="宋体" w:hAnsi="宋体"/>
          <w:sz w:val="32"/>
          <w:szCs w:val="32"/>
        </w:rPr>
        <w:t>格局、传统街巷、</w:t>
      </w:r>
      <w:r>
        <w:rPr>
          <w:rFonts w:hint="eastAsia" w:ascii="宋体" w:hAnsi="宋体"/>
          <w:sz w:val="32"/>
          <w:szCs w:val="32"/>
        </w:rPr>
        <w:t>历史水系、</w:t>
      </w:r>
      <w:r>
        <w:rPr>
          <w:rFonts w:ascii="宋体" w:hAnsi="宋体"/>
          <w:sz w:val="32"/>
          <w:szCs w:val="32"/>
        </w:rPr>
        <w:t>历史环境要素</w:t>
      </w:r>
      <w:r>
        <w:rPr>
          <w:rFonts w:hint="eastAsia" w:ascii="宋体" w:hAnsi="宋体"/>
          <w:sz w:val="32"/>
          <w:szCs w:val="32"/>
        </w:rPr>
        <w:t>、具有重要价值的地下遗址、</w:t>
      </w:r>
      <w:r>
        <w:rPr>
          <w:rFonts w:ascii="宋体" w:hAnsi="宋体"/>
          <w:sz w:val="32"/>
          <w:szCs w:val="32"/>
        </w:rPr>
        <w:t>非物质文化遗产</w:t>
      </w:r>
      <w:r>
        <w:rPr>
          <w:rFonts w:hint="eastAsia" w:ascii="宋体" w:hAnsi="宋体"/>
          <w:sz w:val="32"/>
          <w:szCs w:val="32"/>
        </w:rPr>
        <w:t>、题名景观，以及 “四普”新发现文物等。</w:t>
      </w:r>
    </w:p>
    <w:p w14:paraId="3FC46767">
      <w:pPr>
        <w:pStyle w:val="2"/>
        <w:pageBreakBefore w:val="0"/>
        <w:widowControl w:val="0"/>
        <w:kinsoku/>
        <w:wordWrap/>
        <w:overflowPunct/>
        <w:topLinePunct w:val="0"/>
        <w:autoSpaceDE/>
        <w:autoSpaceDN/>
        <w:bidi w:val="0"/>
        <w:adjustRightInd/>
        <w:snapToGrid/>
        <w:spacing w:line="560" w:lineRule="exact"/>
        <w:ind w:firstLine="560"/>
        <w:textAlignment w:val="auto"/>
        <w:rPr>
          <w:rFonts w:hint="eastAsia"/>
          <w:sz w:val="32"/>
          <w:szCs w:val="32"/>
        </w:rPr>
      </w:pPr>
      <w:r>
        <w:rPr>
          <w:rFonts w:hint="eastAsia"/>
          <w:sz w:val="32"/>
          <w:szCs w:val="32"/>
        </w:rPr>
        <w:t>五</w:t>
      </w:r>
      <w:r>
        <w:rPr>
          <w:sz w:val="32"/>
          <w:szCs w:val="32"/>
        </w:rPr>
        <w:t>、保护区划与管控要求</w:t>
      </w:r>
    </w:p>
    <w:p w14:paraId="689ED261">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历史地段保护范围包括核心保护范围和建设控制地带，桃花坞历史地段保护范围为12.90</w:t>
      </w:r>
      <w:r>
        <w:rPr>
          <w:rFonts w:ascii="宋体" w:hAnsi="宋体"/>
          <w:sz w:val="32"/>
          <w:szCs w:val="32"/>
        </w:rPr>
        <w:t>公顷</w:t>
      </w:r>
      <w:r>
        <w:rPr>
          <w:rFonts w:hint="eastAsia" w:ascii="宋体" w:hAnsi="宋体"/>
          <w:sz w:val="32"/>
          <w:szCs w:val="32"/>
        </w:rPr>
        <w:t>，其中核心保护范围</w:t>
      </w:r>
      <w:r>
        <w:rPr>
          <w:rFonts w:ascii="宋体" w:hAnsi="宋体"/>
          <w:sz w:val="32"/>
          <w:szCs w:val="32"/>
        </w:rPr>
        <w:t>为2.</w:t>
      </w:r>
      <w:r>
        <w:rPr>
          <w:rFonts w:hint="eastAsia" w:ascii="宋体" w:hAnsi="宋体"/>
          <w:sz w:val="32"/>
          <w:szCs w:val="32"/>
        </w:rPr>
        <w:t>65</w:t>
      </w:r>
      <w:r>
        <w:rPr>
          <w:rFonts w:ascii="宋体" w:hAnsi="宋体"/>
          <w:sz w:val="32"/>
          <w:szCs w:val="32"/>
        </w:rPr>
        <w:t>公顷</w:t>
      </w:r>
      <w:r>
        <w:rPr>
          <w:rFonts w:hint="eastAsia" w:ascii="宋体" w:hAnsi="宋体"/>
          <w:sz w:val="32"/>
          <w:szCs w:val="32"/>
        </w:rPr>
        <w:t>，</w:t>
      </w:r>
      <w:bookmarkStart w:id="3" w:name="OLE_LINK2"/>
      <w:r>
        <w:rPr>
          <w:rFonts w:hint="eastAsia" w:ascii="宋体" w:hAnsi="宋体"/>
          <w:sz w:val="32"/>
          <w:szCs w:val="32"/>
        </w:rPr>
        <w:t>建设控制地带</w:t>
      </w:r>
      <w:bookmarkEnd w:id="3"/>
      <w:r>
        <w:rPr>
          <w:rFonts w:hint="eastAsia" w:ascii="宋体" w:hAnsi="宋体"/>
          <w:sz w:val="32"/>
          <w:szCs w:val="32"/>
        </w:rPr>
        <w:t>为</w:t>
      </w:r>
      <w:bookmarkStart w:id="4" w:name="OLE_LINK3"/>
      <w:r>
        <w:rPr>
          <w:rFonts w:hint="eastAsia" w:ascii="宋体" w:hAnsi="宋体"/>
          <w:sz w:val="32"/>
          <w:szCs w:val="32"/>
        </w:rPr>
        <w:t>10.25</w:t>
      </w:r>
      <w:bookmarkEnd w:id="4"/>
      <w:r>
        <w:rPr>
          <w:rFonts w:ascii="宋体" w:hAnsi="宋体"/>
          <w:sz w:val="32"/>
          <w:szCs w:val="32"/>
        </w:rPr>
        <w:t>公顷</w:t>
      </w:r>
      <w:r>
        <w:rPr>
          <w:rFonts w:hint="eastAsia" w:ascii="宋体" w:hAnsi="宋体"/>
          <w:sz w:val="32"/>
          <w:szCs w:val="32"/>
        </w:rPr>
        <w:t>，其中建设控制地带分为3个区块，分别为</w:t>
      </w:r>
      <w:bookmarkStart w:id="5" w:name="OLE_LINK4"/>
      <w:r>
        <w:rPr>
          <w:rFonts w:hint="eastAsia" w:ascii="宋体" w:hAnsi="宋体"/>
          <w:sz w:val="32"/>
          <w:szCs w:val="32"/>
        </w:rPr>
        <w:t>环坞区块、“双街”区块和里坞区块</w:t>
      </w:r>
      <w:bookmarkEnd w:id="5"/>
      <w:r>
        <w:rPr>
          <w:rFonts w:ascii="宋体" w:hAnsi="宋体"/>
          <w:sz w:val="32"/>
          <w:szCs w:val="32"/>
        </w:rPr>
        <w:t>。</w:t>
      </w:r>
    </w:p>
    <w:p w14:paraId="20CE1240">
      <w:pPr>
        <w:pageBreakBefore w:val="0"/>
        <w:widowControl w:val="0"/>
        <w:kinsoku/>
        <w:wordWrap/>
        <w:overflowPunct/>
        <w:topLinePunct w:val="0"/>
        <w:autoSpaceDE/>
        <w:autoSpaceDN/>
        <w:bidi w:val="0"/>
        <w:adjustRightInd/>
        <w:snapToGrid/>
        <w:spacing w:line="560" w:lineRule="exact"/>
        <w:ind w:firstLine="482"/>
        <w:textAlignment w:val="auto"/>
        <w:rPr>
          <w:rFonts w:hint="eastAsia" w:ascii="宋体" w:hAnsi="宋体"/>
          <w:b/>
          <w:sz w:val="32"/>
          <w:szCs w:val="32"/>
        </w:rPr>
      </w:pPr>
      <w:r>
        <w:rPr>
          <w:rFonts w:hint="eastAsia" w:ascii="宋体" w:hAnsi="宋体"/>
          <w:b/>
          <w:sz w:val="32"/>
          <w:szCs w:val="32"/>
        </w:rPr>
        <w:t>1</w:t>
      </w:r>
      <w:r>
        <w:rPr>
          <w:rFonts w:ascii="宋体" w:hAnsi="宋体"/>
          <w:b/>
          <w:sz w:val="32"/>
          <w:szCs w:val="32"/>
        </w:rPr>
        <w:t>.</w:t>
      </w:r>
      <w:r>
        <w:rPr>
          <w:rFonts w:hint="eastAsia" w:ascii="宋体" w:hAnsi="宋体"/>
          <w:b/>
          <w:sz w:val="32"/>
          <w:szCs w:val="32"/>
        </w:rPr>
        <w:t>核心保护</w:t>
      </w:r>
      <w:r>
        <w:rPr>
          <w:rFonts w:ascii="宋体" w:hAnsi="宋体"/>
          <w:b/>
          <w:sz w:val="32"/>
          <w:szCs w:val="32"/>
        </w:rPr>
        <w:t>范围</w:t>
      </w:r>
    </w:p>
    <w:p w14:paraId="76AE2444">
      <w:pPr>
        <w:pageBreakBefore w:val="0"/>
        <w:widowControl w:val="0"/>
        <w:kinsoku/>
        <w:wordWrap/>
        <w:overflowPunct/>
        <w:topLinePunct w:val="0"/>
        <w:autoSpaceDE/>
        <w:autoSpaceDN/>
        <w:bidi w:val="0"/>
        <w:adjustRightInd/>
        <w:snapToGrid/>
        <w:spacing w:line="560" w:lineRule="exact"/>
        <w:ind w:firstLine="482"/>
        <w:textAlignment w:val="auto"/>
        <w:rPr>
          <w:rFonts w:hint="eastAsia"/>
          <w:b/>
          <w:sz w:val="32"/>
          <w:szCs w:val="32"/>
        </w:rPr>
      </w:pPr>
      <w:r>
        <w:rPr>
          <w:rFonts w:hint="eastAsia"/>
          <w:b/>
          <w:sz w:val="32"/>
          <w:szCs w:val="32"/>
        </w:rPr>
        <w:t>（</w:t>
      </w:r>
      <w:r>
        <w:rPr>
          <w:b/>
          <w:sz w:val="32"/>
          <w:szCs w:val="32"/>
        </w:rPr>
        <w:t>1）</w:t>
      </w:r>
      <w:bookmarkStart w:id="6" w:name="_Hlk188015750"/>
      <w:r>
        <w:rPr>
          <w:b/>
          <w:sz w:val="32"/>
          <w:szCs w:val="32"/>
        </w:rPr>
        <w:t>核心保护范围</w:t>
      </w:r>
      <w:bookmarkEnd w:id="6"/>
    </w:p>
    <w:p w14:paraId="17D8DB90">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核心保护范围北至荷塘沿—荷塘巷—百步梯—桃花坞</w:t>
      </w:r>
      <w:r>
        <w:rPr>
          <w:rFonts w:ascii="宋体" w:hAnsi="宋体"/>
          <w:sz w:val="32"/>
          <w:szCs w:val="32"/>
        </w:rPr>
        <w:t>49号民居一带，东至原云山制药厂、针织厂大门，南至桃花坞传统民居沿山一带，西至自由路东侧路缘石线，用地面积为2.</w:t>
      </w:r>
      <w:r>
        <w:rPr>
          <w:rFonts w:hint="eastAsia" w:ascii="宋体" w:hAnsi="宋体"/>
          <w:sz w:val="32"/>
          <w:szCs w:val="32"/>
        </w:rPr>
        <w:t>65</w:t>
      </w:r>
      <w:r>
        <w:rPr>
          <w:rFonts w:ascii="宋体" w:hAnsi="宋体"/>
          <w:sz w:val="32"/>
          <w:szCs w:val="32"/>
        </w:rPr>
        <w:t>公顷。</w:t>
      </w:r>
    </w:p>
    <w:p w14:paraId="515BDAFE">
      <w:pPr>
        <w:pageBreakBefore w:val="0"/>
        <w:widowControl w:val="0"/>
        <w:kinsoku/>
        <w:wordWrap/>
        <w:overflowPunct/>
        <w:topLinePunct w:val="0"/>
        <w:autoSpaceDE/>
        <w:autoSpaceDN/>
        <w:bidi w:val="0"/>
        <w:adjustRightInd/>
        <w:snapToGrid/>
        <w:spacing w:line="560" w:lineRule="exact"/>
        <w:ind w:firstLine="482"/>
        <w:textAlignment w:val="auto"/>
        <w:rPr>
          <w:rFonts w:hint="eastAsia"/>
          <w:b/>
          <w:sz w:val="32"/>
          <w:szCs w:val="32"/>
        </w:rPr>
      </w:pPr>
      <w:r>
        <w:rPr>
          <w:rFonts w:hint="eastAsia"/>
          <w:b/>
          <w:sz w:val="32"/>
          <w:szCs w:val="32"/>
        </w:rPr>
        <w:t>（</w:t>
      </w:r>
      <w:r>
        <w:rPr>
          <w:b/>
          <w:sz w:val="32"/>
          <w:szCs w:val="32"/>
        </w:rPr>
        <w:t>2）核心保护范围</w:t>
      </w:r>
      <w:r>
        <w:rPr>
          <w:rFonts w:hint="eastAsia"/>
          <w:b/>
          <w:sz w:val="32"/>
          <w:szCs w:val="32"/>
        </w:rPr>
        <w:t>的管控要求</w:t>
      </w:r>
    </w:p>
    <w:p w14:paraId="571DA1CB">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严格保护历史街巷空间格局和传统建筑肌理；核心保护范围内的建（构）筑物应实施分类保护，采取相应措施保护和修缮建筑。</w:t>
      </w:r>
    </w:p>
    <w:p w14:paraId="10E7FDCE">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核心保护范围内进行建设活动，应当符合保护规划的要求，不得损害历史地段的真实性和完整性，不得对其传统格局展示和历史风貌构成破坏性影响，经分析论证</w:t>
      </w:r>
      <w:bookmarkStart w:id="12" w:name="_GoBack"/>
      <w:r>
        <w:rPr>
          <w:rFonts w:hint="eastAsia" w:ascii="宋体" w:hAnsi="宋体"/>
          <w:sz w:val="32"/>
          <w:szCs w:val="32"/>
        </w:rPr>
        <w:t>可</w:t>
      </w:r>
      <w:bookmarkEnd w:id="12"/>
      <w:r>
        <w:rPr>
          <w:rFonts w:hint="eastAsia" w:ascii="宋体" w:hAnsi="宋体"/>
          <w:sz w:val="32"/>
          <w:szCs w:val="32"/>
        </w:rPr>
        <w:t>完善必要的基础设施、公共服务设施和文化展示设施，其建设应在高度、体量、色彩、材质、屋顶样式等方面与街区历史风貌相协调。</w:t>
      </w:r>
    </w:p>
    <w:p w14:paraId="5040F04E">
      <w:pPr>
        <w:pageBreakBefore w:val="0"/>
        <w:widowControl w:val="0"/>
        <w:kinsoku/>
        <w:wordWrap/>
        <w:overflowPunct/>
        <w:topLinePunct w:val="0"/>
        <w:autoSpaceDE/>
        <w:autoSpaceDN/>
        <w:bidi w:val="0"/>
        <w:adjustRightInd/>
        <w:snapToGrid/>
        <w:spacing w:line="560" w:lineRule="exact"/>
        <w:ind w:firstLine="482"/>
        <w:textAlignment w:val="auto"/>
        <w:rPr>
          <w:rFonts w:hint="eastAsia"/>
          <w:b/>
          <w:sz w:val="32"/>
          <w:szCs w:val="32"/>
        </w:rPr>
      </w:pPr>
      <w:bookmarkStart w:id="7" w:name="_Hlk188015813"/>
      <w:r>
        <w:rPr>
          <w:rFonts w:hint="eastAsia"/>
          <w:b/>
          <w:sz w:val="32"/>
          <w:szCs w:val="32"/>
          <w:lang w:eastAsia="zh-CN"/>
        </w:rPr>
        <w:t>2.</w:t>
      </w:r>
      <w:r>
        <w:rPr>
          <w:rFonts w:hint="eastAsia"/>
          <w:b/>
          <w:sz w:val="32"/>
          <w:szCs w:val="32"/>
        </w:rPr>
        <w:t>建设控制</w:t>
      </w:r>
      <w:r>
        <w:rPr>
          <w:b/>
          <w:sz w:val="32"/>
          <w:szCs w:val="32"/>
        </w:rPr>
        <w:t>地带</w:t>
      </w:r>
    </w:p>
    <w:bookmarkEnd w:id="7"/>
    <w:p w14:paraId="0EE4C2C4">
      <w:pPr>
        <w:pageBreakBefore w:val="0"/>
        <w:widowControl w:val="0"/>
        <w:kinsoku/>
        <w:wordWrap/>
        <w:overflowPunct/>
        <w:topLinePunct w:val="0"/>
        <w:autoSpaceDE/>
        <w:autoSpaceDN/>
        <w:bidi w:val="0"/>
        <w:adjustRightInd/>
        <w:snapToGrid/>
        <w:spacing w:line="560" w:lineRule="exact"/>
        <w:ind w:firstLine="482"/>
        <w:textAlignment w:val="auto"/>
        <w:rPr>
          <w:rFonts w:hint="eastAsia"/>
          <w:b/>
          <w:sz w:val="32"/>
          <w:szCs w:val="32"/>
        </w:rPr>
      </w:pPr>
      <w:r>
        <w:rPr>
          <w:rFonts w:hint="eastAsia"/>
          <w:b/>
          <w:sz w:val="32"/>
          <w:szCs w:val="32"/>
        </w:rPr>
        <w:t>（</w:t>
      </w:r>
      <w:r>
        <w:rPr>
          <w:b/>
          <w:sz w:val="32"/>
          <w:szCs w:val="32"/>
        </w:rPr>
        <w:t>1）建设</w:t>
      </w:r>
      <w:r>
        <w:rPr>
          <w:rFonts w:hint="eastAsia"/>
          <w:b/>
          <w:sz w:val="32"/>
          <w:szCs w:val="32"/>
        </w:rPr>
        <w:t>控制地带</w:t>
      </w:r>
    </w:p>
    <w:p w14:paraId="5A209D08">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建设控制地带西北至云山路南侧路缘石线，东南至自由路（历史上称南前街）西侧路缘石线——南后街东侧路缘石线一带，南至渔民新村、针织厂一带的山脊线，东至兰溪针织厂、云山制药厂、人防培训中心沿线，总</w:t>
      </w:r>
      <w:bookmarkStart w:id="8" w:name="OLE_LINK5"/>
      <w:r>
        <w:rPr>
          <w:rFonts w:hint="eastAsia" w:ascii="宋体" w:hAnsi="宋体"/>
          <w:sz w:val="32"/>
          <w:szCs w:val="32"/>
        </w:rPr>
        <w:t>用地面积为10.25</w:t>
      </w:r>
      <w:r>
        <w:rPr>
          <w:rFonts w:ascii="宋体" w:hAnsi="宋体"/>
          <w:sz w:val="32"/>
          <w:szCs w:val="32"/>
        </w:rPr>
        <w:t>公顷</w:t>
      </w:r>
      <w:bookmarkEnd w:id="8"/>
      <w:r>
        <w:rPr>
          <w:rFonts w:hint="eastAsia" w:ascii="宋体" w:hAnsi="宋体"/>
          <w:sz w:val="32"/>
          <w:szCs w:val="32"/>
        </w:rPr>
        <w:t>，其中环坞区块、“双街”区块和里坞区块的</w:t>
      </w:r>
      <w:bookmarkStart w:id="9" w:name="OLE_LINK6"/>
      <w:r>
        <w:rPr>
          <w:rFonts w:hint="eastAsia" w:ascii="宋体" w:hAnsi="宋体"/>
          <w:sz w:val="32"/>
          <w:szCs w:val="32"/>
        </w:rPr>
        <w:t>用地面积分别为5.77</w:t>
      </w:r>
      <w:r>
        <w:rPr>
          <w:rFonts w:ascii="宋体" w:hAnsi="宋体"/>
          <w:sz w:val="32"/>
          <w:szCs w:val="32"/>
        </w:rPr>
        <w:t>公顷</w:t>
      </w:r>
      <w:bookmarkEnd w:id="9"/>
      <w:r>
        <w:rPr>
          <w:rFonts w:hint="eastAsia" w:ascii="宋体" w:hAnsi="宋体"/>
          <w:sz w:val="32"/>
          <w:szCs w:val="32"/>
        </w:rPr>
        <w:t>、2.56公顷和1.92公顷。</w:t>
      </w:r>
    </w:p>
    <w:p w14:paraId="358E6E9F">
      <w:pPr>
        <w:pageBreakBefore w:val="0"/>
        <w:widowControl w:val="0"/>
        <w:kinsoku/>
        <w:wordWrap/>
        <w:overflowPunct/>
        <w:topLinePunct w:val="0"/>
        <w:autoSpaceDE/>
        <w:autoSpaceDN/>
        <w:bidi w:val="0"/>
        <w:adjustRightInd/>
        <w:snapToGrid/>
        <w:spacing w:line="560" w:lineRule="exact"/>
        <w:ind w:firstLine="482"/>
        <w:textAlignment w:val="auto"/>
        <w:rPr>
          <w:rFonts w:hint="eastAsia"/>
          <w:b/>
          <w:sz w:val="32"/>
          <w:szCs w:val="32"/>
        </w:rPr>
      </w:pPr>
      <w:r>
        <w:rPr>
          <w:rFonts w:hint="eastAsia"/>
          <w:b/>
          <w:sz w:val="32"/>
          <w:szCs w:val="32"/>
        </w:rPr>
        <w:t>（</w:t>
      </w:r>
      <w:r>
        <w:rPr>
          <w:b/>
          <w:sz w:val="32"/>
          <w:szCs w:val="32"/>
        </w:rPr>
        <w:t>2）建设</w:t>
      </w:r>
      <w:r>
        <w:rPr>
          <w:rFonts w:hint="eastAsia"/>
          <w:b/>
          <w:sz w:val="32"/>
          <w:szCs w:val="32"/>
        </w:rPr>
        <w:t>控制地带的管控要求</w:t>
      </w:r>
    </w:p>
    <w:p w14:paraId="065B10D3">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建设控制地带内应保护和延续本历史地段的传统格局、传统街巷肌理和历史景观视廊等。建设控制地带内的建设活动不得损害保护对象的真实性和完整性，不得对其传统格局展示和历史风貌、坡地景观构成破坏性影响。充分顺应和利用地形特色，合理地改造、利用保留的建筑，新建建筑物、构筑物的，应当符合保护规划确定的建设控制要求，在建筑高度、体量、色彩、屋顶样式等方面与本历史地段历史风貌相协调。</w:t>
      </w:r>
    </w:p>
    <w:p w14:paraId="642D8709">
      <w:pPr>
        <w:pageBreakBefore w:val="0"/>
        <w:widowControl w:val="0"/>
        <w:kinsoku/>
        <w:wordWrap/>
        <w:overflowPunct/>
        <w:topLinePunct w:val="0"/>
        <w:autoSpaceDE/>
        <w:autoSpaceDN/>
        <w:bidi w:val="0"/>
        <w:adjustRightInd/>
        <w:snapToGrid/>
        <w:spacing w:after="120" w:line="560" w:lineRule="exact"/>
        <w:ind w:firstLine="480"/>
        <w:textAlignment w:val="auto"/>
        <w:rPr>
          <w:rFonts w:hint="eastAsia"/>
          <w:sz w:val="32"/>
          <w:szCs w:val="32"/>
        </w:rPr>
      </w:pPr>
      <w:r>
        <w:rPr>
          <w:rFonts w:hint="eastAsia"/>
          <w:sz w:val="32"/>
          <w:szCs w:val="32"/>
        </w:rPr>
        <w:t>其中，环坞区块延续历史</w:t>
      </w:r>
      <w:r>
        <w:rPr>
          <w:rFonts w:hint="eastAsia" w:ascii="宋体" w:hAnsi="宋体"/>
          <w:sz w:val="32"/>
          <w:szCs w:val="32"/>
        </w:rPr>
        <w:t>肌理和协调传统风貌，云山路沿线织补建筑体现古城内外有别，沿街界面进退有序，建筑布置错落有致，透出山景和水景；环绕桃花坞的沿山地带以生态修复林为主，向阳坡</w:t>
      </w:r>
      <w:r>
        <w:rPr>
          <w:rFonts w:hint="eastAsia"/>
          <w:sz w:val="32"/>
          <w:szCs w:val="32"/>
        </w:rPr>
        <w:t>恢复桃花景观，沿山现状风貌不协调建筑可分期分批采用整治改造或逐步拆除的方式修复历史景观环境。自由路（历史上为南前街）、南后街沿线的“双街”区块整体保护其历史肌理和传统风貌，在历史考证与考古研究的基础上恢复历史地标同仁塔。里坞区块基于价值导向保留云山制药厂、兰溪针织厂的风貌特征和历史信息，结合功能活化利用提升环境品质和完善交通条件。</w:t>
      </w:r>
    </w:p>
    <w:p w14:paraId="17631065">
      <w:pPr>
        <w:pStyle w:val="2"/>
        <w:pageBreakBefore w:val="0"/>
        <w:widowControl w:val="0"/>
        <w:kinsoku/>
        <w:wordWrap/>
        <w:overflowPunct/>
        <w:topLinePunct w:val="0"/>
        <w:autoSpaceDE/>
        <w:autoSpaceDN/>
        <w:bidi w:val="0"/>
        <w:adjustRightInd/>
        <w:snapToGrid/>
        <w:spacing w:line="560" w:lineRule="exact"/>
        <w:ind w:firstLine="480"/>
        <w:textAlignment w:val="auto"/>
        <w:rPr>
          <w:rFonts w:hint="eastAsia"/>
          <w:sz w:val="32"/>
          <w:szCs w:val="32"/>
        </w:rPr>
      </w:pPr>
      <w:r>
        <w:rPr>
          <w:rFonts w:hint="eastAsia"/>
          <w:sz w:val="32"/>
          <w:szCs w:val="32"/>
        </w:rPr>
        <w:t>六</w:t>
      </w:r>
      <w:r>
        <w:rPr>
          <w:sz w:val="32"/>
          <w:szCs w:val="32"/>
        </w:rPr>
        <w:t>、传统街巷及历史水系保护</w:t>
      </w:r>
    </w:p>
    <w:p w14:paraId="624E2566">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宋体" w:hAnsi="宋体"/>
          <w:b/>
          <w:sz w:val="32"/>
          <w:szCs w:val="32"/>
        </w:rPr>
      </w:pPr>
      <w:r>
        <w:rPr>
          <w:rFonts w:hint="eastAsia" w:ascii="宋体" w:hAnsi="宋体"/>
          <w:b/>
          <w:sz w:val="32"/>
          <w:szCs w:val="32"/>
          <w:lang w:eastAsia="zh-CN"/>
        </w:rPr>
        <w:t>1.</w:t>
      </w:r>
      <w:r>
        <w:rPr>
          <w:rFonts w:hint="eastAsia" w:ascii="宋体" w:hAnsi="宋体"/>
          <w:b/>
          <w:sz w:val="32"/>
          <w:szCs w:val="32"/>
        </w:rPr>
        <w:t>一级</w:t>
      </w:r>
      <w:r>
        <w:rPr>
          <w:rFonts w:ascii="宋体" w:hAnsi="宋体"/>
          <w:b/>
          <w:sz w:val="32"/>
          <w:szCs w:val="32"/>
        </w:rPr>
        <w:t>传统街巷</w:t>
      </w:r>
    </w:p>
    <w:p w14:paraId="173EBF7D">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（1）保护</w:t>
      </w:r>
      <w:r>
        <w:rPr>
          <w:rFonts w:ascii="宋体" w:hAnsi="宋体"/>
          <w:sz w:val="32"/>
          <w:szCs w:val="32"/>
        </w:rPr>
        <w:t>对象</w:t>
      </w:r>
    </w:p>
    <w:p w14:paraId="61B2358E">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一级街巷为现状保护基本完好的传统街巷，共</w:t>
      </w:r>
      <w:r>
        <w:rPr>
          <w:rFonts w:ascii="宋体" w:hAnsi="宋体"/>
          <w:sz w:val="32"/>
          <w:szCs w:val="32"/>
        </w:rPr>
        <w:t>6条：桃花坞、桃花坞左巷、桃花坞右巷、尚义堂、自由路（南前街）</w:t>
      </w:r>
      <w:r>
        <w:rPr>
          <w:rFonts w:hint="eastAsia" w:ascii="宋体" w:hAnsi="宋体"/>
          <w:sz w:val="32"/>
          <w:szCs w:val="32"/>
          <w:lang w:eastAsia="zh-CN"/>
        </w:rPr>
        <w:t>－</w:t>
      </w:r>
      <w:r>
        <w:rPr>
          <w:rFonts w:ascii="宋体" w:hAnsi="宋体"/>
          <w:sz w:val="32"/>
          <w:szCs w:val="32"/>
        </w:rPr>
        <w:t>南段、南后街</w:t>
      </w:r>
      <w:r>
        <w:rPr>
          <w:rFonts w:hint="eastAsia" w:ascii="宋体" w:hAnsi="宋体"/>
          <w:sz w:val="32"/>
          <w:szCs w:val="32"/>
          <w:lang w:eastAsia="zh-CN"/>
        </w:rPr>
        <w:t>－</w:t>
      </w:r>
      <w:r>
        <w:rPr>
          <w:rFonts w:ascii="宋体" w:hAnsi="宋体"/>
          <w:sz w:val="32"/>
          <w:szCs w:val="32"/>
        </w:rPr>
        <w:t>北段。</w:t>
      </w:r>
    </w:p>
    <w:p w14:paraId="0E3BED04">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（2</w:t>
      </w:r>
      <w:r>
        <w:rPr>
          <w:rFonts w:ascii="宋体" w:hAnsi="宋体"/>
          <w:sz w:val="32"/>
          <w:szCs w:val="32"/>
        </w:rPr>
        <w:t>）</w:t>
      </w:r>
      <w:r>
        <w:rPr>
          <w:rFonts w:hint="eastAsia" w:ascii="宋体" w:hAnsi="宋体"/>
          <w:sz w:val="32"/>
          <w:szCs w:val="32"/>
        </w:rPr>
        <w:t>保护</w:t>
      </w:r>
      <w:r>
        <w:rPr>
          <w:rFonts w:ascii="宋体" w:hAnsi="宋体"/>
          <w:sz w:val="32"/>
          <w:szCs w:val="32"/>
        </w:rPr>
        <w:t>要求</w:t>
      </w:r>
    </w:p>
    <w:p w14:paraId="00E55A40">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延续使用一级街巷的历史地名及说明相关事件。保护其空间特征，延续街巷历史走向、尺度、宽高比，保护街巷界面连续性、风貌完整性。对有损风貌地面铺装进行整治，按照本地传统样式恢复街巷原有地面材质和铺地方式。定期维护、更换沿街立面破损的建筑构件，清洗外墙面，优化店招店饰，恢复街巷的历史环境。</w:t>
      </w:r>
    </w:p>
    <w:p w14:paraId="0458D1EF">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宋体" w:hAnsi="宋体"/>
          <w:b/>
          <w:sz w:val="32"/>
          <w:szCs w:val="32"/>
        </w:rPr>
      </w:pPr>
      <w:r>
        <w:rPr>
          <w:rFonts w:hint="eastAsia" w:ascii="宋体" w:hAnsi="宋体"/>
          <w:b/>
          <w:sz w:val="32"/>
          <w:szCs w:val="32"/>
        </w:rPr>
        <w:t>2.</w:t>
      </w:r>
      <w:r>
        <w:rPr>
          <w:rFonts w:ascii="宋体" w:hAnsi="宋体"/>
          <w:b/>
          <w:sz w:val="32"/>
          <w:szCs w:val="32"/>
        </w:rPr>
        <w:t>二级传统街巷</w:t>
      </w:r>
    </w:p>
    <w:p w14:paraId="7C6A6B9C">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（1</w:t>
      </w:r>
      <w:r>
        <w:rPr>
          <w:rFonts w:ascii="宋体" w:hAnsi="宋体"/>
          <w:sz w:val="32"/>
          <w:szCs w:val="32"/>
        </w:rPr>
        <w:t>）</w:t>
      </w:r>
      <w:r>
        <w:rPr>
          <w:rFonts w:hint="eastAsia" w:ascii="宋体" w:hAnsi="宋体"/>
          <w:sz w:val="32"/>
          <w:szCs w:val="32"/>
        </w:rPr>
        <w:t>保护</w:t>
      </w:r>
      <w:r>
        <w:rPr>
          <w:rFonts w:ascii="宋体" w:hAnsi="宋体"/>
          <w:sz w:val="32"/>
          <w:szCs w:val="32"/>
        </w:rPr>
        <w:t>对象</w:t>
      </w:r>
    </w:p>
    <w:p w14:paraId="4790397F">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二级街巷为现状可部分展现历史风貌的传统街巷，共</w:t>
      </w:r>
      <w:r>
        <w:rPr>
          <w:rFonts w:ascii="宋体" w:hAnsi="宋体"/>
          <w:sz w:val="32"/>
          <w:szCs w:val="32"/>
        </w:rPr>
        <w:t>6条，包括：荷塘巷、荷塘沿路、百步梯、驿前巷、塔山巷、南后街</w:t>
      </w:r>
      <w:r>
        <w:rPr>
          <w:rFonts w:hint="eastAsia" w:ascii="宋体" w:hAnsi="宋体"/>
          <w:sz w:val="32"/>
          <w:szCs w:val="32"/>
          <w:lang w:eastAsia="zh-CN"/>
        </w:rPr>
        <w:t>－</w:t>
      </w:r>
      <w:r>
        <w:rPr>
          <w:rFonts w:ascii="宋体" w:hAnsi="宋体"/>
          <w:sz w:val="32"/>
          <w:szCs w:val="32"/>
        </w:rPr>
        <w:t>南段。</w:t>
      </w:r>
    </w:p>
    <w:p w14:paraId="1FB8E38F">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（2</w:t>
      </w:r>
      <w:r>
        <w:rPr>
          <w:rFonts w:ascii="宋体" w:hAnsi="宋体"/>
          <w:sz w:val="32"/>
          <w:szCs w:val="32"/>
        </w:rPr>
        <w:t>）</w:t>
      </w:r>
      <w:r>
        <w:rPr>
          <w:rFonts w:hint="eastAsia" w:ascii="宋体" w:hAnsi="宋体"/>
          <w:sz w:val="32"/>
          <w:szCs w:val="32"/>
        </w:rPr>
        <w:t>保护</w:t>
      </w:r>
      <w:r>
        <w:rPr>
          <w:rFonts w:ascii="宋体" w:hAnsi="宋体"/>
          <w:sz w:val="32"/>
          <w:szCs w:val="32"/>
        </w:rPr>
        <w:t>要求</w:t>
      </w:r>
    </w:p>
    <w:p w14:paraId="34C801D8">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延续使用二级街巷的历史地名及说明相关事件。延续街巷历史走向，保持街巷两侧界面连续性、风貌协调性。对有损传统风貌的沿街立面进行整治，结合历史影像、文献记录等对街巷肌理进行合理织补，提升慢行体验。</w:t>
      </w:r>
    </w:p>
    <w:p w14:paraId="755F6E52">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宋体" w:hAnsi="宋体"/>
          <w:b/>
          <w:sz w:val="32"/>
          <w:szCs w:val="32"/>
        </w:rPr>
      </w:pPr>
      <w:r>
        <w:rPr>
          <w:rFonts w:ascii="宋体" w:hAnsi="宋体"/>
          <w:b/>
          <w:sz w:val="32"/>
          <w:szCs w:val="32"/>
        </w:rPr>
        <w:t>3.</w:t>
      </w:r>
      <w:r>
        <w:rPr>
          <w:rFonts w:hint="eastAsia" w:ascii="宋体" w:hAnsi="宋体"/>
          <w:b/>
          <w:sz w:val="32"/>
          <w:szCs w:val="32"/>
        </w:rPr>
        <w:t>三级</w:t>
      </w:r>
      <w:r>
        <w:rPr>
          <w:rFonts w:ascii="宋体" w:hAnsi="宋体"/>
          <w:b/>
          <w:sz w:val="32"/>
          <w:szCs w:val="32"/>
        </w:rPr>
        <w:t>传统街巷</w:t>
      </w:r>
    </w:p>
    <w:p w14:paraId="1B7A9D06">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（1</w:t>
      </w:r>
      <w:r>
        <w:rPr>
          <w:rFonts w:ascii="宋体" w:hAnsi="宋体"/>
          <w:sz w:val="32"/>
          <w:szCs w:val="32"/>
        </w:rPr>
        <w:t>）</w:t>
      </w:r>
      <w:r>
        <w:rPr>
          <w:rFonts w:hint="eastAsia" w:ascii="宋体" w:hAnsi="宋体"/>
          <w:sz w:val="32"/>
          <w:szCs w:val="32"/>
        </w:rPr>
        <w:t>保护</w:t>
      </w:r>
      <w:r>
        <w:rPr>
          <w:rFonts w:ascii="宋体" w:hAnsi="宋体"/>
          <w:sz w:val="32"/>
          <w:szCs w:val="32"/>
        </w:rPr>
        <w:t>对象</w:t>
      </w:r>
    </w:p>
    <w:p w14:paraId="2BD07D09">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三级街巷为通过老地形可确定路径的、有名称的传统街巷，共</w:t>
      </w:r>
      <w:r>
        <w:rPr>
          <w:rFonts w:ascii="宋体" w:hAnsi="宋体"/>
          <w:sz w:val="32"/>
          <w:szCs w:val="32"/>
        </w:rPr>
        <w:t>5条，包括：自由路（南前街）</w:t>
      </w:r>
      <w:r>
        <w:rPr>
          <w:rFonts w:hint="eastAsia" w:ascii="宋体" w:hAnsi="宋体"/>
          <w:sz w:val="32"/>
          <w:szCs w:val="32"/>
          <w:lang w:eastAsia="zh-CN"/>
        </w:rPr>
        <w:t>－</w:t>
      </w:r>
      <w:r>
        <w:rPr>
          <w:rFonts w:ascii="宋体" w:hAnsi="宋体"/>
          <w:sz w:val="32"/>
          <w:szCs w:val="32"/>
        </w:rPr>
        <w:t>北段、贵隆巷、白酒巷、郎家巷、东阳巷。</w:t>
      </w:r>
    </w:p>
    <w:p w14:paraId="0EDC7DD6">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（2</w:t>
      </w:r>
      <w:r>
        <w:rPr>
          <w:rFonts w:ascii="宋体" w:hAnsi="宋体"/>
          <w:sz w:val="32"/>
          <w:szCs w:val="32"/>
        </w:rPr>
        <w:t>）</w:t>
      </w:r>
      <w:r>
        <w:rPr>
          <w:rFonts w:hint="eastAsia" w:ascii="宋体" w:hAnsi="宋体"/>
          <w:sz w:val="32"/>
          <w:szCs w:val="32"/>
        </w:rPr>
        <w:t>保护要求</w:t>
      </w:r>
    </w:p>
    <w:p w14:paraId="197A4826">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延续使用其历史地名并说明相关事件，恢复其大致历史走向。</w:t>
      </w:r>
    </w:p>
    <w:p w14:paraId="4DF7414B">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宋体" w:hAnsi="宋体"/>
          <w:b/>
          <w:sz w:val="32"/>
          <w:szCs w:val="32"/>
        </w:rPr>
      </w:pPr>
      <w:bookmarkStart w:id="10" w:name="_Toc185973354"/>
      <w:r>
        <w:rPr>
          <w:rFonts w:hint="eastAsia" w:ascii="宋体" w:hAnsi="宋体"/>
          <w:b/>
          <w:sz w:val="32"/>
          <w:szCs w:val="32"/>
        </w:rPr>
        <w:t>4</w:t>
      </w:r>
      <w:r>
        <w:rPr>
          <w:rFonts w:ascii="宋体" w:hAnsi="宋体"/>
          <w:b/>
          <w:sz w:val="32"/>
          <w:szCs w:val="32"/>
        </w:rPr>
        <w:t>.</w:t>
      </w:r>
      <w:r>
        <w:rPr>
          <w:rFonts w:hint="eastAsia" w:ascii="宋体" w:hAnsi="宋体"/>
          <w:b/>
          <w:sz w:val="32"/>
          <w:szCs w:val="32"/>
        </w:rPr>
        <w:t>步行引导路径</w:t>
      </w:r>
      <w:bookmarkEnd w:id="10"/>
    </w:p>
    <w:p w14:paraId="3BD0A904">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现状已消失的、仅存在古图的街巷，根据实际需要在地块内按大致走向设置步行引导路径。</w:t>
      </w:r>
    </w:p>
    <w:p w14:paraId="5EA4A84A">
      <w:pPr>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sz w:val="32"/>
          <w:szCs w:val="32"/>
        </w:rPr>
      </w:pPr>
      <w:bookmarkStart w:id="11" w:name="_Toc185973355"/>
      <w:r>
        <w:rPr>
          <w:rFonts w:hint="eastAsia" w:ascii="宋体" w:hAnsi="宋体"/>
          <w:b/>
          <w:sz w:val="32"/>
          <w:szCs w:val="32"/>
        </w:rPr>
        <w:t>5</w:t>
      </w:r>
      <w:r>
        <w:rPr>
          <w:rFonts w:ascii="宋体" w:hAnsi="宋体"/>
          <w:b/>
          <w:sz w:val="32"/>
          <w:szCs w:val="32"/>
        </w:rPr>
        <w:t>.</w:t>
      </w:r>
      <w:r>
        <w:rPr>
          <w:rFonts w:hint="eastAsia" w:ascii="宋体" w:hAnsi="宋体"/>
          <w:b/>
          <w:sz w:val="32"/>
          <w:szCs w:val="32"/>
        </w:rPr>
        <w:t>历史水系</w:t>
      </w:r>
      <w:bookmarkEnd w:id="11"/>
      <w:r>
        <w:rPr>
          <w:rFonts w:hint="eastAsia" w:ascii="宋体" w:hAnsi="宋体"/>
          <w:b/>
          <w:sz w:val="32"/>
          <w:szCs w:val="32"/>
        </w:rPr>
        <w:t>分类保护</w:t>
      </w:r>
    </w:p>
    <w:p w14:paraId="51E56590">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（1）</w:t>
      </w:r>
      <w:r>
        <w:rPr>
          <w:rFonts w:ascii="宋体" w:hAnsi="宋体"/>
          <w:sz w:val="32"/>
          <w:szCs w:val="32"/>
        </w:rPr>
        <w:t>现存的及有条件原真恢复的历史水系</w:t>
      </w:r>
    </w:p>
    <w:p w14:paraId="4A2DEB46">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该类历史水系为</w:t>
      </w:r>
      <w:r>
        <w:rPr>
          <w:rFonts w:ascii="宋体" w:hAnsi="宋体"/>
          <w:sz w:val="32"/>
          <w:szCs w:val="32"/>
        </w:rPr>
        <w:t>：桃花坞里塘、本保塘、荷花塘。</w:t>
      </w:r>
    </w:p>
    <w:p w14:paraId="7CB78061">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保护措施：现存的桃花坞里塘应加强水系的保护和水质治理，保护现状历史驳岸，宜整治风貌不协调的护栏；荷花塘、本保塘恢复历史水系的形态，挖掘过程中保护可能埋藏地下的历史驳岸及相关水工设施，本保塘保护再现题名景观“桃花寻芳”的传统意境。原则上不随意扩大或缩小该类历史水系，如有必要，结合场景模拟开展相关分析。</w:t>
      </w:r>
    </w:p>
    <w:p w14:paraId="1DC2461E">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w:t>
      </w:r>
      <w:r>
        <w:rPr>
          <w:rFonts w:ascii="宋体" w:hAnsi="宋体"/>
          <w:sz w:val="32"/>
          <w:szCs w:val="32"/>
        </w:rPr>
        <w:t>2</w:t>
      </w:r>
      <w:r>
        <w:rPr>
          <w:rFonts w:hint="eastAsia" w:ascii="宋体" w:hAnsi="宋体"/>
          <w:sz w:val="32"/>
          <w:szCs w:val="32"/>
        </w:rPr>
        <w:t>）已消失的、有条件恢复水景的历史水系</w:t>
      </w:r>
    </w:p>
    <w:p w14:paraId="5F24CF28">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该类历史水系为：桃花坞外塘、施家塘。</w:t>
      </w:r>
    </w:p>
    <w:p w14:paraId="6BC2697B">
      <w:pPr>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sz w:val="32"/>
          <w:szCs w:val="32"/>
        </w:rPr>
      </w:pPr>
      <w:r>
        <w:rPr>
          <w:rFonts w:hint="eastAsia" w:ascii="宋体" w:hAnsi="宋体"/>
          <w:sz w:val="32"/>
          <w:szCs w:val="32"/>
        </w:rPr>
        <w:t>保护</w:t>
      </w:r>
      <w:r>
        <w:rPr>
          <w:rFonts w:ascii="宋体" w:hAnsi="宋体"/>
          <w:sz w:val="32"/>
          <w:szCs w:val="32"/>
        </w:rPr>
        <w:t>措施：</w:t>
      </w:r>
      <w:r>
        <w:rPr>
          <w:rFonts w:hint="eastAsia" w:ascii="宋体" w:hAnsi="宋体"/>
          <w:sz w:val="32"/>
          <w:szCs w:val="32"/>
        </w:rPr>
        <w:t>桃花坞外塘和施家塘历史位置上曾建有多层住宅，历史形态暂不可考，水系恢复过程中尽量保护历史驳岸及相关水工设施，应保护水系连通和水质，展示与之相关的历史文化，水系形态可结合亲水建筑、公园绿地营造。</w:t>
      </w:r>
    </w:p>
    <w:p w14:paraId="2AB0EC21">
      <w:pPr>
        <w:pStyle w:val="2"/>
        <w:pageBreakBefore w:val="0"/>
        <w:widowControl w:val="0"/>
        <w:kinsoku/>
        <w:wordWrap/>
        <w:overflowPunct/>
        <w:topLinePunct w:val="0"/>
        <w:autoSpaceDE/>
        <w:autoSpaceDN/>
        <w:bidi w:val="0"/>
        <w:adjustRightInd/>
        <w:snapToGrid/>
        <w:spacing w:line="560" w:lineRule="exact"/>
        <w:ind w:firstLine="480"/>
        <w:textAlignment w:val="auto"/>
        <w:rPr>
          <w:rFonts w:hint="default" w:eastAsia="微软雅黑"/>
          <w:sz w:val="32"/>
          <w:szCs w:val="32"/>
          <w:lang w:val="en-US" w:eastAsia="zh-CN"/>
        </w:rPr>
      </w:pPr>
      <w:r>
        <w:rPr>
          <w:rFonts w:hint="eastAsia"/>
          <w:sz w:val="32"/>
          <w:szCs w:val="32"/>
          <w:lang w:val="en-US" w:eastAsia="zh-CN"/>
        </w:rPr>
        <w:t>七</w:t>
      </w:r>
      <w:r>
        <w:rPr>
          <w:sz w:val="32"/>
          <w:szCs w:val="32"/>
        </w:rPr>
        <w:t>、</w:t>
      </w:r>
      <w:r>
        <w:rPr>
          <w:rFonts w:hint="eastAsia"/>
          <w:sz w:val="32"/>
          <w:szCs w:val="32"/>
          <w:lang w:val="en-US" w:eastAsia="zh-CN"/>
        </w:rPr>
        <w:t>详见附图</w:t>
      </w:r>
    </w:p>
    <w:p w14:paraId="02EFD4FD">
      <w:pPr>
        <w:ind w:left="0" w:leftChars="0" w:firstLine="0" w:firstLineChars="0"/>
        <w:rPr>
          <w:rFonts w:hint="eastAsia" w:ascii="微软雅黑" w:hAnsi="微软雅黑" w:eastAsia="微软雅黑"/>
          <w:b/>
          <w:lang w:eastAsia="zh-CN"/>
        </w:rPr>
      </w:pPr>
      <w:r>
        <w:rPr>
          <w:rFonts w:hint="eastAsia" w:ascii="微软雅黑" w:hAnsi="微软雅黑" w:eastAsia="微软雅黑"/>
          <w:b/>
          <w:lang w:eastAsia="zh-CN"/>
        </w:rPr>
        <w:drawing>
          <wp:inline distT="0" distB="0" distL="114300" distR="114300">
            <wp:extent cx="5193665" cy="6162675"/>
            <wp:effectExtent l="0" t="0" r="6985" b="9525"/>
            <wp:docPr id="1" name="图片 1" descr="1.区域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区域位置图"/>
                    <pic:cNvPicPr>
                      <a:picLocks noChangeAspect="1"/>
                    </pic:cNvPicPr>
                  </pic:nvPicPr>
                  <pic:blipFill>
                    <a:blip r:embed="rId12"/>
                    <a:stretch>
                      <a:fillRect/>
                    </a:stretch>
                  </pic:blipFill>
                  <pic:spPr>
                    <a:xfrm>
                      <a:off x="0" y="0"/>
                      <a:ext cx="5193665" cy="6162675"/>
                    </a:xfrm>
                    <a:prstGeom prst="rect">
                      <a:avLst/>
                    </a:prstGeom>
                  </pic:spPr>
                </pic:pic>
              </a:graphicData>
            </a:graphic>
          </wp:inline>
        </w:drawing>
      </w:r>
    </w:p>
    <w:p w14:paraId="7DBE2712">
      <w:pPr>
        <w:ind w:left="0" w:leftChars="0" w:firstLine="0" w:firstLineChars="0"/>
        <w:rPr>
          <w:rFonts w:hint="eastAsia" w:ascii="微软雅黑" w:hAnsi="微软雅黑" w:eastAsia="微软雅黑"/>
          <w:b/>
          <w:lang w:eastAsia="zh-CN"/>
        </w:rPr>
      </w:pPr>
      <w:r>
        <w:rPr>
          <w:rFonts w:hint="eastAsia" w:ascii="微软雅黑" w:hAnsi="微软雅黑" w:eastAsia="微软雅黑"/>
          <w:b/>
          <w:lang w:eastAsia="zh-CN"/>
        </w:rPr>
        <w:drawing>
          <wp:inline distT="0" distB="0" distL="114300" distR="114300">
            <wp:extent cx="5261610" cy="6833870"/>
            <wp:effectExtent l="0" t="0" r="15240" b="5080"/>
            <wp:docPr id="2" name="图片 2" descr="2.街区保护区划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街区保护区划规划图"/>
                    <pic:cNvPicPr>
                      <a:picLocks noChangeAspect="1"/>
                    </pic:cNvPicPr>
                  </pic:nvPicPr>
                  <pic:blipFill>
                    <a:blip r:embed="rId13"/>
                    <a:stretch>
                      <a:fillRect/>
                    </a:stretch>
                  </pic:blipFill>
                  <pic:spPr>
                    <a:xfrm>
                      <a:off x="0" y="0"/>
                      <a:ext cx="5261610" cy="6833870"/>
                    </a:xfrm>
                    <a:prstGeom prst="rect">
                      <a:avLst/>
                    </a:prstGeom>
                  </pic:spPr>
                </pic:pic>
              </a:graphicData>
            </a:graphic>
          </wp:inline>
        </w:drawing>
      </w:r>
    </w:p>
    <w:p w14:paraId="1963CFD7">
      <w:pPr>
        <w:ind w:left="0" w:leftChars="0" w:firstLine="0" w:firstLineChars="0"/>
        <w:rPr>
          <w:rFonts w:hint="eastAsia" w:ascii="微软雅黑" w:hAnsi="微软雅黑" w:eastAsia="微软雅黑"/>
          <w:b/>
          <w:lang w:eastAsia="zh-CN"/>
        </w:rPr>
      </w:pPr>
      <w:r>
        <w:rPr>
          <w:rFonts w:hint="eastAsia" w:ascii="微软雅黑" w:hAnsi="微软雅黑" w:eastAsia="微软雅黑"/>
          <w:b/>
          <w:lang w:eastAsia="zh-CN"/>
        </w:rPr>
        <w:drawing>
          <wp:inline distT="0" distB="0" distL="114300" distR="114300">
            <wp:extent cx="5194300" cy="6486525"/>
            <wp:effectExtent l="0" t="0" r="6350" b="9525"/>
            <wp:docPr id="3" name="图片 3" descr="3.街区传统街巷与历史水系保护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街区传统街巷与历史水系保护图"/>
                    <pic:cNvPicPr>
                      <a:picLocks noChangeAspect="1"/>
                    </pic:cNvPicPr>
                  </pic:nvPicPr>
                  <pic:blipFill>
                    <a:blip r:embed="rId14"/>
                    <a:stretch>
                      <a:fillRect/>
                    </a:stretch>
                  </pic:blipFill>
                  <pic:spPr>
                    <a:xfrm>
                      <a:off x="0" y="0"/>
                      <a:ext cx="5194300" cy="6486525"/>
                    </a:xfrm>
                    <a:prstGeom prst="rect">
                      <a:avLst/>
                    </a:prstGeom>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ABBFE">
    <w:pPr>
      <w:pStyle w:val="5"/>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C0025">
    <w:pPr>
      <w:pStyle w:val="5"/>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F017C">
    <w:pPr>
      <w:pStyle w:val="5"/>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5476B">
    <w:pPr>
      <w:pStyle w:val="6"/>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DB7EF">
    <w:pPr>
      <w:pStyle w:val="6"/>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1453C">
    <w:pPr>
      <w:pStyle w:val="6"/>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F68"/>
    <w:rsid w:val="000047DF"/>
    <w:rsid w:val="00005094"/>
    <w:rsid w:val="000107C3"/>
    <w:rsid w:val="0001667E"/>
    <w:rsid w:val="00024F57"/>
    <w:rsid w:val="00026973"/>
    <w:rsid w:val="00030373"/>
    <w:rsid w:val="00030624"/>
    <w:rsid w:val="00033258"/>
    <w:rsid w:val="00033DDB"/>
    <w:rsid w:val="0003671D"/>
    <w:rsid w:val="000378C6"/>
    <w:rsid w:val="000413B3"/>
    <w:rsid w:val="00044FB0"/>
    <w:rsid w:val="00045781"/>
    <w:rsid w:val="00054C10"/>
    <w:rsid w:val="00056D10"/>
    <w:rsid w:val="00064515"/>
    <w:rsid w:val="00065333"/>
    <w:rsid w:val="00065425"/>
    <w:rsid w:val="000711FD"/>
    <w:rsid w:val="000729C2"/>
    <w:rsid w:val="00074A5E"/>
    <w:rsid w:val="00075492"/>
    <w:rsid w:val="00077282"/>
    <w:rsid w:val="000774DC"/>
    <w:rsid w:val="00077DDA"/>
    <w:rsid w:val="00081B27"/>
    <w:rsid w:val="0008598E"/>
    <w:rsid w:val="00092CC3"/>
    <w:rsid w:val="00093F01"/>
    <w:rsid w:val="00094E0A"/>
    <w:rsid w:val="000962C3"/>
    <w:rsid w:val="00097644"/>
    <w:rsid w:val="000A254A"/>
    <w:rsid w:val="000A2587"/>
    <w:rsid w:val="000A2D7E"/>
    <w:rsid w:val="000A6722"/>
    <w:rsid w:val="000B1ABF"/>
    <w:rsid w:val="000B3A84"/>
    <w:rsid w:val="000C2C92"/>
    <w:rsid w:val="000C54E4"/>
    <w:rsid w:val="000C5B14"/>
    <w:rsid w:val="000C5F18"/>
    <w:rsid w:val="000D3EB7"/>
    <w:rsid w:val="000D47FB"/>
    <w:rsid w:val="000D525D"/>
    <w:rsid w:val="000D5988"/>
    <w:rsid w:val="000D61F7"/>
    <w:rsid w:val="000E1060"/>
    <w:rsid w:val="000E2130"/>
    <w:rsid w:val="000E482B"/>
    <w:rsid w:val="000E5738"/>
    <w:rsid w:val="000E6CAE"/>
    <w:rsid w:val="000F0169"/>
    <w:rsid w:val="000F02C1"/>
    <w:rsid w:val="000F2385"/>
    <w:rsid w:val="000F2927"/>
    <w:rsid w:val="000F3C55"/>
    <w:rsid w:val="000F4AC8"/>
    <w:rsid w:val="000F4BB5"/>
    <w:rsid w:val="000F6484"/>
    <w:rsid w:val="0010117C"/>
    <w:rsid w:val="00101189"/>
    <w:rsid w:val="00105B76"/>
    <w:rsid w:val="001124E4"/>
    <w:rsid w:val="00113CC5"/>
    <w:rsid w:val="0011758F"/>
    <w:rsid w:val="00117A4F"/>
    <w:rsid w:val="001212C2"/>
    <w:rsid w:val="001217D1"/>
    <w:rsid w:val="00121B2F"/>
    <w:rsid w:val="001222FF"/>
    <w:rsid w:val="00123926"/>
    <w:rsid w:val="00126FFE"/>
    <w:rsid w:val="00127E76"/>
    <w:rsid w:val="00132FB1"/>
    <w:rsid w:val="00137BD7"/>
    <w:rsid w:val="00137E88"/>
    <w:rsid w:val="00140529"/>
    <w:rsid w:val="00141AA4"/>
    <w:rsid w:val="001422BB"/>
    <w:rsid w:val="00143CEE"/>
    <w:rsid w:val="001449EE"/>
    <w:rsid w:val="001458D1"/>
    <w:rsid w:val="00147F81"/>
    <w:rsid w:val="00150A38"/>
    <w:rsid w:val="0015214A"/>
    <w:rsid w:val="00152608"/>
    <w:rsid w:val="0015329E"/>
    <w:rsid w:val="00154CC2"/>
    <w:rsid w:val="00165F34"/>
    <w:rsid w:val="001679B6"/>
    <w:rsid w:val="00172710"/>
    <w:rsid w:val="001753BD"/>
    <w:rsid w:val="0018044F"/>
    <w:rsid w:val="001814BD"/>
    <w:rsid w:val="00181ECB"/>
    <w:rsid w:val="00182D3F"/>
    <w:rsid w:val="00185F92"/>
    <w:rsid w:val="001865A8"/>
    <w:rsid w:val="00186EBD"/>
    <w:rsid w:val="00190887"/>
    <w:rsid w:val="00191E18"/>
    <w:rsid w:val="001926D4"/>
    <w:rsid w:val="001963E0"/>
    <w:rsid w:val="0019794E"/>
    <w:rsid w:val="001A7F7F"/>
    <w:rsid w:val="001B066C"/>
    <w:rsid w:val="001B1803"/>
    <w:rsid w:val="001B1F8D"/>
    <w:rsid w:val="001B23A7"/>
    <w:rsid w:val="001B3648"/>
    <w:rsid w:val="001B67B9"/>
    <w:rsid w:val="001B6919"/>
    <w:rsid w:val="001C013F"/>
    <w:rsid w:val="001C2C85"/>
    <w:rsid w:val="001C616D"/>
    <w:rsid w:val="001C6BAC"/>
    <w:rsid w:val="001D57D9"/>
    <w:rsid w:val="001E2C01"/>
    <w:rsid w:val="001E646F"/>
    <w:rsid w:val="001F1231"/>
    <w:rsid w:val="001F30CA"/>
    <w:rsid w:val="00202395"/>
    <w:rsid w:val="00204E58"/>
    <w:rsid w:val="00206775"/>
    <w:rsid w:val="002079E2"/>
    <w:rsid w:val="0021349B"/>
    <w:rsid w:val="0021757B"/>
    <w:rsid w:val="00222236"/>
    <w:rsid w:val="00222EFD"/>
    <w:rsid w:val="00223035"/>
    <w:rsid w:val="0022617D"/>
    <w:rsid w:val="002315D7"/>
    <w:rsid w:val="002329DC"/>
    <w:rsid w:val="00234E8E"/>
    <w:rsid w:val="00240F52"/>
    <w:rsid w:val="002411BA"/>
    <w:rsid w:val="00254E9F"/>
    <w:rsid w:val="00255A1E"/>
    <w:rsid w:val="00256AD9"/>
    <w:rsid w:val="002660AE"/>
    <w:rsid w:val="00270D4E"/>
    <w:rsid w:val="00270E86"/>
    <w:rsid w:val="00272BAE"/>
    <w:rsid w:val="002748E0"/>
    <w:rsid w:val="002760CC"/>
    <w:rsid w:val="00283FD6"/>
    <w:rsid w:val="00293AA9"/>
    <w:rsid w:val="00295F00"/>
    <w:rsid w:val="002A1ABF"/>
    <w:rsid w:val="002A2C5A"/>
    <w:rsid w:val="002A6C1A"/>
    <w:rsid w:val="002B3424"/>
    <w:rsid w:val="002B6380"/>
    <w:rsid w:val="002C0D79"/>
    <w:rsid w:val="002D0FD9"/>
    <w:rsid w:val="002D199A"/>
    <w:rsid w:val="002D32E5"/>
    <w:rsid w:val="002D452F"/>
    <w:rsid w:val="002D505B"/>
    <w:rsid w:val="002D5869"/>
    <w:rsid w:val="002D6016"/>
    <w:rsid w:val="002D700A"/>
    <w:rsid w:val="002D7433"/>
    <w:rsid w:val="002E0EDF"/>
    <w:rsid w:val="002E1F6F"/>
    <w:rsid w:val="002E5EBF"/>
    <w:rsid w:val="002F23E8"/>
    <w:rsid w:val="002F38A4"/>
    <w:rsid w:val="002F3D33"/>
    <w:rsid w:val="002F6519"/>
    <w:rsid w:val="003002DD"/>
    <w:rsid w:val="003054E1"/>
    <w:rsid w:val="00307492"/>
    <w:rsid w:val="00310D11"/>
    <w:rsid w:val="00316D52"/>
    <w:rsid w:val="00320EA0"/>
    <w:rsid w:val="00322F5A"/>
    <w:rsid w:val="00323B9A"/>
    <w:rsid w:val="00323CD7"/>
    <w:rsid w:val="0032526B"/>
    <w:rsid w:val="00326C49"/>
    <w:rsid w:val="00333231"/>
    <w:rsid w:val="0033328F"/>
    <w:rsid w:val="00337E40"/>
    <w:rsid w:val="00342C13"/>
    <w:rsid w:val="0035184E"/>
    <w:rsid w:val="00355208"/>
    <w:rsid w:val="00355E36"/>
    <w:rsid w:val="00356BAD"/>
    <w:rsid w:val="0036045C"/>
    <w:rsid w:val="00361BF2"/>
    <w:rsid w:val="0036223D"/>
    <w:rsid w:val="003624C2"/>
    <w:rsid w:val="00365845"/>
    <w:rsid w:val="00366FCD"/>
    <w:rsid w:val="00371AD6"/>
    <w:rsid w:val="003728A9"/>
    <w:rsid w:val="00373893"/>
    <w:rsid w:val="0037583E"/>
    <w:rsid w:val="00376D7F"/>
    <w:rsid w:val="00380C81"/>
    <w:rsid w:val="00382461"/>
    <w:rsid w:val="003861B6"/>
    <w:rsid w:val="00391932"/>
    <w:rsid w:val="0039266B"/>
    <w:rsid w:val="00392956"/>
    <w:rsid w:val="00397D6E"/>
    <w:rsid w:val="003A58C9"/>
    <w:rsid w:val="003B5243"/>
    <w:rsid w:val="003C4490"/>
    <w:rsid w:val="003C4D46"/>
    <w:rsid w:val="003C5004"/>
    <w:rsid w:val="003C51ED"/>
    <w:rsid w:val="003D2B02"/>
    <w:rsid w:val="003D3AAF"/>
    <w:rsid w:val="003D5B87"/>
    <w:rsid w:val="003E16E6"/>
    <w:rsid w:val="003E2036"/>
    <w:rsid w:val="003E2FDE"/>
    <w:rsid w:val="003E7ECC"/>
    <w:rsid w:val="003F13E6"/>
    <w:rsid w:val="003F4F8F"/>
    <w:rsid w:val="003F57D7"/>
    <w:rsid w:val="003F6129"/>
    <w:rsid w:val="0040060D"/>
    <w:rsid w:val="00405978"/>
    <w:rsid w:val="00412660"/>
    <w:rsid w:val="0041528A"/>
    <w:rsid w:val="004166CF"/>
    <w:rsid w:val="004203C7"/>
    <w:rsid w:val="00420F7E"/>
    <w:rsid w:val="00421BBA"/>
    <w:rsid w:val="00425A36"/>
    <w:rsid w:val="00425AF3"/>
    <w:rsid w:val="00427584"/>
    <w:rsid w:val="004322FF"/>
    <w:rsid w:val="00434572"/>
    <w:rsid w:val="00434979"/>
    <w:rsid w:val="00434BC4"/>
    <w:rsid w:val="0043510A"/>
    <w:rsid w:val="00435564"/>
    <w:rsid w:val="00435601"/>
    <w:rsid w:val="00435B3D"/>
    <w:rsid w:val="00440808"/>
    <w:rsid w:val="00446732"/>
    <w:rsid w:val="00451188"/>
    <w:rsid w:val="00451B0B"/>
    <w:rsid w:val="004534C8"/>
    <w:rsid w:val="00455FBF"/>
    <w:rsid w:val="00456D8B"/>
    <w:rsid w:val="00457937"/>
    <w:rsid w:val="00460846"/>
    <w:rsid w:val="0046176F"/>
    <w:rsid w:val="004641D6"/>
    <w:rsid w:val="00470301"/>
    <w:rsid w:val="004731B8"/>
    <w:rsid w:val="0047376B"/>
    <w:rsid w:val="004754F2"/>
    <w:rsid w:val="00480380"/>
    <w:rsid w:val="00480984"/>
    <w:rsid w:val="004837E8"/>
    <w:rsid w:val="00486A0E"/>
    <w:rsid w:val="00490C26"/>
    <w:rsid w:val="00491676"/>
    <w:rsid w:val="00491813"/>
    <w:rsid w:val="00491DAB"/>
    <w:rsid w:val="00497C4C"/>
    <w:rsid w:val="004A2024"/>
    <w:rsid w:val="004B0701"/>
    <w:rsid w:val="004B7A79"/>
    <w:rsid w:val="004C582D"/>
    <w:rsid w:val="004C5B79"/>
    <w:rsid w:val="004C5EA9"/>
    <w:rsid w:val="004D2F23"/>
    <w:rsid w:val="004D3D0B"/>
    <w:rsid w:val="004E0F45"/>
    <w:rsid w:val="004E3E6B"/>
    <w:rsid w:val="004E403A"/>
    <w:rsid w:val="004E5CEE"/>
    <w:rsid w:val="004E6F97"/>
    <w:rsid w:val="004F013B"/>
    <w:rsid w:val="004F3B91"/>
    <w:rsid w:val="004F412E"/>
    <w:rsid w:val="004F690E"/>
    <w:rsid w:val="004F6EDA"/>
    <w:rsid w:val="004F7B88"/>
    <w:rsid w:val="00500153"/>
    <w:rsid w:val="00502AD1"/>
    <w:rsid w:val="005103DB"/>
    <w:rsid w:val="0051528E"/>
    <w:rsid w:val="0051633C"/>
    <w:rsid w:val="00517082"/>
    <w:rsid w:val="005215BA"/>
    <w:rsid w:val="00525121"/>
    <w:rsid w:val="0053003D"/>
    <w:rsid w:val="00532A8D"/>
    <w:rsid w:val="0054300A"/>
    <w:rsid w:val="00544A05"/>
    <w:rsid w:val="00551CEF"/>
    <w:rsid w:val="00552EFD"/>
    <w:rsid w:val="0055338A"/>
    <w:rsid w:val="005536CC"/>
    <w:rsid w:val="00556C13"/>
    <w:rsid w:val="00565DBB"/>
    <w:rsid w:val="00570128"/>
    <w:rsid w:val="005714BA"/>
    <w:rsid w:val="00572CB9"/>
    <w:rsid w:val="00575949"/>
    <w:rsid w:val="00575ED7"/>
    <w:rsid w:val="00580762"/>
    <w:rsid w:val="0058107D"/>
    <w:rsid w:val="00581408"/>
    <w:rsid w:val="0058235C"/>
    <w:rsid w:val="005832EC"/>
    <w:rsid w:val="00592318"/>
    <w:rsid w:val="00593F59"/>
    <w:rsid w:val="005A3B7D"/>
    <w:rsid w:val="005A57A9"/>
    <w:rsid w:val="005A60A5"/>
    <w:rsid w:val="005B0979"/>
    <w:rsid w:val="005B5CEA"/>
    <w:rsid w:val="005C5CEB"/>
    <w:rsid w:val="005C64D6"/>
    <w:rsid w:val="005D2D6B"/>
    <w:rsid w:val="005D2DC2"/>
    <w:rsid w:val="005D7FE8"/>
    <w:rsid w:val="005E1E4C"/>
    <w:rsid w:val="005F27CA"/>
    <w:rsid w:val="005F4817"/>
    <w:rsid w:val="005F7331"/>
    <w:rsid w:val="0060000C"/>
    <w:rsid w:val="00603F81"/>
    <w:rsid w:val="006045E0"/>
    <w:rsid w:val="0060515D"/>
    <w:rsid w:val="00605898"/>
    <w:rsid w:val="0060611F"/>
    <w:rsid w:val="00606FAA"/>
    <w:rsid w:val="00611E05"/>
    <w:rsid w:val="00612C68"/>
    <w:rsid w:val="00613173"/>
    <w:rsid w:val="00621B70"/>
    <w:rsid w:val="00623AD5"/>
    <w:rsid w:val="00624875"/>
    <w:rsid w:val="00625589"/>
    <w:rsid w:val="006326CC"/>
    <w:rsid w:val="006344B2"/>
    <w:rsid w:val="0063605D"/>
    <w:rsid w:val="006369C8"/>
    <w:rsid w:val="00640834"/>
    <w:rsid w:val="00640D01"/>
    <w:rsid w:val="006521E1"/>
    <w:rsid w:val="00652BAB"/>
    <w:rsid w:val="00653C81"/>
    <w:rsid w:val="006546E0"/>
    <w:rsid w:val="00657870"/>
    <w:rsid w:val="0066217B"/>
    <w:rsid w:val="00665898"/>
    <w:rsid w:val="00667EDE"/>
    <w:rsid w:val="00671517"/>
    <w:rsid w:val="00680AF9"/>
    <w:rsid w:val="00681804"/>
    <w:rsid w:val="006840CB"/>
    <w:rsid w:val="00686849"/>
    <w:rsid w:val="00695606"/>
    <w:rsid w:val="006963C4"/>
    <w:rsid w:val="006967BD"/>
    <w:rsid w:val="00697D66"/>
    <w:rsid w:val="006A4DB2"/>
    <w:rsid w:val="006A6736"/>
    <w:rsid w:val="006A73B8"/>
    <w:rsid w:val="006B5220"/>
    <w:rsid w:val="006B54E4"/>
    <w:rsid w:val="006B7F52"/>
    <w:rsid w:val="006C09B3"/>
    <w:rsid w:val="006C71F2"/>
    <w:rsid w:val="006D063D"/>
    <w:rsid w:val="006D0EF1"/>
    <w:rsid w:val="006D2005"/>
    <w:rsid w:val="006D6CD0"/>
    <w:rsid w:val="006E3DCC"/>
    <w:rsid w:val="006E570C"/>
    <w:rsid w:val="006E5CDB"/>
    <w:rsid w:val="006E7B08"/>
    <w:rsid w:val="006E7F68"/>
    <w:rsid w:val="006F0432"/>
    <w:rsid w:val="006F5359"/>
    <w:rsid w:val="006F75E6"/>
    <w:rsid w:val="00703573"/>
    <w:rsid w:val="007075AB"/>
    <w:rsid w:val="00710599"/>
    <w:rsid w:val="0071217E"/>
    <w:rsid w:val="00712CB9"/>
    <w:rsid w:val="00712D90"/>
    <w:rsid w:val="00715D80"/>
    <w:rsid w:val="007172C6"/>
    <w:rsid w:val="00717B61"/>
    <w:rsid w:val="00722296"/>
    <w:rsid w:val="007254B9"/>
    <w:rsid w:val="007271F6"/>
    <w:rsid w:val="00727BC6"/>
    <w:rsid w:val="00730EB6"/>
    <w:rsid w:val="007314BA"/>
    <w:rsid w:val="00732444"/>
    <w:rsid w:val="00733A70"/>
    <w:rsid w:val="00737BAC"/>
    <w:rsid w:val="00744E4B"/>
    <w:rsid w:val="0074504D"/>
    <w:rsid w:val="00750578"/>
    <w:rsid w:val="0075261C"/>
    <w:rsid w:val="007537D7"/>
    <w:rsid w:val="00753DE3"/>
    <w:rsid w:val="00753FAE"/>
    <w:rsid w:val="00755C7C"/>
    <w:rsid w:val="0075758F"/>
    <w:rsid w:val="007600BE"/>
    <w:rsid w:val="00760D9D"/>
    <w:rsid w:val="0076153B"/>
    <w:rsid w:val="00762A88"/>
    <w:rsid w:val="007659A1"/>
    <w:rsid w:val="00785977"/>
    <w:rsid w:val="00786A50"/>
    <w:rsid w:val="00787B80"/>
    <w:rsid w:val="007906E4"/>
    <w:rsid w:val="00794150"/>
    <w:rsid w:val="007970A5"/>
    <w:rsid w:val="00797E35"/>
    <w:rsid w:val="007A0DC0"/>
    <w:rsid w:val="007A271A"/>
    <w:rsid w:val="007A50BB"/>
    <w:rsid w:val="007A7078"/>
    <w:rsid w:val="007A77FF"/>
    <w:rsid w:val="007B0D90"/>
    <w:rsid w:val="007B1FAD"/>
    <w:rsid w:val="007B26BD"/>
    <w:rsid w:val="007B608A"/>
    <w:rsid w:val="007B633B"/>
    <w:rsid w:val="007B6A3B"/>
    <w:rsid w:val="007B6E47"/>
    <w:rsid w:val="007C30BD"/>
    <w:rsid w:val="007C40A4"/>
    <w:rsid w:val="007C4EDA"/>
    <w:rsid w:val="007D2B6A"/>
    <w:rsid w:val="007E27A9"/>
    <w:rsid w:val="007E36BB"/>
    <w:rsid w:val="007E41FF"/>
    <w:rsid w:val="007E6898"/>
    <w:rsid w:val="0080042E"/>
    <w:rsid w:val="00801FDA"/>
    <w:rsid w:val="00806CC6"/>
    <w:rsid w:val="008074F3"/>
    <w:rsid w:val="00814D6E"/>
    <w:rsid w:val="00820282"/>
    <w:rsid w:val="008232B2"/>
    <w:rsid w:val="00825D2B"/>
    <w:rsid w:val="0083607E"/>
    <w:rsid w:val="00845B47"/>
    <w:rsid w:val="00847C17"/>
    <w:rsid w:val="008507E6"/>
    <w:rsid w:val="00852CB6"/>
    <w:rsid w:val="008570FD"/>
    <w:rsid w:val="0086071B"/>
    <w:rsid w:val="00865A32"/>
    <w:rsid w:val="00865C94"/>
    <w:rsid w:val="00867E86"/>
    <w:rsid w:val="008746CA"/>
    <w:rsid w:val="00875DA9"/>
    <w:rsid w:val="008831C5"/>
    <w:rsid w:val="0088357C"/>
    <w:rsid w:val="0088727E"/>
    <w:rsid w:val="00897D91"/>
    <w:rsid w:val="008A3882"/>
    <w:rsid w:val="008B22E1"/>
    <w:rsid w:val="008B24F5"/>
    <w:rsid w:val="008B45DC"/>
    <w:rsid w:val="008C014F"/>
    <w:rsid w:val="008C0D02"/>
    <w:rsid w:val="008C2E1F"/>
    <w:rsid w:val="008C60A6"/>
    <w:rsid w:val="008C749D"/>
    <w:rsid w:val="008D092E"/>
    <w:rsid w:val="008D0C52"/>
    <w:rsid w:val="008D78CB"/>
    <w:rsid w:val="008E2352"/>
    <w:rsid w:val="008E3B70"/>
    <w:rsid w:val="008E4E55"/>
    <w:rsid w:val="008F0A10"/>
    <w:rsid w:val="008F2DEC"/>
    <w:rsid w:val="008F38A2"/>
    <w:rsid w:val="008F3C81"/>
    <w:rsid w:val="008F7BD6"/>
    <w:rsid w:val="00901CC5"/>
    <w:rsid w:val="009045B4"/>
    <w:rsid w:val="009069D5"/>
    <w:rsid w:val="00910A8F"/>
    <w:rsid w:val="00915744"/>
    <w:rsid w:val="00924751"/>
    <w:rsid w:val="00925F0A"/>
    <w:rsid w:val="009272BB"/>
    <w:rsid w:val="0093142A"/>
    <w:rsid w:val="00931FBC"/>
    <w:rsid w:val="00937F5A"/>
    <w:rsid w:val="00940139"/>
    <w:rsid w:val="00940475"/>
    <w:rsid w:val="009412FF"/>
    <w:rsid w:val="00942913"/>
    <w:rsid w:val="0094292F"/>
    <w:rsid w:val="00944510"/>
    <w:rsid w:val="009467C7"/>
    <w:rsid w:val="009555F7"/>
    <w:rsid w:val="00962F1F"/>
    <w:rsid w:val="00963431"/>
    <w:rsid w:val="00963CAE"/>
    <w:rsid w:val="00966C0D"/>
    <w:rsid w:val="0097247D"/>
    <w:rsid w:val="009749F0"/>
    <w:rsid w:val="00975D62"/>
    <w:rsid w:val="00975FDF"/>
    <w:rsid w:val="009761AE"/>
    <w:rsid w:val="00977177"/>
    <w:rsid w:val="00987DE3"/>
    <w:rsid w:val="009914BC"/>
    <w:rsid w:val="009931BA"/>
    <w:rsid w:val="00994618"/>
    <w:rsid w:val="00995961"/>
    <w:rsid w:val="009977E3"/>
    <w:rsid w:val="009A0A2E"/>
    <w:rsid w:val="009A4F1F"/>
    <w:rsid w:val="009A6EE5"/>
    <w:rsid w:val="009B4FE4"/>
    <w:rsid w:val="009B7B5D"/>
    <w:rsid w:val="009C17AE"/>
    <w:rsid w:val="009C2955"/>
    <w:rsid w:val="009C3A42"/>
    <w:rsid w:val="009C3E65"/>
    <w:rsid w:val="009C528F"/>
    <w:rsid w:val="009D37B8"/>
    <w:rsid w:val="009D43EC"/>
    <w:rsid w:val="009D5C23"/>
    <w:rsid w:val="009D6116"/>
    <w:rsid w:val="009E2BBD"/>
    <w:rsid w:val="009E5C65"/>
    <w:rsid w:val="009F2BEF"/>
    <w:rsid w:val="009F2CEB"/>
    <w:rsid w:val="009F3055"/>
    <w:rsid w:val="009F37B4"/>
    <w:rsid w:val="009F6848"/>
    <w:rsid w:val="00A00766"/>
    <w:rsid w:val="00A025B5"/>
    <w:rsid w:val="00A02614"/>
    <w:rsid w:val="00A0391B"/>
    <w:rsid w:val="00A04EE6"/>
    <w:rsid w:val="00A0534C"/>
    <w:rsid w:val="00A05568"/>
    <w:rsid w:val="00A07821"/>
    <w:rsid w:val="00A07EDD"/>
    <w:rsid w:val="00A14D5E"/>
    <w:rsid w:val="00A15B02"/>
    <w:rsid w:val="00A16E26"/>
    <w:rsid w:val="00A17B43"/>
    <w:rsid w:val="00A201CA"/>
    <w:rsid w:val="00A245CB"/>
    <w:rsid w:val="00A25063"/>
    <w:rsid w:val="00A255A1"/>
    <w:rsid w:val="00A27EEA"/>
    <w:rsid w:val="00A30916"/>
    <w:rsid w:val="00A31C95"/>
    <w:rsid w:val="00A413D0"/>
    <w:rsid w:val="00A41D5C"/>
    <w:rsid w:val="00A42C6C"/>
    <w:rsid w:val="00A43D52"/>
    <w:rsid w:val="00A45FA3"/>
    <w:rsid w:val="00A50738"/>
    <w:rsid w:val="00A50F76"/>
    <w:rsid w:val="00A636E3"/>
    <w:rsid w:val="00A63C31"/>
    <w:rsid w:val="00A72E3C"/>
    <w:rsid w:val="00A74B31"/>
    <w:rsid w:val="00A75B51"/>
    <w:rsid w:val="00A85414"/>
    <w:rsid w:val="00A91F67"/>
    <w:rsid w:val="00A95851"/>
    <w:rsid w:val="00A963FB"/>
    <w:rsid w:val="00A96C43"/>
    <w:rsid w:val="00AA0664"/>
    <w:rsid w:val="00AA06BF"/>
    <w:rsid w:val="00AA5961"/>
    <w:rsid w:val="00AA753A"/>
    <w:rsid w:val="00AB0870"/>
    <w:rsid w:val="00AB29C3"/>
    <w:rsid w:val="00AC0339"/>
    <w:rsid w:val="00AC6030"/>
    <w:rsid w:val="00AD15FC"/>
    <w:rsid w:val="00AD4619"/>
    <w:rsid w:val="00AD75FA"/>
    <w:rsid w:val="00AE6938"/>
    <w:rsid w:val="00AE70C9"/>
    <w:rsid w:val="00AE77BF"/>
    <w:rsid w:val="00AF4A88"/>
    <w:rsid w:val="00AF4B14"/>
    <w:rsid w:val="00AF54D9"/>
    <w:rsid w:val="00AF6B5D"/>
    <w:rsid w:val="00B00AF6"/>
    <w:rsid w:val="00B057EB"/>
    <w:rsid w:val="00B105CD"/>
    <w:rsid w:val="00B110E8"/>
    <w:rsid w:val="00B1121F"/>
    <w:rsid w:val="00B11B8E"/>
    <w:rsid w:val="00B11EA0"/>
    <w:rsid w:val="00B13DDC"/>
    <w:rsid w:val="00B148C9"/>
    <w:rsid w:val="00B153E9"/>
    <w:rsid w:val="00B155B0"/>
    <w:rsid w:val="00B21A11"/>
    <w:rsid w:val="00B234FC"/>
    <w:rsid w:val="00B23536"/>
    <w:rsid w:val="00B33D53"/>
    <w:rsid w:val="00B348DD"/>
    <w:rsid w:val="00B37386"/>
    <w:rsid w:val="00B4483D"/>
    <w:rsid w:val="00B558C0"/>
    <w:rsid w:val="00B6005A"/>
    <w:rsid w:val="00B60FB9"/>
    <w:rsid w:val="00B61065"/>
    <w:rsid w:val="00B65BEB"/>
    <w:rsid w:val="00B679CC"/>
    <w:rsid w:val="00B7006E"/>
    <w:rsid w:val="00B708AF"/>
    <w:rsid w:val="00B718E4"/>
    <w:rsid w:val="00B71FC4"/>
    <w:rsid w:val="00B7285A"/>
    <w:rsid w:val="00B75B94"/>
    <w:rsid w:val="00B804BB"/>
    <w:rsid w:val="00B80C64"/>
    <w:rsid w:val="00B87ACB"/>
    <w:rsid w:val="00B918EF"/>
    <w:rsid w:val="00B945C1"/>
    <w:rsid w:val="00B95404"/>
    <w:rsid w:val="00B965C4"/>
    <w:rsid w:val="00B970AE"/>
    <w:rsid w:val="00B974C5"/>
    <w:rsid w:val="00B97780"/>
    <w:rsid w:val="00BA035C"/>
    <w:rsid w:val="00BA4D6A"/>
    <w:rsid w:val="00BA5C83"/>
    <w:rsid w:val="00BA7899"/>
    <w:rsid w:val="00BB04D3"/>
    <w:rsid w:val="00BB6EB6"/>
    <w:rsid w:val="00BE142B"/>
    <w:rsid w:val="00BE16C1"/>
    <w:rsid w:val="00BE462E"/>
    <w:rsid w:val="00BE6060"/>
    <w:rsid w:val="00BE7E57"/>
    <w:rsid w:val="00BF0F42"/>
    <w:rsid w:val="00BF11A0"/>
    <w:rsid w:val="00BF1D49"/>
    <w:rsid w:val="00BF4564"/>
    <w:rsid w:val="00BF5800"/>
    <w:rsid w:val="00BF5DD3"/>
    <w:rsid w:val="00BF6AB2"/>
    <w:rsid w:val="00C0055B"/>
    <w:rsid w:val="00C02FD2"/>
    <w:rsid w:val="00C0361A"/>
    <w:rsid w:val="00C10030"/>
    <w:rsid w:val="00C10B06"/>
    <w:rsid w:val="00C117D8"/>
    <w:rsid w:val="00C15E29"/>
    <w:rsid w:val="00C24C9B"/>
    <w:rsid w:val="00C25F81"/>
    <w:rsid w:val="00C26B37"/>
    <w:rsid w:val="00C304D2"/>
    <w:rsid w:val="00C35E56"/>
    <w:rsid w:val="00C43A60"/>
    <w:rsid w:val="00C45048"/>
    <w:rsid w:val="00C47B77"/>
    <w:rsid w:val="00C521A3"/>
    <w:rsid w:val="00C53D2E"/>
    <w:rsid w:val="00C54921"/>
    <w:rsid w:val="00C60C20"/>
    <w:rsid w:val="00C624BC"/>
    <w:rsid w:val="00C63C86"/>
    <w:rsid w:val="00C676FD"/>
    <w:rsid w:val="00C67CAF"/>
    <w:rsid w:val="00C82509"/>
    <w:rsid w:val="00C903FE"/>
    <w:rsid w:val="00C92672"/>
    <w:rsid w:val="00CA0321"/>
    <w:rsid w:val="00CA0B88"/>
    <w:rsid w:val="00CA11A7"/>
    <w:rsid w:val="00CA1392"/>
    <w:rsid w:val="00CA19D7"/>
    <w:rsid w:val="00CB2D69"/>
    <w:rsid w:val="00CB3311"/>
    <w:rsid w:val="00CB351F"/>
    <w:rsid w:val="00CB443A"/>
    <w:rsid w:val="00CB6084"/>
    <w:rsid w:val="00CC03A2"/>
    <w:rsid w:val="00CC0550"/>
    <w:rsid w:val="00CC0D98"/>
    <w:rsid w:val="00CC266E"/>
    <w:rsid w:val="00CC31D2"/>
    <w:rsid w:val="00CC5C11"/>
    <w:rsid w:val="00CD05C5"/>
    <w:rsid w:val="00CD14DA"/>
    <w:rsid w:val="00CD2E16"/>
    <w:rsid w:val="00CD55F8"/>
    <w:rsid w:val="00CD60EC"/>
    <w:rsid w:val="00CD7C87"/>
    <w:rsid w:val="00CE05C3"/>
    <w:rsid w:val="00CE07D1"/>
    <w:rsid w:val="00CE3EE8"/>
    <w:rsid w:val="00CE54AC"/>
    <w:rsid w:val="00CF3E2D"/>
    <w:rsid w:val="00CF4126"/>
    <w:rsid w:val="00CF4BFB"/>
    <w:rsid w:val="00CF6428"/>
    <w:rsid w:val="00D01055"/>
    <w:rsid w:val="00D0453C"/>
    <w:rsid w:val="00D053F7"/>
    <w:rsid w:val="00D07BA1"/>
    <w:rsid w:val="00D112BA"/>
    <w:rsid w:val="00D13CAA"/>
    <w:rsid w:val="00D15580"/>
    <w:rsid w:val="00D301E9"/>
    <w:rsid w:val="00D30BAA"/>
    <w:rsid w:val="00D3224B"/>
    <w:rsid w:val="00D371CD"/>
    <w:rsid w:val="00D41820"/>
    <w:rsid w:val="00D41EAB"/>
    <w:rsid w:val="00D42A2C"/>
    <w:rsid w:val="00D43B14"/>
    <w:rsid w:val="00D44E60"/>
    <w:rsid w:val="00D51A51"/>
    <w:rsid w:val="00D52253"/>
    <w:rsid w:val="00D54DDC"/>
    <w:rsid w:val="00D62E68"/>
    <w:rsid w:val="00D63A56"/>
    <w:rsid w:val="00D64868"/>
    <w:rsid w:val="00D702BB"/>
    <w:rsid w:val="00D70B51"/>
    <w:rsid w:val="00D71E5B"/>
    <w:rsid w:val="00D73174"/>
    <w:rsid w:val="00D752D3"/>
    <w:rsid w:val="00D7618A"/>
    <w:rsid w:val="00D778F4"/>
    <w:rsid w:val="00D83C94"/>
    <w:rsid w:val="00D905E5"/>
    <w:rsid w:val="00D92EE6"/>
    <w:rsid w:val="00D9684E"/>
    <w:rsid w:val="00DA26D7"/>
    <w:rsid w:val="00DA564A"/>
    <w:rsid w:val="00DA5C89"/>
    <w:rsid w:val="00DA5DBE"/>
    <w:rsid w:val="00DA7EFC"/>
    <w:rsid w:val="00DB653D"/>
    <w:rsid w:val="00DB6B3F"/>
    <w:rsid w:val="00DB71D9"/>
    <w:rsid w:val="00DC0FF3"/>
    <w:rsid w:val="00DC1365"/>
    <w:rsid w:val="00DC4256"/>
    <w:rsid w:val="00DC4634"/>
    <w:rsid w:val="00DC7B75"/>
    <w:rsid w:val="00DD09ED"/>
    <w:rsid w:val="00DD340B"/>
    <w:rsid w:val="00DD5091"/>
    <w:rsid w:val="00DE1B19"/>
    <w:rsid w:val="00DE3E86"/>
    <w:rsid w:val="00DE589A"/>
    <w:rsid w:val="00E015C4"/>
    <w:rsid w:val="00E0592A"/>
    <w:rsid w:val="00E077A2"/>
    <w:rsid w:val="00E11385"/>
    <w:rsid w:val="00E1607D"/>
    <w:rsid w:val="00E167B3"/>
    <w:rsid w:val="00E22162"/>
    <w:rsid w:val="00E302E5"/>
    <w:rsid w:val="00E30A33"/>
    <w:rsid w:val="00E312E6"/>
    <w:rsid w:val="00E31AB2"/>
    <w:rsid w:val="00E3625E"/>
    <w:rsid w:val="00E37442"/>
    <w:rsid w:val="00E37B0C"/>
    <w:rsid w:val="00E40A3E"/>
    <w:rsid w:val="00E41B9D"/>
    <w:rsid w:val="00E432F2"/>
    <w:rsid w:val="00E4351D"/>
    <w:rsid w:val="00E46236"/>
    <w:rsid w:val="00E47281"/>
    <w:rsid w:val="00E50023"/>
    <w:rsid w:val="00E557C5"/>
    <w:rsid w:val="00E57970"/>
    <w:rsid w:val="00E60551"/>
    <w:rsid w:val="00E633A4"/>
    <w:rsid w:val="00E65F27"/>
    <w:rsid w:val="00E72C4F"/>
    <w:rsid w:val="00E93BDA"/>
    <w:rsid w:val="00E95AE5"/>
    <w:rsid w:val="00EA08D2"/>
    <w:rsid w:val="00EA3D30"/>
    <w:rsid w:val="00EA40B6"/>
    <w:rsid w:val="00EA4349"/>
    <w:rsid w:val="00EA44BB"/>
    <w:rsid w:val="00EA48AB"/>
    <w:rsid w:val="00EB08F0"/>
    <w:rsid w:val="00EB4CF0"/>
    <w:rsid w:val="00EB6095"/>
    <w:rsid w:val="00EB7DBB"/>
    <w:rsid w:val="00EC1336"/>
    <w:rsid w:val="00EC1809"/>
    <w:rsid w:val="00EC2FEC"/>
    <w:rsid w:val="00EC421C"/>
    <w:rsid w:val="00EC5923"/>
    <w:rsid w:val="00ED1BFF"/>
    <w:rsid w:val="00ED23E4"/>
    <w:rsid w:val="00ED24A2"/>
    <w:rsid w:val="00EE1257"/>
    <w:rsid w:val="00EE3D55"/>
    <w:rsid w:val="00EE3ED3"/>
    <w:rsid w:val="00EE6374"/>
    <w:rsid w:val="00EE64BA"/>
    <w:rsid w:val="00EE6937"/>
    <w:rsid w:val="00EF02AF"/>
    <w:rsid w:val="00EF0E30"/>
    <w:rsid w:val="00EF1C2F"/>
    <w:rsid w:val="00EF6305"/>
    <w:rsid w:val="00EF65DA"/>
    <w:rsid w:val="00EF7B0A"/>
    <w:rsid w:val="00F00F1E"/>
    <w:rsid w:val="00F045D3"/>
    <w:rsid w:val="00F07C02"/>
    <w:rsid w:val="00F13715"/>
    <w:rsid w:val="00F137C3"/>
    <w:rsid w:val="00F16CCA"/>
    <w:rsid w:val="00F20F3E"/>
    <w:rsid w:val="00F21720"/>
    <w:rsid w:val="00F239D3"/>
    <w:rsid w:val="00F30C9B"/>
    <w:rsid w:val="00F330E0"/>
    <w:rsid w:val="00F331D4"/>
    <w:rsid w:val="00F332A8"/>
    <w:rsid w:val="00F33422"/>
    <w:rsid w:val="00F435EF"/>
    <w:rsid w:val="00F502BF"/>
    <w:rsid w:val="00F54285"/>
    <w:rsid w:val="00F5652B"/>
    <w:rsid w:val="00F601AE"/>
    <w:rsid w:val="00F602E8"/>
    <w:rsid w:val="00F62D9D"/>
    <w:rsid w:val="00F6368F"/>
    <w:rsid w:val="00F65730"/>
    <w:rsid w:val="00F767F6"/>
    <w:rsid w:val="00F768D7"/>
    <w:rsid w:val="00F80CFF"/>
    <w:rsid w:val="00F822EF"/>
    <w:rsid w:val="00F82AF5"/>
    <w:rsid w:val="00F83A95"/>
    <w:rsid w:val="00F84920"/>
    <w:rsid w:val="00F84CD6"/>
    <w:rsid w:val="00F859BB"/>
    <w:rsid w:val="00F85CF8"/>
    <w:rsid w:val="00F92BFC"/>
    <w:rsid w:val="00F976CF"/>
    <w:rsid w:val="00FA0D9A"/>
    <w:rsid w:val="00FA2798"/>
    <w:rsid w:val="00FA6EBA"/>
    <w:rsid w:val="00FA7137"/>
    <w:rsid w:val="00FB0E64"/>
    <w:rsid w:val="00FB22B5"/>
    <w:rsid w:val="00FB3ABD"/>
    <w:rsid w:val="00FB6C5D"/>
    <w:rsid w:val="00FC2576"/>
    <w:rsid w:val="00FC2630"/>
    <w:rsid w:val="00FC65F6"/>
    <w:rsid w:val="00FC77D7"/>
    <w:rsid w:val="00FD47AF"/>
    <w:rsid w:val="00FE13B4"/>
    <w:rsid w:val="00FF25D0"/>
    <w:rsid w:val="00FF2DB4"/>
    <w:rsid w:val="00FF4488"/>
    <w:rsid w:val="00FF6258"/>
    <w:rsid w:val="00FF7C84"/>
    <w:rsid w:val="03FA27CA"/>
    <w:rsid w:val="086A0391"/>
    <w:rsid w:val="10B7567A"/>
    <w:rsid w:val="21DD54B5"/>
    <w:rsid w:val="24A106B3"/>
    <w:rsid w:val="2C185814"/>
    <w:rsid w:val="306E1B39"/>
    <w:rsid w:val="3AE72652"/>
    <w:rsid w:val="3D706FD6"/>
    <w:rsid w:val="7EE52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eastAsia="宋体" w:asciiTheme="minorHAnsi" w:hAnsiTheme="minorHAnsi" w:cstheme="minorBidi"/>
      <w:kern w:val="2"/>
      <w:sz w:val="24"/>
      <w:szCs w:val="22"/>
      <w:lang w:val="en-US" w:eastAsia="zh-CN" w:bidi="ar-SA"/>
    </w:rPr>
  </w:style>
  <w:style w:type="paragraph" w:styleId="2">
    <w:name w:val="heading 1"/>
    <w:basedOn w:val="1"/>
    <w:next w:val="1"/>
    <w:link w:val="21"/>
    <w:qFormat/>
    <w:uiPriority w:val="9"/>
    <w:pPr>
      <w:keepNext/>
      <w:keepLines/>
      <w:outlineLvl w:val="0"/>
    </w:pPr>
    <w:rPr>
      <w:rFonts w:eastAsia="微软雅黑"/>
      <w:b/>
      <w:bCs/>
      <w:kern w:val="44"/>
      <w:sz w:val="28"/>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semiHidden/>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20"/>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styleId="12">
    <w:name w:val="annotation reference"/>
    <w:basedOn w:val="10"/>
    <w:semiHidden/>
    <w:unhideWhenUsed/>
    <w:qFormat/>
    <w:uiPriority w:val="99"/>
    <w:rPr>
      <w:sz w:val="21"/>
      <w:szCs w:val="21"/>
    </w:rPr>
  </w:style>
  <w:style w:type="paragraph" w:styleId="13">
    <w:name w:val="List Paragraph"/>
    <w:basedOn w:val="1"/>
    <w:link w:val="14"/>
    <w:qFormat/>
    <w:uiPriority w:val="34"/>
    <w:pPr>
      <w:ind w:firstLine="420"/>
    </w:pPr>
  </w:style>
  <w:style w:type="character" w:customStyle="1" w:styleId="14">
    <w:name w:val="列表段落 字符"/>
    <w:link w:val="13"/>
    <w:qFormat/>
    <w:uiPriority w:val="34"/>
  </w:style>
  <w:style w:type="paragraph" w:customStyle="1" w:styleId="15">
    <w:name w:val="标准文本"/>
    <w:basedOn w:val="1"/>
    <w:qFormat/>
    <w:uiPriority w:val="0"/>
    <w:pPr>
      <w:tabs>
        <w:tab w:val="left" w:pos="10440"/>
      </w:tabs>
      <w:ind w:right="-70" w:rightChars="-70"/>
      <w:jc w:val="left"/>
    </w:pPr>
    <w:rPr>
      <w:rFonts w:ascii="Times New Roman" w:hAnsi="Times New Roman" w:cs="Times New Roman"/>
      <w:szCs w:val="20"/>
    </w:rPr>
  </w:style>
  <w:style w:type="character" w:customStyle="1" w:styleId="16">
    <w:name w:val="批注框文本 字符"/>
    <w:basedOn w:val="10"/>
    <w:link w:val="4"/>
    <w:semiHidden/>
    <w:qFormat/>
    <w:uiPriority w:val="99"/>
    <w:rPr>
      <w:sz w:val="18"/>
      <w:szCs w:val="18"/>
    </w:rPr>
  </w:style>
  <w:style w:type="character" w:customStyle="1" w:styleId="17">
    <w:name w:val="页眉 字符"/>
    <w:basedOn w:val="10"/>
    <w:link w:val="6"/>
    <w:qFormat/>
    <w:uiPriority w:val="99"/>
    <w:rPr>
      <w:sz w:val="18"/>
      <w:szCs w:val="18"/>
    </w:rPr>
  </w:style>
  <w:style w:type="character" w:customStyle="1" w:styleId="18">
    <w:name w:val="页脚 字符"/>
    <w:basedOn w:val="10"/>
    <w:link w:val="5"/>
    <w:qFormat/>
    <w:uiPriority w:val="99"/>
    <w:rPr>
      <w:sz w:val="18"/>
      <w:szCs w:val="18"/>
    </w:rPr>
  </w:style>
  <w:style w:type="character" w:customStyle="1" w:styleId="19">
    <w:name w:val="批注文字 字符"/>
    <w:basedOn w:val="10"/>
    <w:link w:val="3"/>
    <w:semiHidden/>
    <w:qFormat/>
    <w:uiPriority w:val="99"/>
    <w:rPr>
      <w:rFonts w:eastAsia="宋体"/>
      <w:kern w:val="2"/>
      <w:sz w:val="24"/>
      <w:szCs w:val="22"/>
    </w:rPr>
  </w:style>
  <w:style w:type="character" w:customStyle="1" w:styleId="20">
    <w:name w:val="批注主题 字符"/>
    <w:basedOn w:val="19"/>
    <w:link w:val="7"/>
    <w:semiHidden/>
    <w:qFormat/>
    <w:uiPriority w:val="99"/>
    <w:rPr>
      <w:rFonts w:eastAsia="宋体"/>
      <w:b/>
      <w:bCs/>
      <w:kern w:val="2"/>
      <w:sz w:val="24"/>
      <w:szCs w:val="22"/>
    </w:rPr>
  </w:style>
  <w:style w:type="character" w:customStyle="1" w:styleId="21">
    <w:name w:val="标题 1 字符"/>
    <w:basedOn w:val="10"/>
    <w:link w:val="2"/>
    <w:qFormat/>
    <w:uiPriority w:val="9"/>
    <w:rPr>
      <w:rFonts w:eastAsia="微软雅黑"/>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32016-33F1-4FAC-846F-F8A6D185954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9</Pages>
  <Words>2529</Words>
  <Characters>2572</Characters>
  <Lines>76</Lines>
  <Paragraphs>65</Paragraphs>
  <TotalTime>3</TotalTime>
  <ScaleCrop>false</ScaleCrop>
  <LinksUpToDate>false</LinksUpToDate>
  <CharactersWithSpaces>2573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2022-04-26T07:14:00Z</dcterms:created>
  <dc:creator>hcpdi</dc:creator>
  <cp:lastModifiedBy>kiki</cp:lastModifiedBy>
  <dcterms:modified xsi:type="dcterms:W3CDTF">2025-10-28T08:45:44Z</dcterms:modified>
  <cp:revision>1929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eyJoZGlkIjoiZGFiODEwMzRiYmQ0YzYxZjYzMjAzNzJiY2Y5YzcxODkiLCJ1c2VySWQiOiIzMTg0NjkwMTkifQ==</vt:lpwstr>
  </property>
  <property fmtid="{D5CDD505-2E9C-101B-9397-08002B2CF9AE}" pid="4" name="ICV">
    <vt:lpwstr>3839AB13EEAA4D16842BF1FEB5BC8063_12</vt:lpwstr>
  </property>
</Properties>
</file>