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3AB0">
      <w:pPr>
        <w:spacing w:line="276" w:lineRule="auto"/>
        <w:jc w:val="center"/>
        <w:rPr>
          <w:rFonts w:hint="default" w:ascii="宋体" w:hAnsi="宋体" w:eastAsia="宋体"/>
          <w:b/>
          <w:color w:val="auto"/>
          <w:sz w:val="44"/>
          <w:szCs w:val="44"/>
          <w:highlight w:val="none"/>
          <w:lang w:val="en-US" w:eastAsia="zh-CN"/>
        </w:rPr>
      </w:pPr>
    </w:p>
    <w:p w14:paraId="16579D28">
      <w:pPr>
        <w:spacing w:line="276" w:lineRule="auto"/>
        <w:jc w:val="center"/>
        <w:rPr>
          <w:rFonts w:ascii="宋体" w:hAnsi="宋体" w:eastAsia="宋体"/>
          <w:b/>
          <w:color w:val="auto"/>
          <w:sz w:val="44"/>
          <w:szCs w:val="44"/>
          <w:highlight w:val="none"/>
        </w:rPr>
      </w:pPr>
    </w:p>
    <w:p w14:paraId="33579736">
      <w:pPr>
        <w:spacing w:line="276"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浦江县202</w:t>
      </w:r>
      <w:r>
        <w:rPr>
          <w:rFonts w:hint="eastAsia" w:ascii="宋体" w:hAnsi="宋体" w:eastAsia="宋体"/>
          <w:b/>
          <w:color w:val="auto"/>
          <w:sz w:val="44"/>
          <w:szCs w:val="44"/>
          <w:highlight w:val="none"/>
          <w:lang w:val="en-US" w:eastAsia="zh-CN"/>
        </w:rPr>
        <w:t>4-2026</w:t>
      </w:r>
      <w:r>
        <w:rPr>
          <w:rFonts w:hint="eastAsia" w:ascii="宋体" w:hAnsi="宋体" w:eastAsia="宋体"/>
          <w:b/>
          <w:color w:val="auto"/>
          <w:sz w:val="44"/>
          <w:szCs w:val="44"/>
          <w:highlight w:val="none"/>
        </w:rPr>
        <w:t>年</w:t>
      </w:r>
      <w:r>
        <w:rPr>
          <w:rFonts w:hint="eastAsia" w:ascii="宋体" w:hAnsi="宋体" w:eastAsia="宋体"/>
          <w:b/>
          <w:color w:val="auto"/>
          <w:sz w:val="44"/>
          <w:szCs w:val="44"/>
          <w:highlight w:val="none"/>
          <w:lang w:eastAsia="zh-CN"/>
        </w:rPr>
        <w:t>度</w:t>
      </w:r>
      <w:r>
        <w:rPr>
          <w:rFonts w:hint="eastAsia" w:ascii="宋体" w:hAnsi="宋体" w:eastAsia="宋体"/>
          <w:b/>
          <w:color w:val="auto"/>
          <w:sz w:val="44"/>
          <w:szCs w:val="44"/>
          <w:highlight w:val="none"/>
        </w:rPr>
        <w:t>地质灾害治理工程</w:t>
      </w:r>
      <w:r>
        <w:rPr>
          <w:rFonts w:hint="eastAsia" w:ascii="宋体" w:hAnsi="宋体" w:eastAsia="宋体"/>
          <w:b/>
          <w:color w:val="auto"/>
          <w:sz w:val="44"/>
          <w:szCs w:val="44"/>
          <w:highlight w:val="none"/>
          <w:lang w:eastAsia="zh-CN"/>
        </w:rPr>
        <w:t>建设项目小额配套服务（监理</w:t>
      </w:r>
      <w:r>
        <w:rPr>
          <w:rFonts w:hint="eastAsia" w:ascii="宋体" w:hAnsi="宋体" w:eastAsia="宋体"/>
          <w:b/>
          <w:color w:val="auto"/>
          <w:sz w:val="44"/>
          <w:szCs w:val="44"/>
          <w:highlight w:val="none"/>
          <w:lang w:val="en-US" w:eastAsia="zh-CN"/>
        </w:rPr>
        <w:t>)</w:t>
      </w:r>
      <w:r>
        <w:rPr>
          <w:rFonts w:hint="eastAsia" w:ascii="宋体" w:hAnsi="宋体" w:eastAsia="宋体"/>
          <w:b/>
          <w:color w:val="auto"/>
          <w:sz w:val="44"/>
          <w:szCs w:val="44"/>
          <w:highlight w:val="none"/>
        </w:rPr>
        <w:t>封闭式框架</w:t>
      </w:r>
    </w:p>
    <w:p w14:paraId="1B0C1AC1">
      <w:pPr>
        <w:spacing w:line="276" w:lineRule="auto"/>
        <w:jc w:val="center"/>
        <w:rPr>
          <w:rFonts w:hint="eastAsia" w:ascii="宋体" w:hAnsi="宋体" w:eastAsia="宋体"/>
          <w:b/>
          <w:color w:val="auto"/>
          <w:sz w:val="44"/>
          <w:szCs w:val="44"/>
          <w:highlight w:val="none"/>
          <w:lang w:eastAsia="zh-CN"/>
        </w:rPr>
      </w:pPr>
      <w:r>
        <w:rPr>
          <w:rFonts w:hint="eastAsia" w:ascii="宋体" w:hAnsi="宋体" w:eastAsia="宋体"/>
          <w:b/>
          <w:color w:val="auto"/>
          <w:sz w:val="44"/>
          <w:szCs w:val="44"/>
          <w:highlight w:val="none"/>
        </w:rPr>
        <w:t>协议项目</w:t>
      </w:r>
    </w:p>
    <w:p w14:paraId="5F9C582D">
      <w:pPr>
        <w:spacing w:line="276" w:lineRule="auto"/>
        <w:jc w:val="center"/>
        <w:rPr>
          <w:rFonts w:hint="eastAsia" w:ascii="宋体" w:hAnsi="宋体" w:eastAsia="宋体"/>
          <w:b/>
          <w:color w:val="auto"/>
          <w:sz w:val="44"/>
          <w:szCs w:val="44"/>
          <w:highlight w:val="none"/>
        </w:rPr>
      </w:pPr>
    </w:p>
    <w:p w14:paraId="64D6907D">
      <w:pPr>
        <w:spacing w:line="276"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征集文件</w:t>
      </w:r>
    </w:p>
    <w:p w14:paraId="4EB5D683">
      <w:pPr>
        <w:spacing w:line="276" w:lineRule="auto"/>
        <w:jc w:val="center"/>
        <w:rPr>
          <w:rFonts w:hint="eastAsia" w:ascii="宋体" w:hAnsi="宋体" w:eastAsia="宋体"/>
          <w:b/>
          <w:color w:val="auto"/>
          <w:sz w:val="44"/>
          <w:szCs w:val="44"/>
          <w:highlight w:val="none"/>
        </w:rPr>
      </w:pPr>
    </w:p>
    <w:p w14:paraId="249AA9CC">
      <w:pPr>
        <w:spacing w:line="276"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（封闭式框架协议）</w:t>
      </w:r>
    </w:p>
    <w:p w14:paraId="4F412050">
      <w:pPr>
        <w:rPr>
          <w:rFonts w:ascii="宋体" w:hAnsi="宋体" w:eastAsia="宋体"/>
          <w:b/>
          <w:color w:val="auto"/>
          <w:sz w:val="28"/>
          <w:highlight w:val="none"/>
        </w:rPr>
      </w:pPr>
    </w:p>
    <w:p w14:paraId="02DD2CF2">
      <w:pPr>
        <w:rPr>
          <w:rFonts w:ascii="宋体" w:hAnsi="宋体" w:eastAsia="宋体"/>
          <w:b/>
          <w:color w:val="auto"/>
          <w:sz w:val="28"/>
          <w:highlight w:val="none"/>
        </w:rPr>
      </w:pPr>
    </w:p>
    <w:p w14:paraId="488F9692">
      <w:pPr>
        <w:rPr>
          <w:rFonts w:ascii="宋体" w:hAnsi="宋体" w:eastAsia="宋体"/>
          <w:b/>
          <w:color w:val="auto"/>
          <w:sz w:val="28"/>
          <w:highlight w:val="none"/>
        </w:rPr>
      </w:pPr>
    </w:p>
    <w:p w14:paraId="5CC02FD1">
      <w:pPr>
        <w:rPr>
          <w:rFonts w:ascii="宋体" w:hAnsi="宋体" w:eastAsia="宋体"/>
          <w:b/>
          <w:color w:val="auto"/>
          <w:sz w:val="28"/>
          <w:highlight w:val="none"/>
        </w:rPr>
      </w:pPr>
    </w:p>
    <w:p w14:paraId="1022D883">
      <w:pPr>
        <w:rPr>
          <w:rFonts w:ascii="宋体" w:hAnsi="宋体" w:eastAsia="宋体"/>
          <w:b/>
          <w:color w:val="auto"/>
          <w:sz w:val="28"/>
          <w:highlight w:val="none"/>
        </w:rPr>
      </w:pPr>
    </w:p>
    <w:p w14:paraId="03E541AE">
      <w:pPr>
        <w:rPr>
          <w:rFonts w:ascii="宋体" w:hAnsi="宋体" w:eastAsia="宋体"/>
          <w:b/>
          <w:color w:val="auto"/>
          <w:sz w:val="28"/>
          <w:highlight w:val="none"/>
        </w:rPr>
      </w:pPr>
    </w:p>
    <w:p w14:paraId="73D1F8C2">
      <w:pPr>
        <w:ind w:firstLine="301" w:firstLineChars="1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项目编号：</w:t>
      </w:r>
      <w:r>
        <w:rPr>
          <w:rFonts w:hint="eastAsia" w:ascii="宋体" w:hAnsi="宋体" w:eastAsia="宋体"/>
          <w:b/>
          <w:color w:val="auto"/>
          <w:sz w:val="30"/>
          <w:szCs w:val="30"/>
          <w:highlight w:val="none"/>
          <w:lang w:eastAsia="zh-CN"/>
        </w:rPr>
        <w:t>PJCQKJ(LYJT)2024-092001</w:t>
      </w:r>
    </w:p>
    <w:p w14:paraId="323050FE">
      <w:pPr>
        <w:ind w:left="1804" w:leftChars="142" w:hanging="1506" w:hangingChars="5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项目名称：浦江县202</w:t>
      </w:r>
      <w:r>
        <w:rPr>
          <w:rFonts w:hint="eastAsia" w:ascii="宋体" w:hAnsi="宋体" w:eastAsia="宋体"/>
          <w:b/>
          <w:color w:val="auto"/>
          <w:sz w:val="30"/>
          <w:szCs w:val="30"/>
          <w:highlight w:val="none"/>
          <w:lang w:val="en-US" w:eastAsia="zh-CN"/>
        </w:rPr>
        <w:t>4-2026</w:t>
      </w:r>
      <w:r>
        <w:rPr>
          <w:rFonts w:hint="eastAsia" w:ascii="宋体" w:hAnsi="宋体" w:eastAsia="宋体"/>
          <w:b/>
          <w:color w:val="auto"/>
          <w:sz w:val="30"/>
          <w:szCs w:val="30"/>
          <w:highlight w:val="none"/>
        </w:rPr>
        <w:t>年</w:t>
      </w:r>
      <w:r>
        <w:rPr>
          <w:rFonts w:hint="eastAsia" w:ascii="宋体" w:hAnsi="宋体" w:eastAsia="宋体"/>
          <w:b/>
          <w:color w:val="auto"/>
          <w:sz w:val="30"/>
          <w:szCs w:val="30"/>
          <w:highlight w:val="none"/>
          <w:lang w:eastAsia="zh-CN"/>
        </w:rPr>
        <w:t>度</w:t>
      </w:r>
      <w:r>
        <w:rPr>
          <w:rFonts w:hint="eastAsia" w:ascii="宋体" w:hAnsi="宋体" w:eastAsia="宋体"/>
          <w:b/>
          <w:color w:val="auto"/>
          <w:sz w:val="30"/>
          <w:szCs w:val="30"/>
          <w:highlight w:val="none"/>
        </w:rPr>
        <w:t>地质灾害治理工程</w:t>
      </w:r>
      <w:r>
        <w:rPr>
          <w:rFonts w:hint="eastAsia" w:ascii="宋体" w:hAnsi="宋体" w:eastAsia="宋体"/>
          <w:b/>
          <w:color w:val="auto"/>
          <w:sz w:val="30"/>
          <w:szCs w:val="30"/>
          <w:highlight w:val="none"/>
          <w:lang w:eastAsia="zh-CN"/>
        </w:rPr>
        <w:t>建设项目小额配套服务（监理</w:t>
      </w:r>
      <w:r>
        <w:rPr>
          <w:rFonts w:hint="eastAsia" w:ascii="宋体" w:hAnsi="宋体" w:eastAsia="宋体"/>
          <w:b/>
          <w:color w:val="auto"/>
          <w:sz w:val="30"/>
          <w:szCs w:val="30"/>
          <w:highlight w:val="none"/>
          <w:lang w:val="en-US" w:eastAsia="zh-CN"/>
        </w:rPr>
        <w:t>)</w:t>
      </w:r>
      <w:r>
        <w:rPr>
          <w:rFonts w:hint="eastAsia" w:ascii="宋体" w:hAnsi="宋体" w:eastAsia="宋体"/>
          <w:b/>
          <w:color w:val="auto"/>
          <w:sz w:val="30"/>
          <w:szCs w:val="30"/>
          <w:highlight w:val="none"/>
        </w:rPr>
        <w:t>封闭式框架协议项目</w:t>
      </w:r>
    </w:p>
    <w:p w14:paraId="3FD6F00D">
      <w:pPr>
        <w:ind w:firstLine="301" w:firstLineChars="100"/>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rPr>
        <w:t>征集人：</w:t>
      </w:r>
      <w:r>
        <w:rPr>
          <w:rFonts w:hint="eastAsia" w:ascii="宋体" w:hAnsi="宋体" w:eastAsia="宋体"/>
          <w:b/>
          <w:color w:val="auto"/>
          <w:sz w:val="30"/>
          <w:szCs w:val="30"/>
          <w:highlight w:val="none"/>
          <w:lang w:eastAsia="zh-CN"/>
        </w:rPr>
        <w:t>浦江龙耀交通资源投资有限公司</w:t>
      </w:r>
    </w:p>
    <w:p w14:paraId="5D13B557">
      <w:pPr>
        <w:ind w:firstLine="301" w:firstLineChars="100"/>
        <w:rPr>
          <w:rFonts w:hint="eastAsia" w:ascii="宋体" w:hAnsi="宋体" w:eastAsia="宋体"/>
          <w:b/>
          <w:color w:val="auto"/>
          <w:sz w:val="30"/>
          <w:szCs w:val="30"/>
          <w:highlight w:val="none"/>
          <w:lang w:eastAsia="zh-CN"/>
        </w:rPr>
      </w:pPr>
      <w:r>
        <w:rPr>
          <w:rFonts w:hint="eastAsia" w:ascii="宋体" w:hAnsi="宋体" w:cs="宋体"/>
          <w:b/>
          <w:color w:val="auto"/>
          <w:sz w:val="30"/>
          <w:szCs w:val="30"/>
          <w:highlight w:val="none"/>
        </w:rPr>
        <w:t>代理机构：</w:t>
      </w:r>
      <w:r>
        <w:rPr>
          <w:rFonts w:hint="eastAsia" w:ascii="宋体" w:hAnsi="宋体" w:eastAsia="宋体"/>
          <w:b/>
          <w:color w:val="auto"/>
          <w:sz w:val="30"/>
          <w:szCs w:val="30"/>
          <w:highlight w:val="none"/>
          <w:lang w:eastAsia="zh-CN"/>
        </w:rPr>
        <w:t>浦江县产权交易有限公司</w:t>
      </w:r>
    </w:p>
    <w:p w14:paraId="6A9230A7">
      <w:pPr>
        <w:jc w:val="center"/>
        <w:rPr>
          <w:rFonts w:hint="eastAsia" w:ascii="宋体" w:hAnsi="宋体" w:eastAsia="宋体"/>
          <w:b/>
          <w:color w:val="auto"/>
          <w:sz w:val="36"/>
          <w:szCs w:val="36"/>
          <w:highlight w:val="none"/>
        </w:rPr>
      </w:pPr>
    </w:p>
    <w:p w14:paraId="58858D7E">
      <w:pPr>
        <w:jc w:val="center"/>
        <w:rPr>
          <w:rFonts w:ascii="宋体" w:hAnsi="宋体" w:eastAsia="宋体"/>
          <w:b/>
          <w:color w:val="auto"/>
          <w:sz w:val="36"/>
          <w:szCs w:val="36"/>
          <w:highlight w:val="none"/>
        </w:rPr>
        <w:sectPr>
          <w:footerReference r:id="rId4" w:type="first"/>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b/>
          <w:color w:val="auto"/>
          <w:sz w:val="36"/>
          <w:szCs w:val="36"/>
          <w:highlight w:val="none"/>
        </w:rPr>
        <w:t>二〇二四年</w:t>
      </w:r>
      <w:r>
        <w:rPr>
          <w:rFonts w:hint="eastAsia" w:ascii="宋体" w:hAnsi="宋体" w:eastAsia="宋体"/>
          <w:b/>
          <w:color w:val="auto"/>
          <w:sz w:val="36"/>
          <w:szCs w:val="36"/>
          <w:highlight w:val="none"/>
          <w:lang w:val="en-US" w:eastAsia="zh-CN"/>
        </w:rPr>
        <w:t>九</w:t>
      </w:r>
      <w:r>
        <w:rPr>
          <w:rFonts w:hint="eastAsia" w:ascii="宋体" w:hAnsi="宋体" w:eastAsia="宋体"/>
          <w:b/>
          <w:color w:val="auto"/>
          <w:sz w:val="36"/>
          <w:szCs w:val="36"/>
          <w:highlight w:val="none"/>
        </w:rPr>
        <w:t>月</w:t>
      </w:r>
    </w:p>
    <w:p w14:paraId="6ADC1A90">
      <w:pPr>
        <w:jc w:val="center"/>
        <w:rPr>
          <w:rFonts w:ascii="宋体" w:hAnsi="宋体" w:eastAsia="宋体"/>
          <w:b/>
          <w:color w:val="auto"/>
          <w:sz w:val="36"/>
          <w:szCs w:val="36"/>
          <w:highlight w:val="none"/>
        </w:rPr>
      </w:pPr>
    </w:p>
    <w:p w14:paraId="6A176248">
      <w:pPr>
        <w:jc w:val="center"/>
        <w:rPr>
          <w:rFonts w:ascii="宋体" w:hAnsi="宋体" w:eastAsia="宋体"/>
          <w:b/>
          <w:color w:val="auto"/>
          <w:sz w:val="36"/>
          <w:szCs w:val="36"/>
          <w:highlight w:val="none"/>
        </w:rPr>
      </w:pPr>
    </w:p>
    <w:p w14:paraId="34CD5C7C">
      <w:pPr>
        <w:jc w:val="center"/>
        <w:rPr>
          <w:rFonts w:asciiTheme="minorEastAsia" w:hAnsiTheme="minorEastAsia"/>
          <w:b/>
          <w:color w:val="auto"/>
          <w:sz w:val="44"/>
          <w:szCs w:val="44"/>
          <w:highlight w:val="none"/>
        </w:rPr>
      </w:pPr>
      <w:r>
        <w:rPr>
          <w:rFonts w:hint="eastAsia" w:asciiTheme="minorEastAsia" w:hAnsiTheme="minorEastAsia"/>
          <w:b/>
          <w:color w:val="auto"/>
          <w:sz w:val="44"/>
          <w:szCs w:val="44"/>
          <w:highlight w:val="none"/>
        </w:rPr>
        <w:t>目  录</w:t>
      </w:r>
    </w:p>
    <w:p w14:paraId="4AB5787D">
      <w:pPr>
        <w:jc w:val="center"/>
        <w:rPr>
          <w:rFonts w:ascii="宋体" w:hAnsi="宋体" w:eastAsia="宋体"/>
          <w:b/>
          <w:color w:val="auto"/>
          <w:sz w:val="36"/>
          <w:szCs w:val="36"/>
          <w:highlight w:val="none"/>
        </w:rPr>
      </w:pPr>
    </w:p>
    <w:p w14:paraId="3CB46ECF">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TOC \o "1-1" \h \z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_Toc1203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征集公告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_Toc1203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A71D47A">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_Toc25477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采购需求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_Toc25477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2B39A58">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_Toc30042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响应方须知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_Toc30042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83F45D">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_Toc18475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评审办法及标准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_Toc18475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8609F04">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_Toc15676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拟签订的框架协议文本和采购合同文本</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_Toc15676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3CB7FC7">
      <w:pPr>
        <w:pStyle w:val="16"/>
        <w:tabs>
          <w:tab w:val="right" w:leader="dot" w:pos="830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_Toc16597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_Toc16597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07D5ACF">
      <w:pPr>
        <w:rPr>
          <w:rFonts w:ascii="宋体" w:hAnsi="宋体" w:eastAsia="宋体"/>
          <w:b/>
          <w:color w:val="auto"/>
          <w:sz w:val="36"/>
          <w:szCs w:val="36"/>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32"/>
          <w:szCs w:val="32"/>
          <w:highlight w:val="none"/>
        </w:rPr>
        <w:fldChar w:fldCharType="end"/>
      </w:r>
    </w:p>
    <w:p w14:paraId="57EC67AB">
      <w:pPr>
        <w:pStyle w:val="2"/>
        <w:spacing w:before="160" w:after="160"/>
        <w:jc w:val="center"/>
        <w:rPr>
          <w:color w:val="auto"/>
          <w:highlight w:val="none"/>
        </w:rPr>
      </w:pPr>
      <w:bookmarkStart w:id="0" w:name="_Toc1203"/>
      <w:r>
        <w:rPr>
          <w:rFonts w:hint="eastAsia"/>
          <w:color w:val="auto"/>
          <w:highlight w:val="none"/>
        </w:rPr>
        <w:t>第一章 征集公告</w:t>
      </w:r>
      <w:bookmarkEnd w:id="0"/>
    </w:p>
    <w:p w14:paraId="4EBEF6C0">
      <w:pPr>
        <w:spacing w:before="240" w:line="360" w:lineRule="auto"/>
        <w:ind w:firstLine="480"/>
        <w:jc w:val="left"/>
        <w:rPr>
          <w:rFonts w:ascii="宋体" w:hAnsi="宋体"/>
          <w:color w:val="auto"/>
          <w:sz w:val="24"/>
          <w:highlight w:val="none"/>
        </w:rPr>
      </w:pPr>
      <w:r>
        <w:rPr>
          <w:rFonts w:hint="eastAsia" w:ascii="宋体" w:hAnsi="宋体"/>
          <w:color w:val="auto"/>
          <w:sz w:val="24"/>
          <w:highlight w:val="none"/>
          <w:lang w:eastAsia="zh-CN"/>
        </w:rPr>
        <w:t>参照</w:t>
      </w:r>
      <w:r>
        <w:rPr>
          <w:rFonts w:hint="eastAsia" w:ascii="宋体" w:hAnsi="宋体"/>
          <w:color w:val="auto"/>
          <w:sz w:val="24"/>
          <w:highlight w:val="none"/>
          <w:u w:val="single"/>
        </w:rPr>
        <w:t>《政府采购框架协议采购方式管理暂行办法</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浙江省政府采购项目电子交易管理暂行办法》</w:t>
      </w:r>
      <w:r>
        <w:rPr>
          <w:rFonts w:hint="eastAsia" w:ascii="宋体" w:hAnsi="宋体"/>
          <w:color w:val="auto"/>
          <w:sz w:val="24"/>
          <w:highlight w:val="none"/>
        </w:rPr>
        <w:t>等</w:t>
      </w:r>
      <w:r>
        <w:rPr>
          <w:rFonts w:hint="eastAsia" w:ascii="宋体" w:hAnsi="宋体" w:cs="宋体"/>
          <w:color w:val="auto"/>
          <w:kern w:val="0"/>
          <w:sz w:val="24"/>
          <w:highlight w:val="none"/>
        </w:rPr>
        <w:t>法律法规相关规定</w:t>
      </w:r>
      <w:r>
        <w:rPr>
          <w:rFonts w:hint="eastAsia" w:ascii="宋体" w:hAnsi="宋体"/>
          <w:color w:val="auto"/>
          <w:sz w:val="24"/>
          <w:highlight w:val="none"/>
        </w:rPr>
        <w:t>，</w:t>
      </w:r>
      <w:r>
        <w:rPr>
          <w:rFonts w:hint="eastAsia" w:ascii="宋体" w:hAnsi="宋体"/>
          <w:color w:val="auto"/>
          <w:sz w:val="24"/>
          <w:highlight w:val="none"/>
          <w:lang w:eastAsia="zh-CN"/>
        </w:rPr>
        <w:t>浦江县产权交易有限公司受浦江龙耀交通资源投资有限公司委托</w:t>
      </w:r>
      <w:r>
        <w:rPr>
          <w:rFonts w:hint="eastAsia" w:ascii="宋体" w:hAnsi="宋体"/>
          <w:color w:val="auto"/>
          <w:sz w:val="24"/>
          <w:highlight w:val="none"/>
        </w:rPr>
        <w:t>就</w:t>
      </w:r>
      <w:r>
        <w:rPr>
          <w:rFonts w:hint="eastAsia" w:ascii="宋体" w:hAnsi="宋体"/>
          <w:b/>
          <w:color w:val="auto"/>
          <w:sz w:val="24"/>
          <w:highlight w:val="none"/>
          <w:u w:val="single"/>
          <w:lang w:eastAsia="zh-CN"/>
        </w:rPr>
        <w:t>浦江县2024-2026年度地质灾害治理工程建设项目小额配套服务（监理)封闭式框架协议项目</w:t>
      </w:r>
      <w:r>
        <w:rPr>
          <w:rFonts w:ascii="宋体" w:hAnsi="宋体"/>
          <w:color w:val="auto"/>
          <w:sz w:val="24"/>
          <w:highlight w:val="none"/>
        </w:rPr>
        <w:t>进行</w:t>
      </w:r>
      <w:r>
        <w:rPr>
          <w:rFonts w:hint="eastAsia" w:ascii="宋体" w:hAnsi="宋体"/>
          <w:color w:val="auto"/>
          <w:sz w:val="24"/>
          <w:highlight w:val="none"/>
        </w:rPr>
        <w:t>框架协议</w:t>
      </w:r>
      <w:r>
        <w:rPr>
          <w:rFonts w:ascii="宋体" w:hAnsi="宋体"/>
          <w:color w:val="auto"/>
          <w:sz w:val="24"/>
          <w:highlight w:val="none"/>
        </w:rPr>
        <w:t>采购，</w:t>
      </w:r>
      <w:r>
        <w:rPr>
          <w:rFonts w:hint="eastAsia" w:ascii="宋体" w:hAnsi="宋体"/>
          <w:color w:val="auto"/>
          <w:sz w:val="24"/>
          <w:highlight w:val="none"/>
        </w:rPr>
        <w:t>欢迎国内合格的供应商前来响应。</w:t>
      </w:r>
    </w:p>
    <w:p w14:paraId="0F746A57">
      <w:pPr>
        <w:pStyle w:val="3"/>
        <w:spacing w:before="0" w:after="0" w:line="360" w:lineRule="auto"/>
        <w:ind w:firstLine="371" w:firstLineChars="132"/>
        <w:rPr>
          <w:color w:val="auto"/>
          <w:sz w:val="28"/>
          <w:highlight w:val="none"/>
        </w:rPr>
      </w:pPr>
      <w:r>
        <w:rPr>
          <w:rFonts w:hint="eastAsia"/>
          <w:color w:val="auto"/>
          <w:sz w:val="28"/>
          <w:highlight w:val="none"/>
        </w:rPr>
        <w:t>一、采购项目信息</w:t>
      </w:r>
    </w:p>
    <w:p w14:paraId="30B8018E">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1.项目名称：</w:t>
      </w:r>
      <w:r>
        <w:rPr>
          <w:rFonts w:hint="eastAsia" w:ascii="宋体" w:hAnsi="宋体" w:eastAsia="宋体"/>
          <w:color w:val="auto"/>
          <w:sz w:val="24"/>
          <w:szCs w:val="24"/>
          <w:highlight w:val="none"/>
          <w:lang w:eastAsia="zh-CN"/>
        </w:rPr>
        <w:t>浦江县2024-2026年度地质灾害治理工程建设项目小额配套服务（监理)封闭式框架协议项目</w:t>
      </w:r>
    </w:p>
    <w:p w14:paraId="048DB08E">
      <w:pPr>
        <w:spacing w:line="360" w:lineRule="auto"/>
        <w:ind w:firstLine="48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2.项目编号：</w:t>
      </w:r>
      <w:r>
        <w:rPr>
          <w:rFonts w:hint="eastAsia" w:ascii="宋体" w:hAnsi="宋体" w:eastAsia="宋体"/>
          <w:color w:val="auto"/>
          <w:sz w:val="24"/>
          <w:szCs w:val="24"/>
          <w:highlight w:val="none"/>
          <w:lang w:eastAsia="zh-CN"/>
        </w:rPr>
        <w:t>PJCQKJ(LYJT)2024-092001</w:t>
      </w:r>
    </w:p>
    <w:p w14:paraId="39B94FFC">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3.采购方式：封闭式框架协议</w:t>
      </w:r>
    </w:p>
    <w:p w14:paraId="2F92701B">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4.适用采购或者服务对象范围：</w:t>
      </w:r>
      <w:r>
        <w:rPr>
          <w:rFonts w:hint="eastAsia" w:ascii="宋体" w:hAnsi="宋体" w:eastAsia="宋体"/>
          <w:color w:val="auto"/>
          <w:sz w:val="24"/>
          <w:szCs w:val="24"/>
          <w:highlight w:val="none"/>
          <w:lang w:eastAsia="zh-CN"/>
        </w:rPr>
        <w:t>浦江龙耀交通资源投资有限公司</w:t>
      </w:r>
    </w:p>
    <w:p w14:paraId="755C6839">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5.框架协议的期限：</w:t>
      </w:r>
      <w:r>
        <w:rPr>
          <w:rFonts w:hint="eastAsia" w:ascii="宋体" w:hAnsi="宋体" w:eastAsia="宋体"/>
          <w:color w:val="auto"/>
          <w:sz w:val="24"/>
          <w:szCs w:val="24"/>
          <w:highlight w:val="none"/>
          <w:lang w:eastAsia="zh-CN"/>
        </w:rPr>
        <w:t>自框架协议期限合同签订之日起二年。</w:t>
      </w:r>
    </w:p>
    <w:p w14:paraId="67DBB4F9">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6.采购内容及数量：根据评审结果，本次采购根据征集文件规定的淘汰率 </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0%确定，</w:t>
      </w:r>
      <w:r>
        <w:rPr>
          <w:rFonts w:hint="eastAsia" w:ascii="宋体" w:hAnsi="宋体" w:eastAsia="宋体"/>
          <w:color w:val="auto"/>
          <w:sz w:val="24"/>
          <w:szCs w:val="24"/>
          <w:highlight w:val="none"/>
          <w:lang w:eastAsia="zh-CN"/>
        </w:rPr>
        <w:t>且</w:t>
      </w:r>
      <w:r>
        <w:rPr>
          <w:rFonts w:hint="eastAsia" w:ascii="宋体" w:hAnsi="宋体" w:eastAsia="宋体"/>
          <w:color w:val="auto"/>
          <w:sz w:val="24"/>
          <w:szCs w:val="24"/>
          <w:highlight w:val="none"/>
          <w:lang w:val="en-US" w:eastAsia="zh-CN"/>
        </w:rPr>
        <w:t>至少入围3家，</w:t>
      </w:r>
      <w:r>
        <w:rPr>
          <w:rFonts w:hint="eastAsia" w:ascii="宋体" w:hAnsi="宋体" w:eastAsia="宋体"/>
          <w:color w:val="auto"/>
          <w:sz w:val="24"/>
          <w:szCs w:val="24"/>
          <w:highlight w:val="none"/>
        </w:rPr>
        <w:t>至多入围</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家。</w:t>
      </w:r>
    </w:p>
    <w:p w14:paraId="4D9259F5">
      <w:pPr>
        <w:pStyle w:val="3"/>
        <w:spacing w:before="0" w:after="0" w:line="360" w:lineRule="auto"/>
        <w:ind w:firstLine="371" w:firstLineChars="132"/>
        <w:rPr>
          <w:color w:val="auto"/>
          <w:sz w:val="28"/>
          <w:highlight w:val="none"/>
        </w:rPr>
      </w:pPr>
      <w:r>
        <w:rPr>
          <w:rFonts w:hint="eastAsia"/>
          <w:color w:val="auto"/>
          <w:sz w:val="28"/>
          <w:highlight w:val="none"/>
        </w:rPr>
        <w:t>二、合格响应方的资格要求</w:t>
      </w:r>
    </w:p>
    <w:p w14:paraId="1E5A0E06">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24E32865">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根据财库[2016]125号文件，通过“信用中国”网站（www.creditchina.gov.cn）、中国政府采购网（www.ccgp.gov.cn）</w:t>
      </w:r>
      <w:r>
        <w:rPr>
          <w:rFonts w:hint="eastAsia" w:ascii="宋体" w:hAnsi="宋体" w:eastAsia="宋体"/>
          <w:color w:val="auto"/>
          <w:sz w:val="24"/>
          <w:szCs w:val="24"/>
          <w:highlight w:val="none"/>
        </w:rPr>
        <w:t>对投标供应商进行查询</w:t>
      </w:r>
      <w:r>
        <w:rPr>
          <w:rFonts w:ascii="宋体" w:hAnsi="宋体" w:eastAsia="宋体"/>
          <w:color w:val="auto"/>
          <w:sz w:val="24"/>
          <w:szCs w:val="24"/>
          <w:highlight w:val="none"/>
        </w:rPr>
        <w:t>，对列入失信被执行人、重大税收违法案件当事人名单、政府采购严重违法失信行为记录名单的</w:t>
      </w:r>
      <w:r>
        <w:rPr>
          <w:rFonts w:hint="eastAsia" w:ascii="宋体" w:hAnsi="宋体" w:eastAsia="宋体"/>
          <w:color w:val="auto"/>
          <w:sz w:val="24"/>
          <w:szCs w:val="24"/>
          <w:highlight w:val="none"/>
        </w:rPr>
        <w:t>响应供应商</w:t>
      </w:r>
      <w:r>
        <w:rPr>
          <w:rFonts w:ascii="宋体" w:hAnsi="宋体" w:eastAsia="宋体"/>
          <w:color w:val="auto"/>
          <w:sz w:val="24"/>
          <w:szCs w:val="24"/>
          <w:highlight w:val="none"/>
        </w:rPr>
        <w:t>，其</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将作无效处理</w:t>
      </w:r>
      <w:r>
        <w:rPr>
          <w:rFonts w:hint="eastAsia" w:ascii="宋体" w:hAnsi="宋体" w:eastAsia="宋体"/>
          <w:color w:val="auto"/>
          <w:sz w:val="24"/>
          <w:szCs w:val="24"/>
          <w:highlight w:val="none"/>
        </w:rPr>
        <w:t>，具体</w:t>
      </w:r>
      <w:r>
        <w:rPr>
          <w:rFonts w:ascii="宋体" w:hAnsi="宋体" w:eastAsia="宋体"/>
          <w:color w:val="auto"/>
          <w:sz w:val="24"/>
          <w:szCs w:val="24"/>
          <w:highlight w:val="none"/>
        </w:rPr>
        <w:t>以</w:t>
      </w:r>
      <w:r>
        <w:rPr>
          <w:rFonts w:hint="eastAsia" w:ascii="宋体" w:hAnsi="宋体" w:eastAsia="宋体"/>
          <w:color w:val="auto"/>
          <w:sz w:val="24"/>
          <w:szCs w:val="24"/>
          <w:highlight w:val="none"/>
        </w:rPr>
        <w:t>响应</w:t>
      </w:r>
      <w:r>
        <w:rPr>
          <w:rFonts w:hint="eastAsia" w:ascii="宋体" w:hAnsi="宋体" w:eastAsia="宋体"/>
          <w:color w:val="auto"/>
          <w:sz w:val="24"/>
          <w:szCs w:val="24"/>
          <w:highlight w:val="none"/>
          <w:lang w:eastAsia="zh-CN"/>
        </w:rPr>
        <w:t>截至当日</w:t>
      </w:r>
      <w:r>
        <w:rPr>
          <w:rFonts w:ascii="宋体" w:hAnsi="宋体" w:eastAsia="宋体"/>
          <w:color w:val="auto"/>
          <w:sz w:val="24"/>
          <w:szCs w:val="24"/>
          <w:highlight w:val="none"/>
        </w:rPr>
        <w:t>网页查询记录为准</w:t>
      </w:r>
      <w:r>
        <w:rPr>
          <w:rFonts w:hint="eastAsia" w:ascii="宋体" w:hAnsi="宋体" w:eastAsia="宋体"/>
          <w:color w:val="auto"/>
          <w:sz w:val="24"/>
          <w:szCs w:val="24"/>
          <w:highlight w:val="none"/>
        </w:rPr>
        <w:t>；</w:t>
      </w:r>
    </w:p>
    <w:p w14:paraId="599F6F1F">
      <w:pPr>
        <w:spacing w:line="360" w:lineRule="auto"/>
        <w:ind w:firstLine="48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3.特定资格要求：须具备地质灾害治理工程监理乙级及以上资质</w:t>
      </w:r>
      <w:r>
        <w:rPr>
          <w:rFonts w:hint="eastAsia" w:ascii="宋体" w:hAnsi="宋体" w:eastAsia="宋体"/>
          <w:b/>
          <w:bCs/>
          <w:color w:val="auto"/>
          <w:sz w:val="24"/>
          <w:szCs w:val="24"/>
          <w:highlight w:val="none"/>
          <w:lang w:eastAsia="zh-CN"/>
        </w:rPr>
        <w:t>且金华市网上中介超市入驻机构（</w:t>
      </w:r>
      <w:r>
        <w:rPr>
          <w:b/>
          <w:bCs/>
          <w:color w:val="auto"/>
          <w:sz w:val="24"/>
          <w:highlight w:val="none"/>
        </w:rPr>
        <w:t>提供相关证明材料</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w:t>
      </w:r>
    </w:p>
    <w:p w14:paraId="1C57AF40">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4.本项目谢绝联合体参加；</w:t>
      </w:r>
    </w:p>
    <w:p w14:paraId="42F4C8E0">
      <w:pPr>
        <w:spacing w:line="360" w:lineRule="auto"/>
        <w:ind w:firstLine="48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5.单位负责人为同一人或者存在直接控股、管理关系的不同供应商，不得参加同一合同项下的采购活动。</w:t>
      </w:r>
    </w:p>
    <w:p w14:paraId="726F14E7">
      <w:pPr>
        <w:spacing w:line="360" w:lineRule="auto"/>
        <w:ind w:firstLine="480"/>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本项目不得以分公司或分支机构名义响应。</w:t>
      </w:r>
    </w:p>
    <w:p w14:paraId="4BC08C53">
      <w:pPr>
        <w:pStyle w:val="3"/>
        <w:spacing w:before="0" w:after="0" w:line="360" w:lineRule="auto"/>
        <w:ind w:firstLine="371" w:firstLineChars="132"/>
        <w:rPr>
          <w:color w:val="auto"/>
          <w:sz w:val="28"/>
          <w:highlight w:val="none"/>
        </w:rPr>
      </w:pPr>
      <w:r>
        <w:rPr>
          <w:rFonts w:hint="eastAsia"/>
          <w:color w:val="auto"/>
          <w:sz w:val="28"/>
          <w:highlight w:val="none"/>
        </w:rPr>
        <w:t>三、获取征集文件时间、地点和方式</w:t>
      </w:r>
    </w:p>
    <w:p w14:paraId="051829B9">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1.获取时间：响应截止时间前</w:t>
      </w:r>
    </w:p>
    <w:p w14:paraId="3CC0CF11">
      <w:pPr>
        <w:spacing w:line="360" w:lineRule="auto"/>
        <w:ind w:firstLine="480"/>
        <w:jc w:val="left"/>
        <w:rPr>
          <w:rFonts w:ascii="宋体" w:hAnsi="Courier New" w:cs="宋体"/>
          <w:color w:val="auto"/>
          <w:sz w:val="24"/>
          <w:szCs w:val="24"/>
          <w:highlight w:val="none"/>
        </w:rPr>
      </w:pPr>
      <w:r>
        <w:rPr>
          <w:rFonts w:hint="eastAsia" w:ascii="宋体" w:hAnsi="宋体" w:eastAsia="宋体"/>
          <w:color w:val="auto"/>
          <w:sz w:val="24"/>
          <w:szCs w:val="24"/>
          <w:highlight w:val="none"/>
        </w:rPr>
        <w:t>2.获取方</w:t>
      </w:r>
      <w:r>
        <w:rPr>
          <w:rFonts w:hint="eastAsia" w:ascii="宋体" w:hAnsi="Courier New" w:cs="宋体"/>
          <w:color w:val="auto"/>
          <w:sz w:val="24"/>
          <w:szCs w:val="24"/>
          <w:highlight w:val="none"/>
        </w:rPr>
        <w:t>式：供应商登录乐采云平台(www.lecaiyun.com)在线申请获取采购文件（进入“项目采购”应用，在获取采购文件菜单中选择项目，申请获取采购文件）</w:t>
      </w:r>
    </w:p>
    <w:p w14:paraId="1A1ED517">
      <w:pPr>
        <w:spacing w:line="360" w:lineRule="auto"/>
        <w:ind w:firstLine="480"/>
        <w:jc w:val="left"/>
        <w:rPr>
          <w:rFonts w:ascii="宋体" w:hAnsi="宋体" w:eastAsia="宋体"/>
          <w:color w:val="auto"/>
          <w:sz w:val="24"/>
          <w:szCs w:val="24"/>
          <w:highlight w:val="none"/>
        </w:rPr>
      </w:pPr>
      <w:r>
        <w:rPr>
          <w:rFonts w:hint="eastAsia" w:ascii="宋体" w:hAnsi="Courier New" w:cs="宋体"/>
          <w:color w:val="auto"/>
          <w:sz w:val="24"/>
          <w:szCs w:val="24"/>
          <w:highlight w:val="none"/>
        </w:rPr>
        <w:t>3.获取征集文件时须提交的文件资</w:t>
      </w:r>
      <w:r>
        <w:rPr>
          <w:rFonts w:hint="eastAsia" w:ascii="宋体" w:hAnsi="宋体" w:eastAsia="宋体"/>
          <w:color w:val="auto"/>
          <w:sz w:val="24"/>
          <w:szCs w:val="24"/>
          <w:highlight w:val="none"/>
        </w:rPr>
        <w:t>料：无</w:t>
      </w:r>
    </w:p>
    <w:p w14:paraId="08840FDC">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4.提醒：</w:t>
      </w:r>
      <w:r>
        <w:rPr>
          <w:rFonts w:hint="eastAsia" w:ascii="宋体" w:hAnsi="Courier New" w:cs="宋体"/>
          <w:color w:val="auto"/>
          <w:sz w:val="24"/>
          <w:szCs w:val="24"/>
          <w:highlight w:val="none"/>
        </w:rPr>
        <w:t>在浙江政府采购网征集公告附件中以“游客”身份获取的征集文件仅供阅览使用，供应商只有在“</w:t>
      </w:r>
      <w:r>
        <w:rPr>
          <w:rFonts w:hint="eastAsia" w:ascii="宋体" w:hAnsi="Courier New" w:cs="宋体"/>
          <w:color w:val="auto"/>
          <w:sz w:val="24"/>
          <w:szCs w:val="24"/>
          <w:highlight w:val="none"/>
          <w:lang w:eastAsia="zh-CN"/>
        </w:rPr>
        <w:t>乐采</w:t>
      </w:r>
      <w:r>
        <w:rPr>
          <w:rFonts w:hint="eastAsia" w:ascii="宋体" w:hAnsi="Courier New" w:cs="宋体"/>
          <w:color w:val="auto"/>
          <w:sz w:val="24"/>
          <w:szCs w:val="24"/>
          <w:highlight w:val="none"/>
        </w:rPr>
        <w:t>云平台”完成获取征集文件申请并下载了征集文件后才视作依法获取征集文件。</w:t>
      </w:r>
    </w:p>
    <w:p w14:paraId="6E477252">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Courier New" w:cs="宋体"/>
          <w:color w:val="auto"/>
          <w:sz w:val="24"/>
          <w:szCs w:val="24"/>
          <w:highlight w:val="none"/>
        </w:rPr>
        <w:t>请各响应方按上述要求获取征集文件，如未在“</w:t>
      </w:r>
      <w:r>
        <w:rPr>
          <w:rFonts w:hint="eastAsia" w:ascii="宋体" w:hAnsi="Courier New" w:cs="宋体"/>
          <w:color w:val="auto"/>
          <w:sz w:val="24"/>
          <w:szCs w:val="24"/>
          <w:highlight w:val="none"/>
          <w:lang w:eastAsia="zh-CN"/>
        </w:rPr>
        <w:t>乐</w:t>
      </w:r>
      <w:r>
        <w:rPr>
          <w:rFonts w:hint="eastAsia" w:ascii="宋体" w:hAnsi="Courier New" w:cs="宋体"/>
          <w:color w:val="auto"/>
          <w:sz w:val="24"/>
          <w:szCs w:val="24"/>
          <w:highlight w:val="none"/>
        </w:rPr>
        <w:t>采云”系统内完成相关流程，引起的征集响应无效责任自负。</w:t>
      </w:r>
    </w:p>
    <w:p w14:paraId="6241E3F0">
      <w:pPr>
        <w:pStyle w:val="3"/>
        <w:spacing w:before="0" w:after="0" w:line="360" w:lineRule="auto"/>
        <w:ind w:firstLine="371" w:firstLineChars="132"/>
        <w:rPr>
          <w:color w:val="auto"/>
          <w:sz w:val="28"/>
          <w:highlight w:val="none"/>
        </w:rPr>
      </w:pPr>
      <w:r>
        <w:rPr>
          <w:rFonts w:hint="eastAsia"/>
          <w:color w:val="auto"/>
          <w:sz w:val="28"/>
          <w:highlight w:val="none"/>
        </w:rPr>
        <w:t>四、保证金</w:t>
      </w:r>
    </w:p>
    <w:p w14:paraId="5DB63FFD">
      <w:pPr>
        <w:spacing w:line="360" w:lineRule="auto"/>
        <w:ind w:firstLine="480"/>
        <w:jc w:val="left"/>
        <w:rPr>
          <w:rFonts w:ascii="宋体" w:hAnsi="Courier New" w:cs="宋体"/>
          <w:color w:val="auto"/>
          <w:sz w:val="24"/>
          <w:szCs w:val="24"/>
          <w:highlight w:val="none"/>
        </w:rPr>
      </w:pPr>
      <w:r>
        <w:rPr>
          <w:rFonts w:hint="eastAsia" w:ascii="宋体" w:hAnsi="Courier New" w:cs="宋体"/>
          <w:color w:val="auto"/>
          <w:sz w:val="24"/>
          <w:szCs w:val="24"/>
          <w:highlight w:val="none"/>
        </w:rPr>
        <w:t>本项目不收取。</w:t>
      </w:r>
    </w:p>
    <w:p w14:paraId="35FAAADF">
      <w:pPr>
        <w:pStyle w:val="3"/>
        <w:spacing w:before="0" w:after="0" w:line="360" w:lineRule="auto"/>
        <w:ind w:firstLine="371" w:firstLineChars="132"/>
        <w:rPr>
          <w:color w:val="auto"/>
          <w:sz w:val="28"/>
          <w:highlight w:val="none"/>
        </w:rPr>
      </w:pPr>
      <w:r>
        <w:rPr>
          <w:rFonts w:hint="eastAsia"/>
          <w:color w:val="auto"/>
          <w:sz w:val="28"/>
          <w:highlight w:val="none"/>
        </w:rPr>
        <w:t>五、响应截止时间和地点</w:t>
      </w:r>
    </w:p>
    <w:p w14:paraId="10CF793E">
      <w:pPr>
        <w:spacing w:line="360" w:lineRule="auto"/>
        <w:ind w:firstLine="480"/>
        <w:jc w:val="left"/>
        <w:rPr>
          <w:rFonts w:ascii="宋体" w:hAnsi="Courier New" w:cs="宋体"/>
          <w:color w:val="auto"/>
          <w:sz w:val="24"/>
          <w:szCs w:val="24"/>
          <w:highlight w:val="none"/>
        </w:rPr>
      </w:pPr>
      <w:r>
        <w:rPr>
          <w:rFonts w:hint="eastAsia" w:ascii="宋体" w:hAnsi="Courier New" w:cs="宋体"/>
          <w:color w:val="auto"/>
          <w:sz w:val="24"/>
          <w:szCs w:val="24"/>
          <w:highlight w:val="none"/>
        </w:rPr>
        <w:t>1.提交截止时间：</w:t>
      </w:r>
      <w:r>
        <w:rPr>
          <w:rFonts w:hint="eastAsia" w:ascii="宋体" w:hAnsi="Courier New" w:cs="宋体"/>
          <w:color w:val="auto"/>
          <w:sz w:val="24"/>
          <w:szCs w:val="24"/>
          <w:highlight w:val="none"/>
          <w:u w:val="single"/>
        </w:rPr>
        <w:t>2024年</w:t>
      </w:r>
      <w:r>
        <w:rPr>
          <w:rFonts w:hint="eastAsia" w:ascii="宋体" w:hAnsi="Courier New" w:cs="宋体"/>
          <w:color w:val="auto"/>
          <w:sz w:val="24"/>
          <w:szCs w:val="24"/>
          <w:highlight w:val="none"/>
          <w:u w:val="single"/>
          <w:lang w:val="en-US" w:eastAsia="zh-CN"/>
        </w:rPr>
        <w:t>10</w:t>
      </w:r>
      <w:r>
        <w:rPr>
          <w:rFonts w:hint="eastAsia" w:ascii="宋体" w:hAnsi="Courier New" w:cs="宋体"/>
          <w:color w:val="auto"/>
          <w:sz w:val="24"/>
          <w:szCs w:val="24"/>
          <w:highlight w:val="none"/>
          <w:u w:val="single"/>
        </w:rPr>
        <w:t>月</w:t>
      </w:r>
      <w:r>
        <w:rPr>
          <w:rFonts w:hint="eastAsia" w:ascii="宋体" w:hAnsi="Courier New" w:cs="宋体"/>
          <w:color w:val="auto"/>
          <w:sz w:val="24"/>
          <w:szCs w:val="24"/>
          <w:highlight w:val="none"/>
          <w:u w:val="single"/>
          <w:lang w:val="en-US" w:eastAsia="zh-CN"/>
        </w:rPr>
        <w:t>14</w:t>
      </w:r>
      <w:r>
        <w:rPr>
          <w:rFonts w:hint="eastAsia" w:ascii="宋体" w:hAnsi="Courier New" w:cs="宋体"/>
          <w:color w:val="auto"/>
          <w:sz w:val="24"/>
          <w:szCs w:val="24"/>
          <w:highlight w:val="none"/>
          <w:u w:val="single"/>
        </w:rPr>
        <w:t>日</w:t>
      </w:r>
      <w:r>
        <w:rPr>
          <w:rFonts w:hint="eastAsia" w:ascii="宋体" w:hAnsi="Courier New" w:cs="宋体"/>
          <w:color w:val="auto"/>
          <w:sz w:val="24"/>
          <w:szCs w:val="24"/>
          <w:highlight w:val="none"/>
          <w:u w:val="single"/>
          <w:lang w:val="en-US" w:eastAsia="zh-CN"/>
        </w:rPr>
        <w:t>14</w:t>
      </w:r>
      <w:r>
        <w:rPr>
          <w:rFonts w:hint="eastAsia" w:ascii="宋体" w:hAnsi="Courier New" w:cs="宋体"/>
          <w:color w:val="auto"/>
          <w:sz w:val="24"/>
          <w:szCs w:val="24"/>
          <w:highlight w:val="none"/>
          <w:u w:val="single"/>
        </w:rPr>
        <w:t>：30</w:t>
      </w:r>
      <w:r>
        <w:rPr>
          <w:rFonts w:hint="eastAsia" w:ascii="宋体" w:hAnsi="Courier New" w:cs="宋体"/>
          <w:color w:val="auto"/>
          <w:sz w:val="24"/>
          <w:szCs w:val="24"/>
          <w:highlight w:val="none"/>
        </w:rPr>
        <w:t>（北京时间）</w:t>
      </w:r>
    </w:p>
    <w:p w14:paraId="6A27A4A9">
      <w:pPr>
        <w:spacing w:line="360" w:lineRule="auto"/>
        <w:ind w:firstLine="480"/>
        <w:jc w:val="left"/>
        <w:rPr>
          <w:rFonts w:ascii="宋体" w:hAnsi="Courier New" w:cs="宋体"/>
          <w:color w:val="auto"/>
          <w:sz w:val="24"/>
          <w:szCs w:val="24"/>
          <w:highlight w:val="none"/>
        </w:rPr>
      </w:pPr>
      <w:r>
        <w:rPr>
          <w:rFonts w:hint="eastAsia" w:ascii="宋体" w:hAnsi="宋体" w:eastAsia="宋体"/>
          <w:color w:val="auto"/>
          <w:sz w:val="24"/>
          <w:szCs w:val="24"/>
          <w:highlight w:val="none"/>
        </w:rPr>
        <w:t>2.响应文件提交地点（网址）</w:t>
      </w:r>
      <w:r>
        <w:rPr>
          <w:rFonts w:hint="eastAsia" w:ascii="宋体" w:hAnsi="Courier New" w:cs="宋体"/>
          <w:color w:val="auto"/>
          <w:sz w:val="24"/>
          <w:szCs w:val="24"/>
          <w:highlight w:val="none"/>
        </w:rPr>
        <w:t>：请登录</w:t>
      </w:r>
      <w:r>
        <w:rPr>
          <w:rFonts w:hint="eastAsia" w:ascii="宋体" w:hAnsi="Courier New" w:cs="宋体"/>
          <w:color w:val="auto"/>
          <w:sz w:val="24"/>
          <w:szCs w:val="24"/>
          <w:highlight w:val="none"/>
          <w:lang w:eastAsia="zh-CN"/>
        </w:rPr>
        <w:t>乐采云</w:t>
      </w:r>
      <w:r>
        <w:rPr>
          <w:rFonts w:hint="eastAsia" w:ascii="宋体" w:hAnsi="Courier New" w:cs="宋体"/>
          <w:color w:val="auto"/>
          <w:sz w:val="24"/>
          <w:szCs w:val="24"/>
          <w:highlight w:val="none"/>
        </w:rPr>
        <w:t>投标客户端提交响应</w:t>
      </w:r>
    </w:p>
    <w:p w14:paraId="19253B70">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3.本项目实行电子化采购。响应文件应按照本项目征集文件和电子交易平台的要求编制、加密，并应当在提交截止时间前在规定电子交易平台完成传输递交，提交截止时间后上传的响应文件，将被电子交易平台拒收。</w:t>
      </w:r>
    </w:p>
    <w:p w14:paraId="041CBC79">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4.响应方如提供备份响应文件，应采用数据电文形式，以U盘或DVD光盘形式存储，并在响应提交截止时间前，将备份</w:t>
      </w:r>
      <w:r>
        <w:rPr>
          <w:rFonts w:hint="eastAsia" w:ascii="宋体" w:hAnsi="宋体" w:eastAsia="宋体"/>
          <w:color w:val="auto"/>
          <w:sz w:val="24"/>
          <w:szCs w:val="24"/>
          <w:highlight w:val="none"/>
          <w:lang w:eastAsia="zh-CN"/>
        </w:rPr>
        <w:t>响应文件</w:t>
      </w:r>
      <w:r>
        <w:rPr>
          <w:rFonts w:hint="eastAsia" w:ascii="宋体" w:hAnsi="宋体" w:eastAsia="宋体"/>
          <w:color w:val="auto"/>
          <w:sz w:val="24"/>
          <w:szCs w:val="24"/>
          <w:highlight w:val="none"/>
        </w:rPr>
        <w:t>通过快递形式或现场送达形式送达采购代理机构处，以便标书解密异常时应急使用（邮寄/送达地址：浦江县中山北路169号中山大厦10楼1003室（浦江县产权交易有限公司），黄女士收，电话号码：18757840625，邮编322200），逾期送达或未密封将被拒收。响应方仅提供备份响应文件响应的，响应无效。</w:t>
      </w:r>
    </w:p>
    <w:p w14:paraId="02AD52FD">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5.本项目拒绝接受纸质响应文件。</w:t>
      </w:r>
    </w:p>
    <w:p w14:paraId="1EDB46A1">
      <w:pPr>
        <w:pStyle w:val="3"/>
        <w:spacing w:before="0" w:after="0" w:line="360" w:lineRule="auto"/>
        <w:ind w:firstLine="371" w:firstLineChars="132"/>
        <w:rPr>
          <w:color w:val="auto"/>
          <w:sz w:val="28"/>
          <w:highlight w:val="none"/>
        </w:rPr>
      </w:pPr>
      <w:r>
        <w:rPr>
          <w:rFonts w:hint="eastAsia"/>
          <w:color w:val="auto"/>
          <w:sz w:val="28"/>
          <w:highlight w:val="none"/>
        </w:rPr>
        <w:t>六、响应文件开启时间和地点、开启方式：</w:t>
      </w:r>
    </w:p>
    <w:p w14:paraId="3CBB7272">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1.响应文件开启时间：</w:t>
      </w:r>
      <w:r>
        <w:rPr>
          <w:rFonts w:hint="eastAsia" w:ascii="宋体" w:hAnsi="宋体" w:eastAsia="宋体"/>
          <w:color w:val="auto"/>
          <w:sz w:val="24"/>
          <w:szCs w:val="24"/>
          <w:highlight w:val="none"/>
          <w:u w:val="single"/>
        </w:rPr>
        <w:t>2024年</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月</w:t>
      </w:r>
      <w:r>
        <w:rPr>
          <w:rFonts w:hint="eastAsia" w:ascii="宋体" w:hAnsi="宋体" w:eastAsia="宋体"/>
          <w:color w:val="auto"/>
          <w:sz w:val="24"/>
          <w:szCs w:val="24"/>
          <w:highlight w:val="none"/>
          <w:u w:val="single"/>
          <w:lang w:val="en-US" w:eastAsia="zh-CN"/>
        </w:rPr>
        <w:t>14</w:t>
      </w:r>
      <w:r>
        <w:rPr>
          <w:rFonts w:hint="eastAsia" w:ascii="宋体" w:hAnsi="宋体" w:eastAsia="宋体"/>
          <w:color w:val="auto"/>
          <w:sz w:val="24"/>
          <w:szCs w:val="24"/>
          <w:highlight w:val="none"/>
          <w:u w:val="single"/>
        </w:rPr>
        <w:t>日</w:t>
      </w:r>
      <w:r>
        <w:rPr>
          <w:rFonts w:hint="eastAsia" w:ascii="宋体" w:hAnsi="宋体" w:eastAsia="宋体"/>
          <w:color w:val="auto"/>
          <w:sz w:val="24"/>
          <w:szCs w:val="24"/>
          <w:highlight w:val="none"/>
          <w:u w:val="single"/>
          <w:lang w:val="en-US" w:eastAsia="zh-CN"/>
        </w:rPr>
        <w:t>14：30</w:t>
      </w:r>
      <w:r>
        <w:rPr>
          <w:rFonts w:hint="eastAsia" w:ascii="宋体" w:hAnsi="宋体" w:eastAsia="宋体"/>
          <w:color w:val="auto"/>
          <w:sz w:val="24"/>
          <w:szCs w:val="24"/>
          <w:highlight w:val="none"/>
        </w:rPr>
        <w:t>（北京时间）</w:t>
      </w:r>
    </w:p>
    <w:p w14:paraId="53834880">
      <w:pPr>
        <w:snapToGrid w:val="0"/>
        <w:spacing w:line="480" w:lineRule="exact"/>
        <w:ind w:right="218" w:rightChars="104" w:firstLine="480" w:firstLineChars="200"/>
        <w:rPr>
          <w:rFonts w:ascii="宋体" w:hAnsi="Courier New" w:cs="宋体"/>
          <w:color w:val="auto"/>
          <w:sz w:val="24"/>
          <w:szCs w:val="24"/>
          <w:highlight w:val="none"/>
        </w:rPr>
      </w:pPr>
      <w:r>
        <w:rPr>
          <w:rFonts w:hint="eastAsia" w:ascii="宋体" w:hAnsi="宋体" w:eastAsia="宋体"/>
          <w:color w:val="auto"/>
          <w:sz w:val="24"/>
          <w:szCs w:val="24"/>
          <w:highlight w:val="none"/>
        </w:rPr>
        <w:t>2.响应文件提交地点：</w:t>
      </w:r>
      <w:r>
        <w:rPr>
          <w:rFonts w:hint="eastAsia" w:ascii="宋体" w:hAnsi="宋体" w:eastAsia="宋体" w:cs="宋体"/>
          <w:color w:val="auto"/>
          <w:kern w:val="0"/>
          <w:sz w:val="24"/>
          <w:highlight w:val="none"/>
          <w:u w:val="single"/>
          <w:lang w:eastAsia="zh-CN"/>
        </w:rPr>
        <w:t>请登录乐采云投标客户端投标</w:t>
      </w:r>
    </w:p>
    <w:p w14:paraId="090A6D62">
      <w:pPr>
        <w:spacing w:line="360" w:lineRule="auto"/>
        <w:ind w:firstLine="480"/>
        <w:jc w:val="left"/>
        <w:rPr>
          <w:rFonts w:ascii="宋体" w:hAnsi="宋体" w:cs="Arial"/>
          <w:bCs/>
          <w:color w:val="auto"/>
          <w:sz w:val="24"/>
          <w:highlight w:val="none"/>
        </w:rPr>
      </w:pPr>
      <w:r>
        <w:rPr>
          <w:rFonts w:hint="eastAsia" w:ascii="宋体" w:hAnsi="宋体" w:eastAsia="宋体"/>
          <w:color w:val="auto"/>
          <w:sz w:val="24"/>
          <w:szCs w:val="24"/>
          <w:highlight w:val="none"/>
        </w:rPr>
        <w:t>3.</w:t>
      </w:r>
      <w:r>
        <w:rPr>
          <w:rFonts w:hint="eastAsia" w:ascii="宋体" w:hAnsi="宋体" w:cs="Arial"/>
          <w:bCs/>
          <w:color w:val="auto"/>
          <w:sz w:val="24"/>
          <w:highlight w:val="none"/>
        </w:rPr>
        <w:t>交易中心在征集文件规定的时间通过</w:t>
      </w:r>
      <w:r>
        <w:rPr>
          <w:rFonts w:hint="eastAsia" w:ascii="宋体" w:hAnsi="宋体" w:cs="Arial"/>
          <w:bCs/>
          <w:color w:val="auto"/>
          <w:sz w:val="24"/>
          <w:highlight w:val="none"/>
          <w:lang w:eastAsia="zh-CN"/>
        </w:rPr>
        <w:t>乐采</w:t>
      </w:r>
      <w:r>
        <w:rPr>
          <w:rFonts w:hint="eastAsia" w:ascii="宋体" w:hAnsi="宋体" w:cs="Arial"/>
          <w:bCs/>
          <w:color w:val="auto"/>
          <w:sz w:val="24"/>
          <w:highlight w:val="none"/>
        </w:rPr>
        <w:t>云平台组织开标、开启响应文件，所有响应方均应准时在线参加，随时关注征集进度。</w:t>
      </w:r>
    </w:p>
    <w:p w14:paraId="08811B32">
      <w:pPr>
        <w:spacing w:line="360" w:lineRule="auto"/>
        <w:ind w:firstLine="480"/>
        <w:jc w:val="left"/>
        <w:rPr>
          <w:rFonts w:ascii="宋体" w:hAnsi="宋体" w:cs="Arial"/>
          <w:color w:val="auto"/>
          <w:sz w:val="24"/>
          <w:highlight w:val="none"/>
        </w:rPr>
      </w:pPr>
      <w:r>
        <w:rPr>
          <w:rFonts w:hint="eastAsia" w:ascii="宋体" w:hAnsi="宋体" w:cs="Arial"/>
          <w:bCs/>
          <w:color w:val="auto"/>
          <w:sz w:val="24"/>
          <w:highlight w:val="none"/>
        </w:rPr>
        <w:t>4.响应文件开启时间后30分钟内，各响应方代表应当自行完成“电子响应文件”的在线解密。若响应方在规定时间内无法解密或解密失败，</w:t>
      </w:r>
      <w:r>
        <w:rPr>
          <w:rFonts w:hint="eastAsia" w:ascii="宋体" w:hAnsi="宋体" w:cs="Arial"/>
          <w:color w:val="auto"/>
          <w:sz w:val="24"/>
          <w:highlight w:val="none"/>
        </w:rPr>
        <w:t>响应方提供了备份响应文件的，以备份响应文件作为依据，否则视为响应文件撤回。响应文件已按时解密的，备份响应文件自动失效。</w:t>
      </w:r>
    </w:p>
    <w:p w14:paraId="10B11708">
      <w:pPr>
        <w:pStyle w:val="3"/>
        <w:spacing w:before="0" w:after="0" w:line="360" w:lineRule="auto"/>
        <w:ind w:firstLine="371" w:firstLineChars="132"/>
        <w:rPr>
          <w:color w:val="auto"/>
          <w:sz w:val="28"/>
          <w:highlight w:val="none"/>
        </w:rPr>
      </w:pPr>
      <w:r>
        <w:rPr>
          <w:rFonts w:hint="eastAsia"/>
          <w:color w:val="auto"/>
          <w:sz w:val="28"/>
          <w:highlight w:val="none"/>
        </w:rPr>
        <w:t>七、公告期限</w:t>
      </w:r>
    </w:p>
    <w:p w14:paraId="58553B8D">
      <w:pPr>
        <w:spacing w:line="360" w:lineRule="auto"/>
        <w:ind w:firstLine="480"/>
        <w:jc w:val="left"/>
        <w:rPr>
          <w:rFonts w:ascii="宋体" w:hAnsi="宋体" w:cs="Arial"/>
          <w:bCs/>
          <w:color w:val="auto"/>
          <w:sz w:val="24"/>
          <w:highlight w:val="none"/>
        </w:rPr>
      </w:pPr>
      <w:r>
        <w:rPr>
          <w:rFonts w:hint="eastAsia" w:ascii="宋体" w:hAnsi="宋体" w:cs="Arial"/>
          <w:bCs/>
          <w:color w:val="auto"/>
          <w:sz w:val="24"/>
          <w:highlight w:val="none"/>
        </w:rPr>
        <w:t>自本公告发布之日起5个工作日。</w:t>
      </w:r>
    </w:p>
    <w:p w14:paraId="19B64DD4">
      <w:pPr>
        <w:pStyle w:val="3"/>
        <w:spacing w:before="0" w:after="0" w:line="360" w:lineRule="auto"/>
        <w:ind w:firstLine="371" w:firstLineChars="132"/>
        <w:rPr>
          <w:color w:val="auto"/>
          <w:sz w:val="28"/>
          <w:highlight w:val="none"/>
        </w:rPr>
      </w:pPr>
      <w:r>
        <w:rPr>
          <w:rFonts w:hint="eastAsia"/>
          <w:color w:val="auto"/>
          <w:sz w:val="28"/>
          <w:highlight w:val="none"/>
        </w:rPr>
        <w:t>八、其他</w:t>
      </w:r>
    </w:p>
    <w:p w14:paraId="10279EA1">
      <w:pPr>
        <w:spacing w:line="360" w:lineRule="auto"/>
        <w:ind w:firstLine="480"/>
        <w:jc w:val="left"/>
        <w:rPr>
          <w:rFonts w:ascii="宋体" w:hAnsi="宋体" w:cs="Arial"/>
          <w:bCs/>
          <w:color w:val="auto"/>
          <w:sz w:val="24"/>
          <w:highlight w:val="none"/>
        </w:rPr>
      </w:pPr>
      <w:r>
        <w:rPr>
          <w:rFonts w:hint="eastAsia" w:ascii="宋体" w:hAnsi="宋体" w:cs="Arial"/>
          <w:bCs/>
          <w:color w:val="auto"/>
          <w:sz w:val="24"/>
          <w:highlight w:val="none"/>
        </w:rPr>
        <w:t>1.供应商认为征集文件使自己的权益受到损害的，可以自收到征集文件之日或者征集公告期限届满之日（</w:t>
      </w:r>
      <w:r>
        <w:rPr>
          <w:rFonts w:ascii="宋体" w:hAnsi="宋体" w:cs="Arial"/>
          <w:bCs/>
          <w:color w:val="auto"/>
          <w:sz w:val="24"/>
          <w:highlight w:val="none"/>
        </w:rPr>
        <w:t>公告期限届满后获取</w:t>
      </w:r>
      <w:r>
        <w:rPr>
          <w:rFonts w:hint="eastAsia" w:ascii="宋体" w:hAnsi="宋体" w:cs="Arial"/>
          <w:bCs/>
          <w:color w:val="auto"/>
          <w:sz w:val="24"/>
          <w:highlight w:val="none"/>
        </w:rPr>
        <w:t>征集</w:t>
      </w:r>
      <w:r>
        <w:rPr>
          <w:rFonts w:ascii="宋体" w:hAnsi="宋体" w:cs="Arial"/>
          <w:bCs/>
          <w:color w:val="auto"/>
          <w:sz w:val="24"/>
          <w:highlight w:val="none"/>
        </w:rPr>
        <w:t>文件的，以公告期限届满之日为准</w:t>
      </w:r>
      <w:r>
        <w:rPr>
          <w:rFonts w:hint="eastAsia" w:ascii="宋体" w:hAnsi="宋体" w:cs="Arial"/>
          <w:bCs/>
          <w:color w:val="auto"/>
          <w:sz w:val="24"/>
          <w:highlight w:val="none"/>
        </w:rPr>
        <w:t>）起7个工作日内，</w:t>
      </w:r>
      <w:r>
        <w:rPr>
          <w:rFonts w:ascii="宋体" w:hAnsi="宋体" w:cs="Arial"/>
          <w:b/>
          <w:bCs/>
          <w:color w:val="auto"/>
          <w:sz w:val="24"/>
          <w:highlight w:val="none"/>
        </w:rPr>
        <w:t>对采购文件需求的以书面形式向</w:t>
      </w:r>
      <w:r>
        <w:rPr>
          <w:rFonts w:hint="eastAsia" w:ascii="宋体" w:hAnsi="宋体" w:cs="Arial"/>
          <w:b/>
          <w:bCs/>
          <w:color w:val="auto"/>
          <w:sz w:val="24"/>
          <w:highlight w:val="none"/>
        </w:rPr>
        <w:t>征集人</w:t>
      </w:r>
      <w:r>
        <w:rPr>
          <w:rFonts w:ascii="宋体" w:hAnsi="宋体" w:cs="Arial"/>
          <w:b/>
          <w:bCs/>
          <w:color w:val="auto"/>
          <w:sz w:val="24"/>
          <w:highlight w:val="none"/>
        </w:rPr>
        <w:t>提出质疑，对其他内容的以书面形式向</w:t>
      </w:r>
      <w:r>
        <w:rPr>
          <w:rFonts w:hint="eastAsia" w:ascii="宋体" w:hAnsi="宋体" w:cs="Arial"/>
          <w:b/>
          <w:bCs/>
          <w:color w:val="auto"/>
          <w:sz w:val="24"/>
          <w:highlight w:val="none"/>
        </w:rPr>
        <w:t>征集人</w:t>
      </w:r>
      <w:r>
        <w:rPr>
          <w:rFonts w:ascii="宋体" w:hAnsi="宋体" w:cs="Arial"/>
          <w:b/>
          <w:bCs/>
          <w:color w:val="auto"/>
          <w:sz w:val="24"/>
          <w:highlight w:val="none"/>
        </w:rPr>
        <w:t>和</w:t>
      </w:r>
      <w:r>
        <w:rPr>
          <w:rFonts w:hint="eastAsia" w:ascii="宋体" w:hAnsi="宋体" w:cs="Arial"/>
          <w:b/>
          <w:bCs/>
          <w:color w:val="auto"/>
          <w:sz w:val="24"/>
          <w:highlight w:val="none"/>
        </w:rPr>
        <w:t>征集人（</w:t>
      </w:r>
      <w:r>
        <w:rPr>
          <w:rFonts w:ascii="宋体" w:hAnsi="宋体" w:cs="Arial"/>
          <w:b/>
          <w:bCs/>
          <w:color w:val="auto"/>
          <w:sz w:val="24"/>
          <w:highlight w:val="none"/>
        </w:rPr>
        <w:t>采购代理机构</w:t>
      </w:r>
      <w:r>
        <w:rPr>
          <w:rFonts w:hint="eastAsia" w:ascii="宋体" w:hAnsi="宋体" w:cs="Arial"/>
          <w:b/>
          <w:bCs/>
          <w:color w:val="auto"/>
          <w:sz w:val="24"/>
          <w:highlight w:val="none"/>
        </w:rPr>
        <w:t>）</w:t>
      </w:r>
      <w:r>
        <w:rPr>
          <w:rFonts w:ascii="宋体" w:hAnsi="宋体" w:cs="Arial"/>
          <w:b/>
          <w:bCs/>
          <w:color w:val="auto"/>
          <w:sz w:val="24"/>
          <w:highlight w:val="none"/>
        </w:rPr>
        <w:t>提出质疑</w:t>
      </w:r>
      <w:r>
        <w:rPr>
          <w:rFonts w:hint="eastAsia" w:ascii="宋体" w:hAnsi="宋体" w:cs="Arial"/>
          <w:b/>
          <w:bCs/>
          <w:color w:val="auto"/>
          <w:sz w:val="24"/>
          <w:highlight w:val="none"/>
        </w:rPr>
        <w:t>，针对同一采购程序环节的质疑应一次性提出。</w:t>
      </w:r>
      <w:r>
        <w:rPr>
          <w:rFonts w:ascii="宋体" w:hAnsi="宋体" w:cs="Arial"/>
          <w:bCs/>
          <w:color w:val="auto"/>
          <w:sz w:val="24"/>
          <w:highlight w:val="none"/>
        </w:rPr>
        <w:t>质疑供应商对</w:t>
      </w:r>
      <w:r>
        <w:rPr>
          <w:rFonts w:hint="eastAsia" w:ascii="宋体" w:hAnsi="宋体" w:cs="Arial"/>
          <w:bCs/>
          <w:color w:val="auto"/>
          <w:sz w:val="24"/>
          <w:highlight w:val="none"/>
        </w:rPr>
        <w:t>征集人</w:t>
      </w:r>
      <w:r>
        <w:rPr>
          <w:rFonts w:hint="eastAsia" w:ascii="宋体" w:hAnsi="宋体" w:cs="Arial"/>
          <w:bCs/>
          <w:color w:val="auto"/>
          <w:sz w:val="24"/>
          <w:highlight w:val="none"/>
          <w:lang w:eastAsia="zh-CN"/>
        </w:rPr>
        <w:t>、征集代理机构</w:t>
      </w:r>
      <w:r>
        <w:rPr>
          <w:rFonts w:ascii="宋体" w:hAnsi="宋体" w:cs="Arial"/>
          <w:bCs/>
          <w:color w:val="auto"/>
          <w:sz w:val="24"/>
          <w:highlight w:val="none"/>
        </w:rPr>
        <w:t>的答复不满意或者</w:t>
      </w:r>
      <w:r>
        <w:rPr>
          <w:rFonts w:hint="eastAsia" w:ascii="宋体" w:hAnsi="宋体" w:cs="Arial"/>
          <w:bCs/>
          <w:color w:val="auto"/>
          <w:sz w:val="24"/>
          <w:highlight w:val="none"/>
        </w:rPr>
        <w:t>征集人、征集</w:t>
      </w:r>
      <w:r>
        <w:rPr>
          <w:rFonts w:ascii="宋体" w:hAnsi="宋体" w:cs="Arial"/>
          <w:bCs/>
          <w:color w:val="auto"/>
          <w:sz w:val="24"/>
          <w:highlight w:val="none"/>
        </w:rPr>
        <w:t>代理机构未在规定的时间内作出答复的，可以在答复期满后十五个工作日内向采购监督管理部门投诉。质疑函范本、投诉书范本请到浙江政府采购网下载专区下载。</w:t>
      </w:r>
    </w:p>
    <w:p w14:paraId="2DB98D1B">
      <w:pPr>
        <w:spacing w:line="360" w:lineRule="auto"/>
        <w:ind w:firstLine="480"/>
        <w:jc w:val="left"/>
        <w:rPr>
          <w:rFonts w:ascii="宋体" w:hAnsi="宋体" w:cs="Arial"/>
          <w:bCs/>
          <w:color w:val="auto"/>
          <w:sz w:val="24"/>
          <w:highlight w:val="none"/>
        </w:rPr>
      </w:pPr>
      <w:r>
        <w:rPr>
          <w:rFonts w:hint="eastAsia" w:ascii="宋体" w:hAnsi="宋体" w:cs="Arial"/>
          <w:bCs/>
          <w:color w:val="auto"/>
          <w:sz w:val="24"/>
          <w:highlight w:val="none"/>
        </w:rPr>
        <w:t>2.响应人应在开标前完成CA数字证书办理以及驱动下载（办理流程详见浙江政府采购官网）。完成CA数字证书办理预计一周左右，建议各响应人抓紧时间办理。</w:t>
      </w:r>
    </w:p>
    <w:p w14:paraId="086946BA">
      <w:pPr>
        <w:snapToGrid w:val="0"/>
        <w:spacing w:line="276" w:lineRule="auto"/>
        <w:ind w:firstLine="482" w:firstLineChars="200"/>
        <w:rPr>
          <w:rFonts w:ascii="仿宋_GB2312" w:hAnsi="仿宋" w:eastAsia="仿宋_GB2312" w:cs="仿宋_GB2312"/>
          <w:b/>
          <w:bCs/>
          <w:color w:val="auto"/>
          <w:sz w:val="28"/>
          <w:szCs w:val="28"/>
          <w:highlight w:val="none"/>
        </w:rPr>
      </w:pPr>
      <w:r>
        <w:rPr>
          <w:rFonts w:hint="eastAsia" w:ascii="宋体" w:hAnsi="宋体"/>
          <w:b/>
          <w:bCs/>
          <w:color w:val="auto"/>
          <w:sz w:val="24"/>
          <w:highlight w:val="none"/>
        </w:rPr>
        <w:t>CA问题联系电话（人工）：汇信CA 400-888-4636；天谷CA 400-087-8198。</w:t>
      </w:r>
    </w:p>
    <w:p w14:paraId="0774A2FB">
      <w:pPr>
        <w:pStyle w:val="3"/>
        <w:spacing w:before="0" w:after="0" w:line="360" w:lineRule="auto"/>
        <w:ind w:firstLine="371" w:firstLineChars="132"/>
        <w:rPr>
          <w:color w:val="auto"/>
          <w:sz w:val="28"/>
          <w:highlight w:val="none"/>
        </w:rPr>
      </w:pPr>
      <w:r>
        <w:rPr>
          <w:rFonts w:hint="eastAsia"/>
          <w:color w:val="auto"/>
          <w:sz w:val="28"/>
          <w:highlight w:val="none"/>
        </w:rPr>
        <w:t>九、业务咨询（采购需求的疑问请向征集人询问或反映）</w:t>
      </w:r>
    </w:p>
    <w:p w14:paraId="69E1765E">
      <w:pPr>
        <w:spacing w:line="360" w:lineRule="auto"/>
        <w:ind w:firstLine="48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1.征集人</w:t>
      </w:r>
      <w:r>
        <w:rPr>
          <w:rFonts w:hint="eastAsia" w:ascii="宋体" w:hAnsi="宋体" w:eastAsia="宋体"/>
          <w:color w:val="auto"/>
          <w:sz w:val="24"/>
          <w:szCs w:val="24"/>
          <w:highlight w:val="none"/>
          <w:lang w:eastAsia="zh-CN"/>
        </w:rPr>
        <w:t>：</w:t>
      </w:r>
    </w:p>
    <w:p w14:paraId="63F916AD">
      <w:pPr>
        <w:widowControl/>
        <w:adjustRightInd w:val="0"/>
        <w:snapToGrid w:val="0"/>
        <w:spacing w:line="276" w:lineRule="auto"/>
        <w:ind w:firstLine="708" w:firstLineChars="295"/>
        <w:jc w:val="left"/>
        <w:rPr>
          <w:rFonts w:ascii="宋体" w:hAnsi="宋体"/>
          <w:color w:val="auto"/>
          <w:sz w:val="24"/>
          <w:szCs w:val="20"/>
          <w:highlight w:val="none"/>
        </w:rPr>
      </w:pPr>
      <w:r>
        <w:rPr>
          <w:rFonts w:ascii="宋体" w:hAnsi="宋体"/>
          <w:color w:val="auto"/>
          <w:sz w:val="24"/>
          <w:szCs w:val="20"/>
          <w:highlight w:val="none"/>
        </w:rPr>
        <w:t>名    称：</w:t>
      </w:r>
      <w:r>
        <w:rPr>
          <w:rFonts w:hint="eastAsia" w:ascii="宋体" w:hAnsi="宋体"/>
          <w:color w:val="auto"/>
          <w:sz w:val="24"/>
          <w:szCs w:val="20"/>
          <w:highlight w:val="none"/>
          <w:lang w:eastAsia="zh-CN"/>
        </w:rPr>
        <w:t>浦江龙耀交通资源投资有限公司</w:t>
      </w:r>
      <w:r>
        <w:rPr>
          <w:rFonts w:hint="eastAsia" w:ascii="宋体" w:hAnsi="宋体"/>
          <w:color w:val="auto"/>
          <w:sz w:val="24"/>
          <w:szCs w:val="20"/>
          <w:highlight w:val="none"/>
        </w:rPr>
        <w:t> </w:t>
      </w:r>
    </w:p>
    <w:p w14:paraId="7A22F54E">
      <w:pPr>
        <w:widowControl/>
        <w:adjustRightInd w:val="0"/>
        <w:snapToGrid w:val="0"/>
        <w:spacing w:line="276" w:lineRule="auto"/>
        <w:ind w:firstLine="708" w:firstLineChars="295"/>
        <w:jc w:val="left"/>
        <w:rPr>
          <w:rFonts w:ascii="宋体" w:hAnsi="宋体"/>
          <w:color w:val="auto"/>
          <w:sz w:val="24"/>
          <w:szCs w:val="20"/>
          <w:highlight w:val="none"/>
        </w:rPr>
      </w:pPr>
      <w:r>
        <w:rPr>
          <w:rFonts w:hint="eastAsia" w:ascii="宋体" w:hAnsi="宋体"/>
          <w:color w:val="auto"/>
          <w:sz w:val="24"/>
          <w:szCs w:val="20"/>
          <w:highlight w:val="none"/>
        </w:rPr>
        <w:t xml:space="preserve">地    址：浙江省浦江县浦南街道大桥南路25号 </w:t>
      </w:r>
    </w:p>
    <w:p w14:paraId="799889C4">
      <w:pPr>
        <w:widowControl/>
        <w:adjustRightInd w:val="0"/>
        <w:snapToGrid w:val="0"/>
        <w:spacing w:line="276" w:lineRule="auto"/>
        <w:ind w:firstLine="708" w:firstLineChars="295"/>
        <w:jc w:val="left"/>
        <w:rPr>
          <w:rFonts w:ascii="宋体" w:hAnsi="宋体"/>
          <w:color w:val="auto"/>
          <w:sz w:val="24"/>
          <w:szCs w:val="20"/>
          <w:highlight w:val="none"/>
        </w:rPr>
      </w:pPr>
      <w:r>
        <w:rPr>
          <w:rFonts w:hint="eastAsia" w:ascii="宋体" w:hAnsi="宋体"/>
          <w:color w:val="auto"/>
          <w:sz w:val="24"/>
          <w:szCs w:val="20"/>
          <w:highlight w:val="none"/>
        </w:rPr>
        <w:t>项目联系人（询问）：</w:t>
      </w:r>
      <w:r>
        <w:rPr>
          <w:rFonts w:hint="eastAsia" w:ascii="宋体" w:hAnsi="宋体"/>
          <w:color w:val="auto"/>
          <w:sz w:val="24"/>
          <w:szCs w:val="20"/>
          <w:highlight w:val="none"/>
          <w:lang w:eastAsia="zh-CN"/>
        </w:rPr>
        <w:t>毛健男</w:t>
      </w:r>
      <w:r>
        <w:rPr>
          <w:rFonts w:hint="eastAsia" w:ascii="宋体" w:hAnsi="宋体"/>
          <w:color w:val="auto"/>
          <w:sz w:val="24"/>
          <w:szCs w:val="20"/>
          <w:highlight w:val="none"/>
        </w:rPr>
        <w:t xml:space="preserve"> </w:t>
      </w:r>
    </w:p>
    <w:p w14:paraId="623DA7DF">
      <w:pPr>
        <w:widowControl/>
        <w:adjustRightInd w:val="0"/>
        <w:snapToGrid w:val="0"/>
        <w:spacing w:line="276" w:lineRule="auto"/>
        <w:ind w:firstLine="708" w:firstLineChars="295"/>
        <w:jc w:val="left"/>
        <w:rPr>
          <w:rFonts w:ascii="宋体" w:hAnsi="宋体"/>
          <w:color w:val="auto"/>
          <w:sz w:val="24"/>
          <w:szCs w:val="20"/>
          <w:highlight w:val="none"/>
        </w:rPr>
      </w:pPr>
      <w:r>
        <w:rPr>
          <w:rFonts w:hint="eastAsia" w:ascii="宋体" w:hAnsi="宋体"/>
          <w:color w:val="auto"/>
          <w:sz w:val="24"/>
          <w:szCs w:val="20"/>
          <w:highlight w:val="none"/>
        </w:rPr>
        <w:t>项目联系方式（询问）：13777508551</w:t>
      </w:r>
    </w:p>
    <w:p w14:paraId="57B3825F">
      <w:pPr>
        <w:widowControl/>
        <w:adjustRightInd w:val="0"/>
        <w:snapToGrid w:val="0"/>
        <w:spacing w:line="276" w:lineRule="auto"/>
        <w:ind w:firstLine="708" w:firstLineChars="295"/>
        <w:jc w:val="left"/>
        <w:rPr>
          <w:rFonts w:ascii="宋体" w:hAnsi="宋体"/>
          <w:color w:val="auto"/>
          <w:sz w:val="24"/>
          <w:szCs w:val="20"/>
          <w:highlight w:val="none"/>
        </w:rPr>
      </w:pPr>
      <w:r>
        <w:rPr>
          <w:rFonts w:hint="eastAsia" w:ascii="宋体" w:hAnsi="宋体"/>
          <w:color w:val="auto"/>
          <w:sz w:val="24"/>
          <w:szCs w:val="20"/>
          <w:highlight w:val="none"/>
        </w:rPr>
        <w:t>质疑联系人：</w:t>
      </w:r>
      <w:r>
        <w:rPr>
          <w:rFonts w:hint="eastAsia" w:ascii="宋体" w:hAnsi="宋体"/>
          <w:color w:val="auto"/>
          <w:sz w:val="24"/>
          <w:szCs w:val="20"/>
          <w:highlight w:val="none"/>
          <w:lang w:eastAsia="zh-CN"/>
        </w:rPr>
        <w:t>蒋天平</w:t>
      </w:r>
    </w:p>
    <w:p w14:paraId="154FDF04">
      <w:pPr>
        <w:widowControl/>
        <w:adjustRightInd w:val="0"/>
        <w:snapToGrid w:val="0"/>
        <w:spacing w:line="276" w:lineRule="auto"/>
        <w:ind w:firstLine="708" w:firstLineChars="295"/>
        <w:jc w:val="left"/>
        <w:rPr>
          <w:rFonts w:ascii="宋体" w:hAnsi="宋体"/>
          <w:color w:val="auto"/>
          <w:sz w:val="24"/>
          <w:szCs w:val="20"/>
          <w:highlight w:val="none"/>
        </w:rPr>
      </w:pPr>
      <w:r>
        <w:rPr>
          <w:rFonts w:hint="eastAsia" w:ascii="宋体" w:hAnsi="宋体"/>
          <w:color w:val="auto"/>
          <w:sz w:val="24"/>
          <w:szCs w:val="20"/>
          <w:highlight w:val="none"/>
        </w:rPr>
        <w:t>质疑联系方式：13758917666</w:t>
      </w:r>
    </w:p>
    <w:p w14:paraId="2EF01C8E">
      <w:pPr>
        <w:spacing w:line="360" w:lineRule="auto"/>
        <w:ind w:firstLine="48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2.征集</w:t>
      </w:r>
      <w:r>
        <w:rPr>
          <w:rFonts w:hint="eastAsia" w:ascii="宋体" w:hAnsi="宋体" w:eastAsia="宋体"/>
          <w:color w:val="auto"/>
          <w:sz w:val="24"/>
          <w:szCs w:val="24"/>
          <w:highlight w:val="none"/>
          <w:lang w:val="en-US" w:eastAsia="zh-CN"/>
        </w:rPr>
        <w:t>代理机构：</w:t>
      </w:r>
    </w:p>
    <w:p w14:paraId="578AA384">
      <w:pPr>
        <w:widowControl/>
        <w:adjustRightInd w:val="0"/>
        <w:snapToGrid w:val="0"/>
        <w:spacing w:line="276" w:lineRule="auto"/>
        <w:jc w:val="left"/>
        <w:rPr>
          <w:rFonts w:hint="eastAsia" w:ascii="宋体" w:hAnsi="宋体" w:eastAsiaTheme="minorEastAsia"/>
          <w:color w:val="auto"/>
          <w:sz w:val="24"/>
          <w:szCs w:val="20"/>
          <w:highlight w:val="none"/>
          <w:lang w:eastAsia="zh-CN"/>
        </w:rPr>
      </w:pPr>
      <w:r>
        <w:rPr>
          <w:rFonts w:hint="eastAsia" w:ascii="宋体" w:hAnsi="宋体"/>
          <w:color w:val="auto"/>
          <w:sz w:val="24"/>
          <w:szCs w:val="20"/>
          <w:highlight w:val="none"/>
        </w:rPr>
        <w:t xml:space="preserve">      </w:t>
      </w:r>
      <w:r>
        <w:rPr>
          <w:rFonts w:ascii="宋体" w:hAnsi="宋体"/>
          <w:color w:val="auto"/>
          <w:sz w:val="24"/>
          <w:szCs w:val="20"/>
          <w:highlight w:val="none"/>
        </w:rPr>
        <w:t>名    称：</w:t>
      </w:r>
      <w:r>
        <w:rPr>
          <w:rFonts w:hint="eastAsia" w:ascii="宋体" w:hAnsi="宋体"/>
          <w:color w:val="auto"/>
          <w:sz w:val="24"/>
          <w:szCs w:val="20"/>
          <w:highlight w:val="none"/>
          <w:lang w:eastAsia="zh-CN"/>
        </w:rPr>
        <w:t>浦江县产权交易有限公司</w:t>
      </w:r>
    </w:p>
    <w:p w14:paraId="42EBB58C">
      <w:pPr>
        <w:widowControl/>
        <w:adjustRightInd w:val="0"/>
        <w:snapToGrid w:val="0"/>
        <w:spacing w:line="276" w:lineRule="auto"/>
        <w:jc w:val="left"/>
        <w:rPr>
          <w:rFonts w:ascii="宋体" w:hAnsi="宋体"/>
          <w:color w:val="auto"/>
          <w:sz w:val="24"/>
          <w:szCs w:val="20"/>
          <w:highlight w:val="none"/>
        </w:rPr>
      </w:pPr>
      <w:r>
        <w:rPr>
          <w:rFonts w:ascii="宋体" w:hAnsi="宋体"/>
          <w:color w:val="auto"/>
          <w:sz w:val="24"/>
          <w:szCs w:val="20"/>
          <w:highlight w:val="none"/>
        </w:rPr>
        <w:t>    地    址：</w:t>
      </w:r>
      <w:r>
        <w:rPr>
          <w:rFonts w:hint="eastAsia" w:ascii="宋体" w:hAnsi="宋体" w:eastAsia="宋体" w:cs="宋体"/>
          <w:color w:val="auto"/>
          <w:kern w:val="0"/>
          <w:sz w:val="24"/>
          <w:highlight w:val="none"/>
        </w:rPr>
        <w:t>浦江县中山北路169号中山大厦10楼</w:t>
      </w:r>
      <w:r>
        <w:rPr>
          <w:rFonts w:hint="eastAsia" w:ascii="宋体" w:hAnsi="宋体" w:eastAsia="宋体" w:cs="宋体"/>
          <w:color w:val="auto"/>
          <w:sz w:val="24"/>
          <w:szCs w:val="20"/>
          <w:highlight w:val="none"/>
        </w:rPr>
        <w:t> </w:t>
      </w:r>
      <w:r>
        <w:rPr>
          <w:rFonts w:ascii="宋体" w:hAnsi="宋体"/>
          <w:color w:val="auto"/>
          <w:sz w:val="24"/>
          <w:szCs w:val="20"/>
          <w:highlight w:val="none"/>
        </w:rPr>
        <w:t> </w:t>
      </w:r>
    </w:p>
    <w:p w14:paraId="2DF536A5">
      <w:pPr>
        <w:widowControl/>
        <w:adjustRightInd w:val="0"/>
        <w:snapToGrid w:val="0"/>
        <w:spacing w:line="276" w:lineRule="auto"/>
        <w:jc w:val="left"/>
        <w:rPr>
          <w:rFonts w:hint="eastAsia" w:ascii="宋体" w:hAnsi="宋体" w:eastAsia="宋体"/>
          <w:color w:val="auto"/>
          <w:sz w:val="24"/>
          <w:szCs w:val="20"/>
          <w:highlight w:val="none"/>
          <w:lang w:eastAsia="zh-CN"/>
        </w:rPr>
      </w:pPr>
      <w:r>
        <w:rPr>
          <w:rFonts w:ascii="宋体" w:hAnsi="宋体"/>
          <w:color w:val="auto"/>
          <w:sz w:val="24"/>
          <w:szCs w:val="20"/>
          <w:highlight w:val="none"/>
        </w:rPr>
        <w:t>    项目联系人（询问）：</w:t>
      </w:r>
      <w:r>
        <w:rPr>
          <w:rFonts w:hint="eastAsia" w:ascii="宋体" w:hAnsi="宋体" w:eastAsia="宋体" w:cs="宋体"/>
          <w:color w:val="auto"/>
          <w:sz w:val="24"/>
          <w:szCs w:val="20"/>
          <w:highlight w:val="none"/>
        </w:rPr>
        <w:t>黄</w:t>
      </w:r>
      <w:r>
        <w:rPr>
          <w:rFonts w:hint="eastAsia" w:ascii="宋体" w:hAnsi="宋体" w:eastAsia="宋体" w:cs="宋体"/>
          <w:color w:val="auto"/>
          <w:sz w:val="24"/>
          <w:szCs w:val="20"/>
          <w:highlight w:val="none"/>
          <w:lang w:eastAsia="zh-CN"/>
        </w:rPr>
        <w:t>琳</w:t>
      </w:r>
    </w:p>
    <w:p w14:paraId="23C6F922">
      <w:pPr>
        <w:widowControl/>
        <w:adjustRightInd w:val="0"/>
        <w:snapToGrid w:val="0"/>
        <w:spacing w:line="276" w:lineRule="auto"/>
        <w:jc w:val="left"/>
        <w:rPr>
          <w:rFonts w:ascii="宋体" w:hAnsi="宋体"/>
          <w:color w:val="auto"/>
          <w:sz w:val="24"/>
          <w:szCs w:val="20"/>
          <w:highlight w:val="none"/>
        </w:rPr>
      </w:pPr>
      <w:r>
        <w:rPr>
          <w:rFonts w:ascii="宋体" w:hAnsi="宋体"/>
          <w:color w:val="auto"/>
          <w:sz w:val="24"/>
          <w:szCs w:val="20"/>
          <w:highlight w:val="none"/>
        </w:rPr>
        <w:t>    项目联系方式（询问）：</w:t>
      </w:r>
      <w:r>
        <w:rPr>
          <w:rFonts w:hint="eastAsia" w:ascii="宋体" w:hAnsi="宋体" w:eastAsia="宋体" w:cs="宋体"/>
          <w:color w:val="auto"/>
          <w:sz w:val="24"/>
          <w:szCs w:val="20"/>
          <w:highlight w:val="none"/>
        </w:rPr>
        <w:t>0579-84182015</w:t>
      </w:r>
    </w:p>
    <w:p w14:paraId="49CA883B">
      <w:pPr>
        <w:widowControl/>
        <w:adjustRightInd w:val="0"/>
        <w:snapToGrid w:val="0"/>
        <w:spacing w:line="276" w:lineRule="auto"/>
        <w:jc w:val="left"/>
        <w:rPr>
          <w:rFonts w:ascii="宋体" w:hAnsi="宋体"/>
          <w:color w:val="auto"/>
          <w:sz w:val="24"/>
          <w:szCs w:val="20"/>
          <w:highlight w:val="none"/>
        </w:rPr>
      </w:pPr>
      <w:r>
        <w:rPr>
          <w:rFonts w:ascii="宋体" w:hAnsi="宋体"/>
          <w:color w:val="auto"/>
          <w:sz w:val="24"/>
          <w:szCs w:val="20"/>
          <w:highlight w:val="none"/>
        </w:rPr>
        <w:t>    质疑联系人：</w:t>
      </w:r>
      <w:r>
        <w:rPr>
          <w:rFonts w:hint="eastAsia" w:ascii="宋体" w:hAnsi="宋体" w:eastAsia="宋体" w:cs="宋体"/>
          <w:color w:val="auto"/>
          <w:sz w:val="24"/>
          <w:szCs w:val="20"/>
          <w:highlight w:val="none"/>
        </w:rPr>
        <w:t>黄银凤</w:t>
      </w:r>
    </w:p>
    <w:p w14:paraId="731A0A01">
      <w:pPr>
        <w:spacing w:line="360" w:lineRule="auto"/>
        <w:ind w:firstLine="480"/>
        <w:jc w:val="left"/>
        <w:rPr>
          <w:rFonts w:hint="eastAsia" w:ascii="宋体" w:hAnsi="宋体" w:eastAsia="宋体"/>
          <w:color w:val="auto"/>
          <w:sz w:val="24"/>
          <w:szCs w:val="24"/>
          <w:highlight w:val="none"/>
        </w:rPr>
      </w:pPr>
      <w:r>
        <w:rPr>
          <w:rFonts w:ascii="宋体" w:hAnsi="宋体"/>
          <w:color w:val="auto"/>
          <w:sz w:val="24"/>
          <w:szCs w:val="20"/>
          <w:highlight w:val="none"/>
        </w:rPr>
        <w:t> 质疑联系方式：</w:t>
      </w:r>
      <w:r>
        <w:rPr>
          <w:rFonts w:hint="eastAsia" w:ascii="宋体" w:hAnsi="宋体" w:eastAsia="宋体" w:cs="宋体"/>
          <w:color w:val="auto"/>
          <w:sz w:val="24"/>
          <w:szCs w:val="20"/>
          <w:highlight w:val="none"/>
        </w:rPr>
        <w:t>0579-84182015</w:t>
      </w:r>
    </w:p>
    <w:p w14:paraId="56BCD363">
      <w:pPr>
        <w:spacing w:line="360" w:lineRule="auto"/>
        <w:ind w:firstLine="480"/>
        <w:jc w:val="left"/>
        <w:rPr>
          <w:rFonts w:ascii="宋体" w:hAnsi="宋体"/>
          <w:color w:val="auto"/>
          <w:sz w:val="24"/>
          <w:szCs w:val="20"/>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0"/>
          <w:highlight w:val="none"/>
          <w:lang w:eastAsia="zh-CN"/>
        </w:rPr>
        <w:t>监督管理部门</w:t>
      </w:r>
      <w:r>
        <w:rPr>
          <w:rFonts w:ascii="宋体" w:hAnsi="宋体"/>
          <w:color w:val="auto"/>
          <w:sz w:val="24"/>
          <w:szCs w:val="20"/>
          <w:highlight w:val="none"/>
        </w:rPr>
        <w:t>：</w:t>
      </w:r>
    </w:p>
    <w:p w14:paraId="1A2019DC">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名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 xml:space="preserve"> 称：浦江县</w:t>
      </w:r>
      <w:r>
        <w:rPr>
          <w:rFonts w:hint="eastAsia" w:ascii="宋体" w:hAnsi="宋体"/>
          <w:color w:val="auto"/>
          <w:sz w:val="24"/>
          <w:szCs w:val="20"/>
          <w:highlight w:val="none"/>
          <w:lang w:val="en-US" w:eastAsia="zh-CN"/>
        </w:rPr>
        <w:t>自然资源和规划局</w:t>
      </w:r>
      <w:r>
        <w:rPr>
          <w:rFonts w:hint="eastAsia" w:ascii="宋体" w:hAnsi="宋体"/>
          <w:color w:val="auto"/>
          <w:sz w:val="24"/>
          <w:szCs w:val="20"/>
          <w:highlight w:val="none"/>
        </w:rPr>
        <w:t> </w:t>
      </w:r>
    </w:p>
    <w:p w14:paraId="605B4134">
      <w:pPr>
        <w:widowControl/>
        <w:adjustRightInd w:val="0"/>
        <w:snapToGrid w:val="0"/>
        <w:spacing w:line="276" w:lineRule="auto"/>
        <w:jc w:val="left"/>
        <w:rPr>
          <w:rFonts w:hint="eastAsia" w:ascii="宋体" w:hAnsi="宋体"/>
          <w:color w:val="auto"/>
          <w:sz w:val="24"/>
          <w:szCs w:val="20"/>
          <w:highlight w:val="none"/>
        </w:rPr>
      </w:pPr>
      <w:r>
        <w:rPr>
          <w:rFonts w:hint="eastAsia" w:ascii="宋体" w:hAnsi="宋体"/>
          <w:color w:val="auto"/>
          <w:sz w:val="24"/>
          <w:szCs w:val="20"/>
          <w:highlight w:val="none"/>
        </w:rPr>
        <w:t xml:space="preserve">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地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 xml:space="preserve"> 址：</w:t>
      </w:r>
      <w:r>
        <w:rPr>
          <w:rFonts w:hint="default" w:ascii="宋体" w:hAnsi="宋体"/>
          <w:color w:val="auto"/>
          <w:sz w:val="24"/>
          <w:szCs w:val="20"/>
          <w:highlight w:val="none"/>
        </w:rPr>
        <w:t>浦江县环城南路221号</w:t>
      </w:r>
      <w:r>
        <w:rPr>
          <w:rFonts w:hint="eastAsia" w:ascii="宋体" w:hAnsi="宋体"/>
          <w:color w:val="auto"/>
          <w:sz w:val="24"/>
          <w:szCs w:val="20"/>
          <w:highlight w:val="none"/>
        </w:rPr>
        <w:t> </w:t>
      </w:r>
    </w:p>
    <w:p w14:paraId="25696A62">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联系人 ：</w:t>
      </w:r>
      <w:r>
        <w:rPr>
          <w:rFonts w:hint="eastAsia" w:ascii="宋体" w:hAnsi="宋体"/>
          <w:color w:val="auto"/>
          <w:sz w:val="24"/>
          <w:szCs w:val="20"/>
          <w:highlight w:val="none"/>
          <w:lang w:val="en-US" w:eastAsia="zh-CN"/>
        </w:rPr>
        <w:t>郭溢</w:t>
      </w:r>
      <w:r>
        <w:rPr>
          <w:rFonts w:hint="eastAsia" w:ascii="宋体" w:hAnsi="宋体"/>
          <w:color w:val="auto"/>
          <w:sz w:val="24"/>
          <w:szCs w:val="20"/>
          <w:highlight w:val="none"/>
        </w:rPr>
        <w:t> </w:t>
      </w:r>
    </w:p>
    <w:p w14:paraId="3B2C99D7">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监督投诉电话：0579-841</w:t>
      </w:r>
      <w:r>
        <w:rPr>
          <w:rFonts w:hint="eastAsia" w:ascii="宋体" w:hAnsi="宋体"/>
          <w:color w:val="auto"/>
          <w:sz w:val="24"/>
          <w:szCs w:val="20"/>
          <w:highlight w:val="none"/>
          <w:lang w:val="en-US" w:eastAsia="zh-CN"/>
        </w:rPr>
        <w:t>12306</w:t>
      </w:r>
      <w:r>
        <w:rPr>
          <w:rFonts w:hint="eastAsia" w:ascii="宋体" w:hAnsi="宋体"/>
          <w:color w:val="auto"/>
          <w:sz w:val="24"/>
          <w:szCs w:val="20"/>
          <w:highlight w:val="none"/>
        </w:rPr>
        <w:t xml:space="preserve"> </w:t>
      </w:r>
    </w:p>
    <w:p w14:paraId="0D9F481D">
      <w:pPr>
        <w:widowControl/>
        <w:adjustRightInd w:val="0"/>
        <w:snapToGrid w:val="0"/>
        <w:spacing w:line="276" w:lineRule="auto"/>
        <w:ind w:firstLine="480" w:firstLineChars="200"/>
        <w:jc w:val="left"/>
        <w:rPr>
          <w:rFonts w:hint="eastAsia" w:ascii="宋体" w:hAnsi="宋体"/>
          <w:color w:val="auto"/>
          <w:sz w:val="24"/>
          <w:szCs w:val="20"/>
          <w:highlight w:val="none"/>
        </w:rPr>
      </w:pPr>
      <w:bookmarkStart w:id="1" w:name="OLE_LINK1"/>
    </w:p>
    <w:p w14:paraId="6CC53964">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名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 xml:space="preserve"> 称：浦江县人民政府国有资产监督管理办公室 </w:t>
      </w:r>
    </w:p>
    <w:p w14:paraId="62755063">
      <w:pPr>
        <w:widowControl/>
        <w:adjustRightInd w:val="0"/>
        <w:snapToGrid w:val="0"/>
        <w:spacing w:line="276" w:lineRule="auto"/>
        <w:jc w:val="left"/>
        <w:rPr>
          <w:rFonts w:hint="eastAsia" w:ascii="宋体" w:hAnsi="宋体"/>
          <w:color w:val="auto"/>
          <w:sz w:val="24"/>
          <w:szCs w:val="20"/>
          <w:highlight w:val="none"/>
        </w:rPr>
      </w:pPr>
      <w:r>
        <w:rPr>
          <w:rFonts w:hint="eastAsia" w:ascii="宋体" w:hAnsi="宋体"/>
          <w:color w:val="auto"/>
          <w:sz w:val="24"/>
          <w:szCs w:val="20"/>
          <w:highlight w:val="none"/>
        </w:rPr>
        <w:t xml:space="preserve">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地 </w:t>
      </w:r>
      <w:r>
        <w:rPr>
          <w:rFonts w:hint="eastAsia" w:ascii="宋体" w:hAnsi="宋体"/>
          <w:color w:val="auto"/>
          <w:sz w:val="24"/>
          <w:szCs w:val="20"/>
          <w:highlight w:val="none"/>
          <w:lang w:val="en-US" w:eastAsia="zh-CN"/>
        </w:rPr>
        <w:t xml:space="preserve"> </w:t>
      </w:r>
      <w:r>
        <w:rPr>
          <w:rFonts w:hint="eastAsia" w:ascii="宋体" w:hAnsi="宋体"/>
          <w:color w:val="auto"/>
          <w:sz w:val="24"/>
          <w:szCs w:val="20"/>
          <w:highlight w:val="none"/>
        </w:rPr>
        <w:t xml:space="preserve"> 址：浦江县东山路76号 </w:t>
      </w:r>
    </w:p>
    <w:p w14:paraId="10D86673">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联系人 ：张建伟 </w:t>
      </w:r>
    </w:p>
    <w:p w14:paraId="77AE0349">
      <w:pPr>
        <w:widowControl/>
        <w:adjustRightInd w:val="0"/>
        <w:snapToGrid w:val="0"/>
        <w:spacing w:line="276" w:lineRule="auto"/>
        <w:ind w:firstLine="720" w:firstLineChars="300"/>
        <w:jc w:val="left"/>
        <w:rPr>
          <w:rFonts w:hint="eastAsia" w:ascii="宋体" w:hAnsi="宋体"/>
          <w:color w:val="auto"/>
          <w:sz w:val="24"/>
          <w:szCs w:val="20"/>
          <w:highlight w:val="none"/>
        </w:rPr>
      </w:pPr>
      <w:r>
        <w:rPr>
          <w:rFonts w:hint="eastAsia" w:ascii="宋体" w:hAnsi="宋体"/>
          <w:color w:val="auto"/>
          <w:sz w:val="24"/>
          <w:szCs w:val="20"/>
          <w:highlight w:val="none"/>
        </w:rPr>
        <w:t xml:space="preserve">监督投诉电话：0579-84107702 </w:t>
      </w:r>
      <w:bookmarkEnd w:id="1"/>
      <w:r>
        <w:rPr>
          <w:rFonts w:hint="eastAsia" w:ascii="宋体" w:hAnsi="宋体"/>
          <w:color w:val="auto"/>
          <w:sz w:val="24"/>
          <w:szCs w:val="20"/>
          <w:highlight w:val="none"/>
        </w:rPr>
        <w:t xml:space="preserve"> </w:t>
      </w:r>
    </w:p>
    <w:p w14:paraId="72D88CEE">
      <w:pPr>
        <w:widowControl/>
        <w:adjustRightInd w:val="0"/>
        <w:snapToGrid w:val="0"/>
        <w:spacing w:line="276" w:lineRule="auto"/>
        <w:ind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185D2AEC">
      <w:pPr>
        <w:widowControl/>
        <w:adjustRightInd w:val="0"/>
        <w:snapToGrid w:val="0"/>
        <w:spacing w:line="276" w:lineRule="auto"/>
        <w:ind w:firstLine="480" w:firstLineChars="200"/>
        <w:jc w:val="left"/>
        <w:rPr>
          <w:rFonts w:ascii="宋体" w:hAnsi="宋体" w:eastAsia="宋体"/>
          <w:color w:val="auto"/>
          <w:sz w:val="24"/>
          <w:szCs w:val="24"/>
          <w:highlight w:val="none"/>
        </w:rPr>
      </w:pPr>
      <w:r>
        <w:rPr>
          <w:rFonts w:hint="eastAsia" w:ascii="宋体" w:hAnsi="宋体"/>
          <w:color w:val="auto"/>
          <w:sz w:val="24"/>
          <w:szCs w:val="20"/>
          <w:highlight w:val="none"/>
        </w:rPr>
        <w:t>4.系统技术支</w:t>
      </w:r>
      <w:r>
        <w:rPr>
          <w:rFonts w:hint="eastAsia" w:ascii="宋体" w:hAnsi="宋体" w:eastAsia="宋体"/>
          <w:color w:val="auto"/>
          <w:sz w:val="24"/>
          <w:szCs w:val="24"/>
          <w:highlight w:val="none"/>
        </w:rPr>
        <w:t>持：</w:t>
      </w:r>
    </w:p>
    <w:p w14:paraId="1AEE0A41">
      <w:pPr>
        <w:widowControl/>
        <w:adjustRightInd w:val="0"/>
        <w:snapToGrid w:val="0"/>
        <w:spacing w:line="276" w:lineRule="auto"/>
        <w:jc w:val="left"/>
        <w:rPr>
          <w:rFonts w:ascii="宋体" w:hAnsi="宋体"/>
          <w:color w:val="auto"/>
          <w:sz w:val="24"/>
          <w:szCs w:val="20"/>
          <w:highlight w:val="none"/>
        </w:rPr>
      </w:pPr>
      <w:r>
        <w:rPr>
          <w:rFonts w:hint="eastAsia" w:ascii="宋体" w:hAnsi="宋体"/>
          <w:color w:val="auto"/>
          <w:sz w:val="24"/>
          <w:szCs w:val="20"/>
          <w:highlight w:val="none"/>
        </w:rPr>
        <w:t xml:space="preserve">      </w:t>
      </w:r>
      <w:r>
        <w:rPr>
          <w:rFonts w:ascii="宋体" w:hAnsi="宋体"/>
          <w:color w:val="auto"/>
          <w:sz w:val="24"/>
          <w:szCs w:val="20"/>
          <w:highlight w:val="none"/>
        </w:rPr>
        <w:t>名    称：</w:t>
      </w:r>
      <w:r>
        <w:rPr>
          <w:rFonts w:hint="eastAsia" w:ascii="宋体" w:hAnsi="宋体"/>
          <w:color w:val="auto"/>
          <w:sz w:val="24"/>
          <w:szCs w:val="20"/>
          <w:highlight w:val="none"/>
          <w:lang w:eastAsia="zh-CN"/>
        </w:rPr>
        <w:t>乐</w:t>
      </w:r>
      <w:r>
        <w:rPr>
          <w:rFonts w:hint="eastAsia" w:ascii="宋体" w:hAnsi="宋体"/>
          <w:color w:val="auto"/>
          <w:sz w:val="24"/>
          <w:szCs w:val="20"/>
          <w:highlight w:val="none"/>
        </w:rPr>
        <w:t>采云有限公司</w:t>
      </w:r>
      <w:r>
        <w:rPr>
          <w:rFonts w:ascii="宋体" w:hAnsi="宋体"/>
          <w:color w:val="auto"/>
          <w:sz w:val="24"/>
          <w:szCs w:val="20"/>
          <w:highlight w:val="none"/>
        </w:rPr>
        <w:t> </w:t>
      </w:r>
    </w:p>
    <w:p w14:paraId="25FCAF12">
      <w:pPr>
        <w:widowControl/>
        <w:adjustRightInd w:val="0"/>
        <w:snapToGrid w:val="0"/>
        <w:spacing w:line="276" w:lineRule="auto"/>
        <w:jc w:val="left"/>
        <w:rPr>
          <w:rFonts w:ascii="宋体" w:hAnsi="宋体"/>
          <w:color w:val="auto"/>
          <w:sz w:val="24"/>
          <w:szCs w:val="20"/>
          <w:highlight w:val="none"/>
        </w:rPr>
      </w:pPr>
      <w:r>
        <w:rPr>
          <w:rFonts w:ascii="宋体" w:hAnsi="宋体"/>
          <w:color w:val="auto"/>
          <w:sz w:val="24"/>
          <w:szCs w:val="20"/>
          <w:highlight w:val="none"/>
        </w:rPr>
        <w:t>   </w:t>
      </w:r>
      <w:r>
        <w:rPr>
          <w:rFonts w:hint="eastAsia" w:ascii="宋体" w:hAnsi="宋体"/>
          <w:color w:val="auto"/>
          <w:sz w:val="24"/>
          <w:szCs w:val="20"/>
          <w:highlight w:val="none"/>
        </w:rPr>
        <w:t xml:space="preserve"> </w:t>
      </w:r>
      <w:r>
        <w:rPr>
          <w:rFonts w:ascii="宋体" w:hAnsi="宋体"/>
          <w:color w:val="auto"/>
          <w:sz w:val="24"/>
          <w:szCs w:val="20"/>
          <w:highlight w:val="none"/>
        </w:rPr>
        <w:t>联</w:t>
      </w:r>
      <w:r>
        <w:rPr>
          <w:rFonts w:hint="eastAsia" w:ascii="宋体" w:hAnsi="宋体"/>
          <w:color w:val="auto"/>
          <w:sz w:val="24"/>
          <w:szCs w:val="20"/>
          <w:highlight w:val="none"/>
        </w:rPr>
        <w:t xml:space="preserve">  </w:t>
      </w:r>
      <w:r>
        <w:rPr>
          <w:rFonts w:ascii="宋体" w:hAnsi="宋体"/>
          <w:color w:val="auto"/>
          <w:sz w:val="24"/>
          <w:szCs w:val="20"/>
          <w:highlight w:val="none"/>
        </w:rPr>
        <w:t>系</w:t>
      </w:r>
      <w:r>
        <w:rPr>
          <w:rFonts w:hint="eastAsia" w:ascii="宋体" w:hAnsi="宋体"/>
          <w:color w:val="auto"/>
          <w:sz w:val="24"/>
          <w:szCs w:val="20"/>
          <w:highlight w:val="none"/>
        </w:rPr>
        <w:t xml:space="preserve">  </w:t>
      </w:r>
      <w:r>
        <w:rPr>
          <w:rFonts w:ascii="宋体" w:hAnsi="宋体"/>
          <w:color w:val="auto"/>
          <w:sz w:val="24"/>
          <w:szCs w:val="20"/>
          <w:highlight w:val="none"/>
        </w:rPr>
        <w:t>人 ：</w:t>
      </w:r>
      <w:r>
        <w:rPr>
          <w:rFonts w:hint="eastAsia" w:ascii="宋体" w:hAnsi="宋体"/>
          <w:color w:val="auto"/>
          <w:sz w:val="24"/>
          <w:szCs w:val="20"/>
          <w:highlight w:val="none"/>
        </w:rPr>
        <w:t>客服</w:t>
      </w:r>
      <w:r>
        <w:rPr>
          <w:rFonts w:ascii="宋体" w:hAnsi="宋体"/>
          <w:color w:val="auto"/>
          <w:sz w:val="24"/>
          <w:szCs w:val="20"/>
          <w:highlight w:val="none"/>
        </w:rPr>
        <w:t> </w:t>
      </w:r>
    </w:p>
    <w:p w14:paraId="2B1CBA5B">
      <w:pPr>
        <w:adjustRightInd w:val="0"/>
        <w:snapToGrid w:val="0"/>
        <w:spacing w:line="276" w:lineRule="auto"/>
        <w:ind w:firstLine="720" w:firstLineChars="300"/>
        <w:jc w:val="left"/>
        <w:rPr>
          <w:rFonts w:ascii="宋体" w:hAnsi="宋体"/>
          <w:color w:val="auto"/>
          <w:sz w:val="24"/>
          <w:szCs w:val="20"/>
          <w:highlight w:val="none"/>
        </w:rPr>
      </w:pPr>
      <w:r>
        <w:rPr>
          <w:rFonts w:hint="eastAsia" w:ascii="宋体" w:hAnsi="宋体"/>
          <w:color w:val="auto"/>
          <w:sz w:val="24"/>
          <w:szCs w:val="20"/>
          <w:highlight w:val="none"/>
        </w:rPr>
        <w:t xml:space="preserve">联 系 </w:t>
      </w:r>
      <w:r>
        <w:rPr>
          <w:rFonts w:ascii="宋体" w:hAnsi="宋体"/>
          <w:color w:val="auto"/>
          <w:sz w:val="24"/>
          <w:szCs w:val="20"/>
          <w:highlight w:val="none"/>
        </w:rPr>
        <w:t>电</w:t>
      </w:r>
      <w:r>
        <w:rPr>
          <w:rFonts w:hint="eastAsia" w:ascii="宋体" w:hAnsi="宋体"/>
          <w:color w:val="auto"/>
          <w:sz w:val="24"/>
          <w:szCs w:val="20"/>
          <w:highlight w:val="none"/>
        </w:rPr>
        <w:t xml:space="preserve"> </w:t>
      </w:r>
      <w:r>
        <w:rPr>
          <w:rFonts w:ascii="宋体" w:hAnsi="宋体"/>
          <w:color w:val="auto"/>
          <w:sz w:val="24"/>
          <w:szCs w:val="20"/>
          <w:highlight w:val="none"/>
        </w:rPr>
        <w:t>话：</w:t>
      </w:r>
      <w:r>
        <w:rPr>
          <w:rFonts w:hint="eastAsia" w:ascii="宋体" w:hAnsi="宋体"/>
          <w:color w:val="auto"/>
          <w:sz w:val="24"/>
          <w:szCs w:val="20"/>
          <w:highlight w:val="none"/>
        </w:rPr>
        <w:t>95763</w:t>
      </w:r>
    </w:p>
    <w:p w14:paraId="00B5A7FD">
      <w:pPr>
        <w:adjustRightInd w:val="0"/>
        <w:snapToGrid w:val="0"/>
        <w:spacing w:line="276" w:lineRule="auto"/>
        <w:ind w:firstLine="720" w:firstLineChars="300"/>
        <w:jc w:val="left"/>
        <w:rPr>
          <w:rFonts w:ascii="宋体" w:hAnsi="宋体"/>
          <w:color w:val="auto"/>
          <w:sz w:val="24"/>
          <w:szCs w:val="20"/>
          <w:highlight w:val="none"/>
        </w:rPr>
      </w:pPr>
    </w:p>
    <w:p w14:paraId="7818959D">
      <w:pPr>
        <w:spacing w:line="360" w:lineRule="auto"/>
        <w:ind w:firstLine="480"/>
        <w:jc w:val="left"/>
        <w:rPr>
          <w:rFonts w:ascii="宋体" w:hAnsi="宋体" w:eastAsia="宋体"/>
          <w:color w:val="auto"/>
          <w:sz w:val="24"/>
          <w:szCs w:val="24"/>
          <w:highlight w:val="none"/>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15F608EE">
      <w:pPr>
        <w:pStyle w:val="2"/>
        <w:spacing w:before="160" w:after="160"/>
        <w:jc w:val="center"/>
        <w:rPr>
          <w:color w:val="auto"/>
          <w:highlight w:val="none"/>
        </w:rPr>
      </w:pPr>
      <w:bookmarkStart w:id="2" w:name="_Toc25477"/>
      <w:r>
        <w:rPr>
          <w:rFonts w:hint="eastAsia"/>
          <w:color w:val="auto"/>
          <w:highlight w:val="none"/>
        </w:rPr>
        <w:t>第二章 采购需求</w:t>
      </w:r>
      <w:bookmarkEnd w:id="2"/>
    </w:p>
    <w:p w14:paraId="37B3D8B5">
      <w:pPr>
        <w:adjustRightInd w:val="0"/>
        <w:snapToGrid w:val="0"/>
        <w:spacing w:line="440" w:lineRule="exact"/>
        <w:ind w:firstLine="480" w:firstLineChars="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color w:val="auto"/>
          <w:highlight w:val="none"/>
        </w:rPr>
        <w:t>“▲” 系指实质性要求条款，如响应方未响应，将被视为无效。</w:t>
      </w:r>
      <w:r>
        <w:rPr>
          <w:rFonts w:hint="eastAsia" w:ascii="宋体" w:hAnsi="宋体" w:eastAsia="宋体"/>
          <w:color w:val="auto"/>
          <w:sz w:val="24"/>
          <w:szCs w:val="24"/>
          <w:highlight w:val="none"/>
        </w:rPr>
        <w:t>）</w:t>
      </w:r>
    </w:p>
    <w:p w14:paraId="352C47C8">
      <w:pPr>
        <w:pStyle w:val="3"/>
        <w:spacing w:before="0" w:after="0" w:line="360" w:lineRule="auto"/>
        <w:ind w:firstLine="424" w:firstLineChars="151"/>
        <w:rPr>
          <w:rFonts w:hint="eastAsia" w:eastAsiaTheme="majorEastAsia"/>
          <w:color w:val="auto"/>
          <w:sz w:val="28"/>
          <w:highlight w:val="none"/>
          <w:lang w:eastAsia="zh-CN"/>
        </w:rPr>
      </w:pPr>
      <w:bookmarkStart w:id="3" w:name="_Hlk121842464"/>
      <w:r>
        <w:rPr>
          <w:rFonts w:hint="eastAsia"/>
          <w:color w:val="auto"/>
          <w:sz w:val="28"/>
          <w:highlight w:val="none"/>
        </w:rPr>
        <w:t>一、</w:t>
      </w:r>
      <w:r>
        <w:rPr>
          <w:rFonts w:hint="eastAsia"/>
          <w:color w:val="auto"/>
          <w:sz w:val="28"/>
          <w:highlight w:val="none"/>
          <w:lang w:eastAsia="zh-CN"/>
        </w:rPr>
        <w:t>项目概况</w:t>
      </w:r>
    </w:p>
    <w:p w14:paraId="71BE318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浦江龙耀交通资源投资有限公司</w:t>
      </w:r>
      <w:r>
        <w:rPr>
          <w:rFonts w:hint="eastAsia" w:ascii="仿宋_GB2312" w:hAnsi="仿宋_GB2312" w:eastAsia="仿宋_GB2312" w:cs="仿宋_GB2312"/>
          <w:color w:val="auto"/>
          <w:sz w:val="28"/>
          <w:szCs w:val="28"/>
          <w:highlight w:val="none"/>
        </w:rPr>
        <w:t>拟通过框架协议的采购方式确定浦江县202</w:t>
      </w:r>
      <w:r>
        <w:rPr>
          <w:rFonts w:hint="eastAsia" w:ascii="仿宋_GB2312" w:hAnsi="仿宋_GB2312" w:eastAsia="仿宋_GB2312" w:cs="仿宋_GB2312"/>
          <w:color w:val="auto"/>
          <w:sz w:val="28"/>
          <w:szCs w:val="28"/>
          <w:highlight w:val="none"/>
          <w:lang w:val="en-US" w:eastAsia="zh-CN"/>
        </w:rPr>
        <w:t>4-2026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度</w:t>
      </w:r>
      <w:r>
        <w:rPr>
          <w:rFonts w:hint="eastAsia" w:ascii="仿宋_GB2312" w:hAnsi="仿宋_GB2312" w:eastAsia="仿宋_GB2312" w:cs="仿宋_GB2312"/>
          <w:color w:val="auto"/>
          <w:sz w:val="28"/>
          <w:szCs w:val="28"/>
          <w:highlight w:val="none"/>
        </w:rPr>
        <w:t>地质灾害治理工程</w:t>
      </w:r>
      <w:r>
        <w:rPr>
          <w:rFonts w:hint="eastAsia" w:ascii="仿宋_GB2312" w:hAnsi="仿宋_GB2312" w:eastAsia="仿宋_GB2312" w:cs="仿宋_GB2312"/>
          <w:color w:val="auto"/>
          <w:sz w:val="28"/>
          <w:szCs w:val="28"/>
          <w:highlight w:val="none"/>
          <w:lang w:eastAsia="zh-CN"/>
        </w:rPr>
        <w:t>建设项目小额配套服务（监理</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单位，从事</w:t>
      </w:r>
      <w:r>
        <w:rPr>
          <w:rFonts w:hint="eastAsia" w:ascii="仿宋_GB2312" w:hAnsi="仿宋_GB2312" w:eastAsia="仿宋_GB2312" w:cs="仿宋_GB2312"/>
          <w:color w:val="auto"/>
          <w:sz w:val="28"/>
          <w:szCs w:val="28"/>
          <w:highlight w:val="none"/>
          <w:lang w:val="en-US" w:eastAsia="zh-CN"/>
        </w:rPr>
        <w:t>包括全县范围内单项合同估算价在100万元（不含）以下的地质灾害治理工程监理服务</w:t>
      </w:r>
      <w:r>
        <w:rPr>
          <w:rFonts w:hint="eastAsia" w:ascii="仿宋_GB2312" w:hAnsi="仿宋_GB2312" w:eastAsia="仿宋_GB2312" w:cs="仿宋_GB2312"/>
          <w:color w:val="auto"/>
          <w:sz w:val="28"/>
          <w:szCs w:val="28"/>
          <w:highlight w:val="none"/>
        </w:rPr>
        <w:t>。</w:t>
      </w:r>
    </w:p>
    <w:p w14:paraId="6CB7670A">
      <w:pPr>
        <w:pStyle w:val="3"/>
        <w:numPr>
          <w:ilvl w:val="0"/>
          <w:numId w:val="1"/>
        </w:numPr>
        <w:spacing w:before="0" w:after="0" w:line="360" w:lineRule="auto"/>
        <w:ind w:firstLine="424" w:firstLineChars="151"/>
        <w:rPr>
          <w:rFonts w:hint="eastAsia"/>
          <w:color w:val="auto"/>
          <w:sz w:val="28"/>
          <w:highlight w:val="none"/>
        </w:rPr>
      </w:pPr>
      <w:r>
        <w:rPr>
          <w:rFonts w:hint="eastAsia"/>
          <w:color w:val="auto"/>
          <w:sz w:val="28"/>
          <w:highlight w:val="none"/>
        </w:rPr>
        <w:t>服务</w:t>
      </w:r>
      <w:r>
        <w:rPr>
          <w:rFonts w:hint="eastAsia"/>
          <w:color w:val="auto"/>
          <w:sz w:val="28"/>
          <w:highlight w:val="none"/>
          <w:lang w:eastAsia="zh-CN"/>
        </w:rPr>
        <w:t>范围及</w:t>
      </w:r>
      <w:r>
        <w:rPr>
          <w:rFonts w:hint="eastAsia"/>
          <w:color w:val="auto"/>
          <w:sz w:val="28"/>
          <w:highlight w:val="none"/>
        </w:rPr>
        <w:t>内容（包括但不限于）</w:t>
      </w:r>
      <w:r>
        <w:rPr>
          <w:rFonts w:hint="eastAsia"/>
          <w:color w:val="auto"/>
          <w:sz w:val="28"/>
          <w:highlight w:val="none"/>
          <w:lang w:eastAsia="zh-CN"/>
        </w:rPr>
        <w:t>：</w:t>
      </w:r>
    </w:p>
    <w:p w14:paraId="3D436239">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工程监理工作范围（包含但不限于）：工程实施过程中的质量控制、进度控制、投资控制、变更控制、组织协调、合同管理、信息管理、安全管理，协调工程项目建设单位与工程建设有关各方的工作关系，以及工作缺陷责任期内等所有的建设内容的全过程监理工作。具体监理项目根据征集人委托确认。</w:t>
      </w:r>
    </w:p>
    <w:p w14:paraId="36699FE4">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（二）工程监理服务内容（包含但不限于）：</w:t>
      </w:r>
    </w:p>
    <w:p w14:paraId="2E0980F1">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监理人派出与工程规模相适应的监理班子，做好工程的监理工作。监理人必须按照国家和有关建设工程监理规定进行监理，代表建设单位对工程建设进行全过程、全方位监理,监理人按自行职责对工程质量终身负责。</w:t>
      </w:r>
    </w:p>
    <w:p w14:paraId="237BFBB6">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2、监理工作人员不得与承包本工程的有关承包人及其施工管理人员及材料设备供应商发生经济利益关系。</w:t>
      </w:r>
    </w:p>
    <w:p w14:paraId="5CFB9284">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3、监理人应配备经验丰富的专业技术人员审核施工图纸的设计质量，对设计存在的不合理、不完整、不准确、不安全等情况应及时书面向建设单位和设计单位提出修正意见。</w:t>
      </w:r>
    </w:p>
    <w:p w14:paraId="0FAE35A9">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严把施工质量关。监理人应按施工进度编制监理规划和各专业及分部施工实施细则。掌握好各个施工环节，在整个施工过程中要认真检查、督促施工单位严格执行国家和省颁布的有关施工验收规范和工程技术标准，并根据施工工序进行全程旁站监理、拍照存档，杜绝偷工减料和粗制滥造。</w:t>
      </w:r>
    </w:p>
    <w:p w14:paraId="555A25EB">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5、审核施工进度计划，并在实施过程中检查、督促承包商严格按照合同和施工规范、工程技术标准、设计要求进行施工，监督承包商现场施工管理。</w:t>
      </w:r>
    </w:p>
    <w:p w14:paraId="7B6006C2">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6、协助建设单位做好开工前准备，审批开工报告，复核红线，经业主同意下达开工令。</w:t>
      </w:r>
    </w:p>
    <w:p w14:paraId="52063B42">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7、审查承包商采购清单及样品的品牌、质量和价格，检查工程使用材料、构件、设备的规格、质量与数量。督促承包商编制材料的供需计划，协助业主安排甲供材料的供应计划。</w:t>
      </w:r>
    </w:p>
    <w:p w14:paraId="451D76D0">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8、按建设单位意见，办理设计与施工变更联系单，把好监理关，并负责对施工变更的签证、复核，主持施工图交底，参与设计变更的签证。</w:t>
      </w:r>
    </w:p>
    <w:p w14:paraId="79AD9BAA">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9、主持召开工程协调会议，并做好会议纪要，调解有关工程建设各种合同争议，处理索赔事项。</w:t>
      </w:r>
    </w:p>
    <w:p w14:paraId="25495415">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10、检查安全防护措施和文明施工,检查督促工程进度、施工质量。</w:t>
      </w:r>
    </w:p>
    <w:p w14:paraId="724FFA92">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11、督促施工方及时整理技术资料及竣工验收资料。</w:t>
      </w:r>
    </w:p>
    <w:p w14:paraId="67E66706">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12、协助建设单位对工程投资进行控制，对施工单位提出的付款申请进行审核签发，参加审核工程结算，协助建设单位审核工程造价，努力降低工程费用。</w:t>
      </w:r>
    </w:p>
    <w:p w14:paraId="43D3911F">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13、做好工程项目监理总结，及时提供完整的监理资料（一式二份原件），定期编制监理简报。</w:t>
      </w:r>
    </w:p>
    <w:p w14:paraId="6EA80694">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14、负责隐蔽工程、分部、分项工程和工程计量工作，协助建设单位组织竣工初验和竣工验收，提交竣工验收报告。</w:t>
      </w:r>
    </w:p>
    <w:p w14:paraId="5288626C">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15、负责各种技术资料的收集、整理工作，及时提供完整的施工技术档案资料一式三份原件。</w:t>
      </w:r>
    </w:p>
    <w:p w14:paraId="1663A95A">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4F1B8FC8">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17、完成监理规范要求的其他工作内容。</w:t>
      </w:r>
    </w:p>
    <w:p w14:paraId="2F17D813">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（三）</w:t>
      </w:r>
      <w:r>
        <w:rPr>
          <w:rFonts w:hint="eastAsia" w:ascii="Times New Roman" w:hAnsi="Times New Roman" w:eastAsia="仿宋_GB2312" w:cs="Times New Roman"/>
          <w:b w:val="0"/>
          <w:bCs w:val="0"/>
          <w:color w:val="auto"/>
          <w:sz w:val="32"/>
          <w:szCs w:val="32"/>
          <w:highlight w:val="none"/>
          <w:lang w:val="en-US" w:eastAsia="zh-CN"/>
        </w:rPr>
        <w:t>项目成果</w:t>
      </w:r>
    </w:p>
    <w:p w14:paraId="065957C5">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1、成果报告：质量评估报告、监理合同、监理会议纪要、监理日志、建设单位要求提供的有关文件及资料。</w:t>
      </w:r>
    </w:p>
    <w:p w14:paraId="3780BAFC">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2、成果报告份数：具体文件、资料、份数等成果及数量以建设单位实际要求为准。</w:t>
      </w:r>
    </w:p>
    <w:p w14:paraId="1E01B319">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（四）具体服务要求</w:t>
      </w:r>
    </w:p>
    <w:p w14:paraId="7A825E0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1、监理单位应组建满足工作需要的项目监理机构，配备必要的检测设备。项目监理机构的主要人员应具有相应的资格条件。</w:t>
      </w:r>
    </w:p>
    <w:p w14:paraId="78E029A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总监理工程师及重要岗位监理人员应保持相对稳定，以保证监理工作正常进行，未经征集人书面同意，不得更换前述工作人员；监理单位可根据工程进展和工作需要调整项目监理机构人员，监理单位更换项目监理机构其他监理人员，应先书面通知征集人，经征集人书面确认同意后方可更换或调整，并且更换或调整人员的资格与能力应当不低于原有人员，且满足该阶段项目监理工作的要求。</w:t>
      </w:r>
    </w:p>
    <w:p w14:paraId="6778236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3、因工程项目进展需要，征集人提出增加管理人员时，监理方必须保证及时补充符合要求的监理人员。</w:t>
      </w:r>
    </w:p>
    <w:p w14:paraId="10C61DF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监理单位在监理过程中应独立地进行检测、检验、试验工作，即施工单位须做的检测、检验、试验项目，经过监理单位的旁站见证或独立检测、检验、试验后，能足以客观反映施工单位所做的检测、检验、试验项目数据及工程质量的真实情况。</w:t>
      </w:r>
    </w:p>
    <w:p w14:paraId="6401E42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监理单位在监理过程中不得使用施工单位的任何仪器、设备，不得使用施工单位的任何技术资料，不得与施工单位送到同一检测中心（站）进行检测。施工过程中的各类测量复核、设备安装等检测测试工作，均应按国家相关规定组织实施，监理单位与施工单位的测试数据不得相互套用。</w:t>
      </w:r>
    </w:p>
    <w:p w14:paraId="4F0D494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6、监理单位提供的资料需满足征集人针对工程档案资料提交的相关要求与规定。</w:t>
      </w:r>
    </w:p>
    <w:p w14:paraId="1025AD9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7、如因监理单位过失而造成征集人的经济损失，应当向征集人进行赔偿。</w:t>
      </w:r>
    </w:p>
    <w:p w14:paraId="6C79363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8、如监理单位对施工单位上报的已完工作量未能准确复核，并签署了与实际不符的工作量的工程进度付款凭证，征集人将追究其责任，对由此造成的损失应当向征集人进行赔偿。</w:t>
      </w:r>
    </w:p>
    <w:p w14:paraId="43D161F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9、项目监理机构人员必须严格按照国家、行业及有关要求履行职责，必须严格实行考勤制度，保证人员到岗到位。施工期间，专业监理工程师必须到岗，实行考勤与抽查相结合的办法。</w:t>
      </w:r>
    </w:p>
    <w:p w14:paraId="0FAA6B5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根据监理规范必须旁站的关键部位及关键工序须有专业监理工程师或总监进行旁站，并做好旁站、隐蔽工程记录及监理日记，记录可用文字及影像的形式。专业监理工程师除了每天必须进行巡查外，须督促施工单位严格按图施工，发现问题及时处理，并报总监及发包人现场管理人员。</w:t>
      </w:r>
    </w:p>
    <w:p w14:paraId="2F03556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11、监理到岗人员必须与响应文件中的人员相一致，原则上不允许更换，如有特殊情况，必须书面报告发包方，经发包方同意后方可更换。</w:t>
      </w:r>
    </w:p>
    <w:p w14:paraId="487C0B7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加强对施工中安全问题的监督，如施工中发现安全隐患，应及时向业主报告，并及时要求施工单位整改。因监理工作不到位引起施工安全问题的，或造成施工安全事故的，根据服务单位管理细则进行处罚，并提请行政主管部门依法处理。</w:t>
      </w:r>
    </w:p>
    <w:p w14:paraId="4DC051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13、监理人员在审核工程洽商、设计变更单、工程变更单时应及时认真对照施工合同、施工图纸、现场监理记录、预算及市场价格等，确保工程量属实，工程费用合理合规。</w:t>
      </w:r>
    </w:p>
    <w:p w14:paraId="61549CC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14、报告要求</w:t>
      </w:r>
    </w:p>
    <w:p w14:paraId="7A56F2E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监理人应提交报告的种类(包括监理规划、监理月报及约定的专项报告)、时间和份数：  </w:t>
      </w:r>
    </w:p>
    <w:p w14:paraId="6CA23E7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监理规划可在签订监理合同及收到工程设计文件后由总监理工程师组织编制，并应在召开第一次工地会议前报送建设单位；</w:t>
      </w:r>
    </w:p>
    <w:p w14:paraId="1DE4D35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监理月报由项目监理机构每月初向建设单位提交的建设工程监理工作及建设工程实施情况等分析总结报告；</w:t>
      </w:r>
    </w:p>
    <w:p w14:paraId="3B9BC0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监理月报应包括下列主要内容：</w:t>
      </w:r>
    </w:p>
    <w:p w14:paraId="3604426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（1）本月工程实施情况；</w:t>
      </w:r>
    </w:p>
    <w:p w14:paraId="7241FC4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（2）本月监理工作情况；</w:t>
      </w:r>
    </w:p>
    <w:p w14:paraId="429E41D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（3）本月施工中存在的问题及处理情况；</w:t>
      </w:r>
    </w:p>
    <w:p w14:paraId="58563C4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（4）下月监理工作重点。</w:t>
      </w:r>
    </w:p>
    <w:p w14:paraId="5BD3800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本月月报工作实施情况包括以下具体内容：</w:t>
      </w:r>
    </w:p>
    <w:p w14:paraId="15E3EB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（1）工程进展情况，实际进度与计划进度的比较，施工单位人、机、料进场及使用情况，本期在施部位的工程照片；</w:t>
      </w:r>
    </w:p>
    <w:p w14:paraId="6F4E8C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（2）工程质量情况，分项分部工程验收情况，工程材料、设备、构配件进场检验情况，主要施工试验情况，本月工程质量分析；</w:t>
      </w:r>
    </w:p>
    <w:p w14:paraId="63D194B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（3）施工单位安全生产管理工作评述；</w:t>
      </w:r>
    </w:p>
    <w:p w14:paraId="572BAEC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（4）已完工程量与已付工程款的统计及说明。</w:t>
      </w:r>
    </w:p>
    <w:p w14:paraId="0EC397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本月监理工程情况包括以下具体内容：</w:t>
      </w:r>
    </w:p>
    <w:p w14:paraId="3EDBCD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（1）工程进度控制方面的工作情况；</w:t>
      </w:r>
    </w:p>
    <w:p w14:paraId="6300B28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（2）工程质量控制方面的工作情况；</w:t>
      </w:r>
    </w:p>
    <w:p w14:paraId="4DB11F6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（3）安全生产管理方面的工作情况；</w:t>
      </w:r>
    </w:p>
    <w:p w14:paraId="5FA82CB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（4）工程计量与工程款支付方面的工作情况；</w:t>
      </w:r>
    </w:p>
    <w:p w14:paraId="57711B7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（5）合同其他事项的管理工作情况；</w:t>
      </w:r>
    </w:p>
    <w:p w14:paraId="05EC660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（6）监理工作统计及工作照片。</w:t>
      </w:r>
    </w:p>
    <w:p w14:paraId="4FC7A38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本月施工中存在的问题及处理情况包括以下具体内容：</w:t>
      </w:r>
    </w:p>
    <w:p w14:paraId="7CBF06C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（1）工程进度控制方面的主要问题分析及处理情况；</w:t>
      </w:r>
    </w:p>
    <w:p w14:paraId="06449A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（2）工程质量控制方面的主要问题分析及处理情况；</w:t>
      </w:r>
    </w:p>
    <w:p w14:paraId="261DA3A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（3）施工单位安全生产管理方面的主要问题分析及处理情况；</w:t>
      </w:r>
    </w:p>
    <w:p w14:paraId="72A8BA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（4）工程计量与工程款支付方面的主要问题分析及处理情况；</w:t>
      </w:r>
    </w:p>
    <w:p w14:paraId="044D6E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（5）合同其他事项管理方面的主要问题分析及处理情况；</w:t>
      </w:r>
    </w:p>
    <w:p w14:paraId="5C8F35A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下月监理工作重点包括以下具体内容：</w:t>
      </w:r>
    </w:p>
    <w:p w14:paraId="4A555A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（1）在工程管理方面的监理工作重点；</w:t>
      </w:r>
    </w:p>
    <w:p w14:paraId="25E6A0D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（2）在项目监理机构内部管理方面的工作重点。</w:t>
      </w:r>
    </w:p>
    <w:p w14:paraId="07541BF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（五）考核</w:t>
      </w:r>
    </w:p>
    <w:p w14:paraId="2CFA17DF">
      <w:pPr>
        <w:autoSpaceDE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将按《浦江龙耀交通资源投资有限公司</w:t>
      </w:r>
      <w:r>
        <w:rPr>
          <w:rFonts w:hint="eastAsia" w:ascii="仿宋_GB2312" w:hAnsi="仿宋_GB2312" w:eastAsia="仿宋_GB2312" w:cs="仿宋_GB2312"/>
          <w:color w:val="auto"/>
          <w:sz w:val="28"/>
          <w:szCs w:val="28"/>
          <w:highlight w:val="none"/>
          <w:lang w:val="en-US" w:eastAsia="zh-CN"/>
        </w:rPr>
        <w:t>年度框架协议服务供应商管理办法</w:t>
      </w:r>
      <w:r>
        <w:rPr>
          <w:rFonts w:hint="eastAsia" w:ascii="仿宋_GB2312" w:hAnsi="仿宋_GB2312" w:eastAsia="仿宋_GB2312" w:cs="仿宋_GB2312"/>
          <w:color w:val="auto"/>
          <w:sz w:val="28"/>
          <w:szCs w:val="28"/>
          <w:highlight w:val="none"/>
        </w:rPr>
        <w:t>》的要求对供应商的服务进行考核及奖惩。</w:t>
      </w:r>
    </w:p>
    <w:p w14:paraId="2D8F672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（六）验收</w:t>
      </w:r>
    </w:p>
    <w:p w14:paraId="2D84ADB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严格遵循国家和行业质量验收相关规范、标准执行。</w:t>
      </w:r>
    </w:p>
    <w:p w14:paraId="5FD29DA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（七）收费标准及结算方式</w:t>
      </w:r>
    </w:p>
    <w:p w14:paraId="24F6E5F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1、收费标准：实际结算价=施工预算审定造价×第二次报价（不得超过入围时第一次报价），计费额以单个施工项目合同价为准。</w:t>
      </w:r>
    </w:p>
    <w:p w14:paraId="4048656B">
      <w:pPr>
        <w:autoSpaceDE w:val="0"/>
        <w:spacing w:line="5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2、结算方式：工程施工完成合同工程量的50％，支付合同金额的40%；工程通过完工验收后支付至合同金额的85%；剩余15%待工程通过竣工验收后支付。</w:t>
      </w:r>
      <w:r>
        <w:rPr>
          <w:rFonts w:hint="eastAsia" w:ascii="仿宋_GB2312" w:hAnsi="仿宋_GB2312" w:eastAsia="仿宋_GB2312" w:cs="仿宋_GB2312"/>
          <w:b/>
          <w:bCs/>
          <w:color w:val="auto"/>
          <w:sz w:val="28"/>
          <w:szCs w:val="28"/>
          <w:highlight w:val="none"/>
          <w:lang w:eastAsia="zh-CN"/>
        </w:rPr>
        <w:t>最终结算价如超过行业收费标准计费的</w:t>
      </w:r>
      <w:r>
        <w:rPr>
          <w:rFonts w:hint="eastAsia" w:ascii="仿宋_GB2312" w:hAnsi="仿宋_GB2312" w:eastAsia="仿宋_GB2312" w:cs="仿宋_GB2312"/>
          <w:b/>
          <w:bCs/>
          <w:color w:val="auto"/>
          <w:sz w:val="28"/>
          <w:szCs w:val="28"/>
          <w:highlight w:val="none"/>
          <w:lang w:val="en-US" w:eastAsia="zh-CN"/>
        </w:rPr>
        <w:t>60%的按60%结算。行业收费标准参照《地质灾害治理工程监理预算标准(试行)》T/CAGHP015-2018执行。</w:t>
      </w:r>
    </w:p>
    <w:p w14:paraId="68BF8841">
      <w:pPr>
        <w:pStyle w:val="3"/>
        <w:numPr>
          <w:ilvl w:val="0"/>
          <w:numId w:val="1"/>
        </w:numPr>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入围数量</w:t>
      </w:r>
    </w:p>
    <w:p w14:paraId="25A67B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根据评审结果，本次采购根据征集文件规定的淘汰率 </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0 %确定，且</w:t>
      </w:r>
      <w:r>
        <w:rPr>
          <w:rFonts w:hint="eastAsia" w:ascii="仿宋_GB2312" w:hAnsi="仿宋_GB2312" w:eastAsia="仿宋_GB2312" w:cs="仿宋_GB2312"/>
          <w:color w:val="auto"/>
          <w:sz w:val="28"/>
          <w:szCs w:val="28"/>
          <w:highlight w:val="none"/>
          <w:lang w:eastAsia="zh-CN"/>
        </w:rPr>
        <w:t>浦江县2024-2026年度地质灾害治理工程建设项目小额配套服务（监理)封闭式框架协议项目，至少</w:t>
      </w:r>
      <w:r>
        <w:rPr>
          <w:rFonts w:hint="eastAsia" w:ascii="仿宋_GB2312" w:hAnsi="仿宋_GB2312" w:eastAsia="仿宋_GB2312" w:cs="仿宋_GB2312"/>
          <w:color w:val="auto"/>
          <w:sz w:val="28"/>
          <w:szCs w:val="28"/>
          <w:highlight w:val="none"/>
        </w:rPr>
        <w:t>入围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家，至多</w:t>
      </w:r>
      <w:r>
        <w:rPr>
          <w:rFonts w:hint="eastAsia" w:ascii="仿宋_GB2312" w:hAnsi="仿宋_GB2312" w:eastAsia="仿宋_GB2312" w:cs="仿宋_GB2312"/>
          <w:color w:val="auto"/>
          <w:sz w:val="28"/>
          <w:szCs w:val="28"/>
          <w:highlight w:val="none"/>
        </w:rPr>
        <w:t>入围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家。</w:t>
      </w:r>
    </w:p>
    <w:p w14:paraId="4F4D7EEC">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四、服务期限</w:t>
      </w:r>
    </w:p>
    <w:p w14:paraId="5D560B13">
      <w:pPr>
        <w:spacing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lang w:eastAsia="zh-CN"/>
        </w:rPr>
        <w:t>自框架协议期限合同签订之日起二年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具体项目及工期根据每个项目施工合同中确定</w:t>
      </w:r>
      <w:r>
        <w:rPr>
          <w:rFonts w:hint="eastAsia" w:ascii="仿宋_GB2312" w:hAnsi="仿宋_GB2312" w:eastAsia="仿宋_GB2312" w:cs="仿宋_GB2312"/>
          <w:color w:val="auto"/>
          <w:sz w:val="28"/>
          <w:szCs w:val="28"/>
          <w:highlight w:val="none"/>
        </w:rPr>
        <w:t>）。</w:t>
      </w:r>
    </w:p>
    <w:p w14:paraId="0CEC23D7">
      <w:pPr>
        <w:pStyle w:val="3"/>
        <w:numPr>
          <w:ilvl w:val="0"/>
          <w:numId w:val="0"/>
        </w:numPr>
        <w:spacing w:before="0" w:after="0"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五、服务要求</w:t>
      </w:r>
    </w:p>
    <w:p w14:paraId="2E82F6FD">
      <w:pPr>
        <w:pStyle w:val="1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（一）</w:t>
      </w:r>
      <w:r>
        <w:rPr>
          <w:rFonts w:hint="eastAsia" w:ascii="仿宋_GB2312" w:hAnsi="仿宋_GB2312" w:eastAsia="仿宋_GB2312" w:cs="仿宋_GB2312"/>
          <w:color w:val="auto"/>
          <w:sz w:val="28"/>
          <w:szCs w:val="28"/>
          <w:highlight w:val="none"/>
        </w:rPr>
        <w:t>服务人员要求：</w:t>
      </w:r>
    </w:p>
    <w:p w14:paraId="527C11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▲1.拟派项目</w:t>
      </w:r>
      <w:r>
        <w:rPr>
          <w:rFonts w:hint="eastAsia" w:ascii="仿宋_GB2312" w:hAnsi="仿宋_GB2312" w:eastAsia="仿宋_GB2312" w:cs="仿宋_GB2312"/>
          <w:b/>
          <w:bCs/>
          <w:color w:val="auto"/>
          <w:sz w:val="28"/>
          <w:szCs w:val="28"/>
          <w:highlight w:val="none"/>
          <w:lang w:eastAsia="zh-CN"/>
        </w:rPr>
        <w:t>总监理工程师</w:t>
      </w:r>
      <w:r>
        <w:rPr>
          <w:rFonts w:hint="eastAsia" w:ascii="仿宋_GB2312" w:hAnsi="仿宋_GB2312" w:eastAsia="仿宋_GB2312" w:cs="仿宋_GB2312"/>
          <w:b/>
          <w:bCs/>
          <w:color w:val="auto"/>
          <w:sz w:val="28"/>
          <w:szCs w:val="28"/>
          <w:highlight w:val="none"/>
        </w:rPr>
        <w:t>1人，</w:t>
      </w:r>
      <w:r>
        <w:rPr>
          <w:rFonts w:hint="eastAsia" w:ascii="仿宋_GB2312" w:hAnsi="仿宋_GB2312" w:eastAsia="仿宋_GB2312" w:cs="仿宋_GB2312"/>
          <w:b/>
          <w:bCs/>
          <w:color w:val="auto"/>
          <w:sz w:val="28"/>
          <w:szCs w:val="28"/>
          <w:highlight w:val="none"/>
          <w:lang w:val="en-US" w:eastAsia="zh-CN"/>
        </w:rPr>
        <w:t>监理员</w:t>
      </w:r>
      <w:r>
        <w:rPr>
          <w:rFonts w:hint="eastAsia" w:ascii="仿宋_GB2312" w:hAnsi="仿宋_GB2312" w:eastAsia="仿宋_GB2312" w:cs="仿宋_GB2312"/>
          <w:b/>
          <w:bCs/>
          <w:color w:val="auto"/>
          <w:sz w:val="28"/>
          <w:szCs w:val="28"/>
          <w:highlight w:val="none"/>
        </w:rPr>
        <w:t>不少于</w:t>
      </w:r>
      <w:r>
        <w:rPr>
          <w:rFonts w:hint="eastAsia" w:ascii="仿宋_GB2312" w:hAnsi="仿宋_GB2312" w:eastAsia="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rPr>
        <w:t>人</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且需持有地质灾害培训证书</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拟派</w:t>
      </w:r>
      <w:r>
        <w:rPr>
          <w:rFonts w:hint="eastAsia" w:ascii="仿宋_GB2312" w:hAnsi="仿宋_GB2312" w:eastAsia="仿宋_GB2312" w:cs="仿宋_GB2312"/>
          <w:b/>
          <w:bCs/>
          <w:color w:val="auto"/>
          <w:sz w:val="28"/>
          <w:szCs w:val="28"/>
          <w:highlight w:val="none"/>
        </w:rPr>
        <w:t>人员必须为供应商正式职工。</w:t>
      </w:r>
    </w:p>
    <w:p w14:paraId="4D6A5D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2、若入围供应商不能满足征集人对项目监理人员配备的要求，征集人有权取消其入围资格。</w:t>
      </w:r>
    </w:p>
    <w:p w14:paraId="0245407C">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3、响应供应商拟派总监应无在建项目，否则征集人有权拒绝响应供应商参与本次采购活动或取消其入围资格，并记入不良行为记录。注：“在建项目”的起止时间界定：监理合同段中标通知书发出之日（不通过招标方式，开始时间为合同签订之日）起至监理合同所辖施工标段均通过交工验收之日（或监理合同解除之日）止。乡镇（街道）、部门（国企）年度监理项目视作“在建项目”。预中标项目（包含年度监理项目）视作“在建项目”（</w:t>
      </w:r>
      <w:r>
        <w:rPr>
          <w:rFonts w:hint="eastAsia" w:ascii="仿宋_GB2312" w:hAnsi="仿宋_GB2312" w:eastAsia="仿宋_GB2312" w:cs="仿宋_GB2312"/>
          <w:b/>
          <w:bCs/>
          <w:color w:val="auto"/>
          <w:sz w:val="28"/>
          <w:szCs w:val="28"/>
          <w:highlight w:val="none"/>
          <w:lang w:val="en-US" w:eastAsia="zh-CN"/>
        </w:rPr>
        <w:t>注：响应文件中须提供满足要求（拟派总监无在建项目）的相关承诺函（格式自拟）并加盖响应供应商公章</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w:t>
      </w:r>
    </w:p>
    <w:p w14:paraId="355C1991">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4、响应供应商需承诺拟派总监在合同期内不参与其他工程的招投标。否则征集人有权取消其入围供应商资格（</w:t>
      </w:r>
      <w:r>
        <w:rPr>
          <w:rFonts w:hint="eastAsia" w:ascii="仿宋_GB2312" w:hAnsi="仿宋_GB2312" w:eastAsia="仿宋_GB2312" w:cs="仿宋_GB2312"/>
          <w:b/>
          <w:bCs/>
          <w:color w:val="auto"/>
          <w:sz w:val="28"/>
          <w:szCs w:val="28"/>
          <w:highlight w:val="none"/>
          <w:lang w:val="en-US" w:eastAsia="zh-CN"/>
        </w:rPr>
        <w:t>注：响应文件中须提供满足要求的相关承诺函（格式自拟）并加盖响应供应商公章</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w:t>
      </w:r>
    </w:p>
    <w:p w14:paraId="17BC0FE8">
      <w:pPr>
        <w:pStyle w:val="11"/>
        <w:ind w:left="0" w:leftChars="0"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bookmarkStart w:id="4" w:name="OLE_LINK7"/>
      <w:r>
        <w:rPr>
          <w:rFonts w:hint="eastAsia" w:ascii="仿宋_GB2312" w:hAnsi="仿宋_GB2312" w:eastAsia="仿宋_GB2312" w:cs="仿宋_GB2312"/>
          <w:color w:val="auto"/>
          <w:sz w:val="28"/>
          <w:szCs w:val="28"/>
          <w:highlight w:val="none"/>
        </w:rPr>
        <w:t>实际项目</w:t>
      </w:r>
      <w:r>
        <w:rPr>
          <w:rFonts w:hint="eastAsia" w:ascii="仿宋_GB2312" w:hAnsi="仿宋_GB2312" w:eastAsia="仿宋_GB2312" w:cs="仿宋_GB2312"/>
          <w:color w:val="auto"/>
          <w:sz w:val="28"/>
          <w:szCs w:val="28"/>
          <w:highlight w:val="none"/>
          <w:lang w:eastAsia="zh-CN"/>
        </w:rPr>
        <w:t>监理</w:t>
      </w:r>
      <w:r>
        <w:rPr>
          <w:rFonts w:hint="eastAsia" w:ascii="仿宋_GB2312" w:hAnsi="仿宋_GB2312" w:eastAsia="仿宋_GB2312" w:cs="仿宋_GB2312"/>
          <w:color w:val="auto"/>
          <w:sz w:val="28"/>
          <w:szCs w:val="28"/>
          <w:highlight w:val="none"/>
        </w:rPr>
        <w:t>人员必须为响应时被列入拟派团队成员名单的人员，除因人员离职或身体健康等客观原因引起的变更需经过征集人书面确认同意外，人员不得变更。经征集人同意变更的人员资质条件不得低于原有人员。</w:t>
      </w:r>
    </w:p>
    <w:bookmarkEnd w:id="4"/>
    <w:p w14:paraId="5FB0E41D">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六、最高限价及结算方式</w:t>
      </w:r>
    </w:p>
    <w:bookmarkEnd w:id="3"/>
    <w:p w14:paraId="1AEF3A8A">
      <w:pPr>
        <w:pStyle w:val="11"/>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本项目</w:t>
      </w: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b/>
          <w:bCs w:val="0"/>
          <w:color w:val="auto"/>
          <w:sz w:val="28"/>
          <w:szCs w:val="28"/>
          <w:highlight w:val="none"/>
        </w:rPr>
        <w:t>：</w:t>
      </w:r>
      <w:r>
        <w:rPr>
          <w:rFonts w:hint="eastAsia" w:ascii="仿宋_GB2312" w:hAnsi="仿宋_GB2312" w:eastAsia="仿宋_GB2312" w:cs="仿宋_GB2312"/>
          <w:b/>
          <w:bCs w:val="0"/>
          <w:color w:val="auto"/>
          <w:sz w:val="28"/>
          <w:szCs w:val="28"/>
          <w:highlight w:val="none"/>
          <w:lang w:val="en-US" w:eastAsia="zh-CN"/>
        </w:rPr>
        <w:t>5%（含）。</w:t>
      </w:r>
    </w:p>
    <w:p w14:paraId="62F13E0C">
      <w:pPr>
        <w:autoSpaceDE w:val="0"/>
        <w:spacing w:line="560" w:lineRule="exact"/>
        <w:ind w:firstLine="560" w:firstLineChars="200"/>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2.供应商响应报价低于2%的，应当在报价响应文件中详细阐述不影响诚信履约的具体原因。</w:t>
      </w:r>
    </w:p>
    <w:p w14:paraId="03DFA989">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七、履约方式及程序</w:t>
      </w:r>
    </w:p>
    <w:p w14:paraId="7F08D196">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1.协议签订：</w:t>
      </w:r>
      <w:r>
        <w:rPr>
          <w:rFonts w:hint="eastAsia" w:ascii="仿宋_GB2312" w:hAnsi="仿宋_GB2312" w:eastAsia="仿宋_GB2312" w:cs="仿宋_GB2312"/>
          <w:color w:val="auto"/>
          <w:sz w:val="28"/>
          <w:szCs w:val="28"/>
          <w:highlight w:val="none"/>
          <w:lang w:eastAsia="zh-CN"/>
        </w:rPr>
        <w:t>浦江龙耀交通资源投资有限公司</w:t>
      </w:r>
      <w:r>
        <w:rPr>
          <w:rFonts w:hint="eastAsia" w:ascii="仿宋_GB2312" w:hAnsi="仿宋_GB2312" w:eastAsia="仿宋_GB2312" w:cs="仿宋_GB2312"/>
          <w:color w:val="auto"/>
          <w:sz w:val="28"/>
          <w:szCs w:val="28"/>
          <w:highlight w:val="none"/>
        </w:rPr>
        <w:t>与入围供应商签订框架协议。</w:t>
      </w:r>
      <w:r>
        <w:rPr>
          <w:rFonts w:hint="eastAsia" w:ascii="仿宋_GB2312" w:hAnsi="仿宋_GB2312" w:eastAsia="仿宋_GB2312" w:cs="仿宋_GB2312"/>
          <w:color w:val="auto"/>
          <w:sz w:val="28"/>
          <w:szCs w:val="28"/>
          <w:highlight w:val="none"/>
          <w:lang w:val="en-US" w:eastAsia="zh-CN"/>
        </w:rPr>
        <w:t>协议签订之日起30个工作日内，入围供应商须向征集人缴纳履约保证金人民币贰万元整，履约保证金在协议到期后且无违约情况下30日内无息退还。</w:t>
      </w:r>
    </w:p>
    <w:p w14:paraId="30A25F09">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2.成交供应商的确定：本次框架协议第二阶段成交供应商的确定方式为</w:t>
      </w:r>
      <w:r>
        <w:rPr>
          <w:rFonts w:hint="eastAsia" w:ascii="仿宋_GB2312" w:hAnsi="仿宋_GB2312" w:eastAsia="仿宋_GB2312" w:cs="仿宋_GB2312"/>
          <w:color w:val="auto"/>
          <w:sz w:val="28"/>
          <w:szCs w:val="28"/>
          <w:highlight w:val="none"/>
          <w:lang w:val="en-US" w:eastAsia="zh-CN"/>
        </w:rPr>
        <w:t>二次竞价方式</w:t>
      </w:r>
      <w:r>
        <w:rPr>
          <w:rFonts w:hint="eastAsia" w:ascii="仿宋_GB2312" w:hAnsi="仿宋_GB2312" w:eastAsia="仿宋_GB2312" w:cs="仿宋_GB2312"/>
          <w:color w:val="auto"/>
          <w:sz w:val="28"/>
          <w:szCs w:val="28"/>
          <w:highlight w:val="none"/>
        </w:rPr>
        <w:t>选定。</w:t>
      </w:r>
    </w:p>
    <w:p w14:paraId="5CB23FBD">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3.成交价格：入围供应商的响应报价是</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确定第二阶段成交供应商的最高限价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实际结算价=施工预算审定造价×第二次报价</w:t>
      </w:r>
      <w:r>
        <w:rPr>
          <w:rFonts w:hint="eastAsia" w:ascii="仿宋_GB2312" w:hAnsi="仿宋_GB2312" w:eastAsia="仿宋_GB2312" w:cs="仿宋_GB2312"/>
          <w:color w:val="auto"/>
          <w:sz w:val="28"/>
          <w:szCs w:val="28"/>
          <w:highlight w:val="none"/>
          <w:lang w:val="en-US" w:eastAsia="zh-CN"/>
        </w:rPr>
        <w:t>。</w:t>
      </w:r>
    </w:p>
    <w:p w14:paraId="6100F4D4">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八、入围供应商清退及违约责任</w:t>
      </w:r>
    </w:p>
    <w:p w14:paraId="500BC6E1">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（一）入围供应商清退规则</w:t>
      </w:r>
    </w:p>
    <w:p w14:paraId="7DB644A8">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1.入围供应商有下列情形之一，尚未签订框架协议的，取消其入围资格；已经签订框架协议的，解除与其签订的框架协议： </w:t>
      </w:r>
    </w:p>
    <w:p w14:paraId="6FFAD0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恶意串通谋取入围或者合同成交的；</w:t>
      </w:r>
    </w:p>
    <w:p w14:paraId="7DF14D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提供虚假材料谋取入围或者合同成交的；</w:t>
      </w:r>
    </w:p>
    <w:p w14:paraId="707DF0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无正当理由拒不接受合同授予的； </w:t>
      </w:r>
    </w:p>
    <w:p w14:paraId="76C3D2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不履行合同义务或者履行合同义务不符合约定，经</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 xml:space="preserve">请求履行后仍不履行或者仍未按约定履行的； </w:t>
      </w:r>
    </w:p>
    <w:p w14:paraId="741038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框架协议有效期内，因违法行为被禁止或限制参加政府采购活动的；</w:t>
      </w:r>
    </w:p>
    <w:p w14:paraId="49729F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履行合同的过程中出现下列情形之一的，经核实，征集人可立即全面终止协议的执行，造成损失的应当赔偿损失。同时提请有关部门追究有关当事人的责任：</w:t>
      </w:r>
    </w:p>
    <w:p w14:paraId="77F873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①入围供应商未严格执行保密制度，泄漏委托方的秘密或与第三方串通损害征集人利益的；由此造成的经济损失的；</w:t>
      </w:r>
    </w:p>
    <w:p w14:paraId="346BF4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②入围供应商与项目相关单位或个人私下交易，接受财物、吃请等违纪行为经查实的；存在违法违规行为的，由相关部门进行处理；</w:t>
      </w:r>
    </w:p>
    <w:p w14:paraId="038AD8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③入围供应商在服务过程中将资料丢失的；由此造成的经济损失，入围供应商应予赔偿；存在违法违规行为的，由相关部门进行处理；</w:t>
      </w:r>
    </w:p>
    <w:p w14:paraId="261081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④无正当理由，未按规定完成工作任务的，或在征集人组织的综合考评中不合格的；</w:t>
      </w:r>
    </w:p>
    <w:p w14:paraId="71CC8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⑤执行纠错机制，即因服务结果存在较大争议，相关单位提出投诉，并确认入围供应商为责任方的，征集人有权终止合同；</w:t>
      </w:r>
    </w:p>
    <w:p w14:paraId="438628B1">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2.入围供应商无正当理由拒不与征集人签订框架协议的，取消其入围资格。</w:t>
      </w:r>
    </w:p>
    <w:p w14:paraId="41C72290">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3.入围供应商如发生实质性变动（营业执照注销、不再符合本项目资格条件等）的，尚未签订框架协议的，取消其入围资格；已经签订框架协议的，解除与其签订的框架协议。</w:t>
      </w:r>
    </w:p>
    <w:p w14:paraId="2D883A07">
      <w:pPr>
        <w:widowControl/>
        <w:snapToGrid w:val="0"/>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4.被取消入围资格或者被解除框架协议的供应商不得参加本封闭式框架协议补充征集。 </w:t>
      </w:r>
    </w:p>
    <w:p w14:paraId="1977D1B1">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（二）违约责任</w:t>
      </w:r>
    </w:p>
    <w:p w14:paraId="058F37DD">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1.征集人响应方双方要严格按协议书履约；</w:t>
      </w:r>
    </w:p>
    <w:p w14:paraId="3EDB70E4">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2.如征集人违反本项目征集文件和协议书的有关规定，响应方有权向财政部门反映；</w:t>
      </w:r>
    </w:p>
    <w:p w14:paraId="4AD7FB05">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3.如响应方违反本项目征集文件和协议书的有关规定，征集人有权根据本项目征集文件、协议书的规定对乙方进行处理，必要时按规定解除协议。</w:t>
      </w:r>
    </w:p>
    <w:p w14:paraId="58B56E77">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4.合同履行过程中，下列情形按照如下执行：</w:t>
      </w:r>
    </w:p>
    <w:p w14:paraId="1B2E02D4">
      <w:pPr>
        <w:spacing w:line="440" w:lineRule="exact"/>
        <w:ind w:firstLine="560" w:firstLineChars="200"/>
        <w:rPr>
          <w:rFonts w:hint="eastAsia" w:ascii="仿宋_GB2312" w:hAnsi="仿宋_GB2312" w:eastAsia="仿宋_GB2312" w:cs="仿宋_GB2312"/>
          <w:color w:val="auto"/>
          <w:sz w:val="28"/>
          <w:szCs w:val="28"/>
          <w:highlight w:val="none"/>
        </w:rPr>
      </w:pPr>
      <w:bookmarkStart w:id="5" w:name="OLE_LINK8"/>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响应方不能按时</w:t>
      </w:r>
      <w:r>
        <w:rPr>
          <w:rFonts w:hint="eastAsia" w:ascii="仿宋_GB2312" w:hAnsi="仿宋_GB2312" w:eastAsia="仿宋_GB2312" w:cs="仿宋_GB2312"/>
          <w:color w:val="auto"/>
          <w:sz w:val="28"/>
          <w:szCs w:val="28"/>
          <w:highlight w:val="none"/>
          <w:lang w:eastAsia="zh-CN"/>
        </w:rPr>
        <w:t>进场</w:t>
      </w:r>
      <w:r>
        <w:rPr>
          <w:rFonts w:hint="eastAsia" w:ascii="仿宋_GB2312" w:hAnsi="仿宋_GB2312" w:eastAsia="仿宋_GB2312" w:cs="仿宋_GB2312"/>
          <w:color w:val="auto"/>
          <w:sz w:val="28"/>
          <w:szCs w:val="28"/>
          <w:highlight w:val="none"/>
          <w:lang w:val="en-US" w:eastAsia="zh-CN"/>
        </w:rPr>
        <w:t>工作</w:t>
      </w:r>
      <w:r>
        <w:rPr>
          <w:rFonts w:hint="eastAsia" w:ascii="仿宋_GB2312" w:hAnsi="仿宋_GB2312" w:eastAsia="仿宋_GB2312" w:cs="仿宋_GB2312"/>
          <w:color w:val="auto"/>
          <w:sz w:val="28"/>
          <w:szCs w:val="28"/>
          <w:highlight w:val="none"/>
        </w:rPr>
        <w:t>的，经</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书面催告后仍无法</w:t>
      </w:r>
      <w:r>
        <w:rPr>
          <w:rFonts w:hint="eastAsia" w:ascii="仿宋_GB2312" w:hAnsi="仿宋_GB2312" w:eastAsia="仿宋_GB2312" w:cs="仿宋_GB2312"/>
          <w:color w:val="auto"/>
          <w:sz w:val="28"/>
          <w:szCs w:val="28"/>
          <w:highlight w:val="none"/>
          <w:lang w:val="en-US" w:eastAsia="zh-CN"/>
        </w:rPr>
        <w:t>进场</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有权解除合同，并要求响应方赔偿委托人损失。自逾期之日起算，每逾期一日，响应方应支付该合同总价2%的逾期违约金。</w:t>
      </w:r>
    </w:p>
    <w:p w14:paraId="316A8C11">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）监理</w:t>
      </w:r>
      <w:r>
        <w:rPr>
          <w:rFonts w:hint="eastAsia" w:ascii="仿宋_GB2312" w:hAnsi="仿宋_GB2312" w:eastAsia="仿宋_GB2312" w:cs="仿宋_GB2312"/>
          <w:color w:val="auto"/>
          <w:sz w:val="28"/>
          <w:szCs w:val="28"/>
          <w:highlight w:val="none"/>
        </w:rPr>
        <w:t>人员滥用职权、徇私舞弊、玩忽职守、</w:t>
      </w:r>
      <w:r>
        <w:rPr>
          <w:rFonts w:hint="eastAsia" w:ascii="仿宋_GB2312" w:hAnsi="仿宋_GB2312" w:eastAsia="仿宋_GB2312" w:cs="仿宋_GB2312"/>
          <w:color w:val="auto"/>
          <w:sz w:val="28"/>
          <w:szCs w:val="28"/>
          <w:highlight w:val="none"/>
          <w:lang w:eastAsia="zh-CN"/>
        </w:rPr>
        <w:t>泄露</w:t>
      </w:r>
      <w:r>
        <w:rPr>
          <w:rFonts w:hint="eastAsia" w:ascii="仿宋_GB2312" w:hAnsi="仿宋_GB2312" w:eastAsia="仿宋_GB2312" w:cs="仿宋_GB2312"/>
          <w:color w:val="auto"/>
          <w:sz w:val="28"/>
          <w:szCs w:val="28"/>
          <w:highlight w:val="none"/>
        </w:rPr>
        <w:t>机密，</w:t>
      </w:r>
      <w:r>
        <w:rPr>
          <w:rFonts w:hint="eastAsia" w:ascii="仿宋_GB2312" w:hAnsi="仿宋_GB2312" w:eastAsia="仿宋_GB2312" w:cs="仿宋_GB2312"/>
          <w:color w:val="auto"/>
          <w:sz w:val="28"/>
          <w:szCs w:val="28"/>
          <w:highlight w:val="none"/>
          <w:lang w:eastAsia="zh-CN"/>
        </w:rPr>
        <w:t>造成</w:t>
      </w:r>
      <w:r>
        <w:rPr>
          <w:rFonts w:hint="eastAsia" w:ascii="仿宋_GB2312" w:hAnsi="仿宋_GB2312" w:eastAsia="仿宋_GB2312" w:cs="仿宋_GB2312"/>
          <w:color w:val="auto"/>
          <w:sz w:val="28"/>
          <w:szCs w:val="28"/>
          <w:highlight w:val="none"/>
          <w:lang w:val="en-US" w:eastAsia="zh-CN"/>
        </w:rPr>
        <w:t>严重后果的</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可解除合同、报送上级业务部门，依法追究其相关责任。造成</w:t>
      </w:r>
      <w:r>
        <w:rPr>
          <w:rFonts w:hint="eastAsia" w:ascii="仿宋_GB2312" w:hAnsi="仿宋_GB2312" w:eastAsia="仿宋_GB2312" w:cs="仿宋_GB2312"/>
          <w:color w:val="auto"/>
          <w:sz w:val="28"/>
          <w:szCs w:val="28"/>
          <w:highlight w:val="none"/>
          <w:lang w:eastAsia="zh-CN"/>
        </w:rPr>
        <w:t>征集人</w:t>
      </w:r>
      <w:r>
        <w:rPr>
          <w:rFonts w:hint="eastAsia" w:ascii="仿宋_GB2312" w:hAnsi="仿宋_GB2312" w:eastAsia="仿宋_GB2312" w:cs="仿宋_GB2312"/>
          <w:color w:val="auto"/>
          <w:sz w:val="28"/>
          <w:szCs w:val="28"/>
          <w:highlight w:val="none"/>
        </w:rPr>
        <w:t>损失的，响应方应另行承担赔偿责任。</w:t>
      </w:r>
    </w:p>
    <w:bookmarkEnd w:id="5"/>
    <w:p w14:paraId="3C8CAAE7">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 </w:t>
      </w:r>
      <w:r>
        <w:rPr>
          <w:rFonts w:hint="eastAsia" w:ascii="仿宋_GB2312" w:hAnsi="仿宋_GB2312" w:eastAsia="仿宋_GB2312" w:cs="仿宋_GB2312"/>
          <w:color w:val="auto"/>
          <w:sz w:val="28"/>
          <w:szCs w:val="28"/>
          <w:highlight w:val="none"/>
          <w:lang w:val="en-US" w:eastAsia="zh-CN"/>
        </w:rPr>
        <w:t>框架协议约定的其他情形</w:t>
      </w:r>
      <w:r>
        <w:rPr>
          <w:rFonts w:hint="eastAsia" w:ascii="仿宋_GB2312" w:hAnsi="仿宋_GB2312" w:eastAsia="仿宋_GB2312" w:cs="仿宋_GB2312"/>
          <w:color w:val="auto"/>
          <w:sz w:val="28"/>
          <w:szCs w:val="28"/>
          <w:highlight w:val="none"/>
        </w:rPr>
        <w:t>。</w:t>
      </w:r>
    </w:p>
    <w:p w14:paraId="517ECA3B">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九、入围供应商补充规则</w:t>
      </w:r>
    </w:p>
    <w:p w14:paraId="2E3B46BC">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框架协议有效期内如出现剩余入围供应商不足入围供应商总数70%且影响框架协议执行的情形，征集人将启动补充征集工作。</w:t>
      </w:r>
    </w:p>
    <w:p w14:paraId="7D59C3F9">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1.补充征集的条件、程序、评审方法和淘汰比例与初次征集相同。</w:t>
      </w:r>
    </w:p>
    <w:p w14:paraId="5A1DC12E">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2.补充征集遵守原框架协议的有效期。</w:t>
      </w:r>
    </w:p>
    <w:p w14:paraId="6B7CE2AD">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3.补充征集期间，原框架协议继续履行。</w:t>
      </w:r>
    </w:p>
    <w:p w14:paraId="1EEA74E9">
      <w:pPr>
        <w:pStyle w:val="3"/>
        <w:spacing w:before="0" w:after="0" w:line="360" w:lineRule="auto"/>
        <w:ind w:firstLine="424" w:firstLineChars="15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十、其他事项</w:t>
      </w:r>
    </w:p>
    <w:p w14:paraId="5CEC7C8A">
      <w:pPr>
        <w:spacing w:line="4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（一）供应商通过框架协议模块参与框架协议，相关系统操作详见浙江政府采购网（http://zfcg.czt.zj.gov.cn/）“网上办事指南”模块下载操作手册。</w:t>
      </w:r>
    </w:p>
    <w:p w14:paraId="65B3DDE7">
      <w:pPr>
        <w:adjustRightInd w:val="0"/>
        <w:snapToGrid w:val="0"/>
        <w:spacing w:line="440" w:lineRule="exact"/>
        <w:ind w:firstLine="560" w:firstLineChars="200"/>
        <w:rPr>
          <w:rFonts w:hint="eastAsia" w:ascii="仿宋_GB2312" w:hAnsi="仿宋_GB2312" w:eastAsia="仿宋_GB2312" w:cs="仿宋_GB2312"/>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二）征集人将通过框架协议模块建立用户反馈和评价机制，接受服务对象对入围供应商履行框架协议和采购合同情况的反馈与评价，并将用户反馈和评价情况向服务对象公开，作为第二阶段直接选定成交供应商的参考。</w:t>
      </w:r>
    </w:p>
    <w:p w14:paraId="3117AD2C">
      <w:pPr>
        <w:pStyle w:val="2"/>
        <w:spacing w:before="160" w:after="160"/>
        <w:jc w:val="center"/>
        <w:rPr>
          <w:color w:val="auto"/>
          <w:highlight w:val="none"/>
        </w:rPr>
      </w:pPr>
      <w:bookmarkStart w:id="6" w:name="_Toc30042"/>
      <w:r>
        <w:rPr>
          <w:rFonts w:hint="eastAsia"/>
          <w:color w:val="auto"/>
          <w:highlight w:val="none"/>
        </w:rPr>
        <w:t>第三章 响应方须知</w:t>
      </w:r>
      <w:bookmarkEnd w:id="6"/>
    </w:p>
    <w:p w14:paraId="3BC1FE60">
      <w:pPr>
        <w:pStyle w:val="3"/>
        <w:spacing w:before="0" w:after="0" w:line="360" w:lineRule="auto"/>
        <w:ind w:firstLine="371" w:firstLineChars="132"/>
        <w:jc w:val="center"/>
        <w:rPr>
          <w:color w:val="auto"/>
          <w:sz w:val="28"/>
          <w:highlight w:val="none"/>
        </w:rPr>
      </w:pPr>
      <w:r>
        <w:rPr>
          <w:rFonts w:hint="eastAsia"/>
          <w:color w:val="auto"/>
          <w:sz w:val="28"/>
          <w:highlight w:val="none"/>
        </w:rPr>
        <w:t>前 附 表</w:t>
      </w:r>
    </w:p>
    <w:tbl>
      <w:tblPr>
        <w:tblStyle w:val="22"/>
        <w:tblW w:w="953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53"/>
        <w:gridCol w:w="7479"/>
      </w:tblGrid>
      <w:tr w14:paraId="0C39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14:paraId="7541B2F6">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353" w:type="dxa"/>
          </w:tcPr>
          <w:p w14:paraId="27548C0C">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内容</w:t>
            </w:r>
          </w:p>
        </w:tc>
        <w:tc>
          <w:tcPr>
            <w:tcW w:w="7479" w:type="dxa"/>
          </w:tcPr>
          <w:p w14:paraId="5CEE1825">
            <w:pPr>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说明与要求</w:t>
            </w:r>
          </w:p>
        </w:tc>
      </w:tr>
      <w:tr w14:paraId="298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3EB0C307">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353" w:type="dxa"/>
          </w:tcPr>
          <w:p w14:paraId="7DC14F17">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项目名称及采购数量</w:t>
            </w:r>
          </w:p>
        </w:tc>
        <w:tc>
          <w:tcPr>
            <w:tcW w:w="7479" w:type="dxa"/>
            <w:vAlign w:val="center"/>
          </w:tcPr>
          <w:p w14:paraId="01E31E3B">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tc>
      </w:tr>
      <w:tr w14:paraId="7FA4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7B21ABAD">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353" w:type="dxa"/>
            <w:vAlign w:val="center"/>
          </w:tcPr>
          <w:p w14:paraId="23F88C8C">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信用记录</w:t>
            </w:r>
          </w:p>
        </w:tc>
        <w:tc>
          <w:tcPr>
            <w:tcW w:w="7479" w:type="dxa"/>
          </w:tcPr>
          <w:p w14:paraId="3C4801DC">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根据财库[2016]125号的规定：</w:t>
            </w:r>
            <w:r>
              <w:rPr>
                <w:rFonts w:hint="eastAsia" w:ascii="宋体" w:hAnsi="宋体"/>
                <w:color w:val="auto"/>
                <w:sz w:val="24"/>
                <w:szCs w:val="24"/>
                <w:highlight w:val="none"/>
              </w:rPr>
              <w:br w:type="textWrapping"/>
            </w:r>
            <w:r>
              <w:rPr>
                <w:rFonts w:hint="eastAsia" w:ascii="宋体" w:hAnsi="宋体" w:eastAsia="宋体"/>
                <w:color w:val="auto"/>
                <w:sz w:val="24"/>
                <w:szCs w:val="24"/>
                <w:highlight w:val="none"/>
              </w:rPr>
              <w:t>⑴</w:t>
            </w:r>
            <w:r>
              <w:rPr>
                <w:rFonts w:hint="eastAsia" w:ascii="宋体" w:hAnsi="宋体"/>
                <w:color w:val="auto"/>
                <w:sz w:val="24"/>
                <w:szCs w:val="24"/>
                <w:highlight w:val="none"/>
              </w:rPr>
              <w:t>征集人将对本项目响应供应商的信用记录进行查询。查询渠道为信用中国网站（www.creditchina.gov.cn）、中国政府采购网（www.ccgp.gov.cn）；</w:t>
            </w:r>
            <w:r>
              <w:rPr>
                <w:rFonts w:hint="eastAsia" w:ascii="宋体" w:hAnsi="宋体"/>
                <w:color w:val="auto"/>
                <w:sz w:val="24"/>
                <w:szCs w:val="24"/>
                <w:highlight w:val="none"/>
              </w:rPr>
              <w:br w:type="textWrapping"/>
            </w:r>
            <w:r>
              <w:rPr>
                <w:rFonts w:hint="eastAsia" w:ascii="宋体" w:hAnsi="宋体"/>
                <w:color w:val="auto"/>
                <w:sz w:val="24"/>
                <w:szCs w:val="24"/>
                <w:highlight w:val="none"/>
              </w:rPr>
              <w:t>⑵截止时点：</w:t>
            </w:r>
            <w:r>
              <w:rPr>
                <w:rFonts w:hint="eastAsia" w:ascii="宋体" w:hAnsi="宋体" w:cs="宋体"/>
                <w:snapToGrid w:val="0"/>
                <w:color w:val="auto"/>
                <w:kern w:val="0"/>
                <w:sz w:val="24"/>
                <w:highlight w:val="none"/>
              </w:rPr>
              <w:t>投标截止时间前</w:t>
            </w:r>
            <w:r>
              <w:rPr>
                <w:rFonts w:hint="eastAsia" w:ascii="宋体" w:hAnsi="宋体"/>
                <w:color w:val="auto"/>
                <w:sz w:val="24"/>
                <w:szCs w:val="24"/>
                <w:highlight w:val="none"/>
              </w:rPr>
              <w:t>；</w:t>
            </w:r>
          </w:p>
          <w:p w14:paraId="76B26853">
            <w:pPr>
              <w:spacing w:line="440" w:lineRule="exact"/>
              <w:jc w:val="left"/>
              <w:rPr>
                <w:rFonts w:ascii="宋体" w:hAnsi="宋体" w:eastAsia="宋体"/>
                <w:color w:val="auto"/>
                <w:sz w:val="24"/>
                <w:szCs w:val="24"/>
                <w:highlight w:val="none"/>
              </w:rPr>
            </w:pPr>
            <w:r>
              <w:rPr>
                <w:rFonts w:hint="eastAsia" w:ascii="宋体" w:hAnsi="宋体"/>
                <w:color w:val="auto"/>
                <w:sz w:val="24"/>
                <w:szCs w:val="24"/>
                <w:highlight w:val="none"/>
              </w:rPr>
              <w:t>⑶查询记录和证据的留存：信用信息查询记录和证据以网页截图等方式留存。</w:t>
            </w:r>
            <w:r>
              <w:rPr>
                <w:rFonts w:hint="eastAsia" w:ascii="宋体" w:hAnsi="宋体"/>
                <w:color w:val="auto"/>
                <w:sz w:val="24"/>
                <w:szCs w:val="24"/>
                <w:highlight w:val="none"/>
              </w:rPr>
              <w:br w:type="textWrapping"/>
            </w:r>
            <w:r>
              <w:rPr>
                <w:rFonts w:hint="eastAsia" w:ascii="宋体" w:hAnsi="宋体"/>
                <w:color w:val="auto"/>
                <w:sz w:val="24"/>
                <w:szCs w:val="24"/>
                <w:highlight w:val="none"/>
              </w:rPr>
              <w:t>⑷使用规则：被列入失信被执行人、重大税收违法案件当事人名单、政府采购严重违法失信行为记录名单及其他不符合《中华人民共和国政府采购法》第二十二条规定条件的，其响应将作无效处理。</w:t>
            </w:r>
            <w:r>
              <w:rPr>
                <w:rFonts w:hint="eastAsia" w:ascii="宋体" w:hAnsi="宋体"/>
                <w:color w:val="auto"/>
                <w:sz w:val="24"/>
                <w:szCs w:val="24"/>
                <w:highlight w:val="none"/>
              </w:rPr>
              <w:br w:type="textWrapping"/>
            </w:r>
            <w:r>
              <w:rPr>
                <w:rFonts w:hint="eastAsia" w:ascii="宋体" w:hAnsi="宋体"/>
                <w:color w:val="auto"/>
                <w:sz w:val="24"/>
                <w:szCs w:val="24"/>
                <w:highlight w:val="none"/>
              </w:rPr>
              <w:t>⑸联合体成员任意一方存在不良信用记录的，视同联合体存在不良信用记录。</w:t>
            </w:r>
          </w:p>
        </w:tc>
      </w:tr>
      <w:tr w14:paraId="2643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47F16F7E">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353" w:type="dxa"/>
            <w:vAlign w:val="center"/>
          </w:tcPr>
          <w:p w14:paraId="4BD6F379">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▲响应费用</w:t>
            </w:r>
          </w:p>
        </w:tc>
        <w:tc>
          <w:tcPr>
            <w:tcW w:w="7479" w:type="dxa"/>
          </w:tcPr>
          <w:p w14:paraId="0CBF734B">
            <w:pPr>
              <w:spacing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1.不论征集结果如何，响应供应商均应自行承担所有与响应有关的全部费用。</w:t>
            </w:r>
            <w:r>
              <w:rPr>
                <w:rFonts w:hint="eastAsia" w:asciiTheme="minorEastAsia" w:hAnsiTheme="minorEastAsia" w:cstheme="minorEastAsia"/>
                <w:color w:val="auto"/>
                <w:sz w:val="24"/>
                <w:szCs w:val="24"/>
                <w:highlight w:val="none"/>
              </w:rPr>
              <w:br w:type="textWrapping"/>
            </w:r>
            <w:r>
              <w:rPr>
                <w:rFonts w:hint="eastAsia" w:asciiTheme="minorEastAsia" w:hAnsiTheme="minorEastAsia" w:cstheme="minorEastAsia"/>
                <w:color w:val="auto"/>
                <w:sz w:val="24"/>
                <w:szCs w:val="24"/>
                <w:highlight w:val="none"/>
              </w:rPr>
              <w:t>2.响应供应商在响应、合同履行过程中必须做好安全保障工作，不因项目实施而危及自身及第三方人员、财产安全。若发生任何安全事故，由响应供应商自行承担一切责任并赔偿损失。</w:t>
            </w:r>
          </w:p>
          <w:p w14:paraId="4008982A">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Theme="minorEastAsia" w:hAnsiTheme="minorEastAsia" w:cstheme="minorEastAsia"/>
                <w:color w:val="auto"/>
                <w:sz w:val="24"/>
                <w:szCs w:val="24"/>
                <w:highlight w:val="none"/>
              </w:rPr>
              <w:t>3.</w:t>
            </w:r>
            <w:r>
              <w:rPr>
                <w:rFonts w:hint="eastAsia" w:ascii="宋体" w:hAnsi="宋体" w:cs="宋体"/>
                <w:b/>
                <w:bCs/>
                <w:color w:val="auto"/>
                <w:kern w:val="0"/>
                <w:sz w:val="24"/>
                <w:highlight w:val="none"/>
              </w:rPr>
              <w:t>本项目</w:t>
            </w:r>
            <w:r>
              <w:rPr>
                <w:rFonts w:hint="eastAsia" w:ascii="宋体" w:hAnsi="宋体" w:cs="宋体"/>
                <w:b/>
                <w:bCs/>
                <w:color w:val="auto"/>
                <w:kern w:val="0"/>
                <w:sz w:val="24"/>
                <w:highlight w:val="none"/>
                <w:lang w:eastAsia="zh-CN"/>
              </w:rPr>
              <w:t>入围供应商</w:t>
            </w:r>
            <w:r>
              <w:rPr>
                <w:rFonts w:hint="eastAsia" w:ascii="宋体" w:hAnsi="宋体" w:cs="宋体"/>
                <w:b/>
                <w:bCs/>
                <w:color w:val="auto"/>
                <w:kern w:val="0"/>
                <w:sz w:val="24"/>
                <w:highlight w:val="none"/>
              </w:rPr>
              <w:t>招标代理费</w:t>
            </w:r>
            <w:r>
              <w:rPr>
                <w:rFonts w:hint="eastAsia" w:ascii="宋体" w:hAnsi="宋体" w:cs="宋体"/>
                <w:b/>
                <w:bCs/>
                <w:color w:val="auto"/>
                <w:kern w:val="0"/>
                <w:sz w:val="24"/>
                <w:highlight w:val="none"/>
                <w:lang w:eastAsia="zh-CN"/>
              </w:rPr>
              <w:t>按</w:t>
            </w:r>
            <w:r>
              <w:rPr>
                <w:rFonts w:hint="eastAsia" w:ascii="宋体" w:hAnsi="宋体" w:cs="宋体"/>
                <w:b/>
                <w:bCs/>
                <w:color w:val="auto"/>
                <w:sz w:val="24"/>
                <w:highlight w:val="none"/>
                <w:lang w:val="en-US" w:eastAsia="zh-CN"/>
              </w:rPr>
              <w:t>1000元/家收取。</w:t>
            </w:r>
            <w:r>
              <w:rPr>
                <w:rFonts w:hint="eastAsia" w:ascii="宋体" w:hAnsi="宋体" w:eastAsia="宋体" w:cs="宋体"/>
                <w:b w:val="0"/>
                <w:bCs w:val="0"/>
                <w:color w:val="auto"/>
                <w:kern w:val="0"/>
                <w:sz w:val="24"/>
                <w:szCs w:val="24"/>
                <w:highlight w:val="none"/>
                <w:lang w:val="en-US" w:eastAsia="zh-CN" w:bidi="ar-SA"/>
              </w:rPr>
              <w:t>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在协议签订前支付给招标代理机构，请各供应商将上述费用自行考虑进投标报价中。</w:t>
            </w:r>
          </w:p>
          <w:p w14:paraId="01AF1653">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以银行电汇、转账等形式交至：</w:t>
            </w:r>
          </w:p>
          <w:p w14:paraId="126EB92A">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开户银行：中国工商银行股份有限公司浦江广场支行</w:t>
            </w:r>
          </w:p>
          <w:p w14:paraId="3499518E">
            <w:pPr>
              <w:keepNext w:val="0"/>
              <w:keepLines w:val="0"/>
              <w:pageBreakBefore w:val="0"/>
              <w:widowControl w:val="0"/>
              <w:kinsoku/>
              <w:wordWrap/>
              <w:overflowPunct/>
              <w:topLinePunct w:val="0"/>
              <w:autoSpaceDE/>
              <w:autoSpaceDN/>
              <w:bidi w:val="0"/>
              <w:adjustRightInd/>
              <w:snapToGrid w:val="0"/>
              <w:spacing w:line="340" w:lineRule="exact"/>
              <w:ind w:left="0" w:leftChars="0" w:firstLine="0" w:firstLineChars="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开户名称：浦江县产权交易有限公司</w:t>
            </w:r>
          </w:p>
          <w:p w14:paraId="1EF28711">
            <w:pPr>
              <w:spacing w:line="360" w:lineRule="auto"/>
              <w:jc w:val="left"/>
              <w:rPr>
                <w:rFonts w:ascii="宋体" w:hAnsi="宋体" w:eastAsia="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帐    号：1208070509000033875</w:t>
            </w:r>
          </w:p>
        </w:tc>
      </w:tr>
      <w:tr w14:paraId="564A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1" w:type="dxa"/>
            <w:vAlign w:val="center"/>
          </w:tcPr>
          <w:p w14:paraId="42BE2FBF">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1353" w:type="dxa"/>
            <w:vAlign w:val="center"/>
          </w:tcPr>
          <w:p w14:paraId="71DD7D5C">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保证金</w:t>
            </w:r>
          </w:p>
        </w:tc>
        <w:tc>
          <w:tcPr>
            <w:tcW w:w="7479" w:type="dxa"/>
            <w:vAlign w:val="center"/>
          </w:tcPr>
          <w:p w14:paraId="0E9E985E">
            <w:pPr>
              <w:spacing w:line="44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响应保证金：本项目不收取响应保证金。</w:t>
            </w:r>
          </w:p>
        </w:tc>
      </w:tr>
      <w:tr w14:paraId="65A5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4DCFF5D3">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1353" w:type="dxa"/>
            <w:vAlign w:val="center"/>
          </w:tcPr>
          <w:p w14:paraId="59A317EA">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响应文件组成</w:t>
            </w:r>
          </w:p>
        </w:tc>
        <w:tc>
          <w:tcPr>
            <w:tcW w:w="7479" w:type="dxa"/>
          </w:tcPr>
          <w:p w14:paraId="4D16A2A0">
            <w:pPr>
              <w:spacing w:line="44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由资格响应文件、技术商务文件和报价文件组成。</w:t>
            </w:r>
          </w:p>
        </w:tc>
      </w:tr>
      <w:tr w14:paraId="67A0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19850CE9">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w:t>
            </w:r>
          </w:p>
        </w:tc>
        <w:tc>
          <w:tcPr>
            <w:tcW w:w="1353" w:type="dxa"/>
            <w:vAlign w:val="center"/>
          </w:tcPr>
          <w:p w14:paraId="3D25DC0A">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政府采购政策要求及措施</w:t>
            </w:r>
          </w:p>
        </w:tc>
        <w:tc>
          <w:tcPr>
            <w:tcW w:w="7479" w:type="dxa"/>
            <w:vAlign w:val="center"/>
          </w:tcPr>
          <w:p w14:paraId="657B3F20">
            <w:pPr>
              <w:adjustRightInd w:val="0"/>
              <w:snapToGrid w:val="0"/>
              <w:spacing w:line="440" w:lineRule="exact"/>
              <w:ind w:firstLine="482" w:firstLineChars="200"/>
              <w:jc w:val="left"/>
              <w:rPr>
                <w:rFonts w:ascii="宋体" w:hAnsi="宋体" w:eastAsia="宋体"/>
                <w:b/>
                <w:color w:val="auto"/>
                <w:sz w:val="24"/>
                <w:szCs w:val="24"/>
                <w:highlight w:val="none"/>
              </w:rPr>
            </w:pPr>
            <w:r>
              <w:rPr>
                <w:rFonts w:hint="eastAsia" w:ascii="宋体" w:hAnsi="宋体" w:eastAsia="宋体"/>
                <w:b/>
                <w:color w:val="auto"/>
                <w:sz w:val="24"/>
                <w:szCs w:val="24"/>
                <w:highlight w:val="none"/>
              </w:rPr>
              <w:t>1.</w:t>
            </w:r>
            <w:r>
              <w:rPr>
                <w:rFonts w:hint="eastAsia" w:ascii="宋体" w:hAnsi="宋体"/>
                <w:b/>
                <w:color w:val="auto"/>
                <w:sz w:val="24"/>
                <w:szCs w:val="24"/>
                <w:highlight w:val="none"/>
              </w:rPr>
              <w:t>支持绿色发展</w:t>
            </w:r>
          </w:p>
          <w:p w14:paraId="1C1FFEDE">
            <w:pPr>
              <w:adjustRightInd w:val="0"/>
              <w:snapToGrid w:val="0"/>
              <w:spacing w:line="440" w:lineRule="exact"/>
              <w:ind w:firstLine="482" w:firstLineChars="200"/>
              <w:jc w:val="left"/>
              <w:rPr>
                <w:rFonts w:ascii="宋体" w:hAnsi="宋体" w:eastAsia="宋体"/>
                <w:b/>
                <w:color w:val="auto"/>
                <w:sz w:val="24"/>
                <w:szCs w:val="24"/>
                <w:highlight w:val="none"/>
              </w:rPr>
            </w:pPr>
            <w:r>
              <w:rPr>
                <w:rFonts w:hint="eastAsia" w:ascii="宋体" w:hAnsi="宋体" w:eastAsia="宋体"/>
                <w:b/>
                <w:color w:val="auto"/>
                <w:sz w:val="24"/>
                <w:szCs w:val="24"/>
                <w:highlight w:val="none"/>
              </w:rPr>
              <w:t>⑴政府采购节能环保产品相关政策</w:t>
            </w:r>
          </w:p>
          <w:p w14:paraId="3EEF4CE6">
            <w:pPr>
              <w:adjustRightInd w:val="0"/>
              <w:snapToGrid w:val="0"/>
              <w:spacing w:line="440" w:lineRule="exact"/>
              <w:ind w:firstLine="523" w:firstLineChars="218"/>
              <w:jc w:val="left"/>
              <w:rPr>
                <w:rFonts w:ascii="宋体" w:hAnsi="宋体" w:eastAsia="宋体"/>
                <w:color w:val="auto"/>
                <w:sz w:val="24"/>
                <w:szCs w:val="24"/>
                <w:highlight w:val="none"/>
              </w:rPr>
            </w:pPr>
            <w:r>
              <w:rPr>
                <w:rFonts w:hint="eastAsia" w:ascii="宋体" w:hAnsi="宋体" w:eastAsia="宋体"/>
                <w:color w:val="auto"/>
                <w:sz w:val="24"/>
                <w:szCs w:val="24"/>
                <w:highlight w:val="none"/>
              </w:rPr>
              <w:t>响应产品若属于节能（环保）产品的，请提供参与实施政府采购节能（环境标志）产品认证机构出具的认证证书或证书发布平台的投标产品认证证书查询截图；参与实施政府采购节能（环境标志）产品认证机构详见《市场</w:t>
            </w:r>
            <w:r>
              <w:rPr>
                <w:rFonts w:hint="eastAsia" w:ascii="宋体" w:hAnsi="宋体" w:eastAsia="宋体"/>
                <w:color w:val="auto"/>
                <w:sz w:val="24"/>
                <w:szCs w:val="24"/>
                <w:highlight w:val="none"/>
                <w:lang w:eastAsia="zh-CN"/>
              </w:rPr>
              <w:t>监管</w:t>
            </w:r>
            <w:r>
              <w:rPr>
                <w:rFonts w:hint="eastAsia" w:ascii="宋体" w:hAnsi="宋体" w:eastAsia="宋体"/>
                <w:color w:val="auto"/>
                <w:sz w:val="24"/>
                <w:szCs w:val="24"/>
                <w:highlight w:val="none"/>
              </w:rPr>
              <w:t>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22DBCABC">
            <w:pPr>
              <w:pStyle w:val="19"/>
              <w:widowControl/>
              <w:adjustRightInd w:val="0"/>
              <w:snapToGrid w:val="0"/>
              <w:spacing w:line="440" w:lineRule="exact"/>
              <w:ind w:firstLine="480" w:firstLineChars="200"/>
              <w:rPr>
                <w:rFonts w:ascii="仿宋" w:hAnsi="仿宋" w:eastAsia="仿宋"/>
                <w:b/>
                <w:color w:val="auto"/>
                <w:szCs w:val="24"/>
                <w:highlight w:val="none"/>
              </w:rPr>
            </w:pPr>
            <w:r>
              <w:rPr>
                <w:rFonts w:hint="eastAsia" w:ascii="宋体" w:hAnsi="宋体" w:cstheme="minorBidi"/>
                <w:color w:val="auto"/>
                <w:kern w:val="2"/>
                <w:szCs w:val="24"/>
                <w:highlight w:val="none"/>
              </w:rPr>
              <w:t>产品属于政府强制采购节能品目的（详见《关于印发节能产品政府采购品目清单的通知》财库〔2019〕19号），响应方须按上款要求提供节能产品认证证书或规定网站证书查询截图。</w:t>
            </w:r>
            <w:r>
              <w:rPr>
                <w:rFonts w:hint="eastAsia" w:ascii="宋体" w:hAnsi="宋体" w:cstheme="minorBidi"/>
                <w:b/>
                <w:color w:val="auto"/>
                <w:kern w:val="2"/>
                <w:szCs w:val="24"/>
                <w:highlight w:val="none"/>
              </w:rPr>
              <w:t>产品属于政府强制采购节能产品品目的，响应方未提供节能产品的，其响应将作无效处理。</w:t>
            </w:r>
          </w:p>
          <w:p w14:paraId="6DBBCEC7">
            <w:pPr>
              <w:pStyle w:val="19"/>
              <w:widowControl/>
              <w:adjustRightInd w:val="0"/>
              <w:snapToGrid w:val="0"/>
              <w:spacing w:line="440" w:lineRule="exact"/>
              <w:ind w:firstLine="482" w:firstLineChars="200"/>
              <w:rPr>
                <w:rFonts w:ascii="宋体" w:hAnsi="宋体" w:cstheme="minorBidi"/>
                <w:b/>
                <w:color w:val="auto"/>
                <w:kern w:val="2"/>
                <w:szCs w:val="24"/>
                <w:highlight w:val="none"/>
              </w:rPr>
            </w:pPr>
            <w:r>
              <w:rPr>
                <w:rFonts w:hint="eastAsia" w:ascii="宋体" w:hAnsi="宋体"/>
                <w:b/>
                <w:color w:val="auto"/>
                <w:szCs w:val="24"/>
                <w:highlight w:val="none"/>
              </w:rPr>
              <w:t>⑵</w:t>
            </w:r>
            <w:r>
              <w:rPr>
                <w:rFonts w:hint="eastAsia" w:ascii="宋体" w:hAnsi="宋体" w:cstheme="minorBidi"/>
                <w:b/>
                <w:color w:val="auto"/>
                <w:kern w:val="2"/>
                <w:szCs w:val="24"/>
                <w:highlight w:val="none"/>
              </w:rPr>
              <w:t xml:space="preserve"> 推广绿色包装</w:t>
            </w:r>
          </w:p>
          <w:p w14:paraId="061AC063">
            <w:pPr>
              <w:pStyle w:val="19"/>
              <w:widowControl/>
              <w:adjustRightInd w:val="0"/>
              <w:snapToGrid w:val="0"/>
              <w:spacing w:line="440" w:lineRule="exact"/>
              <w:ind w:firstLine="523" w:firstLineChars="218"/>
              <w:rPr>
                <w:rFonts w:ascii="宋体" w:hAnsi="宋体" w:eastAsia="宋体"/>
                <w:color w:val="auto"/>
                <w:sz w:val="24"/>
                <w:szCs w:val="24"/>
                <w:highlight w:val="none"/>
              </w:rPr>
            </w:pPr>
            <w:r>
              <w:rPr>
                <w:rFonts w:hint="eastAsia" w:ascii="宋体" w:hAnsi="宋体" w:cstheme="minorBidi"/>
                <w:color w:val="auto"/>
                <w:kern w:val="2"/>
                <w:szCs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theme="minorBidi"/>
                <w:color w:val="auto"/>
                <w:kern w:val="2"/>
                <w:szCs w:val="24"/>
                <w:highlight w:val="none"/>
                <w:lang w:eastAsia="zh-CN"/>
              </w:rPr>
              <w:t>》《</w:t>
            </w:r>
            <w:r>
              <w:rPr>
                <w:rFonts w:hint="eastAsia" w:ascii="宋体" w:hAnsi="宋体" w:cstheme="minorBidi"/>
                <w:color w:val="auto"/>
                <w:kern w:val="2"/>
                <w:szCs w:val="24"/>
                <w:highlight w:val="none"/>
              </w:rPr>
              <w:t>快递包装政府采购需求标准（试行）》。</w:t>
            </w:r>
          </w:p>
        </w:tc>
      </w:tr>
      <w:tr w14:paraId="7456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395C071E">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w:t>
            </w:r>
          </w:p>
        </w:tc>
        <w:tc>
          <w:tcPr>
            <w:tcW w:w="1353" w:type="dxa"/>
            <w:vAlign w:val="center"/>
          </w:tcPr>
          <w:p w14:paraId="6ACB06D6">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电子交易平台登录方法</w:t>
            </w:r>
          </w:p>
        </w:tc>
        <w:tc>
          <w:tcPr>
            <w:tcW w:w="7479" w:type="dxa"/>
            <w:vAlign w:val="center"/>
          </w:tcPr>
          <w:p w14:paraId="109ABA7D">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第一步：供应商注册</w:t>
            </w:r>
          </w:p>
          <w:p w14:paraId="26581EF8">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响应方</w:t>
            </w:r>
            <w:r>
              <w:rPr>
                <w:rFonts w:ascii="宋体" w:hAnsi="宋体" w:eastAsia="宋体"/>
                <w:color w:val="auto"/>
                <w:sz w:val="24"/>
                <w:szCs w:val="24"/>
                <w:highlight w:val="none"/>
              </w:rPr>
              <w:t>应在</w:t>
            </w:r>
            <w:r>
              <w:rPr>
                <w:rFonts w:hint="eastAsia" w:ascii="宋体" w:hAnsi="宋体" w:eastAsia="宋体"/>
                <w:color w:val="auto"/>
                <w:sz w:val="24"/>
                <w:szCs w:val="24"/>
                <w:highlight w:val="none"/>
              </w:rPr>
              <w:t>投</w:t>
            </w:r>
            <w:r>
              <w:rPr>
                <w:rFonts w:ascii="宋体" w:hAnsi="宋体" w:eastAsia="宋体"/>
                <w:color w:val="auto"/>
                <w:sz w:val="24"/>
                <w:szCs w:val="24"/>
                <w:highlight w:val="none"/>
              </w:rPr>
              <w:t>标前</w:t>
            </w:r>
            <w:r>
              <w:rPr>
                <w:rFonts w:hint="eastAsia" w:ascii="宋体" w:hAnsi="宋体" w:eastAsia="宋体"/>
                <w:color w:val="auto"/>
                <w:sz w:val="24"/>
                <w:szCs w:val="24"/>
                <w:highlight w:val="none"/>
              </w:rPr>
              <w:t>注册成为浙江政府采购网的正式供应商；</w:t>
            </w:r>
          </w:p>
          <w:p w14:paraId="466E2624">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第二步：申请CA</w:t>
            </w:r>
          </w:p>
          <w:p w14:paraId="7F8E4087">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响应方</w:t>
            </w:r>
            <w:r>
              <w:rPr>
                <w:rFonts w:ascii="宋体" w:hAnsi="宋体" w:eastAsia="宋体"/>
                <w:color w:val="auto"/>
                <w:sz w:val="24"/>
                <w:szCs w:val="24"/>
                <w:highlight w:val="none"/>
              </w:rPr>
              <w:t>应在</w:t>
            </w:r>
            <w:r>
              <w:rPr>
                <w:rFonts w:hint="eastAsia" w:ascii="宋体" w:hAnsi="宋体" w:eastAsia="宋体"/>
                <w:color w:val="auto"/>
                <w:sz w:val="24"/>
                <w:szCs w:val="24"/>
                <w:highlight w:val="none"/>
              </w:rPr>
              <w:t>响应</w:t>
            </w:r>
            <w:r>
              <w:rPr>
                <w:rFonts w:ascii="宋体" w:hAnsi="宋体" w:eastAsia="宋体"/>
                <w:color w:val="auto"/>
                <w:sz w:val="24"/>
                <w:szCs w:val="24"/>
                <w:highlight w:val="none"/>
              </w:rPr>
              <w:t>前完成CA数字证书办理。完成CA数字证书办理</w:t>
            </w:r>
            <w:r>
              <w:rPr>
                <w:rFonts w:hint="eastAsia" w:ascii="宋体" w:hAnsi="宋体" w:eastAsia="宋体"/>
                <w:color w:val="auto"/>
                <w:sz w:val="24"/>
                <w:szCs w:val="24"/>
                <w:highlight w:val="none"/>
              </w:rPr>
              <w:t>预计一周左右，建议各响应方抓紧时间办理；</w:t>
            </w:r>
          </w:p>
          <w:p w14:paraId="6B55B151">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第三步：下载客户端</w:t>
            </w:r>
          </w:p>
          <w:p w14:paraId="369526FE">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响应方通过</w:t>
            </w:r>
            <w:r>
              <w:rPr>
                <w:rFonts w:hint="eastAsia" w:ascii="宋体" w:hAnsi="宋体" w:eastAsia="宋体"/>
                <w:color w:val="auto"/>
                <w:sz w:val="24"/>
                <w:szCs w:val="24"/>
                <w:highlight w:val="none"/>
                <w:lang w:eastAsia="zh-CN"/>
              </w:rPr>
              <w:t>乐采云</w:t>
            </w:r>
            <w:r>
              <w:rPr>
                <w:rFonts w:ascii="宋体" w:hAnsi="宋体" w:eastAsia="宋体"/>
                <w:color w:val="auto"/>
                <w:sz w:val="24"/>
                <w:szCs w:val="24"/>
                <w:highlight w:val="none"/>
              </w:rPr>
              <w:t>电子交易客户端制作响应文件，请自行前往</w:t>
            </w:r>
            <w:r>
              <w:rPr>
                <w:rFonts w:hint="eastAsia" w:ascii="宋体" w:hAnsi="宋体" w:eastAsia="宋体"/>
                <w:color w:val="auto"/>
                <w:sz w:val="24"/>
                <w:szCs w:val="24"/>
                <w:highlight w:val="none"/>
              </w:rPr>
              <w:t>浙江政府采购网下载并安装；</w:t>
            </w:r>
          </w:p>
          <w:p w14:paraId="403B2996">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第四步：具体流程</w:t>
            </w:r>
          </w:p>
          <w:p w14:paraId="68299C13">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ascii="宋体" w:hAnsi="宋体" w:eastAsia="宋体"/>
                <w:color w:val="auto"/>
                <w:sz w:val="24"/>
                <w:szCs w:val="24"/>
                <w:highlight w:val="none"/>
              </w:rPr>
              <w:t>详见</w:t>
            </w:r>
            <w:r>
              <w:rPr>
                <w:rFonts w:hint="eastAsia" w:ascii="宋体" w:hAnsi="宋体" w:eastAsia="宋体"/>
                <w:color w:val="auto"/>
                <w:sz w:val="24"/>
                <w:szCs w:val="24"/>
                <w:highlight w:val="none"/>
              </w:rPr>
              <w:t>浙江省“电子交易/不见面开评标”学习专题（网址</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Fonts w:hint="eastAsia" w:ascii="宋体" w:hAnsi="宋体" w:eastAsia="宋体"/>
                <w:color w:val="auto"/>
                <w:sz w:val="24"/>
                <w:szCs w:val="24"/>
                <w:highlight w:val="none"/>
              </w:rPr>
              <w:t>https://edu.zcygov.cn/luban/e-biding</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t>）</w:t>
            </w:r>
          </w:p>
          <w:p w14:paraId="6A266228">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提醒：请各响应方合理安排时间，尽快完成第一、二、三步骤，避免影响采购活动的参与。</w:t>
            </w:r>
          </w:p>
        </w:tc>
      </w:tr>
      <w:tr w14:paraId="595C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1AC836E4">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w:t>
            </w:r>
          </w:p>
        </w:tc>
        <w:tc>
          <w:tcPr>
            <w:tcW w:w="1353" w:type="dxa"/>
            <w:vAlign w:val="center"/>
          </w:tcPr>
          <w:p w14:paraId="397C116A">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响应文件的递交和接收</w:t>
            </w:r>
          </w:p>
        </w:tc>
        <w:tc>
          <w:tcPr>
            <w:tcW w:w="7479" w:type="dxa"/>
            <w:vAlign w:val="center"/>
          </w:tcPr>
          <w:p w14:paraId="7D2245AB">
            <w:pPr>
              <w:widowControl/>
              <w:adjustRightInd w:val="0"/>
              <w:snapToGrid w:val="0"/>
              <w:spacing w:line="440" w:lineRule="exact"/>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w:t>
            </w:r>
            <w:r>
              <w:rPr>
                <w:rFonts w:hint="eastAsia" w:ascii="宋体" w:hAnsi="宋体" w:eastAsia="宋体"/>
                <w:bCs/>
                <w:color w:val="auto"/>
                <w:sz w:val="24"/>
                <w:szCs w:val="24"/>
                <w:highlight w:val="none"/>
              </w:rPr>
              <w:t>响应文件的提交方式、提交截止时间和地点，开启方式、时间和地点</w:t>
            </w:r>
          </w:p>
          <w:p w14:paraId="793AE3F5">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详见《第一章 征集公告》</w:t>
            </w:r>
          </w:p>
          <w:p w14:paraId="664EA722">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2.本项目实行电子化采购。分电子响应文件、以介质存储的数据电文形式的备份响应文件两类。不同形式递交的文件内容均应一致：</w:t>
            </w:r>
          </w:p>
          <w:p w14:paraId="003EF1B6">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⑴电子响应文件，须按</w:t>
            </w:r>
            <w:r>
              <w:rPr>
                <w:rFonts w:hint="eastAsia" w:ascii="宋体" w:hAnsi="宋体" w:eastAsia="宋体"/>
                <w:color w:val="auto"/>
                <w:sz w:val="24"/>
                <w:szCs w:val="24"/>
                <w:highlight w:val="none"/>
                <w:lang w:eastAsia="zh-CN"/>
              </w:rPr>
              <w:t>乐采云</w:t>
            </w:r>
            <w:r>
              <w:rPr>
                <w:rFonts w:hint="eastAsia" w:ascii="宋体" w:hAnsi="宋体" w:eastAsia="宋体"/>
                <w:color w:val="auto"/>
                <w:sz w:val="24"/>
                <w:szCs w:val="24"/>
                <w:highlight w:val="none"/>
              </w:rPr>
              <w:t>平台供应商项目采购操作指南及本征集文件要求在线递交（如</w:t>
            </w:r>
            <w:r>
              <w:rPr>
                <w:rFonts w:hint="eastAsia" w:ascii="宋体" w:hAnsi="宋体" w:eastAsia="宋体"/>
                <w:color w:val="auto"/>
                <w:sz w:val="24"/>
                <w:szCs w:val="24"/>
                <w:highlight w:val="none"/>
                <w:lang w:eastAsia="zh-CN"/>
              </w:rPr>
              <w:t>乐采云</w:t>
            </w:r>
            <w:r>
              <w:rPr>
                <w:rFonts w:hint="eastAsia" w:ascii="宋体" w:hAnsi="宋体" w:eastAsia="宋体"/>
                <w:color w:val="auto"/>
                <w:sz w:val="24"/>
                <w:szCs w:val="24"/>
                <w:highlight w:val="none"/>
              </w:rPr>
              <w:t>平台系统有变化的，不再另行通知）。响应方应当在响应文件提交截止时间前完成电子响应文件的传输递交，并可以补充、修改或者撤回电子响应文件。补充或者修改电子响应文件的，应当先行撤回原文件，补充、修改后重新传输递交。提交截止时间前未完成传输的，视为撤回响应文件。提交截止时间后拒收响应文件。</w:t>
            </w:r>
          </w:p>
          <w:p w14:paraId="67C21FB2">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⑵备份响应文件，是指与电子响应文件同时生成的数据电文形式的电子文件（用于电子响应文件解密异常时应急使用），其他方式编制的备份响应文件视为无效备份响应文件。</w:t>
            </w:r>
          </w:p>
          <w:p w14:paraId="5DD0700C">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响应方可视自身情况自行提供1份备份响应文件，</w:t>
            </w:r>
            <w:r>
              <w:rPr>
                <w:rFonts w:hint="eastAsia" w:ascii="宋体" w:hAnsi="宋体" w:eastAsia="宋体"/>
                <w:b/>
                <w:color w:val="auto"/>
                <w:sz w:val="24"/>
                <w:szCs w:val="24"/>
                <w:highlight w:val="none"/>
              </w:rPr>
              <w:t>不做强制要求</w:t>
            </w:r>
            <w:r>
              <w:rPr>
                <w:rFonts w:hint="eastAsia" w:ascii="宋体" w:hAnsi="宋体" w:eastAsia="宋体"/>
                <w:color w:val="auto"/>
                <w:sz w:val="24"/>
                <w:szCs w:val="24"/>
                <w:highlight w:val="none"/>
              </w:rPr>
              <w:t>。备份响应文件未按规定密封或标记，或超过响应文件提交截止时间送达等原因的，将被拒收。因备份响应文件无法正常打开或正常显示等所引起的一切后果，由响应方自行承担。</w:t>
            </w:r>
          </w:p>
        </w:tc>
      </w:tr>
      <w:tr w14:paraId="555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23F07D5F">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9</w:t>
            </w:r>
          </w:p>
        </w:tc>
        <w:tc>
          <w:tcPr>
            <w:tcW w:w="1353" w:type="dxa"/>
            <w:vAlign w:val="center"/>
          </w:tcPr>
          <w:p w14:paraId="4CF5A260">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评审办法及标准</w:t>
            </w:r>
          </w:p>
        </w:tc>
        <w:tc>
          <w:tcPr>
            <w:tcW w:w="7479" w:type="dxa"/>
            <w:vAlign w:val="center"/>
          </w:tcPr>
          <w:p w14:paraId="2233E66E">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价格优先法/</w:t>
            </w:r>
            <w:r>
              <w:rPr>
                <w:rFonts w:hint="eastAsia" w:ascii="MS Mincho" w:hAnsi="MS Mincho" w:eastAsia="宋体" w:cs="MS Mincho"/>
                <w:color w:val="auto"/>
                <w:sz w:val="24"/>
                <w:szCs w:val="24"/>
                <w:highlight w:val="none"/>
                <w:lang w:eastAsia="zh-CN"/>
              </w:rPr>
              <w:t>□</w:t>
            </w:r>
            <w:r>
              <w:rPr>
                <w:rFonts w:hint="eastAsia" w:ascii="宋体" w:hAnsi="宋体" w:eastAsia="宋体"/>
                <w:color w:val="auto"/>
                <w:sz w:val="24"/>
                <w:szCs w:val="24"/>
                <w:highlight w:val="none"/>
              </w:rPr>
              <w:t>质量优先法，具体标准见《第四章 评审办法及标准》</w:t>
            </w:r>
          </w:p>
        </w:tc>
      </w:tr>
      <w:tr w14:paraId="2572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71B55C2A">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w:t>
            </w:r>
          </w:p>
        </w:tc>
        <w:tc>
          <w:tcPr>
            <w:tcW w:w="1353" w:type="dxa"/>
            <w:vAlign w:val="center"/>
          </w:tcPr>
          <w:p w14:paraId="17FA2907">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入围结果公告</w:t>
            </w:r>
          </w:p>
        </w:tc>
        <w:tc>
          <w:tcPr>
            <w:tcW w:w="7479" w:type="dxa"/>
            <w:vAlign w:val="center"/>
          </w:tcPr>
          <w:p w14:paraId="3E41C846">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入围供应商确定之日起2个工作日内，将在浙江省政府采购网发布入围结果公告（入围供应商为中小企业的，其相关声明函将随入围结果同时公告），公告期限为1个工作日。</w:t>
            </w:r>
          </w:p>
          <w:p w14:paraId="32741269">
            <w:pPr>
              <w:widowControl/>
              <w:adjustRightInd w:val="0"/>
              <w:snapToGrid w:val="0"/>
              <w:spacing w:line="44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入围通知书：发布入围结果公告的同时签发</w:t>
            </w:r>
            <w:r>
              <w:rPr>
                <w:rFonts w:hint="eastAsia" w:ascii="宋体" w:hAnsi="宋体" w:eastAsia="宋体"/>
                <w:color w:val="auto"/>
                <w:sz w:val="24"/>
                <w:szCs w:val="24"/>
                <w:highlight w:val="none"/>
                <w:lang w:eastAsia="zh-CN"/>
              </w:rPr>
              <w:t>入围</w:t>
            </w:r>
            <w:r>
              <w:rPr>
                <w:rFonts w:hint="eastAsia" w:ascii="宋体" w:hAnsi="宋体" w:eastAsia="宋体"/>
                <w:color w:val="auto"/>
                <w:sz w:val="24"/>
                <w:szCs w:val="24"/>
                <w:highlight w:val="none"/>
              </w:rPr>
              <w:t>通知书。</w:t>
            </w:r>
          </w:p>
        </w:tc>
      </w:tr>
      <w:tr w14:paraId="0C87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34933DFD">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w:t>
            </w:r>
          </w:p>
        </w:tc>
        <w:tc>
          <w:tcPr>
            <w:tcW w:w="1353" w:type="dxa"/>
            <w:vAlign w:val="center"/>
          </w:tcPr>
          <w:p w14:paraId="6121353A">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付款方式</w:t>
            </w:r>
          </w:p>
        </w:tc>
        <w:tc>
          <w:tcPr>
            <w:tcW w:w="7479" w:type="dxa"/>
            <w:vAlign w:val="center"/>
          </w:tcPr>
          <w:p w14:paraId="7EE34E00">
            <w:pPr>
              <w:widowControl/>
              <w:adjustRightInd w:val="0"/>
              <w:snapToGrid w:val="0"/>
              <w:spacing w:line="440" w:lineRule="exact"/>
              <w:ind w:firstLine="480" w:firstLineChars="200"/>
              <w:jc w:val="left"/>
              <w:rPr>
                <w:rFonts w:ascii="仿宋" w:hAnsi="仿宋" w:eastAsia="仿宋"/>
                <w:color w:val="auto"/>
                <w:sz w:val="24"/>
                <w:szCs w:val="24"/>
                <w:highlight w:val="none"/>
              </w:rPr>
            </w:pPr>
            <w:r>
              <w:rPr>
                <w:rFonts w:hint="eastAsia" w:ascii="宋体" w:hAnsi="宋体" w:eastAsia="宋体"/>
                <w:color w:val="auto"/>
                <w:sz w:val="24"/>
                <w:szCs w:val="24"/>
                <w:highlight w:val="none"/>
              </w:rPr>
              <w:t>详见《第二章 采购需求》</w:t>
            </w:r>
          </w:p>
        </w:tc>
      </w:tr>
      <w:tr w14:paraId="492A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075F2616">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12</w:t>
            </w:r>
          </w:p>
        </w:tc>
        <w:tc>
          <w:tcPr>
            <w:tcW w:w="1353" w:type="dxa"/>
            <w:vAlign w:val="center"/>
          </w:tcPr>
          <w:p w14:paraId="7EB90276">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框架协议签订时间</w:t>
            </w:r>
          </w:p>
        </w:tc>
        <w:tc>
          <w:tcPr>
            <w:tcW w:w="7479" w:type="dxa"/>
            <w:vAlign w:val="center"/>
          </w:tcPr>
          <w:p w14:paraId="3C164035">
            <w:pPr>
              <w:widowControl/>
              <w:adjustRightInd w:val="0"/>
              <w:snapToGrid w:val="0"/>
              <w:spacing w:line="440" w:lineRule="exact"/>
              <w:ind w:firstLine="480" w:firstLineChars="200"/>
              <w:jc w:val="left"/>
              <w:rPr>
                <w:rFonts w:ascii="仿宋" w:hAnsi="仿宋" w:eastAsia="仿宋"/>
                <w:color w:val="auto"/>
                <w:sz w:val="24"/>
                <w:szCs w:val="24"/>
                <w:highlight w:val="none"/>
              </w:rPr>
            </w:pPr>
            <w:r>
              <w:rPr>
                <w:rFonts w:hint="eastAsia" w:ascii="宋体" w:hAnsi="宋体" w:eastAsia="宋体"/>
                <w:color w:val="auto"/>
                <w:sz w:val="24"/>
                <w:szCs w:val="24"/>
                <w:highlight w:val="none"/>
              </w:rPr>
              <w:t>入围通知书发出后30日内。</w:t>
            </w:r>
          </w:p>
        </w:tc>
      </w:tr>
      <w:tr w14:paraId="180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06EB8605">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w:t>
            </w:r>
          </w:p>
        </w:tc>
        <w:tc>
          <w:tcPr>
            <w:tcW w:w="1353" w:type="dxa"/>
            <w:vAlign w:val="center"/>
          </w:tcPr>
          <w:p w14:paraId="6A0A6C2E">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响应文件有效期</w:t>
            </w:r>
          </w:p>
        </w:tc>
        <w:tc>
          <w:tcPr>
            <w:tcW w:w="7479" w:type="dxa"/>
            <w:vAlign w:val="center"/>
          </w:tcPr>
          <w:p w14:paraId="059809BE">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90天</w:t>
            </w:r>
          </w:p>
        </w:tc>
      </w:tr>
      <w:tr w14:paraId="5288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445CD3B8">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w:t>
            </w:r>
          </w:p>
        </w:tc>
        <w:tc>
          <w:tcPr>
            <w:tcW w:w="1353" w:type="dxa"/>
            <w:vAlign w:val="center"/>
          </w:tcPr>
          <w:p w14:paraId="43934C8F">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效力标准</w:t>
            </w:r>
          </w:p>
        </w:tc>
        <w:tc>
          <w:tcPr>
            <w:tcW w:w="7479" w:type="dxa"/>
            <w:vAlign w:val="center"/>
          </w:tcPr>
          <w:p w14:paraId="70DDC04A">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其他内容与前附表有冲突的，以“前附表”为准。</w:t>
            </w:r>
          </w:p>
        </w:tc>
      </w:tr>
      <w:tr w14:paraId="4717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7ACC04C1">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15</w:t>
            </w:r>
          </w:p>
        </w:tc>
        <w:tc>
          <w:tcPr>
            <w:tcW w:w="1353" w:type="dxa"/>
            <w:vAlign w:val="center"/>
          </w:tcPr>
          <w:p w14:paraId="375428AC">
            <w:pPr>
              <w:adjustRightInd w:val="0"/>
              <w:snapToGrid w:val="0"/>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解释权</w:t>
            </w:r>
          </w:p>
        </w:tc>
        <w:tc>
          <w:tcPr>
            <w:tcW w:w="7479" w:type="dxa"/>
            <w:vAlign w:val="center"/>
          </w:tcPr>
          <w:p w14:paraId="3E733553">
            <w:pPr>
              <w:spacing w:line="4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本征集文件的解释权属于征集人。</w:t>
            </w:r>
          </w:p>
        </w:tc>
      </w:tr>
    </w:tbl>
    <w:p w14:paraId="6025D737">
      <w:pPr>
        <w:spacing w:line="360" w:lineRule="auto"/>
        <w:ind w:firstLine="480"/>
        <w:jc w:val="left"/>
        <w:rPr>
          <w:rFonts w:ascii="宋体" w:hAnsi="宋体" w:eastAsia="宋体"/>
          <w:color w:val="auto"/>
          <w:sz w:val="24"/>
          <w:szCs w:val="24"/>
          <w:highlight w:val="none"/>
        </w:rPr>
      </w:pPr>
    </w:p>
    <w:p w14:paraId="0C7DEDCD">
      <w:pPr>
        <w:spacing w:line="360" w:lineRule="auto"/>
        <w:ind w:firstLine="480"/>
        <w:jc w:val="left"/>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14:paraId="119845CD">
      <w:pPr>
        <w:pStyle w:val="3"/>
        <w:spacing w:before="0" w:after="0" w:line="360" w:lineRule="auto"/>
        <w:ind w:firstLine="424" w:firstLineChars="151"/>
        <w:rPr>
          <w:color w:val="auto"/>
          <w:sz w:val="28"/>
          <w:highlight w:val="none"/>
        </w:rPr>
      </w:pPr>
      <w:r>
        <w:rPr>
          <w:rFonts w:hint="eastAsia"/>
          <w:color w:val="auto"/>
          <w:sz w:val="28"/>
          <w:highlight w:val="none"/>
        </w:rPr>
        <w:t>一、总则</w:t>
      </w:r>
    </w:p>
    <w:p w14:paraId="17569F4B">
      <w:pPr>
        <w:pStyle w:val="4"/>
        <w:spacing w:before="0" w:after="0"/>
        <w:ind w:firstLine="424" w:firstLineChars="176"/>
        <w:rPr>
          <w:color w:val="auto"/>
          <w:sz w:val="24"/>
          <w:highlight w:val="none"/>
        </w:rPr>
      </w:pPr>
      <w:r>
        <w:rPr>
          <w:rFonts w:hint="eastAsia"/>
          <w:color w:val="auto"/>
          <w:sz w:val="24"/>
          <w:highlight w:val="none"/>
        </w:rPr>
        <w:t>（一）适用范围</w:t>
      </w:r>
    </w:p>
    <w:p w14:paraId="71E18D02">
      <w:pPr>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仅适用于本次征集文件中采购项目的征集、响应、评标、定标、验收、合同履约、付款等行为（法律法规另有规定的，从其规定）。</w:t>
      </w:r>
    </w:p>
    <w:p w14:paraId="19E148F4">
      <w:pPr>
        <w:pStyle w:val="4"/>
        <w:spacing w:before="0" w:after="0"/>
        <w:ind w:firstLine="424" w:firstLineChars="176"/>
        <w:rPr>
          <w:color w:val="auto"/>
          <w:sz w:val="24"/>
          <w:highlight w:val="none"/>
        </w:rPr>
      </w:pPr>
      <w:r>
        <w:rPr>
          <w:rFonts w:hint="eastAsia"/>
          <w:color w:val="auto"/>
          <w:sz w:val="24"/>
          <w:highlight w:val="none"/>
        </w:rPr>
        <w:t xml:space="preserve">（二）定义 </w:t>
      </w:r>
    </w:p>
    <w:p w14:paraId="6006C9E8">
      <w:pPr>
        <w:adjustRightInd w:val="0"/>
        <w:snapToGrid w:val="0"/>
        <w:spacing w:line="440" w:lineRule="exact"/>
        <w:ind w:firstLine="480" w:firstLineChars="200"/>
        <w:rPr>
          <w:color w:val="auto"/>
          <w:sz w:val="24"/>
          <w:highlight w:val="none"/>
        </w:rPr>
      </w:pPr>
      <w:r>
        <w:rPr>
          <w:rFonts w:hint="eastAsia"/>
          <w:color w:val="auto"/>
          <w:sz w:val="24"/>
          <w:highlight w:val="none"/>
        </w:rPr>
        <w:t>1.征集人：</w:t>
      </w:r>
      <w:bookmarkStart w:id="7" w:name="OLE_LINK3"/>
      <w:r>
        <w:rPr>
          <w:rFonts w:hint="eastAsia"/>
          <w:color w:val="auto"/>
          <w:sz w:val="24"/>
          <w:highlight w:val="none"/>
        </w:rPr>
        <w:t>指本项的</w:t>
      </w:r>
      <w:bookmarkStart w:id="8" w:name="OLE_LINK2"/>
      <w:r>
        <w:rPr>
          <w:rFonts w:hint="eastAsia"/>
          <w:color w:val="auto"/>
          <w:sz w:val="24"/>
          <w:highlight w:val="none"/>
          <w:lang w:val="en-US" w:eastAsia="zh-CN"/>
        </w:rPr>
        <w:t>采购单位</w:t>
      </w:r>
      <w:r>
        <w:rPr>
          <w:rFonts w:hint="eastAsia"/>
          <w:color w:val="auto"/>
          <w:sz w:val="24"/>
          <w:highlight w:val="none"/>
          <w:u w:val="single"/>
          <w:lang w:eastAsia="zh-CN"/>
        </w:rPr>
        <w:t>浦江龙耀交通资源投资有限公司</w:t>
      </w:r>
      <w:bookmarkEnd w:id="8"/>
      <w:r>
        <w:rPr>
          <w:rFonts w:hint="eastAsia"/>
          <w:color w:val="auto"/>
          <w:sz w:val="24"/>
          <w:highlight w:val="none"/>
        </w:rPr>
        <w:t>。</w:t>
      </w:r>
    </w:p>
    <w:bookmarkEnd w:id="7"/>
    <w:p w14:paraId="3308BC34">
      <w:pPr>
        <w:adjustRightInd w:val="0"/>
        <w:snapToGrid w:val="0"/>
        <w:spacing w:line="440" w:lineRule="exact"/>
        <w:ind w:firstLine="480" w:firstLineChars="200"/>
        <w:rPr>
          <w:color w:val="auto"/>
          <w:sz w:val="24"/>
          <w:highlight w:val="none"/>
        </w:rPr>
      </w:pPr>
      <w:r>
        <w:rPr>
          <w:rFonts w:hint="eastAsia"/>
          <w:color w:val="auto"/>
          <w:sz w:val="24"/>
          <w:highlight w:val="none"/>
        </w:rPr>
        <w:t>2.响应方：</w:t>
      </w:r>
      <w:r>
        <w:rPr>
          <w:color w:val="auto"/>
          <w:sz w:val="24"/>
          <w:highlight w:val="none"/>
        </w:rPr>
        <w:t>指响应</w:t>
      </w:r>
      <w:r>
        <w:rPr>
          <w:rFonts w:hint="eastAsia"/>
          <w:color w:val="auto"/>
          <w:sz w:val="24"/>
          <w:highlight w:val="none"/>
        </w:rPr>
        <w:t>征集</w:t>
      </w:r>
      <w:r>
        <w:rPr>
          <w:color w:val="auto"/>
          <w:sz w:val="24"/>
          <w:highlight w:val="none"/>
        </w:rPr>
        <w:t>、参加</w:t>
      </w:r>
      <w:r>
        <w:rPr>
          <w:rFonts w:hint="eastAsia"/>
          <w:color w:val="auto"/>
          <w:sz w:val="24"/>
          <w:highlight w:val="none"/>
        </w:rPr>
        <w:t>响应</w:t>
      </w:r>
      <w:r>
        <w:rPr>
          <w:color w:val="auto"/>
          <w:sz w:val="24"/>
          <w:highlight w:val="none"/>
        </w:rPr>
        <w:t>竞争的法人、其他组织或者自然人</w:t>
      </w:r>
      <w:r>
        <w:rPr>
          <w:rFonts w:hint="eastAsia"/>
          <w:color w:val="auto"/>
          <w:sz w:val="24"/>
          <w:highlight w:val="none"/>
        </w:rPr>
        <w:t>。</w:t>
      </w:r>
    </w:p>
    <w:p w14:paraId="0975A2B1">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3</w:t>
      </w:r>
      <w:r>
        <w:rPr>
          <w:rFonts w:hint="eastAsia"/>
          <w:color w:val="auto"/>
          <w:sz w:val="24"/>
          <w:highlight w:val="none"/>
        </w:rPr>
        <w:t>.货物：指征集文件规定响应方须向</w:t>
      </w:r>
      <w:r>
        <w:rPr>
          <w:rFonts w:hint="eastAsia"/>
          <w:color w:val="auto"/>
          <w:sz w:val="24"/>
          <w:highlight w:val="none"/>
          <w:lang w:eastAsia="zh-CN"/>
        </w:rPr>
        <w:t>征集人</w:t>
      </w:r>
      <w:r>
        <w:rPr>
          <w:rFonts w:hint="eastAsia"/>
          <w:color w:val="auto"/>
          <w:sz w:val="24"/>
          <w:highlight w:val="none"/>
        </w:rPr>
        <w:t>提供的一切材料、设备、机械、仪器仪表、工具及其他有关技术资料和文字材料。</w:t>
      </w:r>
    </w:p>
    <w:p w14:paraId="1DDE63FD">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.服务：指征集文件规定响应方须承担的劳务以及其他类似的义务。</w:t>
      </w:r>
    </w:p>
    <w:p w14:paraId="708D9E47">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rPr>
        <w:t>.项目：指响应方按征集文件规定向</w:t>
      </w:r>
      <w:r>
        <w:rPr>
          <w:rFonts w:hint="eastAsia"/>
          <w:color w:val="auto"/>
          <w:sz w:val="24"/>
          <w:highlight w:val="none"/>
          <w:lang w:eastAsia="zh-CN"/>
        </w:rPr>
        <w:t>征集人</w:t>
      </w:r>
      <w:r>
        <w:rPr>
          <w:rFonts w:hint="eastAsia"/>
          <w:color w:val="auto"/>
          <w:sz w:val="24"/>
          <w:highlight w:val="none"/>
        </w:rPr>
        <w:t>提供的需求总称。</w:t>
      </w:r>
    </w:p>
    <w:p w14:paraId="7694BCFD">
      <w:pPr>
        <w:adjustRightInd w:val="0"/>
        <w:snapToGrid w:val="0"/>
        <w:spacing w:line="440" w:lineRule="exact"/>
        <w:ind w:firstLine="480" w:firstLineChars="200"/>
        <w:rPr>
          <w:color w:val="auto"/>
          <w:sz w:val="24"/>
          <w:highlight w:val="none"/>
        </w:rPr>
      </w:pPr>
      <w:r>
        <w:rPr>
          <w:rFonts w:hint="eastAsia"/>
          <w:color w:val="auto"/>
          <w:sz w:val="24"/>
          <w:highlight w:val="none"/>
          <w:lang w:val="en-US" w:eastAsia="zh-CN"/>
        </w:rPr>
        <w:t>6</w:t>
      </w:r>
      <w:r>
        <w:rPr>
          <w:rFonts w:hint="eastAsia"/>
          <w:color w:val="auto"/>
          <w:sz w:val="24"/>
          <w:highlight w:val="none"/>
        </w:rPr>
        <w:t>.电子交易平台：指</w:t>
      </w:r>
      <w:r>
        <w:rPr>
          <w:color w:val="auto"/>
          <w:sz w:val="24"/>
          <w:highlight w:val="none"/>
        </w:rPr>
        <w:t>采购项目电子交易平台</w:t>
      </w:r>
      <w:r>
        <w:rPr>
          <w:rFonts w:hint="eastAsia"/>
          <w:color w:val="auto"/>
          <w:sz w:val="24"/>
          <w:highlight w:val="none"/>
        </w:rPr>
        <w:t>，即</w:t>
      </w:r>
      <w:r>
        <w:rPr>
          <w:rFonts w:hint="eastAsia"/>
          <w:color w:val="auto"/>
          <w:sz w:val="24"/>
          <w:highlight w:val="none"/>
          <w:lang w:eastAsia="zh-CN"/>
        </w:rPr>
        <w:t>乐</w:t>
      </w:r>
      <w:r>
        <w:rPr>
          <w:color w:val="auto"/>
          <w:sz w:val="24"/>
          <w:highlight w:val="none"/>
        </w:rPr>
        <w:t>采云平台。</w:t>
      </w:r>
    </w:p>
    <w:p w14:paraId="2D0E4EC0">
      <w:pPr>
        <w:pStyle w:val="4"/>
        <w:spacing w:before="0" w:after="0"/>
        <w:ind w:firstLine="424" w:firstLineChars="176"/>
        <w:rPr>
          <w:color w:val="auto"/>
          <w:sz w:val="24"/>
          <w:highlight w:val="none"/>
        </w:rPr>
      </w:pPr>
      <w:r>
        <w:rPr>
          <w:rFonts w:hint="eastAsia"/>
          <w:color w:val="auto"/>
          <w:sz w:val="24"/>
          <w:highlight w:val="none"/>
        </w:rPr>
        <w:t>（三）响应方及委托有关说明</w:t>
      </w:r>
    </w:p>
    <w:p w14:paraId="6838DCB5">
      <w:pPr>
        <w:adjustRightInd w:val="0"/>
        <w:snapToGrid w:val="0"/>
        <w:spacing w:line="440" w:lineRule="exact"/>
        <w:ind w:firstLine="480" w:firstLineChars="200"/>
        <w:rPr>
          <w:color w:val="auto"/>
          <w:sz w:val="24"/>
          <w:highlight w:val="none"/>
        </w:rPr>
      </w:pPr>
      <w:r>
        <w:rPr>
          <w:rFonts w:hint="eastAsia"/>
          <w:color w:val="auto"/>
          <w:sz w:val="24"/>
          <w:highlight w:val="none"/>
        </w:rPr>
        <w:t>1.如授权代表不是法定代表人，须有法定代表人出具的授权委托书（格式见附件）。</w:t>
      </w:r>
    </w:p>
    <w:p w14:paraId="43F58448">
      <w:pPr>
        <w:adjustRightInd w:val="0"/>
        <w:snapToGrid w:val="0"/>
        <w:spacing w:line="440" w:lineRule="exact"/>
        <w:ind w:firstLine="480" w:firstLineChars="200"/>
        <w:rPr>
          <w:color w:val="auto"/>
          <w:sz w:val="24"/>
          <w:highlight w:val="none"/>
        </w:rPr>
      </w:pPr>
      <w:r>
        <w:rPr>
          <w:rFonts w:hint="eastAsia"/>
          <w:color w:val="auto"/>
          <w:sz w:val="24"/>
          <w:highlight w:val="none"/>
        </w:rPr>
        <w:t>2.响应方响应所使用的资格、信誉、荣誉、业绩与企业认证等必须为本法人所拥有。响应方响应所使用的采购项目实施人员必须为响应方</w:t>
      </w:r>
      <w:r>
        <w:rPr>
          <w:rFonts w:hint="eastAsia"/>
          <w:color w:val="auto"/>
          <w:sz w:val="24"/>
          <w:highlight w:val="none"/>
          <w:lang w:val="en-US" w:eastAsia="zh-CN"/>
        </w:rPr>
        <w:t>的正式</w:t>
      </w:r>
      <w:r>
        <w:rPr>
          <w:rFonts w:hint="eastAsia"/>
          <w:color w:val="auto"/>
          <w:sz w:val="24"/>
          <w:highlight w:val="none"/>
        </w:rPr>
        <w:t>员工。</w:t>
      </w:r>
    </w:p>
    <w:p w14:paraId="14BA603C">
      <w:pPr>
        <w:adjustRightInd w:val="0"/>
        <w:snapToGrid w:val="0"/>
        <w:spacing w:line="440" w:lineRule="exact"/>
        <w:ind w:firstLine="480" w:firstLineChars="200"/>
        <w:rPr>
          <w:color w:val="auto"/>
          <w:sz w:val="24"/>
          <w:highlight w:val="none"/>
        </w:rPr>
      </w:pPr>
      <w:r>
        <w:rPr>
          <w:rFonts w:hint="eastAsia"/>
          <w:color w:val="auto"/>
          <w:sz w:val="24"/>
          <w:highlight w:val="none"/>
        </w:rPr>
        <w:t>3.单位负责人为同一人或者存在直接控股、管理关系的不同供应商，不得参加同一合同项下的采购活动。</w:t>
      </w:r>
    </w:p>
    <w:p w14:paraId="3668B2BF">
      <w:pPr>
        <w:adjustRightInd w:val="0"/>
        <w:snapToGrid w:val="0"/>
        <w:spacing w:line="440" w:lineRule="exact"/>
        <w:ind w:firstLine="480" w:firstLineChars="200"/>
        <w:rPr>
          <w:color w:val="auto"/>
          <w:sz w:val="24"/>
          <w:highlight w:val="none"/>
        </w:rPr>
      </w:pPr>
      <w:r>
        <w:rPr>
          <w:rFonts w:hint="eastAsia"/>
          <w:color w:val="auto"/>
          <w:sz w:val="24"/>
          <w:highlight w:val="none"/>
        </w:rPr>
        <w:t>4.响应方应仔细阅读征集文件的所有内容，按照征集文件的要求提交响应文件，并对所提供的全部资料的真实性承担法律责任。</w:t>
      </w:r>
    </w:p>
    <w:p w14:paraId="0851815D">
      <w:pPr>
        <w:pStyle w:val="4"/>
        <w:spacing w:before="0" w:after="0"/>
        <w:ind w:firstLine="424" w:firstLineChars="176"/>
        <w:rPr>
          <w:color w:val="auto"/>
          <w:sz w:val="24"/>
          <w:highlight w:val="none"/>
        </w:rPr>
      </w:pPr>
      <w:r>
        <w:rPr>
          <w:rFonts w:hint="eastAsia"/>
          <w:color w:val="auto"/>
          <w:sz w:val="24"/>
          <w:highlight w:val="none"/>
        </w:rPr>
        <w:t>（四）响应费用</w:t>
      </w:r>
    </w:p>
    <w:p w14:paraId="17C2FD98">
      <w:pPr>
        <w:adjustRightInd w:val="0"/>
        <w:snapToGrid w:val="0"/>
        <w:spacing w:line="440" w:lineRule="exact"/>
        <w:ind w:firstLine="480" w:firstLineChars="200"/>
        <w:rPr>
          <w:color w:val="auto"/>
          <w:sz w:val="24"/>
          <w:highlight w:val="none"/>
        </w:rPr>
      </w:pPr>
      <w:r>
        <w:rPr>
          <w:rFonts w:hint="eastAsia"/>
          <w:color w:val="auto"/>
          <w:sz w:val="24"/>
          <w:highlight w:val="none"/>
        </w:rPr>
        <w:t>不论响应结果如何，响应方均应自行承担所有与响应有关的全部费用（征集文件有其他相反规定除外）。</w:t>
      </w:r>
    </w:p>
    <w:p w14:paraId="0615BEA7">
      <w:pPr>
        <w:pStyle w:val="4"/>
        <w:spacing w:before="0" w:after="0"/>
        <w:ind w:firstLine="424" w:firstLineChars="176"/>
        <w:rPr>
          <w:color w:val="auto"/>
          <w:sz w:val="24"/>
          <w:highlight w:val="none"/>
        </w:rPr>
      </w:pPr>
      <w:r>
        <w:rPr>
          <w:rFonts w:hint="eastAsia"/>
          <w:color w:val="auto"/>
          <w:sz w:val="24"/>
          <w:highlight w:val="none"/>
        </w:rPr>
        <w:t>（五）质疑</w:t>
      </w:r>
    </w:p>
    <w:p w14:paraId="5BEED6E7">
      <w:pPr>
        <w:adjustRightInd w:val="0"/>
        <w:snapToGrid w:val="0"/>
        <w:spacing w:line="440" w:lineRule="exact"/>
        <w:ind w:firstLine="480" w:firstLineChars="200"/>
        <w:rPr>
          <w:color w:val="auto"/>
          <w:sz w:val="24"/>
          <w:highlight w:val="none"/>
        </w:rPr>
      </w:pPr>
      <w:r>
        <w:rPr>
          <w:rFonts w:hint="eastAsia"/>
          <w:color w:val="auto"/>
          <w:sz w:val="24"/>
          <w:highlight w:val="none"/>
        </w:rPr>
        <w:t>1.响应方认为征集过程或入围结果使自己的合法权益受到损害的，可以在入围结果公告期限届满之日起七个工作日内，以书面形式向征集人提出质疑。</w:t>
      </w:r>
    </w:p>
    <w:p w14:paraId="04CED0A7">
      <w:pPr>
        <w:adjustRightInd w:val="0"/>
        <w:snapToGrid w:val="0"/>
        <w:spacing w:line="440" w:lineRule="exact"/>
        <w:ind w:firstLine="480" w:firstLineChars="200"/>
        <w:rPr>
          <w:color w:val="auto"/>
          <w:sz w:val="24"/>
          <w:highlight w:val="none"/>
        </w:rPr>
      </w:pPr>
      <w:r>
        <w:rPr>
          <w:rFonts w:hint="eastAsia"/>
          <w:color w:val="auto"/>
          <w:sz w:val="24"/>
          <w:highlight w:val="none"/>
        </w:rPr>
        <w:t xml:space="preserve"> 2.质疑应当以书面形式提出，格式见《政府采购质疑和投诉办法》（财政部令第94号）附件范本，下载网址：浙江政府采购网，位置：“首页－下载专区－质疑投诉模板”。供应商提出质疑应当提交质疑函和必要的证明材料。供应商应当在法定质疑期内一次性提出针对同一采购程序环节的质疑。</w:t>
      </w:r>
    </w:p>
    <w:p w14:paraId="4D9EC930">
      <w:pPr>
        <w:adjustRightInd w:val="0"/>
        <w:snapToGrid w:val="0"/>
        <w:spacing w:line="440" w:lineRule="exact"/>
        <w:ind w:firstLine="480" w:firstLineChars="200"/>
        <w:rPr>
          <w:color w:val="auto"/>
          <w:sz w:val="24"/>
          <w:highlight w:val="none"/>
        </w:rPr>
      </w:pPr>
      <w:r>
        <w:rPr>
          <w:rFonts w:hint="eastAsia"/>
          <w:color w:val="auto"/>
          <w:sz w:val="24"/>
          <w:highlight w:val="none"/>
        </w:rPr>
        <w:t>质疑函应当包括下列内容：</w:t>
      </w:r>
    </w:p>
    <w:p w14:paraId="3E9AFB24">
      <w:pPr>
        <w:adjustRightInd w:val="0"/>
        <w:snapToGrid w:val="0"/>
        <w:spacing w:line="440" w:lineRule="exact"/>
        <w:ind w:firstLine="480" w:firstLineChars="200"/>
        <w:rPr>
          <w:color w:val="auto"/>
          <w:sz w:val="24"/>
          <w:highlight w:val="none"/>
        </w:rPr>
      </w:pPr>
      <w:r>
        <w:rPr>
          <w:rFonts w:hint="eastAsia"/>
          <w:color w:val="auto"/>
          <w:sz w:val="24"/>
          <w:highlight w:val="none"/>
        </w:rPr>
        <w:t>⑴供应商的姓名或者名称、地址、邮编、联系人及联系电话；</w:t>
      </w:r>
    </w:p>
    <w:p w14:paraId="554C56E8">
      <w:pPr>
        <w:adjustRightInd w:val="0"/>
        <w:snapToGrid w:val="0"/>
        <w:spacing w:line="440" w:lineRule="exact"/>
        <w:ind w:firstLine="480" w:firstLineChars="200"/>
        <w:rPr>
          <w:color w:val="auto"/>
          <w:sz w:val="24"/>
          <w:highlight w:val="none"/>
        </w:rPr>
      </w:pPr>
      <w:r>
        <w:rPr>
          <w:rFonts w:hint="eastAsia"/>
          <w:color w:val="auto"/>
          <w:sz w:val="24"/>
          <w:highlight w:val="none"/>
        </w:rPr>
        <w:t>⑵质疑项目的名称、编号；</w:t>
      </w:r>
    </w:p>
    <w:p w14:paraId="21E5CA54">
      <w:pPr>
        <w:adjustRightInd w:val="0"/>
        <w:snapToGrid w:val="0"/>
        <w:spacing w:line="440" w:lineRule="exact"/>
        <w:ind w:firstLine="480" w:firstLineChars="200"/>
        <w:rPr>
          <w:color w:val="auto"/>
          <w:sz w:val="24"/>
          <w:highlight w:val="none"/>
        </w:rPr>
      </w:pPr>
      <w:r>
        <w:rPr>
          <w:rFonts w:hint="eastAsia"/>
          <w:color w:val="auto"/>
          <w:sz w:val="24"/>
          <w:highlight w:val="none"/>
        </w:rPr>
        <w:t>⑶具体、明确的质疑事项和与质疑事项相关的请求；</w:t>
      </w:r>
    </w:p>
    <w:p w14:paraId="6523EC8B">
      <w:pPr>
        <w:adjustRightInd w:val="0"/>
        <w:snapToGrid w:val="0"/>
        <w:spacing w:line="440" w:lineRule="exact"/>
        <w:ind w:firstLine="480" w:firstLineChars="200"/>
        <w:rPr>
          <w:color w:val="auto"/>
          <w:sz w:val="24"/>
          <w:highlight w:val="none"/>
        </w:rPr>
      </w:pPr>
      <w:r>
        <w:rPr>
          <w:rFonts w:hint="eastAsia"/>
          <w:color w:val="auto"/>
          <w:sz w:val="24"/>
          <w:highlight w:val="none"/>
        </w:rPr>
        <w:t>⑷事实依据；</w:t>
      </w:r>
    </w:p>
    <w:p w14:paraId="26BF88AE">
      <w:pPr>
        <w:adjustRightInd w:val="0"/>
        <w:snapToGrid w:val="0"/>
        <w:spacing w:line="440" w:lineRule="exact"/>
        <w:ind w:firstLine="480" w:firstLineChars="200"/>
        <w:rPr>
          <w:color w:val="auto"/>
          <w:sz w:val="24"/>
          <w:highlight w:val="none"/>
        </w:rPr>
      </w:pPr>
      <w:r>
        <w:rPr>
          <w:rFonts w:hint="eastAsia"/>
          <w:color w:val="auto"/>
          <w:sz w:val="24"/>
          <w:highlight w:val="none"/>
        </w:rPr>
        <w:t>⑸必要的法律依据；</w:t>
      </w:r>
    </w:p>
    <w:p w14:paraId="4D01C2EA">
      <w:pPr>
        <w:adjustRightInd w:val="0"/>
        <w:snapToGrid w:val="0"/>
        <w:spacing w:line="440" w:lineRule="exact"/>
        <w:ind w:firstLine="480" w:firstLineChars="200"/>
        <w:rPr>
          <w:color w:val="auto"/>
          <w:sz w:val="24"/>
          <w:highlight w:val="none"/>
        </w:rPr>
      </w:pPr>
      <w:r>
        <w:rPr>
          <w:rFonts w:hint="eastAsia"/>
          <w:color w:val="auto"/>
          <w:sz w:val="24"/>
          <w:highlight w:val="none"/>
        </w:rPr>
        <w:t>⑹提出质疑的日期。</w:t>
      </w:r>
    </w:p>
    <w:p w14:paraId="5222F26F">
      <w:pPr>
        <w:adjustRightInd w:val="0"/>
        <w:snapToGrid w:val="0"/>
        <w:spacing w:line="440" w:lineRule="exact"/>
        <w:ind w:firstLine="480" w:firstLineChars="200"/>
        <w:rPr>
          <w:color w:val="auto"/>
          <w:sz w:val="24"/>
          <w:highlight w:val="none"/>
        </w:rPr>
      </w:pPr>
      <w:r>
        <w:rPr>
          <w:rFonts w:hint="eastAsia"/>
          <w:color w:val="auto"/>
          <w:sz w:val="24"/>
          <w:highlight w:val="none"/>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14:paraId="3115A234">
      <w:pPr>
        <w:pStyle w:val="4"/>
        <w:spacing w:before="0" w:after="0"/>
        <w:ind w:firstLine="424" w:firstLineChars="176"/>
        <w:rPr>
          <w:color w:val="auto"/>
          <w:sz w:val="24"/>
          <w:highlight w:val="none"/>
        </w:rPr>
      </w:pPr>
      <w:r>
        <w:rPr>
          <w:rFonts w:hint="eastAsia"/>
          <w:color w:val="auto"/>
          <w:sz w:val="24"/>
          <w:highlight w:val="none"/>
        </w:rPr>
        <w:t xml:space="preserve">（六）征集文件的澄清与修改 </w:t>
      </w:r>
    </w:p>
    <w:p w14:paraId="1EF449CA">
      <w:pPr>
        <w:adjustRightInd w:val="0"/>
        <w:snapToGrid w:val="0"/>
        <w:spacing w:line="440" w:lineRule="exact"/>
        <w:ind w:firstLine="480" w:firstLineChars="200"/>
        <w:rPr>
          <w:color w:val="auto"/>
          <w:sz w:val="24"/>
          <w:highlight w:val="none"/>
        </w:rPr>
      </w:pPr>
      <w:r>
        <w:rPr>
          <w:rFonts w:hint="eastAsia"/>
          <w:color w:val="auto"/>
          <w:sz w:val="24"/>
          <w:highlight w:val="none"/>
        </w:rPr>
        <w:t>1.响应方应认真阅读本征集文件，发现其中有误或有不合理要求的，响应方应当于公告发布之日起至公告期限满7个工作日内以书面形式向征集人提出。征集人将在规定的时间内，在财政部门指定的政府采购信息发布媒体上发布更正公告，并以书面形式通知所有征集文件收受人。逾期提出征集人将不予受理。</w:t>
      </w:r>
    </w:p>
    <w:p w14:paraId="7F96F620">
      <w:pPr>
        <w:adjustRightInd w:val="0"/>
        <w:snapToGrid w:val="0"/>
        <w:spacing w:line="440" w:lineRule="exact"/>
        <w:ind w:firstLine="480" w:firstLineChars="200"/>
        <w:rPr>
          <w:color w:val="auto"/>
          <w:sz w:val="24"/>
          <w:highlight w:val="none"/>
        </w:rPr>
      </w:pPr>
      <w:r>
        <w:rPr>
          <w:rFonts w:hint="eastAsia"/>
          <w:color w:val="auto"/>
          <w:sz w:val="24"/>
          <w:highlight w:val="none"/>
        </w:rPr>
        <w:t>2.征集人主动进行的澄清、修改：征集人无论出于何种原因，均可主动对征集文件中的相关事项，用补充文件等方式进行澄清和修改。</w:t>
      </w:r>
    </w:p>
    <w:p w14:paraId="23D0BC7C">
      <w:pPr>
        <w:adjustRightInd w:val="0"/>
        <w:snapToGrid w:val="0"/>
        <w:spacing w:line="440" w:lineRule="exact"/>
        <w:ind w:firstLine="480" w:firstLineChars="200"/>
        <w:rPr>
          <w:color w:val="auto"/>
          <w:sz w:val="24"/>
          <w:highlight w:val="none"/>
        </w:rPr>
      </w:pPr>
      <w:r>
        <w:rPr>
          <w:rFonts w:hint="eastAsia"/>
          <w:color w:val="auto"/>
          <w:sz w:val="24"/>
          <w:highlight w:val="none"/>
        </w:rPr>
        <w:t>3.征集文件澄清、答复、修改、补充的内容为征集文件的组成部分。当征集文件与征集文件的答复、澄清、修改、补充通知就同一内容的表述不一致时，以最后发出的书面文件为准。</w:t>
      </w:r>
    </w:p>
    <w:p w14:paraId="4EFB8E1E">
      <w:pPr>
        <w:pStyle w:val="3"/>
        <w:spacing w:before="0" w:after="0" w:line="360" w:lineRule="auto"/>
        <w:ind w:firstLine="424" w:firstLineChars="151"/>
        <w:rPr>
          <w:color w:val="auto"/>
          <w:sz w:val="28"/>
          <w:highlight w:val="none"/>
        </w:rPr>
      </w:pPr>
      <w:r>
        <w:rPr>
          <w:rFonts w:hint="eastAsia"/>
          <w:color w:val="auto"/>
          <w:sz w:val="28"/>
          <w:highlight w:val="none"/>
        </w:rPr>
        <w:t>二、响应文件的编制</w:t>
      </w:r>
    </w:p>
    <w:p w14:paraId="4FFCFB58">
      <w:pPr>
        <w:pStyle w:val="4"/>
        <w:spacing w:before="0" w:after="0"/>
        <w:ind w:firstLine="424" w:firstLineChars="176"/>
        <w:rPr>
          <w:color w:val="auto"/>
          <w:sz w:val="24"/>
          <w:highlight w:val="none"/>
        </w:rPr>
      </w:pPr>
      <w:r>
        <w:rPr>
          <w:rFonts w:hint="eastAsia"/>
          <w:color w:val="auto"/>
          <w:sz w:val="24"/>
          <w:highlight w:val="none"/>
        </w:rPr>
        <w:t>（一）响应文件编制工具</w:t>
      </w:r>
    </w:p>
    <w:p w14:paraId="0ECAEC1E">
      <w:pPr>
        <w:keepNext w:val="0"/>
        <w:keepLines w:val="0"/>
        <w:pageBreakBefore w:val="0"/>
        <w:widowControl/>
        <w:kinsoku/>
        <w:wordWrap/>
        <w:overflowPunct/>
        <w:topLinePunct w:val="0"/>
        <w:autoSpaceDE/>
        <w:autoSpaceDN/>
        <w:bidi w:val="0"/>
        <w:spacing w:line="350" w:lineRule="exact"/>
        <w:ind w:firstLine="384"/>
        <w:jc w:val="left"/>
        <w:textAlignment w:val="auto"/>
        <w:rPr>
          <w:color w:val="auto"/>
          <w:sz w:val="24"/>
          <w:highlight w:val="none"/>
        </w:rPr>
      </w:pPr>
      <w:r>
        <w:rPr>
          <w:rFonts w:hint="eastAsia"/>
          <w:color w:val="auto"/>
          <w:sz w:val="24"/>
          <w:highlight w:val="none"/>
        </w:rPr>
        <w:t>响应文件编制工具为</w:t>
      </w:r>
      <w:r>
        <w:rPr>
          <w:rFonts w:hint="eastAsia"/>
          <w:color w:val="auto"/>
          <w:sz w:val="24"/>
          <w:highlight w:val="none"/>
          <w:lang w:eastAsia="zh-CN"/>
        </w:rPr>
        <w:t>乐</w:t>
      </w:r>
      <w:r>
        <w:rPr>
          <w:color w:val="auto"/>
          <w:sz w:val="24"/>
          <w:highlight w:val="none"/>
        </w:rPr>
        <w:t>采云电子交易客户端</w:t>
      </w:r>
      <w:r>
        <w:rPr>
          <w:rFonts w:hint="eastAsia"/>
          <w:color w:val="auto"/>
          <w:sz w:val="24"/>
          <w:highlight w:val="none"/>
        </w:rPr>
        <w:t>自行下载并安装，</w:t>
      </w:r>
      <w:r>
        <w:rPr>
          <w:rFonts w:hint="eastAsia" w:ascii="宋体" w:hAnsi="宋体" w:cs="宋体"/>
          <w:color w:val="auto"/>
          <w:kern w:val="0"/>
          <w:sz w:val="24"/>
          <w:highlight w:val="none"/>
        </w:rPr>
        <w:t>客户端软件下载方式：“</w:t>
      </w:r>
      <w:r>
        <w:rPr>
          <w:rFonts w:hint="eastAsia" w:ascii="宋体" w:hAnsi="宋体" w:cs="宋体"/>
          <w:color w:val="auto"/>
          <w:kern w:val="0"/>
          <w:sz w:val="24"/>
          <w:highlight w:val="none"/>
          <w:lang w:eastAsia="zh-CN"/>
        </w:rPr>
        <w:t>乐采云</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rPr>
        <w:t>客户端”。</w:t>
      </w:r>
    </w:p>
    <w:p w14:paraId="063DBD07">
      <w:pPr>
        <w:pStyle w:val="4"/>
        <w:spacing w:before="0" w:after="0"/>
        <w:ind w:firstLine="424" w:firstLineChars="176"/>
        <w:rPr>
          <w:color w:val="auto"/>
          <w:sz w:val="24"/>
          <w:highlight w:val="none"/>
        </w:rPr>
      </w:pPr>
      <w:r>
        <w:rPr>
          <w:rFonts w:hint="eastAsia"/>
          <w:color w:val="auto"/>
          <w:sz w:val="24"/>
          <w:highlight w:val="none"/>
        </w:rPr>
        <w:t>（二）响应文件的效力</w:t>
      </w:r>
    </w:p>
    <w:p w14:paraId="2F83627C">
      <w:pPr>
        <w:adjustRightInd w:val="0"/>
        <w:snapToGrid w:val="0"/>
        <w:spacing w:line="440" w:lineRule="exact"/>
        <w:ind w:firstLine="480" w:firstLineChars="200"/>
        <w:rPr>
          <w:color w:val="auto"/>
          <w:highlight w:val="none"/>
        </w:rPr>
      </w:pPr>
      <w:r>
        <w:rPr>
          <w:rFonts w:hint="eastAsia"/>
          <w:color w:val="auto"/>
          <w:sz w:val="24"/>
          <w:highlight w:val="none"/>
        </w:rPr>
        <w:t>电子响应文件未按时解密，响应方提供了备份响应文件的，以备份响应文件作为依据，否则视为响应文件撤回。电子响应文件已按时解密的，备份响应文件自动失效。</w:t>
      </w:r>
    </w:p>
    <w:p w14:paraId="3588AA09">
      <w:pPr>
        <w:pStyle w:val="4"/>
        <w:spacing w:before="0" w:after="0"/>
        <w:ind w:firstLine="424" w:firstLineChars="176"/>
        <w:rPr>
          <w:color w:val="auto"/>
          <w:sz w:val="24"/>
          <w:highlight w:val="none"/>
        </w:rPr>
      </w:pPr>
      <w:r>
        <w:rPr>
          <w:rFonts w:hint="eastAsia"/>
          <w:color w:val="auto"/>
          <w:sz w:val="24"/>
          <w:highlight w:val="none"/>
        </w:rPr>
        <w:t>（三）响应文件的组成</w:t>
      </w:r>
    </w:p>
    <w:p w14:paraId="46A8D688">
      <w:pPr>
        <w:spacing w:line="360" w:lineRule="auto"/>
        <w:ind w:firstLine="480" w:firstLineChars="200"/>
        <w:rPr>
          <w:color w:val="auto"/>
          <w:sz w:val="24"/>
          <w:highlight w:val="none"/>
        </w:rPr>
      </w:pPr>
      <w:r>
        <w:rPr>
          <w:rFonts w:hint="eastAsia"/>
          <w:color w:val="auto"/>
          <w:sz w:val="24"/>
          <w:highlight w:val="none"/>
        </w:rPr>
        <w:t>本项目所称响应文件系指电子响应文件或备份响应文件。响应文件需按照本征集文件和电子交易平台的要求制作、加密并递交。</w:t>
      </w:r>
    </w:p>
    <w:p w14:paraId="5EF9F240">
      <w:pPr>
        <w:spacing w:line="360" w:lineRule="auto"/>
        <w:ind w:firstLine="480" w:firstLineChars="200"/>
        <w:rPr>
          <w:color w:val="auto"/>
          <w:sz w:val="24"/>
          <w:highlight w:val="none"/>
        </w:rPr>
      </w:pPr>
      <w:r>
        <w:rPr>
          <w:rFonts w:hint="eastAsia"/>
          <w:color w:val="auto"/>
          <w:sz w:val="24"/>
          <w:highlight w:val="none"/>
        </w:rPr>
        <w:t>电子响应文件每个标项由资格响应文件、技术商务文件、报价文件三部分组成。备份响应文件的组成和内容等同电子响应文件。备份电子</w:t>
      </w:r>
      <w:r>
        <w:rPr>
          <w:rFonts w:hint="eastAsia"/>
          <w:color w:val="auto"/>
          <w:sz w:val="24"/>
          <w:highlight w:val="none"/>
          <w:lang w:eastAsia="zh-CN"/>
        </w:rPr>
        <w:t>响应文件</w:t>
      </w:r>
      <w:r>
        <w:rPr>
          <w:rFonts w:hint="eastAsia"/>
          <w:color w:val="auto"/>
          <w:sz w:val="24"/>
          <w:highlight w:val="none"/>
        </w:rPr>
        <w:t>，按</w:t>
      </w:r>
      <w:r>
        <w:rPr>
          <w:rFonts w:hint="eastAsia"/>
          <w:color w:val="auto"/>
          <w:sz w:val="24"/>
          <w:highlight w:val="none"/>
          <w:lang w:eastAsia="zh-CN"/>
        </w:rPr>
        <w:t>乐采云</w:t>
      </w:r>
      <w:r>
        <w:rPr>
          <w:rFonts w:hint="eastAsia"/>
          <w:color w:val="auto"/>
          <w:sz w:val="24"/>
          <w:highlight w:val="none"/>
        </w:rPr>
        <w:t>平台项目采购－电子招投标操作指南中上传的电子</w:t>
      </w:r>
      <w:r>
        <w:rPr>
          <w:rFonts w:hint="eastAsia"/>
          <w:color w:val="auto"/>
          <w:sz w:val="24"/>
          <w:highlight w:val="none"/>
          <w:lang w:eastAsia="zh-CN"/>
        </w:rPr>
        <w:t>响应文件</w:t>
      </w:r>
      <w:r>
        <w:rPr>
          <w:rFonts w:hint="eastAsia"/>
          <w:color w:val="auto"/>
          <w:sz w:val="24"/>
          <w:highlight w:val="none"/>
        </w:rPr>
        <w:t>格式，以光盘或U盘形式提供。数量为1份。</w:t>
      </w:r>
    </w:p>
    <w:p w14:paraId="729567A5">
      <w:pPr>
        <w:spacing w:line="360" w:lineRule="auto"/>
        <w:ind w:firstLine="480" w:firstLineChars="200"/>
        <w:rPr>
          <w:color w:val="auto"/>
          <w:sz w:val="24"/>
          <w:highlight w:val="none"/>
        </w:rPr>
      </w:pPr>
      <w:r>
        <w:rPr>
          <w:rFonts w:hint="eastAsia"/>
          <w:color w:val="auto"/>
          <w:sz w:val="24"/>
          <w:highlight w:val="none"/>
        </w:rPr>
        <w:t>注：法定代表人/执行事务合伙人授权委托书、响应声明书、报价明细表必须按征集文件格式要求正确签署并加盖响应方公章。响应文件中所</w:t>
      </w:r>
      <w:r>
        <w:rPr>
          <w:rFonts w:hint="eastAsia"/>
          <w:color w:val="auto"/>
          <w:sz w:val="24"/>
          <w:highlight w:val="none"/>
          <w:lang w:eastAsia="zh-CN"/>
        </w:rPr>
        <w:t>需</w:t>
      </w:r>
      <w:r>
        <w:rPr>
          <w:rFonts w:hint="eastAsia"/>
          <w:color w:val="auto"/>
          <w:sz w:val="24"/>
          <w:highlight w:val="none"/>
        </w:rPr>
        <w:t>加盖公章部分均采用CA签章。</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4586"/>
      </w:tblGrid>
      <w:tr w14:paraId="1015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E5BC80E">
            <w:pPr>
              <w:spacing w:line="360" w:lineRule="auto"/>
              <w:rPr>
                <w:b/>
                <w:color w:val="auto"/>
                <w:sz w:val="24"/>
                <w:highlight w:val="none"/>
              </w:rPr>
            </w:pPr>
            <w:r>
              <w:rPr>
                <w:rFonts w:hint="eastAsia"/>
                <w:b/>
                <w:color w:val="auto"/>
                <w:sz w:val="24"/>
                <w:highlight w:val="none"/>
              </w:rPr>
              <w:t>资格响应文件目录</w:t>
            </w:r>
          </w:p>
        </w:tc>
      </w:tr>
      <w:tr w14:paraId="47BA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406319">
            <w:pPr>
              <w:spacing w:line="360" w:lineRule="auto"/>
              <w:jc w:val="center"/>
              <w:rPr>
                <w:color w:val="auto"/>
                <w:sz w:val="24"/>
                <w:highlight w:val="none"/>
              </w:rPr>
            </w:pPr>
            <w:r>
              <w:rPr>
                <w:rFonts w:hint="eastAsia"/>
                <w:color w:val="auto"/>
                <w:sz w:val="24"/>
                <w:highlight w:val="none"/>
              </w:rPr>
              <w:t>序号</w:t>
            </w:r>
          </w:p>
        </w:tc>
        <w:tc>
          <w:tcPr>
            <w:tcW w:w="3119" w:type="dxa"/>
          </w:tcPr>
          <w:p w14:paraId="311F5F41">
            <w:pPr>
              <w:spacing w:line="360" w:lineRule="auto"/>
              <w:jc w:val="center"/>
              <w:rPr>
                <w:color w:val="auto"/>
                <w:sz w:val="24"/>
                <w:highlight w:val="none"/>
              </w:rPr>
            </w:pPr>
            <w:r>
              <w:rPr>
                <w:rFonts w:hint="eastAsia"/>
                <w:color w:val="auto"/>
                <w:sz w:val="24"/>
                <w:highlight w:val="none"/>
              </w:rPr>
              <w:t>内容</w:t>
            </w:r>
          </w:p>
        </w:tc>
        <w:tc>
          <w:tcPr>
            <w:tcW w:w="4586" w:type="dxa"/>
          </w:tcPr>
          <w:p w14:paraId="1F721D5A">
            <w:pPr>
              <w:spacing w:line="360" w:lineRule="auto"/>
              <w:jc w:val="center"/>
              <w:rPr>
                <w:color w:val="auto"/>
                <w:sz w:val="24"/>
                <w:highlight w:val="none"/>
              </w:rPr>
            </w:pPr>
            <w:r>
              <w:rPr>
                <w:rFonts w:hint="eastAsia"/>
                <w:color w:val="auto"/>
                <w:sz w:val="24"/>
                <w:highlight w:val="none"/>
              </w:rPr>
              <w:t>说明</w:t>
            </w:r>
          </w:p>
        </w:tc>
      </w:tr>
      <w:tr w14:paraId="6DF7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81ED56">
            <w:pPr>
              <w:spacing w:line="360" w:lineRule="auto"/>
              <w:jc w:val="center"/>
              <w:rPr>
                <w:color w:val="auto"/>
                <w:sz w:val="24"/>
                <w:highlight w:val="none"/>
              </w:rPr>
            </w:pPr>
            <w:r>
              <w:rPr>
                <w:rFonts w:hint="eastAsia"/>
                <w:color w:val="auto"/>
                <w:sz w:val="24"/>
                <w:highlight w:val="none"/>
              </w:rPr>
              <w:t>1</w:t>
            </w:r>
          </w:p>
        </w:tc>
        <w:tc>
          <w:tcPr>
            <w:tcW w:w="3119" w:type="dxa"/>
          </w:tcPr>
          <w:p w14:paraId="3EAD6F36">
            <w:pPr>
              <w:spacing w:line="360" w:lineRule="auto"/>
              <w:rPr>
                <w:color w:val="auto"/>
                <w:sz w:val="24"/>
                <w:highlight w:val="none"/>
              </w:rPr>
            </w:pPr>
            <w:r>
              <w:rPr>
                <w:rFonts w:hint="eastAsia"/>
                <w:color w:val="auto"/>
                <w:sz w:val="24"/>
                <w:highlight w:val="none"/>
              </w:rPr>
              <w:t>响应声明书</w:t>
            </w:r>
          </w:p>
        </w:tc>
        <w:tc>
          <w:tcPr>
            <w:tcW w:w="4586" w:type="dxa"/>
          </w:tcPr>
          <w:p w14:paraId="33154DF2">
            <w:pPr>
              <w:spacing w:line="360" w:lineRule="auto"/>
              <w:rPr>
                <w:color w:val="auto"/>
                <w:sz w:val="24"/>
                <w:highlight w:val="none"/>
              </w:rPr>
            </w:pPr>
            <w:r>
              <w:rPr>
                <w:rFonts w:hint="eastAsia"/>
                <w:color w:val="auto"/>
                <w:sz w:val="24"/>
                <w:highlight w:val="none"/>
              </w:rPr>
              <w:t>格式见《第六章 响应文件格式》</w:t>
            </w:r>
          </w:p>
        </w:tc>
      </w:tr>
      <w:tr w14:paraId="2E1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F24D1C">
            <w:pPr>
              <w:spacing w:line="360" w:lineRule="auto"/>
              <w:jc w:val="center"/>
              <w:rPr>
                <w:color w:val="auto"/>
                <w:sz w:val="24"/>
                <w:highlight w:val="none"/>
              </w:rPr>
            </w:pPr>
            <w:r>
              <w:rPr>
                <w:rFonts w:hint="eastAsia"/>
                <w:color w:val="auto"/>
                <w:sz w:val="24"/>
                <w:highlight w:val="none"/>
              </w:rPr>
              <w:t>2</w:t>
            </w:r>
          </w:p>
        </w:tc>
        <w:tc>
          <w:tcPr>
            <w:tcW w:w="3119" w:type="dxa"/>
          </w:tcPr>
          <w:p w14:paraId="1A479197">
            <w:pPr>
              <w:spacing w:line="360" w:lineRule="auto"/>
              <w:rPr>
                <w:color w:val="auto"/>
                <w:sz w:val="24"/>
                <w:highlight w:val="none"/>
              </w:rPr>
            </w:pPr>
            <w:r>
              <w:rPr>
                <w:rFonts w:hint="eastAsia"/>
                <w:color w:val="auto"/>
                <w:sz w:val="24"/>
                <w:highlight w:val="none"/>
              </w:rPr>
              <w:t>法定代表人授权委托书</w:t>
            </w:r>
          </w:p>
        </w:tc>
        <w:tc>
          <w:tcPr>
            <w:tcW w:w="4586" w:type="dxa"/>
          </w:tcPr>
          <w:p w14:paraId="02212429">
            <w:pPr>
              <w:spacing w:line="360" w:lineRule="auto"/>
              <w:rPr>
                <w:color w:val="auto"/>
                <w:sz w:val="24"/>
                <w:highlight w:val="none"/>
              </w:rPr>
            </w:pPr>
            <w:r>
              <w:rPr>
                <w:rFonts w:hint="eastAsia"/>
                <w:color w:val="auto"/>
                <w:sz w:val="24"/>
                <w:highlight w:val="none"/>
              </w:rPr>
              <w:t>格式见《第六章 响应文件格式》</w:t>
            </w:r>
          </w:p>
        </w:tc>
      </w:tr>
      <w:tr w14:paraId="4FD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08CA69">
            <w:pPr>
              <w:spacing w:line="360" w:lineRule="auto"/>
              <w:jc w:val="center"/>
              <w:rPr>
                <w:color w:val="auto"/>
                <w:sz w:val="24"/>
                <w:highlight w:val="none"/>
              </w:rPr>
            </w:pPr>
            <w:r>
              <w:rPr>
                <w:rFonts w:hint="eastAsia"/>
                <w:color w:val="auto"/>
                <w:sz w:val="24"/>
                <w:highlight w:val="none"/>
              </w:rPr>
              <w:t>3</w:t>
            </w:r>
          </w:p>
        </w:tc>
        <w:tc>
          <w:tcPr>
            <w:tcW w:w="3119" w:type="dxa"/>
          </w:tcPr>
          <w:p w14:paraId="32F23E11">
            <w:pPr>
              <w:spacing w:line="360" w:lineRule="auto"/>
              <w:rPr>
                <w:color w:val="auto"/>
                <w:sz w:val="24"/>
                <w:highlight w:val="none"/>
              </w:rPr>
            </w:pPr>
            <w:r>
              <w:rPr>
                <w:rFonts w:hint="eastAsia"/>
                <w:color w:val="auto"/>
                <w:sz w:val="24"/>
                <w:highlight w:val="none"/>
              </w:rPr>
              <w:t>有效的营业执照</w:t>
            </w:r>
          </w:p>
        </w:tc>
        <w:tc>
          <w:tcPr>
            <w:tcW w:w="4586" w:type="dxa"/>
          </w:tcPr>
          <w:p w14:paraId="4499B397">
            <w:pPr>
              <w:spacing w:line="360" w:lineRule="auto"/>
              <w:rPr>
                <w:color w:val="auto"/>
                <w:sz w:val="24"/>
                <w:highlight w:val="none"/>
              </w:rPr>
            </w:pPr>
            <w:r>
              <w:rPr>
                <w:rFonts w:hint="eastAsia"/>
                <w:color w:val="auto"/>
                <w:sz w:val="24"/>
                <w:highlight w:val="none"/>
              </w:rPr>
              <w:t>营业执照正本或副本扫描件并加盖响应供应商单位公章；事业单位的，则提供有效的《事业单位法人证书》正本或副本扫描件并加盖公章；自然人的，则提供有效的身份证扫描件并签字。</w:t>
            </w:r>
          </w:p>
        </w:tc>
      </w:tr>
      <w:tr w14:paraId="01F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AD47CA">
            <w:pPr>
              <w:spacing w:line="360" w:lineRule="auto"/>
              <w:jc w:val="center"/>
              <w:rPr>
                <w:rFonts w:hint="eastAsia" w:eastAsiaTheme="minorEastAsia"/>
                <w:b/>
                <w:bCs/>
                <w:color w:val="auto"/>
                <w:sz w:val="24"/>
                <w:highlight w:val="none"/>
                <w:lang w:val="en-US" w:eastAsia="zh-CN"/>
              </w:rPr>
            </w:pPr>
            <w:r>
              <w:rPr>
                <w:rFonts w:hint="eastAsia"/>
                <w:b/>
                <w:bCs/>
                <w:color w:val="auto"/>
                <w:sz w:val="24"/>
                <w:highlight w:val="none"/>
                <w:lang w:val="en-US" w:eastAsia="zh-CN"/>
              </w:rPr>
              <w:t>4</w:t>
            </w:r>
          </w:p>
        </w:tc>
        <w:tc>
          <w:tcPr>
            <w:tcW w:w="3119" w:type="dxa"/>
          </w:tcPr>
          <w:p w14:paraId="3954A372">
            <w:pPr>
              <w:spacing w:line="360" w:lineRule="auto"/>
              <w:rPr>
                <w:rFonts w:hint="eastAsia" w:eastAsiaTheme="minorEastAsia"/>
                <w:b/>
                <w:bCs/>
                <w:color w:val="auto"/>
                <w:sz w:val="24"/>
                <w:highlight w:val="none"/>
                <w:lang w:val="en-US" w:eastAsia="zh-CN"/>
              </w:rPr>
            </w:pPr>
            <w:r>
              <w:rPr>
                <w:rFonts w:hint="eastAsia" w:ascii="宋体" w:hAnsi="宋体" w:eastAsia="宋体"/>
                <w:b/>
                <w:bCs/>
                <w:color w:val="auto"/>
                <w:sz w:val="24"/>
                <w:szCs w:val="24"/>
                <w:highlight w:val="none"/>
              </w:rPr>
              <w:t>特定资格要求</w:t>
            </w:r>
          </w:p>
        </w:tc>
        <w:tc>
          <w:tcPr>
            <w:tcW w:w="4586" w:type="dxa"/>
          </w:tcPr>
          <w:p w14:paraId="39486A66">
            <w:pPr>
              <w:spacing w:line="360" w:lineRule="auto"/>
              <w:rPr>
                <w:rFonts w:hint="eastAsia"/>
                <w:b/>
                <w:bCs/>
                <w:color w:val="auto"/>
                <w:sz w:val="24"/>
                <w:highlight w:val="none"/>
              </w:rPr>
            </w:pPr>
            <w:r>
              <w:rPr>
                <w:rFonts w:hint="eastAsia" w:ascii="宋体" w:hAnsi="宋体" w:eastAsia="宋体"/>
                <w:b/>
                <w:bCs/>
                <w:color w:val="auto"/>
                <w:sz w:val="24"/>
                <w:szCs w:val="24"/>
                <w:highlight w:val="none"/>
              </w:rPr>
              <w:t>须具备地质灾害治理工程监理乙级及以上资质</w:t>
            </w:r>
            <w:r>
              <w:rPr>
                <w:rFonts w:hint="eastAsia" w:ascii="宋体" w:hAnsi="宋体" w:eastAsia="宋体"/>
                <w:b/>
                <w:bCs/>
                <w:color w:val="auto"/>
                <w:sz w:val="24"/>
                <w:szCs w:val="24"/>
                <w:highlight w:val="none"/>
                <w:lang w:eastAsia="zh-CN"/>
              </w:rPr>
              <w:t>且金华市网上中介超市入驻机构（</w:t>
            </w:r>
            <w:r>
              <w:rPr>
                <w:b/>
                <w:bCs/>
                <w:color w:val="auto"/>
                <w:sz w:val="24"/>
                <w:highlight w:val="none"/>
              </w:rPr>
              <w:t>提供相关证明材料</w:t>
            </w:r>
            <w:r>
              <w:rPr>
                <w:rFonts w:hint="eastAsia" w:ascii="宋体" w:hAnsi="宋体" w:eastAsia="宋体"/>
                <w:b/>
                <w:bCs/>
                <w:color w:val="auto"/>
                <w:sz w:val="24"/>
                <w:szCs w:val="24"/>
                <w:highlight w:val="none"/>
                <w:lang w:eastAsia="zh-CN"/>
              </w:rPr>
              <w:t>）</w:t>
            </w:r>
            <w:r>
              <w:rPr>
                <w:rFonts w:hint="eastAsia"/>
                <w:b/>
                <w:bCs/>
                <w:color w:val="auto"/>
                <w:sz w:val="24"/>
                <w:highlight w:val="none"/>
                <w:lang w:val="en-US" w:eastAsia="zh-CN"/>
              </w:rPr>
              <w:t>。</w:t>
            </w:r>
          </w:p>
        </w:tc>
      </w:tr>
      <w:tr w14:paraId="178E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9F995F8">
            <w:pPr>
              <w:spacing w:line="360" w:lineRule="auto"/>
              <w:rPr>
                <w:b/>
                <w:color w:val="auto"/>
                <w:sz w:val="24"/>
                <w:highlight w:val="none"/>
              </w:rPr>
            </w:pPr>
            <w:r>
              <w:rPr>
                <w:rFonts w:hint="eastAsia"/>
                <w:b/>
                <w:color w:val="auto"/>
                <w:sz w:val="24"/>
                <w:highlight w:val="none"/>
              </w:rPr>
              <w:t>技术商务文件目录</w:t>
            </w:r>
          </w:p>
        </w:tc>
      </w:tr>
      <w:tr w14:paraId="729C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BBDE240">
            <w:pPr>
              <w:spacing w:line="360" w:lineRule="auto"/>
              <w:jc w:val="center"/>
              <w:rPr>
                <w:color w:val="auto"/>
                <w:sz w:val="24"/>
                <w:highlight w:val="none"/>
              </w:rPr>
            </w:pPr>
            <w:r>
              <w:rPr>
                <w:rFonts w:hint="eastAsia"/>
                <w:color w:val="auto"/>
                <w:sz w:val="24"/>
                <w:highlight w:val="none"/>
              </w:rPr>
              <w:t>序号</w:t>
            </w:r>
          </w:p>
        </w:tc>
        <w:tc>
          <w:tcPr>
            <w:tcW w:w="3119" w:type="dxa"/>
          </w:tcPr>
          <w:p w14:paraId="2F8D8E37">
            <w:pPr>
              <w:spacing w:line="360" w:lineRule="auto"/>
              <w:jc w:val="center"/>
              <w:rPr>
                <w:color w:val="auto"/>
                <w:sz w:val="24"/>
                <w:highlight w:val="none"/>
              </w:rPr>
            </w:pPr>
            <w:r>
              <w:rPr>
                <w:rFonts w:hint="eastAsia"/>
                <w:color w:val="auto"/>
                <w:sz w:val="24"/>
                <w:highlight w:val="none"/>
              </w:rPr>
              <w:t>内容</w:t>
            </w:r>
          </w:p>
        </w:tc>
        <w:tc>
          <w:tcPr>
            <w:tcW w:w="4586" w:type="dxa"/>
          </w:tcPr>
          <w:p w14:paraId="70F6514D">
            <w:pPr>
              <w:spacing w:line="360" w:lineRule="auto"/>
              <w:jc w:val="center"/>
              <w:rPr>
                <w:color w:val="auto"/>
                <w:sz w:val="24"/>
                <w:highlight w:val="none"/>
              </w:rPr>
            </w:pPr>
            <w:r>
              <w:rPr>
                <w:rFonts w:hint="eastAsia"/>
                <w:color w:val="auto"/>
                <w:sz w:val="24"/>
                <w:highlight w:val="none"/>
              </w:rPr>
              <w:t>说明</w:t>
            </w:r>
          </w:p>
        </w:tc>
      </w:tr>
      <w:tr w14:paraId="5770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501B218">
            <w:pPr>
              <w:spacing w:line="360" w:lineRule="auto"/>
              <w:jc w:val="center"/>
              <w:rPr>
                <w:color w:val="auto"/>
                <w:sz w:val="24"/>
                <w:highlight w:val="none"/>
              </w:rPr>
            </w:pPr>
            <w:r>
              <w:rPr>
                <w:rFonts w:hint="eastAsia"/>
                <w:color w:val="auto"/>
                <w:sz w:val="24"/>
                <w:highlight w:val="none"/>
              </w:rPr>
              <w:t>1</w:t>
            </w:r>
          </w:p>
        </w:tc>
        <w:tc>
          <w:tcPr>
            <w:tcW w:w="3119" w:type="dxa"/>
          </w:tcPr>
          <w:p w14:paraId="284C5BAC">
            <w:pPr>
              <w:spacing w:line="360" w:lineRule="auto"/>
              <w:rPr>
                <w:color w:val="auto"/>
                <w:sz w:val="24"/>
                <w:highlight w:val="none"/>
              </w:rPr>
            </w:pPr>
            <w:r>
              <w:rPr>
                <w:rFonts w:hint="eastAsia"/>
                <w:color w:val="auto"/>
                <w:sz w:val="24"/>
                <w:highlight w:val="none"/>
              </w:rPr>
              <w:t>承诺书</w:t>
            </w:r>
          </w:p>
        </w:tc>
        <w:tc>
          <w:tcPr>
            <w:tcW w:w="4586" w:type="dxa"/>
          </w:tcPr>
          <w:p w14:paraId="78A8BB0D">
            <w:pPr>
              <w:spacing w:line="360" w:lineRule="auto"/>
              <w:rPr>
                <w:color w:val="auto"/>
                <w:sz w:val="24"/>
                <w:highlight w:val="none"/>
              </w:rPr>
            </w:pPr>
            <w:r>
              <w:rPr>
                <w:rFonts w:hint="eastAsia"/>
                <w:color w:val="auto"/>
                <w:sz w:val="24"/>
                <w:highlight w:val="none"/>
              </w:rPr>
              <w:t>格式见《第六章 响应文件格式》</w:t>
            </w:r>
          </w:p>
        </w:tc>
      </w:tr>
      <w:tr w14:paraId="0CC3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06876B">
            <w:pPr>
              <w:spacing w:line="360" w:lineRule="auto"/>
              <w:jc w:val="center"/>
              <w:rPr>
                <w:color w:val="auto"/>
                <w:sz w:val="24"/>
                <w:highlight w:val="none"/>
              </w:rPr>
            </w:pPr>
            <w:r>
              <w:rPr>
                <w:rFonts w:hint="eastAsia"/>
                <w:color w:val="auto"/>
                <w:sz w:val="24"/>
                <w:highlight w:val="none"/>
              </w:rPr>
              <w:t>2</w:t>
            </w:r>
          </w:p>
        </w:tc>
        <w:tc>
          <w:tcPr>
            <w:tcW w:w="3119" w:type="dxa"/>
          </w:tcPr>
          <w:p w14:paraId="109C7191">
            <w:pPr>
              <w:spacing w:line="360" w:lineRule="auto"/>
              <w:rPr>
                <w:color w:val="auto"/>
                <w:sz w:val="24"/>
                <w:highlight w:val="none"/>
              </w:rPr>
            </w:pPr>
            <w:r>
              <w:rPr>
                <w:rFonts w:hint="eastAsia"/>
                <w:color w:val="auto"/>
                <w:sz w:val="24"/>
                <w:highlight w:val="none"/>
                <w:lang w:val="zh-CN"/>
              </w:rPr>
              <w:t>商务偏离表、技术偏离表</w:t>
            </w:r>
          </w:p>
        </w:tc>
        <w:tc>
          <w:tcPr>
            <w:tcW w:w="4586" w:type="dxa"/>
          </w:tcPr>
          <w:p w14:paraId="541B30BB">
            <w:pPr>
              <w:spacing w:line="360" w:lineRule="auto"/>
              <w:rPr>
                <w:color w:val="auto"/>
                <w:sz w:val="24"/>
                <w:highlight w:val="none"/>
              </w:rPr>
            </w:pPr>
            <w:r>
              <w:rPr>
                <w:rFonts w:hint="eastAsia"/>
                <w:color w:val="auto"/>
                <w:sz w:val="24"/>
                <w:highlight w:val="none"/>
              </w:rPr>
              <w:t>格式见《第六章 响应文件格式》</w:t>
            </w:r>
          </w:p>
        </w:tc>
      </w:tr>
      <w:tr w14:paraId="5C1B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16670C">
            <w:pPr>
              <w:spacing w:line="360" w:lineRule="auto"/>
              <w:jc w:val="center"/>
              <w:rPr>
                <w:rFonts w:hint="eastAsia" w:eastAsiaTheme="minorEastAsia"/>
                <w:color w:val="auto"/>
                <w:sz w:val="24"/>
                <w:highlight w:val="none"/>
                <w:lang w:val="en-US" w:eastAsia="zh-CN"/>
              </w:rPr>
            </w:pPr>
            <w:r>
              <w:rPr>
                <w:rFonts w:hint="eastAsia"/>
                <w:color w:val="auto"/>
                <w:sz w:val="24"/>
                <w:highlight w:val="none"/>
                <w:lang w:val="en-US" w:eastAsia="zh-CN"/>
              </w:rPr>
              <w:t>3</w:t>
            </w:r>
          </w:p>
        </w:tc>
        <w:tc>
          <w:tcPr>
            <w:tcW w:w="3119" w:type="dxa"/>
            <w:vAlign w:val="center"/>
          </w:tcPr>
          <w:p w14:paraId="14100C69">
            <w:pPr>
              <w:spacing w:line="360" w:lineRule="auto"/>
              <w:jc w:val="both"/>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eastAsia="zh-CN"/>
              </w:rPr>
              <w:t>类似</w:t>
            </w:r>
            <w:r>
              <w:rPr>
                <w:rFonts w:hint="eastAsia"/>
                <w:color w:val="auto"/>
                <w:sz w:val="24"/>
                <w:highlight w:val="none"/>
              </w:rPr>
              <w:t>业绩情况一览表</w:t>
            </w:r>
          </w:p>
        </w:tc>
        <w:tc>
          <w:tcPr>
            <w:tcW w:w="4586" w:type="dxa"/>
            <w:vAlign w:val="top"/>
          </w:tcPr>
          <w:p w14:paraId="247A1CDB">
            <w:pPr>
              <w:spacing w:line="360" w:lineRule="auto"/>
              <w:rPr>
                <w:rFonts w:hint="eastAsia" w:ascii="宋体" w:hAnsi="宋体" w:eastAsia="宋体" w:cs="宋体"/>
                <w:color w:val="auto"/>
                <w:kern w:val="2"/>
                <w:sz w:val="20"/>
                <w:szCs w:val="20"/>
                <w:highlight w:val="none"/>
                <w:lang w:val="en-US" w:eastAsia="zh-CN" w:bidi="ar-SA"/>
              </w:rPr>
            </w:pPr>
            <w:r>
              <w:rPr>
                <w:rFonts w:hint="eastAsia"/>
                <w:color w:val="auto"/>
                <w:sz w:val="24"/>
                <w:highlight w:val="none"/>
              </w:rPr>
              <w:t>格式见《第六章 响应文件格式》</w:t>
            </w:r>
          </w:p>
        </w:tc>
      </w:tr>
      <w:tr w14:paraId="325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6DC843">
            <w:pPr>
              <w:spacing w:line="360" w:lineRule="auto"/>
              <w:jc w:val="center"/>
              <w:rPr>
                <w:rFonts w:hint="default"/>
                <w:color w:val="auto"/>
                <w:sz w:val="24"/>
                <w:highlight w:val="none"/>
                <w:lang w:val="en-US" w:eastAsia="zh-CN"/>
              </w:rPr>
            </w:pPr>
            <w:r>
              <w:rPr>
                <w:rFonts w:hint="eastAsia"/>
                <w:color w:val="auto"/>
                <w:sz w:val="24"/>
                <w:highlight w:val="none"/>
                <w:lang w:val="en-US" w:eastAsia="zh-CN"/>
              </w:rPr>
              <w:t>4</w:t>
            </w:r>
          </w:p>
        </w:tc>
        <w:tc>
          <w:tcPr>
            <w:tcW w:w="3119" w:type="dxa"/>
            <w:vAlign w:val="top"/>
          </w:tcPr>
          <w:p w14:paraId="4229A8B6">
            <w:pPr>
              <w:spacing w:line="360" w:lineRule="auto"/>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lang w:val="en-US" w:eastAsia="zh-CN"/>
              </w:rPr>
              <w:t>拟派项目负责人情况</w:t>
            </w:r>
          </w:p>
        </w:tc>
        <w:tc>
          <w:tcPr>
            <w:tcW w:w="4586" w:type="dxa"/>
            <w:vAlign w:val="top"/>
          </w:tcPr>
          <w:p w14:paraId="0D5E84F8">
            <w:pPr>
              <w:spacing w:line="360" w:lineRule="auto"/>
              <w:rPr>
                <w:rFonts w:hint="eastAsia" w:asciiTheme="minorHAnsi" w:hAnsiTheme="minorHAnsi" w:eastAsiaTheme="minorEastAsia" w:cstheme="minorBidi"/>
                <w:color w:val="auto"/>
                <w:kern w:val="2"/>
                <w:sz w:val="24"/>
                <w:szCs w:val="22"/>
                <w:highlight w:val="none"/>
                <w:lang w:val="en-US" w:eastAsia="zh-CN" w:bidi="ar-SA"/>
              </w:rPr>
            </w:pPr>
            <w:r>
              <w:rPr>
                <w:rFonts w:hint="eastAsia"/>
                <w:color w:val="auto"/>
                <w:sz w:val="24"/>
                <w:highlight w:val="none"/>
              </w:rPr>
              <w:t>格式见《第六章 响应文件格式》</w:t>
            </w:r>
          </w:p>
        </w:tc>
      </w:tr>
      <w:tr w14:paraId="7076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70BB82">
            <w:pPr>
              <w:spacing w:line="360" w:lineRule="auto"/>
              <w:jc w:val="center"/>
              <w:rPr>
                <w:rFonts w:hint="default" w:eastAsiaTheme="minorEastAsia"/>
                <w:color w:val="auto"/>
                <w:sz w:val="24"/>
                <w:highlight w:val="none"/>
                <w:lang w:val="en-US" w:eastAsia="zh-CN"/>
              </w:rPr>
            </w:pPr>
            <w:r>
              <w:rPr>
                <w:rFonts w:hint="eastAsia"/>
                <w:color w:val="auto"/>
                <w:sz w:val="24"/>
                <w:highlight w:val="none"/>
                <w:lang w:val="en-US" w:eastAsia="zh-CN"/>
              </w:rPr>
              <w:t>5</w:t>
            </w:r>
          </w:p>
        </w:tc>
        <w:tc>
          <w:tcPr>
            <w:tcW w:w="3119" w:type="dxa"/>
            <w:vAlign w:val="center"/>
          </w:tcPr>
          <w:p w14:paraId="77C2DAAC">
            <w:pPr>
              <w:spacing w:line="360" w:lineRule="auto"/>
              <w:jc w:val="both"/>
              <w:rPr>
                <w:color w:val="auto"/>
                <w:sz w:val="24"/>
                <w:highlight w:val="none"/>
              </w:rPr>
            </w:pPr>
            <w:r>
              <w:rPr>
                <w:rFonts w:hint="eastAsia"/>
                <w:color w:val="auto"/>
                <w:sz w:val="24"/>
                <w:highlight w:val="none"/>
              </w:rPr>
              <w:t>技术</w:t>
            </w:r>
            <w:r>
              <w:rPr>
                <w:rFonts w:hint="eastAsia"/>
                <w:color w:val="auto"/>
                <w:sz w:val="24"/>
                <w:highlight w:val="none"/>
                <w:lang w:eastAsia="zh-CN"/>
              </w:rPr>
              <w:t>服务</w:t>
            </w:r>
            <w:r>
              <w:rPr>
                <w:rFonts w:hint="eastAsia"/>
                <w:color w:val="auto"/>
                <w:sz w:val="24"/>
                <w:highlight w:val="none"/>
              </w:rPr>
              <w:t>方案</w:t>
            </w:r>
          </w:p>
        </w:tc>
        <w:tc>
          <w:tcPr>
            <w:tcW w:w="4586" w:type="dxa"/>
          </w:tcPr>
          <w:p w14:paraId="7C35F029">
            <w:pPr>
              <w:spacing w:line="360" w:lineRule="auto"/>
              <w:rPr>
                <w:color w:val="auto"/>
                <w:sz w:val="24"/>
                <w:highlight w:val="none"/>
              </w:rPr>
            </w:pPr>
            <w:r>
              <w:rPr>
                <w:rFonts w:hint="eastAsia"/>
                <w:color w:val="auto"/>
                <w:sz w:val="24"/>
                <w:highlight w:val="none"/>
              </w:rPr>
              <w:t>根据项目需求自行编制，包括但不限于对</w:t>
            </w:r>
            <w:r>
              <w:rPr>
                <w:rFonts w:hint="eastAsia"/>
                <w:color w:val="auto"/>
                <w:sz w:val="24"/>
                <w:highlight w:val="none"/>
                <w:lang w:eastAsia="zh-CN"/>
              </w:rPr>
              <w:t>本项目</w:t>
            </w:r>
            <w:r>
              <w:rPr>
                <w:rFonts w:hint="eastAsia"/>
                <w:color w:val="auto"/>
                <w:sz w:val="24"/>
                <w:highlight w:val="none"/>
                <w:lang w:val="en-US" w:eastAsia="zh-CN"/>
              </w:rPr>
              <w:t>的服务方案</w:t>
            </w:r>
            <w:r>
              <w:rPr>
                <w:rFonts w:hint="eastAsia"/>
                <w:color w:val="auto"/>
                <w:sz w:val="24"/>
                <w:highlight w:val="none"/>
              </w:rPr>
              <w:t>，结合项目的特点提出</w:t>
            </w:r>
            <w:r>
              <w:rPr>
                <w:rFonts w:hint="eastAsia"/>
                <w:color w:val="auto"/>
                <w:sz w:val="24"/>
                <w:highlight w:val="none"/>
                <w:lang w:val="en-US" w:eastAsia="zh-CN"/>
              </w:rPr>
              <w:t>详细的服务方案</w:t>
            </w:r>
            <w:r>
              <w:rPr>
                <w:rFonts w:hint="eastAsia"/>
                <w:color w:val="auto"/>
                <w:sz w:val="24"/>
                <w:highlight w:val="none"/>
              </w:rPr>
              <w:t>等，详细说明如何</w:t>
            </w:r>
            <w:r>
              <w:rPr>
                <w:rFonts w:hint="eastAsia"/>
                <w:color w:val="auto"/>
                <w:sz w:val="24"/>
                <w:highlight w:val="none"/>
                <w:lang w:eastAsia="zh-CN"/>
              </w:rPr>
              <w:t>保障服务</w:t>
            </w:r>
            <w:r>
              <w:rPr>
                <w:rFonts w:hint="eastAsia"/>
                <w:color w:val="auto"/>
                <w:sz w:val="24"/>
                <w:highlight w:val="none"/>
              </w:rPr>
              <w:t>质量，有效保证项目进度的措施以及实施过程中突发事件处理机制与预案、本地化服务等，格式自拟</w:t>
            </w:r>
          </w:p>
        </w:tc>
      </w:tr>
      <w:tr w14:paraId="294D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F39849">
            <w:pPr>
              <w:spacing w:line="360" w:lineRule="auto"/>
              <w:jc w:val="center"/>
              <w:rPr>
                <w:rFonts w:hint="default" w:eastAsiaTheme="minorEastAsia"/>
                <w:color w:val="auto"/>
                <w:sz w:val="24"/>
                <w:highlight w:val="none"/>
                <w:lang w:val="en-US" w:eastAsia="zh-CN"/>
              </w:rPr>
            </w:pPr>
            <w:r>
              <w:rPr>
                <w:rFonts w:hint="eastAsia"/>
                <w:color w:val="auto"/>
                <w:sz w:val="24"/>
                <w:highlight w:val="none"/>
                <w:lang w:val="en-US" w:eastAsia="zh-CN"/>
              </w:rPr>
              <w:t>6</w:t>
            </w:r>
          </w:p>
        </w:tc>
        <w:tc>
          <w:tcPr>
            <w:tcW w:w="3119" w:type="dxa"/>
            <w:vAlign w:val="center"/>
          </w:tcPr>
          <w:p w14:paraId="598D1947">
            <w:pPr>
              <w:spacing w:line="360" w:lineRule="auto"/>
              <w:jc w:val="both"/>
              <w:rPr>
                <w:color w:val="auto"/>
                <w:sz w:val="24"/>
                <w:highlight w:val="none"/>
              </w:rPr>
            </w:pPr>
            <w:r>
              <w:rPr>
                <w:rFonts w:hint="eastAsia"/>
                <w:color w:val="auto"/>
                <w:sz w:val="24"/>
                <w:highlight w:val="none"/>
              </w:rPr>
              <w:t>诚信投标承诺书</w:t>
            </w:r>
          </w:p>
        </w:tc>
        <w:tc>
          <w:tcPr>
            <w:tcW w:w="4586" w:type="dxa"/>
          </w:tcPr>
          <w:p w14:paraId="64E88D5B">
            <w:pPr>
              <w:spacing w:line="360" w:lineRule="auto"/>
              <w:rPr>
                <w:rFonts w:ascii="宋体" w:hAnsi="宋体" w:eastAsia="宋体" w:cs="宋体"/>
                <w:color w:val="auto"/>
                <w:sz w:val="20"/>
                <w:szCs w:val="20"/>
                <w:highlight w:val="none"/>
              </w:rPr>
            </w:pPr>
            <w:r>
              <w:rPr>
                <w:rFonts w:hint="eastAsia"/>
                <w:color w:val="auto"/>
                <w:sz w:val="24"/>
                <w:highlight w:val="none"/>
              </w:rPr>
              <w:t>格式见《第六章 响应文件格式》</w:t>
            </w:r>
          </w:p>
        </w:tc>
      </w:tr>
      <w:tr w14:paraId="4C0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F5D9A8">
            <w:pPr>
              <w:spacing w:line="360" w:lineRule="auto"/>
              <w:jc w:val="center"/>
              <w:rPr>
                <w:rFonts w:hint="default" w:eastAsiaTheme="minorEastAsia"/>
                <w:color w:val="auto"/>
                <w:sz w:val="24"/>
                <w:highlight w:val="none"/>
                <w:lang w:val="en-US" w:eastAsia="zh-CN"/>
              </w:rPr>
            </w:pPr>
            <w:r>
              <w:rPr>
                <w:rFonts w:hint="eastAsia"/>
                <w:color w:val="auto"/>
                <w:sz w:val="24"/>
                <w:highlight w:val="none"/>
                <w:lang w:val="en-US" w:eastAsia="zh-CN"/>
              </w:rPr>
              <w:t>7</w:t>
            </w:r>
          </w:p>
        </w:tc>
        <w:tc>
          <w:tcPr>
            <w:tcW w:w="3119" w:type="dxa"/>
          </w:tcPr>
          <w:p w14:paraId="727D27F7">
            <w:pPr>
              <w:spacing w:line="360" w:lineRule="auto"/>
              <w:rPr>
                <w:color w:val="auto"/>
                <w:sz w:val="24"/>
                <w:highlight w:val="none"/>
              </w:rPr>
            </w:pPr>
            <w:r>
              <w:rPr>
                <w:rFonts w:hint="eastAsia"/>
                <w:color w:val="auto"/>
                <w:sz w:val="24"/>
                <w:highlight w:val="none"/>
              </w:rPr>
              <w:t>响应方认为需要的其他文件资料</w:t>
            </w:r>
          </w:p>
        </w:tc>
        <w:tc>
          <w:tcPr>
            <w:tcW w:w="4586" w:type="dxa"/>
          </w:tcPr>
          <w:p w14:paraId="6FFD6392">
            <w:pPr>
              <w:spacing w:line="360" w:lineRule="auto"/>
              <w:rPr>
                <w:color w:val="auto"/>
                <w:sz w:val="24"/>
                <w:highlight w:val="none"/>
              </w:rPr>
            </w:pPr>
            <w:r>
              <w:rPr>
                <w:rFonts w:hint="eastAsia"/>
                <w:color w:val="auto"/>
                <w:sz w:val="24"/>
                <w:highlight w:val="none"/>
              </w:rPr>
              <w:t>格式自拟</w:t>
            </w:r>
          </w:p>
        </w:tc>
      </w:tr>
      <w:tr w14:paraId="0743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E676D99">
            <w:pPr>
              <w:spacing w:line="360" w:lineRule="auto"/>
              <w:rPr>
                <w:b/>
                <w:color w:val="auto"/>
                <w:sz w:val="24"/>
                <w:highlight w:val="none"/>
              </w:rPr>
            </w:pPr>
            <w:r>
              <w:rPr>
                <w:rFonts w:hint="eastAsia"/>
                <w:b/>
                <w:color w:val="auto"/>
                <w:sz w:val="24"/>
                <w:highlight w:val="none"/>
              </w:rPr>
              <w:t>报价文件目录</w:t>
            </w:r>
          </w:p>
        </w:tc>
      </w:tr>
      <w:tr w14:paraId="542B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4B24305">
            <w:pPr>
              <w:spacing w:line="360" w:lineRule="auto"/>
              <w:jc w:val="center"/>
              <w:rPr>
                <w:color w:val="auto"/>
                <w:sz w:val="24"/>
                <w:highlight w:val="none"/>
              </w:rPr>
            </w:pPr>
            <w:r>
              <w:rPr>
                <w:rFonts w:hint="eastAsia"/>
                <w:color w:val="auto"/>
                <w:sz w:val="24"/>
                <w:highlight w:val="none"/>
              </w:rPr>
              <w:t>序号</w:t>
            </w:r>
          </w:p>
        </w:tc>
        <w:tc>
          <w:tcPr>
            <w:tcW w:w="3119" w:type="dxa"/>
          </w:tcPr>
          <w:p w14:paraId="1A58C10C">
            <w:pPr>
              <w:spacing w:line="360" w:lineRule="auto"/>
              <w:jc w:val="center"/>
              <w:rPr>
                <w:color w:val="auto"/>
                <w:sz w:val="24"/>
                <w:highlight w:val="none"/>
              </w:rPr>
            </w:pPr>
            <w:r>
              <w:rPr>
                <w:rFonts w:hint="eastAsia"/>
                <w:color w:val="auto"/>
                <w:sz w:val="24"/>
                <w:highlight w:val="none"/>
              </w:rPr>
              <w:t>内容</w:t>
            </w:r>
          </w:p>
        </w:tc>
        <w:tc>
          <w:tcPr>
            <w:tcW w:w="4586" w:type="dxa"/>
          </w:tcPr>
          <w:p w14:paraId="3E25F093">
            <w:pPr>
              <w:spacing w:line="360" w:lineRule="auto"/>
              <w:jc w:val="center"/>
              <w:rPr>
                <w:color w:val="auto"/>
                <w:sz w:val="24"/>
                <w:highlight w:val="none"/>
              </w:rPr>
            </w:pPr>
            <w:r>
              <w:rPr>
                <w:rFonts w:hint="eastAsia"/>
                <w:color w:val="auto"/>
                <w:sz w:val="24"/>
                <w:highlight w:val="none"/>
              </w:rPr>
              <w:t>说明</w:t>
            </w:r>
          </w:p>
        </w:tc>
      </w:tr>
      <w:tr w14:paraId="3037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E2D5DC">
            <w:pPr>
              <w:spacing w:line="360" w:lineRule="auto"/>
              <w:jc w:val="center"/>
              <w:rPr>
                <w:color w:val="auto"/>
                <w:sz w:val="24"/>
                <w:highlight w:val="none"/>
              </w:rPr>
            </w:pPr>
            <w:r>
              <w:rPr>
                <w:rFonts w:hint="eastAsia"/>
                <w:color w:val="auto"/>
                <w:sz w:val="24"/>
                <w:highlight w:val="none"/>
              </w:rPr>
              <w:t>1</w:t>
            </w:r>
          </w:p>
        </w:tc>
        <w:tc>
          <w:tcPr>
            <w:tcW w:w="3119" w:type="dxa"/>
          </w:tcPr>
          <w:p w14:paraId="62A97141">
            <w:pPr>
              <w:spacing w:line="360" w:lineRule="auto"/>
              <w:rPr>
                <w:color w:val="auto"/>
                <w:sz w:val="24"/>
                <w:highlight w:val="none"/>
              </w:rPr>
            </w:pPr>
            <w:r>
              <w:rPr>
                <w:rFonts w:hint="eastAsia"/>
                <w:color w:val="auto"/>
                <w:sz w:val="24"/>
                <w:highlight w:val="none"/>
              </w:rPr>
              <w:t>报价一览表</w:t>
            </w:r>
          </w:p>
        </w:tc>
        <w:tc>
          <w:tcPr>
            <w:tcW w:w="4586" w:type="dxa"/>
          </w:tcPr>
          <w:p w14:paraId="2C29AB4B">
            <w:pPr>
              <w:spacing w:line="360" w:lineRule="auto"/>
              <w:rPr>
                <w:color w:val="auto"/>
                <w:sz w:val="24"/>
                <w:highlight w:val="none"/>
              </w:rPr>
            </w:pPr>
            <w:r>
              <w:rPr>
                <w:rFonts w:hint="eastAsia"/>
                <w:color w:val="auto"/>
                <w:sz w:val="24"/>
                <w:highlight w:val="none"/>
              </w:rPr>
              <w:t>格式见《第六章 响应文件格式》</w:t>
            </w:r>
          </w:p>
        </w:tc>
      </w:tr>
      <w:tr w14:paraId="2963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DF4763">
            <w:pPr>
              <w:spacing w:line="360" w:lineRule="auto"/>
              <w:jc w:val="center"/>
              <w:rPr>
                <w:color w:val="auto"/>
                <w:sz w:val="24"/>
                <w:highlight w:val="none"/>
              </w:rPr>
            </w:pPr>
            <w:r>
              <w:rPr>
                <w:rFonts w:hint="eastAsia"/>
                <w:color w:val="auto"/>
                <w:sz w:val="24"/>
                <w:highlight w:val="none"/>
              </w:rPr>
              <w:t>2</w:t>
            </w:r>
          </w:p>
        </w:tc>
        <w:tc>
          <w:tcPr>
            <w:tcW w:w="3119" w:type="dxa"/>
          </w:tcPr>
          <w:p w14:paraId="14A049F3">
            <w:pPr>
              <w:spacing w:line="360" w:lineRule="auto"/>
              <w:rPr>
                <w:color w:val="auto"/>
                <w:sz w:val="24"/>
                <w:highlight w:val="none"/>
              </w:rPr>
            </w:pPr>
            <w:r>
              <w:rPr>
                <w:rFonts w:hint="eastAsia"/>
                <w:color w:val="auto"/>
                <w:sz w:val="24"/>
                <w:highlight w:val="none"/>
              </w:rPr>
              <w:t>针对报价的说明</w:t>
            </w:r>
          </w:p>
        </w:tc>
        <w:tc>
          <w:tcPr>
            <w:tcW w:w="4586" w:type="dxa"/>
          </w:tcPr>
          <w:p w14:paraId="4D061EE5">
            <w:pPr>
              <w:spacing w:line="360" w:lineRule="auto"/>
              <w:rPr>
                <w:color w:val="auto"/>
                <w:sz w:val="24"/>
                <w:highlight w:val="none"/>
              </w:rPr>
            </w:pPr>
            <w:r>
              <w:rPr>
                <w:rFonts w:hint="eastAsia"/>
                <w:color w:val="auto"/>
                <w:sz w:val="24"/>
                <w:highlight w:val="none"/>
              </w:rPr>
              <w:t>▲供应商响应</w:t>
            </w:r>
            <w:r>
              <w:rPr>
                <w:rFonts w:hint="eastAsia"/>
                <w:color w:val="auto"/>
                <w:sz w:val="24"/>
                <w:highlight w:val="none"/>
                <w:lang w:eastAsia="zh-CN"/>
              </w:rPr>
              <w:t>报价不得高于</w:t>
            </w:r>
            <w:r>
              <w:rPr>
                <w:rFonts w:hint="eastAsia"/>
                <w:color w:val="auto"/>
                <w:sz w:val="24"/>
                <w:highlight w:val="none"/>
                <w:lang w:val="en-US" w:eastAsia="zh-CN"/>
              </w:rPr>
              <w:t>5%</w:t>
            </w:r>
            <w:r>
              <w:rPr>
                <w:rFonts w:hint="eastAsia"/>
                <w:color w:val="auto"/>
                <w:sz w:val="24"/>
                <w:highlight w:val="none"/>
              </w:rPr>
              <w:t>。</w:t>
            </w:r>
          </w:p>
        </w:tc>
      </w:tr>
      <w:tr w14:paraId="460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C97BBEA">
            <w:pPr>
              <w:spacing w:line="360" w:lineRule="auto"/>
              <w:rPr>
                <w:b/>
                <w:bCs/>
                <w:color w:val="auto"/>
                <w:sz w:val="24"/>
                <w:highlight w:val="none"/>
              </w:rPr>
            </w:pPr>
            <w:r>
              <w:rPr>
                <w:rFonts w:hint="eastAsia"/>
                <w:b/>
                <w:bCs/>
                <w:color w:val="auto"/>
                <w:sz w:val="24"/>
                <w:highlight w:val="none"/>
              </w:rPr>
              <w:t>注：1.征集文件中标“▲”的实质性条款内容，须提供相应资料或承诺函等，附件中如有格式，按征集文件格式，若未提供则格式自拟。</w:t>
            </w:r>
          </w:p>
          <w:p w14:paraId="2E86C4AF">
            <w:pPr>
              <w:spacing w:line="360" w:lineRule="auto"/>
              <w:ind w:firstLine="569" w:firstLineChars="236"/>
              <w:rPr>
                <w:b/>
                <w:bCs/>
                <w:color w:val="auto"/>
                <w:sz w:val="24"/>
                <w:highlight w:val="none"/>
              </w:rPr>
            </w:pPr>
            <w:r>
              <w:rPr>
                <w:rFonts w:hint="eastAsia"/>
                <w:b/>
                <w:bCs/>
                <w:color w:val="auto"/>
                <w:sz w:val="24"/>
                <w:highlight w:val="none"/>
                <w:lang w:val="en-US" w:eastAsia="zh-CN"/>
              </w:rPr>
              <w:t>2</w:t>
            </w:r>
            <w:r>
              <w:rPr>
                <w:rFonts w:hint="eastAsia"/>
                <w:b/>
                <w:bCs/>
                <w:color w:val="auto"/>
                <w:sz w:val="24"/>
                <w:highlight w:val="none"/>
              </w:rPr>
              <w:t>.供应商在总价中应充分考虑作业期间成本投入的市场风险、政策性调整及服务期间的不可预见因素，今后不再作调整。供应商在报价中应充分考虑所有可能发生的费用。</w:t>
            </w:r>
          </w:p>
          <w:p w14:paraId="708C6907">
            <w:pPr>
              <w:spacing w:line="360" w:lineRule="auto"/>
              <w:ind w:firstLine="569" w:firstLineChars="236"/>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.响应方对在合同执行中，除上述费用及征集文件规定的由成交人负责的工作范围以外需要</w:t>
            </w:r>
            <w:r>
              <w:rPr>
                <w:rFonts w:hint="eastAsia"/>
                <w:b/>
                <w:bCs/>
                <w:color w:val="auto"/>
                <w:sz w:val="24"/>
                <w:highlight w:val="none"/>
                <w:lang w:eastAsia="zh-CN"/>
              </w:rPr>
              <w:t>征集人</w:t>
            </w:r>
            <w:r>
              <w:rPr>
                <w:rFonts w:hint="eastAsia"/>
                <w:b/>
                <w:bCs/>
                <w:color w:val="auto"/>
                <w:sz w:val="24"/>
                <w:highlight w:val="none"/>
              </w:rPr>
              <w:t>协调或提供便利的工作应当在响应文件中说明。</w:t>
            </w:r>
          </w:p>
          <w:p w14:paraId="0BF3CEF9">
            <w:pPr>
              <w:spacing w:line="360" w:lineRule="auto"/>
              <w:ind w:firstLine="569" w:firstLineChars="236"/>
              <w:rPr>
                <w:color w:val="auto"/>
                <w:sz w:val="24"/>
                <w:highlight w:val="none"/>
              </w:rPr>
            </w:pPr>
            <w:r>
              <w:rPr>
                <w:rFonts w:hint="eastAsia"/>
                <w:b/>
                <w:bCs/>
                <w:color w:val="auto"/>
                <w:sz w:val="24"/>
                <w:highlight w:val="none"/>
              </w:rPr>
              <w:t>▲</w:t>
            </w:r>
            <w:r>
              <w:rPr>
                <w:rFonts w:hint="eastAsia"/>
                <w:b/>
                <w:bCs/>
                <w:color w:val="auto"/>
                <w:sz w:val="24"/>
                <w:highlight w:val="none"/>
                <w:lang w:val="en-US" w:eastAsia="zh-CN"/>
              </w:rPr>
              <w:t>4</w:t>
            </w:r>
            <w:r>
              <w:rPr>
                <w:rFonts w:hint="eastAsia"/>
                <w:b/>
                <w:bCs/>
                <w:color w:val="auto"/>
                <w:sz w:val="24"/>
                <w:highlight w:val="none"/>
              </w:rPr>
              <w:t>. 关于本项目价格的信息只允许出现在“报价文件”中，不得出现在资格响应文件及技术商务文件中。</w:t>
            </w:r>
          </w:p>
        </w:tc>
      </w:tr>
    </w:tbl>
    <w:p w14:paraId="7EF25709">
      <w:pPr>
        <w:pStyle w:val="4"/>
        <w:spacing w:before="0" w:after="0"/>
        <w:ind w:firstLine="424" w:firstLineChars="176"/>
        <w:rPr>
          <w:color w:val="auto"/>
          <w:sz w:val="24"/>
          <w:highlight w:val="none"/>
        </w:rPr>
      </w:pPr>
      <w:r>
        <w:rPr>
          <w:rFonts w:hint="eastAsia"/>
          <w:color w:val="auto"/>
          <w:sz w:val="24"/>
          <w:highlight w:val="none"/>
        </w:rPr>
        <w:t>（四）响应文件的语言及计量</w:t>
      </w:r>
    </w:p>
    <w:p w14:paraId="12FDC115">
      <w:pPr>
        <w:adjustRightInd w:val="0"/>
        <w:snapToGrid w:val="0"/>
        <w:spacing w:line="440" w:lineRule="exact"/>
        <w:ind w:firstLine="480" w:firstLineChars="200"/>
        <w:rPr>
          <w:color w:val="auto"/>
          <w:sz w:val="24"/>
          <w:highlight w:val="none"/>
        </w:rPr>
      </w:pPr>
      <w:r>
        <w:rPr>
          <w:rFonts w:hint="eastAsia"/>
          <w:color w:val="auto"/>
          <w:sz w:val="24"/>
          <w:highlight w:val="none"/>
        </w:rPr>
        <w:t>1.响应文件以及响应方与征集人就有关征集、响应事宜的所有来往函电，均应以中文简体字书写。除签名、盖章、专用名称等特殊情形外，响应文件中以中文汉语以外的文字表述部分视同未提供。</w:t>
      </w:r>
    </w:p>
    <w:p w14:paraId="19341A48">
      <w:pPr>
        <w:adjustRightInd w:val="0"/>
        <w:snapToGrid w:val="0"/>
        <w:spacing w:line="440" w:lineRule="exact"/>
        <w:ind w:firstLine="480" w:firstLineChars="200"/>
        <w:rPr>
          <w:color w:val="auto"/>
          <w:sz w:val="24"/>
          <w:highlight w:val="none"/>
        </w:rPr>
      </w:pPr>
      <w:r>
        <w:rPr>
          <w:rFonts w:hint="eastAsia"/>
          <w:color w:val="auto"/>
          <w:sz w:val="24"/>
          <w:highlight w:val="none"/>
        </w:rPr>
        <w:t>2.响应计量单位，征集文件已有明确规定的，使用征集文件规定的计量单位；征集文件没有规定的，应采用中华人民共和国法定计量单位（货币单位：人民币元），否则将作无效处理。</w:t>
      </w:r>
    </w:p>
    <w:p w14:paraId="5E82AEB8">
      <w:pPr>
        <w:pStyle w:val="4"/>
        <w:spacing w:before="0" w:after="0"/>
        <w:ind w:firstLine="424" w:firstLineChars="176"/>
        <w:rPr>
          <w:color w:val="auto"/>
          <w:sz w:val="24"/>
          <w:highlight w:val="none"/>
        </w:rPr>
      </w:pPr>
      <w:r>
        <w:rPr>
          <w:rFonts w:hint="eastAsia"/>
          <w:color w:val="auto"/>
          <w:sz w:val="24"/>
          <w:highlight w:val="none"/>
        </w:rPr>
        <w:t>（五）响应文件的有效期</w:t>
      </w:r>
    </w:p>
    <w:p w14:paraId="2F2B4E0F">
      <w:pPr>
        <w:adjustRightInd w:val="0"/>
        <w:snapToGrid w:val="0"/>
        <w:spacing w:line="440" w:lineRule="exact"/>
        <w:ind w:firstLine="480" w:firstLineChars="200"/>
        <w:rPr>
          <w:color w:val="auto"/>
          <w:sz w:val="24"/>
          <w:highlight w:val="none"/>
        </w:rPr>
      </w:pPr>
      <w:r>
        <w:rPr>
          <w:rFonts w:hint="eastAsia"/>
          <w:color w:val="auto"/>
          <w:sz w:val="24"/>
          <w:highlight w:val="none"/>
        </w:rPr>
        <w:t>1.自提交响应文件的截止之日起90天内响应文件应保持有效。有效期不足的响应文件将作无效处理。</w:t>
      </w:r>
    </w:p>
    <w:p w14:paraId="6433D0B9">
      <w:pPr>
        <w:adjustRightInd w:val="0"/>
        <w:snapToGrid w:val="0"/>
        <w:spacing w:line="440" w:lineRule="exact"/>
        <w:ind w:firstLine="480" w:firstLineChars="200"/>
        <w:rPr>
          <w:color w:val="auto"/>
          <w:sz w:val="24"/>
          <w:highlight w:val="none"/>
        </w:rPr>
      </w:pPr>
      <w:r>
        <w:rPr>
          <w:rFonts w:hint="eastAsia"/>
          <w:color w:val="auto"/>
          <w:sz w:val="24"/>
          <w:highlight w:val="none"/>
        </w:rPr>
        <w:t>2.入围供应商的响应文件自开启之日起至合同（第一阶段、第二阶段）履行完毕止均应保持有效。</w:t>
      </w:r>
    </w:p>
    <w:p w14:paraId="42828BD7">
      <w:pPr>
        <w:pStyle w:val="4"/>
        <w:spacing w:before="0" w:after="0"/>
        <w:ind w:firstLine="424" w:firstLineChars="176"/>
        <w:rPr>
          <w:color w:val="auto"/>
          <w:sz w:val="24"/>
          <w:highlight w:val="none"/>
        </w:rPr>
      </w:pPr>
      <w:r>
        <w:rPr>
          <w:rFonts w:hint="eastAsia"/>
          <w:color w:val="auto"/>
          <w:sz w:val="24"/>
          <w:highlight w:val="none"/>
        </w:rPr>
        <w:t>（六）响应文件的签署和包装</w:t>
      </w:r>
    </w:p>
    <w:p w14:paraId="1D3E4AB0">
      <w:pPr>
        <w:spacing w:line="360" w:lineRule="auto"/>
        <w:ind w:firstLine="480" w:firstLineChars="200"/>
        <w:rPr>
          <w:color w:val="auto"/>
          <w:sz w:val="24"/>
          <w:highlight w:val="none"/>
        </w:rPr>
      </w:pPr>
      <w:r>
        <w:rPr>
          <w:rFonts w:hint="eastAsia"/>
          <w:color w:val="auto"/>
          <w:sz w:val="24"/>
          <w:highlight w:val="none"/>
        </w:rPr>
        <w:t xml:space="preserve">1.电子响应文件部分： </w:t>
      </w:r>
    </w:p>
    <w:p w14:paraId="46E8C40F">
      <w:pPr>
        <w:spacing w:line="360" w:lineRule="auto"/>
        <w:ind w:firstLine="480" w:firstLineChars="200"/>
        <w:rPr>
          <w:color w:val="auto"/>
          <w:sz w:val="24"/>
          <w:highlight w:val="none"/>
        </w:rPr>
      </w:pPr>
      <w:r>
        <w:rPr>
          <w:rFonts w:hint="eastAsia"/>
          <w:color w:val="auto"/>
          <w:sz w:val="24"/>
          <w:highlight w:val="none"/>
        </w:rPr>
        <w:t>（1）响应方应根据本征集文件和电子交易平台规定的格式和顺序编制电子响应文件并进行关联定位，响应文件内容不完整、编排混乱、关联错误导致响应文件被误读、漏读或者查找不到相关内容的，是响应方的责任。</w:t>
      </w:r>
    </w:p>
    <w:p w14:paraId="771AA15A">
      <w:pPr>
        <w:spacing w:line="360" w:lineRule="auto"/>
        <w:ind w:firstLine="480" w:firstLineChars="200"/>
        <w:rPr>
          <w:color w:val="auto"/>
          <w:sz w:val="24"/>
          <w:highlight w:val="none"/>
        </w:rPr>
      </w:pPr>
      <w:r>
        <w:rPr>
          <w:rFonts w:hint="eastAsia"/>
          <w:color w:val="auto"/>
          <w:sz w:val="24"/>
          <w:highlight w:val="none"/>
        </w:rPr>
        <w:t>（2）响应文件须由响应方在规定位置盖章并由法定代表人或法定代表人的授权委托人签署，响应方应写全称。</w:t>
      </w:r>
    </w:p>
    <w:p w14:paraId="751E4F40">
      <w:pPr>
        <w:spacing w:line="360" w:lineRule="auto"/>
        <w:ind w:firstLine="480" w:firstLineChars="200"/>
        <w:rPr>
          <w:color w:val="auto"/>
          <w:sz w:val="24"/>
          <w:highlight w:val="none"/>
        </w:rPr>
      </w:pPr>
      <w:r>
        <w:rPr>
          <w:rFonts w:hint="eastAsia"/>
          <w:color w:val="auto"/>
          <w:sz w:val="24"/>
          <w:highlight w:val="none"/>
        </w:rPr>
        <w:t>（3）响应文件不得涂改，若有修改错漏处，须加盖响应方公章或者法定代表人或授权委托人签名或盖章。响应文件因字迹潦草或表达不清所引起的后果由响应方负责。</w:t>
      </w:r>
    </w:p>
    <w:p w14:paraId="61B78B93">
      <w:pPr>
        <w:spacing w:line="360" w:lineRule="auto"/>
        <w:ind w:firstLine="480" w:firstLineChars="200"/>
        <w:rPr>
          <w:color w:val="auto"/>
          <w:sz w:val="24"/>
          <w:highlight w:val="none"/>
        </w:rPr>
      </w:pPr>
      <w:r>
        <w:rPr>
          <w:rFonts w:hint="eastAsia"/>
          <w:color w:val="auto"/>
          <w:sz w:val="24"/>
          <w:highlight w:val="none"/>
        </w:rPr>
        <w:t>2.响应方选择递交备份响应文件的，备份响应文件另须满足以下条件：</w:t>
      </w:r>
    </w:p>
    <w:p w14:paraId="1E1853F2">
      <w:pPr>
        <w:spacing w:line="360" w:lineRule="auto"/>
        <w:ind w:firstLine="480" w:firstLineChars="200"/>
        <w:rPr>
          <w:color w:val="auto"/>
          <w:sz w:val="24"/>
          <w:highlight w:val="none"/>
        </w:rPr>
      </w:pPr>
      <w:r>
        <w:rPr>
          <w:rFonts w:hint="eastAsia"/>
          <w:color w:val="auto"/>
          <w:sz w:val="24"/>
          <w:highlight w:val="none"/>
        </w:rPr>
        <w:t xml:space="preserve">（1）储存形式：U盘、DVD </w:t>
      </w:r>
    </w:p>
    <w:p w14:paraId="2170C541">
      <w:pPr>
        <w:spacing w:line="360" w:lineRule="auto"/>
        <w:ind w:firstLine="480" w:firstLineChars="200"/>
        <w:rPr>
          <w:color w:val="auto"/>
          <w:sz w:val="24"/>
          <w:highlight w:val="none"/>
        </w:rPr>
      </w:pPr>
      <w:r>
        <w:rPr>
          <w:rFonts w:hint="eastAsia"/>
          <w:color w:val="auto"/>
          <w:sz w:val="24"/>
          <w:highlight w:val="none"/>
        </w:rPr>
        <w:t>（2）密封要求：外包装封面上应注明响应方名称、响应方地址、响应方联系方式（授权代表手机）、响应文件名称（备份响应文件）、项目名称、项目编号及“开启时启封”字样，并加盖响应方公章。</w:t>
      </w:r>
    </w:p>
    <w:p w14:paraId="48C41C88">
      <w:pPr>
        <w:pStyle w:val="4"/>
        <w:spacing w:before="0" w:after="0"/>
        <w:ind w:firstLine="424" w:firstLineChars="176"/>
        <w:rPr>
          <w:color w:val="auto"/>
          <w:sz w:val="24"/>
          <w:highlight w:val="none"/>
        </w:rPr>
      </w:pPr>
      <w:r>
        <w:rPr>
          <w:rFonts w:hint="eastAsia"/>
          <w:color w:val="auto"/>
          <w:sz w:val="24"/>
          <w:highlight w:val="none"/>
        </w:rPr>
        <w:t>（七）报价</w:t>
      </w:r>
    </w:p>
    <w:p w14:paraId="492A4ACC">
      <w:pPr>
        <w:spacing w:line="360" w:lineRule="auto"/>
        <w:ind w:firstLine="480" w:firstLineChars="200"/>
        <w:rPr>
          <w:color w:val="auto"/>
          <w:sz w:val="24"/>
          <w:highlight w:val="none"/>
        </w:rPr>
      </w:pPr>
      <w:r>
        <w:rPr>
          <w:rFonts w:hint="eastAsia"/>
          <w:color w:val="auto"/>
          <w:sz w:val="24"/>
          <w:highlight w:val="none"/>
        </w:rPr>
        <w:t>▲1.响应文件只允许有一个报价，报价应按征集文件中相关附表格式填报，该报价应与明细报价汇总相等。</w:t>
      </w:r>
    </w:p>
    <w:p w14:paraId="037D1734">
      <w:pPr>
        <w:spacing w:line="360" w:lineRule="auto"/>
        <w:ind w:firstLine="480" w:firstLineChars="200"/>
        <w:rPr>
          <w:color w:val="auto"/>
          <w:sz w:val="24"/>
          <w:highlight w:val="none"/>
        </w:rPr>
      </w:pPr>
      <w:r>
        <w:rPr>
          <w:rFonts w:hint="eastAsia"/>
          <w:color w:val="auto"/>
          <w:sz w:val="24"/>
          <w:highlight w:val="none"/>
        </w:rPr>
        <w:t>2.报价应包含项目所需全部产品、服务，不得缺漏，是履行合同的最终价格。</w:t>
      </w:r>
    </w:p>
    <w:p w14:paraId="58ADC91D">
      <w:pPr>
        <w:spacing w:line="360" w:lineRule="auto"/>
        <w:ind w:firstLine="480" w:firstLineChars="200"/>
        <w:rPr>
          <w:color w:val="auto"/>
          <w:sz w:val="24"/>
          <w:highlight w:val="none"/>
        </w:rPr>
      </w:pPr>
      <w:r>
        <w:rPr>
          <w:rFonts w:hint="eastAsia"/>
          <w:color w:val="auto"/>
          <w:sz w:val="24"/>
          <w:highlight w:val="none"/>
        </w:rPr>
        <w:t>3.征集文件报价</w:t>
      </w:r>
      <w:r>
        <w:rPr>
          <w:rFonts w:hint="eastAsia"/>
          <w:color w:val="auto"/>
          <w:sz w:val="24"/>
          <w:highlight w:val="none"/>
          <w:lang w:val="en-US" w:eastAsia="zh-CN"/>
        </w:rPr>
        <w:t>按</w:t>
      </w:r>
      <w:r>
        <w:rPr>
          <w:rFonts w:hint="eastAsia"/>
          <w:color w:val="auto"/>
          <w:sz w:val="24"/>
          <w:highlight w:val="none"/>
        </w:rPr>
        <w:t>文件规定的计量单位进行报价。</w:t>
      </w:r>
    </w:p>
    <w:p w14:paraId="4E5DA932">
      <w:pPr>
        <w:pStyle w:val="4"/>
        <w:spacing w:before="0" w:after="0"/>
        <w:ind w:firstLine="424" w:firstLineChars="176"/>
        <w:rPr>
          <w:color w:val="auto"/>
          <w:sz w:val="24"/>
          <w:highlight w:val="none"/>
        </w:rPr>
      </w:pPr>
      <w:r>
        <w:rPr>
          <w:rFonts w:hint="eastAsia"/>
          <w:color w:val="auto"/>
          <w:sz w:val="24"/>
          <w:highlight w:val="none"/>
        </w:rPr>
        <w:t>（八）串通投标认定</w:t>
      </w:r>
    </w:p>
    <w:p w14:paraId="37C00A8E">
      <w:pPr>
        <w:adjustRightInd w:val="0"/>
        <w:snapToGrid w:val="0"/>
        <w:spacing w:line="440" w:lineRule="exact"/>
        <w:ind w:firstLine="480" w:firstLineChars="200"/>
        <w:rPr>
          <w:color w:val="auto"/>
          <w:sz w:val="24"/>
          <w:highlight w:val="none"/>
        </w:rPr>
      </w:pPr>
      <w:r>
        <w:rPr>
          <w:rFonts w:hint="eastAsia"/>
          <w:color w:val="auto"/>
          <w:sz w:val="24"/>
          <w:highlight w:val="none"/>
        </w:rPr>
        <w:t>有下列情形之一的，视为响应方串通投标，其响应无效：</w:t>
      </w:r>
    </w:p>
    <w:p w14:paraId="2F2BC209">
      <w:pPr>
        <w:adjustRightInd w:val="0"/>
        <w:snapToGrid w:val="0"/>
        <w:spacing w:line="440" w:lineRule="exact"/>
        <w:ind w:firstLine="480" w:firstLineChars="200"/>
        <w:rPr>
          <w:color w:val="auto"/>
          <w:sz w:val="24"/>
          <w:highlight w:val="none"/>
        </w:rPr>
      </w:pPr>
      <w:r>
        <w:rPr>
          <w:rFonts w:hint="eastAsia"/>
          <w:color w:val="auto"/>
          <w:sz w:val="24"/>
          <w:highlight w:val="none"/>
        </w:rPr>
        <w:t>1.不同响应方的响应文件由同一单位或者个人编制；</w:t>
      </w:r>
    </w:p>
    <w:p w14:paraId="1D69BF69">
      <w:pPr>
        <w:adjustRightInd w:val="0"/>
        <w:snapToGrid w:val="0"/>
        <w:spacing w:line="440" w:lineRule="exact"/>
        <w:ind w:firstLine="480" w:firstLineChars="200"/>
        <w:rPr>
          <w:color w:val="auto"/>
          <w:sz w:val="24"/>
          <w:highlight w:val="none"/>
        </w:rPr>
      </w:pPr>
      <w:r>
        <w:rPr>
          <w:rFonts w:hint="eastAsia"/>
          <w:color w:val="auto"/>
          <w:sz w:val="24"/>
          <w:highlight w:val="none"/>
        </w:rPr>
        <w:t>2.不同响应方委托同一单位或者个人办理响应事宜；</w:t>
      </w:r>
    </w:p>
    <w:p w14:paraId="0FBCC33D">
      <w:pPr>
        <w:adjustRightInd w:val="0"/>
        <w:snapToGrid w:val="0"/>
        <w:spacing w:line="440" w:lineRule="exact"/>
        <w:ind w:firstLine="480" w:firstLineChars="200"/>
        <w:rPr>
          <w:color w:val="auto"/>
          <w:sz w:val="24"/>
          <w:highlight w:val="none"/>
        </w:rPr>
      </w:pPr>
      <w:r>
        <w:rPr>
          <w:rFonts w:hint="eastAsia"/>
          <w:color w:val="auto"/>
          <w:sz w:val="24"/>
          <w:highlight w:val="none"/>
        </w:rPr>
        <w:t>3.不同响应方的响应文件载明的项目管理成员或者联系人员为同一人；</w:t>
      </w:r>
    </w:p>
    <w:p w14:paraId="5B70CF6F">
      <w:pPr>
        <w:adjustRightInd w:val="0"/>
        <w:snapToGrid w:val="0"/>
        <w:spacing w:line="440" w:lineRule="exact"/>
        <w:ind w:firstLine="480" w:firstLineChars="200"/>
        <w:rPr>
          <w:color w:val="auto"/>
          <w:sz w:val="24"/>
          <w:highlight w:val="none"/>
        </w:rPr>
      </w:pPr>
      <w:r>
        <w:rPr>
          <w:rFonts w:hint="eastAsia"/>
          <w:color w:val="auto"/>
          <w:sz w:val="24"/>
          <w:highlight w:val="none"/>
        </w:rPr>
        <w:t>4.不同响应方的响应文件异常一致或者响应报价呈规律性差异；</w:t>
      </w:r>
    </w:p>
    <w:p w14:paraId="5C018405">
      <w:pPr>
        <w:adjustRightInd w:val="0"/>
        <w:snapToGrid w:val="0"/>
        <w:spacing w:line="440" w:lineRule="exact"/>
        <w:ind w:firstLine="480" w:firstLineChars="200"/>
        <w:rPr>
          <w:color w:val="auto"/>
          <w:sz w:val="24"/>
          <w:highlight w:val="none"/>
        </w:rPr>
      </w:pPr>
      <w:r>
        <w:rPr>
          <w:rFonts w:hint="eastAsia"/>
          <w:color w:val="auto"/>
          <w:sz w:val="24"/>
          <w:highlight w:val="none"/>
        </w:rPr>
        <w:t>5.不同响应方的响应文件相互混装。</w:t>
      </w:r>
    </w:p>
    <w:p w14:paraId="155FE2B0">
      <w:pPr>
        <w:pStyle w:val="4"/>
        <w:spacing w:before="0" w:after="0"/>
        <w:ind w:firstLine="424" w:firstLineChars="176"/>
        <w:rPr>
          <w:color w:val="auto"/>
          <w:sz w:val="24"/>
          <w:highlight w:val="none"/>
        </w:rPr>
      </w:pPr>
      <w:r>
        <w:rPr>
          <w:rFonts w:hint="eastAsia"/>
          <w:color w:val="auto"/>
          <w:sz w:val="24"/>
          <w:highlight w:val="none"/>
        </w:rPr>
        <w:t>（九）响应无效的情形</w:t>
      </w:r>
    </w:p>
    <w:p w14:paraId="3F90DAF7">
      <w:pPr>
        <w:adjustRightInd w:val="0"/>
        <w:snapToGrid w:val="0"/>
        <w:spacing w:line="440" w:lineRule="exact"/>
        <w:ind w:firstLine="480" w:firstLineChars="200"/>
        <w:rPr>
          <w:color w:val="auto"/>
          <w:sz w:val="24"/>
          <w:highlight w:val="none"/>
        </w:rPr>
      </w:pPr>
      <w:r>
        <w:rPr>
          <w:rFonts w:hint="eastAsia"/>
          <w:color w:val="auto"/>
          <w:sz w:val="24"/>
          <w:highlight w:val="none"/>
        </w:rPr>
        <w:t>在评审时，如发现下列情形之一的，响应文件将被视为无效：</w:t>
      </w:r>
    </w:p>
    <w:p w14:paraId="1784245F">
      <w:pPr>
        <w:adjustRightInd w:val="0"/>
        <w:snapToGrid w:val="0"/>
        <w:spacing w:line="440" w:lineRule="exact"/>
        <w:ind w:firstLine="480" w:firstLineChars="200"/>
        <w:rPr>
          <w:color w:val="auto"/>
          <w:sz w:val="24"/>
          <w:highlight w:val="none"/>
        </w:rPr>
      </w:pPr>
      <w:r>
        <w:rPr>
          <w:rFonts w:hint="eastAsia"/>
          <w:color w:val="auto"/>
          <w:sz w:val="24"/>
          <w:highlight w:val="none"/>
        </w:rPr>
        <w:t>1.响应方未能提供合格的资格文件、响应有效期不足的；</w:t>
      </w:r>
    </w:p>
    <w:p w14:paraId="0A5865CB">
      <w:pPr>
        <w:adjustRightInd w:val="0"/>
        <w:snapToGrid w:val="0"/>
        <w:spacing w:line="440" w:lineRule="exact"/>
        <w:ind w:firstLine="480" w:firstLineChars="200"/>
        <w:rPr>
          <w:color w:val="auto"/>
          <w:sz w:val="24"/>
          <w:highlight w:val="none"/>
        </w:rPr>
      </w:pPr>
      <w:r>
        <w:rPr>
          <w:rFonts w:hint="eastAsia"/>
          <w:color w:val="auto"/>
          <w:sz w:val="24"/>
          <w:highlight w:val="none"/>
        </w:rPr>
        <w:t>2.响应方被列入失信被执行人、重大税收违法案件当事人名单、政府采购严重违法失信行为记录名单的；</w:t>
      </w:r>
    </w:p>
    <w:p w14:paraId="05890B3F">
      <w:pPr>
        <w:adjustRightInd w:val="0"/>
        <w:snapToGrid w:val="0"/>
        <w:spacing w:line="440" w:lineRule="exact"/>
        <w:ind w:firstLine="480" w:firstLineChars="200"/>
        <w:rPr>
          <w:color w:val="auto"/>
          <w:sz w:val="24"/>
          <w:highlight w:val="none"/>
        </w:rPr>
      </w:pPr>
      <w:r>
        <w:rPr>
          <w:rFonts w:hint="eastAsia"/>
          <w:color w:val="auto"/>
          <w:sz w:val="24"/>
          <w:highlight w:val="none"/>
        </w:rPr>
        <w:t>3.仅提供备份响应文件的；</w:t>
      </w:r>
    </w:p>
    <w:p w14:paraId="1BF8133D">
      <w:pPr>
        <w:adjustRightInd w:val="0"/>
        <w:snapToGrid w:val="0"/>
        <w:spacing w:line="440" w:lineRule="exact"/>
        <w:ind w:firstLine="480" w:firstLineChars="200"/>
        <w:rPr>
          <w:color w:val="auto"/>
          <w:sz w:val="24"/>
          <w:highlight w:val="none"/>
        </w:rPr>
      </w:pPr>
      <w:r>
        <w:rPr>
          <w:rFonts w:hint="eastAsia"/>
          <w:color w:val="auto"/>
          <w:sz w:val="24"/>
          <w:highlight w:val="none"/>
        </w:rPr>
        <w:t>4.电子响应文件解密失败，且未在规定时间内提交备份响应文件的；</w:t>
      </w:r>
    </w:p>
    <w:p w14:paraId="7203A804">
      <w:pPr>
        <w:adjustRightInd w:val="0"/>
        <w:snapToGrid w:val="0"/>
        <w:spacing w:line="440" w:lineRule="exact"/>
        <w:ind w:firstLine="480" w:firstLineChars="200"/>
        <w:rPr>
          <w:color w:val="auto"/>
          <w:sz w:val="24"/>
          <w:highlight w:val="none"/>
        </w:rPr>
      </w:pPr>
      <w:r>
        <w:rPr>
          <w:rFonts w:hint="eastAsia"/>
          <w:color w:val="auto"/>
          <w:sz w:val="24"/>
          <w:highlight w:val="none"/>
        </w:rPr>
        <w:t>5.电子响应文件解密失败，虽然在规定时间内提交了备份响应文件，但是备份响应文件无法导入或者无法读取或者不符合本征集文件和电子交易平台要求的；</w:t>
      </w:r>
    </w:p>
    <w:p w14:paraId="5AC3B58C">
      <w:pPr>
        <w:adjustRightInd w:val="0"/>
        <w:snapToGrid w:val="0"/>
        <w:spacing w:line="440" w:lineRule="exact"/>
        <w:ind w:firstLine="480" w:firstLineChars="200"/>
        <w:rPr>
          <w:color w:val="auto"/>
          <w:sz w:val="24"/>
          <w:highlight w:val="none"/>
        </w:rPr>
      </w:pPr>
      <w:r>
        <w:rPr>
          <w:rFonts w:hint="eastAsia"/>
          <w:color w:val="auto"/>
          <w:sz w:val="24"/>
          <w:highlight w:val="none"/>
        </w:rPr>
        <w:t>6.响应文件未按征集文件要求签署、盖章的；</w:t>
      </w:r>
    </w:p>
    <w:p w14:paraId="1B404FFD">
      <w:pPr>
        <w:adjustRightInd w:val="0"/>
        <w:snapToGrid w:val="0"/>
        <w:spacing w:line="440" w:lineRule="exact"/>
        <w:ind w:firstLine="480" w:firstLineChars="200"/>
        <w:rPr>
          <w:color w:val="auto"/>
          <w:sz w:val="24"/>
          <w:highlight w:val="none"/>
        </w:rPr>
      </w:pPr>
      <w:r>
        <w:rPr>
          <w:rFonts w:hint="eastAsia"/>
          <w:color w:val="auto"/>
          <w:sz w:val="24"/>
          <w:highlight w:val="none"/>
        </w:rPr>
        <w:t>7.与征集文件有重大偏离、未满足带“▲”号实质性指标的响应文件；</w:t>
      </w:r>
    </w:p>
    <w:p w14:paraId="61B93E4B">
      <w:pPr>
        <w:adjustRightInd w:val="0"/>
        <w:snapToGrid w:val="0"/>
        <w:spacing w:line="440" w:lineRule="exact"/>
        <w:ind w:firstLine="480" w:firstLineChars="200"/>
        <w:rPr>
          <w:color w:val="auto"/>
          <w:sz w:val="24"/>
          <w:highlight w:val="none"/>
        </w:rPr>
      </w:pPr>
      <w:r>
        <w:rPr>
          <w:rFonts w:hint="eastAsia"/>
          <w:color w:val="auto"/>
          <w:sz w:val="24"/>
          <w:highlight w:val="none"/>
        </w:rPr>
        <w:t>8.采购需求中要求提供的产品属于节能清单中政府强制采购节能产品品目的，响应方未提供该清单内产品的；</w:t>
      </w:r>
    </w:p>
    <w:p w14:paraId="0DE062C9">
      <w:pPr>
        <w:adjustRightInd w:val="0"/>
        <w:snapToGrid w:val="0"/>
        <w:spacing w:line="440" w:lineRule="exact"/>
        <w:ind w:firstLine="480" w:firstLineChars="200"/>
        <w:rPr>
          <w:color w:val="auto"/>
          <w:sz w:val="24"/>
          <w:highlight w:val="none"/>
        </w:rPr>
      </w:pPr>
      <w:r>
        <w:rPr>
          <w:rFonts w:hint="eastAsia"/>
          <w:color w:val="auto"/>
          <w:sz w:val="24"/>
          <w:highlight w:val="none"/>
        </w:rPr>
        <w:t>9.报价超出征集文件中规定的价格区间范围或者最高限价的；</w:t>
      </w:r>
    </w:p>
    <w:p w14:paraId="78402345">
      <w:pPr>
        <w:adjustRightInd w:val="0"/>
        <w:snapToGrid w:val="0"/>
        <w:spacing w:line="440" w:lineRule="exact"/>
        <w:ind w:firstLine="480" w:firstLineChars="200"/>
        <w:rPr>
          <w:color w:val="auto"/>
          <w:sz w:val="24"/>
          <w:highlight w:val="none"/>
        </w:rPr>
      </w:pPr>
      <w:r>
        <w:rPr>
          <w:rFonts w:hint="eastAsia"/>
          <w:color w:val="auto"/>
          <w:sz w:val="24"/>
          <w:highlight w:val="none"/>
        </w:rPr>
        <w:t>10.标项以赠送方式响应的、对一个标项提供两个响应方案或两个报价的；</w:t>
      </w:r>
    </w:p>
    <w:p w14:paraId="3DE2A55C">
      <w:pPr>
        <w:adjustRightInd w:val="0"/>
        <w:snapToGrid w:val="0"/>
        <w:spacing w:line="440" w:lineRule="exact"/>
        <w:ind w:firstLine="480" w:firstLineChars="200"/>
        <w:rPr>
          <w:color w:val="auto"/>
          <w:sz w:val="24"/>
          <w:highlight w:val="none"/>
        </w:rPr>
      </w:pPr>
      <w:r>
        <w:rPr>
          <w:rFonts w:hint="eastAsia"/>
          <w:color w:val="auto"/>
          <w:sz w:val="24"/>
          <w:highlight w:val="none"/>
        </w:rPr>
        <w:t>11.评审小组认为响应方的报价明显低于其他通过符合性审查响应方的报价，有可能影响产品质量或者不能诚信履约，且不能证明其报价合理性的；</w:t>
      </w:r>
    </w:p>
    <w:p w14:paraId="7B0F3E83">
      <w:pPr>
        <w:adjustRightInd w:val="0"/>
        <w:snapToGrid w:val="0"/>
        <w:spacing w:line="440" w:lineRule="exact"/>
        <w:ind w:firstLine="480" w:firstLineChars="200"/>
        <w:rPr>
          <w:color w:val="auto"/>
          <w:sz w:val="24"/>
          <w:highlight w:val="none"/>
        </w:rPr>
      </w:pPr>
      <w:r>
        <w:rPr>
          <w:rFonts w:hint="eastAsia"/>
          <w:color w:val="auto"/>
          <w:sz w:val="24"/>
          <w:highlight w:val="none"/>
        </w:rPr>
        <w:t>12.响应方不接受报价文件中修正后的报价的；</w:t>
      </w:r>
    </w:p>
    <w:p w14:paraId="3ABF4633">
      <w:pPr>
        <w:adjustRightInd w:val="0"/>
        <w:snapToGrid w:val="0"/>
        <w:spacing w:line="440" w:lineRule="exact"/>
        <w:ind w:firstLine="480" w:firstLineChars="200"/>
        <w:rPr>
          <w:color w:val="auto"/>
          <w:sz w:val="24"/>
          <w:highlight w:val="none"/>
        </w:rPr>
      </w:pPr>
      <w:r>
        <w:rPr>
          <w:rFonts w:hint="eastAsia"/>
          <w:color w:val="auto"/>
          <w:sz w:val="24"/>
          <w:highlight w:val="none"/>
        </w:rPr>
        <w:t>13.未按报价要求报价的；</w:t>
      </w:r>
    </w:p>
    <w:p w14:paraId="3B33D489">
      <w:pPr>
        <w:adjustRightInd w:val="0"/>
        <w:snapToGrid w:val="0"/>
        <w:spacing w:line="440" w:lineRule="exact"/>
        <w:ind w:firstLine="480" w:firstLineChars="200"/>
        <w:rPr>
          <w:color w:val="auto"/>
          <w:sz w:val="24"/>
          <w:highlight w:val="none"/>
        </w:rPr>
      </w:pPr>
      <w:r>
        <w:rPr>
          <w:rFonts w:hint="eastAsia"/>
          <w:color w:val="auto"/>
          <w:sz w:val="24"/>
          <w:highlight w:val="none"/>
        </w:rPr>
        <w:t>14.响应文件含有征集人不能接受的附加条件的；</w:t>
      </w:r>
    </w:p>
    <w:p w14:paraId="008B3FAA">
      <w:pPr>
        <w:adjustRightInd w:val="0"/>
        <w:snapToGrid w:val="0"/>
        <w:spacing w:line="440" w:lineRule="exact"/>
        <w:ind w:firstLine="480" w:firstLineChars="200"/>
        <w:rPr>
          <w:color w:val="auto"/>
          <w:sz w:val="24"/>
          <w:highlight w:val="none"/>
        </w:rPr>
      </w:pPr>
      <w:r>
        <w:rPr>
          <w:rFonts w:hint="eastAsia"/>
          <w:color w:val="auto"/>
          <w:sz w:val="24"/>
          <w:highlight w:val="none"/>
        </w:rPr>
        <w:t>15.响应方被视为串通投标的；</w:t>
      </w:r>
    </w:p>
    <w:p w14:paraId="4ABEB660">
      <w:pPr>
        <w:adjustRightInd w:val="0"/>
        <w:snapToGrid w:val="0"/>
        <w:spacing w:line="440" w:lineRule="exact"/>
        <w:ind w:firstLine="480" w:firstLineChars="200"/>
        <w:rPr>
          <w:color w:val="auto"/>
          <w:sz w:val="24"/>
          <w:highlight w:val="none"/>
        </w:rPr>
      </w:pPr>
      <w:r>
        <w:rPr>
          <w:rFonts w:hint="eastAsia"/>
          <w:color w:val="auto"/>
          <w:sz w:val="24"/>
          <w:highlight w:val="none"/>
        </w:rPr>
        <w:t>16.不符合法律法规和本征集文件规定的其他实质性要求的。</w:t>
      </w:r>
    </w:p>
    <w:p w14:paraId="6C7D41B8">
      <w:pPr>
        <w:pStyle w:val="4"/>
        <w:spacing w:before="0" w:after="0"/>
        <w:ind w:firstLine="424" w:firstLineChars="176"/>
        <w:rPr>
          <w:color w:val="auto"/>
          <w:sz w:val="24"/>
          <w:highlight w:val="none"/>
        </w:rPr>
      </w:pPr>
      <w:r>
        <w:rPr>
          <w:rFonts w:hint="eastAsia"/>
          <w:color w:val="auto"/>
          <w:sz w:val="24"/>
          <w:highlight w:val="none"/>
        </w:rPr>
        <w:t>（十）错误修正</w:t>
      </w:r>
    </w:p>
    <w:p w14:paraId="06242116">
      <w:pPr>
        <w:adjustRightInd w:val="0"/>
        <w:snapToGrid w:val="0"/>
        <w:spacing w:line="440" w:lineRule="exact"/>
        <w:ind w:firstLine="480" w:firstLineChars="200"/>
        <w:rPr>
          <w:color w:val="auto"/>
          <w:sz w:val="24"/>
          <w:highlight w:val="none"/>
        </w:rPr>
      </w:pPr>
      <w:r>
        <w:rPr>
          <w:rFonts w:hint="eastAsia"/>
          <w:color w:val="auto"/>
          <w:sz w:val="24"/>
          <w:highlight w:val="none"/>
        </w:rPr>
        <w:t>电子交易平台客户端里开标一览表录入的报价信息与扫描上传的报价文件不一致的，以扫描上传的报价文件为准。</w:t>
      </w:r>
    </w:p>
    <w:p w14:paraId="39652BEC">
      <w:pPr>
        <w:adjustRightInd w:val="0"/>
        <w:snapToGrid w:val="0"/>
        <w:spacing w:line="440" w:lineRule="exact"/>
        <w:ind w:firstLine="480" w:firstLineChars="200"/>
        <w:rPr>
          <w:color w:val="auto"/>
          <w:sz w:val="24"/>
          <w:highlight w:val="none"/>
        </w:rPr>
      </w:pPr>
      <w:r>
        <w:rPr>
          <w:rFonts w:hint="eastAsia"/>
          <w:color w:val="auto"/>
          <w:sz w:val="24"/>
          <w:highlight w:val="none"/>
        </w:rPr>
        <w:t>响应文件报价出现前后不一致的，除征集文件另有规定外，按照下列规定修正：</w:t>
      </w:r>
    </w:p>
    <w:p w14:paraId="626B961E">
      <w:pPr>
        <w:adjustRightInd w:val="0"/>
        <w:snapToGrid w:val="0"/>
        <w:spacing w:line="440" w:lineRule="exact"/>
        <w:ind w:firstLine="480" w:firstLineChars="200"/>
        <w:rPr>
          <w:color w:val="auto"/>
          <w:sz w:val="24"/>
          <w:highlight w:val="none"/>
        </w:rPr>
      </w:pPr>
      <w:r>
        <w:rPr>
          <w:rFonts w:hint="eastAsia"/>
          <w:color w:val="auto"/>
          <w:sz w:val="24"/>
          <w:highlight w:val="none"/>
        </w:rPr>
        <w:t>1.响应文件中报价明细表内容与响应文件中相应内容不一致的，以报价明细表为准；</w:t>
      </w:r>
    </w:p>
    <w:p w14:paraId="6557FBAA">
      <w:pPr>
        <w:adjustRightInd w:val="0"/>
        <w:snapToGrid w:val="0"/>
        <w:spacing w:line="440" w:lineRule="exact"/>
        <w:ind w:firstLine="480" w:firstLineChars="200"/>
        <w:rPr>
          <w:color w:val="auto"/>
          <w:sz w:val="24"/>
          <w:highlight w:val="none"/>
        </w:rPr>
      </w:pPr>
      <w:r>
        <w:rPr>
          <w:rFonts w:hint="eastAsia"/>
          <w:color w:val="auto"/>
          <w:sz w:val="24"/>
          <w:highlight w:val="none"/>
        </w:rPr>
        <w:t>2.大写金额和小写金额不一致的，以大写金额为准；</w:t>
      </w:r>
    </w:p>
    <w:p w14:paraId="444F4DCB">
      <w:pPr>
        <w:adjustRightInd w:val="0"/>
        <w:snapToGrid w:val="0"/>
        <w:spacing w:line="440" w:lineRule="exact"/>
        <w:ind w:firstLine="480" w:firstLineChars="200"/>
        <w:rPr>
          <w:color w:val="auto"/>
          <w:sz w:val="24"/>
          <w:highlight w:val="none"/>
        </w:rPr>
      </w:pPr>
      <w:r>
        <w:rPr>
          <w:rFonts w:hint="eastAsia"/>
          <w:color w:val="auto"/>
          <w:sz w:val="24"/>
          <w:highlight w:val="none"/>
        </w:rPr>
        <w:t>3.单价金额小数点或者百分比有明显错位的，以报价明细表的总价为准，并修改单价；</w:t>
      </w:r>
    </w:p>
    <w:p w14:paraId="2305619B">
      <w:pPr>
        <w:adjustRightInd w:val="0"/>
        <w:snapToGrid w:val="0"/>
        <w:spacing w:line="440" w:lineRule="exact"/>
        <w:ind w:firstLine="480" w:firstLineChars="200"/>
        <w:rPr>
          <w:color w:val="auto"/>
          <w:sz w:val="24"/>
          <w:highlight w:val="none"/>
        </w:rPr>
      </w:pPr>
      <w:r>
        <w:rPr>
          <w:rFonts w:hint="eastAsia"/>
          <w:color w:val="auto"/>
          <w:sz w:val="24"/>
          <w:highlight w:val="none"/>
        </w:rPr>
        <w:t>4.总价金额与按单价汇总金额不一致的，以单价金额计算结果为准。</w:t>
      </w:r>
    </w:p>
    <w:p w14:paraId="2255746D">
      <w:pPr>
        <w:adjustRightInd w:val="0"/>
        <w:snapToGrid w:val="0"/>
        <w:spacing w:line="440" w:lineRule="exact"/>
        <w:ind w:firstLine="480" w:firstLineChars="200"/>
        <w:rPr>
          <w:color w:val="auto"/>
          <w:sz w:val="24"/>
          <w:highlight w:val="none"/>
        </w:rPr>
      </w:pPr>
      <w:r>
        <w:rPr>
          <w:rFonts w:hint="eastAsia"/>
          <w:color w:val="auto"/>
          <w:sz w:val="24"/>
          <w:highlight w:val="none"/>
        </w:rPr>
        <w:t>同时出现两种以上不一致的，按照前款规定的顺序修正。修正后的报价按照经响应方加盖公章后产生约束力，响应方不确认的，其响应无效。</w:t>
      </w:r>
    </w:p>
    <w:p w14:paraId="0BA85B8A">
      <w:pPr>
        <w:pStyle w:val="4"/>
        <w:spacing w:before="0" w:after="0"/>
        <w:ind w:firstLine="424" w:firstLineChars="176"/>
        <w:rPr>
          <w:color w:val="auto"/>
          <w:sz w:val="24"/>
          <w:highlight w:val="none"/>
        </w:rPr>
      </w:pPr>
      <w:r>
        <w:rPr>
          <w:rFonts w:hint="eastAsia"/>
          <w:color w:val="auto"/>
          <w:sz w:val="24"/>
          <w:highlight w:val="none"/>
        </w:rPr>
        <w:t>（十一）采购过程中的异常情况及处理措施</w:t>
      </w:r>
    </w:p>
    <w:p w14:paraId="3EEC19E5">
      <w:pPr>
        <w:adjustRightInd w:val="0"/>
        <w:snapToGrid w:val="0"/>
        <w:spacing w:line="440" w:lineRule="exact"/>
        <w:ind w:firstLine="480" w:firstLineChars="200"/>
        <w:rPr>
          <w:color w:val="auto"/>
          <w:sz w:val="24"/>
          <w:highlight w:val="none"/>
        </w:rPr>
      </w:pPr>
      <w:r>
        <w:rPr>
          <w:rFonts w:hint="eastAsia"/>
          <w:color w:val="auto"/>
          <w:sz w:val="24"/>
          <w:highlight w:val="none"/>
        </w:rPr>
        <w:t>采购过程中出现以下情形，导致电子交易平台无法正常运行，或者无法保证电子交易的公平、公正和安全时，征集人可中止电子交易活动：</w:t>
      </w:r>
    </w:p>
    <w:p w14:paraId="792AF29D">
      <w:pPr>
        <w:adjustRightInd w:val="0"/>
        <w:snapToGrid w:val="0"/>
        <w:spacing w:line="440" w:lineRule="exact"/>
        <w:ind w:firstLine="480" w:firstLineChars="200"/>
        <w:rPr>
          <w:color w:val="auto"/>
          <w:sz w:val="24"/>
          <w:highlight w:val="none"/>
        </w:rPr>
      </w:pPr>
      <w:r>
        <w:rPr>
          <w:rFonts w:hint="eastAsia"/>
          <w:color w:val="auto"/>
          <w:sz w:val="24"/>
          <w:highlight w:val="none"/>
        </w:rPr>
        <w:t>1.电子交易平台发生故障而无法登录访问的；</w:t>
      </w:r>
    </w:p>
    <w:p w14:paraId="708BECA0">
      <w:pPr>
        <w:adjustRightInd w:val="0"/>
        <w:snapToGrid w:val="0"/>
        <w:spacing w:line="440" w:lineRule="exact"/>
        <w:ind w:firstLine="480" w:firstLineChars="200"/>
        <w:rPr>
          <w:color w:val="auto"/>
          <w:sz w:val="24"/>
          <w:highlight w:val="none"/>
        </w:rPr>
      </w:pPr>
      <w:r>
        <w:rPr>
          <w:rFonts w:hint="eastAsia"/>
          <w:color w:val="auto"/>
          <w:sz w:val="24"/>
          <w:highlight w:val="none"/>
        </w:rPr>
        <w:t>2.电子交易平台应用或数据库出现错误，不能进行正常操作的；</w:t>
      </w:r>
    </w:p>
    <w:p w14:paraId="6F665E75">
      <w:pPr>
        <w:adjustRightInd w:val="0"/>
        <w:snapToGrid w:val="0"/>
        <w:spacing w:line="440" w:lineRule="exact"/>
        <w:ind w:firstLine="480" w:firstLineChars="200"/>
        <w:rPr>
          <w:color w:val="auto"/>
          <w:sz w:val="24"/>
          <w:highlight w:val="none"/>
        </w:rPr>
      </w:pPr>
      <w:r>
        <w:rPr>
          <w:rFonts w:hint="eastAsia"/>
          <w:color w:val="auto"/>
          <w:sz w:val="24"/>
          <w:highlight w:val="none"/>
        </w:rPr>
        <w:t>3.电子交易平台发现严重安全漏洞，有潜在泄密危险的；</w:t>
      </w:r>
    </w:p>
    <w:p w14:paraId="5BC24807">
      <w:pPr>
        <w:adjustRightInd w:val="0"/>
        <w:snapToGrid w:val="0"/>
        <w:spacing w:line="440" w:lineRule="exact"/>
        <w:ind w:firstLine="480" w:firstLineChars="200"/>
        <w:rPr>
          <w:color w:val="auto"/>
          <w:sz w:val="24"/>
          <w:highlight w:val="none"/>
        </w:rPr>
      </w:pPr>
      <w:r>
        <w:rPr>
          <w:rFonts w:hint="eastAsia"/>
          <w:color w:val="auto"/>
          <w:sz w:val="24"/>
          <w:highlight w:val="none"/>
        </w:rPr>
        <w:t>4.病毒发作导致不能进行正常操作的；</w:t>
      </w:r>
    </w:p>
    <w:p w14:paraId="1ED9D2CC">
      <w:pPr>
        <w:adjustRightInd w:val="0"/>
        <w:snapToGrid w:val="0"/>
        <w:spacing w:line="440" w:lineRule="exact"/>
        <w:ind w:firstLine="480" w:firstLineChars="200"/>
        <w:rPr>
          <w:color w:val="auto"/>
          <w:sz w:val="24"/>
          <w:highlight w:val="none"/>
        </w:rPr>
      </w:pPr>
      <w:r>
        <w:rPr>
          <w:rFonts w:hint="eastAsia"/>
          <w:color w:val="auto"/>
          <w:sz w:val="24"/>
          <w:highlight w:val="none"/>
        </w:rPr>
        <w:t>5.其他无法保证电子交易的公平、公正和安全的情况。</w:t>
      </w:r>
    </w:p>
    <w:p w14:paraId="21841C45">
      <w:pPr>
        <w:adjustRightInd w:val="0"/>
        <w:snapToGrid w:val="0"/>
        <w:spacing w:line="440" w:lineRule="exact"/>
        <w:ind w:firstLine="480" w:firstLineChars="200"/>
        <w:rPr>
          <w:color w:val="auto"/>
          <w:sz w:val="24"/>
          <w:highlight w:val="none"/>
        </w:rPr>
      </w:pPr>
      <w:r>
        <w:rPr>
          <w:rFonts w:hint="eastAsia"/>
          <w:color w:val="auto"/>
          <w:sz w:val="24"/>
          <w:highlight w:val="none"/>
        </w:rPr>
        <w:t>出现前款规定情形，不影响采购公平、公正性的，征集人可以待上述情形消除后继续组织电子交易活动；影响或可能影响采购公平、公正性的，应当重新采购。</w:t>
      </w:r>
    </w:p>
    <w:p w14:paraId="5E05A6B7">
      <w:pPr>
        <w:pStyle w:val="3"/>
        <w:spacing w:before="0" w:after="0" w:line="360" w:lineRule="auto"/>
        <w:ind w:firstLine="424" w:firstLineChars="151"/>
        <w:rPr>
          <w:color w:val="auto"/>
          <w:sz w:val="28"/>
          <w:highlight w:val="none"/>
        </w:rPr>
      </w:pPr>
      <w:r>
        <w:rPr>
          <w:rFonts w:hint="eastAsia"/>
          <w:color w:val="auto"/>
          <w:sz w:val="28"/>
          <w:highlight w:val="none"/>
        </w:rPr>
        <w:t>三、开、评标程序及评审小组的评审程序</w:t>
      </w:r>
    </w:p>
    <w:p w14:paraId="05F511A6">
      <w:pPr>
        <w:pStyle w:val="4"/>
        <w:spacing w:before="0" w:after="0"/>
        <w:ind w:firstLine="424" w:firstLineChars="176"/>
        <w:rPr>
          <w:color w:val="auto"/>
          <w:sz w:val="24"/>
          <w:highlight w:val="none"/>
        </w:rPr>
      </w:pPr>
      <w:r>
        <w:rPr>
          <w:rFonts w:hint="eastAsia"/>
          <w:color w:val="auto"/>
          <w:sz w:val="24"/>
          <w:highlight w:val="none"/>
        </w:rPr>
        <w:t>（一）组织开标</w:t>
      </w:r>
    </w:p>
    <w:p w14:paraId="08FAD9EF">
      <w:pPr>
        <w:adjustRightInd w:val="0"/>
        <w:snapToGrid w:val="0"/>
        <w:spacing w:line="440" w:lineRule="exact"/>
        <w:ind w:firstLine="480" w:firstLineChars="200"/>
        <w:rPr>
          <w:color w:val="auto"/>
          <w:sz w:val="24"/>
          <w:highlight w:val="none"/>
        </w:rPr>
      </w:pPr>
      <w:r>
        <w:rPr>
          <w:rFonts w:hint="eastAsia"/>
          <w:color w:val="auto"/>
          <w:sz w:val="24"/>
          <w:highlight w:val="none"/>
        </w:rPr>
        <w:t>征集人将按照征集文件规定的时间、地点和程序组织开标，各响应方授权代表及相关人员均应当准时在线参加，无关人员不得进入开标现场。响应方如未准时在线参加的，事后不得对采购相关人员、开标过程和开标结果提出异议。</w:t>
      </w:r>
    </w:p>
    <w:p w14:paraId="7FE1BAA2">
      <w:pPr>
        <w:adjustRightInd w:val="0"/>
        <w:snapToGrid w:val="0"/>
        <w:spacing w:line="440" w:lineRule="exact"/>
        <w:ind w:firstLine="480" w:firstLineChars="200"/>
        <w:rPr>
          <w:color w:val="auto"/>
          <w:sz w:val="24"/>
          <w:highlight w:val="none"/>
        </w:rPr>
      </w:pPr>
      <w:r>
        <w:rPr>
          <w:rFonts w:hint="eastAsia"/>
          <w:color w:val="auto"/>
          <w:sz w:val="24"/>
          <w:highlight w:val="none"/>
        </w:rPr>
        <w:t>1.落实工作场地、设施，检查录音录像采集设备运行情况，验证电子交易平台是否能正常登录。</w:t>
      </w:r>
    </w:p>
    <w:p w14:paraId="17ED61A4">
      <w:pPr>
        <w:adjustRightInd w:val="0"/>
        <w:snapToGrid w:val="0"/>
        <w:spacing w:line="440" w:lineRule="exact"/>
        <w:ind w:firstLine="480" w:firstLineChars="200"/>
        <w:rPr>
          <w:color w:val="auto"/>
          <w:sz w:val="24"/>
          <w:highlight w:val="none"/>
        </w:rPr>
      </w:pPr>
      <w:r>
        <w:rPr>
          <w:rFonts w:hint="eastAsia"/>
          <w:color w:val="auto"/>
          <w:sz w:val="24"/>
          <w:highlight w:val="none"/>
        </w:rPr>
        <w:t>2.开标由采购代理机构主持，主持人介绍开标现场的人员情况。</w:t>
      </w:r>
    </w:p>
    <w:p w14:paraId="77ECE471">
      <w:pPr>
        <w:adjustRightInd w:val="0"/>
        <w:snapToGrid w:val="0"/>
        <w:spacing w:line="440" w:lineRule="exact"/>
        <w:ind w:firstLine="480" w:firstLineChars="200"/>
        <w:rPr>
          <w:color w:val="auto"/>
          <w:sz w:val="24"/>
          <w:highlight w:val="none"/>
        </w:rPr>
      </w:pPr>
      <w:r>
        <w:rPr>
          <w:rFonts w:hint="eastAsia"/>
          <w:color w:val="auto"/>
          <w:sz w:val="24"/>
          <w:highlight w:val="none"/>
        </w:rPr>
        <w:t>3.响应截止时，电子交易平台自动提取所有电子响应文件。采购代理机构点击[开始解密]按钮后，响应方可以在线解密，解密时限为30分钟。</w:t>
      </w:r>
    </w:p>
    <w:p w14:paraId="497269E3">
      <w:pPr>
        <w:adjustRightInd w:val="0"/>
        <w:snapToGrid w:val="0"/>
        <w:spacing w:line="440" w:lineRule="exact"/>
        <w:ind w:firstLine="480" w:firstLineChars="200"/>
        <w:rPr>
          <w:color w:val="auto"/>
          <w:sz w:val="24"/>
          <w:highlight w:val="none"/>
        </w:rPr>
      </w:pPr>
      <w:r>
        <w:rPr>
          <w:rFonts w:hint="eastAsia"/>
          <w:color w:val="auto"/>
          <w:sz w:val="24"/>
          <w:highlight w:val="none"/>
        </w:rPr>
        <w:t>4.响应方应当在解密时限内完成解密，如所有响应方的电子响应文件都已经解密完成的，则电子交易平台自动结束解密。如有任一响应方未解密，电子交易平台会在解密时限截止时自动结束解密。</w:t>
      </w:r>
    </w:p>
    <w:p w14:paraId="74385C9C">
      <w:pPr>
        <w:adjustRightInd w:val="0"/>
        <w:snapToGrid w:val="0"/>
        <w:spacing w:line="440" w:lineRule="exact"/>
        <w:ind w:firstLine="480" w:firstLineChars="200"/>
        <w:rPr>
          <w:color w:val="auto"/>
          <w:sz w:val="24"/>
          <w:highlight w:val="none"/>
        </w:rPr>
      </w:pPr>
      <w:r>
        <w:rPr>
          <w:rFonts w:hint="eastAsia"/>
          <w:color w:val="auto"/>
          <w:sz w:val="24"/>
          <w:highlight w:val="none"/>
        </w:rPr>
        <w:t>解密时限内未完成解密且按规定提供了备份响应文件的，采购代理机构将拆封其备份响应文件，并导入电子交易平台。</w:t>
      </w:r>
    </w:p>
    <w:p w14:paraId="14B04D1F">
      <w:pPr>
        <w:adjustRightInd w:val="0"/>
        <w:snapToGrid w:val="0"/>
        <w:spacing w:line="440" w:lineRule="exact"/>
        <w:ind w:firstLine="480" w:firstLineChars="200"/>
        <w:rPr>
          <w:color w:val="auto"/>
          <w:sz w:val="24"/>
          <w:highlight w:val="none"/>
        </w:rPr>
      </w:pPr>
      <w:r>
        <w:rPr>
          <w:rFonts w:hint="eastAsia"/>
          <w:color w:val="auto"/>
          <w:sz w:val="24"/>
          <w:highlight w:val="none"/>
        </w:rPr>
        <w:t>5.评审小组在商务和技术评审结束后，主持人通过电子交易平台宣布商务和技术评审无效响应方名称及理由，有效响应方的商务和技术得分情况。</w:t>
      </w:r>
    </w:p>
    <w:p w14:paraId="2FCE1870">
      <w:pPr>
        <w:adjustRightInd w:val="0"/>
        <w:snapToGrid w:val="0"/>
        <w:spacing w:line="440" w:lineRule="exact"/>
        <w:ind w:firstLine="480" w:firstLineChars="200"/>
        <w:rPr>
          <w:color w:val="auto"/>
          <w:sz w:val="24"/>
          <w:highlight w:val="none"/>
        </w:rPr>
      </w:pPr>
      <w:r>
        <w:rPr>
          <w:rFonts w:hint="eastAsia"/>
          <w:color w:val="auto"/>
          <w:sz w:val="24"/>
          <w:highlight w:val="none"/>
        </w:rPr>
        <w:t>6.采购代理机构在电子交易平台开启响应方的报价文件信息，响应方对报价信息进行确认。响应方对报价信息不予确认的不影响后续评审过程。</w:t>
      </w:r>
    </w:p>
    <w:p w14:paraId="65FCFE6A">
      <w:pPr>
        <w:adjustRightInd w:val="0"/>
        <w:snapToGrid w:val="0"/>
        <w:spacing w:line="440" w:lineRule="exact"/>
        <w:ind w:firstLine="480" w:firstLineChars="200"/>
        <w:rPr>
          <w:color w:val="auto"/>
          <w:sz w:val="24"/>
          <w:highlight w:val="none"/>
        </w:rPr>
      </w:pPr>
      <w:r>
        <w:rPr>
          <w:rFonts w:hint="eastAsia"/>
          <w:color w:val="auto"/>
          <w:sz w:val="24"/>
          <w:highlight w:val="none"/>
        </w:rPr>
        <w:t>7.评审小组经商议认为需要响应方作出必要澄清或说明的，应当通过电子交易平台交换数据电文。评审小组给予响应方提交澄清或说明的时间为半小时，响应方已经明确表示澄清或说明完毕的除外。</w:t>
      </w:r>
    </w:p>
    <w:p w14:paraId="055395D4">
      <w:pPr>
        <w:adjustRightInd w:val="0"/>
        <w:snapToGrid w:val="0"/>
        <w:spacing w:line="440" w:lineRule="exact"/>
        <w:ind w:firstLine="480" w:firstLineChars="200"/>
        <w:rPr>
          <w:color w:val="auto"/>
          <w:sz w:val="24"/>
          <w:highlight w:val="none"/>
        </w:rPr>
      </w:pPr>
      <w:r>
        <w:rPr>
          <w:rFonts w:hint="eastAsia"/>
          <w:color w:val="auto"/>
          <w:sz w:val="24"/>
          <w:highlight w:val="none"/>
        </w:rPr>
        <w:t>8.在电子交易平台上公布评审结果。</w:t>
      </w:r>
    </w:p>
    <w:p w14:paraId="3BE78963">
      <w:pPr>
        <w:adjustRightInd w:val="0"/>
        <w:snapToGrid w:val="0"/>
        <w:spacing w:line="440" w:lineRule="exact"/>
        <w:ind w:firstLine="480" w:firstLineChars="200"/>
        <w:rPr>
          <w:color w:val="auto"/>
          <w:sz w:val="24"/>
          <w:highlight w:val="none"/>
        </w:rPr>
      </w:pPr>
      <w:r>
        <w:rPr>
          <w:rFonts w:hint="eastAsia"/>
          <w:color w:val="auto"/>
          <w:sz w:val="24"/>
          <w:highlight w:val="none"/>
        </w:rPr>
        <w:t>特别说明：</w:t>
      </w:r>
      <w:r>
        <w:rPr>
          <w:rFonts w:hint="eastAsia"/>
          <w:color w:val="auto"/>
          <w:sz w:val="24"/>
          <w:highlight w:val="none"/>
          <w:lang w:eastAsia="zh-CN"/>
        </w:rPr>
        <w:t>乐采云</w:t>
      </w:r>
      <w:r>
        <w:rPr>
          <w:rFonts w:hint="eastAsia"/>
          <w:color w:val="auto"/>
          <w:sz w:val="24"/>
          <w:highlight w:val="none"/>
        </w:rPr>
        <w:t>公司如对采购项目电子交易开标及评审程序有调整的，按调整后的程序操作。</w:t>
      </w:r>
    </w:p>
    <w:p w14:paraId="7D2A4446">
      <w:pPr>
        <w:pStyle w:val="4"/>
        <w:spacing w:before="0" w:after="0"/>
        <w:ind w:firstLine="424" w:firstLineChars="176"/>
        <w:rPr>
          <w:color w:val="auto"/>
          <w:sz w:val="24"/>
          <w:highlight w:val="none"/>
        </w:rPr>
      </w:pPr>
      <w:r>
        <w:rPr>
          <w:rFonts w:hint="eastAsia"/>
          <w:color w:val="auto"/>
          <w:sz w:val="24"/>
          <w:highlight w:val="none"/>
        </w:rPr>
        <w:t>（二）组织评标程序</w:t>
      </w:r>
    </w:p>
    <w:p w14:paraId="530E8D43">
      <w:pPr>
        <w:adjustRightInd w:val="0"/>
        <w:snapToGrid w:val="0"/>
        <w:spacing w:line="440" w:lineRule="exact"/>
        <w:ind w:firstLine="480" w:firstLineChars="200"/>
        <w:rPr>
          <w:color w:val="auto"/>
          <w:sz w:val="24"/>
          <w:highlight w:val="none"/>
        </w:rPr>
      </w:pPr>
      <w:r>
        <w:rPr>
          <w:rFonts w:hint="eastAsia"/>
          <w:color w:val="auto"/>
          <w:sz w:val="24"/>
          <w:highlight w:val="none"/>
        </w:rPr>
        <w:t>采购代理机构将按照征集文件规定的时间、地点和程序组织评审，各评审专家及相关人员应参加评审活动并接受核验、签到，无关人员不得进入评审现场。</w:t>
      </w:r>
    </w:p>
    <w:p w14:paraId="202215D3">
      <w:pPr>
        <w:adjustRightInd w:val="0"/>
        <w:snapToGrid w:val="0"/>
        <w:spacing w:line="440" w:lineRule="exact"/>
        <w:ind w:firstLine="480" w:firstLineChars="200"/>
        <w:rPr>
          <w:color w:val="auto"/>
          <w:sz w:val="24"/>
          <w:highlight w:val="none"/>
        </w:rPr>
      </w:pPr>
      <w:r>
        <w:rPr>
          <w:rFonts w:hint="eastAsia"/>
          <w:color w:val="auto"/>
          <w:sz w:val="24"/>
          <w:highlight w:val="none"/>
        </w:rPr>
        <w:t>1.开启开标场地录音录像采集设备，并确保正常运行。</w:t>
      </w:r>
    </w:p>
    <w:p w14:paraId="6C7F93ED">
      <w:pPr>
        <w:adjustRightInd w:val="0"/>
        <w:snapToGrid w:val="0"/>
        <w:spacing w:line="440" w:lineRule="exact"/>
        <w:ind w:firstLine="480" w:firstLineChars="200"/>
        <w:rPr>
          <w:color w:val="auto"/>
          <w:sz w:val="24"/>
          <w:highlight w:val="none"/>
        </w:rPr>
      </w:pPr>
      <w:r>
        <w:rPr>
          <w:rFonts w:hint="eastAsia"/>
          <w:color w:val="auto"/>
          <w:sz w:val="24"/>
          <w:highlight w:val="none"/>
        </w:rPr>
        <w:t>2.按规定统一收缴、保存评审现场相关人员通信工具。</w:t>
      </w:r>
    </w:p>
    <w:p w14:paraId="70DB8EF1">
      <w:pPr>
        <w:adjustRightInd w:val="0"/>
        <w:snapToGrid w:val="0"/>
        <w:spacing w:line="440" w:lineRule="exact"/>
        <w:ind w:firstLine="480" w:firstLineChars="200"/>
        <w:rPr>
          <w:color w:val="auto"/>
          <w:sz w:val="24"/>
          <w:highlight w:val="none"/>
        </w:rPr>
      </w:pPr>
      <w:r>
        <w:rPr>
          <w:rFonts w:hint="eastAsia"/>
          <w:color w:val="auto"/>
          <w:sz w:val="24"/>
          <w:highlight w:val="none"/>
        </w:rPr>
        <w:t>3.介绍评审现场的人员情况，宣布评审工作纪律，告知评审人员应当回避情形；组织推选评审小组组长。</w:t>
      </w:r>
    </w:p>
    <w:p w14:paraId="6BDBB105">
      <w:pPr>
        <w:adjustRightInd w:val="0"/>
        <w:snapToGrid w:val="0"/>
        <w:spacing w:line="440" w:lineRule="exact"/>
        <w:ind w:firstLine="480" w:firstLineChars="200"/>
        <w:rPr>
          <w:color w:val="auto"/>
          <w:sz w:val="24"/>
          <w:highlight w:val="none"/>
        </w:rPr>
      </w:pPr>
      <w:r>
        <w:rPr>
          <w:rFonts w:hint="eastAsia"/>
          <w:color w:val="auto"/>
          <w:sz w:val="24"/>
          <w:highlight w:val="none"/>
        </w:rPr>
        <w:t>4.宣读提交响应文件的供应商名单，组织评审小组各位成员签订纸质形式的《采购评审人员廉洁自律承诺书》。</w:t>
      </w:r>
    </w:p>
    <w:p w14:paraId="4DE6EACA">
      <w:pPr>
        <w:adjustRightInd w:val="0"/>
        <w:snapToGrid w:val="0"/>
        <w:spacing w:line="440" w:lineRule="exact"/>
        <w:ind w:firstLine="480" w:firstLineChars="200"/>
        <w:rPr>
          <w:color w:val="auto"/>
          <w:sz w:val="24"/>
          <w:highlight w:val="none"/>
        </w:rPr>
      </w:pPr>
      <w:r>
        <w:rPr>
          <w:rFonts w:hint="eastAsia"/>
          <w:color w:val="auto"/>
          <w:sz w:val="24"/>
          <w:highlight w:val="none"/>
        </w:rPr>
        <w:t>5.征集人可以在评标前说明项目背景和采购需求，说明内容不得含有歧视性、倾向性意见，不得超出征集文件所述范围。说明应当提交书面材料，并随征集文件一并存档。</w:t>
      </w:r>
    </w:p>
    <w:p w14:paraId="78153FEA">
      <w:pPr>
        <w:adjustRightInd w:val="0"/>
        <w:snapToGrid w:val="0"/>
        <w:spacing w:line="440" w:lineRule="exact"/>
        <w:ind w:firstLine="480" w:firstLineChars="200"/>
        <w:rPr>
          <w:color w:val="auto"/>
          <w:sz w:val="24"/>
          <w:highlight w:val="none"/>
        </w:rPr>
      </w:pPr>
      <w:r>
        <w:rPr>
          <w:rFonts w:hint="eastAsia"/>
          <w:color w:val="auto"/>
          <w:sz w:val="24"/>
          <w:highlight w:val="none"/>
        </w:rPr>
        <w:t>6.根据需要简要介绍征集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征集文件、响应文件的问题进行必要的说明、解释或讨论。</w:t>
      </w:r>
    </w:p>
    <w:p w14:paraId="02EF7280">
      <w:pPr>
        <w:adjustRightInd w:val="0"/>
        <w:snapToGrid w:val="0"/>
        <w:spacing w:line="440" w:lineRule="exact"/>
        <w:ind w:firstLine="480" w:firstLineChars="200"/>
        <w:rPr>
          <w:color w:val="auto"/>
          <w:sz w:val="24"/>
          <w:highlight w:val="none"/>
        </w:rPr>
      </w:pPr>
      <w:r>
        <w:rPr>
          <w:rFonts w:hint="eastAsia"/>
          <w:color w:val="auto"/>
          <w:sz w:val="24"/>
          <w:highlight w:val="none"/>
        </w:rPr>
        <w:t>7.征集人对响应方资格文件进行审查并以开标当日为准对响应方“信用中国”网站、中国政府采购网信用记录情况进行核实，资格不符合的，应组织相关响应方代表进行陈述、澄清或申辩。</w:t>
      </w:r>
    </w:p>
    <w:p w14:paraId="29AE289F">
      <w:pPr>
        <w:adjustRightInd w:val="0"/>
        <w:snapToGrid w:val="0"/>
        <w:spacing w:line="440" w:lineRule="exact"/>
        <w:ind w:firstLine="480" w:firstLineChars="200"/>
        <w:rPr>
          <w:color w:val="auto"/>
          <w:sz w:val="24"/>
          <w:highlight w:val="none"/>
        </w:rPr>
      </w:pPr>
      <w:r>
        <w:rPr>
          <w:rFonts w:hint="eastAsia"/>
          <w:color w:val="auto"/>
          <w:sz w:val="24"/>
          <w:highlight w:val="none"/>
        </w:rPr>
        <w:t>8.评审小组组长组织评审人员独立评审。评审小组对拟认定为响应文件无效，应组织相关响应方代表进行陈述、澄清或申辩；评审人员的评审、修改记录应保留原件，随项目其他资料一并存档。</w:t>
      </w:r>
    </w:p>
    <w:p w14:paraId="1FE6FF51">
      <w:pPr>
        <w:adjustRightInd w:val="0"/>
        <w:snapToGrid w:val="0"/>
        <w:spacing w:line="440" w:lineRule="exact"/>
        <w:ind w:firstLine="480" w:firstLineChars="200"/>
        <w:rPr>
          <w:color w:val="auto"/>
          <w:sz w:val="24"/>
          <w:highlight w:val="none"/>
        </w:rPr>
      </w:pPr>
      <w:r>
        <w:rPr>
          <w:rFonts w:hint="eastAsia"/>
          <w:color w:val="auto"/>
          <w:sz w:val="24"/>
          <w:highlight w:val="none"/>
        </w:rPr>
        <w:t>9.做好评审现场相关记录，协助评审小组组长做好评审报告起草、有关内容电脑文字录入等工作，并要求评审小组各成员签字确认。</w:t>
      </w:r>
    </w:p>
    <w:p w14:paraId="2C3F0A1C">
      <w:pPr>
        <w:adjustRightInd w:val="0"/>
        <w:snapToGrid w:val="0"/>
        <w:spacing w:line="440" w:lineRule="exact"/>
        <w:ind w:firstLine="480" w:firstLineChars="200"/>
        <w:rPr>
          <w:color w:val="auto"/>
          <w:sz w:val="24"/>
          <w:highlight w:val="none"/>
        </w:rPr>
      </w:pPr>
      <w:r>
        <w:rPr>
          <w:rFonts w:hint="eastAsia"/>
          <w:color w:val="auto"/>
          <w:sz w:val="24"/>
          <w:highlight w:val="none"/>
        </w:rPr>
        <w:t>10.评审结束后，征集人应对评审小组各成员的专业水平、职业道德、遵纪守法等情况进行评价；同时按规定向评审专家发放评审费，并交还评审人员及其他现场相关人员的通讯工具。</w:t>
      </w:r>
    </w:p>
    <w:p w14:paraId="7DABB1A5">
      <w:pPr>
        <w:pStyle w:val="4"/>
        <w:spacing w:before="0" w:after="0"/>
        <w:ind w:firstLine="424" w:firstLineChars="176"/>
        <w:rPr>
          <w:color w:val="auto"/>
          <w:sz w:val="24"/>
          <w:highlight w:val="none"/>
        </w:rPr>
      </w:pPr>
      <w:r>
        <w:rPr>
          <w:rFonts w:hint="eastAsia"/>
          <w:color w:val="auto"/>
          <w:sz w:val="24"/>
          <w:highlight w:val="none"/>
        </w:rPr>
        <w:t>（三）评审程序</w:t>
      </w:r>
    </w:p>
    <w:p w14:paraId="10216131">
      <w:pPr>
        <w:spacing w:line="360" w:lineRule="auto"/>
        <w:ind w:firstLine="480" w:firstLineChars="200"/>
        <w:rPr>
          <w:color w:val="auto"/>
          <w:sz w:val="24"/>
          <w:highlight w:val="none"/>
        </w:rPr>
      </w:pPr>
      <w:r>
        <w:rPr>
          <w:rFonts w:hint="eastAsia"/>
          <w:color w:val="auto"/>
          <w:sz w:val="24"/>
          <w:highlight w:val="none"/>
        </w:rPr>
        <w:t>1.在评审专家中推选评审小组组长。</w:t>
      </w:r>
    </w:p>
    <w:p w14:paraId="2B45E25C">
      <w:pPr>
        <w:spacing w:line="360" w:lineRule="auto"/>
        <w:ind w:firstLine="480" w:firstLineChars="200"/>
        <w:rPr>
          <w:color w:val="auto"/>
          <w:sz w:val="24"/>
          <w:highlight w:val="none"/>
        </w:rPr>
      </w:pPr>
      <w:r>
        <w:rPr>
          <w:rFonts w:hint="eastAsia"/>
          <w:color w:val="auto"/>
          <w:sz w:val="24"/>
          <w:highlight w:val="none"/>
        </w:rPr>
        <w:t>2.评审小组组长召集成员认真阅读征集文件以及相关补充、质疑、答复文件、项目书面说明等材料，熟悉采购项目的基本概况，采购项目的质量要求、数量、主要技术标准或服务需求，采购合同主要条款，响应文件无效情形，评审方法、评审依据、评审标准等。</w:t>
      </w:r>
    </w:p>
    <w:p w14:paraId="3105EF1F">
      <w:pPr>
        <w:spacing w:line="360" w:lineRule="auto"/>
        <w:ind w:firstLine="480" w:firstLineChars="200"/>
        <w:rPr>
          <w:color w:val="auto"/>
          <w:sz w:val="24"/>
          <w:highlight w:val="none"/>
        </w:rPr>
      </w:pPr>
      <w:r>
        <w:rPr>
          <w:rFonts w:hint="eastAsia"/>
          <w:color w:val="auto"/>
          <w:sz w:val="24"/>
          <w:highlight w:val="none"/>
        </w:rPr>
        <w:t>3.评审人员对各响应方响应文件的有效性、符合性、完整性和响应程度进行资格性和符合性审查，确定是否对征集文件作出实质性响应。</w:t>
      </w:r>
    </w:p>
    <w:p w14:paraId="6E243ACC">
      <w:pPr>
        <w:spacing w:line="360" w:lineRule="auto"/>
        <w:ind w:firstLine="480" w:firstLineChars="200"/>
        <w:rPr>
          <w:color w:val="auto"/>
          <w:sz w:val="24"/>
          <w:highlight w:val="none"/>
        </w:rPr>
      </w:pPr>
      <w:r>
        <w:rPr>
          <w:rFonts w:hint="eastAsia"/>
          <w:color w:val="auto"/>
          <w:sz w:val="24"/>
          <w:highlight w:val="none"/>
        </w:rPr>
        <w:t>4.评审人员按征集文件规定的评审方法和评审标准，依法独立对响应方响应文件进行评估、比较，并给予评价或打分，不受任何单位和个人的干预。</w:t>
      </w:r>
    </w:p>
    <w:p w14:paraId="16CD2827">
      <w:pPr>
        <w:spacing w:line="360" w:lineRule="auto"/>
        <w:ind w:firstLine="480" w:firstLineChars="200"/>
        <w:rPr>
          <w:color w:val="auto"/>
          <w:sz w:val="24"/>
          <w:highlight w:val="none"/>
        </w:rPr>
      </w:pPr>
      <w:r>
        <w:rPr>
          <w:rFonts w:hint="eastAsia"/>
          <w:color w:val="auto"/>
          <w:sz w:val="24"/>
          <w:highlight w:val="none"/>
        </w:rPr>
        <w:t>5.评审人员对各响应方响应文件非实质性内容有疑义或异议，或者审查发现明显的文字或计算错误等，及时向评审小组组长提出。经评审小组商议认为需要响应方作出必要澄清或说明的，应通知该响应方以书面形式作出澄清或说明。授权代表未按时确认或拒绝澄清说明或澄清说明的内容改变了响应文件的实质性内容的，评审小组有权对该响应文件作出不利于响应方的评判。书面通知及澄清说明文件应作为政府采购项目档案归档留存。</w:t>
      </w:r>
    </w:p>
    <w:p w14:paraId="03CFD1FC">
      <w:pPr>
        <w:spacing w:line="360" w:lineRule="auto"/>
        <w:ind w:firstLine="480" w:firstLineChars="200"/>
        <w:rPr>
          <w:b/>
          <w:bCs/>
          <w:color w:val="auto"/>
          <w:sz w:val="24"/>
          <w:highlight w:val="none"/>
        </w:rPr>
      </w:pPr>
      <w:r>
        <w:rPr>
          <w:rFonts w:hint="eastAsia"/>
          <w:color w:val="auto"/>
          <w:sz w:val="24"/>
          <w:highlight w:val="none"/>
        </w:rPr>
        <w:t>6.评审小组根据评审汇总情况和征集文件规定进行响应报价评审并确定入围供应商。 评审小组在进行响应报价评审时，</w:t>
      </w:r>
      <w:r>
        <w:rPr>
          <w:rFonts w:hint="eastAsia"/>
          <w:b/>
          <w:bCs/>
          <w:color w:val="auto"/>
          <w:sz w:val="24"/>
          <w:highlight w:val="none"/>
        </w:rPr>
        <w:t>报价中折扣所填数值（百分符号前面的数）须为大于0小于等于</w:t>
      </w:r>
      <w:r>
        <w:rPr>
          <w:rFonts w:hint="eastAsia"/>
          <w:b/>
          <w:bCs/>
          <w:color w:val="auto"/>
          <w:sz w:val="24"/>
          <w:highlight w:val="none"/>
          <w:lang w:val="en-US" w:eastAsia="zh-CN"/>
        </w:rPr>
        <w:t>5</w:t>
      </w:r>
      <w:r>
        <w:rPr>
          <w:rFonts w:hint="eastAsia"/>
          <w:b/>
          <w:bCs/>
          <w:color w:val="auto"/>
          <w:sz w:val="24"/>
          <w:highlight w:val="none"/>
        </w:rPr>
        <w:t>的</w:t>
      </w:r>
      <w:r>
        <w:rPr>
          <w:rFonts w:hint="eastAsia"/>
          <w:b/>
          <w:bCs/>
          <w:color w:val="auto"/>
          <w:sz w:val="24"/>
          <w:highlight w:val="none"/>
          <w:lang w:eastAsia="zh-CN"/>
        </w:rPr>
        <w:t>数值，百分号前保留</w:t>
      </w:r>
      <w:r>
        <w:rPr>
          <w:rFonts w:hint="eastAsia"/>
          <w:b/>
          <w:bCs/>
          <w:color w:val="auto"/>
          <w:sz w:val="24"/>
          <w:highlight w:val="none"/>
          <w:lang w:val="en-US" w:eastAsia="zh-CN"/>
        </w:rPr>
        <w:t>2位小数</w:t>
      </w:r>
      <w:r>
        <w:rPr>
          <w:rFonts w:hint="eastAsia"/>
          <w:b/>
          <w:bCs/>
          <w:color w:val="auto"/>
          <w:sz w:val="24"/>
          <w:highlight w:val="none"/>
        </w:rPr>
        <w:t>。</w:t>
      </w:r>
    </w:p>
    <w:p w14:paraId="5A9B963F">
      <w:pPr>
        <w:spacing w:line="360" w:lineRule="auto"/>
        <w:ind w:firstLine="480" w:firstLineChars="200"/>
        <w:rPr>
          <w:color w:val="auto"/>
          <w:sz w:val="24"/>
          <w:highlight w:val="none"/>
        </w:rPr>
      </w:pPr>
      <w:r>
        <w:rPr>
          <w:rFonts w:hint="eastAsia"/>
          <w:color w:val="auto"/>
          <w:sz w:val="24"/>
          <w:highlight w:val="none"/>
        </w:rPr>
        <w:t>7.起草评审报告，所有评审人员须在评审报告上签字确认。</w:t>
      </w:r>
    </w:p>
    <w:p w14:paraId="0F3BD0D9">
      <w:pPr>
        <w:pStyle w:val="3"/>
        <w:spacing w:before="0" w:after="0" w:line="360" w:lineRule="auto"/>
        <w:ind w:firstLine="424" w:firstLineChars="151"/>
        <w:rPr>
          <w:color w:val="auto"/>
          <w:sz w:val="28"/>
          <w:highlight w:val="none"/>
        </w:rPr>
      </w:pPr>
      <w:r>
        <w:rPr>
          <w:rFonts w:hint="eastAsia"/>
          <w:color w:val="auto"/>
          <w:sz w:val="28"/>
          <w:highlight w:val="none"/>
        </w:rPr>
        <w:t>四、评审原则</w:t>
      </w:r>
    </w:p>
    <w:p w14:paraId="0CF253ED">
      <w:pPr>
        <w:spacing w:line="360" w:lineRule="auto"/>
        <w:ind w:firstLine="480" w:firstLineChars="200"/>
        <w:rPr>
          <w:color w:val="auto"/>
          <w:sz w:val="24"/>
          <w:highlight w:val="none"/>
        </w:rPr>
      </w:pPr>
      <w:r>
        <w:rPr>
          <w:rFonts w:hint="eastAsia"/>
          <w:color w:val="auto"/>
          <w:sz w:val="24"/>
          <w:highlight w:val="none"/>
        </w:rPr>
        <w:t>1.评审小组必须公平、公正、客观，不带任何倾向性、歧视性和启发性；不得向外界透露任何与评审有关的内容；任何单位和个人不得干扰、影响评审的正常进行；评审小组及有关工作人员不得私下与响应方接触。</w:t>
      </w:r>
    </w:p>
    <w:p w14:paraId="1FEBBDCD">
      <w:pPr>
        <w:spacing w:line="360" w:lineRule="auto"/>
        <w:ind w:firstLine="480" w:firstLineChars="200"/>
        <w:rPr>
          <w:color w:val="auto"/>
          <w:sz w:val="24"/>
          <w:highlight w:val="none"/>
        </w:rPr>
      </w:pPr>
      <w:r>
        <w:rPr>
          <w:rFonts w:hint="eastAsia"/>
          <w:color w:val="auto"/>
          <w:sz w:val="24"/>
          <w:highlight w:val="none"/>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响应方择期重新评审的时间和地点。</w:t>
      </w:r>
    </w:p>
    <w:p w14:paraId="50912C79">
      <w:pPr>
        <w:spacing w:line="360" w:lineRule="auto"/>
        <w:ind w:firstLine="480" w:firstLineChars="200"/>
        <w:rPr>
          <w:color w:val="auto"/>
          <w:sz w:val="24"/>
          <w:highlight w:val="none"/>
        </w:rPr>
      </w:pPr>
      <w:r>
        <w:rPr>
          <w:rFonts w:hint="eastAsia"/>
          <w:color w:val="auto"/>
          <w:sz w:val="24"/>
          <w:highlight w:val="none"/>
        </w:rPr>
        <w:t>3.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征集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14:paraId="2FB8FB88">
      <w:pPr>
        <w:pStyle w:val="3"/>
        <w:spacing w:before="0" w:after="0" w:line="360" w:lineRule="auto"/>
        <w:ind w:firstLine="424" w:firstLineChars="151"/>
        <w:rPr>
          <w:color w:val="auto"/>
          <w:sz w:val="28"/>
          <w:highlight w:val="none"/>
        </w:rPr>
      </w:pPr>
      <w:r>
        <w:rPr>
          <w:rFonts w:hint="eastAsia"/>
          <w:color w:val="auto"/>
          <w:sz w:val="28"/>
          <w:highlight w:val="none"/>
        </w:rPr>
        <w:t>五、确定入围供应商的原则</w:t>
      </w:r>
    </w:p>
    <w:p w14:paraId="67AA0A7F">
      <w:pPr>
        <w:snapToGrid w:val="0"/>
        <w:spacing w:line="460" w:lineRule="exact"/>
        <w:ind w:firstLine="480" w:firstLineChars="200"/>
        <w:rPr>
          <w:color w:val="auto"/>
          <w:sz w:val="24"/>
          <w:highlight w:val="none"/>
        </w:rPr>
      </w:pPr>
      <w:r>
        <w:rPr>
          <w:rFonts w:hint="eastAsia"/>
          <w:color w:val="auto"/>
          <w:sz w:val="24"/>
          <w:highlight w:val="none"/>
        </w:rPr>
        <w:t>1.项目由评审小组根据《第四章 评审办法及标准》规定，在评审报告中确定入围供应商。</w:t>
      </w:r>
    </w:p>
    <w:p w14:paraId="203E9301">
      <w:pPr>
        <w:snapToGrid w:val="0"/>
        <w:spacing w:line="460" w:lineRule="exact"/>
        <w:ind w:firstLine="480" w:firstLineChars="200"/>
        <w:rPr>
          <w:color w:val="auto"/>
          <w:sz w:val="24"/>
          <w:highlight w:val="none"/>
        </w:rPr>
      </w:pPr>
      <w:r>
        <w:rPr>
          <w:rFonts w:hint="eastAsia"/>
          <w:color w:val="auto"/>
          <w:sz w:val="24"/>
          <w:highlight w:val="none"/>
        </w:rPr>
        <w:t>2.征集人将于评审结果确定后2个工作日内在浙江省政府采购网上发布入围结果公告，</w:t>
      </w:r>
      <w:r>
        <w:rPr>
          <w:rFonts w:hint="eastAsia"/>
          <w:color w:val="auto"/>
          <w:sz w:val="24"/>
          <w:highlight w:val="none"/>
          <w:lang w:eastAsia="zh-CN"/>
        </w:rPr>
        <w:t>并</w:t>
      </w:r>
      <w:r>
        <w:rPr>
          <w:rFonts w:hint="eastAsia"/>
          <w:color w:val="auto"/>
          <w:sz w:val="24"/>
          <w:highlight w:val="none"/>
        </w:rPr>
        <w:t>签发《入围通知书》。</w:t>
      </w:r>
    </w:p>
    <w:p w14:paraId="19356AFB">
      <w:pPr>
        <w:pStyle w:val="3"/>
        <w:spacing w:before="0" w:after="0" w:line="360" w:lineRule="auto"/>
        <w:ind w:firstLine="424" w:firstLineChars="151"/>
        <w:rPr>
          <w:color w:val="auto"/>
          <w:sz w:val="28"/>
          <w:highlight w:val="none"/>
        </w:rPr>
      </w:pPr>
      <w:r>
        <w:rPr>
          <w:rFonts w:hint="eastAsia"/>
          <w:color w:val="auto"/>
          <w:sz w:val="28"/>
          <w:highlight w:val="none"/>
        </w:rPr>
        <w:t>六、协议签订</w:t>
      </w:r>
    </w:p>
    <w:p w14:paraId="7B5FB120">
      <w:pPr>
        <w:snapToGrid w:val="0"/>
        <w:spacing w:line="460" w:lineRule="exact"/>
        <w:ind w:firstLine="480" w:firstLineChars="200"/>
        <w:rPr>
          <w:color w:val="auto"/>
          <w:sz w:val="24"/>
          <w:highlight w:val="none"/>
        </w:rPr>
      </w:pPr>
      <w:r>
        <w:rPr>
          <w:rFonts w:hint="eastAsia"/>
          <w:color w:val="auto"/>
          <w:sz w:val="24"/>
          <w:highlight w:val="none"/>
        </w:rPr>
        <w:t>（一）</w:t>
      </w:r>
      <w:r>
        <w:rPr>
          <w:rFonts w:hint="eastAsia"/>
          <w:color w:val="auto"/>
          <w:sz w:val="24"/>
          <w:highlight w:val="none"/>
          <w:lang w:eastAsia="zh-CN"/>
        </w:rPr>
        <w:t>征集人</w:t>
      </w:r>
      <w:r>
        <w:rPr>
          <w:rFonts w:hint="eastAsia"/>
          <w:color w:val="auto"/>
          <w:sz w:val="24"/>
          <w:highlight w:val="none"/>
        </w:rPr>
        <w:t>与入围供应商应当在《入围通知书》发出之日起30日内签订采购框架协议，并在7个工作日内报</w:t>
      </w:r>
      <w:r>
        <w:rPr>
          <w:rFonts w:hint="eastAsia"/>
          <w:color w:val="auto"/>
          <w:sz w:val="24"/>
          <w:highlight w:val="none"/>
          <w:lang w:eastAsia="zh-CN"/>
        </w:rPr>
        <w:t>监管部门</w:t>
      </w:r>
      <w:r>
        <w:rPr>
          <w:rFonts w:hint="eastAsia"/>
          <w:color w:val="auto"/>
          <w:sz w:val="24"/>
          <w:highlight w:val="none"/>
        </w:rPr>
        <w:t>备案。</w:t>
      </w:r>
    </w:p>
    <w:p w14:paraId="1ACD06A3">
      <w:pPr>
        <w:snapToGrid w:val="0"/>
        <w:spacing w:line="460" w:lineRule="exact"/>
        <w:ind w:firstLine="480" w:firstLineChars="200"/>
        <w:rPr>
          <w:color w:val="auto"/>
          <w:sz w:val="24"/>
          <w:highlight w:val="none"/>
        </w:rPr>
      </w:pPr>
      <w:r>
        <w:rPr>
          <w:rFonts w:hint="eastAsia"/>
          <w:color w:val="auto"/>
          <w:sz w:val="24"/>
          <w:highlight w:val="none"/>
        </w:rPr>
        <w:t>（二）入围供应商拖延、拒签协议的，将视为无正当理由放弃封闭式框架协议入围供应商资格。</w:t>
      </w:r>
    </w:p>
    <w:p w14:paraId="743152C1">
      <w:pPr>
        <w:adjustRightInd w:val="0"/>
        <w:snapToGrid w:val="0"/>
        <w:spacing w:line="440" w:lineRule="exact"/>
        <w:ind w:firstLine="480" w:firstLineChars="200"/>
        <w:rPr>
          <w:color w:val="auto"/>
          <w:sz w:val="24"/>
          <w:highlight w:val="none"/>
        </w:rPr>
        <w:sectPr>
          <w:pgSz w:w="11906" w:h="16838"/>
          <w:pgMar w:top="1440" w:right="1800" w:bottom="1440" w:left="1800" w:header="851" w:footer="992" w:gutter="0"/>
          <w:cols w:space="425" w:num="1"/>
          <w:docGrid w:type="lines" w:linePitch="312" w:charSpace="0"/>
        </w:sectPr>
      </w:pPr>
    </w:p>
    <w:p w14:paraId="1131A04C">
      <w:pPr>
        <w:pStyle w:val="2"/>
        <w:spacing w:before="160" w:after="160"/>
        <w:jc w:val="center"/>
        <w:rPr>
          <w:color w:val="auto"/>
          <w:highlight w:val="none"/>
        </w:rPr>
      </w:pPr>
      <w:bookmarkStart w:id="9" w:name="_Toc18475"/>
      <w:r>
        <w:rPr>
          <w:rFonts w:hint="eastAsia"/>
          <w:color w:val="auto"/>
          <w:highlight w:val="none"/>
        </w:rPr>
        <w:t>第四章 评审办法及标准</w:t>
      </w:r>
      <w:bookmarkEnd w:id="9"/>
    </w:p>
    <w:p w14:paraId="5792F0E2">
      <w:pPr>
        <w:spacing w:line="360" w:lineRule="auto"/>
        <w:ind w:firstLine="480" w:firstLineChars="200"/>
        <w:rPr>
          <w:color w:val="auto"/>
          <w:sz w:val="24"/>
          <w:highlight w:val="none"/>
        </w:rPr>
      </w:pPr>
      <w:r>
        <w:rPr>
          <w:rFonts w:hint="eastAsia"/>
          <w:color w:val="auto"/>
          <w:sz w:val="24"/>
          <w:highlight w:val="none"/>
        </w:rPr>
        <w:t>根据《中华人民共和国政府采购法》等有关法律法规，结合本项目的实际需求，制定本办法。</w:t>
      </w:r>
    </w:p>
    <w:p w14:paraId="134F8A74">
      <w:pPr>
        <w:pStyle w:val="8"/>
        <w:spacing w:after="0" w:line="360" w:lineRule="auto"/>
        <w:rPr>
          <w:rFonts w:hint="eastAsia" w:ascii="宋体" w:hAnsi="宋体" w:cs="宋体"/>
          <w:b/>
          <w:color w:val="auto"/>
          <w:sz w:val="22"/>
          <w:szCs w:val="22"/>
          <w:highlight w:val="none"/>
        </w:rPr>
      </w:pPr>
      <w:bookmarkStart w:id="10" w:name="_Toc221356898"/>
      <w:bookmarkStart w:id="11" w:name="_Toc221356961"/>
      <w:r>
        <w:rPr>
          <w:rFonts w:hint="eastAsia" w:ascii="宋体" w:hAnsi="宋体" w:cs="宋体"/>
          <w:b/>
          <w:color w:val="auto"/>
          <w:sz w:val="22"/>
          <w:szCs w:val="22"/>
          <w:highlight w:val="none"/>
        </w:rPr>
        <w:t>一. 总  则</w:t>
      </w:r>
      <w:bookmarkEnd w:id="10"/>
      <w:bookmarkEnd w:id="11"/>
    </w:p>
    <w:p w14:paraId="0B5B4653">
      <w:pPr>
        <w:spacing w:line="360" w:lineRule="auto"/>
        <w:ind w:firstLine="480" w:firstLineChars="200"/>
        <w:rPr>
          <w:rFonts w:hint="eastAsia"/>
          <w:color w:val="auto"/>
          <w:sz w:val="24"/>
          <w:highlight w:val="none"/>
        </w:rPr>
      </w:pPr>
      <w:r>
        <w:rPr>
          <w:rFonts w:hint="eastAsia"/>
          <w:color w:val="auto"/>
          <w:sz w:val="24"/>
          <w:highlight w:val="none"/>
        </w:rPr>
        <w:t>评标工作遵循公平、公正、科学、择优原则和诚实、信誉、效率的服务原则。本着科学、严谨的态度，认真进行评标。择优选用，推进技术进步，确保工程质量、交货期，节约投资，最大限度</w:t>
      </w:r>
      <w:r>
        <w:rPr>
          <w:rFonts w:hint="eastAsia"/>
          <w:color w:val="auto"/>
          <w:sz w:val="24"/>
          <w:highlight w:val="none"/>
          <w:lang w:eastAsia="zh-CN"/>
        </w:rPr>
        <w:t>地</w:t>
      </w:r>
      <w:r>
        <w:rPr>
          <w:rFonts w:hint="eastAsia"/>
          <w:color w:val="auto"/>
          <w:sz w:val="24"/>
          <w:highlight w:val="none"/>
        </w:rPr>
        <w:t>保护当事人权益，严格按照征集文件的商务、技术要求，对响应文件进行综合评定，提出优选方案，编写评标报告。对落标单位，评委会不作任何落标解释。供应商不得以任何方式干扰招投标工作的进行，一经发现其响应文件将被拒绝。</w:t>
      </w:r>
    </w:p>
    <w:p w14:paraId="6E102061">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二、评标组织</w:t>
      </w:r>
    </w:p>
    <w:p w14:paraId="3F01BBEC">
      <w:pPr>
        <w:spacing w:line="360" w:lineRule="auto"/>
        <w:ind w:firstLine="480" w:firstLineChars="200"/>
        <w:rPr>
          <w:rFonts w:hint="eastAsia"/>
          <w:color w:val="auto"/>
          <w:sz w:val="24"/>
          <w:highlight w:val="none"/>
        </w:rPr>
      </w:pPr>
      <w:r>
        <w:rPr>
          <w:rFonts w:hint="eastAsia"/>
          <w:color w:val="auto"/>
          <w:sz w:val="24"/>
          <w:highlight w:val="none"/>
        </w:rPr>
        <w:t>评标工作由征集人依法组建的评标委员会负责，评标全过程由有关部门指导监督。</w:t>
      </w:r>
    </w:p>
    <w:p w14:paraId="444059FD">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三、评标程序</w:t>
      </w:r>
    </w:p>
    <w:p w14:paraId="3E668F1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u w:val="single"/>
        </w:rPr>
        <w:t>响应文件递交截止时间止或评审期间，</w:t>
      </w:r>
      <w:r>
        <w:rPr>
          <w:rFonts w:hint="eastAsia" w:ascii="宋体" w:hAnsi="宋体" w:cs="宋体"/>
          <w:b/>
          <w:color w:val="auto"/>
          <w:sz w:val="22"/>
          <w:szCs w:val="22"/>
          <w:highlight w:val="none"/>
          <w:u w:val="single"/>
          <w:lang w:val="en-US" w:eastAsia="zh-CN"/>
        </w:rPr>
        <w:t>每个标项</w:t>
      </w:r>
      <w:r>
        <w:rPr>
          <w:rFonts w:hint="eastAsia" w:ascii="宋体" w:hAnsi="宋体" w:cs="宋体"/>
          <w:b/>
          <w:color w:val="auto"/>
          <w:sz w:val="22"/>
          <w:szCs w:val="22"/>
          <w:highlight w:val="none"/>
          <w:u w:val="single"/>
        </w:rPr>
        <w:t>出现有效供应商不足</w:t>
      </w:r>
      <w:r>
        <w:rPr>
          <w:rFonts w:hint="eastAsia" w:ascii="宋体" w:hAnsi="宋体" w:cs="宋体"/>
          <w:b/>
          <w:color w:val="auto"/>
          <w:sz w:val="22"/>
          <w:szCs w:val="22"/>
          <w:highlight w:val="none"/>
          <w:u w:val="single"/>
          <w:lang w:val="en-US" w:eastAsia="zh-CN"/>
        </w:rPr>
        <w:t>4</w:t>
      </w:r>
      <w:r>
        <w:rPr>
          <w:rFonts w:hint="eastAsia" w:ascii="宋体" w:hAnsi="宋体" w:cs="宋体"/>
          <w:b/>
          <w:color w:val="auto"/>
          <w:sz w:val="22"/>
          <w:szCs w:val="22"/>
          <w:highlight w:val="none"/>
          <w:u w:val="single"/>
        </w:rPr>
        <w:t>家的，按</w:t>
      </w:r>
      <w:r>
        <w:rPr>
          <w:rFonts w:hint="eastAsia" w:ascii="宋体" w:hAnsi="宋体" w:cs="宋体"/>
          <w:b/>
          <w:color w:val="auto"/>
          <w:sz w:val="22"/>
          <w:szCs w:val="22"/>
          <w:highlight w:val="none"/>
          <w:u w:val="single"/>
          <w:lang w:eastAsia="zh-CN"/>
        </w:rPr>
        <w:t>流标</w:t>
      </w:r>
      <w:r>
        <w:rPr>
          <w:rFonts w:hint="eastAsia" w:ascii="宋体" w:hAnsi="宋体" w:cs="宋体"/>
          <w:b/>
          <w:color w:val="auto"/>
          <w:sz w:val="22"/>
          <w:szCs w:val="22"/>
          <w:highlight w:val="none"/>
          <w:u w:val="single"/>
        </w:rPr>
        <w:t>处理。</w:t>
      </w:r>
    </w:p>
    <w:p w14:paraId="7AFCDBAC">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四、评标办法</w:t>
      </w:r>
    </w:p>
    <w:p w14:paraId="71CB6DD5">
      <w:pPr>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本次采购采</w:t>
      </w:r>
      <w:r>
        <w:rPr>
          <w:rFonts w:hint="eastAsia" w:ascii="宋体" w:hAnsi="宋体" w:eastAsia="宋体" w:cs="宋体"/>
          <w:b/>
          <w:color w:val="auto"/>
          <w:sz w:val="22"/>
          <w:szCs w:val="22"/>
          <w:highlight w:val="none"/>
        </w:rPr>
        <w:t>用价格优先法，即供应</w:t>
      </w:r>
      <w:r>
        <w:rPr>
          <w:rFonts w:hint="eastAsia" w:ascii="宋体" w:hAnsi="宋体" w:cs="宋体"/>
          <w:b/>
          <w:color w:val="auto"/>
          <w:sz w:val="22"/>
          <w:szCs w:val="22"/>
          <w:highlight w:val="none"/>
        </w:rPr>
        <w:t>商最大限度地满足征集文件实质性要求的基础上，且响应报价（</w:t>
      </w:r>
      <w:r>
        <w:rPr>
          <w:rFonts w:hint="eastAsia" w:ascii="宋体" w:hAnsi="宋体" w:cs="宋体"/>
          <w:b/>
          <w:color w:val="auto"/>
          <w:sz w:val="22"/>
          <w:szCs w:val="22"/>
          <w:highlight w:val="none"/>
          <w:lang w:eastAsia="zh-CN"/>
        </w:rPr>
        <w:t>折扣率</w:t>
      </w:r>
      <w:r>
        <w:rPr>
          <w:rFonts w:hint="eastAsia" w:ascii="宋体" w:hAnsi="宋体" w:cs="宋体"/>
          <w:b/>
          <w:color w:val="auto"/>
          <w:sz w:val="22"/>
          <w:szCs w:val="22"/>
          <w:highlight w:val="none"/>
        </w:rPr>
        <w:t>）不超过最高限制单价（或最高限制</w:t>
      </w:r>
      <w:r>
        <w:rPr>
          <w:rFonts w:hint="eastAsia" w:ascii="宋体" w:hAnsi="宋体" w:cs="宋体"/>
          <w:b/>
          <w:color w:val="auto"/>
          <w:sz w:val="22"/>
          <w:szCs w:val="22"/>
          <w:highlight w:val="none"/>
          <w:lang w:eastAsia="zh-CN"/>
        </w:rPr>
        <w:t>折扣率</w:t>
      </w:r>
      <w:r>
        <w:rPr>
          <w:rFonts w:hint="eastAsia" w:ascii="宋体" w:hAnsi="宋体" w:cs="宋体"/>
          <w:b/>
          <w:color w:val="auto"/>
          <w:sz w:val="22"/>
          <w:szCs w:val="22"/>
          <w:highlight w:val="none"/>
        </w:rPr>
        <w:t>）的报价，按照响应</w:t>
      </w:r>
      <w:r>
        <w:rPr>
          <w:rFonts w:hint="eastAsia" w:ascii="宋体" w:hAnsi="宋体" w:cs="宋体"/>
          <w:b/>
          <w:color w:val="auto"/>
          <w:sz w:val="22"/>
          <w:szCs w:val="22"/>
          <w:highlight w:val="none"/>
          <w:lang w:eastAsia="zh-CN"/>
        </w:rPr>
        <w:t>折扣率</w:t>
      </w:r>
      <w:r>
        <w:rPr>
          <w:rFonts w:hint="eastAsia" w:ascii="宋体" w:hAnsi="宋体" w:cs="宋体"/>
          <w:b/>
          <w:color w:val="auto"/>
          <w:sz w:val="22"/>
          <w:szCs w:val="22"/>
          <w:highlight w:val="none"/>
        </w:rPr>
        <w:t>得分从高到低排序，根据本征集文件规定的20%的淘汰率，且入围</w:t>
      </w:r>
      <w:r>
        <w:rPr>
          <w:rFonts w:hint="eastAsia" w:ascii="宋体" w:hAnsi="宋体" w:cs="宋体"/>
          <w:b/>
          <w:color w:val="auto"/>
          <w:sz w:val="22"/>
          <w:szCs w:val="22"/>
          <w:highlight w:val="none"/>
          <w:lang w:eastAsia="zh-CN"/>
        </w:rPr>
        <w:t>至少</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lang w:eastAsia="zh-CN"/>
        </w:rPr>
        <w:t>家，最多入围</w:t>
      </w:r>
      <w:r>
        <w:rPr>
          <w:rFonts w:hint="eastAsia" w:ascii="宋体" w:hAnsi="宋体" w:cs="宋体"/>
          <w:b/>
          <w:color w:val="auto"/>
          <w:sz w:val="22"/>
          <w:szCs w:val="22"/>
          <w:highlight w:val="none"/>
          <w:lang w:val="en-US" w:eastAsia="zh-CN"/>
        </w:rPr>
        <w:t>5家</w:t>
      </w:r>
      <w:r>
        <w:rPr>
          <w:rFonts w:hint="eastAsia" w:ascii="宋体" w:hAnsi="宋体" w:cs="宋体"/>
          <w:b/>
          <w:color w:val="auto"/>
          <w:sz w:val="22"/>
          <w:szCs w:val="22"/>
          <w:highlight w:val="none"/>
        </w:rPr>
        <w:t>供应商的评审方法，最后的名次因响应</w:t>
      </w:r>
      <w:r>
        <w:rPr>
          <w:rFonts w:hint="eastAsia" w:ascii="宋体" w:hAnsi="宋体" w:cs="宋体"/>
          <w:b/>
          <w:color w:val="auto"/>
          <w:sz w:val="22"/>
          <w:szCs w:val="22"/>
          <w:highlight w:val="none"/>
          <w:lang w:eastAsia="zh-CN"/>
        </w:rPr>
        <w:t>折扣率</w:t>
      </w:r>
      <w:r>
        <w:rPr>
          <w:rFonts w:hint="eastAsia" w:ascii="宋体" w:hAnsi="宋体" w:cs="宋体"/>
          <w:b/>
          <w:color w:val="auto"/>
          <w:sz w:val="22"/>
          <w:szCs w:val="22"/>
          <w:highlight w:val="none"/>
        </w:rPr>
        <w:t>得分相同存在并列的，由</w:t>
      </w:r>
      <w:r>
        <w:rPr>
          <w:rFonts w:hint="eastAsia" w:ascii="宋体" w:hAnsi="宋体" w:cs="宋体"/>
          <w:b/>
          <w:color w:val="auto"/>
          <w:sz w:val="22"/>
          <w:szCs w:val="22"/>
          <w:highlight w:val="none"/>
          <w:lang w:eastAsia="zh-CN"/>
        </w:rPr>
        <w:t>专家</w:t>
      </w:r>
      <w:r>
        <w:rPr>
          <w:rFonts w:hint="eastAsia" w:ascii="宋体" w:hAnsi="宋体" w:cs="宋体"/>
          <w:b/>
          <w:color w:val="auto"/>
          <w:sz w:val="22"/>
          <w:szCs w:val="22"/>
          <w:highlight w:val="none"/>
        </w:rPr>
        <w:t>抽签确定优先入围单位。（本评标办法中涉及到小数位的计算除另有约定外，均保留两位小数，第三位小数四舍五入。）</w:t>
      </w:r>
    </w:p>
    <w:p w14:paraId="4BDAE68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入围规则如下：</w:t>
      </w:r>
    </w:p>
    <w:p w14:paraId="1A8E3E7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1、首先确定有效响应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的投标供应商家数n；</w:t>
      </w:r>
    </w:p>
    <w:p w14:paraId="14292F1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2、其次按20%的淘汰率确定合格入围的家数q=n*（1-20%）；（取整，小数点后去除。如计算后需入围87.</w:t>
      </w:r>
      <w:r>
        <w:rPr>
          <w:rFonts w:ascii="宋体" w:hAnsi="宋体" w:cs="宋体"/>
          <w:color w:val="auto"/>
          <w:sz w:val="22"/>
          <w:szCs w:val="22"/>
          <w:highlight w:val="none"/>
        </w:rPr>
        <w:t>7</w:t>
      </w:r>
      <w:r>
        <w:rPr>
          <w:rFonts w:hint="eastAsia" w:ascii="宋体" w:hAnsi="宋体" w:cs="宋体"/>
          <w:color w:val="auto"/>
          <w:sz w:val="22"/>
          <w:szCs w:val="22"/>
          <w:highlight w:val="none"/>
        </w:rPr>
        <w:t>家的，按照87家入围）</w:t>
      </w:r>
    </w:p>
    <w:p w14:paraId="47DE3E7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3、最后按照所有有效响应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得分从高到低排序选取q名合格入围投标供应商。</w:t>
      </w:r>
    </w:p>
    <w:p w14:paraId="25FBF6F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评分（100分）：</w:t>
      </w:r>
    </w:p>
    <w:p w14:paraId="28012D1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3.2满足征集文件要求且响应</w:t>
      </w:r>
      <w:r>
        <w:rPr>
          <w:rFonts w:hint="eastAsia" w:ascii="宋体" w:hAnsi="宋体" w:cs="宋体"/>
          <w:color w:val="auto"/>
          <w:sz w:val="22"/>
          <w:szCs w:val="22"/>
          <w:highlight w:val="none"/>
          <w:lang w:eastAsia="zh-CN"/>
        </w:rPr>
        <w:t>折扣率最低</w:t>
      </w:r>
      <w:r>
        <w:rPr>
          <w:rFonts w:hint="eastAsia" w:ascii="宋体" w:hAnsi="宋体" w:cs="宋体"/>
          <w:color w:val="auto"/>
          <w:sz w:val="22"/>
          <w:szCs w:val="22"/>
          <w:highlight w:val="none"/>
        </w:rPr>
        <w:t>的响应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为评标基准价；</w:t>
      </w:r>
    </w:p>
    <w:p w14:paraId="12B860E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3.3有效供应商的响应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等于评标基准价时，其响应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得分值为满分；</w:t>
      </w:r>
    </w:p>
    <w:p w14:paraId="2D8FFE19">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3.4其它供应商的响应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得分=（评标基准价/投标人响应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）×100（四舍五入，保留小数点后2位）。</w:t>
      </w:r>
    </w:p>
    <w:p w14:paraId="75417151">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4、如最后的名次因响应</w:t>
      </w:r>
      <w:r>
        <w:rPr>
          <w:rFonts w:hint="eastAsia" w:ascii="宋体" w:hAnsi="宋体" w:cs="宋体"/>
          <w:color w:val="auto"/>
          <w:sz w:val="22"/>
          <w:szCs w:val="22"/>
          <w:highlight w:val="none"/>
          <w:lang w:eastAsia="zh-CN"/>
        </w:rPr>
        <w:t>折扣率</w:t>
      </w:r>
      <w:r>
        <w:rPr>
          <w:rFonts w:hint="eastAsia" w:ascii="宋体" w:hAnsi="宋体" w:cs="宋体"/>
          <w:color w:val="auto"/>
          <w:sz w:val="22"/>
          <w:szCs w:val="22"/>
          <w:highlight w:val="none"/>
        </w:rPr>
        <w:t>得分相同存在并列的，由</w:t>
      </w:r>
      <w:r>
        <w:rPr>
          <w:rFonts w:hint="eastAsia" w:ascii="宋体" w:hAnsi="宋体" w:cs="宋体"/>
          <w:color w:val="auto"/>
          <w:sz w:val="22"/>
          <w:szCs w:val="22"/>
          <w:highlight w:val="none"/>
          <w:lang w:eastAsia="zh-CN"/>
        </w:rPr>
        <w:t>专家</w:t>
      </w:r>
      <w:r>
        <w:rPr>
          <w:rFonts w:hint="eastAsia" w:ascii="宋体" w:hAnsi="宋体" w:cs="宋体"/>
          <w:color w:val="auto"/>
          <w:sz w:val="22"/>
          <w:szCs w:val="22"/>
          <w:highlight w:val="none"/>
        </w:rPr>
        <w:t>抽签确定优先入围单位。</w:t>
      </w:r>
    </w:p>
    <w:p w14:paraId="66809954">
      <w:pPr>
        <w:spacing w:line="360" w:lineRule="auto"/>
        <w:rPr>
          <w:rFonts w:hint="eastAsia" w:ascii="宋体" w:hAnsi="宋体" w:cs="宋体"/>
          <w:b/>
          <w:color w:val="auto"/>
          <w:sz w:val="22"/>
          <w:szCs w:val="22"/>
          <w:highlight w:val="none"/>
        </w:rPr>
      </w:pPr>
      <w:bookmarkStart w:id="12" w:name="_Toc221356903"/>
      <w:bookmarkStart w:id="13" w:name="_Toc221356966"/>
      <w:r>
        <w:rPr>
          <w:rFonts w:hint="eastAsia" w:ascii="宋体" w:hAnsi="宋体" w:cs="宋体"/>
          <w:b/>
          <w:color w:val="auto"/>
          <w:sz w:val="22"/>
          <w:szCs w:val="22"/>
          <w:highlight w:val="none"/>
        </w:rPr>
        <w:t>六、定标办法</w:t>
      </w:r>
      <w:bookmarkEnd w:id="12"/>
      <w:bookmarkEnd w:id="13"/>
    </w:p>
    <w:p w14:paraId="6980474F">
      <w:pPr>
        <w:spacing w:line="360" w:lineRule="auto"/>
        <w:ind w:firstLine="440" w:firstLineChars="200"/>
        <w:rPr>
          <w:rFonts w:hint="eastAsia" w:ascii="宋体" w:hAnsi="宋体" w:cs="宋体"/>
          <w:b/>
          <w:bCs/>
          <w:color w:val="auto"/>
          <w:sz w:val="22"/>
          <w:szCs w:val="22"/>
          <w:highlight w:val="none"/>
        </w:rPr>
      </w:pPr>
      <w:bookmarkStart w:id="14" w:name="_Toc221356967"/>
      <w:bookmarkStart w:id="15" w:name="_Toc221356904"/>
      <w:r>
        <w:rPr>
          <w:rFonts w:hint="eastAsia" w:ascii="宋体" w:hAnsi="宋体" w:cs="宋体"/>
          <w:color w:val="auto"/>
          <w:sz w:val="22"/>
          <w:szCs w:val="22"/>
          <w:highlight w:val="none"/>
        </w:rPr>
        <w:t>本次采购由评标委员会推荐入围供应商，征集人根据评标委员会的推荐结果进行最终确认。如入围供应商放弃入围</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rPr>
        <w:t>因不可抗力提出不能履行协议；或未能在规定时间内与征集人签订协议的；或者经质疑，征集人审查后，确因入围供应商在本次采购活动中存在违法违规行为或其他原因使质疑成立的，除剩余入围供应商不足入围供应商总数70%且影响框架协议执行的情形外，</w:t>
      </w:r>
      <w:r>
        <w:rPr>
          <w:rFonts w:hint="eastAsia" w:ascii="宋体" w:hAnsi="宋体" w:cs="宋体"/>
          <w:b/>
          <w:bCs/>
          <w:color w:val="auto"/>
          <w:sz w:val="22"/>
          <w:szCs w:val="22"/>
          <w:highlight w:val="none"/>
        </w:rPr>
        <w:t>框架协议有效期内，征集人不得补充征集供应商。如剩余入围供应商不足入围供应商总数70%的，征集人可以视具体情况确定是否由排名顺延的供应商为入围供应商。</w:t>
      </w:r>
    </w:p>
    <w:p w14:paraId="1D64776D">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七、确定</w:t>
      </w:r>
      <w:bookmarkEnd w:id="14"/>
      <w:bookmarkEnd w:id="15"/>
      <w:r>
        <w:rPr>
          <w:rFonts w:hint="eastAsia" w:ascii="宋体" w:hAnsi="宋体" w:cs="宋体"/>
          <w:b/>
          <w:color w:val="auto"/>
          <w:sz w:val="22"/>
          <w:szCs w:val="22"/>
          <w:highlight w:val="none"/>
        </w:rPr>
        <w:t>入围供应商</w:t>
      </w:r>
    </w:p>
    <w:p w14:paraId="6976BCE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评标结束后，征集人将在浙江政府采购网上公示入围结果。公示期结束，在规定期限内无异议则由征集人或采购代理机构将向入围供应商发出入围通知书。</w:t>
      </w:r>
    </w:p>
    <w:p w14:paraId="4053EA0D">
      <w:pPr>
        <w:spacing w:line="360" w:lineRule="auto"/>
        <w:rPr>
          <w:rFonts w:hint="eastAsia" w:ascii="宋体" w:hAnsi="宋体" w:cs="宋体"/>
          <w:b/>
          <w:color w:val="auto"/>
          <w:sz w:val="22"/>
          <w:szCs w:val="22"/>
          <w:highlight w:val="none"/>
        </w:rPr>
      </w:pPr>
      <w:bookmarkStart w:id="16" w:name="_Toc221356905"/>
      <w:bookmarkStart w:id="17" w:name="_Toc221356968"/>
      <w:r>
        <w:rPr>
          <w:rFonts w:hint="eastAsia" w:ascii="宋体" w:hAnsi="宋体" w:cs="宋体"/>
          <w:b/>
          <w:color w:val="auto"/>
          <w:sz w:val="22"/>
          <w:szCs w:val="22"/>
          <w:highlight w:val="none"/>
        </w:rPr>
        <w:t>八、供应商义务</w:t>
      </w:r>
      <w:bookmarkEnd w:id="16"/>
      <w:bookmarkEnd w:id="17"/>
    </w:p>
    <w:p w14:paraId="2CCC782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供应商应随时接受评标委员会的询标，解答包括有关的商务、技术问题等。评标结束，所有评标资料存采购代理机构备查。</w:t>
      </w:r>
    </w:p>
    <w:p w14:paraId="479C3EC6">
      <w:pPr>
        <w:rPr>
          <w:rFonts w:hint="eastAsia"/>
          <w:color w:val="auto"/>
          <w:highlight w:val="none"/>
        </w:rPr>
      </w:pPr>
      <w:r>
        <w:rPr>
          <w:rFonts w:hint="eastAsia"/>
          <w:color w:val="auto"/>
          <w:highlight w:val="none"/>
        </w:rPr>
        <w:br w:type="page"/>
      </w:r>
    </w:p>
    <w:p w14:paraId="036BABA3">
      <w:pPr>
        <w:pStyle w:val="2"/>
        <w:spacing w:before="160" w:after="160"/>
        <w:jc w:val="center"/>
        <w:rPr>
          <w:color w:val="auto"/>
          <w:highlight w:val="none"/>
        </w:rPr>
      </w:pPr>
      <w:bookmarkStart w:id="18" w:name="_Toc15676"/>
      <w:r>
        <w:rPr>
          <w:rFonts w:hint="eastAsia"/>
          <w:color w:val="auto"/>
          <w:highlight w:val="none"/>
        </w:rPr>
        <w:t>第五章 拟签订的框架协议文本和采购合同文本</w:t>
      </w:r>
      <w:bookmarkEnd w:id="18"/>
    </w:p>
    <w:p w14:paraId="4D2701DD">
      <w:pPr>
        <w:spacing w:line="44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浦江县202</w:t>
      </w:r>
      <w:r>
        <w:rPr>
          <w:rFonts w:hint="eastAsia" w:ascii="宋体" w:hAnsi="宋体" w:eastAsia="宋体" w:cs="宋体"/>
          <w:b/>
          <w:bCs/>
          <w:color w:val="auto"/>
          <w:sz w:val="28"/>
          <w:szCs w:val="28"/>
          <w:highlight w:val="none"/>
          <w:lang w:val="en-US" w:eastAsia="zh-CN"/>
        </w:rPr>
        <w:t>4-2026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度</w:t>
      </w:r>
      <w:r>
        <w:rPr>
          <w:rFonts w:hint="eastAsia" w:ascii="宋体" w:hAnsi="宋体" w:eastAsia="宋体" w:cs="宋体"/>
          <w:b/>
          <w:bCs/>
          <w:color w:val="auto"/>
          <w:sz w:val="28"/>
          <w:szCs w:val="28"/>
          <w:highlight w:val="none"/>
        </w:rPr>
        <w:t>地质灾害治理工程</w:t>
      </w:r>
      <w:r>
        <w:rPr>
          <w:rFonts w:hint="eastAsia" w:ascii="宋体" w:hAnsi="宋体" w:eastAsia="宋体" w:cs="宋体"/>
          <w:b/>
          <w:bCs/>
          <w:color w:val="auto"/>
          <w:sz w:val="28"/>
          <w:szCs w:val="28"/>
          <w:highlight w:val="none"/>
          <w:lang w:eastAsia="zh-CN"/>
        </w:rPr>
        <w:t>建设项目小额配套服务</w:t>
      </w:r>
    </w:p>
    <w:p w14:paraId="168F5C03">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（监理</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封闭式框架协议</w:t>
      </w:r>
    </w:p>
    <w:p w14:paraId="09F20B4A">
      <w:pPr>
        <w:spacing w:line="440" w:lineRule="exact"/>
        <w:jc w:val="center"/>
        <w:rPr>
          <w:rFonts w:hint="eastAsia" w:ascii="宋体" w:hAnsi="宋体" w:eastAsia="宋体" w:cs="宋体"/>
          <w:b/>
          <w:bCs/>
          <w:color w:val="auto"/>
          <w:sz w:val="24"/>
          <w:highlight w:val="none"/>
        </w:rPr>
      </w:pPr>
    </w:p>
    <w:p w14:paraId="6B67D72E">
      <w:pPr>
        <w:spacing w:line="440" w:lineRule="exact"/>
        <w:rPr>
          <w:rFonts w:hint="eastAsia" w:ascii="宋体" w:hAnsi="宋体" w:eastAsia="宋体"/>
          <w:color w:val="auto"/>
          <w:highlight w:val="none"/>
          <w:lang w:eastAsia="zh-CN"/>
        </w:rPr>
      </w:pPr>
      <w:r>
        <w:rPr>
          <w:rFonts w:hint="eastAsia" w:ascii="宋体" w:hAnsi="宋体" w:eastAsia="宋体" w:cs="宋体"/>
          <w:b/>
          <w:bCs/>
          <w:color w:val="auto"/>
          <w:sz w:val="24"/>
          <w:highlight w:val="none"/>
        </w:rPr>
        <w:t>甲方（征集人）：</w:t>
      </w:r>
      <w:r>
        <w:rPr>
          <w:rFonts w:hint="eastAsia" w:ascii="宋体" w:hAnsi="宋体" w:eastAsia="宋体" w:cs="宋体"/>
          <w:color w:val="auto"/>
          <w:sz w:val="24"/>
          <w:highlight w:val="none"/>
          <w:lang w:eastAsia="zh-CN"/>
        </w:rPr>
        <w:t>浦江龙耀交通资源投资有限公司</w:t>
      </w:r>
    </w:p>
    <w:p w14:paraId="3979EE54">
      <w:pPr>
        <w:spacing w:line="440" w:lineRule="exact"/>
        <w:rPr>
          <w:rFonts w:ascii="宋体" w:hAnsi="宋体"/>
          <w:b/>
          <w:bCs/>
          <w:color w:val="auto"/>
          <w:highlight w:val="none"/>
          <w:u w:val="single"/>
        </w:rPr>
      </w:pPr>
      <w:r>
        <w:rPr>
          <w:rFonts w:hint="eastAsia" w:ascii="宋体" w:hAnsi="宋体" w:eastAsia="宋体" w:cs="宋体"/>
          <w:b/>
          <w:bCs/>
          <w:color w:val="auto"/>
          <w:sz w:val="24"/>
          <w:highlight w:val="none"/>
        </w:rPr>
        <w:t>乙方（入围供应商）：</w:t>
      </w:r>
      <w:r>
        <w:rPr>
          <w:rFonts w:hint="eastAsia" w:ascii="宋体" w:hAnsi="宋体" w:eastAsia="宋体" w:cs="宋体"/>
          <w:b/>
          <w:bCs/>
          <w:color w:val="auto"/>
          <w:sz w:val="24"/>
          <w:highlight w:val="none"/>
          <w:u w:val="single"/>
        </w:rPr>
        <w:t xml:space="preserve">                                             </w:t>
      </w:r>
    </w:p>
    <w:p w14:paraId="66C6DFCD">
      <w:pPr>
        <w:adjustRightInd w:val="0"/>
        <w:snapToGrid w:val="0"/>
        <w:spacing w:line="440" w:lineRule="exact"/>
        <w:ind w:firstLine="420"/>
        <w:rPr>
          <w:rFonts w:ascii="宋体" w:hAnsi="宋体" w:eastAsia="宋体"/>
          <w:color w:val="auto"/>
          <w:highlight w:val="none"/>
        </w:rPr>
      </w:pPr>
      <w:r>
        <w:rPr>
          <w:rFonts w:hint="eastAsia"/>
          <w:color w:val="auto"/>
          <w:sz w:val="24"/>
          <w:highlight w:val="none"/>
        </w:rPr>
        <w:t xml:space="preserve"> </w:t>
      </w:r>
      <w:r>
        <w:rPr>
          <w:rFonts w:hint="eastAsia" w:ascii="宋体" w:hAnsi="宋体" w:eastAsia="宋体"/>
          <w:color w:val="auto"/>
          <w:sz w:val="24"/>
          <w:highlight w:val="none"/>
        </w:rPr>
        <w:t>甲、乙双方</w:t>
      </w:r>
      <w:r>
        <w:rPr>
          <w:rFonts w:hint="eastAsia" w:ascii="宋体" w:hAnsi="宋体" w:eastAsia="宋体"/>
          <w:color w:val="auto"/>
          <w:sz w:val="24"/>
          <w:highlight w:val="none"/>
          <w:u w:val="none"/>
        </w:rPr>
        <w:t>根据</w:t>
      </w:r>
      <w:r>
        <w:rPr>
          <w:rFonts w:hint="eastAsia" w:ascii="宋体" w:hAnsi="宋体" w:eastAsia="宋体"/>
          <w:color w:val="auto"/>
          <w:sz w:val="24"/>
          <w:highlight w:val="none"/>
          <w:u w:val="single"/>
        </w:rPr>
        <w:t>浦江县202</w:t>
      </w:r>
      <w:r>
        <w:rPr>
          <w:rFonts w:hint="eastAsia" w:ascii="宋体" w:hAnsi="宋体" w:eastAsia="宋体"/>
          <w:color w:val="auto"/>
          <w:sz w:val="24"/>
          <w:highlight w:val="none"/>
          <w:u w:val="single"/>
          <w:lang w:val="en-US" w:eastAsia="zh-CN"/>
        </w:rPr>
        <w:t>4-2026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eastAsia="zh-CN"/>
        </w:rPr>
        <w:t>度</w:t>
      </w:r>
      <w:r>
        <w:rPr>
          <w:rFonts w:hint="eastAsia" w:ascii="宋体" w:hAnsi="宋体" w:eastAsia="宋体"/>
          <w:color w:val="auto"/>
          <w:sz w:val="24"/>
          <w:highlight w:val="none"/>
          <w:u w:val="single"/>
        </w:rPr>
        <w:t>地质灾害治理工程</w:t>
      </w:r>
      <w:r>
        <w:rPr>
          <w:rFonts w:hint="eastAsia" w:ascii="宋体" w:hAnsi="宋体" w:eastAsia="宋体"/>
          <w:color w:val="auto"/>
          <w:sz w:val="24"/>
          <w:highlight w:val="none"/>
          <w:u w:val="single"/>
          <w:lang w:eastAsia="zh-CN"/>
        </w:rPr>
        <w:t>建设项目小额配套服务（监理</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single"/>
        </w:rPr>
        <w:t>封闭式框架协议项目 （</w:t>
      </w:r>
      <w:r>
        <w:rPr>
          <w:rFonts w:hint="eastAsia" w:ascii="宋体" w:hAnsi="宋体" w:eastAsia="宋体"/>
          <w:color w:val="auto"/>
          <w:sz w:val="24"/>
          <w:highlight w:val="none"/>
          <w:u w:val="none"/>
        </w:rPr>
        <w:t>项目编号：</w:t>
      </w:r>
      <w:r>
        <w:rPr>
          <w:rFonts w:hint="eastAsia" w:ascii="宋体" w:hAnsi="宋体" w:eastAsia="宋体"/>
          <w:color w:val="auto"/>
          <w:sz w:val="24"/>
          <w:highlight w:val="none"/>
          <w:u w:val="single"/>
          <w:lang w:eastAsia="zh-CN"/>
        </w:rPr>
        <w:t>PJCQKJ(LYJT)2024-092001</w:t>
      </w:r>
      <w:r>
        <w:rPr>
          <w:rFonts w:hint="eastAsia" w:ascii="宋体" w:hAnsi="宋体" w:eastAsia="宋体"/>
          <w:color w:val="auto"/>
          <w:sz w:val="24"/>
          <w:highlight w:val="none"/>
        </w:rPr>
        <w:t>）的征集的结果，签署本协议（以下简称“协议”）。</w:t>
      </w:r>
    </w:p>
    <w:p w14:paraId="33F72134">
      <w:pPr>
        <w:pStyle w:val="11"/>
        <w:rPr>
          <w:color w:val="auto"/>
          <w:highlight w:val="none"/>
        </w:rPr>
      </w:pPr>
      <w:r>
        <w:rPr>
          <w:rFonts w:hint="eastAsia"/>
          <w:color w:val="auto"/>
          <w:highlight w:val="none"/>
        </w:rPr>
        <w:t>一、定义</w:t>
      </w:r>
    </w:p>
    <w:p w14:paraId="75A1790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本协议中的下列术语应解释为：</w:t>
      </w:r>
    </w:p>
    <w:p w14:paraId="61B80BB3">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1.“协议”系指甲方与乙方签署的、载明甲方与乙方协利义务的协议，包括所有的附件、附录和其他构成协议的所有文件。</w:t>
      </w:r>
    </w:p>
    <w:p w14:paraId="57F0914B">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2.“甲方”系指征集人</w:t>
      </w:r>
      <w:r>
        <w:rPr>
          <w:rFonts w:hint="eastAsia" w:ascii="宋体" w:hAnsi="宋体" w:cs="宋体"/>
          <w:color w:val="auto"/>
          <w:sz w:val="24"/>
          <w:highlight w:val="none"/>
          <w:lang w:eastAsia="zh-CN"/>
        </w:rPr>
        <w:t>浦江龙耀交通资源投资有限公司</w:t>
      </w:r>
      <w:r>
        <w:rPr>
          <w:rFonts w:hint="eastAsia" w:ascii="宋体" w:hAnsi="宋体" w:cs="宋体"/>
          <w:color w:val="auto"/>
          <w:sz w:val="24"/>
          <w:highlight w:val="none"/>
        </w:rPr>
        <w:t>。在实际履行中由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与乙方另行签订具体合同。</w:t>
      </w:r>
    </w:p>
    <w:p w14:paraId="4107A7EB">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3.“乙方”系指本次入围供应商。</w:t>
      </w:r>
    </w:p>
    <w:p w14:paraId="4630F859">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4.“征集文件”是指“浦江县202</w:t>
      </w:r>
      <w:r>
        <w:rPr>
          <w:rFonts w:hint="eastAsia" w:ascii="宋体" w:hAnsi="宋体" w:cs="宋体"/>
          <w:color w:val="auto"/>
          <w:sz w:val="24"/>
          <w:highlight w:val="none"/>
          <w:lang w:val="en-US" w:eastAsia="zh-CN"/>
        </w:rPr>
        <w:t>4-2026</w:t>
      </w:r>
      <w:r>
        <w:rPr>
          <w:rFonts w:hint="eastAsia" w:ascii="宋体" w:hAnsi="宋体" w:cs="宋体"/>
          <w:color w:val="auto"/>
          <w:sz w:val="24"/>
          <w:highlight w:val="none"/>
        </w:rPr>
        <w:t>年</w:t>
      </w:r>
      <w:r>
        <w:rPr>
          <w:rFonts w:hint="eastAsia" w:ascii="宋体" w:hAnsi="宋体" w:cs="宋体"/>
          <w:color w:val="auto"/>
          <w:sz w:val="24"/>
          <w:highlight w:val="none"/>
          <w:lang w:eastAsia="zh-CN"/>
        </w:rPr>
        <w:t>度</w:t>
      </w:r>
      <w:r>
        <w:rPr>
          <w:rFonts w:hint="eastAsia" w:ascii="宋体" w:hAnsi="宋体" w:cs="宋体"/>
          <w:color w:val="auto"/>
          <w:sz w:val="24"/>
          <w:highlight w:val="none"/>
        </w:rPr>
        <w:t>地质灾害治理工程</w:t>
      </w:r>
      <w:r>
        <w:rPr>
          <w:rFonts w:hint="eastAsia" w:ascii="宋体" w:hAnsi="宋体" w:cs="宋体"/>
          <w:color w:val="auto"/>
          <w:sz w:val="24"/>
          <w:highlight w:val="none"/>
          <w:lang w:eastAsia="zh-CN"/>
        </w:rPr>
        <w:t>建设项目小额配套服务（监理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封闭式框架协议项目”征集文件。</w:t>
      </w:r>
    </w:p>
    <w:p w14:paraId="108CB3D9">
      <w:pPr>
        <w:pStyle w:val="11"/>
        <w:rPr>
          <w:color w:val="auto"/>
          <w:highlight w:val="none"/>
        </w:rPr>
      </w:pPr>
      <w:r>
        <w:rPr>
          <w:rFonts w:hint="eastAsia"/>
          <w:color w:val="auto"/>
          <w:highlight w:val="none"/>
        </w:rPr>
        <w:t>二、采购需求以及最高限制单价</w:t>
      </w:r>
    </w:p>
    <w:p w14:paraId="1AEB7F13">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详见征集文件。</w:t>
      </w:r>
    </w:p>
    <w:p w14:paraId="2711F73F">
      <w:pPr>
        <w:pStyle w:val="11"/>
        <w:rPr>
          <w:color w:val="auto"/>
          <w:highlight w:val="none"/>
        </w:rPr>
      </w:pPr>
      <w:r>
        <w:rPr>
          <w:rFonts w:hint="eastAsia"/>
          <w:color w:val="auto"/>
          <w:highlight w:val="none"/>
        </w:rPr>
        <w:t>三、服务内容、服务标准</w:t>
      </w:r>
    </w:p>
    <w:p w14:paraId="41D29770">
      <w:pPr>
        <w:adjustRightInd w:val="0"/>
        <w:snapToGrid w:val="0"/>
        <w:spacing w:line="440" w:lineRule="exact"/>
        <w:ind w:firstLine="426" w:firstLineChars="177"/>
        <w:rPr>
          <w:rFonts w:ascii="宋体" w:hAnsi="宋体" w:cs="宋体"/>
          <w:b/>
          <w:color w:val="auto"/>
          <w:sz w:val="24"/>
          <w:highlight w:val="none"/>
        </w:rPr>
      </w:pPr>
      <w:r>
        <w:rPr>
          <w:rFonts w:hint="eastAsia" w:ascii="宋体" w:hAnsi="宋体" w:cs="宋体"/>
          <w:b/>
          <w:color w:val="auto"/>
          <w:sz w:val="24"/>
          <w:highlight w:val="none"/>
        </w:rPr>
        <w:t>（一）服务内容</w:t>
      </w:r>
    </w:p>
    <w:p w14:paraId="4702B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浦江县范围内单项合同估算价在100万元（不含）以下的地质灾害治理工程监理服务</w:t>
      </w:r>
      <w:r>
        <w:rPr>
          <w:rFonts w:hint="eastAsia" w:ascii="宋体" w:hAnsi="宋体" w:cs="宋体"/>
          <w:color w:val="auto"/>
          <w:sz w:val="24"/>
          <w:highlight w:val="none"/>
        </w:rPr>
        <w:t>。</w:t>
      </w:r>
    </w:p>
    <w:p w14:paraId="69AADF6E">
      <w:pPr>
        <w:adjustRightInd w:val="0"/>
        <w:snapToGrid w:val="0"/>
        <w:spacing w:line="440" w:lineRule="exact"/>
        <w:ind w:firstLine="426" w:firstLineChars="177"/>
        <w:rPr>
          <w:rFonts w:ascii="宋体" w:hAnsi="宋体" w:cs="宋体"/>
          <w:b/>
          <w:color w:val="auto"/>
          <w:sz w:val="24"/>
          <w:highlight w:val="none"/>
        </w:rPr>
      </w:pPr>
      <w:r>
        <w:rPr>
          <w:rFonts w:hint="eastAsia" w:ascii="宋体" w:hAnsi="宋体" w:cs="宋体"/>
          <w:b/>
          <w:color w:val="auto"/>
          <w:sz w:val="24"/>
          <w:highlight w:val="none"/>
        </w:rPr>
        <w:t>（二）服务标准</w:t>
      </w:r>
    </w:p>
    <w:p w14:paraId="50455B0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乙方依据本项目征集文件各项要求和规定、</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相关委托要求、与本项目相关的法律法规、规范性文件、行业标准等提供相应服务，并做到以下要求：</w:t>
      </w:r>
    </w:p>
    <w:p w14:paraId="4A09AE28">
      <w:pPr>
        <w:adjustRightInd w:val="0"/>
        <w:snapToGrid w:val="0"/>
        <w:spacing w:line="44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1.自觉遵守有关规定，严格执行服务要求、廉政纪律和职业道德，保守相关资料数据的秘密。</w:t>
      </w:r>
    </w:p>
    <w:p w14:paraId="6557DCAA">
      <w:pPr>
        <w:adjustRightInd w:val="0"/>
        <w:snapToGrid w:val="0"/>
        <w:spacing w:line="44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2.严格按照</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的有关规定和要求实施服务，接受</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的指导、监督和管理，同时按</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的质量和进度要求及时提供</w:t>
      </w:r>
      <w:r>
        <w:rPr>
          <w:rFonts w:hint="eastAsia" w:ascii="宋体" w:hAnsi="Courier New" w:eastAsia="宋体" w:cs="Times New Roman"/>
          <w:color w:val="auto"/>
          <w:sz w:val="24"/>
          <w:szCs w:val="24"/>
          <w:highlight w:val="none"/>
          <w:lang w:val="en-US" w:eastAsia="zh-CN"/>
        </w:rPr>
        <w:t>监理服务</w:t>
      </w:r>
      <w:r>
        <w:rPr>
          <w:rFonts w:hint="eastAsia" w:ascii="宋体" w:hAnsi="Courier New" w:eastAsia="宋体" w:cs="Times New Roman"/>
          <w:color w:val="auto"/>
          <w:sz w:val="24"/>
          <w:szCs w:val="24"/>
          <w:highlight w:val="none"/>
        </w:rPr>
        <w:t>以及与服务事项相关的资料。按</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规定的格式、要求起草有关文书和其他材料。</w:t>
      </w:r>
    </w:p>
    <w:p w14:paraId="26600E7F">
      <w:pPr>
        <w:adjustRightInd w:val="0"/>
        <w:snapToGrid w:val="0"/>
        <w:spacing w:line="44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3.</w:t>
      </w:r>
      <w:bookmarkStart w:id="19" w:name="OLE_LINK31"/>
      <w:r>
        <w:rPr>
          <w:rFonts w:hint="eastAsia" w:ascii="宋体" w:hAnsi="Courier New" w:eastAsia="宋体" w:cs="Times New Roman"/>
          <w:color w:val="auto"/>
          <w:sz w:val="24"/>
          <w:szCs w:val="24"/>
          <w:highlight w:val="none"/>
        </w:rPr>
        <w:t>不得将承接的业务对外转包，不得以任何借口违反相关</w:t>
      </w:r>
      <w:r>
        <w:rPr>
          <w:rFonts w:hint="eastAsia" w:ascii="宋体" w:hAnsi="Courier New" w:eastAsia="宋体" w:cs="Times New Roman"/>
          <w:color w:val="auto"/>
          <w:sz w:val="24"/>
          <w:szCs w:val="24"/>
          <w:highlight w:val="none"/>
          <w:lang w:val="en-US" w:eastAsia="zh-CN"/>
        </w:rPr>
        <w:t>法律法规及行业规定</w:t>
      </w:r>
      <w:r>
        <w:rPr>
          <w:rFonts w:hint="eastAsia" w:ascii="宋体" w:hAnsi="Courier New" w:eastAsia="宋体" w:cs="Times New Roman"/>
          <w:color w:val="auto"/>
          <w:sz w:val="24"/>
          <w:szCs w:val="24"/>
          <w:highlight w:val="none"/>
        </w:rPr>
        <w:t>，降低</w:t>
      </w:r>
      <w:r>
        <w:rPr>
          <w:rFonts w:hint="eastAsia" w:ascii="宋体" w:hAnsi="Courier New" w:eastAsia="宋体" w:cs="Times New Roman"/>
          <w:color w:val="auto"/>
          <w:sz w:val="24"/>
          <w:szCs w:val="24"/>
          <w:highlight w:val="none"/>
          <w:lang w:val="en-US" w:eastAsia="zh-CN"/>
        </w:rPr>
        <w:t>服务</w:t>
      </w:r>
      <w:r>
        <w:rPr>
          <w:rFonts w:hint="eastAsia" w:ascii="宋体" w:hAnsi="Courier New" w:eastAsia="宋体" w:cs="Times New Roman"/>
          <w:color w:val="auto"/>
          <w:sz w:val="24"/>
          <w:szCs w:val="24"/>
          <w:highlight w:val="none"/>
        </w:rPr>
        <w:t>质量</w:t>
      </w:r>
      <w:bookmarkEnd w:id="19"/>
      <w:r>
        <w:rPr>
          <w:rFonts w:hint="eastAsia" w:ascii="宋体" w:hAnsi="Courier New" w:eastAsia="宋体" w:cs="Times New Roman"/>
          <w:color w:val="auto"/>
          <w:sz w:val="24"/>
          <w:szCs w:val="24"/>
          <w:highlight w:val="none"/>
        </w:rPr>
        <w:t>；</w:t>
      </w:r>
    </w:p>
    <w:p w14:paraId="41C60303">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4.乙方一般应在</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规定的时间内向</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提交完整的书面成果（根据项目实际情况，以</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委托书规定的时间为准）。无故拖延时间，影响</w:t>
      </w:r>
      <w:r>
        <w:rPr>
          <w:rFonts w:hint="eastAsia" w:ascii="宋体" w:hAnsi="Courier New" w:eastAsia="宋体" w:cs="Times New Roman"/>
          <w:color w:val="auto"/>
          <w:sz w:val="24"/>
          <w:szCs w:val="24"/>
          <w:highlight w:val="none"/>
          <w:lang w:eastAsia="zh-CN"/>
        </w:rPr>
        <w:t>工作</w:t>
      </w:r>
      <w:r>
        <w:rPr>
          <w:rFonts w:hint="eastAsia" w:ascii="宋体" w:hAnsi="Courier New" w:eastAsia="宋体" w:cs="Times New Roman"/>
          <w:color w:val="auto"/>
          <w:sz w:val="24"/>
          <w:szCs w:val="24"/>
          <w:highlight w:val="none"/>
        </w:rPr>
        <w:t>效率的，</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rPr>
        <w:t>有权终止服务协议并按规定另行选择</w:t>
      </w:r>
      <w:r>
        <w:rPr>
          <w:rFonts w:hint="eastAsia" w:ascii="宋体" w:hAnsi="Courier New" w:eastAsia="宋体" w:cs="Times New Roman"/>
          <w:color w:val="auto"/>
          <w:sz w:val="24"/>
          <w:szCs w:val="24"/>
          <w:highlight w:val="none"/>
          <w:lang w:eastAsia="zh-CN"/>
        </w:rPr>
        <w:t>监理</w:t>
      </w:r>
      <w:r>
        <w:rPr>
          <w:rFonts w:hint="eastAsia" w:ascii="宋体" w:hAnsi="Courier New" w:eastAsia="宋体" w:cs="Times New Roman"/>
          <w:color w:val="auto"/>
          <w:sz w:val="24"/>
          <w:szCs w:val="24"/>
          <w:highlight w:val="none"/>
        </w:rPr>
        <w:t>单位；</w:t>
      </w:r>
    </w:p>
    <w:p w14:paraId="309435BB">
      <w:pPr>
        <w:adjustRightInd w:val="0"/>
        <w:snapToGrid w:val="0"/>
        <w:spacing w:line="44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5.愿意接受相关部门对项目质量的</w:t>
      </w:r>
      <w:r>
        <w:rPr>
          <w:rFonts w:hint="eastAsia" w:ascii="宋体" w:hAnsi="Courier New" w:eastAsia="宋体" w:cs="Times New Roman"/>
          <w:color w:val="auto"/>
          <w:sz w:val="24"/>
          <w:szCs w:val="24"/>
          <w:highlight w:val="none"/>
          <w:lang w:eastAsia="zh-CN"/>
        </w:rPr>
        <w:t>监督</w:t>
      </w:r>
      <w:r>
        <w:rPr>
          <w:rFonts w:hint="eastAsia" w:ascii="宋体" w:hAnsi="Courier New" w:eastAsia="宋体" w:cs="Times New Roman"/>
          <w:color w:val="auto"/>
          <w:sz w:val="24"/>
          <w:szCs w:val="24"/>
          <w:highlight w:val="none"/>
        </w:rPr>
        <w:t>考核；</w:t>
      </w:r>
    </w:p>
    <w:p w14:paraId="4446B546">
      <w:pPr>
        <w:adjustRightInd w:val="0"/>
        <w:snapToGrid w:val="0"/>
        <w:spacing w:line="44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6.征集文件中规定的其他服务要求。</w:t>
      </w:r>
    </w:p>
    <w:p w14:paraId="7142168C">
      <w:pPr>
        <w:pStyle w:val="11"/>
        <w:rPr>
          <w:color w:val="auto"/>
          <w:highlight w:val="none"/>
        </w:rPr>
      </w:pPr>
      <w:r>
        <w:rPr>
          <w:rFonts w:hint="eastAsia"/>
          <w:color w:val="auto"/>
          <w:highlight w:val="none"/>
        </w:rPr>
        <w:t>四、协议价格</w:t>
      </w:r>
    </w:p>
    <w:p w14:paraId="4792120E">
      <w:pPr>
        <w:snapToGrid w:val="0"/>
        <w:spacing w:line="460" w:lineRule="exact"/>
        <w:ind w:firstLine="480" w:firstLineChars="200"/>
        <w:rPr>
          <w:rFonts w:ascii="宋体" w:hAnsi="宋体" w:cs="宋体"/>
          <w:color w:val="auto"/>
          <w:sz w:val="24"/>
          <w:highlight w:val="none"/>
        </w:rPr>
      </w:pPr>
      <w:bookmarkStart w:id="20" w:name="OLE_LINK4"/>
      <w:r>
        <w:rPr>
          <w:rFonts w:hint="eastAsia" w:ascii="宋体" w:hAnsi="宋体" w:cs="宋体"/>
          <w:color w:val="auto"/>
          <w:sz w:val="24"/>
          <w:highlight w:val="none"/>
          <w:lang w:eastAsia="zh-CN"/>
        </w:rPr>
        <w:t>入围报价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20"/>
    <w:p w14:paraId="1B557651">
      <w:pPr>
        <w:pStyle w:val="11"/>
        <w:rPr>
          <w:rFonts w:ascii="微软雅黑" w:hAnsi="微软雅黑" w:eastAsia="微软雅黑"/>
          <w:color w:val="auto"/>
          <w:highlight w:val="none"/>
        </w:rPr>
      </w:pPr>
      <w:r>
        <w:rPr>
          <w:rFonts w:hint="eastAsia"/>
          <w:color w:val="auto"/>
          <w:highlight w:val="none"/>
        </w:rPr>
        <w:t>五、入围产品升级换代规则</w:t>
      </w:r>
    </w:p>
    <w:p w14:paraId="431ECFBD">
      <w:pPr>
        <w:pStyle w:val="11"/>
        <w:ind w:firstLine="566"/>
        <w:rPr>
          <w:b w:val="0"/>
          <w:color w:val="auto"/>
          <w:highlight w:val="none"/>
        </w:rPr>
      </w:pPr>
      <w:r>
        <w:rPr>
          <w:rFonts w:hint="eastAsia"/>
          <w:b w:val="0"/>
          <w:color w:val="auto"/>
          <w:highlight w:val="none"/>
        </w:rPr>
        <w:t>协议期内，如有新的政策规定出台的（如行业标准等），甲乙双方应当按新的政策规定执行协议。</w:t>
      </w:r>
    </w:p>
    <w:p w14:paraId="31236879">
      <w:pPr>
        <w:pStyle w:val="11"/>
        <w:rPr>
          <w:color w:val="auto"/>
          <w:highlight w:val="none"/>
        </w:rPr>
      </w:pPr>
      <w:r>
        <w:rPr>
          <w:rFonts w:hint="eastAsia"/>
          <w:color w:val="auto"/>
          <w:highlight w:val="none"/>
        </w:rPr>
        <w:t>六、确定第二阶段成交供应商的方式</w:t>
      </w:r>
    </w:p>
    <w:p w14:paraId="6B2D2F1B">
      <w:pPr>
        <w:pStyle w:val="11"/>
        <w:ind w:firstLine="566"/>
        <w:rPr>
          <w:rFonts w:hint="eastAsia" w:ascii="宋体" w:eastAsia="宋体" w:cs="Times New Roman"/>
          <w:b w:val="0"/>
          <w:color w:val="auto"/>
          <w:highlight w:val="none"/>
        </w:rPr>
      </w:pPr>
      <w:r>
        <w:rPr>
          <w:rFonts w:hint="eastAsia" w:ascii="宋体" w:eastAsia="宋体" w:cs="Times New Roman"/>
          <w:b w:val="0"/>
          <w:color w:val="auto"/>
          <w:highlight w:val="none"/>
        </w:rPr>
        <w:t>本次框架协议第二阶段成交供应商的确定方式为</w:t>
      </w:r>
      <w:r>
        <w:rPr>
          <w:rFonts w:hint="eastAsia" w:ascii="宋体" w:eastAsia="宋体" w:cs="Times New Roman"/>
          <w:b w:val="0"/>
          <w:color w:val="auto"/>
          <w:highlight w:val="none"/>
          <w:lang w:val="en-US" w:eastAsia="zh-CN"/>
        </w:rPr>
        <w:t>二次竞价方式</w:t>
      </w:r>
      <w:r>
        <w:rPr>
          <w:rFonts w:hint="eastAsia" w:ascii="宋体" w:eastAsia="宋体" w:cs="Times New Roman"/>
          <w:b w:val="0"/>
          <w:color w:val="auto"/>
          <w:highlight w:val="none"/>
        </w:rPr>
        <w:t>选定。</w:t>
      </w:r>
      <w:r>
        <w:rPr>
          <w:rFonts w:hint="eastAsia" w:cs="Times New Roman"/>
          <w:b w:val="0"/>
          <w:color w:val="auto"/>
          <w:highlight w:val="none"/>
          <w:lang w:val="en-US" w:eastAsia="zh-CN"/>
        </w:rPr>
        <w:t>实际结算价</w:t>
      </w:r>
      <w:r>
        <w:rPr>
          <w:rFonts w:hint="eastAsia" w:ascii="宋体" w:eastAsia="宋体" w:cs="Times New Roman"/>
          <w:b w:val="0"/>
          <w:color w:val="auto"/>
          <w:highlight w:val="none"/>
          <w:lang w:val="en-US" w:eastAsia="zh-CN"/>
        </w:rPr>
        <w:t>=施工预算审定造价×第二次</w:t>
      </w:r>
      <w:r>
        <w:rPr>
          <w:rFonts w:hint="eastAsia" w:cs="Times New Roman"/>
          <w:b w:val="0"/>
          <w:color w:val="auto"/>
          <w:highlight w:val="none"/>
          <w:lang w:val="en-US" w:eastAsia="zh-CN"/>
        </w:rPr>
        <w:t>报价</w:t>
      </w:r>
      <w:r>
        <w:rPr>
          <w:rFonts w:hint="eastAsia" w:ascii="宋体" w:eastAsia="宋体" w:cs="Times New Roman"/>
          <w:b w:val="0"/>
          <w:color w:val="auto"/>
          <w:highlight w:val="none"/>
          <w:lang w:val="en-US" w:eastAsia="zh-CN"/>
        </w:rPr>
        <w:t>。</w:t>
      </w:r>
      <w:r>
        <w:rPr>
          <w:rFonts w:hint="eastAsia" w:ascii="宋体" w:eastAsia="宋体" w:cs="Times New Roman"/>
          <w:b w:val="0"/>
          <w:color w:val="auto"/>
          <w:highlight w:val="none"/>
        </w:rPr>
        <w:t>本框架协议不作为甲方选择乙方作为第二阶段具体服务对象的承诺。</w:t>
      </w:r>
    </w:p>
    <w:p w14:paraId="585E78BC">
      <w:pPr>
        <w:pStyle w:val="11"/>
        <w:rPr>
          <w:color w:val="auto"/>
          <w:highlight w:val="none"/>
        </w:rPr>
      </w:pPr>
      <w:r>
        <w:rPr>
          <w:rFonts w:hint="eastAsia"/>
          <w:color w:val="auto"/>
          <w:highlight w:val="none"/>
        </w:rPr>
        <w:t>七、履行合同的地域范围</w:t>
      </w:r>
    </w:p>
    <w:p w14:paraId="39B0792A">
      <w:pPr>
        <w:adjustRightInd w:val="0"/>
        <w:snapToGrid w:val="0"/>
        <w:spacing w:line="44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履行合同的地域范围：浦江县。</w:t>
      </w:r>
    </w:p>
    <w:p w14:paraId="687F892C">
      <w:pPr>
        <w:pStyle w:val="11"/>
        <w:rPr>
          <w:color w:val="auto"/>
          <w:highlight w:val="none"/>
        </w:rPr>
      </w:pPr>
      <w:r>
        <w:rPr>
          <w:rFonts w:hint="eastAsia"/>
          <w:color w:val="auto"/>
          <w:highlight w:val="none"/>
        </w:rPr>
        <w:t>八、资金支付方式、时间和条件</w:t>
      </w:r>
    </w:p>
    <w:p w14:paraId="1D1766AF">
      <w:pPr>
        <w:adjustRightInd w:val="0"/>
        <w:snapToGrid w:val="0"/>
        <w:spacing w:line="440" w:lineRule="exact"/>
        <w:ind w:firstLine="424" w:firstLineChars="17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工程施工完成合同工程量的50％，支付合同金额的40%；工程通过完工验收后支付至合同金额的85%；剩余15%待工程通过竣工验收后支付。</w:t>
      </w:r>
      <w:r>
        <w:rPr>
          <w:rFonts w:hint="eastAsia" w:ascii="宋体" w:hAnsi="宋体" w:cs="宋体"/>
          <w:color w:val="auto"/>
          <w:sz w:val="24"/>
          <w:highlight w:val="none"/>
          <w:lang w:eastAsia="zh-CN"/>
        </w:rPr>
        <w:t>最终结算价如超过行业收费标准计费的</w:t>
      </w:r>
      <w:r>
        <w:rPr>
          <w:rFonts w:hint="eastAsia" w:ascii="宋体" w:hAnsi="宋体" w:cs="宋体"/>
          <w:color w:val="auto"/>
          <w:sz w:val="24"/>
          <w:highlight w:val="none"/>
          <w:lang w:val="en-US" w:eastAsia="zh-CN"/>
        </w:rPr>
        <w:t>60%的按60%结算。行业收费标准参照《地质灾害治理工程监理预算标准(试行)》T/CAGHP015-2018执行。</w:t>
      </w:r>
    </w:p>
    <w:p w14:paraId="3EC7F34A">
      <w:pPr>
        <w:pStyle w:val="11"/>
        <w:rPr>
          <w:color w:val="auto"/>
          <w:highlight w:val="none"/>
        </w:rPr>
      </w:pPr>
      <w:r>
        <w:rPr>
          <w:rFonts w:hint="eastAsia"/>
          <w:color w:val="auto"/>
          <w:highlight w:val="none"/>
        </w:rPr>
        <w:t>九、框架协议期限</w:t>
      </w:r>
    </w:p>
    <w:p w14:paraId="70E7FB3D">
      <w:pPr>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2024年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日至2026年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日止。</w:t>
      </w:r>
    </w:p>
    <w:p w14:paraId="05C86D0E">
      <w:pPr>
        <w:snapToGrid w:val="0"/>
        <w:spacing w:line="460" w:lineRule="exact"/>
        <w:ind w:firstLine="480" w:firstLineChars="200"/>
        <w:rPr>
          <w:rFonts w:ascii="微软雅黑" w:hAnsi="微软雅黑" w:eastAsia="微软雅黑"/>
          <w:color w:val="auto"/>
          <w:highlight w:val="none"/>
          <w:shd w:val="clear" w:color="auto" w:fill="FFFFFF"/>
        </w:rPr>
      </w:pPr>
      <w:r>
        <w:rPr>
          <w:rFonts w:hint="eastAsia" w:ascii="宋体" w:hAnsi="宋体" w:eastAsia="宋体" w:cs="宋体"/>
          <w:color w:val="auto"/>
          <w:sz w:val="24"/>
          <w:highlight w:val="none"/>
        </w:rPr>
        <w:t>协议期内，乙方应遵守本项目征集文件的要求，履行响应文件的承诺，及时向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提供优质</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服务，</w:t>
      </w:r>
      <w:r>
        <w:rPr>
          <w:rFonts w:hint="eastAsia" w:ascii="宋体" w:hAnsi="宋体" w:cs="宋体"/>
          <w:color w:val="auto"/>
          <w:sz w:val="24"/>
          <w:highlight w:val="none"/>
        </w:rPr>
        <w:t>不得提出本协议书内容之外的任何不利于</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的附加条件。</w:t>
      </w:r>
    </w:p>
    <w:p w14:paraId="10D62E53">
      <w:pPr>
        <w:pStyle w:val="11"/>
        <w:rPr>
          <w:color w:val="auto"/>
          <w:highlight w:val="none"/>
        </w:rPr>
      </w:pPr>
      <w:r>
        <w:rPr>
          <w:rFonts w:hint="eastAsia"/>
          <w:color w:val="auto"/>
          <w:highlight w:val="none"/>
        </w:rPr>
        <w:t>十、入围供应商补充规则</w:t>
      </w:r>
    </w:p>
    <w:p w14:paraId="4CB8C4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框架协议有效期内如出现剩余入围供应商不足入围供应商总数70%且影响框架协议执行的情形，</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将启动补充征集工作。</w:t>
      </w:r>
    </w:p>
    <w:p w14:paraId="2D02128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1.补充征集的条件、程序、评审方法和淘汰比例与初次征集相同。</w:t>
      </w:r>
    </w:p>
    <w:p w14:paraId="08DC14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2.补充征集遵守原框架协议的有效期。</w:t>
      </w:r>
    </w:p>
    <w:p w14:paraId="43F159B5">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3.补充征集期间，原框架协议继续履行。</w:t>
      </w:r>
    </w:p>
    <w:p w14:paraId="3F06AA70">
      <w:pPr>
        <w:pStyle w:val="11"/>
        <w:rPr>
          <w:color w:val="auto"/>
          <w:highlight w:val="none"/>
        </w:rPr>
      </w:pPr>
      <w:r>
        <w:rPr>
          <w:rFonts w:hint="eastAsia"/>
          <w:color w:val="auto"/>
          <w:highlight w:val="none"/>
        </w:rPr>
        <w:t>十一、协议方的权利和义务</w:t>
      </w:r>
    </w:p>
    <w:p w14:paraId="559FFC69">
      <w:pPr>
        <w:adjustRightInd w:val="0"/>
        <w:snapToGrid w:val="0"/>
        <w:spacing w:line="440" w:lineRule="exact"/>
        <w:ind w:firstLine="458" w:firstLineChars="190"/>
        <w:jc w:val="left"/>
        <w:rPr>
          <w:rFonts w:ascii="宋体" w:hAnsi="Courier New" w:eastAsia="宋体" w:cs="Times New Roman"/>
          <w:b/>
          <w:color w:val="auto"/>
          <w:sz w:val="24"/>
          <w:szCs w:val="24"/>
          <w:highlight w:val="none"/>
        </w:rPr>
      </w:pPr>
      <w:r>
        <w:rPr>
          <w:rFonts w:hint="eastAsia" w:ascii="宋体" w:hAnsi="Courier New" w:eastAsia="宋体" w:cs="Times New Roman"/>
          <w:b/>
          <w:color w:val="auto"/>
          <w:sz w:val="24"/>
          <w:szCs w:val="24"/>
          <w:highlight w:val="none"/>
        </w:rPr>
        <w:t>（一）甲方的职责和权利</w:t>
      </w:r>
    </w:p>
    <w:p w14:paraId="69FDEDAE">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1.职责</w:t>
      </w:r>
    </w:p>
    <w:p w14:paraId="73AFF47E">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 xml:space="preserve">甲方应当根据框架协议约定，组织落实框架协议的履行，并履行下列职责： </w:t>
      </w:r>
    </w:p>
    <w:p w14:paraId="042F509D">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 xml:space="preserve">⑴为第二阶段合同授予提供工作便利； </w:t>
      </w:r>
    </w:p>
    <w:p w14:paraId="12D6EA75">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 xml:space="preserve">⑵对第二阶段最高限价和需求标准执行情况进行管理； </w:t>
      </w:r>
    </w:p>
    <w:p w14:paraId="5C2A1E98">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 xml:space="preserve">⑶对第二阶段确定成交供应商情况进行管理；  </w:t>
      </w:r>
    </w:p>
    <w:p w14:paraId="20FF27A0">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⑷接受</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rPr>
        <w:t>对</w:t>
      </w:r>
      <w:r>
        <w:rPr>
          <w:rFonts w:hint="eastAsia" w:ascii="宋体" w:hAnsi="Courier New" w:eastAsia="宋体" w:cs="Times New Roman"/>
          <w:color w:val="auto"/>
          <w:sz w:val="24"/>
          <w:szCs w:val="24"/>
          <w:highlight w:val="none"/>
          <w:lang w:val="en-US" w:eastAsia="zh-CN"/>
        </w:rPr>
        <w:t>乙方</w:t>
      </w:r>
      <w:r>
        <w:rPr>
          <w:rFonts w:hint="eastAsia" w:ascii="宋体" w:hAnsi="Courier New" w:eastAsia="宋体" w:cs="Times New Roman"/>
          <w:color w:val="auto"/>
          <w:sz w:val="24"/>
          <w:szCs w:val="24"/>
          <w:highlight w:val="none"/>
        </w:rPr>
        <w:t xml:space="preserve">履行框架协议和采购合同情况的反馈与评价，并将用户反馈和评价情况公开； </w:t>
      </w:r>
    </w:p>
    <w:p w14:paraId="70A7C65D">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 xml:space="preserve">⑸公开封闭式框架协议的第二阶段成交结果； </w:t>
      </w:r>
    </w:p>
    <w:p w14:paraId="6F35A712">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⑹办理入围供应商清退和补充相关事宜。</w:t>
      </w:r>
    </w:p>
    <w:p w14:paraId="76421F5A">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2.权利</w:t>
      </w:r>
    </w:p>
    <w:p w14:paraId="11FDA8F1">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⑴甲方依据国家有关法规，行使对浦江县202</w:t>
      </w:r>
      <w:r>
        <w:rPr>
          <w:rFonts w:hint="eastAsia" w:ascii="宋体" w:hAnsi="Courier New" w:eastAsia="宋体" w:cs="Times New Roman"/>
          <w:color w:val="auto"/>
          <w:sz w:val="24"/>
          <w:szCs w:val="24"/>
          <w:highlight w:val="none"/>
          <w:lang w:val="en-US" w:eastAsia="zh-CN"/>
        </w:rPr>
        <w:t>4-2026</w:t>
      </w:r>
      <w:r>
        <w:rPr>
          <w:rFonts w:hint="eastAsia" w:ascii="宋体" w:hAnsi="Courier New" w:eastAsia="宋体" w:cs="Times New Roman"/>
          <w:color w:val="auto"/>
          <w:sz w:val="24"/>
          <w:szCs w:val="24"/>
          <w:highlight w:val="none"/>
        </w:rPr>
        <w:t>年</w:t>
      </w:r>
      <w:r>
        <w:rPr>
          <w:rFonts w:hint="eastAsia" w:ascii="宋体" w:hAnsi="Courier New" w:eastAsia="宋体" w:cs="Times New Roman"/>
          <w:color w:val="auto"/>
          <w:sz w:val="24"/>
          <w:szCs w:val="24"/>
          <w:highlight w:val="none"/>
          <w:lang w:eastAsia="zh-CN"/>
        </w:rPr>
        <w:t>度</w:t>
      </w:r>
      <w:r>
        <w:rPr>
          <w:rFonts w:hint="eastAsia" w:ascii="宋体" w:hAnsi="Courier New" w:eastAsia="宋体" w:cs="Times New Roman"/>
          <w:color w:val="auto"/>
          <w:sz w:val="24"/>
          <w:szCs w:val="24"/>
          <w:highlight w:val="none"/>
        </w:rPr>
        <w:t>地质灾害治理工程</w:t>
      </w:r>
      <w:r>
        <w:rPr>
          <w:rFonts w:hint="eastAsia" w:ascii="宋体" w:hAnsi="Courier New" w:eastAsia="宋体" w:cs="Times New Roman"/>
          <w:color w:val="auto"/>
          <w:sz w:val="24"/>
          <w:szCs w:val="24"/>
          <w:highlight w:val="none"/>
          <w:lang w:eastAsia="zh-CN"/>
        </w:rPr>
        <w:t>建设项目小额配套服务（监理</w:t>
      </w:r>
      <w:r>
        <w:rPr>
          <w:rFonts w:hint="eastAsia" w:ascii="宋体" w:hAnsi="Courier New" w:eastAsia="宋体" w:cs="Times New Roman"/>
          <w:color w:val="auto"/>
          <w:sz w:val="24"/>
          <w:szCs w:val="24"/>
          <w:highlight w:val="none"/>
          <w:lang w:val="en-US" w:eastAsia="zh-CN"/>
        </w:rPr>
        <w:t>)</w:t>
      </w:r>
      <w:r>
        <w:rPr>
          <w:rFonts w:hint="eastAsia" w:ascii="宋体" w:hAnsi="Courier New" w:eastAsia="宋体" w:cs="Times New Roman"/>
          <w:color w:val="auto"/>
          <w:sz w:val="24"/>
          <w:szCs w:val="24"/>
          <w:highlight w:val="none"/>
        </w:rPr>
        <w:t>封闭式框架协议</w:t>
      </w:r>
      <w:r>
        <w:rPr>
          <w:rFonts w:hint="eastAsia" w:ascii="宋体" w:hAnsi="Courier New" w:eastAsia="宋体" w:cs="Times New Roman"/>
          <w:color w:val="auto"/>
          <w:sz w:val="24"/>
          <w:szCs w:val="24"/>
          <w:highlight w:val="none"/>
          <w:lang w:eastAsia="zh-CN"/>
        </w:rPr>
        <w:t>项目</w:t>
      </w:r>
      <w:r>
        <w:rPr>
          <w:rFonts w:hint="eastAsia" w:ascii="宋体" w:hAnsi="Courier New" w:eastAsia="宋体" w:cs="Times New Roman"/>
          <w:color w:val="auto"/>
          <w:sz w:val="24"/>
          <w:szCs w:val="24"/>
          <w:highlight w:val="none"/>
        </w:rPr>
        <w:t>服务的监督管理权，包括日常管理和事后监督。</w:t>
      </w:r>
    </w:p>
    <w:p w14:paraId="6B8E9D15">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⑵甲方有权要求乙方更换不称职或应回避的人员。</w:t>
      </w:r>
    </w:p>
    <w:p w14:paraId="64F68737">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⑶甲方有权对乙方在</w:t>
      </w:r>
      <w:r>
        <w:rPr>
          <w:rFonts w:hint="eastAsia" w:ascii="宋体" w:hAnsi="Courier New" w:eastAsia="宋体" w:cs="Times New Roman"/>
          <w:color w:val="auto"/>
          <w:sz w:val="24"/>
          <w:szCs w:val="24"/>
          <w:highlight w:val="none"/>
          <w:lang w:eastAsia="zh-CN"/>
        </w:rPr>
        <w:t>监理</w:t>
      </w:r>
      <w:r>
        <w:rPr>
          <w:rFonts w:hint="eastAsia" w:ascii="宋体" w:hAnsi="Courier New" w:eastAsia="宋体" w:cs="Times New Roman"/>
          <w:color w:val="auto"/>
          <w:sz w:val="24"/>
          <w:szCs w:val="24"/>
          <w:highlight w:val="none"/>
        </w:rPr>
        <w:t>过程中的过错予以纠正，并按规定予以适当的处罚。</w:t>
      </w:r>
    </w:p>
    <w:p w14:paraId="6826E8B6">
      <w:pPr>
        <w:adjustRightInd w:val="0"/>
        <w:snapToGrid w:val="0"/>
        <w:spacing w:line="440" w:lineRule="exact"/>
        <w:ind w:firstLine="456" w:firstLineChars="190"/>
        <w:jc w:val="left"/>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⑷甲方对入围的</w:t>
      </w:r>
      <w:r>
        <w:rPr>
          <w:rFonts w:hint="eastAsia" w:ascii="宋体" w:hAnsi="Courier New" w:eastAsia="宋体" w:cs="Times New Roman"/>
          <w:color w:val="auto"/>
          <w:sz w:val="24"/>
          <w:szCs w:val="24"/>
          <w:highlight w:val="none"/>
          <w:lang w:eastAsia="zh-CN"/>
        </w:rPr>
        <w:t>供应商</w:t>
      </w:r>
      <w:r>
        <w:rPr>
          <w:rFonts w:hint="eastAsia" w:ascii="宋体" w:hAnsi="Courier New" w:eastAsia="宋体" w:cs="Times New Roman"/>
          <w:color w:val="auto"/>
          <w:sz w:val="24"/>
          <w:szCs w:val="24"/>
          <w:highlight w:val="none"/>
        </w:rPr>
        <w:t>的效率、服务等情况进行考核评价。</w:t>
      </w:r>
    </w:p>
    <w:p w14:paraId="78828705">
      <w:pPr>
        <w:adjustRightInd w:val="0"/>
        <w:snapToGrid w:val="0"/>
        <w:spacing w:line="440" w:lineRule="exact"/>
        <w:ind w:firstLine="482" w:firstLineChars="200"/>
        <w:rPr>
          <w:rFonts w:ascii="宋体" w:hAnsi="Courier New" w:eastAsia="宋体" w:cs="Times New Roman"/>
          <w:b/>
          <w:color w:val="auto"/>
          <w:sz w:val="24"/>
          <w:szCs w:val="24"/>
          <w:highlight w:val="none"/>
        </w:rPr>
      </w:pPr>
      <w:r>
        <w:rPr>
          <w:rFonts w:hint="eastAsia" w:ascii="宋体" w:hAnsi="Courier New" w:eastAsia="宋体" w:cs="Times New Roman"/>
          <w:b/>
          <w:color w:val="auto"/>
          <w:sz w:val="24"/>
          <w:szCs w:val="24"/>
          <w:highlight w:val="none"/>
        </w:rPr>
        <w:t>（二）乙方的权利和义务</w:t>
      </w:r>
    </w:p>
    <w:p w14:paraId="2AB781C3">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1.乙方有权监督第二阶段确定成交供应商方式；</w:t>
      </w:r>
    </w:p>
    <w:p w14:paraId="001468DA">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2.乙方</w:t>
      </w:r>
      <w:r>
        <w:rPr>
          <w:rFonts w:hint="eastAsia" w:ascii="宋体" w:hAnsi="Courier New" w:eastAsia="宋体" w:cs="Times New Roman"/>
          <w:color w:val="auto"/>
          <w:sz w:val="24"/>
          <w:szCs w:val="24"/>
          <w:highlight w:val="none"/>
          <w:lang w:val="en-US" w:eastAsia="zh-CN"/>
        </w:rPr>
        <w:t>接受</w:t>
      </w:r>
      <w:r>
        <w:rPr>
          <w:rFonts w:hint="eastAsia" w:ascii="宋体" w:hAnsi="Courier New" w:eastAsia="宋体" w:cs="Times New Roman"/>
          <w:color w:val="auto"/>
          <w:sz w:val="24"/>
          <w:szCs w:val="24"/>
          <w:highlight w:val="none"/>
          <w:lang w:eastAsia="zh-CN"/>
        </w:rPr>
        <w:t>甲方</w:t>
      </w:r>
      <w:r>
        <w:rPr>
          <w:rFonts w:hint="eastAsia" w:ascii="宋体" w:hAnsi="Courier New" w:eastAsia="宋体" w:cs="Times New Roman"/>
          <w:color w:val="auto"/>
          <w:sz w:val="24"/>
          <w:szCs w:val="24"/>
          <w:highlight w:val="none"/>
          <w:lang w:val="en-US" w:eastAsia="zh-CN"/>
        </w:rPr>
        <w:t>针对</w:t>
      </w:r>
      <w:r>
        <w:rPr>
          <w:rFonts w:hint="eastAsia" w:ascii="宋体" w:hAnsi="Courier New" w:eastAsia="宋体" w:cs="Times New Roman"/>
          <w:color w:val="auto"/>
          <w:sz w:val="24"/>
          <w:szCs w:val="24"/>
          <w:highlight w:val="none"/>
          <w:lang w:eastAsia="zh-CN"/>
        </w:rPr>
        <w:t>工作的考核；</w:t>
      </w:r>
    </w:p>
    <w:p w14:paraId="6E765EFB">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3.乙方组建的项目班子成员应随时到岗，驻场服务人员在接到任务通知书1天内响应并就位；</w:t>
      </w:r>
    </w:p>
    <w:p w14:paraId="62FB647B">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4.乙方应履行回避义务，不得接受回避项目的委托；</w:t>
      </w:r>
    </w:p>
    <w:p w14:paraId="18FE3332">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5.乙方不得将工作转包给其他单位或个人；</w:t>
      </w:r>
    </w:p>
    <w:p w14:paraId="243371E9">
      <w:pPr>
        <w:adjustRightInd w:val="0"/>
        <w:snapToGrid w:val="0"/>
        <w:spacing w:line="440" w:lineRule="exact"/>
        <w:ind w:firstLine="456" w:firstLineChars="190"/>
        <w:jc w:val="left"/>
        <w:rPr>
          <w:rFonts w:hint="eastAsia" w:ascii="宋体" w:hAnsi="Courier New" w:eastAsia="宋体" w:cs="Times New Roman"/>
          <w:color w:val="auto"/>
          <w:sz w:val="24"/>
          <w:szCs w:val="24"/>
          <w:highlight w:val="none"/>
          <w:lang w:eastAsia="zh-CN"/>
        </w:rPr>
      </w:pPr>
      <w:r>
        <w:rPr>
          <w:rFonts w:hint="eastAsia" w:ascii="宋体" w:hAnsi="Courier New" w:eastAsia="宋体" w:cs="Times New Roman"/>
          <w:color w:val="auto"/>
          <w:sz w:val="24"/>
          <w:szCs w:val="24"/>
          <w:highlight w:val="none"/>
          <w:lang w:eastAsia="zh-CN"/>
        </w:rPr>
        <w:t>6.乙方不得隐瞒、虚报单位资质、资格、人员及违法行为被禁止或限制参加政府采购活动等情况。</w:t>
      </w:r>
    </w:p>
    <w:p w14:paraId="1A1E6B3D">
      <w:pPr>
        <w:adjustRightInd w:val="0"/>
        <w:snapToGrid w:val="0"/>
        <w:spacing w:line="440" w:lineRule="exact"/>
        <w:ind w:firstLine="456" w:firstLineChars="190"/>
        <w:jc w:val="left"/>
        <w:rPr>
          <w:rFonts w:hint="default" w:ascii="宋体" w:hAnsi="Courier New" w:eastAsia="宋体" w:cs="Times New Roman"/>
          <w:b/>
          <w:bCs/>
          <w:color w:val="auto"/>
          <w:sz w:val="24"/>
          <w:szCs w:val="24"/>
          <w:highlight w:val="none"/>
          <w:lang w:val="en-US" w:eastAsia="zh-CN"/>
        </w:rPr>
      </w:pPr>
      <w:r>
        <w:rPr>
          <w:rFonts w:hint="eastAsia" w:ascii="宋体" w:hAnsi="Courier New" w:eastAsia="宋体" w:cs="Times New Roman"/>
          <w:color w:val="auto"/>
          <w:sz w:val="24"/>
          <w:szCs w:val="24"/>
          <w:highlight w:val="none"/>
          <w:lang w:val="en-US" w:eastAsia="zh-CN"/>
        </w:rPr>
        <w:t>7.实际项目监理人员必须为响应时被列入拟派团队成员名单的人员，除因人员离职或身体健康等客观原因引起的变更需经过甲方书面确认同意外，人员不得变更。经甲方同意变更的人员资质条件不得低于原有人员。</w:t>
      </w:r>
      <w:r>
        <w:rPr>
          <w:rFonts w:hint="eastAsia" w:ascii="宋体" w:hAnsi="Courier New" w:eastAsia="宋体" w:cs="Times New Roman"/>
          <w:b/>
          <w:bCs/>
          <w:color w:val="auto"/>
          <w:sz w:val="24"/>
          <w:szCs w:val="24"/>
          <w:highlight w:val="none"/>
          <w:lang w:val="en-US" w:eastAsia="zh-CN"/>
        </w:rPr>
        <w:t>如乙方未经甲方允许擅自更换拟派团队人员，甲方有权终止本协议。</w:t>
      </w:r>
    </w:p>
    <w:p w14:paraId="3C687633">
      <w:pPr>
        <w:adjustRightInd w:val="0"/>
        <w:snapToGrid w:val="0"/>
        <w:spacing w:line="440" w:lineRule="exact"/>
        <w:ind w:firstLine="458" w:firstLineChars="190"/>
        <w:jc w:val="left"/>
        <w:rPr>
          <w:rFonts w:hint="default" w:ascii="宋体" w:hAnsi="Courier New" w:eastAsia="宋体" w:cs="Times New Roman"/>
          <w:b/>
          <w:bCs/>
          <w:color w:val="auto"/>
          <w:sz w:val="24"/>
          <w:szCs w:val="24"/>
          <w:highlight w:val="none"/>
          <w:lang w:val="en-US" w:eastAsia="zh-CN"/>
        </w:rPr>
      </w:pPr>
      <w:r>
        <w:rPr>
          <w:rFonts w:hint="eastAsia" w:ascii="宋体" w:hAnsi="Courier New" w:eastAsia="宋体" w:cs="Times New Roman"/>
          <w:b/>
          <w:bCs/>
          <w:color w:val="auto"/>
          <w:sz w:val="24"/>
          <w:szCs w:val="24"/>
          <w:highlight w:val="none"/>
          <w:lang w:val="en-US" w:eastAsia="zh-CN"/>
        </w:rPr>
        <w:t>8.乙方未按承诺时间进场作业或提供服务的，第一次出现违约由甲方进行警告，出现两次及以上违约的，则本协议自动解除。</w:t>
      </w:r>
    </w:p>
    <w:p w14:paraId="5EFF0F3B">
      <w:pPr>
        <w:pStyle w:val="11"/>
        <w:rPr>
          <w:snapToGrid w:val="0"/>
          <w:color w:val="auto"/>
          <w:highlight w:val="none"/>
        </w:rPr>
      </w:pPr>
      <w:r>
        <w:rPr>
          <w:rFonts w:hint="eastAsia"/>
          <w:snapToGrid w:val="0"/>
          <w:color w:val="auto"/>
          <w:highlight w:val="none"/>
        </w:rPr>
        <w:t>十二、转包或分包</w:t>
      </w:r>
    </w:p>
    <w:p w14:paraId="5AE2E38C">
      <w:pPr>
        <w:pStyle w:val="11"/>
        <w:rPr>
          <w:color w:val="auto"/>
          <w:highlight w:val="none"/>
        </w:rPr>
      </w:pPr>
      <w:r>
        <w:rPr>
          <w:rFonts w:hint="eastAsia"/>
          <w:color w:val="auto"/>
          <w:highlight w:val="none"/>
        </w:rPr>
        <w:t>不允许转包和分包。如乙方将项目转包或分包，甲方有权解除合同，追究乙方的违约责任。</w:t>
      </w:r>
    </w:p>
    <w:p w14:paraId="71038273">
      <w:pPr>
        <w:pStyle w:val="11"/>
        <w:rPr>
          <w:snapToGrid w:val="0"/>
          <w:color w:val="auto"/>
          <w:highlight w:val="none"/>
        </w:rPr>
      </w:pPr>
      <w:r>
        <w:rPr>
          <w:rFonts w:hint="eastAsia"/>
          <w:snapToGrid w:val="0"/>
          <w:color w:val="auto"/>
          <w:highlight w:val="none"/>
        </w:rPr>
        <w:t>十三、履约延误</w:t>
      </w:r>
    </w:p>
    <w:p w14:paraId="7FBCE9F2">
      <w:pPr>
        <w:snapToGrid w:val="0"/>
        <w:spacing w:line="460" w:lineRule="exact"/>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1.乙方提供服务。</w:t>
      </w:r>
    </w:p>
    <w:p w14:paraId="55F175BD">
      <w:pPr>
        <w:snapToGrid w:val="0"/>
        <w:spacing w:line="460" w:lineRule="exact"/>
        <w:ind w:right="17"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2.在履行合同过程中，如果乙方遇到妨碍按时提供服务的情况时，将及时将拖延的事实、可能拖延的期限和理由通知</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rPr>
        <w:t>，乙方承诺根据</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rPr>
        <w:t>意见，确定是否延长时间或取消本次采购。</w:t>
      </w:r>
    </w:p>
    <w:p w14:paraId="0681F9C8">
      <w:pPr>
        <w:snapToGrid w:val="0"/>
        <w:spacing w:line="460" w:lineRule="exact"/>
        <w:ind w:right="17"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3.如乙方无正当理由拖延服务实施，</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rPr>
        <w:t>有权追究乙方的违约责任。</w:t>
      </w:r>
    </w:p>
    <w:p w14:paraId="2A2C5444">
      <w:pPr>
        <w:snapToGrid w:val="0"/>
        <w:spacing w:line="460" w:lineRule="exact"/>
        <w:ind w:right="17"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4.如</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rPr>
        <w:t>需求错误或者无故不签收（不验收），乙方将及时向</w:t>
      </w:r>
      <w:r>
        <w:rPr>
          <w:rFonts w:hint="eastAsia" w:ascii="宋体" w:hAnsi="Courier New" w:eastAsia="宋体" w:cs="Times New Roman"/>
          <w:color w:val="auto"/>
          <w:sz w:val="24"/>
          <w:szCs w:val="24"/>
          <w:highlight w:val="none"/>
          <w:lang w:eastAsia="zh-CN"/>
        </w:rPr>
        <w:t>监管部</w:t>
      </w:r>
      <w:r>
        <w:rPr>
          <w:rFonts w:hint="eastAsia" w:ascii="宋体" w:hAnsi="Courier New" w:eastAsia="宋体" w:cs="Times New Roman"/>
          <w:color w:val="auto"/>
          <w:sz w:val="24"/>
          <w:szCs w:val="24"/>
          <w:highlight w:val="none"/>
        </w:rPr>
        <w:t>门书面申请协调。</w:t>
      </w:r>
    </w:p>
    <w:p w14:paraId="724422DC">
      <w:pPr>
        <w:pStyle w:val="11"/>
        <w:rPr>
          <w:snapToGrid w:val="0"/>
          <w:color w:val="auto"/>
          <w:highlight w:val="none"/>
        </w:rPr>
      </w:pPr>
      <w:r>
        <w:rPr>
          <w:rFonts w:hint="eastAsia"/>
          <w:snapToGrid w:val="0"/>
          <w:color w:val="auto"/>
          <w:highlight w:val="none"/>
        </w:rPr>
        <w:t>十四、验收</w:t>
      </w:r>
    </w:p>
    <w:p w14:paraId="3BDDA70A">
      <w:pPr>
        <w:pStyle w:val="11"/>
        <w:ind w:firstLine="566"/>
        <w:rPr>
          <w:b w:val="0"/>
          <w:color w:val="auto"/>
          <w:highlight w:val="none"/>
        </w:rPr>
      </w:pPr>
      <w:r>
        <w:rPr>
          <w:rFonts w:hint="eastAsia"/>
          <w:b w:val="0"/>
          <w:color w:val="auto"/>
          <w:highlight w:val="none"/>
        </w:rPr>
        <w:t>甲方或甲方委托的其他机构应及时对乙方提供的服务进行验收。验收时乙方应派员参加，共同对验收结果进行确认，并承担相关责任。</w:t>
      </w:r>
    </w:p>
    <w:p w14:paraId="195D7EF7">
      <w:pPr>
        <w:pStyle w:val="11"/>
        <w:rPr>
          <w:snapToGrid w:val="0"/>
          <w:color w:val="auto"/>
          <w:highlight w:val="none"/>
        </w:rPr>
      </w:pPr>
      <w:r>
        <w:rPr>
          <w:rFonts w:hint="eastAsia"/>
          <w:snapToGrid w:val="0"/>
          <w:color w:val="auto"/>
          <w:highlight w:val="none"/>
        </w:rPr>
        <w:t>十五、清退规则及违约责任</w:t>
      </w:r>
    </w:p>
    <w:p w14:paraId="5AFE03C5">
      <w:pPr>
        <w:spacing w:line="440" w:lineRule="exact"/>
        <w:ind w:firstLine="482" w:firstLineChars="200"/>
        <w:rPr>
          <w:rFonts w:ascii="宋体" w:hAnsi="Courier New" w:eastAsia="宋体" w:cs="Times New Roman"/>
          <w:b/>
          <w:color w:val="auto"/>
          <w:sz w:val="24"/>
          <w:szCs w:val="24"/>
          <w:highlight w:val="none"/>
          <w:shd w:val="clear" w:color="auto" w:fill="FFFFFF"/>
        </w:rPr>
      </w:pPr>
      <w:r>
        <w:rPr>
          <w:rFonts w:hint="eastAsia" w:ascii="宋体" w:hAnsi="Courier New" w:eastAsia="宋体" w:cs="Times New Roman"/>
          <w:b/>
          <w:color w:val="auto"/>
          <w:sz w:val="24"/>
          <w:szCs w:val="24"/>
          <w:highlight w:val="none"/>
          <w:shd w:val="clear" w:color="auto" w:fill="FFFFFF"/>
        </w:rPr>
        <w:t>（一）入围供应商清退规则</w:t>
      </w:r>
    </w:p>
    <w:p w14:paraId="613C0215">
      <w:pPr>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rPr>
        <w:t xml:space="preserve">1.入围供应商有下列情形之一，尚未签订框架协议的，取消其入围资格；已经签订框架协议的，解除与其签订的框架协议： </w:t>
      </w:r>
    </w:p>
    <w:p w14:paraId="79DDBB27">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1</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rPr>
        <w:t>恶意串通谋取入围或者合同成交的；</w:t>
      </w:r>
    </w:p>
    <w:p w14:paraId="6E3400BA">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2</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rPr>
        <w:t>提供虚假材料谋取入围或者合同成交的；</w:t>
      </w:r>
    </w:p>
    <w:p w14:paraId="7BB1A4BA">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3</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rPr>
        <w:t xml:space="preserve">无正当理由拒不接受合同授予的； </w:t>
      </w:r>
    </w:p>
    <w:p w14:paraId="691AC3CA">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4</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rPr>
        <w:t>不履行合同义务或者履行合同义务不符合约定，经</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shd w:val="clear" w:color="auto" w:fill="FFFFFF"/>
        </w:rPr>
        <w:t xml:space="preserve">请求履行后仍不履行或者仍未按约定履行的； </w:t>
      </w:r>
    </w:p>
    <w:p w14:paraId="29CA6960">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5</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rPr>
        <w:t>框架协议有效期内，因违法行为被禁止或限制参加政府采购活动的；</w:t>
      </w:r>
    </w:p>
    <w:p w14:paraId="10E083C1">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val="en-US" w:eastAsia="zh-CN"/>
        </w:rPr>
        <w:t>（6）</w:t>
      </w:r>
      <w:r>
        <w:rPr>
          <w:rFonts w:hint="eastAsia" w:ascii="宋体" w:hAnsi="Courier New" w:eastAsia="宋体" w:cs="Times New Roman"/>
          <w:color w:val="auto"/>
          <w:sz w:val="24"/>
          <w:szCs w:val="24"/>
          <w:highlight w:val="none"/>
          <w:shd w:val="clear" w:color="auto" w:fill="FFFFFF"/>
        </w:rPr>
        <w:t>履行合同的过程中出现下列情形之一的，经核实，</w:t>
      </w:r>
      <w:r>
        <w:rPr>
          <w:rFonts w:hint="eastAsia" w:ascii="宋体" w:hAnsi="Courier New" w:eastAsia="宋体" w:cs="Times New Roman"/>
          <w:color w:val="auto"/>
          <w:sz w:val="24"/>
          <w:szCs w:val="24"/>
          <w:highlight w:val="none"/>
          <w:lang w:val="en-US" w:eastAsia="zh-CN"/>
        </w:rPr>
        <w:t>甲方</w:t>
      </w:r>
      <w:r>
        <w:rPr>
          <w:rFonts w:hint="eastAsia" w:ascii="宋体" w:hAnsi="Courier New" w:eastAsia="宋体" w:cs="Times New Roman"/>
          <w:color w:val="auto"/>
          <w:sz w:val="24"/>
          <w:szCs w:val="24"/>
          <w:highlight w:val="none"/>
          <w:shd w:val="clear" w:color="auto" w:fill="FFFFFF"/>
        </w:rPr>
        <w:t>可立即全面终止协议的执行，造成损失的应当赔偿损失。同时提请有关部门追究有关当事人的责任：</w:t>
      </w:r>
    </w:p>
    <w:p w14:paraId="6CF425AA">
      <w:pPr>
        <w:spacing w:line="440" w:lineRule="exact"/>
        <w:ind w:firstLine="480" w:firstLineChars="200"/>
        <w:rPr>
          <w:rFonts w:hint="eastAsia" w:ascii="宋体" w:hAnsi="Courier New" w:eastAsia="宋体" w:cs="Times New Roman"/>
          <w:color w:val="auto"/>
          <w:sz w:val="24"/>
          <w:szCs w:val="24"/>
          <w:highlight w:val="none"/>
          <w:shd w:val="clear" w:color="auto" w:fill="FFFFFF"/>
          <w:lang w:val="en-US" w:eastAsia="zh-CN"/>
        </w:rPr>
      </w:pPr>
      <w:r>
        <w:rPr>
          <w:rFonts w:hint="eastAsia" w:ascii="宋体" w:hAnsi="Courier New" w:eastAsia="宋体" w:cs="Times New Roman"/>
          <w:color w:val="auto"/>
          <w:sz w:val="24"/>
          <w:szCs w:val="24"/>
          <w:highlight w:val="none"/>
          <w:shd w:val="clear" w:color="auto" w:fill="FFFFFF"/>
          <w:lang w:val="en-US" w:eastAsia="zh-CN"/>
        </w:rPr>
        <w:t>①乙方未严格执行保密制度，泄漏委托方的秘密或与第三方串通损害甲方利益的；由此造成的经济损失的；</w:t>
      </w:r>
    </w:p>
    <w:p w14:paraId="0C2CDE8F">
      <w:pPr>
        <w:spacing w:line="440" w:lineRule="exact"/>
        <w:ind w:firstLine="480" w:firstLineChars="200"/>
        <w:rPr>
          <w:rFonts w:hint="eastAsia" w:ascii="宋体" w:hAnsi="Courier New" w:eastAsia="宋体" w:cs="Times New Roman"/>
          <w:color w:val="auto"/>
          <w:sz w:val="24"/>
          <w:szCs w:val="24"/>
          <w:highlight w:val="none"/>
          <w:shd w:val="clear" w:color="auto" w:fill="FFFFFF"/>
          <w:lang w:val="en-US" w:eastAsia="zh-CN"/>
        </w:rPr>
      </w:pPr>
      <w:r>
        <w:rPr>
          <w:rFonts w:hint="eastAsia" w:ascii="宋体" w:hAnsi="Courier New" w:eastAsia="宋体" w:cs="Times New Roman"/>
          <w:color w:val="auto"/>
          <w:sz w:val="24"/>
          <w:szCs w:val="24"/>
          <w:highlight w:val="none"/>
          <w:shd w:val="clear" w:color="auto" w:fill="FFFFFF"/>
          <w:lang w:val="en-US" w:eastAsia="zh-CN"/>
        </w:rPr>
        <w:t>②乙方与项目相关单位或个人私下交易，接受财物、吃请等违纪行为经查实的；存在违法违规行为的，由相关部门进行处理；</w:t>
      </w:r>
    </w:p>
    <w:p w14:paraId="61E4798A">
      <w:pPr>
        <w:spacing w:line="440" w:lineRule="exact"/>
        <w:ind w:firstLine="480" w:firstLineChars="200"/>
        <w:rPr>
          <w:rFonts w:hint="eastAsia" w:ascii="宋体" w:hAnsi="Courier New" w:eastAsia="宋体" w:cs="Times New Roman"/>
          <w:color w:val="auto"/>
          <w:sz w:val="24"/>
          <w:szCs w:val="24"/>
          <w:highlight w:val="none"/>
          <w:shd w:val="clear" w:color="auto" w:fill="FFFFFF"/>
          <w:lang w:val="en-US" w:eastAsia="zh-CN"/>
        </w:rPr>
      </w:pPr>
      <w:r>
        <w:rPr>
          <w:rFonts w:hint="eastAsia" w:ascii="宋体" w:hAnsi="Courier New" w:eastAsia="宋体" w:cs="Times New Roman"/>
          <w:color w:val="auto"/>
          <w:sz w:val="24"/>
          <w:szCs w:val="24"/>
          <w:highlight w:val="none"/>
          <w:shd w:val="clear" w:color="auto" w:fill="FFFFFF"/>
          <w:lang w:val="en-US" w:eastAsia="zh-CN"/>
        </w:rPr>
        <w:t>③乙方在服务过程中将资料丢失的；由此造成的经济损失，乙方应予赔偿；存在违法违规行为的，由相关部门进行处理；</w:t>
      </w:r>
    </w:p>
    <w:p w14:paraId="0D917E88">
      <w:pPr>
        <w:spacing w:line="440" w:lineRule="exact"/>
        <w:ind w:firstLine="480" w:firstLineChars="200"/>
        <w:rPr>
          <w:rFonts w:hint="eastAsia" w:ascii="宋体" w:hAnsi="Courier New" w:eastAsia="宋体" w:cs="Times New Roman"/>
          <w:color w:val="auto"/>
          <w:sz w:val="24"/>
          <w:szCs w:val="24"/>
          <w:highlight w:val="none"/>
          <w:shd w:val="clear" w:color="auto" w:fill="FFFFFF"/>
          <w:lang w:val="en-US" w:eastAsia="zh-CN"/>
        </w:rPr>
      </w:pPr>
      <w:r>
        <w:rPr>
          <w:rFonts w:hint="eastAsia" w:ascii="宋体" w:hAnsi="Courier New" w:eastAsia="宋体" w:cs="Times New Roman"/>
          <w:color w:val="auto"/>
          <w:sz w:val="24"/>
          <w:szCs w:val="24"/>
          <w:highlight w:val="none"/>
          <w:shd w:val="clear" w:color="auto" w:fill="FFFFFF"/>
          <w:lang w:val="en-US" w:eastAsia="zh-CN"/>
        </w:rPr>
        <w:t>④无正当理由，未按规定完成工作任务的，或在甲方组织的综合考评中不合格的；</w:t>
      </w:r>
    </w:p>
    <w:p w14:paraId="6698ECD0">
      <w:pPr>
        <w:spacing w:line="440" w:lineRule="exact"/>
        <w:ind w:firstLine="480" w:firstLineChars="200"/>
        <w:rPr>
          <w:rFonts w:hint="eastAsia" w:ascii="宋体" w:hAnsi="Courier New" w:eastAsia="宋体" w:cs="Times New Roman"/>
          <w:color w:val="auto"/>
          <w:sz w:val="24"/>
          <w:szCs w:val="24"/>
          <w:highlight w:val="none"/>
          <w:shd w:val="clear" w:color="auto" w:fill="FFFFFF"/>
          <w:lang w:val="en-US" w:eastAsia="zh-CN"/>
        </w:rPr>
      </w:pPr>
      <w:r>
        <w:rPr>
          <w:rFonts w:hint="eastAsia" w:ascii="宋体" w:hAnsi="Courier New" w:eastAsia="宋体" w:cs="Times New Roman"/>
          <w:color w:val="auto"/>
          <w:sz w:val="24"/>
          <w:szCs w:val="24"/>
          <w:highlight w:val="none"/>
          <w:shd w:val="clear" w:color="auto" w:fill="FFFFFF"/>
          <w:lang w:val="en-US" w:eastAsia="zh-CN"/>
        </w:rPr>
        <w:t>⑤执行纠错机制，即因服务结果存在较大争议，相关单位提出投诉，并确认乙方为责任方的，甲方有权终止合同；</w:t>
      </w:r>
    </w:p>
    <w:p w14:paraId="0B8E326F">
      <w:pPr>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val="en-US" w:eastAsia="zh-CN"/>
        </w:rPr>
        <w:t>2</w:t>
      </w:r>
      <w:r>
        <w:rPr>
          <w:rFonts w:hint="eastAsia" w:ascii="宋体" w:hAnsi="Courier New" w:eastAsia="宋体" w:cs="Times New Roman"/>
          <w:color w:val="auto"/>
          <w:sz w:val="24"/>
          <w:szCs w:val="24"/>
          <w:highlight w:val="none"/>
          <w:shd w:val="clear" w:color="auto" w:fill="FFFFFF"/>
        </w:rPr>
        <w:t>.入围供应商如发生实质性变动（营业执照注销、不再符合本项目资格条件等）的，尚未签订框架协议的，取消其入围资格；已经签订框架协议的，解除与其签订的框架协议。</w:t>
      </w:r>
    </w:p>
    <w:p w14:paraId="7108BCFB">
      <w:pPr>
        <w:widowControl/>
        <w:snapToGrid w:val="0"/>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val="en-US" w:eastAsia="zh-CN"/>
        </w:rPr>
        <w:t>3</w:t>
      </w:r>
      <w:r>
        <w:rPr>
          <w:rFonts w:hint="eastAsia" w:ascii="宋体" w:hAnsi="Courier New" w:eastAsia="宋体" w:cs="Times New Roman"/>
          <w:color w:val="auto"/>
          <w:sz w:val="24"/>
          <w:szCs w:val="24"/>
          <w:highlight w:val="none"/>
          <w:shd w:val="clear" w:color="auto" w:fill="FFFFFF"/>
        </w:rPr>
        <w:t xml:space="preserve">.被取消入围资格或者被解除框架协议的供应商不得参加本封闭式框架协议补充征集。 </w:t>
      </w:r>
    </w:p>
    <w:p w14:paraId="4C122B42">
      <w:pPr>
        <w:spacing w:line="440" w:lineRule="exact"/>
        <w:ind w:firstLine="482" w:firstLineChars="200"/>
        <w:rPr>
          <w:rFonts w:ascii="宋体" w:hAnsi="Courier New" w:eastAsia="宋体" w:cs="Times New Roman"/>
          <w:b/>
          <w:color w:val="auto"/>
          <w:sz w:val="24"/>
          <w:szCs w:val="24"/>
          <w:highlight w:val="none"/>
          <w:shd w:val="clear" w:color="auto" w:fill="FFFFFF"/>
        </w:rPr>
      </w:pPr>
      <w:r>
        <w:rPr>
          <w:rFonts w:hint="eastAsia" w:ascii="宋体" w:hAnsi="Courier New" w:eastAsia="宋体" w:cs="Times New Roman"/>
          <w:b/>
          <w:color w:val="auto"/>
          <w:sz w:val="24"/>
          <w:szCs w:val="24"/>
          <w:highlight w:val="none"/>
          <w:shd w:val="clear" w:color="auto" w:fill="FFFFFF"/>
        </w:rPr>
        <w:t>（二）违约责任</w:t>
      </w:r>
    </w:p>
    <w:p w14:paraId="4AB0D86D">
      <w:pPr>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rPr>
        <w:t>1.</w:t>
      </w:r>
      <w:bookmarkStart w:id="21" w:name="OLE_LINK21"/>
      <w:r>
        <w:rPr>
          <w:rFonts w:hint="eastAsia" w:ascii="宋体" w:hAnsi="Courier New" w:eastAsia="宋体" w:cs="Times New Roman"/>
          <w:color w:val="auto"/>
          <w:sz w:val="24"/>
          <w:szCs w:val="24"/>
          <w:highlight w:val="none"/>
          <w:shd w:val="clear" w:color="auto" w:fill="FFFFFF"/>
          <w:lang w:val="en-US" w:eastAsia="zh-CN"/>
        </w:rPr>
        <w:t>甲乙</w:t>
      </w:r>
      <w:r>
        <w:rPr>
          <w:rFonts w:hint="eastAsia" w:ascii="宋体" w:hAnsi="Courier New" w:eastAsia="宋体" w:cs="Times New Roman"/>
          <w:color w:val="auto"/>
          <w:sz w:val="24"/>
          <w:szCs w:val="24"/>
          <w:highlight w:val="none"/>
          <w:shd w:val="clear" w:color="auto" w:fill="FFFFFF"/>
        </w:rPr>
        <w:t>方双方要严格按协议书履约</w:t>
      </w:r>
      <w:bookmarkEnd w:id="21"/>
      <w:r>
        <w:rPr>
          <w:rFonts w:hint="eastAsia" w:ascii="宋体" w:hAnsi="Courier New" w:eastAsia="宋体" w:cs="Times New Roman"/>
          <w:color w:val="auto"/>
          <w:sz w:val="24"/>
          <w:szCs w:val="24"/>
          <w:highlight w:val="none"/>
          <w:shd w:val="clear" w:color="auto" w:fill="FFFFFF"/>
        </w:rPr>
        <w:t>；</w:t>
      </w:r>
    </w:p>
    <w:p w14:paraId="597973F9">
      <w:pPr>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rPr>
        <w:t>2.如</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违反本项目征集文件和协议书的有关规定，</w:t>
      </w:r>
      <w:r>
        <w:rPr>
          <w:rFonts w:hint="eastAsia" w:ascii="宋体" w:hAnsi="Courier New" w:eastAsia="宋体" w:cs="Times New Roman"/>
          <w:color w:val="auto"/>
          <w:sz w:val="24"/>
          <w:szCs w:val="24"/>
          <w:highlight w:val="none"/>
          <w:shd w:val="clear" w:color="auto" w:fill="FFFFFF"/>
          <w:lang w:val="en-US" w:eastAsia="zh-CN"/>
        </w:rPr>
        <w:t>乙</w:t>
      </w:r>
      <w:r>
        <w:rPr>
          <w:rFonts w:hint="eastAsia" w:ascii="宋体" w:hAnsi="Courier New" w:eastAsia="宋体" w:cs="Times New Roman"/>
          <w:color w:val="auto"/>
          <w:sz w:val="24"/>
          <w:szCs w:val="24"/>
          <w:highlight w:val="none"/>
          <w:shd w:val="clear" w:color="auto" w:fill="FFFFFF"/>
        </w:rPr>
        <w:t>方有权向</w:t>
      </w:r>
      <w:r>
        <w:rPr>
          <w:rFonts w:hint="eastAsia" w:ascii="宋体" w:hAnsi="Courier New" w:eastAsia="宋体" w:cs="Times New Roman"/>
          <w:color w:val="auto"/>
          <w:sz w:val="24"/>
          <w:szCs w:val="24"/>
          <w:highlight w:val="none"/>
          <w:shd w:val="clear" w:color="auto" w:fill="FFFFFF"/>
          <w:lang w:val="en-US" w:eastAsia="zh-CN"/>
        </w:rPr>
        <w:t>监管</w:t>
      </w:r>
      <w:r>
        <w:rPr>
          <w:rFonts w:hint="eastAsia" w:ascii="宋体" w:hAnsi="Courier New" w:eastAsia="宋体" w:cs="Times New Roman"/>
          <w:color w:val="auto"/>
          <w:sz w:val="24"/>
          <w:szCs w:val="24"/>
          <w:highlight w:val="none"/>
          <w:shd w:val="clear" w:color="auto" w:fill="FFFFFF"/>
        </w:rPr>
        <w:t>部门反映；</w:t>
      </w:r>
    </w:p>
    <w:p w14:paraId="517F5960">
      <w:pPr>
        <w:spacing w:line="440" w:lineRule="exact"/>
        <w:ind w:firstLine="480" w:firstLineChars="200"/>
        <w:rPr>
          <w:rFonts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rPr>
        <w:t>3.如</w:t>
      </w:r>
      <w:r>
        <w:rPr>
          <w:rFonts w:hint="eastAsia" w:ascii="宋体" w:hAnsi="Courier New" w:eastAsia="宋体" w:cs="Times New Roman"/>
          <w:color w:val="auto"/>
          <w:sz w:val="24"/>
          <w:szCs w:val="24"/>
          <w:highlight w:val="none"/>
          <w:shd w:val="clear" w:color="auto" w:fill="FFFFFF"/>
          <w:lang w:val="en-US" w:eastAsia="zh-CN"/>
        </w:rPr>
        <w:t>乙方</w:t>
      </w:r>
      <w:r>
        <w:rPr>
          <w:rFonts w:hint="eastAsia" w:ascii="宋体" w:hAnsi="Courier New" w:eastAsia="宋体" w:cs="Times New Roman"/>
          <w:color w:val="auto"/>
          <w:sz w:val="24"/>
          <w:szCs w:val="24"/>
          <w:highlight w:val="none"/>
          <w:shd w:val="clear" w:color="auto" w:fill="FFFFFF"/>
        </w:rPr>
        <w:t>违反本项目征集文件和协议书的有关规定，</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有权根据本项目征集文件、协议书的规定对乙方进行处理，必要时按规定解除协议。</w:t>
      </w:r>
    </w:p>
    <w:p w14:paraId="55D9BA24">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rPr>
        <w:t>4.合同履行过程中，下列情形按照如下执行：</w:t>
      </w:r>
    </w:p>
    <w:p w14:paraId="663AA991">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1</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乙方</w:t>
      </w:r>
      <w:r>
        <w:rPr>
          <w:rFonts w:hint="eastAsia" w:ascii="宋体" w:hAnsi="Courier New" w:eastAsia="宋体" w:cs="Times New Roman"/>
          <w:color w:val="auto"/>
          <w:sz w:val="24"/>
          <w:szCs w:val="24"/>
          <w:highlight w:val="none"/>
          <w:shd w:val="clear" w:color="auto" w:fill="FFFFFF"/>
        </w:rPr>
        <w:t>不能按时</w:t>
      </w:r>
      <w:r>
        <w:rPr>
          <w:rFonts w:hint="eastAsia" w:ascii="宋体" w:hAnsi="Courier New" w:eastAsia="宋体" w:cs="Times New Roman"/>
          <w:color w:val="auto"/>
          <w:sz w:val="24"/>
          <w:szCs w:val="24"/>
          <w:highlight w:val="none"/>
          <w:shd w:val="clear" w:color="auto" w:fill="FFFFFF"/>
          <w:lang w:eastAsia="zh-CN"/>
        </w:rPr>
        <w:t>进场</w:t>
      </w:r>
      <w:r>
        <w:rPr>
          <w:rFonts w:hint="eastAsia" w:ascii="宋体" w:hAnsi="Courier New" w:eastAsia="宋体" w:cs="Times New Roman"/>
          <w:color w:val="auto"/>
          <w:sz w:val="24"/>
          <w:szCs w:val="24"/>
          <w:highlight w:val="none"/>
          <w:shd w:val="clear" w:color="auto" w:fill="FFFFFF"/>
          <w:lang w:val="en-US" w:eastAsia="zh-CN"/>
        </w:rPr>
        <w:t>工作</w:t>
      </w:r>
      <w:r>
        <w:rPr>
          <w:rFonts w:hint="eastAsia" w:ascii="宋体" w:hAnsi="Courier New" w:eastAsia="宋体" w:cs="Times New Roman"/>
          <w:color w:val="auto"/>
          <w:sz w:val="24"/>
          <w:szCs w:val="24"/>
          <w:highlight w:val="none"/>
          <w:shd w:val="clear" w:color="auto" w:fill="FFFFFF"/>
        </w:rPr>
        <w:t>的，经</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书面催告后仍无法</w:t>
      </w:r>
      <w:r>
        <w:rPr>
          <w:rFonts w:hint="eastAsia" w:ascii="宋体" w:hAnsi="Courier New" w:eastAsia="宋体" w:cs="Times New Roman"/>
          <w:color w:val="auto"/>
          <w:sz w:val="24"/>
          <w:szCs w:val="24"/>
          <w:highlight w:val="none"/>
          <w:shd w:val="clear" w:color="auto" w:fill="FFFFFF"/>
          <w:lang w:val="en-US" w:eastAsia="zh-CN"/>
        </w:rPr>
        <w:t>进场</w:t>
      </w:r>
      <w:r>
        <w:rPr>
          <w:rFonts w:hint="eastAsia" w:ascii="宋体" w:hAnsi="Courier New" w:eastAsia="宋体" w:cs="Times New Roman"/>
          <w:color w:val="auto"/>
          <w:sz w:val="24"/>
          <w:szCs w:val="24"/>
          <w:highlight w:val="none"/>
          <w:shd w:val="clear" w:color="auto" w:fill="FFFFFF"/>
        </w:rPr>
        <w:t>的，</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有权解除合同，并要求</w:t>
      </w:r>
      <w:r>
        <w:rPr>
          <w:rFonts w:hint="eastAsia" w:ascii="宋体" w:hAnsi="Courier New" w:eastAsia="宋体" w:cs="Times New Roman"/>
          <w:color w:val="auto"/>
          <w:sz w:val="24"/>
          <w:szCs w:val="24"/>
          <w:highlight w:val="none"/>
          <w:shd w:val="clear" w:color="auto" w:fill="FFFFFF"/>
          <w:lang w:val="en-US" w:eastAsia="zh-CN"/>
        </w:rPr>
        <w:t>乙方</w:t>
      </w:r>
      <w:r>
        <w:rPr>
          <w:rFonts w:hint="eastAsia" w:ascii="宋体" w:hAnsi="Courier New" w:eastAsia="宋体" w:cs="Times New Roman"/>
          <w:color w:val="auto"/>
          <w:sz w:val="24"/>
          <w:szCs w:val="24"/>
          <w:highlight w:val="none"/>
          <w:shd w:val="clear" w:color="auto" w:fill="FFFFFF"/>
        </w:rPr>
        <w:t>赔偿委托人损失。自逾期之日起算，每逾期一日，响应方应支付该合同总价2%的逾期违约金。</w:t>
      </w:r>
    </w:p>
    <w:p w14:paraId="59231F89">
      <w:pPr>
        <w:spacing w:line="440" w:lineRule="exact"/>
        <w:ind w:firstLine="480" w:firstLineChars="200"/>
        <w:rPr>
          <w:rFonts w:hint="eastAsia" w:ascii="宋体" w:hAnsi="Courier New" w:eastAsia="宋体" w:cs="Times New Roman"/>
          <w:color w:val="auto"/>
          <w:sz w:val="24"/>
          <w:szCs w:val="24"/>
          <w:highlight w:val="none"/>
          <w:shd w:val="clear" w:color="auto" w:fill="FFFFFF"/>
        </w:rPr>
      </w:pP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2</w:t>
      </w:r>
      <w:r>
        <w:rPr>
          <w:rFonts w:hint="eastAsia" w:ascii="宋体" w:hAnsi="Courier New" w:eastAsia="宋体" w:cs="Times New Roman"/>
          <w:color w:val="auto"/>
          <w:sz w:val="24"/>
          <w:szCs w:val="24"/>
          <w:highlight w:val="none"/>
          <w:shd w:val="clear" w:color="auto" w:fill="FFFFFF"/>
          <w:lang w:eastAsia="zh-CN"/>
        </w:rPr>
        <w:t>）</w:t>
      </w:r>
      <w:r>
        <w:rPr>
          <w:rFonts w:hint="eastAsia" w:ascii="宋体" w:hAnsi="Courier New" w:eastAsia="宋体" w:cs="Times New Roman"/>
          <w:color w:val="auto"/>
          <w:sz w:val="24"/>
          <w:szCs w:val="24"/>
          <w:highlight w:val="none"/>
          <w:shd w:val="clear" w:color="auto" w:fill="FFFFFF"/>
          <w:lang w:val="en-US" w:eastAsia="zh-CN"/>
        </w:rPr>
        <w:t>乙方</w:t>
      </w:r>
      <w:r>
        <w:rPr>
          <w:rFonts w:hint="eastAsia" w:ascii="宋体" w:hAnsi="Courier New" w:eastAsia="宋体" w:cs="Times New Roman"/>
          <w:color w:val="auto"/>
          <w:sz w:val="24"/>
          <w:szCs w:val="24"/>
          <w:highlight w:val="none"/>
          <w:shd w:val="clear" w:color="auto" w:fill="FFFFFF"/>
          <w:lang w:eastAsia="zh-CN"/>
        </w:rPr>
        <w:t>监理</w:t>
      </w:r>
      <w:r>
        <w:rPr>
          <w:rFonts w:hint="eastAsia" w:ascii="宋体" w:hAnsi="Courier New" w:eastAsia="宋体" w:cs="Times New Roman"/>
          <w:color w:val="auto"/>
          <w:sz w:val="24"/>
          <w:szCs w:val="24"/>
          <w:highlight w:val="none"/>
          <w:shd w:val="clear" w:color="auto" w:fill="FFFFFF"/>
        </w:rPr>
        <w:t>人员滥用职权、徇私舞弊、玩忽职守、泄漏机密，</w:t>
      </w:r>
      <w:r>
        <w:rPr>
          <w:rFonts w:hint="eastAsia" w:ascii="宋体" w:hAnsi="Courier New" w:eastAsia="宋体" w:cs="Times New Roman"/>
          <w:color w:val="auto"/>
          <w:sz w:val="24"/>
          <w:szCs w:val="24"/>
          <w:highlight w:val="none"/>
          <w:shd w:val="clear" w:color="auto" w:fill="FFFFFF"/>
          <w:lang w:eastAsia="zh-CN"/>
        </w:rPr>
        <w:t>造成</w:t>
      </w:r>
      <w:r>
        <w:rPr>
          <w:rFonts w:hint="eastAsia" w:ascii="宋体" w:hAnsi="Courier New" w:eastAsia="宋体" w:cs="Times New Roman"/>
          <w:color w:val="auto"/>
          <w:sz w:val="24"/>
          <w:szCs w:val="24"/>
          <w:highlight w:val="none"/>
          <w:shd w:val="clear" w:color="auto" w:fill="FFFFFF"/>
          <w:lang w:val="en-US" w:eastAsia="zh-CN"/>
        </w:rPr>
        <w:t>严重后果的</w:t>
      </w:r>
      <w:r>
        <w:rPr>
          <w:rFonts w:hint="eastAsia" w:ascii="宋体" w:hAnsi="Courier New" w:eastAsia="宋体" w:cs="Times New Roman"/>
          <w:color w:val="auto"/>
          <w:sz w:val="24"/>
          <w:szCs w:val="24"/>
          <w:highlight w:val="none"/>
          <w:shd w:val="clear" w:color="auto" w:fill="FFFFFF"/>
        </w:rPr>
        <w:t>，</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可解除合同、报送上级业务部门，依法追究其相关责任。造成</w:t>
      </w:r>
      <w:r>
        <w:rPr>
          <w:rFonts w:hint="eastAsia" w:ascii="宋体" w:hAnsi="Courier New" w:eastAsia="宋体" w:cs="Times New Roman"/>
          <w:color w:val="auto"/>
          <w:sz w:val="24"/>
          <w:szCs w:val="24"/>
          <w:highlight w:val="none"/>
          <w:shd w:val="clear" w:color="auto" w:fill="FFFFFF"/>
          <w:lang w:val="en-US" w:eastAsia="zh-CN"/>
        </w:rPr>
        <w:t>甲方</w:t>
      </w:r>
      <w:r>
        <w:rPr>
          <w:rFonts w:hint="eastAsia" w:ascii="宋体" w:hAnsi="Courier New" w:eastAsia="宋体" w:cs="Times New Roman"/>
          <w:color w:val="auto"/>
          <w:sz w:val="24"/>
          <w:szCs w:val="24"/>
          <w:highlight w:val="none"/>
          <w:shd w:val="clear" w:color="auto" w:fill="FFFFFF"/>
        </w:rPr>
        <w:t>损失的，响应方应另行承担赔偿责任。</w:t>
      </w:r>
    </w:p>
    <w:p w14:paraId="41DEAD86">
      <w:pPr>
        <w:pStyle w:val="11"/>
        <w:ind w:firstLine="566"/>
        <w:rPr>
          <w:rFonts w:hint="eastAsia" w:ascii="宋体" w:hAnsi="Courier New" w:eastAsia="宋体" w:cs="Times New Roman"/>
          <w:b w:val="0"/>
          <w:color w:val="auto"/>
          <w:kern w:val="2"/>
          <w:sz w:val="24"/>
          <w:szCs w:val="24"/>
          <w:highlight w:val="none"/>
          <w:shd w:val="clear" w:color="auto" w:fill="FFFFFF"/>
          <w:lang w:val="en-US" w:eastAsia="zh-CN" w:bidi="ar-SA"/>
        </w:rPr>
      </w:pPr>
      <w:r>
        <w:rPr>
          <w:rFonts w:hint="eastAsia"/>
          <w:b w:val="0"/>
          <w:color w:val="auto"/>
          <w:highlight w:val="none"/>
        </w:rPr>
        <w:t>5</w:t>
      </w:r>
      <w:r>
        <w:rPr>
          <w:rFonts w:hint="eastAsia" w:ascii="宋体" w:hAnsi="Courier New" w:eastAsia="宋体" w:cs="Times New Roman"/>
          <w:b w:val="0"/>
          <w:color w:val="auto"/>
          <w:kern w:val="2"/>
          <w:sz w:val="24"/>
          <w:szCs w:val="24"/>
          <w:highlight w:val="none"/>
          <w:shd w:val="clear" w:color="auto" w:fill="FFFFFF"/>
          <w:lang w:val="en-US" w:eastAsia="zh-CN" w:bidi="ar-SA"/>
        </w:rPr>
        <w:t>. 框架协议约定的其他情形。</w:t>
      </w:r>
    </w:p>
    <w:p w14:paraId="1B8288F9">
      <w:pPr>
        <w:pStyle w:val="11"/>
        <w:rPr>
          <w:snapToGrid w:val="0"/>
          <w:color w:val="auto"/>
          <w:highlight w:val="none"/>
        </w:rPr>
      </w:pPr>
      <w:r>
        <w:rPr>
          <w:rFonts w:hint="eastAsia"/>
          <w:snapToGrid w:val="0"/>
          <w:color w:val="auto"/>
          <w:highlight w:val="none"/>
        </w:rPr>
        <w:t>十六、不可抗力事件处理</w:t>
      </w:r>
    </w:p>
    <w:p w14:paraId="509A9B89">
      <w:pPr>
        <w:autoSpaceDE w:val="0"/>
        <w:autoSpaceDN w:val="0"/>
        <w:adjustRightInd w:val="0"/>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1.在合同有效期内，任何一方因不可抗力事件导致不能履行合同，则合同履行期可延长，其延长期与不可抗力影响期相同。</w:t>
      </w:r>
    </w:p>
    <w:p w14:paraId="29453B65">
      <w:pPr>
        <w:autoSpaceDE w:val="0"/>
        <w:autoSpaceDN w:val="0"/>
        <w:adjustRightInd w:val="0"/>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2.不可抗力事件发生后，应立即通知对方，并寄送有关权威机构出具的证明。</w:t>
      </w:r>
    </w:p>
    <w:p w14:paraId="1EB74971">
      <w:pPr>
        <w:autoSpaceDE w:val="0"/>
        <w:autoSpaceDN w:val="0"/>
        <w:adjustRightInd w:val="0"/>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3.不可抗力事件延续120天以上，双方应通过友好协商，确定是否继续履行合同。</w:t>
      </w:r>
    </w:p>
    <w:p w14:paraId="438B0384">
      <w:pPr>
        <w:pStyle w:val="11"/>
        <w:rPr>
          <w:snapToGrid w:val="0"/>
          <w:color w:val="auto"/>
          <w:highlight w:val="none"/>
        </w:rPr>
      </w:pPr>
      <w:r>
        <w:rPr>
          <w:rFonts w:hint="eastAsia"/>
          <w:snapToGrid w:val="0"/>
          <w:color w:val="auto"/>
          <w:highlight w:val="none"/>
        </w:rPr>
        <w:t>十七、诉讼</w:t>
      </w:r>
    </w:p>
    <w:p w14:paraId="4085DE1A">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双方在执行合同中所发生的一切争议，应通过协商解决。如协商不成，可向甲方所在地法院起诉。</w:t>
      </w:r>
    </w:p>
    <w:p w14:paraId="480E5C3E">
      <w:pPr>
        <w:pStyle w:val="11"/>
        <w:rPr>
          <w:snapToGrid w:val="0"/>
          <w:color w:val="auto"/>
          <w:highlight w:val="none"/>
        </w:rPr>
      </w:pPr>
      <w:r>
        <w:rPr>
          <w:rFonts w:hint="eastAsia"/>
          <w:snapToGrid w:val="0"/>
          <w:color w:val="auto"/>
          <w:highlight w:val="none"/>
        </w:rPr>
        <w:t>十八、协议生效及其他</w:t>
      </w:r>
    </w:p>
    <w:p w14:paraId="0E624C70">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1.协议经甲、乙双方加盖单位公章后生效。</w:t>
      </w:r>
    </w:p>
    <w:p w14:paraId="42FF28E2">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2.如有最新政策规定，甲乙双方按最新政策规定执行，不再签订补充协议。</w:t>
      </w:r>
    </w:p>
    <w:p w14:paraId="588F3518">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3.征集文件、响应文件与本协议具有同等法律效力。</w:t>
      </w:r>
    </w:p>
    <w:p w14:paraId="0938235A">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4.本协议未尽事宜，遵照《中华人民共和国民法典》有关条文执行。</w:t>
      </w:r>
    </w:p>
    <w:p w14:paraId="1A25A4FF">
      <w:pPr>
        <w:spacing w:line="360" w:lineRule="auto"/>
        <w:ind w:firstLine="480" w:firstLineChars="200"/>
        <w:rPr>
          <w:rFonts w:ascii="宋体" w:hAnsi="Courier New" w:eastAsia="宋体" w:cs="Times New Roman"/>
          <w:color w:val="auto"/>
          <w:sz w:val="24"/>
          <w:szCs w:val="24"/>
          <w:highlight w:val="none"/>
        </w:rPr>
      </w:pPr>
      <w:r>
        <w:rPr>
          <w:rFonts w:hint="eastAsia" w:ascii="宋体" w:hAnsi="Courier New" w:eastAsia="宋体" w:cs="Times New Roman"/>
          <w:color w:val="auto"/>
          <w:sz w:val="24"/>
          <w:szCs w:val="24"/>
          <w:highlight w:val="none"/>
        </w:rPr>
        <w:t>6.本协议一式两份，甲乙双方各执一份。</w:t>
      </w:r>
    </w:p>
    <w:tbl>
      <w:tblPr>
        <w:tblStyle w:val="2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6EC1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B18D4DE">
            <w:pPr>
              <w:pStyle w:val="11"/>
              <w:ind w:firstLine="566"/>
              <w:rPr>
                <w:b w:val="0"/>
                <w:snapToGrid w:val="0"/>
                <w:color w:val="auto"/>
                <w:highlight w:val="none"/>
              </w:rPr>
            </w:pPr>
            <w:r>
              <w:rPr>
                <w:rFonts w:hint="eastAsia"/>
                <w:b w:val="0"/>
                <w:snapToGrid w:val="0"/>
                <w:color w:val="auto"/>
                <w:highlight w:val="none"/>
              </w:rPr>
              <w:t xml:space="preserve">甲方（盖章）： </w:t>
            </w:r>
          </w:p>
          <w:p w14:paraId="304028B2">
            <w:pPr>
              <w:pStyle w:val="11"/>
              <w:ind w:firstLine="566"/>
              <w:rPr>
                <w:b w:val="0"/>
                <w:snapToGrid w:val="0"/>
                <w:color w:val="auto"/>
                <w:highlight w:val="none"/>
              </w:rPr>
            </w:pPr>
            <w:r>
              <w:rPr>
                <w:rFonts w:hint="eastAsia"/>
                <w:b w:val="0"/>
                <w:snapToGrid w:val="0"/>
                <w:color w:val="auto"/>
                <w:highlight w:val="none"/>
              </w:rPr>
              <w:t xml:space="preserve">地址： </w:t>
            </w:r>
          </w:p>
          <w:p w14:paraId="133B492E">
            <w:pPr>
              <w:pStyle w:val="11"/>
              <w:ind w:firstLine="566"/>
              <w:rPr>
                <w:b w:val="0"/>
                <w:snapToGrid w:val="0"/>
                <w:color w:val="auto"/>
                <w:highlight w:val="none"/>
              </w:rPr>
            </w:pPr>
            <w:r>
              <w:rPr>
                <w:rFonts w:hint="eastAsia"/>
                <w:b w:val="0"/>
                <w:snapToGrid w:val="0"/>
                <w:color w:val="auto"/>
                <w:highlight w:val="none"/>
              </w:rPr>
              <w:t xml:space="preserve">法定（授权）代表人： </w:t>
            </w:r>
          </w:p>
          <w:p w14:paraId="41BCE00E">
            <w:pPr>
              <w:pStyle w:val="11"/>
              <w:ind w:firstLine="566"/>
              <w:rPr>
                <w:b w:val="0"/>
                <w:snapToGrid w:val="0"/>
                <w:color w:val="auto"/>
                <w:highlight w:val="none"/>
              </w:rPr>
            </w:pPr>
            <w:r>
              <w:rPr>
                <w:rFonts w:hint="eastAsia"/>
                <w:b w:val="0"/>
                <w:snapToGrid w:val="0"/>
                <w:color w:val="auto"/>
                <w:highlight w:val="none"/>
              </w:rPr>
              <w:t>签名日期：     年   月   日</w:t>
            </w:r>
          </w:p>
        </w:tc>
        <w:tc>
          <w:tcPr>
            <w:tcW w:w="4261" w:type="dxa"/>
          </w:tcPr>
          <w:p w14:paraId="63A424EB">
            <w:pPr>
              <w:pStyle w:val="11"/>
              <w:ind w:firstLine="566"/>
              <w:rPr>
                <w:b w:val="0"/>
                <w:snapToGrid w:val="0"/>
                <w:color w:val="auto"/>
                <w:highlight w:val="none"/>
              </w:rPr>
            </w:pPr>
            <w:r>
              <w:rPr>
                <w:rFonts w:hint="eastAsia"/>
                <w:b w:val="0"/>
                <w:snapToGrid w:val="0"/>
                <w:color w:val="auto"/>
                <w:highlight w:val="none"/>
              </w:rPr>
              <w:t>乙方（盖章）：</w:t>
            </w:r>
          </w:p>
          <w:p w14:paraId="45EB2310">
            <w:pPr>
              <w:pStyle w:val="11"/>
              <w:ind w:firstLine="566"/>
              <w:rPr>
                <w:b w:val="0"/>
                <w:snapToGrid w:val="0"/>
                <w:color w:val="auto"/>
                <w:highlight w:val="none"/>
              </w:rPr>
            </w:pPr>
            <w:r>
              <w:rPr>
                <w:rFonts w:hint="eastAsia"/>
                <w:b w:val="0"/>
                <w:snapToGrid w:val="0"/>
                <w:color w:val="auto"/>
                <w:highlight w:val="none"/>
              </w:rPr>
              <w:t xml:space="preserve">地址： </w:t>
            </w:r>
          </w:p>
          <w:p w14:paraId="14A14007">
            <w:pPr>
              <w:pStyle w:val="11"/>
              <w:ind w:firstLine="566"/>
              <w:rPr>
                <w:b w:val="0"/>
                <w:snapToGrid w:val="0"/>
                <w:color w:val="auto"/>
                <w:highlight w:val="none"/>
              </w:rPr>
            </w:pPr>
            <w:r>
              <w:rPr>
                <w:rFonts w:hint="eastAsia"/>
                <w:b w:val="0"/>
                <w:snapToGrid w:val="0"/>
                <w:color w:val="auto"/>
                <w:highlight w:val="none"/>
              </w:rPr>
              <w:t>法定（授权）代表人：</w:t>
            </w:r>
          </w:p>
          <w:p w14:paraId="58EA7B69">
            <w:pPr>
              <w:pStyle w:val="11"/>
              <w:ind w:firstLine="566"/>
              <w:rPr>
                <w:b w:val="0"/>
                <w:snapToGrid w:val="0"/>
                <w:color w:val="auto"/>
                <w:highlight w:val="none"/>
              </w:rPr>
            </w:pPr>
            <w:r>
              <w:rPr>
                <w:rFonts w:hint="eastAsia"/>
                <w:b w:val="0"/>
                <w:snapToGrid w:val="0"/>
                <w:color w:val="auto"/>
                <w:highlight w:val="none"/>
              </w:rPr>
              <w:t>签名日期：     年   月   日</w:t>
            </w:r>
          </w:p>
        </w:tc>
      </w:tr>
    </w:tbl>
    <w:p w14:paraId="040917A2">
      <w:pPr>
        <w:spacing w:line="520" w:lineRule="exact"/>
        <w:ind w:firstLine="567" w:firstLineChars="189"/>
        <w:rPr>
          <w:rFonts w:ascii="仿宋" w:hAnsi="仿宋" w:eastAsia="仿宋"/>
          <w:color w:val="auto"/>
          <w:sz w:val="30"/>
          <w:szCs w:val="30"/>
          <w:highlight w:val="none"/>
        </w:rPr>
      </w:pPr>
    </w:p>
    <w:p w14:paraId="06736B9F">
      <w:pPr>
        <w:spacing w:line="520" w:lineRule="exact"/>
        <w:ind w:firstLine="567" w:firstLineChars="189"/>
        <w:rPr>
          <w:rFonts w:ascii="仿宋" w:hAnsi="仿宋" w:eastAsia="仿宋"/>
          <w:color w:val="auto"/>
          <w:sz w:val="30"/>
          <w:szCs w:val="30"/>
          <w:highlight w:val="none"/>
        </w:rPr>
      </w:pPr>
    </w:p>
    <w:p w14:paraId="683CD7AD">
      <w:pPr>
        <w:pStyle w:val="11"/>
        <w:rPr>
          <w:color w:val="auto"/>
          <w:highlight w:val="none"/>
        </w:rPr>
        <w:sectPr>
          <w:pgSz w:w="11906" w:h="16838"/>
          <w:pgMar w:top="1440" w:right="1800" w:bottom="1440" w:left="1800" w:header="851" w:footer="992" w:gutter="0"/>
          <w:cols w:space="425" w:num="1"/>
          <w:docGrid w:type="lines" w:linePitch="312" w:charSpace="0"/>
        </w:sectPr>
      </w:pPr>
    </w:p>
    <w:p w14:paraId="38480D28">
      <w:pPr>
        <w:pStyle w:val="3"/>
        <w:spacing w:before="0" w:after="0" w:line="360" w:lineRule="auto"/>
        <w:ind w:firstLine="424" w:firstLineChars="151"/>
        <w:jc w:val="center"/>
        <w:rPr>
          <w:color w:val="auto"/>
          <w:sz w:val="28"/>
          <w:highlight w:val="none"/>
        </w:rPr>
      </w:pPr>
      <w:r>
        <w:rPr>
          <w:rFonts w:hint="eastAsia"/>
          <w:color w:val="auto"/>
          <w:sz w:val="28"/>
          <w:highlight w:val="none"/>
          <w:lang w:val="en-US" w:eastAsia="zh-CN"/>
        </w:rPr>
        <w:t>采购</w:t>
      </w:r>
      <w:r>
        <w:rPr>
          <w:rFonts w:hint="eastAsia"/>
          <w:color w:val="auto"/>
          <w:sz w:val="28"/>
          <w:highlight w:val="none"/>
        </w:rPr>
        <w:t>合同文本</w:t>
      </w:r>
    </w:p>
    <w:p w14:paraId="19963D24">
      <w:pPr>
        <w:tabs>
          <w:tab w:val="left" w:pos="1995"/>
        </w:tabs>
        <w:ind w:left="210" w:leftChars="100"/>
        <w:rPr>
          <w:rFonts w:hint="eastAsia" w:ascii="宋体" w:hAnsi="宋体" w:eastAsia="宋体" w:cs="宋体"/>
          <w:b/>
          <w:bCs/>
          <w:color w:val="auto"/>
          <w:sz w:val="24"/>
          <w:szCs w:val="24"/>
          <w:highlight w:val="none"/>
        </w:rPr>
      </w:pPr>
    </w:p>
    <w:p w14:paraId="1D790354">
      <w:pPr>
        <w:tabs>
          <w:tab w:val="left" w:pos="1995"/>
        </w:tabs>
        <w:ind w:left="210" w:left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监理合同</w:t>
      </w:r>
    </w:p>
    <w:p w14:paraId="22694A60">
      <w:pPr>
        <w:tabs>
          <w:tab w:val="left" w:pos="1995"/>
        </w:tabs>
        <w:ind w:left="210" w:leftChars="100"/>
        <w:jc w:val="center"/>
        <w:rPr>
          <w:rFonts w:hint="eastAsia" w:ascii="宋体" w:hAnsi="宋体" w:eastAsia="宋体" w:cs="宋体"/>
          <w:b/>
          <w:bCs/>
          <w:color w:val="auto"/>
          <w:sz w:val="24"/>
          <w:szCs w:val="24"/>
          <w:highlight w:val="none"/>
        </w:rPr>
      </w:pPr>
    </w:p>
    <w:p w14:paraId="6E5B0525">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委托人</w:t>
      </w:r>
      <w:r>
        <w:rPr>
          <w:rFonts w:hint="eastAsia" w:ascii="宋体" w:hAnsi="宋体" w:eastAsia="宋体" w:cs="宋体"/>
          <w:color w:val="auto"/>
          <w:sz w:val="24"/>
          <w:szCs w:val="24"/>
          <w:highlight w:val="none"/>
          <w:u w:val="single"/>
          <w:lang w:val="en-US" w:eastAsia="zh-CN"/>
        </w:rPr>
        <w:t>浦江龙耀交通资源投资有限公司</w:t>
      </w:r>
      <w:r>
        <w:rPr>
          <w:rFonts w:hint="eastAsia" w:ascii="宋体" w:hAnsi="宋体" w:eastAsia="宋体" w:cs="宋体"/>
          <w:color w:val="auto"/>
          <w:sz w:val="24"/>
          <w:szCs w:val="24"/>
          <w:highlight w:val="none"/>
          <w:u w:val="none"/>
        </w:rPr>
        <w:t>与监理人</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经双方协商一致，签订本合同。</w:t>
      </w:r>
    </w:p>
    <w:p w14:paraId="65BC3235">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一、委托人委托监理人监理的工程（以下简称“本工程”）概况如下：</w:t>
      </w:r>
    </w:p>
    <w:p w14:paraId="39240001">
      <w:pPr>
        <w:spacing w:line="600" w:lineRule="exact"/>
        <w:ind w:firstLine="240" w:firstLine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工程名称：</w:t>
      </w:r>
      <w:r>
        <w:rPr>
          <w:rFonts w:hint="eastAsia" w:ascii="宋体" w:hAnsi="宋体" w:eastAsia="宋体" w:cs="宋体"/>
          <w:color w:val="auto"/>
          <w:sz w:val="24"/>
          <w:szCs w:val="24"/>
          <w:highlight w:val="none"/>
          <w:u w:val="single"/>
          <w:lang w:val="en-US" w:eastAsia="zh-CN"/>
        </w:rPr>
        <w:t xml:space="preserve">                              </w:t>
      </w:r>
    </w:p>
    <w:p w14:paraId="3571CA99">
      <w:pPr>
        <w:spacing w:line="600" w:lineRule="exact"/>
        <w:ind w:left="1439" w:leftChars="114" w:hanging="1200" w:hangingChars="5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工程地点：</w:t>
      </w:r>
      <w:r>
        <w:rPr>
          <w:rFonts w:hint="eastAsia" w:ascii="宋体" w:hAnsi="宋体" w:eastAsia="宋体" w:cs="宋体"/>
          <w:color w:val="auto"/>
          <w:sz w:val="24"/>
          <w:szCs w:val="24"/>
          <w:highlight w:val="none"/>
          <w:u w:val="single"/>
          <w:lang w:val="en-US" w:eastAsia="zh-CN"/>
        </w:rPr>
        <w:t xml:space="preserve">                              </w:t>
      </w:r>
    </w:p>
    <w:p w14:paraId="52969688">
      <w:pPr>
        <w:spacing w:line="60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监理服务期：</w:t>
      </w:r>
      <w:r>
        <w:rPr>
          <w:rFonts w:hint="eastAsia" w:ascii="宋体" w:hAnsi="宋体" w:eastAsia="宋体" w:cs="宋体"/>
          <w:color w:val="auto"/>
          <w:sz w:val="24"/>
          <w:szCs w:val="24"/>
          <w:highlight w:val="none"/>
          <w:u w:val="single"/>
          <w:lang w:val="en-US" w:eastAsia="zh-CN"/>
        </w:rPr>
        <w:t xml:space="preserve">          </w:t>
      </w:r>
    </w:p>
    <w:p w14:paraId="688C10BC">
      <w:pPr>
        <w:spacing w:line="600" w:lineRule="exact"/>
        <w:ind w:firstLine="240" w:firstLine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工程规模：</w:t>
      </w:r>
      <w:r>
        <w:rPr>
          <w:rFonts w:hint="eastAsia" w:ascii="宋体" w:hAnsi="宋体" w:eastAsia="宋体" w:cs="宋体"/>
          <w:color w:val="auto"/>
          <w:sz w:val="24"/>
          <w:szCs w:val="24"/>
          <w:highlight w:val="none"/>
          <w:u w:val="single"/>
          <w:lang w:val="en-US" w:eastAsia="zh-CN"/>
        </w:rPr>
        <w:t xml:space="preserve">          </w:t>
      </w:r>
    </w:p>
    <w:p w14:paraId="5156A389">
      <w:pPr>
        <w:spacing w:line="600" w:lineRule="exact"/>
        <w:ind w:firstLine="240" w:firstLineChars="1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监理范围：</w:t>
      </w:r>
      <w:r>
        <w:rPr>
          <w:rFonts w:hint="eastAsia" w:ascii="宋体" w:hAnsi="宋体" w:eastAsia="宋体" w:cs="宋体"/>
          <w:color w:val="auto"/>
          <w:sz w:val="24"/>
          <w:szCs w:val="24"/>
          <w:highlight w:val="none"/>
          <w:u w:val="single"/>
          <w:lang w:val="en-US" w:eastAsia="zh-CN"/>
        </w:rPr>
        <w:t xml:space="preserve">                 施工过程中的</w:t>
      </w:r>
      <w:r>
        <w:rPr>
          <w:rFonts w:hint="eastAsia" w:ascii="宋体" w:hAnsi="宋体" w:eastAsia="宋体" w:cs="宋体"/>
          <w:color w:val="auto"/>
          <w:sz w:val="24"/>
          <w:szCs w:val="24"/>
          <w:highlight w:val="none"/>
          <w:u w:val="single"/>
        </w:rPr>
        <w:t>“三控、两管、一协调”及安全监理等。</w:t>
      </w:r>
    </w:p>
    <w:p w14:paraId="744B17A4">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合同价款金额（人民币大写）：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3DAEFF9">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二、本合同中的有关词语含义与本合同第二部分《标准文件》中赋予它们的定义相同。</w:t>
      </w:r>
    </w:p>
    <w:p w14:paraId="55BEA6B9">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三、下列文件均为本合同的组成部分：</w:t>
      </w:r>
    </w:p>
    <w:p w14:paraId="1F6EEB7C">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监理投标书、中标通知书（如有）；</w:t>
      </w:r>
    </w:p>
    <w:p w14:paraId="12CDD808">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本合同标准条件；</w:t>
      </w:r>
    </w:p>
    <w:p w14:paraId="201F8FF7">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本合同专用条件；</w:t>
      </w:r>
    </w:p>
    <w:p w14:paraId="75FC3866">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在实施过程中双方共同签署的补充与修正文件。</w:t>
      </w:r>
    </w:p>
    <w:p w14:paraId="244BF5D8">
      <w:pPr>
        <w:spacing w:line="600" w:lineRule="exact"/>
        <w:ind w:left="480" w:hanging="480" w:hanging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四、监理人向委托人承诺，按照本合同的规定，承担本合同专用条件中议定范围内的监理业务。</w:t>
      </w:r>
    </w:p>
    <w:p w14:paraId="183D4A64">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五、委托人向监理人承诺按照本合同注明的期限、方式、币种,向监理人支付报酬。</w:t>
      </w:r>
    </w:p>
    <w:p w14:paraId="4BCBA431">
      <w:pPr>
        <w:spacing w:line="600" w:lineRule="exact"/>
        <w:ind w:firstLine="480" w:firstLineChars="200"/>
        <w:rPr>
          <w:rFonts w:hint="eastAsia" w:ascii="宋体" w:hAnsi="宋体" w:eastAsia="宋体" w:cs="宋体"/>
          <w:color w:val="auto"/>
          <w:spacing w:val="-6"/>
          <w:kern w:val="28"/>
          <w:sz w:val="24"/>
          <w:szCs w:val="24"/>
          <w:highlight w:val="none"/>
        </w:rPr>
      </w:pPr>
      <w:r>
        <w:rPr>
          <w:rFonts w:hint="eastAsia" w:ascii="宋体" w:hAnsi="宋体" w:eastAsia="宋体" w:cs="宋体"/>
          <w:color w:val="auto"/>
          <w:sz w:val="24"/>
          <w:szCs w:val="24"/>
          <w:highlight w:val="none"/>
          <w:u w:val="none"/>
        </w:rPr>
        <w:t>本合同自 年 月 日开始实施（具体以开工报告批复的开工时间为准），</w:t>
      </w:r>
    </w:p>
    <w:p w14:paraId="7C979856">
      <w:pPr>
        <w:spacing w:line="220" w:lineRule="atLeast"/>
        <w:rPr>
          <w:rFonts w:hint="eastAsia" w:ascii="宋体" w:hAnsi="宋体" w:eastAsia="宋体" w:cs="宋体"/>
          <w:color w:val="auto"/>
          <w:spacing w:val="-6"/>
          <w:kern w:val="28"/>
          <w:sz w:val="24"/>
          <w:szCs w:val="24"/>
          <w:highlight w:val="none"/>
        </w:rPr>
      </w:pPr>
    </w:p>
    <w:p w14:paraId="229BD491">
      <w:pPr>
        <w:spacing w:line="220" w:lineRule="atLeast"/>
        <w:ind w:firstLine="456" w:firstLineChars="200"/>
        <w:rPr>
          <w:rFonts w:hint="eastAsia" w:ascii="宋体" w:hAnsi="宋体" w:eastAsia="宋体" w:cs="宋体"/>
          <w:color w:val="auto"/>
          <w:spacing w:val="-6"/>
          <w:kern w:val="28"/>
          <w:sz w:val="24"/>
          <w:szCs w:val="24"/>
          <w:highlight w:val="none"/>
        </w:rPr>
      </w:pPr>
      <w:r>
        <w:rPr>
          <w:rFonts w:hint="eastAsia" w:ascii="宋体" w:hAnsi="宋体" w:eastAsia="宋体" w:cs="宋体"/>
          <w:color w:val="auto"/>
          <w:spacing w:val="-6"/>
          <w:kern w:val="28"/>
          <w:sz w:val="24"/>
          <w:szCs w:val="24"/>
          <w:highlight w:val="none"/>
        </w:rPr>
        <w:t>本合同一式</w:t>
      </w:r>
      <w:r>
        <w:rPr>
          <w:rFonts w:hint="eastAsia" w:ascii="宋体" w:hAnsi="宋体" w:eastAsia="宋体" w:cs="宋体"/>
          <w:color w:val="auto"/>
          <w:sz w:val="24"/>
          <w:szCs w:val="24"/>
          <w:highlight w:val="none"/>
        </w:rPr>
        <w:t>十份，各执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份。招标代理存档壹份。</w:t>
      </w:r>
    </w:p>
    <w:p w14:paraId="0C282B8E">
      <w:pPr>
        <w:spacing w:line="220" w:lineRule="atLeast"/>
        <w:ind w:firstLine="480" w:firstLineChars="200"/>
        <w:rPr>
          <w:rFonts w:hint="eastAsia" w:ascii="宋体" w:hAnsi="宋体" w:eastAsia="宋体" w:cs="宋体"/>
          <w:color w:val="auto"/>
          <w:kern w:val="28"/>
          <w:sz w:val="24"/>
          <w:szCs w:val="24"/>
          <w:highlight w:val="none"/>
        </w:rPr>
      </w:pPr>
    </w:p>
    <w:p w14:paraId="15586800">
      <w:pPr>
        <w:spacing w:line="400" w:lineRule="exact"/>
        <w:ind w:left="6720" w:hanging="6720" w:hangingChars="2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u w:val="single"/>
          <w:lang w:val="en-US" w:eastAsia="zh-CN"/>
        </w:rPr>
        <w:t>浦江龙耀交通资源投资有限公司</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监理人：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（盖章）</w:t>
      </w:r>
    </w:p>
    <w:p w14:paraId="7DBB0929">
      <w:pPr>
        <w:spacing w:line="400" w:lineRule="exact"/>
        <w:ind w:left="149" w:leftChars="71" w:firstLine="2188" w:firstLineChars="9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131DBD5">
      <w:pPr>
        <w:spacing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eastAsia="zh-CN"/>
        </w:rPr>
        <w:t>字、盖章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eastAsia="zh-CN"/>
        </w:rPr>
        <w:t>字、盖章</w:t>
      </w:r>
      <w:r>
        <w:rPr>
          <w:rFonts w:hint="eastAsia" w:ascii="宋体" w:hAnsi="宋体" w:eastAsia="宋体" w:cs="宋体"/>
          <w:color w:val="auto"/>
          <w:sz w:val="24"/>
          <w:szCs w:val="24"/>
          <w:highlight w:val="none"/>
          <w:u w:val="single"/>
        </w:rPr>
        <w:t>）</w:t>
      </w:r>
    </w:p>
    <w:p w14:paraId="6990D886">
      <w:pPr>
        <w:spacing w:line="60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或授权代表人：</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eastAsia="zh-CN"/>
        </w:rPr>
        <w:t>字、盖章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或授权代表人：</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eastAsia="zh-CN"/>
        </w:rPr>
        <w:t>字、盖章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lang w:val="en-US" w:eastAsia="zh-CN"/>
        </w:rPr>
        <w:t xml:space="preserve">                            </w:t>
      </w:r>
    </w:p>
    <w:p w14:paraId="071715FB">
      <w:pPr>
        <w:spacing w:line="6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0EF1350">
      <w:pPr>
        <w:spacing w:line="60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lang w:val="en-US" w:eastAsia="zh-CN"/>
        </w:rPr>
        <w:t xml:space="preserve">                          </w:t>
      </w:r>
    </w:p>
    <w:p w14:paraId="4DE03853">
      <w:pPr>
        <w:spacing w:line="6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67844BA">
      <w:pPr>
        <w:spacing w:line="6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5932A54">
      <w:pPr>
        <w:spacing w:line="60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lang w:val="en-US" w:eastAsia="zh-CN"/>
        </w:rPr>
        <w:t xml:space="preserve">                        </w:t>
      </w:r>
    </w:p>
    <w:p w14:paraId="32AC6E0E">
      <w:pPr>
        <w:spacing w:line="600" w:lineRule="exact"/>
        <w:outlineLvl w:val="0"/>
        <w:rPr>
          <w:rFonts w:hint="eastAsia" w:ascii="宋体" w:hAnsi="宋体" w:eastAsia="宋体" w:cs="宋体"/>
          <w:color w:val="auto"/>
          <w:sz w:val="24"/>
          <w:szCs w:val="24"/>
          <w:highlight w:val="none"/>
          <w:u w:val="single"/>
          <w:lang w:val="en-US" w:eastAsia="zh-CN"/>
        </w:rPr>
      </w:pPr>
      <w:bookmarkStart w:id="22" w:name="_Toc16943"/>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帐    号：</w:t>
      </w:r>
      <w:bookmarkEnd w:id="22"/>
      <w:r>
        <w:rPr>
          <w:rFonts w:hint="eastAsia" w:ascii="宋体" w:hAnsi="宋体" w:eastAsia="宋体" w:cs="宋体"/>
          <w:color w:val="auto"/>
          <w:sz w:val="24"/>
          <w:szCs w:val="24"/>
          <w:highlight w:val="none"/>
          <w:u w:val="single"/>
          <w:lang w:val="en-US" w:eastAsia="zh-CN"/>
        </w:rPr>
        <w:t xml:space="preserve">                        </w:t>
      </w:r>
    </w:p>
    <w:p w14:paraId="51697B4D">
      <w:pPr>
        <w:spacing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46023308">
      <w:pPr>
        <w:spacing w:line="600" w:lineRule="exact"/>
        <w:rPr>
          <w:rFonts w:hint="eastAsia" w:ascii="宋体" w:hAnsi="宋体" w:eastAsia="宋体" w:cs="宋体"/>
          <w:bCs/>
          <w:color w:val="auto"/>
          <w:sz w:val="24"/>
          <w:szCs w:val="24"/>
          <w:highlight w:val="none"/>
        </w:rPr>
        <w:sectPr>
          <w:footerReference r:id="rId12" w:type="first"/>
          <w:headerReference r:id="rId9" w:type="default"/>
          <w:footerReference r:id="rId10" w:type="default"/>
          <w:footerReference r:id="rId11" w:type="even"/>
          <w:pgSz w:w="11906" w:h="16838"/>
          <w:pgMar w:top="1418" w:right="1286" w:bottom="1418" w:left="141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p>
    <w:p w14:paraId="51099D44">
      <w:pPr>
        <w:tabs>
          <w:tab w:val="left" w:pos="1995"/>
        </w:tabs>
        <w:rPr>
          <w:rFonts w:hint="eastAsia" w:ascii="宋体" w:hAnsi="宋体" w:eastAsia="宋体" w:cs="宋体"/>
          <w:color w:val="auto"/>
          <w:sz w:val="24"/>
          <w:szCs w:val="24"/>
          <w:highlight w:val="none"/>
        </w:rPr>
      </w:pPr>
    </w:p>
    <w:p w14:paraId="21FA16DD">
      <w:pPr>
        <w:tabs>
          <w:tab w:val="left" w:pos="1995"/>
        </w:tabs>
        <w:rPr>
          <w:rFonts w:hint="eastAsia" w:ascii="宋体" w:hAnsi="宋体" w:eastAsia="宋体" w:cs="宋体"/>
          <w:color w:val="auto"/>
          <w:sz w:val="24"/>
          <w:szCs w:val="24"/>
          <w:highlight w:val="none"/>
        </w:rPr>
      </w:pPr>
    </w:p>
    <w:p w14:paraId="0A440296">
      <w:pPr>
        <w:tabs>
          <w:tab w:val="left" w:pos="1995"/>
        </w:tabs>
        <w:ind w:left="21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标准文件</w:t>
      </w:r>
    </w:p>
    <w:p w14:paraId="1021895D">
      <w:pPr>
        <w:tabs>
          <w:tab w:val="left" w:pos="1995"/>
        </w:tabs>
        <w:ind w:left="210"/>
        <w:jc w:val="center"/>
        <w:rPr>
          <w:rFonts w:hint="eastAsia" w:ascii="宋体" w:hAnsi="宋体" w:eastAsia="宋体" w:cs="宋体"/>
          <w:b/>
          <w:bCs/>
          <w:color w:val="auto"/>
          <w:sz w:val="24"/>
          <w:szCs w:val="24"/>
          <w:highlight w:val="none"/>
        </w:rPr>
      </w:pPr>
    </w:p>
    <w:p w14:paraId="20D87068">
      <w:pPr>
        <w:tabs>
          <w:tab w:val="left" w:pos="1995"/>
        </w:tabs>
        <w:spacing w:line="440" w:lineRule="exact"/>
        <w:ind w:left="21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第一节</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词语定义、适用范围和法规</w:t>
      </w:r>
    </w:p>
    <w:p w14:paraId="5C368B28">
      <w:pPr>
        <w:tabs>
          <w:tab w:val="left" w:pos="1995"/>
        </w:tabs>
        <w:spacing w:line="500" w:lineRule="exact"/>
        <w:ind w:left="210"/>
        <w:jc w:val="center"/>
        <w:rPr>
          <w:rFonts w:hint="eastAsia" w:ascii="宋体" w:hAnsi="宋体" w:eastAsia="宋体" w:cs="宋体"/>
          <w:color w:val="auto"/>
          <w:sz w:val="24"/>
          <w:szCs w:val="24"/>
          <w:highlight w:val="none"/>
        </w:rPr>
      </w:pPr>
    </w:p>
    <w:p w14:paraId="6790FF28">
      <w:pPr>
        <w:tabs>
          <w:tab w:val="left" w:pos="1995"/>
        </w:tabs>
        <w:spacing w:line="500" w:lineRule="exact"/>
        <w:ind w:left="563" w:leftChars="26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第一条 </w:t>
      </w:r>
      <w:r>
        <w:rPr>
          <w:rFonts w:hint="eastAsia" w:ascii="宋体" w:hAnsi="宋体" w:eastAsia="宋体" w:cs="宋体"/>
          <w:color w:val="auto"/>
          <w:sz w:val="24"/>
          <w:szCs w:val="24"/>
          <w:highlight w:val="none"/>
        </w:rPr>
        <w:t>下列名词和用语，除上下文另有规定外，有如下含义：（1）“工程”是指委托实施监理的工程。</w:t>
      </w:r>
    </w:p>
    <w:p w14:paraId="0ACF5F39">
      <w:pPr>
        <w:tabs>
          <w:tab w:val="left" w:pos="1995"/>
        </w:tabs>
        <w:spacing w:line="500" w:lineRule="exact"/>
        <w:ind w:firstLine="480" w:firstLineChars="200"/>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2"/>
          <w:sz w:val="24"/>
          <w:szCs w:val="24"/>
          <w:highlight w:val="none"/>
        </w:rPr>
        <w:t>委托人”是指承担直接投资责任和委托监理业务的一方以及其合法继承人。</w:t>
      </w:r>
    </w:p>
    <w:p w14:paraId="66C5AC87">
      <w:pPr>
        <w:tabs>
          <w:tab w:val="left" w:pos="1995"/>
        </w:tabs>
        <w:spacing w:line="500" w:lineRule="exact"/>
        <w:ind w:firstLine="48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10"/>
          <w:sz w:val="24"/>
          <w:szCs w:val="24"/>
          <w:highlight w:val="none"/>
        </w:rPr>
        <w:t>“监理人”是指承担监理业务和监理责任的一方，以及其合法继承人。</w:t>
      </w:r>
    </w:p>
    <w:p w14:paraId="4362AF83">
      <w:pPr>
        <w:tabs>
          <w:tab w:val="left" w:pos="1995"/>
        </w:tabs>
        <w:spacing w:line="500" w:lineRule="exact"/>
        <w:ind w:firstLine="480" w:firstLineChars="200"/>
        <w:rPr>
          <w:rFonts w:hint="eastAsia" w:ascii="宋体" w:hAnsi="宋体" w:eastAsia="宋体" w:cs="宋体"/>
          <w:color w:val="auto"/>
          <w:spacing w:val="-16"/>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16"/>
          <w:sz w:val="24"/>
          <w:szCs w:val="24"/>
          <w:highlight w:val="none"/>
        </w:rPr>
        <w:t>监理机构”是指监理人派驻本工程现场实施监理业务的组织。</w:t>
      </w:r>
    </w:p>
    <w:p w14:paraId="4385C744">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16"/>
          <w:sz w:val="24"/>
          <w:szCs w:val="24"/>
          <w:highlight w:val="none"/>
        </w:rPr>
        <w:t>“总监理工程师”是指经委托人同意，监理人派驻到监理机构全面履行本合同的全权负责人。</w:t>
      </w:r>
    </w:p>
    <w:p w14:paraId="7A13D965">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10"/>
          <w:sz w:val="24"/>
          <w:szCs w:val="24"/>
          <w:highlight w:val="none"/>
        </w:rPr>
        <w:t>“承包人”是指除监理人以外，委托人就工程建设有关事宜签订合同的当事人。</w:t>
      </w:r>
    </w:p>
    <w:p w14:paraId="72021971">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pacing w:val="-10"/>
          <w:sz w:val="24"/>
          <w:szCs w:val="24"/>
          <w:highlight w:val="none"/>
        </w:rPr>
        <w:t>“工程监理的正常工作”是指双方在专用条件中约定，委托人委托的监理工作范围和内容。</w:t>
      </w:r>
    </w:p>
    <w:p w14:paraId="1180DDB5">
      <w:pPr>
        <w:tabs>
          <w:tab w:val="left" w:pos="1995"/>
        </w:tabs>
        <w:spacing w:line="500" w:lineRule="exact"/>
        <w:ind w:firstLine="480"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8"/>
          <w:sz w:val="24"/>
          <w:szCs w:val="24"/>
          <w:highlight w:val="none"/>
        </w:rPr>
        <w:t>“工程监理的附加工作”是指：①委托人委托监理范围以外，通过双方书面协议另外增加的工作内容；②由于委托人或承包人原因，使监理工作受到阻碍或延误，因增加工作量或持续时间而增加的工作。</w:t>
      </w:r>
    </w:p>
    <w:p w14:paraId="4448BE36">
      <w:pPr>
        <w:tabs>
          <w:tab w:val="left" w:pos="1995"/>
        </w:tabs>
        <w:spacing w:line="500" w:lineRule="exact"/>
        <w:ind w:firstLine="480" w:firstLineChars="200"/>
        <w:rPr>
          <w:rFonts w:hint="eastAsia" w:ascii="宋体" w:hAnsi="宋体" w:eastAsia="宋体" w:cs="宋体"/>
          <w:color w:val="auto"/>
          <w:spacing w:val="-9"/>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10"/>
          <w:sz w:val="24"/>
          <w:szCs w:val="24"/>
          <w:highlight w:val="none"/>
        </w:rPr>
        <w:t>“工程监理的额外工作”是指正常工作和附加工作以外，或非</w:t>
      </w:r>
      <w:r>
        <w:rPr>
          <w:rFonts w:hint="eastAsia" w:ascii="宋体" w:hAnsi="宋体" w:eastAsia="宋体" w:cs="宋体"/>
          <w:color w:val="auto"/>
          <w:spacing w:val="-9"/>
          <w:sz w:val="24"/>
          <w:szCs w:val="24"/>
          <w:highlight w:val="none"/>
        </w:rPr>
        <w:t>监</w:t>
      </w:r>
      <w:r>
        <w:rPr>
          <w:rFonts w:hint="eastAsia" w:ascii="宋体" w:hAnsi="宋体" w:eastAsia="宋体" w:cs="宋体"/>
          <w:color w:val="auto"/>
          <w:spacing w:val="-8"/>
          <w:sz w:val="24"/>
          <w:szCs w:val="24"/>
          <w:highlight w:val="none"/>
        </w:rPr>
        <w:t>理人自己的原因而暂停或终止监理业务，其善后工作及恢复监理业务的工</w:t>
      </w:r>
      <w:r>
        <w:rPr>
          <w:rFonts w:hint="eastAsia" w:ascii="宋体" w:hAnsi="宋体" w:eastAsia="宋体" w:cs="宋体"/>
          <w:color w:val="auto"/>
          <w:spacing w:val="-9"/>
          <w:sz w:val="24"/>
          <w:szCs w:val="24"/>
          <w:highlight w:val="none"/>
        </w:rPr>
        <w:t>作。</w:t>
      </w:r>
    </w:p>
    <w:p w14:paraId="26DB00B9">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8"/>
          <w:sz w:val="24"/>
          <w:szCs w:val="24"/>
          <w:highlight w:val="none"/>
        </w:rPr>
        <w:t>“日”是指任何一天零时至第二天零时的时间段。</w:t>
      </w:r>
    </w:p>
    <w:p w14:paraId="3270ADE7">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pacing w:val="-8"/>
          <w:sz w:val="24"/>
          <w:szCs w:val="24"/>
          <w:highlight w:val="none"/>
        </w:rPr>
        <w:t>“月”是指根据公历从一个月份中任何一天开始到下一个月相应日期的前一天的时间段。</w:t>
      </w:r>
    </w:p>
    <w:p w14:paraId="27F94DD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第二条  </w:t>
      </w:r>
      <w:r>
        <w:rPr>
          <w:rFonts w:hint="eastAsia" w:ascii="宋体" w:hAnsi="宋体" w:eastAsia="宋体" w:cs="宋体"/>
          <w:color w:val="auto"/>
          <w:spacing w:val="-8"/>
          <w:sz w:val="24"/>
          <w:szCs w:val="24"/>
          <w:highlight w:val="none"/>
        </w:rPr>
        <w:t>建设工程委托监理合同适用的法律是指国家的法律、行政法规，以及专用条件中议定的部门规章或工程所在地的地方法规、地方规章。</w:t>
      </w:r>
    </w:p>
    <w:p w14:paraId="006B6051">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第三条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本合同文件使用汉语语言文字书写、解释和说明。如专用条件约定使用两种以上（含两种）语言文字时，汉语为解释和说明本合同的标准语言文字。</w:t>
      </w:r>
    </w:p>
    <w:p w14:paraId="7B062598">
      <w:pPr>
        <w:tabs>
          <w:tab w:val="left" w:pos="1995"/>
        </w:tabs>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监理人义务</w:t>
      </w:r>
    </w:p>
    <w:p w14:paraId="6F539925">
      <w:pPr>
        <w:tabs>
          <w:tab w:val="left" w:pos="1995"/>
        </w:tabs>
        <w:spacing w:line="500" w:lineRule="exact"/>
        <w:jc w:val="center"/>
        <w:rPr>
          <w:rFonts w:hint="eastAsia" w:ascii="宋体" w:hAnsi="宋体" w:eastAsia="宋体" w:cs="宋体"/>
          <w:b/>
          <w:bCs/>
          <w:color w:val="auto"/>
          <w:sz w:val="24"/>
          <w:szCs w:val="24"/>
          <w:highlight w:val="none"/>
        </w:rPr>
      </w:pPr>
    </w:p>
    <w:p w14:paraId="7D036C71">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color w:val="auto"/>
          <w:spacing w:val="-8"/>
          <w:sz w:val="24"/>
          <w:szCs w:val="24"/>
          <w:highlight w:val="none"/>
        </w:rPr>
        <w:t>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14:paraId="0ADB1B9C">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第五条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监理人在履行本合同的义务期间，应认真、勤奋地工作，</w:t>
      </w:r>
      <w:r>
        <w:rPr>
          <w:rFonts w:hint="eastAsia" w:ascii="宋体" w:hAnsi="宋体" w:eastAsia="宋体" w:cs="宋体"/>
          <w:color w:val="auto"/>
          <w:spacing w:val="-8"/>
          <w:sz w:val="24"/>
          <w:szCs w:val="24"/>
          <w:highlight w:val="none"/>
        </w:rPr>
        <w:t>为委托人提供与其水平相适应的咨询意见，公正维护各方面的合法权益。</w:t>
      </w:r>
    </w:p>
    <w:p w14:paraId="3A47241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第六条  </w:t>
      </w:r>
      <w:r>
        <w:rPr>
          <w:rFonts w:hint="eastAsia" w:ascii="宋体" w:hAnsi="宋体" w:eastAsia="宋体" w:cs="宋体"/>
          <w:color w:val="auto"/>
          <w:spacing w:val="-8"/>
          <w:sz w:val="24"/>
          <w:szCs w:val="24"/>
          <w:highlight w:val="none"/>
        </w:rPr>
        <w:t>监理人使用委托人提供的设施和物品属委托人的财产。在监理工作完成或中止时，应将其设施和剩余的物品按合同约定的时间和方式移交给委托人。</w:t>
      </w:r>
    </w:p>
    <w:p w14:paraId="04EBBF16">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第七条  </w:t>
      </w:r>
      <w:r>
        <w:rPr>
          <w:rFonts w:hint="eastAsia" w:ascii="宋体" w:hAnsi="宋体" w:eastAsia="宋体" w:cs="宋体"/>
          <w:color w:val="auto"/>
          <w:spacing w:val="-8"/>
          <w:sz w:val="24"/>
          <w:szCs w:val="24"/>
          <w:highlight w:val="none"/>
        </w:rPr>
        <w:t>在合同期内或合同终止后，未征得有关方同意，不得泄露与本工程、本合同业务相关的保密资料。</w:t>
      </w:r>
    </w:p>
    <w:p w14:paraId="1A122F23">
      <w:pPr>
        <w:tabs>
          <w:tab w:val="left" w:pos="1995"/>
        </w:tabs>
        <w:spacing w:line="500" w:lineRule="exact"/>
        <w:rPr>
          <w:rFonts w:hint="eastAsia" w:ascii="宋体" w:hAnsi="宋体" w:eastAsia="宋体" w:cs="宋体"/>
          <w:b/>
          <w:bCs/>
          <w:color w:val="auto"/>
          <w:sz w:val="24"/>
          <w:szCs w:val="24"/>
          <w:highlight w:val="none"/>
        </w:rPr>
      </w:pPr>
    </w:p>
    <w:p w14:paraId="3A80A8E2">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委托人义务</w:t>
      </w:r>
    </w:p>
    <w:p w14:paraId="5784AB02">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DC08AC">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 xml:space="preserve">第八条  </w:t>
      </w:r>
      <w:r>
        <w:rPr>
          <w:rFonts w:hint="eastAsia" w:ascii="宋体" w:hAnsi="宋体" w:eastAsia="宋体" w:cs="宋体"/>
          <w:color w:val="auto"/>
          <w:spacing w:val="-20"/>
          <w:sz w:val="24"/>
          <w:szCs w:val="24"/>
          <w:highlight w:val="none"/>
        </w:rPr>
        <w:t>委托人在监理人开展监理业务之前应相应向监理人支付预付款。</w:t>
      </w:r>
    </w:p>
    <w:p w14:paraId="334BE369">
      <w:pPr>
        <w:tabs>
          <w:tab w:val="left" w:pos="1995"/>
        </w:tabs>
        <w:spacing w:line="500" w:lineRule="exact"/>
        <w:ind w:firstLine="482" w:firstLineChars="200"/>
        <w:rPr>
          <w:rFonts w:hint="eastAsia" w:ascii="宋体" w:hAnsi="宋体" w:eastAsia="宋体" w:cs="宋体"/>
          <w:b/>
          <w:bCs/>
          <w:color w:val="auto"/>
          <w:sz w:val="24"/>
          <w:szCs w:val="24"/>
          <w:highlight w:val="none"/>
        </w:rPr>
      </w:pPr>
    </w:p>
    <w:p w14:paraId="695BF720">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第九条  </w:t>
      </w:r>
      <w:r>
        <w:rPr>
          <w:rFonts w:hint="eastAsia" w:ascii="宋体" w:hAnsi="宋体" w:eastAsia="宋体" w:cs="宋体"/>
          <w:color w:val="auto"/>
          <w:spacing w:val="-8"/>
          <w:sz w:val="24"/>
          <w:szCs w:val="24"/>
          <w:highlight w:val="none"/>
        </w:rPr>
        <w:t>委托人应当负责工程建设的所有外部关系的协调，为监理工作提供外部条件。根据需要，如果部分或全部协调工作委托监理人承担，则应在专用条件中明确委托的工作和相应的报酬。</w:t>
      </w:r>
    </w:p>
    <w:p w14:paraId="1EA35392">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第十条  </w:t>
      </w:r>
      <w:r>
        <w:rPr>
          <w:rFonts w:hint="eastAsia" w:ascii="宋体" w:hAnsi="宋体" w:eastAsia="宋体" w:cs="宋体"/>
          <w:color w:val="auto"/>
          <w:spacing w:val="12"/>
          <w:sz w:val="24"/>
          <w:szCs w:val="24"/>
          <w:highlight w:val="none"/>
        </w:rPr>
        <w:t>委托人应当在双方约定的时间内免费提供与工程有关</w:t>
      </w:r>
      <w:r>
        <w:rPr>
          <w:rFonts w:hint="eastAsia" w:ascii="宋体" w:hAnsi="宋体" w:eastAsia="宋体" w:cs="宋体"/>
          <w:color w:val="auto"/>
          <w:spacing w:val="12"/>
          <w:sz w:val="24"/>
          <w:szCs w:val="24"/>
          <w:highlight w:val="none"/>
          <w:lang w:eastAsia="zh-CN"/>
        </w:rPr>
        <w:t>的</w:t>
      </w:r>
      <w:r>
        <w:rPr>
          <w:rFonts w:hint="eastAsia" w:ascii="宋体" w:hAnsi="宋体" w:eastAsia="宋体" w:cs="宋体"/>
          <w:color w:val="auto"/>
          <w:spacing w:val="12"/>
          <w:sz w:val="24"/>
          <w:szCs w:val="24"/>
          <w:highlight w:val="none"/>
        </w:rPr>
        <w:t>监理工作所需要的工程资料。</w:t>
      </w:r>
    </w:p>
    <w:p w14:paraId="1A132198">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第十一条  </w:t>
      </w:r>
      <w:r>
        <w:rPr>
          <w:rFonts w:hint="eastAsia" w:ascii="宋体" w:hAnsi="宋体" w:eastAsia="宋体" w:cs="宋体"/>
          <w:color w:val="auto"/>
          <w:spacing w:val="-8"/>
          <w:sz w:val="24"/>
          <w:szCs w:val="24"/>
          <w:highlight w:val="none"/>
        </w:rPr>
        <w:t>委托人应当在专用条款约定的时间内就监理人书面提交并要求作出决定的一切事宜作出书面决定。</w:t>
      </w:r>
    </w:p>
    <w:p w14:paraId="00D3991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第十二条  </w:t>
      </w:r>
      <w:r>
        <w:rPr>
          <w:rFonts w:hint="eastAsia" w:ascii="宋体" w:hAnsi="宋体" w:eastAsia="宋体" w:cs="宋体"/>
          <w:color w:val="auto"/>
          <w:spacing w:val="-8"/>
          <w:sz w:val="24"/>
          <w:szCs w:val="24"/>
          <w:highlight w:val="none"/>
        </w:rPr>
        <w:t>委托人应当授权一名熟悉工程情况、能在规定时间内作出决定的常驻代表（在专用条款中约定），负责与监理人联系。更换常驻代表，要提前通知监理人。</w:t>
      </w:r>
    </w:p>
    <w:p w14:paraId="78BA3197">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第十三条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委托人应当将授予监理人的监理权利，以及监理人主要成员的职能分工、监理权限及时书面通知已选定的承包合同的承包人，并在与第三人签订的合同中予以明确。</w:t>
      </w:r>
    </w:p>
    <w:p w14:paraId="0AF3C1F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第十四条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委托人应当在不影响监理人开展监理工作的时间内提供如下资料：</w:t>
      </w:r>
    </w:p>
    <w:p w14:paraId="57A3191B">
      <w:pPr>
        <w:tabs>
          <w:tab w:val="left" w:pos="1995"/>
        </w:tabs>
        <w:spacing w:line="500" w:lineRule="exact"/>
        <w:ind w:firstLine="416" w:firstLineChars="200"/>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（1）与</w:t>
      </w:r>
      <w:r>
        <w:rPr>
          <w:rFonts w:hint="eastAsia" w:ascii="宋体" w:hAnsi="宋体" w:eastAsia="宋体" w:cs="宋体"/>
          <w:color w:val="auto"/>
          <w:spacing w:val="-16"/>
          <w:sz w:val="24"/>
          <w:szCs w:val="24"/>
          <w:highlight w:val="none"/>
          <w:lang w:eastAsia="zh-CN"/>
        </w:rPr>
        <w:t>本工</w:t>
      </w:r>
      <w:r>
        <w:rPr>
          <w:rFonts w:hint="eastAsia" w:ascii="宋体" w:hAnsi="宋体" w:eastAsia="宋体" w:cs="宋体"/>
          <w:color w:val="auto"/>
          <w:spacing w:val="-16"/>
          <w:sz w:val="24"/>
          <w:szCs w:val="24"/>
          <w:highlight w:val="none"/>
        </w:rPr>
        <w:t>程合作的原材料、构配件、设备等生产厂家名录。</w:t>
      </w:r>
    </w:p>
    <w:p w14:paraId="51106DAA">
      <w:pPr>
        <w:tabs>
          <w:tab w:val="left" w:pos="1995"/>
        </w:tabs>
        <w:spacing w:line="500" w:lineRule="exact"/>
        <w:ind w:firstLine="41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（2）提供与本工程有关的协作单位、配合单位的名录。</w:t>
      </w:r>
    </w:p>
    <w:p w14:paraId="0E0EF529">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第十五条  </w:t>
      </w:r>
      <w:r>
        <w:rPr>
          <w:rFonts w:hint="eastAsia" w:ascii="宋体" w:hAnsi="宋体" w:eastAsia="宋体" w:cs="宋体"/>
          <w:color w:val="auto"/>
          <w:spacing w:val="-8"/>
          <w:sz w:val="24"/>
          <w:szCs w:val="24"/>
          <w:highlight w:val="none"/>
        </w:rPr>
        <w:t>委托人免费向监理人提供办公用房1间及办公桌若干，其他一概由监理人自理。</w:t>
      </w:r>
    </w:p>
    <w:p w14:paraId="0949253B">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第十六条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根据情况需要，如果双方约定，由委托人免费向监理人提供其他人员，应在监理合同专用条件中予以明确。</w:t>
      </w:r>
    </w:p>
    <w:p w14:paraId="5CE7D1CF">
      <w:pPr>
        <w:tabs>
          <w:tab w:val="left" w:pos="1995"/>
        </w:tabs>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第十七条</w:t>
      </w:r>
      <w:r>
        <w:rPr>
          <w:rFonts w:hint="eastAsia" w:ascii="宋体" w:hAnsi="宋体" w:eastAsia="宋体" w:cs="宋体"/>
          <w:color w:val="auto"/>
          <w:spacing w:val="-8"/>
          <w:sz w:val="24"/>
          <w:szCs w:val="24"/>
          <w:highlight w:val="none"/>
          <w:u w:val="single"/>
        </w:rPr>
        <w:t>为监理机构指定具有检验、试验资质的机构并承担检验、试验等相关费用</w:t>
      </w:r>
      <w:r>
        <w:rPr>
          <w:rFonts w:hint="eastAsia" w:ascii="宋体" w:hAnsi="宋体" w:eastAsia="宋体" w:cs="宋体"/>
          <w:color w:val="auto"/>
          <w:spacing w:val="-8"/>
          <w:sz w:val="24"/>
          <w:szCs w:val="24"/>
          <w:highlight w:val="none"/>
        </w:rPr>
        <w:t>。</w:t>
      </w:r>
    </w:p>
    <w:p w14:paraId="2118AFEF">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监理人权利</w:t>
      </w:r>
    </w:p>
    <w:p w14:paraId="41B06D71">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8"/>
          <w:sz w:val="24"/>
          <w:szCs w:val="24"/>
          <w:highlight w:val="none"/>
        </w:rPr>
        <w:t>监理人在委托人委托的工程范围内，享有以下权利：</w:t>
      </w:r>
    </w:p>
    <w:p w14:paraId="704A2E62">
      <w:pPr>
        <w:tabs>
          <w:tab w:val="left" w:pos="1995"/>
        </w:tabs>
        <w:spacing w:line="500" w:lineRule="exact"/>
        <w:ind w:firstLine="44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（1）工程总承包人的建议权。</w:t>
      </w:r>
    </w:p>
    <w:p w14:paraId="1946AC84">
      <w:pPr>
        <w:tabs>
          <w:tab w:val="left" w:pos="1995"/>
        </w:tabs>
        <w:spacing w:line="500" w:lineRule="exact"/>
        <w:ind w:firstLine="44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（2）择工程分包人的认可权。</w:t>
      </w:r>
    </w:p>
    <w:p w14:paraId="59339BA5">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12"/>
          <w:sz w:val="24"/>
          <w:szCs w:val="24"/>
          <w:highlight w:val="none"/>
        </w:rPr>
        <w:t>对工程建设有关事项包括工程规模、设计标准、规划设计、生产</w:t>
      </w:r>
      <w:r>
        <w:rPr>
          <w:rFonts w:hint="eastAsia" w:ascii="宋体" w:hAnsi="宋体" w:eastAsia="宋体" w:cs="宋体"/>
          <w:color w:val="auto"/>
          <w:spacing w:val="-6"/>
          <w:sz w:val="24"/>
          <w:szCs w:val="24"/>
          <w:highlight w:val="none"/>
        </w:rPr>
        <w:t>工艺设计和使用功能要求，向委托人的建议权。</w:t>
      </w:r>
    </w:p>
    <w:p w14:paraId="0E5458CE">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12"/>
          <w:sz w:val="24"/>
          <w:szCs w:val="24"/>
          <w:highlight w:val="none"/>
        </w:rPr>
        <w:t>对工程设计中的技术问题，按照安全和优化的原则，向设计人提</w:t>
      </w:r>
      <w:r>
        <w:rPr>
          <w:rFonts w:hint="eastAsia" w:ascii="宋体" w:hAnsi="宋体" w:eastAsia="宋体" w:cs="宋体"/>
          <w:color w:val="auto"/>
          <w:spacing w:val="-2"/>
          <w:sz w:val="24"/>
          <w:szCs w:val="24"/>
          <w:highlight w:val="none"/>
        </w:rPr>
        <w:t>出建议；如果拟提出建议可能会提高工程造价，或延长工期，应当事</w:t>
      </w:r>
      <w:r>
        <w:rPr>
          <w:rFonts w:hint="eastAsia" w:ascii="宋体" w:hAnsi="宋体" w:eastAsia="宋体" w:cs="宋体"/>
          <w:color w:val="auto"/>
          <w:spacing w:val="-8"/>
          <w:sz w:val="24"/>
          <w:szCs w:val="24"/>
          <w:highlight w:val="none"/>
        </w:rPr>
        <w:t>先征得委托人的同意。当发现工程设计不符合国家颁布的建设工程质</w:t>
      </w:r>
      <w:r>
        <w:rPr>
          <w:rFonts w:hint="eastAsia" w:ascii="宋体" w:hAnsi="宋体" w:eastAsia="宋体" w:cs="宋体"/>
          <w:color w:val="auto"/>
          <w:sz w:val="24"/>
          <w:szCs w:val="24"/>
          <w:highlight w:val="none"/>
        </w:rPr>
        <w:t>量</w:t>
      </w:r>
      <w:r>
        <w:rPr>
          <w:rFonts w:hint="eastAsia" w:ascii="宋体" w:hAnsi="宋体" w:eastAsia="宋体" w:cs="宋体"/>
          <w:color w:val="auto"/>
          <w:spacing w:val="-8"/>
          <w:sz w:val="24"/>
          <w:szCs w:val="24"/>
          <w:highlight w:val="none"/>
        </w:rPr>
        <w:t>标准或设计合同约定的质量标准时，监理人应当书面报告委托人并要求设计人更正。</w:t>
      </w:r>
    </w:p>
    <w:p w14:paraId="00554B39">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6"/>
          <w:sz w:val="24"/>
          <w:szCs w:val="24"/>
          <w:highlight w:val="none"/>
        </w:rPr>
        <w:t>审批工程组织设计和技术方案，按照保质量、保工期和降低成本的原则，向承包人提出建议，并向委托人提出书面报告。</w:t>
      </w:r>
    </w:p>
    <w:p w14:paraId="46F7896B">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pacing w:val="-12"/>
          <w:sz w:val="24"/>
          <w:szCs w:val="24"/>
          <w:highlight w:val="none"/>
        </w:rPr>
        <w:t>主持工程建设有关协作单位的组织协调，重要协调事项应当事先向委托人报告。</w:t>
      </w:r>
    </w:p>
    <w:p w14:paraId="7870C637">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pacing w:val="-12"/>
          <w:sz w:val="24"/>
          <w:szCs w:val="24"/>
          <w:highlight w:val="none"/>
        </w:rPr>
        <w:t>征得委托人同意，监理人有权发布开工令、停工令、复工令，但</w:t>
      </w:r>
      <w:r>
        <w:rPr>
          <w:rFonts w:hint="eastAsia" w:ascii="宋体" w:hAnsi="宋体" w:eastAsia="宋体" w:cs="宋体"/>
          <w:color w:val="auto"/>
          <w:spacing w:val="-10"/>
          <w:sz w:val="24"/>
          <w:szCs w:val="24"/>
          <w:highlight w:val="none"/>
        </w:rPr>
        <w:t>应当事先向委托人报告。如果紧急情况下事先未能报告时，则应在24小时</w:t>
      </w:r>
      <w:r>
        <w:rPr>
          <w:rFonts w:hint="eastAsia" w:ascii="宋体" w:hAnsi="宋体" w:eastAsia="宋体" w:cs="宋体"/>
          <w:color w:val="auto"/>
          <w:spacing w:val="-12"/>
          <w:sz w:val="24"/>
          <w:szCs w:val="24"/>
          <w:highlight w:val="none"/>
        </w:rPr>
        <w:t>内向委托人作出书面报告。</w:t>
      </w:r>
    </w:p>
    <w:p w14:paraId="310D88BF">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12"/>
          <w:sz w:val="24"/>
          <w:szCs w:val="24"/>
          <w:highlight w:val="none"/>
        </w:rPr>
        <w:t>工程上使用的材料和施工质量的检验权。对于不符合设计要求和</w:t>
      </w:r>
      <w:r>
        <w:rPr>
          <w:rFonts w:hint="eastAsia" w:ascii="宋体" w:hAnsi="宋体" w:eastAsia="宋体" w:cs="宋体"/>
          <w:color w:val="auto"/>
          <w:spacing w:val="-8"/>
          <w:sz w:val="24"/>
          <w:szCs w:val="24"/>
          <w:highlight w:val="none"/>
        </w:rPr>
        <w:t>合同约定及国家质量标准的材料、构配件、设备，有权通知承包人停止</w:t>
      </w:r>
      <w:r>
        <w:rPr>
          <w:rFonts w:hint="eastAsia" w:ascii="宋体" w:hAnsi="宋体" w:eastAsia="宋体" w:cs="宋体"/>
          <w:color w:val="auto"/>
          <w:spacing w:val="-6"/>
          <w:sz w:val="24"/>
          <w:szCs w:val="24"/>
          <w:highlight w:val="none"/>
        </w:rPr>
        <w:t>使用；对于不符合规范和质量标准的工序、分部、分项工程和不安全施工作业，有权通知承包人停工整改、返工。承包人得到监理机构复工令后</w:t>
      </w:r>
      <w:r>
        <w:rPr>
          <w:rFonts w:hint="eastAsia" w:ascii="宋体" w:hAnsi="宋体" w:eastAsia="宋体" w:cs="宋体"/>
          <w:color w:val="auto"/>
          <w:spacing w:val="-12"/>
          <w:sz w:val="24"/>
          <w:szCs w:val="24"/>
          <w:highlight w:val="none"/>
        </w:rPr>
        <w:t>才能复工。</w:t>
      </w:r>
    </w:p>
    <w:p w14:paraId="55A6EDE3">
      <w:pPr>
        <w:tabs>
          <w:tab w:val="left" w:pos="1995"/>
        </w:tabs>
        <w:spacing w:line="500" w:lineRule="exact"/>
        <w:ind w:firstLine="480" w:firstLineChars="200"/>
        <w:rPr>
          <w:rFonts w:hint="eastAsia" w:ascii="宋体" w:hAnsi="宋体" w:eastAsia="宋体" w:cs="宋体"/>
          <w:color w:val="auto"/>
          <w:sz w:val="24"/>
          <w:szCs w:val="24"/>
          <w:highlight w:val="none"/>
        </w:rPr>
      </w:pPr>
    </w:p>
    <w:p w14:paraId="0EB8311C">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12"/>
          <w:sz w:val="24"/>
          <w:szCs w:val="24"/>
          <w:highlight w:val="none"/>
        </w:rPr>
        <w:t>工程施工进度的检查、监督权，以及工程实际竣工日期提前或</w:t>
      </w:r>
      <w:r>
        <w:rPr>
          <w:rFonts w:hint="eastAsia" w:ascii="宋体" w:hAnsi="宋体" w:eastAsia="宋体" w:cs="宋体"/>
          <w:color w:val="auto"/>
          <w:spacing w:val="-8"/>
          <w:sz w:val="24"/>
          <w:szCs w:val="24"/>
          <w:highlight w:val="none"/>
        </w:rPr>
        <w:t>超过工程施工合同规定的竣工期限的签认权。</w:t>
      </w:r>
    </w:p>
    <w:p w14:paraId="7F5ED3C3">
      <w:pPr>
        <w:tabs>
          <w:tab w:val="left" w:pos="199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16"/>
          <w:sz w:val="24"/>
          <w:szCs w:val="24"/>
          <w:highlight w:val="none"/>
        </w:rPr>
        <w:t>在工程施工合同约定的工程价格范围内，工程款支付的审核和</w:t>
      </w:r>
      <w:r>
        <w:rPr>
          <w:rFonts w:hint="eastAsia" w:ascii="宋体" w:hAnsi="宋体" w:eastAsia="宋体" w:cs="宋体"/>
          <w:color w:val="auto"/>
          <w:spacing w:val="-12"/>
          <w:sz w:val="24"/>
          <w:szCs w:val="24"/>
          <w:highlight w:val="none"/>
        </w:rPr>
        <w:t>签</w:t>
      </w:r>
      <w:r>
        <w:rPr>
          <w:rFonts w:hint="eastAsia" w:ascii="宋体" w:hAnsi="宋体" w:eastAsia="宋体" w:cs="宋体"/>
          <w:color w:val="auto"/>
          <w:spacing w:val="-8"/>
          <w:sz w:val="24"/>
          <w:szCs w:val="24"/>
          <w:highlight w:val="none"/>
        </w:rPr>
        <w:t>认权，以及工程结算的复核确认权与否决权。未经总监理工程师签字确认，</w:t>
      </w:r>
      <w:r>
        <w:rPr>
          <w:rFonts w:hint="eastAsia" w:ascii="宋体" w:hAnsi="宋体" w:eastAsia="宋体" w:cs="宋体"/>
          <w:color w:val="auto"/>
          <w:spacing w:val="-12"/>
          <w:sz w:val="24"/>
          <w:szCs w:val="24"/>
          <w:highlight w:val="none"/>
        </w:rPr>
        <w:t>委托人不支付工程款。</w:t>
      </w:r>
    </w:p>
    <w:p w14:paraId="393F1A58">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监理人在委托人授权下，可对任何承包人合同规定的义</w:t>
      </w:r>
      <w:r>
        <w:rPr>
          <w:rFonts w:hint="eastAsia" w:ascii="宋体" w:hAnsi="宋体" w:eastAsia="宋体" w:cs="宋体"/>
          <w:color w:val="auto"/>
          <w:spacing w:val="-2"/>
          <w:sz w:val="24"/>
          <w:szCs w:val="24"/>
          <w:highlight w:val="none"/>
        </w:rPr>
        <w:t>务提出变更。如果由此严重影响了工程费用或质量、进度，则这种变更</w:t>
      </w:r>
      <w:r>
        <w:rPr>
          <w:rFonts w:hint="eastAsia" w:ascii="宋体" w:hAnsi="宋体" w:eastAsia="宋体" w:cs="宋体"/>
          <w:color w:val="auto"/>
          <w:spacing w:val="-8"/>
          <w:sz w:val="24"/>
          <w:szCs w:val="24"/>
          <w:highlight w:val="none"/>
        </w:rPr>
        <w:t>须经委托人事先批准。在紧急情况下未能事先报委托人批准时，监理人所做的变更也应尽快通知委托人。在监理过程中如发现工程承包人人员工作不力，监理机构可要求承包人调换有关人员。</w:t>
      </w:r>
    </w:p>
    <w:p w14:paraId="160E8A6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二十</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在委托的工程范围内，委托人或承包人对对方的任何意见和要求（包括索赔要求），均必须首先向监理机构提出，由监理机构研究处理意见，再同双方协商确定。当委托人和承包人发生争议时，监理机构应根据自己的职能，以独立的身份判断，公正地进行调解。当双方的争议由政府建设行政主管部门调解或仲裁机构仲裁时,应当提供</w:t>
      </w:r>
      <w:r>
        <w:rPr>
          <w:rFonts w:hint="eastAsia" w:ascii="宋体" w:hAnsi="宋体" w:eastAsia="宋体" w:cs="宋体"/>
          <w:color w:val="auto"/>
          <w:spacing w:val="-6"/>
          <w:sz w:val="24"/>
          <w:szCs w:val="24"/>
          <w:highlight w:val="none"/>
          <w:lang w:eastAsia="zh-CN"/>
        </w:rPr>
        <w:t>佐</w:t>
      </w:r>
      <w:r>
        <w:rPr>
          <w:rFonts w:hint="eastAsia" w:ascii="宋体" w:hAnsi="宋体" w:eastAsia="宋体" w:cs="宋体"/>
          <w:color w:val="auto"/>
          <w:spacing w:val="-6"/>
          <w:sz w:val="24"/>
          <w:szCs w:val="24"/>
          <w:highlight w:val="none"/>
        </w:rPr>
        <w:t>证的事实材料。</w:t>
      </w:r>
    </w:p>
    <w:p w14:paraId="61228CD1">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委托人权利</w:t>
      </w:r>
    </w:p>
    <w:p w14:paraId="79564F0A">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p>
    <w:p w14:paraId="056F66E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8"/>
          <w:sz w:val="24"/>
          <w:szCs w:val="24"/>
          <w:highlight w:val="none"/>
        </w:rPr>
        <w:t>委托人有选定工程总承包人，以及与其订立合同的权利。</w:t>
      </w:r>
    </w:p>
    <w:p w14:paraId="3AFE4F69">
      <w:pPr>
        <w:tabs>
          <w:tab w:val="left" w:pos="1995"/>
        </w:tabs>
        <w:spacing w:line="500" w:lineRule="exact"/>
        <w:ind w:firstLine="482" w:firstLineChars="200"/>
        <w:rPr>
          <w:rFonts w:hint="eastAsia" w:ascii="宋体" w:hAnsi="宋体" w:eastAsia="宋体" w:cs="宋体"/>
          <w:color w:val="auto"/>
          <w:spacing w:val="-18"/>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委托人有对工程规模、设计标准、规划设计、生产工艺设计和设计使用功能要求的认定权，以及对工程设计变更的审批权。</w:t>
      </w:r>
    </w:p>
    <w:p w14:paraId="1B5DD7DE">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监理人调换总监理工程师须事先经委托人同意。</w:t>
      </w:r>
    </w:p>
    <w:p w14:paraId="548C7042">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委托人有权要求监理人提交监理工作月报及监理业</w:t>
      </w:r>
      <w:r>
        <w:rPr>
          <w:rFonts w:hint="eastAsia" w:ascii="宋体" w:hAnsi="宋体" w:eastAsia="宋体" w:cs="宋体"/>
          <w:color w:val="auto"/>
          <w:spacing w:val="-8"/>
          <w:sz w:val="24"/>
          <w:szCs w:val="24"/>
          <w:highlight w:val="none"/>
        </w:rPr>
        <w:t>务范围内的</w:t>
      </w:r>
      <w:r>
        <w:rPr>
          <w:rFonts w:hint="eastAsia" w:ascii="宋体" w:hAnsi="宋体" w:eastAsia="宋体" w:cs="宋体"/>
          <w:color w:val="auto"/>
          <w:spacing w:val="-8"/>
          <w:sz w:val="24"/>
          <w:szCs w:val="24"/>
          <w:highlight w:val="none"/>
          <w:lang w:eastAsia="zh-CN"/>
        </w:rPr>
        <w:t>专项报告</w:t>
      </w:r>
      <w:r>
        <w:rPr>
          <w:rFonts w:hint="eastAsia" w:ascii="宋体" w:hAnsi="宋体" w:eastAsia="宋体" w:cs="宋体"/>
          <w:color w:val="auto"/>
          <w:spacing w:val="-8"/>
          <w:sz w:val="24"/>
          <w:szCs w:val="24"/>
          <w:highlight w:val="none"/>
        </w:rPr>
        <w:t>。</w:t>
      </w:r>
    </w:p>
    <w:p w14:paraId="4489A4E9">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1D4169F4">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监理人责任</w:t>
      </w:r>
    </w:p>
    <w:p w14:paraId="4CE89180">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8"/>
          <w:sz w:val="24"/>
          <w:szCs w:val="24"/>
          <w:highlight w:val="none"/>
        </w:rPr>
        <w:t>监理人的责任期即委托监理合同有效期。在监理过程中，</w:t>
      </w:r>
      <w:r>
        <w:rPr>
          <w:rFonts w:hint="eastAsia" w:ascii="宋体" w:hAnsi="宋体" w:eastAsia="宋体" w:cs="宋体"/>
          <w:color w:val="auto"/>
          <w:spacing w:val="-2"/>
          <w:sz w:val="24"/>
          <w:szCs w:val="24"/>
          <w:highlight w:val="none"/>
        </w:rPr>
        <w:t>如果工程建设进度的推迟或延误而超过书面约定的日期，双方应进</w:t>
      </w:r>
      <w:r>
        <w:rPr>
          <w:rFonts w:hint="eastAsia" w:ascii="宋体" w:hAnsi="宋体" w:eastAsia="宋体" w:cs="宋体"/>
          <w:color w:val="auto"/>
          <w:spacing w:val="-8"/>
          <w:sz w:val="24"/>
          <w:szCs w:val="24"/>
          <w:highlight w:val="none"/>
        </w:rPr>
        <w:t>一步约定相应延长的合同期。</w:t>
      </w:r>
    </w:p>
    <w:p w14:paraId="67E3A680">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监理人在责任期内，应当履行约定的义务。如果因</w:t>
      </w:r>
      <w:r>
        <w:rPr>
          <w:rFonts w:hint="eastAsia" w:ascii="宋体" w:hAnsi="宋体" w:eastAsia="宋体" w:cs="宋体"/>
          <w:color w:val="auto"/>
          <w:spacing w:val="-5"/>
          <w:sz w:val="24"/>
          <w:szCs w:val="24"/>
          <w:highlight w:val="none"/>
        </w:rPr>
        <w:t>监理人过失而造成了委托人的经济损失，应当向委托人赔偿。累计赔偿总</w:t>
      </w:r>
      <w:r>
        <w:rPr>
          <w:rFonts w:hint="eastAsia" w:ascii="宋体" w:hAnsi="宋体" w:eastAsia="宋体" w:cs="宋体"/>
          <w:color w:val="auto"/>
          <w:spacing w:val="-2"/>
          <w:sz w:val="24"/>
          <w:szCs w:val="24"/>
          <w:highlight w:val="none"/>
        </w:rPr>
        <w:t>额（除本合同第二十四条规定以外）不应超过监理报酬总额（除去税金）。</w:t>
      </w:r>
    </w:p>
    <w:p w14:paraId="189D3511">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监理人对承包人违反合同规定的质量要求和完工（交图、交货）时限，不承担责任。因不可抗力导致委托监理合同不能全部或部分履行，监理人不</w:t>
      </w:r>
      <w:r>
        <w:rPr>
          <w:rFonts w:hint="eastAsia" w:ascii="宋体" w:hAnsi="宋体" w:eastAsia="宋体" w:cs="宋体"/>
          <w:color w:val="auto"/>
          <w:spacing w:val="-8"/>
          <w:sz w:val="24"/>
          <w:szCs w:val="24"/>
          <w:highlight w:val="none"/>
          <w:lang w:eastAsia="zh-CN"/>
        </w:rPr>
        <w:t>承担责任</w:t>
      </w:r>
      <w:r>
        <w:rPr>
          <w:rFonts w:hint="eastAsia" w:ascii="宋体" w:hAnsi="宋体" w:eastAsia="宋体" w:cs="宋体"/>
          <w:color w:val="auto"/>
          <w:spacing w:val="-8"/>
          <w:sz w:val="24"/>
          <w:szCs w:val="24"/>
          <w:highlight w:val="none"/>
        </w:rPr>
        <w:t>。但对违反第五条规定引起的与之有关的事宜，向委托人承担赔偿责任。</w:t>
      </w:r>
    </w:p>
    <w:p w14:paraId="5A7F330B">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第二十</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监理人向委托人提出赔偿要求不能成立时，监理人应当补偿由于该索赔所导致委托人的各种费用支出。</w:t>
      </w:r>
    </w:p>
    <w:p w14:paraId="0E426181">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委托人责任</w:t>
      </w:r>
    </w:p>
    <w:p w14:paraId="403F31AF">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三十</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8"/>
          <w:sz w:val="24"/>
          <w:szCs w:val="24"/>
          <w:highlight w:val="none"/>
        </w:rPr>
        <w:t>委托人应当履行委托监理合同约定的义务，如有违反则应当承担违约责任，赔偿给监理人造成的经济损失。</w:t>
      </w:r>
    </w:p>
    <w:p w14:paraId="7A4FD42E">
      <w:pPr>
        <w:tabs>
          <w:tab w:val="left" w:pos="1995"/>
        </w:tabs>
        <w:spacing w:line="500" w:lineRule="exact"/>
        <w:ind w:firstLine="448"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pacing w:val="-8"/>
          <w:sz w:val="24"/>
          <w:szCs w:val="24"/>
          <w:highlight w:val="none"/>
        </w:rPr>
        <w:t>监理人处理委托业务时，</w:t>
      </w:r>
      <w:r>
        <w:rPr>
          <w:rFonts w:hint="eastAsia" w:ascii="宋体" w:hAnsi="宋体" w:eastAsia="宋体" w:cs="宋体"/>
          <w:color w:val="auto"/>
          <w:sz w:val="24"/>
          <w:szCs w:val="24"/>
          <w:highlight w:val="none"/>
        </w:rPr>
        <w:t>若因甲方原因造成监理服务期延迟，按实际在岗监理人员支付监理费用。其中：总监理工程师8000元/月、其他监理人员4000元/月。以上延期监理费用按实际现场考勤记录按人按天计算。</w:t>
      </w:r>
    </w:p>
    <w:p w14:paraId="749A048B">
      <w:pPr>
        <w:tabs>
          <w:tab w:val="left" w:pos="1995"/>
        </w:tabs>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委托人如果向监理人提出赔偿的要求不能成立，则应当补偿该索赔所引起的监理人的各种费用支出。</w:t>
      </w:r>
      <w:r>
        <w:rPr>
          <w:rFonts w:hint="eastAsia" w:ascii="宋体" w:hAnsi="宋体" w:eastAsia="宋体" w:cs="宋体"/>
          <w:b/>
          <w:bCs/>
          <w:color w:val="auto"/>
          <w:sz w:val="24"/>
          <w:szCs w:val="24"/>
          <w:highlight w:val="none"/>
        </w:rPr>
        <w:t xml:space="preserve"> </w:t>
      </w:r>
    </w:p>
    <w:p w14:paraId="592D1A6C">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合同生效、变更与终止</w:t>
      </w:r>
    </w:p>
    <w:p w14:paraId="482319C7">
      <w:pPr>
        <w:tabs>
          <w:tab w:val="left" w:pos="1995"/>
        </w:tabs>
        <w:spacing w:line="500" w:lineRule="exact"/>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rPr>
        <w:t>非监理方原因造成监理服务期延迟，按实际在岗监理人员支付监理费用。其中：总监理工程师8000元/月、其他监理人员4000元/月。以上延期监理费用按实际现场考勤记录按人按天计算。</w:t>
      </w:r>
    </w:p>
    <w:p w14:paraId="0F8B9D8C">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76A3FA9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监理人向委托人办理完竣工验收或工程移交手续，承包人和委托人已签订工程保修责任书，监理人收到监理报酬尾款，本合同即终止。保修期间的责任，双方在专用条款中约定。</w:t>
      </w:r>
    </w:p>
    <w:p w14:paraId="5D0032AD">
      <w:pPr>
        <w:tabs>
          <w:tab w:val="left" w:pos="1995"/>
        </w:tabs>
        <w:spacing w:line="500" w:lineRule="exact"/>
        <w:ind w:firstLine="482" w:firstLineChars="200"/>
        <w:rPr>
          <w:rFonts w:hint="eastAsia" w:ascii="宋体" w:hAnsi="宋体" w:eastAsia="宋体" w:cs="宋体"/>
          <w:color w:val="auto"/>
          <w:spacing w:val="-10"/>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当事人一方要求变更或解除合同时，应当在42日前通知对方，</w:t>
      </w:r>
      <w:r>
        <w:rPr>
          <w:rFonts w:hint="eastAsia" w:ascii="宋体" w:hAnsi="宋体" w:eastAsia="宋体" w:cs="宋体"/>
          <w:color w:val="auto"/>
          <w:spacing w:val="-6"/>
          <w:sz w:val="24"/>
          <w:szCs w:val="24"/>
          <w:highlight w:val="none"/>
        </w:rPr>
        <w:t>因解除合同使一方遭受损失的，除依法可以免除责任的外，应由责任方负责赔偿。</w:t>
      </w:r>
    </w:p>
    <w:p w14:paraId="4E1A9851">
      <w:pPr>
        <w:pStyle w:val="9"/>
        <w:tabs>
          <w:tab w:val="left" w:pos="1995"/>
        </w:tabs>
        <w:spacing w:line="500" w:lineRule="exact"/>
        <w:ind w:firstLine="5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变更或解除合同的通知或协议必须采取书面形式，协议未达成之前，原合同仍然有效。</w:t>
      </w:r>
    </w:p>
    <w:p w14:paraId="1186AD1C">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0"/>
          <w:sz w:val="24"/>
          <w:szCs w:val="24"/>
          <w:highlight w:val="none"/>
        </w:rPr>
        <w:t>监理人在应当获得监理报酬之日起30日内仍未收到</w:t>
      </w:r>
      <w:r>
        <w:rPr>
          <w:rFonts w:hint="eastAsia" w:ascii="宋体" w:hAnsi="宋体" w:eastAsia="宋体" w:cs="宋体"/>
          <w:color w:val="auto"/>
          <w:spacing w:val="-9"/>
          <w:sz w:val="24"/>
          <w:szCs w:val="24"/>
          <w:highlight w:val="none"/>
        </w:rPr>
        <w:t>支付单据，而委托人又未对监理人提出任何书面解释时，</w:t>
      </w:r>
      <w:r>
        <w:rPr>
          <w:rFonts w:hint="eastAsia" w:ascii="宋体" w:hAnsi="宋体" w:eastAsia="宋体" w:cs="宋体"/>
          <w:color w:val="auto"/>
          <w:spacing w:val="-5"/>
          <w:sz w:val="24"/>
          <w:szCs w:val="24"/>
          <w:highlight w:val="none"/>
        </w:rPr>
        <w:t>或根据第三十一条及第三十二条已暂停执行监理业务</w:t>
      </w:r>
      <w:r>
        <w:rPr>
          <w:rFonts w:hint="eastAsia" w:ascii="宋体" w:hAnsi="宋体" w:eastAsia="宋体" w:cs="宋体"/>
          <w:color w:val="auto"/>
          <w:sz w:val="24"/>
          <w:szCs w:val="24"/>
          <w:highlight w:val="none"/>
        </w:rPr>
        <w:t>时限超过六个月的，监理人可向委</w:t>
      </w:r>
      <w:r>
        <w:rPr>
          <w:rFonts w:hint="eastAsia" w:ascii="宋体" w:hAnsi="宋体" w:eastAsia="宋体" w:cs="宋体"/>
          <w:color w:val="auto"/>
          <w:spacing w:val="-5"/>
          <w:sz w:val="24"/>
          <w:szCs w:val="24"/>
          <w:highlight w:val="none"/>
        </w:rPr>
        <w:t>托人</w:t>
      </w:r>
      <w:r>
        <w:rPr>
          <w:rFonts w:hint="eastAsia" w:ascii="宋体" w:hAnsi="宋体" w:eastAsia="宋体" w:cs="宋体"/>
          <w:color w:val="auto"/>
          <w:spacing w:val="-9"/>
          <w:sz w:val="24"/>
          <w:szCs w:val="24"/>
          <w:highlight w:val="none"/>
        </w:rPr>
        <w:t>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0416EB2B">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12"/>
          <w:sz w:val="24"/>
          <w:szCs w:val="24"/>
          <w:highlight w:val="none"/>
        </w:rPr>
        <w:t>监理人由于非自己的原因而暂停或终止执行监理业务，</w:t>
      </w:r>
      <w:r>
        <w:rPr>
          <w:rFonts w:hint="eastAsia" w:ascii="宋体" w:hAnsi="宋体" w:eastAsia="宋体" w:cs="宋体"/>
          <w:color w:val="auto"/>
          <w:spacing w:val="-8"/>
          <w:sz w:val="24"/>
          <w:szCs w:val="24"/>
          <w:highlight w:val="none"/>
        </w:rPr>
        <w:t>其善后工作以及恢复执行监理业务的工作，应当视为额外工作，有权得到额外的报酬。</w:t>
      </w:r>
    </w:p>
    <w:p w14:paraId="5BEB7179">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2797888B">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第三十</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合同协议的终止并不影响各方应有的权利和应当承担的责任。</w:t>
      </w:r>
    </w:p>
    <w:p w14:paraId="447F3026">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监理报酬</w:t>
      </w:r>
    </w:p>
    <w:p w14:paraId="7997208F">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四十</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正常的监理工作、附加工作和额外工作的报酬，按照监理合同专用条件中约定的方法计算，并按约定的时间和数额支付。</w:t>
      </w:r>
    </w:p>
    <w:p w14:paraId="6F93E759">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如果委托人在规定的支付期限内未支付监理报酬，自规定之日起，还应向监理人支付滞纳金。滞纳金从规定支付期限最后一日起计算。</w:t>
      </w:r>
    </w:p>
    <w:p w14:paraId="0BFD5F19">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支付监理报酬所采取的货币币种、汇率由合同专用条件约定。</w:t>
      </w:r>
    </w:p>
    <w:p w14:paraId="218C2267">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如果委托人对监理人提交的支付通知中报酬或部分报酬项目提出异议，应当在收到支付通知书24小时内向监理人发出表示异议的通知，但委托人不得拖延其他无异议报酬项目的支付。</w:t>
      </w:r>
    </w:p>
    <w:p w14:paraId="39DC19FB">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   他</w:t>
      </w:r>
    </w:p>
    <w:p w14:paraId="07FCBB71">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委托的建设工程监理所必要的监理人员</w:t>
      </w:r>
      <w:r>
        <w:rPr>
          <w:rFonts w:hint="eastAsia" w:ascii="宋体" w:hAnsi="宋体" w:eastAsia="宋体" w:cs="宋体"/>
          <w:color w:val="auto"/>
          <w:spacing w:val="-8"/>
          <w:sz w:val="24"/>
          <w:szCs w:val="24"/>
          <w:highlight w:val="none"/>
          <w:lang w:eastAsia="zh-CN"/>
        </w:rPr>
        <w:t>外出</w:t>
      </w:r>
      <w:r>
        <w:rPr>
          <w:rFonts w:hint="eastAsia" w:ascii="宋体" w:hAnsi="宋体" w:eastAsia="宋体" w:cs="宋体"/>
          <w:color w:val="auto"/>
          <w:spacing w:val="-8"/>
          <w:sz w:val="24"/>
          <w:szCs w:val="24"/>
          <w:highlight w:val="none"/>
        </w:rPr>
        <w:t>考察、材料设备复试，其费用支出经委托人同意的，在预算范围内向委托人实报实销。</w:t>
      </w:r>
    </w:p>
    <w:p w14:paraId="76B8AED5">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pacing w:val="-8"/>
          <w:sz w:val="24"/>
          <w:szCs w:val="24"/>
          <w:highlight w:val="none"/>
        </w:rPr>
        <w:t>在监理业务范围内，如需聘用专家咨询或协助，由监理人聘用的，其费用由监理人承担；由委托人聘用的，其费用由委托人承担。</w:t>
      </w:r>
    </w:p>
    <w:p w14:paraId="3682C9E9">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 xml:space="preserve"> 监理人在监理工作过程中提出合理化建议,使委托人得到了经济效益，委托人应按专用条件中的约定给予经济奖励。</w:t>
      </w:r>
    </w:p>
    <w:p w14:paraId="1105C148">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监理人驻地监理机构及其职员不得接受监理工程项目施工承包人的任何报酬或者经济利益。</w:t>
      </w:r>
    </w:p>
    <w:p w14:paraId="2E0E3F55">
      <w:pPr>
        <w:tabs>
          <w:tab w:val="left" w:pos="1995"/>
        </w:tabs>
        <w:spacing w:line="500" w:lineRule="exact"/>
        <w:ind w:firstLine="424" w:firstLineChars="20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监理人不得参与可能与合同规定的与委托人的利益相冲突的任何活动。</w:t>
      </w:r>
    </w:p>
    <w:p w14:paraId="3B04C2D2">
      <w:pPr>
        <w:tabs>
          <w:tab w:val="left" w:pos="1995"/>
        </w:tabs>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监理人在监理过程中，不得泄露委托人申明的秘密，监理人亦不得泄露设计人、承包人等提供并申明的秘密。</w:t>
      </w:r>
    </w:p>
    <w:p w14:paraId="3ADEE5AF">
      <w:pPr>
        <w:tabs>
          <w:tab w:val="left" w:pos="1995"/>
        </w:tabs>
        <w:spacing w:line="500" w:lineRule="exact"/>
        <w:ind w:firstLine="482" w:firstLineChars="200"/>
        <w:rPr>
          <w:rFonts w:hint="eastAsia" w:ascii="宋体" w:hAnsi="宋体" w:eastAsia="宋体" w:cs="宋体"/>
          <w:color w:val="auto"/>
          <w:spacing w:val="-8"/>
          <w:sz w:val="24"/>
          <w:szCs w:val="24"/>
          <w:highlight w:val="none"/>
        </w:rPr>
      </w:pPr>
      <w:r>
        <w:rPr>
          <w:rFonts w:hint="eastAsia" w:ascii="宋体" w:hAnsi="宋体" w:eastAsia="宋体" w:cs="宋体"/>
          <w:b/>
          <w:bCs/>
          <w:color w:val="auto"/>
          <w:sz w:val="24"/>
          <w:szCs w:val="24"/>
          <w:highlight w:val="none"/>
        </w:rPr>
        <w:t>第四十</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监理人对于由其编制的所有文件拥有版权，委托人仅有权为本工程使用或复制此类文件。</w:t>
      </w:r>
    </w:p>
    <w:p w14:paraId="1DDEB7BC">
      <w:pPr>
        <w:tabs>
          <w:tab w:val="left" w:pos="1995"/>
        </w:tabs>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14:paraId="007E9AA0">
      <w:pPr>
        <w:tabs>
          <w:tab w:val="left" w:pos="1995"/>
        </w:tabs>
        <w:spacing w:line="500" w:lineRule="exact"/>
        <w:ind w:firstLine="482" w:firstLineChars="200"/>
        <w:rPr>
          <w:rFonts w:hint="eastAsia" w:ascii="宋体" w:hAnsi="宋体" w:eastAsia="宋体" w:cs="宋体"/>
          <w:color w:val="auto"/>
          <w:spacing w:val="-10"/>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五十</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因违反或终止合同而引起的对对方损失和损害的赔偿，</w:t>
      </w:r>
      <w:r>
        <w:rPr>
          <w:rFonts w:hint="eastAsia" w:ascii="宋体" w:hAnsi="宋体" w:eastAsia="宋体" w:cs="宋体"/>
          <w:color w:val="auto"/>
          <w:spacing w:val="-14"/>
          <w:sz w:val="24"/>
          <w:szCs w:val="24"/>
          <w:highlight w:val="none"/>
        </w:rPr>
        <w:t>双方应当协商解决，</w:t>
      </w:r>
      <w:r>
        <w:rPr>
          <w:rFonts w:hint="eastAsia" w:ascii="宋体" w:hAnsi="宋体" w:eastAsia="宋体" w:cs="宋体"/>
          <w:color w:val="auto"/>
          <w:spacing w:val="-4"/>
          <w:sz w:val="24"/>
          <w:szCs w:val="24"/>
          <w:highlight w:val="none"/>
        </w:rPr>
        <w:t>如未能达成一致，可提交主管部门协调，如仍未能</w:t>
      </w:r>
      <w:r>
        <w:rPr>
          <w:rFonts w:hint="eastAsia" w:ascii="宋体" w:hAnsi="宋体" w:eastAsia="宋体" w:cs="宋体"/>
          <w:color w:val="auto"/>
          <w:spacing w:val="-10"/>
          <w:sz w:val="24"/>
          <w:szCs w:val="24"/>
          <w:highlight w:val="none"/>
        </w:rPr>
        <w:t>达成一致时，根据双方约定提交仲裁机构仲裁，或向人民法院起诉。</w:t>
      </w:r>
    </w:p>
    <w:p w14:paraId="007210D5">
      <w:pPr>
        <w:pStyle w:val="4"/>
        <w:spacing w:line="360" w:lineRule="exact"/>
        <w:jc w:val="center"/>
        <w:rPr>
          <w:rFonts w:hint="eastAsia" w:ascii="宋体" w:hAnsi="宋体" w:eastAsia="宋体" w:cs="宋体"/>
          <w:color w:val="auto"/>
          <w:sz w:val="24"/>
          <w:szCs w:val="24"/>
          <w:highlight w:val="none"/>
        </w:rPr>
      </w:pPr>
      <w:bookmarkStart w:id="23" w:name="_Toc338683965"/>
      <w:bookmarkStart w:id="24" w:name="_Toc295808895"/>
      <w:r>
        <w:rPr>
          <w:rFonts w:hint="eastAsia" w:ascii="宋体" w:hAnsi="宋体" w:eastAsia="宋体" w:cs="宋体"/>
          <w:color w:val="auto"/>
          <w:sz w:val="24"/>
          <w:szCs w:val="24"/>
          <w:highlight w:val="none"/>
        </w:rPr>
        <w:t>第二节</w:t>
      </w:r>
      <w:bookmarkEnd w:id="23"/>
      <w:bookmarkEnd w:id="24"/>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专用条件</w:t>
      </w:r>
    </w:p>
    <w:p w14:paraId="3A5418CC">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bookmarkStart w:id="25" w:name="_Toc184635123"/>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本合同适用的法律及监理依据： 国家关于工程建设的政策、法律、法规、技术规范及相应的地方法规；委托人与本工程参建各单位签订的合同；经政府批准的建设计划、规划、工程施工图纸等其他有关技术文件。</w:t>
      </w:r>
    </w:p>
    <w:p w14:paraId="57507946">
      <w:pPr>
        <w:tabs>
          <w:tab w:val="left" w:pos="1995"/>
        </w:tabs>
        <w:spacing w:line="220" w:lineRule="atLeas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监理范围和监理工作内容：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监理范围：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施工</w:t>
      </w:r>
      <w:r>
        <w:rPr>
          <w:rFonts w:hint="eastAsia" w:ascii="宋体" w:hAnsi="宋体" w:eastAsia="宋体" w:cs="宋体"/>
          <w:b/>
          <w:color w:val="auto"/>
          <w:sz w:val="24"/>
          <w:szCs w:val="24"/>
          <w:highlight w:val="none"/>
          <w:u w:val="single"/>
          <w:lang w:val="en-US" w:eastAsia="zh-CN"/>
        </w:rPr>
        <w:t>阶段</w:t>
      </w:r>
      <w:r>
        <w:rPr>
          <w:rFonts w:hint="eastAsia" w:ascii="宋体" w:hAnsi="宋体" w:eastAsia="宋体" w:cs="宋体"/>
          <w:b/>
          <w:color w:val="auto"/>
          <w:sz w:val="24"/>
          <w:szCs w:val="24"/>
          <w:highlight w:val="none"/>
          <w:u w:val="single"/>
        </w:rPr>
        <w:t>监理；</w:t>
      </w:r>
    </w:p>
    <w:p w14:paraId="52448321">
      <w:pPr>
        <w:tabs>
          <w:tab w:val="center" w:pos="4602"/>
        </w:tabs>
        <w:spacing w:line="360" w:lineRule="exact"/>
        <w:ind w:right="-88" w:rightChars="-42" w:firstLine="410" w:firstLineChars="17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 xml:space="preserve">监理内容：包括施工全过程中的“三控、两管、一协调”及安全监理等。负责施工结算初审并参与工程结算审计工作。 </w:t>
      </w:r>
      <w:r>
        <w:rPr>
          <w:rFonts w:hint="eastAsia" w:ascii="宋体" w:hAnsi="宋体" w:eastAsia="宋体" w:cs="宋体"/>
          <w:color w:val="auto"/>
          <w:sz w:val="24"/>
          <w:szCs w:val="24"/>
          <w:highlight w:val="none"/>
          <w:u w:val="single"/>
        </w:rPr>
        <w:t xml:space="preserve">  </w:t>
      </w:r>
    </w:p>
    <w:p w14:paraId="2C925D40">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外部条件包括：</w:t>
      </w:r>
      <w:r>
        <w:rPr>
          <w:rFonts w:hint="eastAsia" w:ascii="宋体" w:hAnsi="宋体" w:eastAsia="宋体" w:cs="宋体"/>
          <w:b/>
          <w:color w:val="auto"/>
          <w:sz w:val="24"/>
          <w:szCs w:val="24"/>
          <w:highlight w:val="none"/>
          <w:u w:val="single"/>
        </w:rPr>
        <w:t>由委托人负责本工程建设的所有外部关系的协调。</w:t>
      </w:r>
    </w:p>
    <w:p w14:paraId="514BD6F2">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委托人应提供的工程资料及提供时间</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根据国家规定工程开工前应具备的工程资料于本工程开工前提供给监理人</w:t>
      </w:r>
      <w:r>
        <w:rPr>
          <w:rFonts w:hint="eastAsia" w:ascii="宋体" w:hAnsi="宋体" w:eastAsia="宋体" w:cs="宋体"/>
          <w:color w:val="auto"/>
          <w:sz w:val="24"/>
          <w:szCs w:val="24"/>
          <w:highlight w:val="none"/>
        </w:rPr>
        <w:t>。</w:t>
      </w:r>
    </w:p>
    <w:p w14:paraId="34488A03">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委托人应在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天内对监理人书面提交并要求作出决定的事宜作出书面答复。</w:t>
      </w:r>
    </w:p>
    <w:p w14:paraId="5D0DA561">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委托人的常驻代表为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0CFF35">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在监理期间，委托人免费向监理机构提供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名工作人员，由总监理工程师安排其工作，凡涉及服务时，此类职员只应从总监理工程师处接受指示。并免费提供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名服务人员。监理机构应与此类服务的提供者合作，但不对此类人员及其行为负责。</w:t>
      </w:r>
    </w:p>
    <w:p w14:paraId="4CF8C61F">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监理人在责任期内如果失职，同意按以下办法承担责任，赔偿损失［累计赔偿额不超过监理报酬总数（扣税）］：</w:t>
      </w:r>
    </w:p>
    <w:p w14:paraId="706F5FF3">
      <w:pPr>
        <w:tabs>
          <w:tab w:val="center" w:pos="4602"/>
        </w:tabs>
        <w:spacing w:line="360" w:lineRule="exact"/>
        <w:ind w:left="-105" w:leftChars="-50" w:right="-88" w:rightChars="-42" w:firstLine="520" w:firstLineChars="21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赔偿金=直接经济损失×报酬比率（扣除税金）</w:t>
      </w:r>
    </w:p>
    <w:p w14:paraId="13CF4E7B">
      <w:pPr>
        <w:spacing w:line="560" w:lineRule="exact"/>
        <w:ind w:left="298" w:leftChars="141" w:hanging="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第九条</w:t>
      </w:r>
      <w:r>
        <w:rPr>
          <w:rFonts w:hint="eastAsia" w:ascii="宋体" w:hAnsi="宋体" w:eastAsia="宋体" w:cs="宋体"/>
          <w:color w:val="auto"/>
          <w:sz w:val="24"/>
          <w:szCs w:val="24"/>
          <w:highlight w:val="none"/>
        </w:rPr>
        <w:t xml:space="preserve"> 委托人同意按以下的计算方法﹑支付时间与金额，支付监理人的报酬：</w:t>
      </w:r>
    </w:p>
    <w:p w14:paraId="18589E09">
      <w:pPr>
        <w:widowControl/>
        <w:spacing w:line="560" w:lineRule="exact"/>
        <w:ind w:left="296" w:leftChars="141"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1．监理酬金计算方法及付款方式： </w:t>
      </w:r>
    </w:p>
    <w:p w14:paraId="03F520CC">
      <w:pPr>
        <w:numPr>
          <w:ilvl w:val="0"/>
          <w:numId w:val="2"/>
        </w:numPr>
        <w:tabs>
          <w:tab w:val="left" w:pos="420"/>
        </w:tabs>
        <w:autoSpaceDE w:val="0"/>
        <w:autoSpaceDN w:val="0"/>
        <w:adjustRightInd w:val="0"/>
        <w:spacing w:line="500" w:lineRule="exact"/>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监理费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FDA29CF">
      <w:pPr>
        <w:numPr>
          <w:ilvl w:val="0"/>
          <w:numId w:val="2"/>
        </w:numPr>
        <w:tabs>
          <w:tab w:val="left" w:pos="420"/>
        </w:tabs>
        <w:autoSpaceDE w:val="0"/>
        <w:autoSpaceDN w:val="0"/>
        <w:adjustRightInd w:val="0"/>
        <w:spacing w:line="500" w:lineRule="exact"/>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工程施工完成全部工程量的50％，支付工程监理合同款的</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 xml:space="preserve">%； </w:t>
      </w:r>
    </w:p>
    <w:p w14:paraId="2F65032F">
      <w:pPr>
        <w:numPr>
          <w:ilvl w:val="0"/>
          <w:numId w:val="2"/>
        </w:numPr>
        <w:tabs>
          <w:tab w:val="left" w:pos="420"/>
        </w:tabs>
        <w:autoSpaceDE w:val="0"/>
        <w:autoSpaceDN w:val="0"/>
        <w:adjustRightInd w:val="0"/>
        <w:spacing w:line="500" w:lineRule="exact"/>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工程通过完工验收，支付工程监理合同款的</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5%； </w:t>
      </w:r>
    </w:p>
    <w:p w14:paraId="0642D3A1">
      <w:pPr>
        <w:numPr>
          <w:ilvl w:val="0"/>
          <w:numId w:val="2"/>
        </w:numPr>
        <w:tabs>
          <w:tab w:val="left" w:pos="420"/>
        </w:tabs>
        <w:autoSpaceDE w:val="0"/>
        <w:autoSpaceDN w:val="0"/>
        <w:adjustRightInd w:val="0"/>
        <w:spacing w:line="500" w:lineRule="exact"/>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其余</w:t>
      </w:r>
      <w:r>
        <w:rPr>
          <w:rFonts w:hint="eastAsia" w:ascii="宋体" w:hAnsi="宋体" w:eastAsia="宋体" w:cs="宋体"/>
          <w:color w:val="auto"/>
          <w:sz w:val="24"/>
          <w:szCs w:val="24"/>
          <w:highlight w:val="none"/>
          <w:u w:val="single"/>
          <w:lang w:val="en-US" w:eastAsia="zh-CN"/>
        </w:rPr>
        <w:t>待工程通过竣工验收后支付</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最终结算价如超过行业收费标准计费的</w:t>
      </w:r>
      <w:r>
        <w:rPr>
          <w:rFonts w:hint="eastAsia" w:ascii="宋体" w:hAnsi="宋体" w:eastAsia="宋体" w:cs="宋体"/>
          <w:color w:val="auto"/>
          <w:sz w:val="24"/>
          <w:szCs w:val="24"/>
          <w:highlight w:val="none"/>
          <w:u w:val="single"/>
          <w:lang w:val="en-US" w:eastAsia="zh-CN"/>
        </w:rPr>
        <w:t>60%的按60%结算。行业收费标准参照《地质灾害治理工程监理预算标准(试行)》T/CAGHP015-2018执行。</w:t>
      </w:r>
    </w:p>
    <w:p w14:paraId="3015977D">
      <w:pPr>
        <w:spacing w:line="500" w:lineRule="exact"/>
        <w:ind w:left="470" w:leftChars="224" w:firstLine="118" w:firstLineChars="4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2．委托人同意按以下的计算方法﹑支付时间与金额，支付附加工作报酬：1、</w:t>
      </w:r>
      <w:r>
        <w:rPr>
          <w:rFonts w:hint="eastAsia" w:ascii="宋体" w:hAnsi="宋体" w:eastAsia="宋体" w:cs="宋体"/>
          <w:b/>
          <w:color w:val="auto"/>
          <w:sz w:val="24"/>
          <w:szCs w:val="24"/>
          <w:highlight w:val="none"/>
          <w:lang w:eastAsia="zh-CN"/>
        </w:rPr>
        <w:t>最终监理服务酬金按审计工程款</w:t>
      </w:r>
      <w:r>
        <w:rPr>
          <w:rFonts w:hint="eastAsia" w:ascii="宋体" w:hAnsi="宋体" w:eastAsia="宋体" w:cs="宋体"/>
          <w:b/>
          <w:color w:val="auto"/>
          <w:sz w:val="24"/>
          <w:szCs w:val="24"/>
          <w:highlight w:val="none"/>
          <w:u w:val="single"/>
        </w:rPr>
        <w:t>计算；</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u w:val="single"/>
        </w:rPr>
        <w:t>、非监理人造成的工期推迟或延误，监理服务酬金按标准文件第二十九条执行。</w:t>
      </w:r>
    </w:p>
    <w:p w14:paraId="06AB32E3">
      <w:pPr>
        <w:tabs>
          <w:tab w:val="center" w:pos="4602"/>
        </w:tabs>
        <w:spacing w:line="360" w:lineRule="exact"/>
        <w:ind w:left="-105" w:leftChars="-50" w:right="-88" w:rightChars="-42" w:firstLine="873" w:firstLineChars="3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委托人同意按以下的计算方法、支付时间与金额，支付额外工作报酬：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签订合同时双方协商。</w:t>
      </w:r>
    </w:p>
    <w:p w14:paraId="00168F72">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color w:val="auto"/>
          <w:sz w:val="24"/>
          <w:szCs w:val="24"/>
          <w:highlight w:val="none"/>
        </w:rPr>
        <w:t xml:space="preserve"> 双方同意用人民币支付报酬，按</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汇率计付。</w:t>
      </w:r>
    </w:p>
    <w:p w14:paraId="1779997A">
      <w:pPr>
        <w:tabs>
          <w:tab w:val="center" w:pos="4602"/>
        </w:tabs>
        <w:spacing w:line="360" w:lineRule="exact"/>
        <w:ind w:left="-105" w:leftChars="-50" w:right="-88" w:rightChars="-42" w:firstLine="523" w:firstLineChars="217"/>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奖励办法：</w:t>
      </w:r>
      <w:r>
        <w:rPr>
          <w:rFonts w:hint="eastAsia" w:ascii="宋体" w:hAnsi="宋体" w:eastAsia="宋体" w:cs="宋体"/>
          <w:color w:val="auto"/>
          <w:kern w:val="0"/>
          <w:sz w:val="24"/>
          <w:szCs w:val="24"/>
          <w:highlight w:val="none"/>
          <w:u w:val="single"/>
        </w:rPr>
        <w:t>签订合同时双方协商。</w:t>
      </w:r>
    </w:p>
    <w:p w14:paraId="7BA985FB">
      <w:pPr>
        <w:tabs>
          <w:tab w:val="center" w:pos="4602"/>
        </w:tabs>
        <w:spacing w:line="360" w:lineRule="exact"/>
        <w:ind w:left="-105" w:leftChars="-50" w:right="-88" w:rightChars="-42"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本合同在履行过程中发生争议时，当事人双方应及时协商解决。协商不成时，双方同意由仲裁委员会仲裁（当事人双方不在本合同中约定仲裁机构，事后又未达成书面仲裁协议的，可向人民法院起诉）。</w:t>
      </w:r>
      <w:bookmarkEnd w:id="25"/>
    </w:p>
    <w:p w14:paraId="19D6065C">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7DED090D">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44962D81">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3A3126A5">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655FC2BD">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1E259E20">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6EC16C75">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421B8F71">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3E659EBB">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25FAF5B5">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731BEDBC">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4D6965E5">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4EBEBA4D">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71452E16">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2D5EB93A">
      <w:pPr>
        <w:tabs>
          <w:tab w:val="center" w:pos="4602"/>
        </w:tabs>
        <w:spacing w:line="360" w:lineRule="exact"/>
        <w:ind w:left="-105" w:leftChars="-50" w:right="-88" w:rightChars="-42" w:firstLine="470" w:firstLineChars="196"/>
        <w:rPr>
          <w:rFonts w:hint="eastAsia" w:ascii="宋体" w:hAnsi="宋体" w:eastAsia="宋体" w:cs="宋体"/>
          <w:color w:val="auto"/>
          <w:sz w:val="24"/>
          <w:szCs w:val="24"/>
          <w:highlight w:val="none"/>
        </w:rPr>
      </w:pPr>
    </w:p>
    <w:p w14:paraId="5475D784">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廉政合同</w:t>
      </w:r>
    </w:p>
    <w:p w14:paraId="577A7105">
      <w:pPr>
        <w:tabs>
          <w:tab w:val="left" w:pos="1995"/>
        </w:tabs>
        <w:spacing w:line="22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根据省建设厅、省监察厅、省人民检察院联合</w:t>
      </w:r>
      <w:r>
        <w:rPr>
          <w:rFonts w:hint="eastAsia" w:ascii="宋体" w:hAnsi="宋体" w:eastAsia="宋体" w:cs="宋体"/>
          <w:color w:val="auto"/>
          <w:sz w:val="24"/>
          <w:szCs w:val="24"/>
          <w:highlight w:val="none"/>
          <w:lang w:eastAsia="zh-CN"/>
        </w:rPr>
        <w:t>发布</w:t>
      </w:r>
      <w:r>
        <w:rPr>
          <w:rFonts w:hint="eastAsia" w:ascii="宋体" w:hAnsi="宋体" w:eastAsia="宋体" w:cs="宋体"/>
          <w:color w:val="auto"/>
          <w:sz w:val="24"/>
          <w:szCs w:val="24"/>
          <w:highlight w:val="none"/>
        </w:rPr>
        <w:t>《关于印发〈浙江省建设市场不良行为记录和公示办法〉的通知》（浙建监〔2006〕80号）和《金华市建立健全惩治和预防腐败体系2008—2012年工作细则》以及建设工程管理、廉政建设的有关法规和相关文件规定，为了做好工程建设中的党风、廉政建设和反商业贿赂工作，保证工程建设高效优质完成，确保国有建设资金的安全和有效使用，以达到投资的预期效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发包方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（以下称甲方）与承包商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（以下称乙方），特订立如下合同。  </w:t>
      </w:r>
    </w:p>
    <w:p w14:paraId="43849FFE">
      <w:pPr>
        <w:tabs>
          <w:tab w:val="left" w:pos="1995"/>
        </w:tabs>
        <w:spacing w:line="22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甲、乙双方的权利和义务。甲、乙双方同时做到：</w:t>
      </w:r>
    </w:p>
    <w:p w14:paraId="0C0FBCDF">
      <w:pPr>
        <w:tabs>
          <w:tab w:val="left" w:pos="1995"/>
        </w:tabs>
        <w:spacing w:line="22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严格遵守党和国家有关法律、法规和规章以及监察、人民检察院、财政、审计、建设等部门的有关规定。</w:t>
      </w:r>
    </w:p>
    <w:p w14:paraId="244463A2">
      <w:pPr>
        <w:tabs>
          <w:tab w:val="left" w:pos="1995"/>
        </w:tabs>
        <w:spacing w:line="22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严格遵守《金华市建立健全惩治</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预防腐败体系2008—2012年工作细则》和金华市监察、人民检察院、财政、审计、建设等部门的有关规定。双方严格执行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的合同文件，自觉按合同办事。</w:t>
      </w:r>
    </w:p>
    <w:p w14:paraId="2EDDBC59">
      <w:pPr>
        <w:numPr>
          <w:ilvl w:val="0"/>
          <w:numId w:val="3"/>
        </w:numPr>
        <w:tabs>
          <w:tab w:val="left" w:pos="900"/>
          <w:tab w:val="left" w:pos="1440"/>
        </w:tabs>
        <w:spacing w:line="320" w:lineRule="exact"/>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双方按法定部门备案的招标文件和乙方的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订立合同，并按法规规定备案，以备案合同作为双方最终结算价款的唯一依据。双方不私下签订“黑白”和“阴阳”等不良行为的合同。</w:t>
      </w:r>
    </w:p>
    <w:p w14:paraId="5828BF94">
      <w:pPr>
        <w:numPr>
          <w:ilvl w:val="0"/>
          <w:numId w:val="3"/>
        </w:numPr>
        <w:tabs>
          <w:tab w:val="left" w:pos="900"/>
          <w:tab w:val="left" w:pos="1440"/>
        </w:tabs>
        <w:spacing w:line="320" w:lineRule="exact"/>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的业务活动坚持公开、公平、公正、诚信、透明的原则（除法律认定的商业秘密和合同文件另有规定之外），不得损害国家和集体利益，不得违反工程建设法律、法规和规章以及纪检（监察）、国资、检察、财政、审计和工程建设管理的规定。</w:t>
      </w:r>
    </w:p>
    <w:p w14:paraId="68FA0FE7">
      <w:pPr>
        <w:numPr>
          <w:ilvl w:val="0"/>
          <w:numId w:val="3"/>
        </w:numPr>
        <w:tabs>
          <w:tab w:val="left" w:pos="900"/>
          <w:tab w:val="left" w:pos="1440"/>
        </w:tabs>
        <w:spacing w:line="320" w:lineRule="exact"/>
        <w:ind w:lef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建立健全廉政建设、监督制度和处罚制度，开展廉政教育，设立廉政告示牌，公布举报电话。</w:t>
      </w:r>
    </w:p>
    <w:p w14:paraId="208AE98F">
      <w:pPr>
        <w:numPr>
          <w:ilvl w:val="0"/>
          <w:numId w:val="3"/>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发现对方在业务活动中有违反廉政规定行为时，有及时提醒对方纠正的权利和义务。</w:t>
      </w:r>
    </w:p>
    <w:p w14:paraId="17C1BF79">
      <w:pPr>
        <w:numPr>
          <w:ilvl w:val="0"/>
          <w:numId w:val="3"/>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发现对方有严重违反本合同义务条款的行为时，有向其上级有关部门举报，建议给予处理并要求告知处理结果的权利。</w:t>
      </w:r>
    </w:p>
    <w:p w14:paraId="6FA04A9F">
      <w:pPr>
        <w:numPr>
          <w:ilvl w:val="0"/>
          <w:numId w:val="4"/>
        </w:numPr>
        <w:tabs>
          <w:tab w:val="left" w:pos="1800"/>
          <w:tab w:val="clear" w:pos="855"/>
        </w:tabs>
        <w:spacing w:line="320" w:lineRule="exact"/>
        <w:ind w:hanging="3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甲方的义务</w:t>
      </w:r>
    </w:p>
    <w:p w14:paraId="2C88F9BD">
      <w:pPr>
        <w:numPr>
          <w:ilvl w:val="1"/>
          <w:numId w:val="4"/>
        </w:numPr>
        <w:tabs>
          <w:tab w:val="left" w:pos="900"/>
          <w:tab w:val="left" w:pos="162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甲方及其工作人员：  </w:t>
      </w:r>
    </w:p>
    <w:p w14:paraId="4328DDA4">
      <w:pPr>
        <w:spacing w:line="32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1．必须秉公办理，不准营私舞弊，不准利用职权从事各种个人有偿中介活动和安排个人施工队伍。 </w:t>
      </w:r>
    </w:p>
    <w:p w14:paraId="6C83330B">
      <w:pPr>
        <w:spacing w:line="32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2．不得索要或接受乙方的礼金、礼券、有价证券和物品，不得在乙方报销任何应由甲方或个人自身支付的费用等。  </w:t>
      </w:r>
    </w:p>
    <w:p w14:paraId="5DE2C1B4">
      <w:pPr>
        <w:spacing w:line="32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3．不得要求或者接受乙方为其住房装修、操办婚丧嫁娶、安排配偶子女的工作以及出国出境、旅游等。 </w:t>
      </w:r>
    </w:p>
    <w:p w14:paraId="1058B3AB">
      <w:pPr>
        <w:spacing w:line="32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4．不得以任何理由向乙方推荐分包单位和自定材料供应商。</w:t>
      </w:r>
    </w:p>
    <w:p w14:paraId="49FD6D4F">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甲方工作人员的配偶、子女及下属单位不得从事与甲方工程有关的材料设备供应、工程分包等经济活动。</w:t>
      </w:r>
    </w:p>
    <w:p w14:paraId="470B4506">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甲方按经过法定部门备案的合同规定支付工程款，不得有意刁难、拖欠乙方工程款，不得违反规定批拨工程建设费用等。</w:t>
      </w:r>
    </w:p>
    <w:p w14:paraId="73A946D7">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按照工程招标投标的有关法律、法规和规章以及金华市政府的规定，甲方不得肢解工程发包等。</w:t>
      </w:r>
    </w:p>
    <w:p w14:paraId="5DE11ACA">
      <w:pPr>
        <w:tabs>
          <w:tab w:val="left" w:pos="1440"/>
        </w:tabs>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甲方原则上不设定暂定价，确需设定暂定价时，对暂定价实行：一是按建设工程招投标的法律、法规和规章规定予以公开招标：二是报请财政、审计等权限部门共同商定签证价，并形成会议纪要。</w:t>
      </w:r>
    </w:p>
    <w:p w14:paraId="6EA9E896">
      <w:pPr>
        <w:tabs>
          <w:tab w:val="left" w:pos="900"/>
          <w:tab w:val="left" w:pos="1440"/>
        </w:tabs>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甲方不得自行组织工程分包，若要设定工程分包时，必须按建设工程的法律、法规和规章规定，由乙方组织公开招标。</w:t>
      </w:r>
    </w:p>
    <w:p w14:paraId="1407E6C7">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甲方不得违反建设工程的有关法律、法规和经过法定部门备案的招标文件以及合同规定：  </w:t>
      </w:r>
    </w:p>
    <w:p w14:paraId="01A020D3">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1．指定乙方购入用于工程的建筑材料、建筑构配件和设备或者指定生产厂、供应商。  </w:t>
      </w:r>
    </w:p>
    <w:p w14:paraId="552B3745">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2．强制乙方垫付工程建设资金 。</w:t>
      </w:r>
    </w:p>
    <w:p w14:paraId="7746DB58">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3．甲方要求乙方提供履约保证金或者其他形式履约担保的，自身应同时向乙方提供工程款支付担保。  </w:t>
      </w:r>
    </w:p>
    <w:p w14:paraId="37806149">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4．应属甲方交纳的规费不得由乙方垫付。 </w:t>
      </w:r>
    </w:p>
    <w:p w14:paraId="14A65050">
      <w:pPr>
        <w:numPr>
          <w:ilvl w:val="0"/>
          <w:numId w:val="4"/>
        </w:numPr>
        <w:tabs>
          <w:tab w:val="left" w:pos="1800"/>
          <w:tab w:val="clear" w:pos="855"/>
        </w:tabs>
        <w:spacing w:line="320" w:lineRule="exact"/>
        <w:ind w:hanging="3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乙方义务</w:t>
      </w:r>
    </w:p>
    <w:p w14:paraId="69257EBC">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乙方不得以任何理由向甲方及其工作人员行贿或赠送礼金、礼券、有价证券和物品。</w:t>
      </w:r>
    </w:p>
    <w:p w14:paraId="0C35BAB9">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乙方不得以任何名义为甲方及其工作人员报销应由甲方单位或个人自身支付的任何费用。</w:t>
      </w:r>
    </w:p>
    <w:p w14:paraId="530E2B5A">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乙方不得要求甲方违反规定批拨、追加工程费用等。</w:t>
      </w:r>
    </w:p>
    <w:p w14:paraId="792AD394">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乙方不得以任何理由安排甲方工作人员参加违反规定的宴请及娱乐活动。</w:t>
      </w:r>
    </w:p>
    <w:p w14:paraId="49145476">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乙方不得为甲方单位和个人购置或</w:t>
      </w:r>
      <w:r>
        <w:rPr>
          <w:rFonts w:hint="eastAsia" w:ascii="宋体" w:hAnsi="宋体" w:eastAsia="宋体" w:cs="宋体"/>
          <w:color w:val="auto"/>
          <w:sz w:val="24"/>
          <w:szCs w:val="24"/>
          <w:highlight w:val="none"/>
          <w:lang w:eastAsia="zh-CN"/>
        </w:rPr>
        <w:t>提供通信</w:t>
      </w:r>
      <w:r>
        <w:rPr>
          <w:rFonts w:hint="eastAsia" w:ascii="宋体" w:hAnsi="宋体" w:eastAsia="宋体" w:cs="宋体"/>
          <w:color w:val="auto"/>
          <w:sz w:val="24"/>
          <w:szCs w:val="24"/>
          <w:highlight w:val="none"/>
        </w:rPr>
        <w:t>工具、交通工具和违反规定的高档办公用品等。</w:t>
      </w:r>
    </w:p>
    <w:p w14:paraId="4A67B355">
      <w:pPr>
        <w:numPr>
          <w:ilvl w:val="0"/>
          <w:numId w:val="4"/>
        </w:numPr>
        <w:tabs>
          <w:tab w:val="left" w:pos="1800"/>
          <w:tab w:val="clear" w:pos="855"/>
        </w:tabs>
        <w:spacing w:line="320" w:lineRule="exact"/>
        <w:ind w:hanging="3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14:paraId="0D75831C">
      <w:pPr>
        <w:numPr>
          <w:ilvl w:val="1"/>
          <w:numId w:val="4"/>
        </w:numPr>
        <w:tabs>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甲方及其工作人员违反本合同以上规定的，按管理权限，依据有关规定给予党纪、政纪或组织处理；涉嫌犯罪的，移送司法机关追究刑事责任；给乙方单位造成经济损失的，应</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rPr>
        <w:t>赔偿。</w:t>
      </w:r>
    </w:p>
    <w:p w14:paraId="11DD6A97">
      <w:pPr>
        <w:numPr>
          <w:ilvl w:val="1"/>
          <w:numId w:val="4"/>
        </w:numPr>
        <w:tabs>
          <w:tab w:val="left" w:pos="900"/>
          <w:tab w:val="left" w:pos="1440"/>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乙方及其工作人员违反本合同以上规定的，按管理权限，依据有关规定给予党纪、政纪或组织处理；给甲方单位造成经济损失的，应</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rPr>
        <w:t>赔偿；情节严重被有关部门书面通报处理的，乙方承诺无条件接受工程建设行政主管部门给予乙方一至三年内不得参与工程建设项目投标的处罚。</w:t>
      </w:r>
    </w:p>
    <w:p w14:paraId="7C36815F">
      <w:pPr>
        <w:numPr>
          <w:ilvl w:val="0"/>
          <w:numId w:val="4"/>
        </w:numPr>
        <w:tabs>
          <w:tab w:val="left" w:pos="1620"/>
          <w:tab w:val="left" w:pos="1800"/>
          <w:tab w:val="clear" w:pos="855"/>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本合同有效期限为甲乙双方签署之日起至该工程项目工程款支付完结时止。</w:t>
      </w:r>
    </w:p>
    <w:p w14:paraId="55E76160">
      <w:pPr>
        <w:numPr>
          <w:ilvl w:val="0"/>
          <w:numId w:val="4"/>
        </w:numPr>
        <w:tabs>
          <w:tab w:val="left" w:pos="1620"/>
          <w:tab w:val="clear" w:pos="855"/>
        </w:tabs>
        <w:spacing w:line="320" w:lineRule="exact"/>
        <w:ind w:lef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本合同作为本工程施工承包合同的附件，与工程施工合同具有同等的法律效力，经合同双方签署立即生效。按《浙江省招标投标条例》规定，承发包合同及附件报建设行政主管部门备案。</w:t>
      </w:r>
    </w:p>
    <w:p w14:paraId="76127F61">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甲方单位：（盖章）                    乙方单位：（盖章）</w:t>
      </w:r>
    </w:p>
    <w:p w14:paraId="55AFA6D7">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E7CF76F">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3819966E">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490EBE16">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24246A7E">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5F7FAFD6">
      <w:pPr>
        <w:jc w:val="center"/>
        <w:rPr>
          <w:rFonts w:hint="eastAsia" w:ascii="宋体" w:hAnsi="宋体" w:eastAsia="宋体" w:cs="宋体"/>
          <w:b/>
          <w:bCs/>
          <w:color w:val="auto"/>
          <w:sz w:val="44"/>
          <w:szCs w:val="44"/>
          <w:highlight w:val="none"/>
        </w:rPr>
      </w:pPr>
    </w:p>
    <w:p w14:paraId="7701F573">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安全监理责任合同格式</w:t>
      </w:r>
    </w:p>
    <w:p w14:paraId="52F1E1D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（本格式为安全监理责任合同标准格式，投标人不需填写）</w:t>
      </w:r>
    </w:p>
    <w:p w14:paraId="11416310">
      <w:pPr>
        <w:jc w:val="center"/>
        <w:rPr>
          <w:rFonts w:hint="eastAsia" w:ascii="宋体" w:hAnsi="宋体" w:eastAsia="宋体" w:cs="宋体"/>
          <w:b/>
          <w:bCs/>
          <w:color w:val="auto"/>
          <w:sz w:val="24"/>
          <w:szCs w:val="24"/>
          <w:highlight w:val="none"/>
        </w:rPr>
      </w:pPr>
    </w:p>
    <w:p w14:paraId="24558A12">
      <w:pPr>
        <w:tabs>
          <w:tab w:val="left" w:pos="1995"/>
        </w:tabs>
        <w:spacing w:line="220" w:lineRule="atLeast"/>
        <w:ind w:firstLine="560" w:firstLineChars="200"/>
        <w:rPr>
          <w:rFonts w:hint="eastAsia" w:ascii="宋体" w:hAnsi="宋体" w:eastAsia="宋体" w:cs="宋体"/>
          <w:bCs/>
          <w:color w:val="auto"/>
          <w:spacing w:val="20"/>
          <w:sz w:val="24"/>
          <w:szCs w:val="24"/>
          <w:highlight w:val="none"/>
        </w:rPr>
      </w:pPr>
      <w:r>
        <w:rPr>
          <w:rFonts w:hint="eastAsia" w:ascii="宋体" w:hAnsi="宋体" w:eastAsia="宋体" w:cs="宋体"/>
          <w:bCs/>
          <w:color w:val="auto"/>
          <w:spacing w:val="20"/>
          <w:sz w:val="24"/>
          <w:szCs w:val="24"/>
          <w:highlight w:val="none"/>
        </w:rPr>
        <w:t>根据国务院《建设工程安全生产管理条例》，为在</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none"/>
          <w:lang w:eastAsia="zh-CN"/>
        </w:rPr>
        <w:t>项目</w:t>
      </w:r>
      <w:r>
        <w:rPr>
          <w:rFonts w:hint="eastAsia" w:ascii="宋体" w:hAnsi="宋体" w:eastAsia="宋体" w:cs="宋体"/>
          <w:bCs/>
          <w:color w:val="auto"/>
          <w:spacing w:val="20"/>
          <w:sz w:val="24"/>
          <w:szCs w:val="24"/>
          <w:highlight w:val="none"/>
        </w:rPr>
        <w:t>服务合同的实施过程中切实</w:t>
      </w:r>
      <w:r>
        <w:rPr>
          <w:rFonts w:hint="eastAsia" w:ascii="宋体" w:hAnsi="宋体" w:eastAsia="宋体" w:cs="宋体"/>
          <w:bCs/>
          <w:color w:val="auto"/>
          <w:spacing w:val="20"/>
          <w:sz w:val="24"/>
          <w:szCs w:val="24"/>
          <w:highlight w:val="none"/>
          <w:lang w:eastAsia="zh-CN"/>
        </w:rPr>
        <w:t>做好</w:t>
      </w:r>
      <w:r>
        <w:rPr>
          <w:rFonts w:hint="eastAsia" w:ascii="宋体" w:hAnsi="宋体" w:eastAsia="宋体" w:cs="宋体"/>
          <w:bCs/>
          <w:color w:val="auto"/>
          <w:spacing w:val="20"/>
          <w:sz w:val="24"/>
          <w:szCs w:val="24"/>
          <w:highlight w:val="none"/>
        </w:rPr>
        <w:t>本工程的安全生产管理工作，业主</w:t>
      </w:r>
      <w:r>
        <w:rPr>
          <w:rFonts w:hint="eastAsia" w:ascii="宋体" w:hAnsi="宋体" w:eastAsia="宋体" w:cs="宋体"/>
          <w:b/>
          <w:bCs/>
          <w:color w:val="auto"/>
          <w:sz w:val="24"/>
          <w:szCs w:val="24"/>
          <w:highlight w:val="none"/>
          <w:u w:val="single"/>
          <w:lang w:val="en-US" w:eastAsia="zh-CN"/>
        </w:rPr>
        <w:t>浦江龙耀交通资源投资有限公司</w:t>
      </w:r>
      <w:r>
        <w:rPr>
          <w:rFonts w:hint="eastAsia" w:ascii="宋体" w:hAnsi="宋体" w:eastAsia="宋体" w:cs="宋体"/>
          <w:bCs/>
          <w:color w:val="auto"/>
          <w:spacing w:val="20"/>
          <w:sz w:val="24"/>
          <w:szCs w:val="24"/>
          <w:highlight w:val="none"/>
        </w:rPr>
        <w:t>（以下简称“甲方”）与监理单位</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rPr>
        <w:t>（以下简称“乙方”）签订如下安全监理责任合同：</w:t>
      </w:r>
    </w:p>
    <w:p w14:paraId="3CA11AC2">
      <w:pPr>
        <w:spacing w:line="400" w:lineRule="exact"/>
        <w:ind w:left="56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一、甲方职责</w:t>
      </w:r>
    </w:p>
    <w:p w14:paraId="09E9E58B">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1、严格遵守国家有关安全生产的法律法规，支持乙方按条例要求对规定的施工安全实施监理。</w:t>
      </w:r>
    </w:p>
    <w:p w14:paraId="3D54A678">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2、按照“安全第一，预防为主”和坚持“管生产必须管安全的原则进行安全生产管理，做到生产与安全工作同时计划、布置、检查、总结和评比。</w:t>
      </w:r>
    </w:p>
    <w:p w14:paraId="4AAA7FAA">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3、重要的安全设施必须坚持与主体工程“三同时”的原则，即：同时设计、审批，同时施工，同时验收，投入使用。</w:t>
      </w:r>
    </w:p>
    <w:p w14:paraId="76F44328">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4、定期召开安全生产调度会，及时传达中央及地方有关安全生产的精神。</w:t>
      </w:r>
    </w:p>
    <w:p w14:paraId="057631E2">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5、组织对施工现场的安全生产检查，监督施工单位及时处理发现的各项安全隐患。</w:t>
      </w:r>
    </w:p>
    <w:p w14:paraId="60917E77">
      <w:pPr>
        <w:spacing w:line="40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二、乙方职责</w:t>
      </w:r>
    </w:p>
    <w:p w14:paraId="228C5AF2">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1、督促施工单位严格遵守国家有关安全生产的法律法规及有关安全生产的规定，认真执行工程承包合同中的有关安全要求。</w:t>
      </w:r>
    </w:p>
    <w:p w14:paraId="5073CAF3">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2、坚持</w:t>
      </w:r>
      <w:r>
        <w:rPr>
          <w:rFonts w:hint="eastAsia" w:ascii="宋体" w:hAnsi="宋体" w:eastAsia="宋体" w:cs="宋体"/>
          <w:bCs/>
          <w:color w:val="auto"/>
          <w:sz w:val="24"/>
          <w:szCs w:val="24"/>
          <w:highlight w:val="none"/>
          <w:lang w:eastAsia="zh-CN"/>
        </w:rPr>
        <w:t>“安全第一、预防为主、综合治理”</w:t>
      </w:r>
      <w:bookmarkStart w:id="27" w:name="_GoBack"/>
      <w:bookmarkEnd w:id="27"/>
      <w:r>
        <w:rPr>
          <w:rFonts w:hint="eastAsia" w:ascii="宋体" w:hAnsi="宋体" w:eastAsia="宋体" w:cs="宋体"/>
          <w:bCs/>
          <w:color w:val="auto"/>
          <w:sz w:val="24"/>
          <w:szCs w:val="24"/>
          <w:highlight w:val="none"/>
        </w:rPr>
        <w:t>和“管生产必须管安全”的原则，督促施工单位加强安全生产宣传教育，增强安全员安全生产意识，建立健全各项安全生产的管理机构和安全生产管理制度，配备专职及兼职安全检查员，有组织有领导地开展安全生产活动。</w:t>
      </w:r>
    </w:p>
    <w:p w14:paraId="45E94AF2">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3、建立健全安全监理制度，加强安全知识教育培训，明确各岗位监理人员的安全监理职责，增强安全意识。</w:t>
      </w:r>
    </w:p>
    <w:p w14:paraId="13991F68">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4、在审查施工组织设计的同时，要同步审查施工组织设计中的安全技术措施，审查专项施工方案是否符合工程建设强制性标准。</w:t>
      </w:r>
    </w:p>
    <w:p w14:paraId="2DD68526">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1BC2EFD5">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6、乙方及其监理工程师应当按照法律、法规和工程建设强制性标准实施监理，并对建设工程安全生产承担监理责任。</w:t>
      </w:r>
    </w:p>
    <w:p w14:paraId="3001DC40">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7、乙方应督促施工单位按照本工程特点，组织制定本工程实施中的生产安全事故应急救援预案，如果发生安全事故，应按照《国务院关于特大安全事故行政责任追究的规定》</w:t>
      </w:r>
      <w:r>
        <w:rPr>
          <w:rFonts w:hint="eastAsia" w:ascii="宋体" w:hAnsi="宋体" w:eastAsia="宋体" w:cs="宋体"/>
          <w:bCs/>
          <w:color w:val="auto"/>
          <w:sz w:val="24"/>
          <w:szCs w:val="24"/>
          <w:highlight w:val="none"/>
          <w:lang w:eastAsia="zh-CN"/>
        </w:rPr>
        <w:t>以及其他</w:t>
      </w:r>
      <w:r>
        <w:rPr>
          <w:rFonts w:hint="eastAsia" w:ascii="宋体" w:hAnsi="宋体" w:eastAsia="宋体" w:cs="宋体"/>
          <w:bCs/>
          <w:color w:val="auto"/>
          <w:sz w:val="24"/>
          <w:szCs w:val="24"/>
          <w:highlight w:val="none"/>
        </w:rPr>
        <w:t>有关规定，及时上报有关部门，并坚持“三不放过”的原则，严肃处理相关责任人。</w:t>
      </w:r>
    </w:p>
    <w:p w14:paraId="1965034A">
      <w:pPr>
        <w:spacing w:line="40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三、违约责任</w:t>
      </w:r>
    </w:p>
    <w:p w14:paraId="239D70B7">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如因甲方或乙方违约造成安全事故，将依法追究责任。</w:t>
      </w:r>
    </w:p>
    <w:p w14:paraId="3952E2CD">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本合同正本一式二份，副本八份，合同双方各执正本一份，副本四份。由双方法定代表人或其授权的代理人签署并加盖公章后生效，全部工程竣工验收后失效。</w:t>
      </w:r>
    </w:p>
    <w:p w14:paraId="232CC579">
      <w:pPr>
        <w:spacing w:line="400" w:lineRule="exact"/>
        <w:rPr>
          <w:rFonts w:hint="eastAsia" w:ascii="宋体" w:hAnsi="宋体" w:eastAsia="宋体" w:cs="宋体"/>
          <w:bCs/>
          <w:color w:val="auto"/>
          <w:sz w:val="24"/>
          <w:szCs w:val="24"/>
          <w:highlight w:val="none"/>
        </w:rPr>
      </w:pPr>
    </w:p>
    <w:p w14:paraId="333A557B">
      <w:pPr>
        <w:spacing w:line="400" w:lineRule="exact"/>
        <w:rPr>
          <w:rFonts w:hint="eastAsia" w:ascii="宋体" w:hAnsi="宋体" w:eastAsia="宋体" w:cs="宋体"/>
          <w:bCs/>
          <w:color w:val="auto"/>
          <w:sz w:val="24"/>
          <w:szCs w:val="24"/>
          <w:highlight w:val="none"/>
        </w:rPr>
      </w:pPr>
    </w:p>
    <w:p w14:paraId="69F8515D">
      <w:pPr>
        <w:spacing w:line="400" w:lineRule="exact"/>
        <w:rPr>
          <w:rFonts w:hint="eastAsia" w:ascii="宋体" w:hAnsi="宋体" w:eastAsia="宋体" w:cs="宋体"/>
          <w:bCs/>
          <w:color w:val="auto"/>
          <w:sz w:val="24"/>
          <w:szCs w:val="24"/>
          <w:highlight w:val="none"/>
        </w:rPr>
      </w:pPr>
    </w:p>
    <w:p w14:paraId="4263A679">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甲方单位：</w:t>
      </w:r>
      <w:r>
        <w:rPr>
          <w:rFonts w:hint="eastAsia" w:ascii="宋体" w:hAnsi="宋体" w:eastAsia="宋体" w:cs="宋体"/>
          <w:bCs/>
          <w:color w:val="auto"/>
          <w:sz w:val="24"/>
          <w:szCs w:val="24"/>
          <w:highlight w:val="none"/>
          <w:u w:val="single"/>
        </w:rPr>
        <w:t xml:space="preserve">               （盖章）</w:t>
      </w:r>
      <w:r>
        <w:rPr>
          <w:rFonts w:hint="eastAsia" w:ascii="宋体" w:hAnsi="宋体" w:eastAsia="宋体" w:cs="宋体"/>
          <w:bCs/>
          <w:color w:val="auto"/>
          <w:sz w:val="24"/>
          <w:szCs w:val="24"/>
          <w:highlight w:val="none"/>
        </w:rPr>
        <w:t xml:space="preserve">      乙方单位：</w:t>
      </w:r>
      <w:r>
        <w:rPr>
          <w:rFonts w:hint="eastAsia" w:ascii="宋体" w:hAnsi="宋体" w:eastAsia="宋体" w:cs="宋体"/>
          <w:bCs/>
          <w:color w:val="auto"/>
          <w:sz w:val="24"/>
          <w:szCs w:val="24"/>
          <w:highlight w:val="none"/>
          <w:u w:val="single"/>
        </w:rPr>
        <w:t xml:space="preserve">                （盖章）</w:t>
      </w:r>
    </w:p>
    <w:p w14:paraId="0D509279">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                           法定代表人或</w:t>
      </w:r>
    </w:p>
    <w:p w14:paraId="0A86D1CB">
      <w:pPr>
        <w:spacing w:line="500" w:lineRule="exact"/>
        <w:ind w:left="479" w:leftChars="228"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其授权的代理人：</w:t>
      </w:r>
      <w:r>
        <w:rPr>
          <w:rFonts w:hint="eastAsia" w:ascii="宋体" w:hAnsi="宋体" w:eastAsia="宋体" w:cs="宋体"/>
          <w:bCs/>
          <w:color w:val="auto"/>
          <w:sz w:val="24"/>
          <w:szCs w:val="24"/>
          <w:highlight w:val="none"/>
          <w:u w:val="single"/>
        </w:rPr>
        <w:t xml:space="preserve">         （签</w:t>
      </w:r>
      <w:r>
        <w:rPr>
          <w:rFonts w:hint="eastAsia" w:ascii="宋体" w:hAnsi="宋体" w:eastAsia="宋体" w:cs="宋体"/>
          <w:bCs/>
          <w:color w:val="auto"/>
          <w:sz w:val="24"/>
          <w:szCs w:val="24"/>
          <w:highlight w:val="none"/>
          <w:u w:val="single"/>
          <w:lang w:eastAsia="zh-CN"/>
        </w:rPr>
        <w:t>字或盖章</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其授权的代理人：</w:t>
      </w:r>
      <w:r>
        <w:rPr>
          <w:rFonts w:hint="eastAsia" w:ascii="宋体" w:hAnsi="宋体" w:eastAsia="宋体" w:cs="宋体"/>
          <w:bCs/>
          <w:color w:val="auto"/>
          <w:sz w:val="24"/>
          <w:szCs w:val="24"/>
          <w:highlight w:val="none"/>
          <w:u w:val="single"/>
        </w:rPr>
        <w:t xml:space="preserve">    （签</w:t>
      </w:r>
      <w:r>
        <w:rPr>
          <w:rFonts w:hint="eastAsia" w:ascii="宋体" w:hAnsi="宋体" w:eastAsia="宋体" w:cs="宋体"/>
          <w:bCs/>
          <w:color w:val="auto"/>
          <w:sz w:val="24"/>
          <w:szCs w:val="24"/>
          <w:highlight w:val="none"/>
          <w:u w:val="single"/>
          <w:lang w:eastAsia="zh-CN"/>
        </w:rPr>
        <w:t>字或盖章</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地址：</w:t>
      </w:r>
      <w:r>
        <w:rPr>
          <w:rFonts w:hint="eastAsia" w:ascii="宋体" w:hAnsi="宋体" w:eastAsia="宋体" w:cs="宋体"/>
          <w:bCs/>
          <w:color w:val="auto"/>
          <w:sz w:val="24"/>
          <w:szCs w:val="24"/>
          <w:highlight w:val="none"/>
          <w:u w:val="single"/>
        </w:rPr>
        <w:t xml:space="preserve">                            </w:t>
      </w:r>
    </w:p>
    <w:p w14:paraId="44E6DEC8">
      <w:pPr>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电话：</w:t>
      </w:r>
      <w:r>
        <w:rPr>
          <w:rFonts w:hint="eastAsia" w:ascii="宋体" w:hAnsi="宋体" w:eastAsia="宋体" w:cs="宋体"/>
          <w:bCs/>
          <w:color w:val="auto"/>
          <w:sz w:val="24"/>
          <w:szCs w:val="24"/>
          <w:highlight w:val="none"/>
          <w:u w:val="single"/>
        </w:rPr>
        <w:t xml:space="preserve">                            </w:t>
      </w:r>
    </w:p>
    <w:p w14:paraId="6E045833">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28626C5">
      <w:pPr>
        <w:jc w:val="center"/>
        <w:rPr>
          <w:rFonts w:hint="eastAsia"/>
          <w:color w:val="auto"/>
          <w:highlight w:val="none"/>
        </w:rPr>
      </w:pPr>
    </w:p>
    <w:p w14:paraId="7DBAE0DD">
      <w:pPr>
        <w:spacing w:line="500" w:lineRule="exact"/>
        <w:rPr>
          <w:rFonts w:ascii="宋体" w:hAnsi="Courier New" w:eastAsia="宋体" w:cs="Times New Roman"/>
          <w:color w:val="auto"/>
          <w:sz w:val="24"/>
          <w:szCs w:val="24"/>
          <w:highlight w:val="none"/>
          <w:shd w:val="clear" w:color="auto" w:fill="FFFFFF"/>
        </w:rPr>
      </w:pPr>
    </w:p>
    <w:p w14:paraId="0FEF6DB5">
      <w:pPr>
        <w:spacing w:line="500" w:lineRule="exact"/>
        <w:rPr>
          <w:rFonts w:ascii="宋体" w:hAnsi="Courier New" w:eastAsia="宋体" w:cs="Times New Roman"/>
          <w:color w:val="auto"/>
          <w:sz w:val="24"/>
          <w:szCs w:val="24"/>
          <w:highlight w:val="none"/>
          <w:shd w:val="clear" w:color="auto" w:fill="FFFFFF"/>
        </w:rPr>
      </w:pPr>
    </w:p>
    <w:p w14:paraId="28D37981">
      <w:pPr>
        <w:rPr>
          <w:rFonts w:ascii="宋体" w:hAnsi="Courier New" w:eastAsia="宋体" w:cs="Times New Roman"/>
          <w:color w:val="auto"/>
          <w:sz w:val="24"/>
          <w:szCs w:val="24"/>
          <w:highlight w:val="none"/>
          <w:shd w:val="clear" w:color="auto" w:fill="FFFFFF"/>
        </w:rPr>
      </w:pPr>
      <w:r>
        <w:rPr>
          <w:rFonts w:ascii="宋体" w:hAnsi="Courier New" w:eastAsia="宋体" w:cs="Times New Roman"/>
          <w:color w:val="auto"/>
          <w:sz w:val="24"/>
          <w:szCs w:val="24"/>
          <w:highlight w:val="none"/>
          <w:shd w:val="clear" w:color="auto" w:fill="FFFFFF"/>
        </w:rPr>
        <w:br w:type="page"/>
      </w:r>
    </w:p>
    <w:p w14:paraId="6D1A7A93">
      <w:pPr>
        <w:pStyle w:val="2"/>
        <w:spacing w:before="160" w:after="160"/>
        <w:jc w:val="center"/>
        <w:rPr>
          <w:color w:val="auto"/>
          <w:highlight w:val="none"/>
        </w:rPr>
      </w:pPr>
      <w:bookmarkStart w:id="26" w:name="_Toc16597"/>
      <w:r>
        <w:rPr>
          <w:rFonts w:hint="eastAsia"/>
          <w:color w:val="auto"/>
          <w:highlight w:val="none"/>
        </w:rPr>
        <w:t>第六章 响应文件格式</w:t>
      </w:r>
      <w:bookmarkEnd w:id="26"/>
    </w:p>
    <w:p w14:paraId="52ED4E52">
      <w:pPr>
        <w:pStyle w:val="3"/>
        <w:spacing w:before="0" w:after="0" w:line="360" w:lineRule="auto"/>
        <w:ind w:firstLine="424" w:firstLineChars="151"/>
        <w:rPr>
          <w:color w:val="auto"/>
          <w:highlight w:val="none"/>
        </w:rPr>
      </w:pPr>
      <w:r>
        <w:rPr>
          <w:rFonts w:hint="eastAsia"/>
          <w:color w:val="auto"/>
          <w:sz w:val="28"/>
          <w:highlight w:val="none"/>
        </w:rPr>
        <w:t>1.所有响应文件封面格式：</w:t>
      </w:r>
    </w:p>
    <w:p w14:paraId="587E421D">
      <w:pPr>
        <w:snapToGrid w:val="0"/>
        <w:spacing w:before="156" w:beforeLines="50" w:after="50"/>
        <w:jc w:val="right"/>
        <w:rPr>
          <w:rFonts w:ascii="宋体" w:hAnsi="宋体"/>
          <w:b/>
          <w:bCs/>
          <w:color w:val="auto"/>
          <w:sz w:val="32"/>
          <w:szCs w:val="20"/>
          <w:highlight w:val="none"/>
        </w:rPr>
      </w:pPr>
      <w:r>
        <w:rPr>
          <w:rFonts w:ascii="宋体" w:hAnsi="宋体"/>
          <w:color w:val="auto"/>
          <w:sz w:val="24"/>
          <w:highlight w:val="none"/>
        </w:rPr>
        <w:t xml:space="preserve">   </w:t>
      </w:r>
    </w:p>
    <w:p w14:paraId="5BCB4E5A">
      <w:pPr>
        <w:snapToGrid w:val="0"/>
        <w:spacing w:before="156" w:beforeLines="50" w:after="50"/>
        <w:rPr>
          <w:rFonts w:ascii="宋体" w:hAnsi="宋体"/>
          <w:color w:val="auto"/>
          <w:sz w:val="24"/>
          <w:szCs w:val="20"/>
          <w:highlight w:val="none"/>
        </w:rPr>
      </w:pPr>
    </w:p>
    <w:p w14:paraId="64EC90E0">
      <w:pPr>
        <w:snapToGrid w:val="0"/>
        <w:spacing w:before="156" w:beforeLines="50" w:after="5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5CB0A0DD">
      <w:pPr>
        <w:snapToGrid w:val="0"/>
        <w:spacing w:before="156" w:beforeLines="50" w:after="50"/>
        <w:jc w:val="center"/>
        <w:rPr>
          <w:rFonts w:ascii="宋体" w:hAnsi="宋体"/>
          <w:bCs/>
          <w:color w:val="auto"/>
          <w:sz w:val="24"/>
          <w:highlight w:val="none"/>
        </w:rPr>
      </w:pPr>
    </w:p>
    <w:p w14:paraId="42BD65C1">
      <w:pPr>
        <w:snapToGrid w:val="0"/>
        <w:spacing w:before="156" w:beforeLines="50" w:after="50"/>
        <w:jc w:val="center"/>
        <w:rPr>
          <w:rFonts w:ascii="宋体" w:hAnsi="宋体"/>
          <w:bCs/>
          <w:color w:val="auto"/>
          <w:sz w:val="24"/>
          <w:szCs w:val="20"/>
          <w:highlight w:val="none"/>
        </w:rPr>
      </w:pPr>
      <w:r>
        <w:rPr>
          <w:rFonts w:hint="eastAsia" w:ascii="宋体" w:hAnsi="宋体"/>
          <w:bCs/>
          <w:color w:val="auto"/>
          <w:sz w:val="24"/>
          <w:highlight w:val="none"/>
        </w:rPr>
        <w:t>资格响应文件</w:t>
      </w:r>
    </w:p>
    <w:p w14:paraId="3CC3E5A6">
      <w:pPr>
        <w:snapToGrid w:val="0"/>
        <w:spacing w:before="156" w:beforeLines="50" w:after="50"/>
        <w:rPr>
          <w:rFonts w:ascii="宋体" w:hAnsi="宋体"/>
          <w:bCs/>
          <w:color w:val="auto"/>
          <w:sz w:val="24"/>
          <w:szCs w:val="20"/>
          <w:highlight w:val="none"/>
        </w:rPr>
      </w:pPr>
    </w:p>
    <w:p w14:paraId="5C55AA2A">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43BE1EC8">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55B98A8C">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04E95C31">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7CAF5AD2">
      <w:pPr>
        <w:pStyle w:val="5"/>
        <w:snapToGrid w:val="0"/>
        <w:spacing w:before="50" w:after="50"/>
        <w:ind w:firstLine="960" w:firstLineChars="400"/>
        <w:rPr>
          <w:rFonts w:ascii="宋体" w:hAnsi="宋体"/>
          <w:bCs/>
          <w:color w:val="auto"/>
          <w:sz w:val="24"/>
          <w:szCs w:val="24"/>
          <w:highlight w:val="none"/>
        </w:rPr>
      </w:pPr>
    </w:p>
    <w:p w14:paraId="31B749E7">
      <w:pPr>
        <w:snapToGrid w:val="0"/>
        <w:spacing w:before="156" w:beforeLines="50" w:after="50"/>
        <w:ind w:firstLine="4080" w:firstLineChars="1700"/>
        <w:rPr>
          <w:rFonts w:ascii="宋体" w:hAnsi="宋体"/>
          <w:color w:val="auto"/>
          <w:sz w:val="24"/>
          <w:szCs w:val="20"/>
          <w:highlight w:val="none"/>
        </w:rPr>
      </w:pPr>
    </w:p>
    <w:p w14:paraId="52FDBCFD">
      <w:pPr>
        <w:snapToGrid w:val="0"/>
        <w:spacing w:before="156" w:beforeLines="50" w:after="50"/>
        <w:ind w:firstLine="645"/>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642DF6D5">
      <w:pPr>
        <w:rPr>
          <w:color w:val="auto"/>
          <w:highlight w:val="none"/>
        </w:rPr>
      </w:pPr>
    </w:p>
    <w:p w14:paraId="724DD6F2">
      <w:pPr>
        <w:rPr>
          <w:color w:val="auto"/>
          <w:highlight w:val="none"/>
        </w:rPr>
      </w:pPr>
    </w:p>
    <w:p w14:paraId="40ACF777">
      <w:pPr>
        <w:rPr>
          <w:color w:val="auto"/>
          <w:highlight w:val="none"/>
        </w:rPr>
      </w:pPr>
    </w:p>
    <w:p w14:paraId="525BD0FE">
      <w:pPr>
        <w:rPr>
          <w:color w:val="auto"/>
          <w:highlight w:val="none"/>
        </w:rPr>
      </w:pPr>
    </w:p>
    <w:p w14:paraId="6B3ACEBE">
      <w:pPr>
        <w:rPr>
          <w:color w:val="auto"/>
          <w:highlight w:val="none"/>
        </w:rPr>
      </w:pPr>
    </w:p>
    <w:p w14:paraId="70124A25">
      <w:pPr>
        <w:rPr>
          <w:color w:val="auto"/>
          <w:highlight w:val="none"/>
        </w:rPr>
      </w:pPr>
    </w:p>
    <w:p w14:paraId="141E9C62">
      <w:pPr>
        <w:rPr>
          <w:color w:val="auto"/>
          <w:highlight w:val="none"/>
        </w:rPr>
      </w:pPr>
    </w:p>
    <w:p w14:paraId="698DBF7B">
      <w:pPr>
        <w:rPr>
          <w:color w:val="auto"/>
          <w:highlight w:val="none"/>
        </w:rPr>
      </w:pPr>
    </w:p>
    <w:p w14:paraId="6C2F0D74">
      <w:pPr>
        <w:rPr>
          <w:color w:val="auto"/>
          <w:highlight w:val="none"/>
        </w:rPr>
      </w:pPr>
    </w:p>
    <w:p w14:paraId="60F6AA4C">
      <w:pPr>
        <w:rPr>
          <w:color w:val="auto"/>
          <w:highlight w:val="none"/>
        </w:rPr>
      </w:pPr>
    </w:p>
    <w:p w14:paraId="6C38CF71">
      <w:pPr>
        <w:rPr>
          <w:color w:val="auto"/>
          <w:highlight w:val="none"/>
        </w:rPr>
      </w:pPr>
    </w:p>
    <w:p w14:paraId="4F34D551">
      <w:pPr>
        <w:rPr>
          <w:color w:val="auto"/>
          <w:highlight w:val="none"/>
        </w:rPr>
      </w:pPr>
    </w:p>
    <w:p w14:paraId="2E338306">
      <w:pPr>
        <w:rPr>
          <w:color w:val="auto"/>
          <w:highlight w:val="none"/>
        </w:rPr>
      </w:pPr>
    </w:p>
    <w:p w14:paraId="518D6AEA">
      <w:pPr>
        <w:pStyle w:val="3"/>
        <w:spacing w:before="0" w:after="0" w:line="360" w:lineRule="auto"/>
        <w:ind w:firstLine="424" w:firstLineChars="151"/>
        <w:rPr>
          <w:color w:val="auto"/>
          <w:sz w:val="28"/>
          <w:highlight w:val="none"/>
        </w:rPr>
      </w:pPr>
      <w:r>
        <w:rPr>
          <w:rFonts w:hint="eastAsia"/>
          <w:color w:val="auto"/>
          <w:sz w:val="28"/>
          <w:highlight w:val="none"/>
        </w:rPr>
        <w:t>2.响应声明书格式</w:t>
      </w:r>
    </w:p>
    <w:p w14:paraId="1E2A62F8">
      <w:pPr>
        <w:snapToGrid w:val="0"/>
        <w:spacing w:before="156" w:beforeLines="50" w:after="50"/>
        <w:jc w:val="center"/>
        <w:rPr>
          <w:rFonts w:ascii="宋体" w:hAnsi="宋体"/>
          <w:b/>
          <w:color w:val="auto"/>
          <w:sz w:val="24"/>
          <w:highlight w:val="none"/>
        </w:rPr>
      </w:pPr>
      <w:r>
        <w:rPr>
          <w:rFonts w:hint="eastAsia" w:ascii="宋体" w:hAnsi="宋体"/>
          <w:b/>
          <w:color w:val="auto"/>
          <w:sz w:val="24"/>
          <w:highlight w:val="none"/>
        </w:rPr>
        <w:t>响应声明书</w:t>
      </w:r>
    </w:p>
    <w:p w14:paraId="74A19A5B">
      <w:pPr>
        <w:adjustRightInd w:val="0"/>
        <w:snapToGrid w:val="0"/>
        <w:spacing w:after="50" w:line="440" w:lineRule="exact"/>
        <w:rPr>
          <w:rFonts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浦江龙耀交通资源投资有限公司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（征集人）：</w:t>
      </w:r>
    </w:p>
    <w:p w14:paraId="1CA5CEE7">
      <w:pPr>
        <w:adjustRightInd w:val="0"/>
        <w:snapToGrid w:val="0"/>
        <w:spacing w:after="50" w:line="440" w:lineRule="exact"/>
        <w:ind w:firstLine="720" w:firstLineChars="300"/>
        <w:rPr>
          <w:rFonts w:ascii="宋体" w:hAnsi="宋体" w:cs="宋体"/>
          <w:color w:val="auto"/>
          <w:sz w:val="24"/>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DBA732">
      <w:pPr>
        <w:adjustRightInd w:val="0"/>
        <w:snapToGrid w:val="0"/>
        <w:spacing w:after="50" w:line="440" w:lineRule="exact"/>
        <w:ind w:firstLine="645"/>
        <w:rPr>
          <w:rFonts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（响应方名称）的法定代表人，我方愿意参加贵方组织的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）的征集响应，为此，我方就本次响应有关事项郑重声明如下：</w:t>
      </w:r>
    </w:p>
    <w:p w14:paraId="00E65F38">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highlight w:val="none"/>
        </w:rPr>
        <w:t>1.</w:t>
      </w:r>
      <w:r>
        <w:rPr>
          <w:rFonts w:hint="eastAsia" w:ascii="宋体" w:hAnsi="宋体" w:eastAsia="宋体" w:cs="宋体"/>
          <w:color w:val="auto"/>
          <w:sz w:val="24"/>
          <w:szCs w:val="24"/>
          <w:highlight w:val="none"/>
        </w:rPr>
        <w:t xml:space="preserve"> 我方已详细审查全部征集文件，同意征集文件的各项要求，对征集文件的合理性、合法性不再有异议。</w:t>
      </w:r>
    </w:p>
    <w:p w14:paraId="5F2EE82C">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我方向贵方提交的所有响应文件、资料都是准确的和真实的。</w:t>
      </w:r>
    </w:p>
    <w:p w14:paraId="2A91309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若入围，我方将按征集文件规定履行框架协议责任和义务，承诺按</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要求做好保密工作。</w:t>
      </w:r>
    </w:p>
    <w:p w14:paraId="199AF812">
      <w:pPr>
        <w:adjustRightInd w:val="0"/>
        <w:snapToGrid w:val="0"/>
        <w:spacing w:after="50"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 我方不是</w:t>
      </w:r>
      <w:r>
        <w:rPr>
          <w:rFonts w:hint="eastAsia" w:hAnsi="宋体" w:cs="宋体"/>
          <w:color w:val="auto"/>
          <w:sz w:val="24"/>
          <w:szCs w:val="24"/>
          <w:highlight w:val="none"/>
          <w:lang w:val="en-US" w:eastAsia="zh-CN"/>
        </w:rPr>
        <w:t>征集</w:t>
      </w:r>
      <w:r>
        <w:rPr>
          <w:rFonts w:hint="eastAsia" w:hAnsi="宋体" w:cs="宋体"/>
          <w:color w:val="auto"/>
          <w:sz w:val="24"/>
          <w:szCs w:val="24"/>
          <w:highlight w:val="none"/>
        </w:rPr>
        <w:t>人的附属机构。</w:t>
      </w:r>
    </w:p>
    <w:p w14:paraId="3EC7246F">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响应文件自开标日起有效期为90天。</w:t>
      </w:r>
    </w:p>
    <w:p w14:paraId="2E1B710F">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 xml:space="preserve"> 我方承诺已经具备参与采购活动的资格条件并且没有税收缴纳、社会保障等方面的失信记录；</w:t>
      </w:r>
    </w:p>
    <w:p w14:paraId="719D00E7">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 xml:space="preserve">7. </w:t>
      </w:r>
      <w:r>
        <w:rPr>
          <w:rFonts w:hint="eastAsia" w:hAnsi="宋体" w:cs="宋体"/>
          <w:color w:val="auto"/>
          <w:sz w:val="24"/>
          <w:szCs w:val="24"/>
          <w:highlight w:val="none"/>
        </w:rPr>
        <w:t>我方与参加本次项目同一合同项下采购活动的其他供应商不存在单位负责人为同一人或者直接控股、管理关系。</w:t>
      </w:r>
    </w:p>
    <w:p w14:paraId="179F86B4">
      <w:pPr>
        <w:adjustRightInd w:val="0"/>
        <w:snapToGrid w:val="0"/>
        <w:spacing w:after="50" w:line="440" w:lineRule="exact"/>
        <w:ind w:firstLine="480" w:firstLineChars="200"/>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以上事项如有虚假或隐瞒，我方愿意承担一切后果，并不再寻求任何旨在减轻或免除法律责任的辩解。</w:t>
      </w:r>
    </w:p>
    <w:p w14:paraId="12A79B91">
      <w:pPr>
        <w:snapToGrid w:val="0"/>
        <w:spacing w:before="156" w:beforeLines="50" w:after="50" w:line="440" w:lineRule="exact"/>
        <w:ind w:firstLine="480" w:firstLineChars="200"/>
        <w:rPr>
          <w:rFonts w:hAnsi="宋体" w:cs="宋体"/>
          <w:color w:val="auto"/>
          <w:sz w:val="24"/>
          <w:szCs w:val="24"/>
          <w:highlight w:val="none"/>
        </w:rPr>
      </w:pPr>
    </w:p>
    <w:p w14:paraId="4EED8815">
      <w:pPr>
        <w:snapToGrid w:val="0"/>
        <w:spacing w:before="156" w:beforeLines="50"/>
        <w:ind w:right="480" w:firstLine="3720" w:firstLineChars="1550"/>
        <w:rPr>
          <w:rFonts w:ascii="宋体" w:hAnsi="宋体" w:cs="宋体"/>
          <w:color w:val="auto"/>
          <w:sz w:val="24"/>
          <w:szCs w:val="20"/>
          <w:highlight w:val="none"/>
          <w:u w:val="single"/>
        </w:rPr>
      </w:pPr>
      <w:r>
        <w:rPr>
          <w:rFonts w:hint="eastAsia" w:ascii="宋体" w:hAnsi="宋体" w:cs="宋体"/>
          <w:color w:val="auto"/>
          <w:sz w:val="24"/>
          <w:highlight w:val="none"/>
        </w:rPr>
        <w:t>法定代表人（签名或盖章）：</w:t>
      </w:r>
      <w:r>
        <w:rPr>
          <w:rFonts w:hint="eastAsia" w:ascii="宋体" w:hAnsi="宋体" w:cs="宋体"/>
          <w:color w:val="auto"/>
          <w:sz w:val="24"/>
          <w:highlight w:val="none"/>
          <w:u w:val="single"/>
        </w:rPr>
        <w:t xml:space="preserve">             </w:t>
      </w:r>
    </w:p>
    <w:p w14:paraId="18CC6447">
      <w:pPr>
        <w:snapToGrid w:val="0"/>
        <w:spacing w:before="156" w:beforeLines="50" w:after="50"/>
        <w:ind w:right="480" w:firstLine="240" w:firstLineChars="100"/>
        <w:jc w:val="center"/>
        <w:rPr>
          <w:rFonts w:ascii="宋体" w:hAnsi="宋体" w:cs="宋体"/>
          <w:color w:val="auto"/>
          <w:sz w:val="24"/>
          <w:highlight w:val="none"/>
        </w:rPr>
      </w:pPr>
      <w:r>
        <w:rPr>
          <w:rFonts w:hint="eastAsia" w:ascii="宋体" w:hAnsi="宋体" w:cs="宋体"/>
          <w:color w:val="auto"/>
          <w:sz w:val="24"/>
          <w:highlight w:val="none"/>
        </w:rPr>
        <w:t xml:space="preserve">             响应供应商（盖章）：</w:t>
      </w:r>
      <w:r>
        <w:rPr>
          <w:rFonts w:hint="eastAsia" w:ascii="宋体" w:hAnsi="宋体" w:cs="宋体"/>
          <w:color w:val="auto"/>
          <w:sz w:val="24"/>
          <w:highlight w:val="none"/>
          <w:u w:val="single"/>
        </w:rPr>
        <w:t xml:space="preserve">               </w:t>
      </w:r>
    </w:p>
    <w:p w14:paraId="5A973F8E">
      <w:pPr>
        <w:rPr>
          <w:rFonts w:ascii="宋体" w:hAnsi="宋体" w:cs="宋体"/>
          <w:color w:val="auto"/>
          <w:sz w:val="24"/>
          <w:highlight w:val="none"/>
        </w:rPr>
      </w:pPr>
      <w:r>
        <w:rPr>
          <w:rFonts w:hint="eastAsia" w:ascii="宋体" w:hAnsi="宋体" w:cs="宋体"/>
          <w:color w:val="auto"/>
          <w:sz w:val="24"/>
          <w:highlight w:val="none"/>
        </w:rPr>
        <w:t xml:space="preserve">                                                       年    月    日</w:t>
      </w:r>
    </w:p>
    <w:p w14:paraId="7BB7820F">
      <w:pPr>
        <w:rPr>
          <w:rFonts w:ascii="宋体" w:hAnsi="宋体" w:cs="宋体"/>
          <w:color w:val="auto"/>
          <w:sz w:val="24"/>
          <w:highlight w:val="none"/>
        </w:rPr>
      </w:pPr>
    </w:p>
    <w:p w14:paraId="08A0F955">
      <w:pPr>
        <w:rPr>
          <w:rFonts w:ascii="宋体" w:hAnsi="宋体" w:cs="宋体"/>
          <w:color w:val="auto"/>
          <w:sz w:val="24"/>
          <w:highlight w:val="none"/>
        </w:rPr>
      </w:pPr>
    </w:p>
    <w:p w14:paraId="2A3130AE">
      <w:pPr>
        <w:rPr>
          <w:rFonts w:ascii="宋体" w:hAnsi="宋体" w:cs="宋体"/>
          <w:color w:val="auto"/>
          <w:sz w:val="24"/>
          <w:highlight w:val="none"/>
        </w:rPr>
        <w:sectPr>
          <w:pgSz w:w="11906" w:h="16838"/>
          <w:pgMar w:top="1440" w:right="1463" w:bottom="1440" w:left="1463" w:header="851" w:footer="992" w:gutter="0"/>
          <w:pgNumType w:fmt="decimal"/>
          <w:cols w:space="425" w:num="1"/>
          <w:docGrid w:type="lines" w:linePitch="312" w:charSpace="0"/>
        </w:sectPr>
      </w:pPr>
    </w:p>
    <w:p w14:paraId="32AFB5DD">
      <w:pPr>
        <w:pStyle w:val="3"/>
        <w:spacing w:before="0" w:after="0" w:line="360" w:lineRule="auto"/>
        <w:ind w:firstLine="424" w:firstLineChars="151"/>
        <w:rPr>
          <w:color w:val="auto"/>
          <w:sz w:val="28"/>
          <w:highlight w:val="none"/>
        </w:rPr>
      </w:pPr>
      <w:r>
        <w:rPr>
          <w:rFonts w:hint="eastAsia"/>
          <w:color w:val="auto"/>
          <w:sz w:val="28"/>
          <w:highlight w:val="none"/>
        </w:rPr>
        <w:t>3.法定代表人授权委托书格式</w:t>
      </w:r>
    </w:p>
    <w:p w14:paraId="66D74A47">
      <w:pPr>
        <w:snapToGrid w:val="0"/>
        <w:spacing w:before="156" w:beforeLines="50" w:after="50"/>
        <w:jc w:val="center"/>
        <w:rPr>
          <w:rFonts w:ascii="宋体" w:hAnsi="宋体"/>
          <w:b/>
          <w:color w:val="auto"/>
          <w:sz w:val="24"/>
          <w:szCs w:val="20"/>
          <w:highlight w:val="none"/>
        </w:rPr>
      </w:pPr>
      <w:r>
        <w:rPr>
          <w:rFonts w:hint="eastAsia" w:ascii="宋体" w:hAnsi="宋体"/>
          <w:b/>
          <w:color w:val="auto"/>
          <w:sz w:val="24"/>
          <w:highlight w:val="none"/>
        </w:rPr>
        <w:t>法定代表人授权委托书</w:t>
      </w:r>
    </w:p>
    <w:p w14:paraId="70C7E5FC">
      <w:pPr>
        <w:adjustRightInd w:val="0"/>
        <w:snapToGrid w:val="0"/>
        <w:spacing w:line="440" w:lineRule="exact"/>
        <w:rPr>
          <w:rFonts w:ascii="宋体" w:hAnsi="宋体"/>
          <w:b/>
          <w:bCs/>
          <w:color w:val="auto"/>
          <w:sz w:val="24"/>
          <w:szCs w:val="20"/>
          <w:highlight w:val="none"/>
        </w:rPr>
      </w:pPr>
      <w:r>
        <w:rPr>
          <w:rFonts w:hint="eastAsia" w:ascii="宋体" w:hAnsi="宋体"/>
          <w:bCs/>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浦江龙耀交通资源投资有限公司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（征集人（主管预算单位））：</w:t>
      </w:r>
    </w:p>
    <w:p w14:paraId="77E519A7">
      <w:pPr>
        <w:adjustRightInd w:val="0"/>
        <w:snapToGrid w:val="0"/>
        <w:spacing w:line="440" w:lineRule="exact"/>
        <w:ind w:firstLine="720" w:firstLineChars="300"/>
        <w:rPr>
          <w:rFonts w:ascii="宋体" w:hAnsi="宋体"/>
          <w:color w:val="auto"/>
          <w:sz w:val="24"/>
          <w:szCs w:val="20"/>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（响应供应商名称）的法定代表人，现授权委托本单位在职职工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项目的采购活动，并代表我方全权办理针对上述项目的响应、评审、签约等具体事务和签署相关文件。</w:t>
      </w:r>
    </w:p>
    <w:p w14:paraId="068EC8CA">
      <w:pPr>
        <w:adjustRightInd w:val="0"/>
        <w:snapToGrid w:val="0"/>
        <w:spacing w:line="440" w:lineRule="exact"/>
        <w:rPr>
          <w:rFonts w:ascii="宋体" w:hAnsi="宋体"/>
          <w:color w:val="auto"/>
          <w:sz w:val="24"/>
          <w:szCs w:val="20"/>
          <w:highlight w:val="none"/>
        </w:rPr>
      </w:pPr>
      <w:r>
        <w:rPr>
          <w:rFonts w:hint="eastAsia" w:ascii="宋体" w:hAnsi="宋体"/>
          <w:color w:val="auto"/>
          <w:sz w:val="24"/>
          <w:highlight w:val="none"/>
        </w:rPr>
        <w:t xml:space="preserve">    我方对被授权人的签名事项负全部责任。</w:t>
      </w:r>
    </w:p>
    <w:p w14:paraId="3413BA5F">
      <w:pPr>
        <w:adjustRightInd w:val="0"/>
        <w:snapToGrid w:val="0"/>
        <w:spacing w:line="440" w:lineRule="exact"/>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8263D52">
      <w:pPr>
        <w:adjustRightInd w:val="0"/>
        <w:snapToGrid w:val="0"/>
        <w:spacing w:line="440" w:lineRule="exact"/>
        <w:ind w:firstLine="480"/>
        <w:rPr>
          <w:rFonts w:ascii="宋体" w:hAnsi="宋体"/>
          <w:color w:val="auto"/>
          <w:sz w:val="24"/>
          <w:szCs w:val="20"/>
          <w:highlight w:val="none"/>
        </w:rPr>
      </w:pPr>
      <w:r>
        <w:rPr>
          <w:rFonts w:hint="eastAsia" w:ascii="宋体" w:hAnsi="宋体"/>
          <w:color w:val="auto"/>
          <w:sz w:val="24"/>
          <w:highlight w:val="none"/>
        </w:rPr>
        <w:t>被授权人无转委托权，特此委托。</w:t>
      </w:r>
    </w:p>
    <w:p w14:paraId="4C773015">
      <w:pPr>
        <w:adjustRightInd w:val="0"/>
        <w:snapToGrid w:val="0"/>
        <w:spacing w:line="440" w:lineRule="exact"/>
        <w:rPr>
          <w:rFonts w:ascii="宋体" w:hAnsi="宋体"/>
          <w:color w:val="auto"/>
          <w:sz w:val="24"/>
          <w:szCs w:val="20"/>
          <w:highlight w:val="none"/>
        </w:rPr>
      </w:pPr>
    </w:p>
    <w:p w14:paraId="11A9D205">
      <w:pPr>
        <w:adjustRightInd w:val="0"/>
        <w:snapToGrid w:val="0"/>
        <w:spacing w:line="440" w:lineRule="exact"/>
        <w:rPr>
          <w:rFonts w:ascii="宋体" w:hAnsi="宋体"/>
          <w:color w:val="auto"/>
          <w:sz w:val="24"/>
          <w:szCs w:val="20"/>
          <w:highlight w:val="none"/>
          <w:u w:val="single"/>
        </w:rPr>
      </w:pPr>
      <w:r>
        <w:rPr>
          <w:rFonts w:hint="eastAsia" w:ascii="宋体" w:hAnsi="宋体"/>
          <w:color w:val="auto"/>
          <w:sz w:val="24"/>
          <w:highlight w:val="none"/>
        </w:rPr>
        <w:t>被授权人签名：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法定代表人签名：</w:t>
      </w:r>
      <w:r>
        <w:rPr>
          <w:rFonts w:hint="eastAsia" w:ascii="宋体" w:hAnsi="宋体"/>
          <w:color w:val="auto"/>
          <w:sz w:val="24"/>
          <w:highlight w:val="none"/>
          <w:u w:val="single"/>
        </w:rPr>
        <w:t xml:space="preserve">          </w:t>
      </w:r>
    </w:p>
    <w:p w14:paraId="6C197748">
      <w:pPr>
        <w:adjustRightInd w:val="0"/>
        <w:snapToGrid w:val="0"/>
        <w:spacing w:line="440" w:lineRule="exact"/>
        <w:ind w:firstLine="960" w:firstLineChars="400"/>
        <w:rPr>
          <w:rFonts w:ascii="宋体" w:hAnsi="宋体"/>
          <w:color w:val="auto"/>
          <w:sz w:val="24"/>
          <w:szCs w:val="24"/>
          <w:highlight w:val="none"/>
          <w:u w:val="singl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7620450E">
      <w:pPr>
        <w:adjustRightInd w:val="0"/>
        <w:snapToGrid w:val="0"/>
        <w:spacing w:line="440" w:lineRule="exact"/>
        <w:ind w:firstLine="960" w:firstLineChars="400"/>
        <w:rPr>
          <w:rFonts w:ascii="宋体" w:hAnsi="宋体"/>
          <w:color w:val="auto"/>
          <w:sz w:val="24"/>
          <w:szCs w:val="20"/>
          <w:highlight w:val="none"/>
        </w:rPr>
      </w:pP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szCs w:val="20"/>
          <w:highlight w:val="none"/>
        </w:rPr>
        <w:t>联系电话：</w:t>
      </w:r>
      <w:r>
        <w:rPr>
          <w:rFonts w:hint="eastAsia" w:ascii="宋体" w:hAnsi="宋体"/>
          <w:color w:val="auto"/>
          <w:sz w:val="24"/>
          <w:highlight w:val="none"/>
          <w:u w:val="single"/>
        </w:rPr>
        <w:t xml:space="preserve">              </w:t>
      </w:r>
    </w:p>
    <w:p w14:paraId="1922EFF6">
      <w:pPr>
        <w:adjustRightInd w:val="0"/>
        <w:snapToGrid w:val="0"/>
        <w:spacing w:line="440" w:lineRule="exact"/>
        <w:rPr>
          <w:rFonts w:ascii="宋体" w:hAnsi="宋体"/>
          <w:color w:val="auto"/>
          <w:sz w:val="24"/>
          <w:szCs w:val="20"/>
          <w:highlight w:val="none"/>
        </w:rPr>
      </w:pPr>
      <w:r>
        <w:rPr>
          <w:rFonts w:hint="eastAsia" w:ascii="宋体" w:hAnsi="宋体"/>
          <w:color w:val="auto"/>
          <w:sz w:val="24"/>
          <w:highlight w:val="none"/>
        </w:rPr>
        <w:t>被授权人身份证号码：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B87F149">
      <w:pPr>
        <w:adjustRightInd w:val="0"/>
        <w:snapToGrid w:val="0"/>
        <w:spacing w:line="440" w:lineRule="exact"/>
        <w:rPr>
          <w:rFonts w:ascii="宋体" w:hAnsi="宋体"/>
          <w:color w:val="auto"/>
          <w:sz w:val="24"/>
          <w:szCs w:val="20"/>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s="宋体"/>
          <w:color w:val="auto"/>
          <w:sz w:val="24"/>
          <w:highlight w:val="none"/>
          <w:u w:val="single"/>
        </w:rPr>
        <w:t xml:space="preserve">               </w:t>
      </w:r>
    </w:p>
    <w:p w14:paraId="63E1F25F">
      <w:pPr>
        <w:adjustRightInd w:val="0"/>
        <w:snapToGrid w:val="0"/>
        <w:spacing w:line="440" w:lineRule="exact"/>
        <w:jc w:val="center"/>
        <w:rPr>
          <w:rFonts w:ascii="宋体" w:hAnsi="宋体"/>
          <w:color w:val="auto"/>
          <w:sz w:val="24"/>
          <w:szCs w:val="20"/>
          <w:highlight w:val="none"/>
        </w:rPr>
      </w:pPr>
      <w:r>
        <w:rPr>
          <w:rFonts w:hint="eastAsia" w:ascii="宋体" w:hAnsi="宋体"/>
          <w:color w:val="auto"/>
          <w:sz w:val="24"/>
          <w:highlight w:val="none"/>
        </w:rPr>
        <w:t xml:space="preserve">                                        年    月    日</w:t>
      </w:r>
    </w:p>
    <w:p w14:paraId="17B6370A">
      <w:pPr>
        <w:snapToGrid w:val="0"/>
        <w:spacing w:before="156" w:beforeLines="50" w:after="50"/>
        <w:ind w:firstLine="3600" w:firstLineChars="1500"/>
        <w:rPr>
          <w:rFonts w:ascii="宋体" w:hAnsi="宋体"/>
          <w:color w:val="auto"/>
          <w:sz w:val="24"/>
          <w:szCs w:val="20"/>
          <w:highlight w:val="none"/>
        </w:rPr>
      </w:pPr>
    </w:p>
    <w:p w14:paraId="3264E23C">
      <w:pPr>
        <w:snapToGrid w:val="0"/>
        <w:spacing w:before="156" w:beforeLines="50" w:after="50"/>
        <w:rPr>
          <w:rFonts w:ascii="宋体" w:hAnsi="宋体"/>
          <w:color w:val="auto"/>
          <w:sz w:val="24"/>
          <w:szCs w:val="24"/>
          <w:highlight w:val="none"/>
        </w:rPr>
      </w:pPr>
      <w:r>
        <w:rPr>
          <w:rFonts w:hint="eastAsia" w:ascii="宋体" w:hAnsi="宋体"/>
          <w:color w:val="auto"/>
          <w:sz w:val="24"/>
          <w:highlight w:val="none"/>
        </w:rPr>
        <w:t>法定代表人身份证扫描件：</w:t>
      </w:r>
    </w:p>
    <w:p w14:paraId="2F450B7E">
      <w:pPr>
        <w:snapToGrid w:val="0"/>
        <w:spacing w:before="156" w:beforeLines="50" w:after="50"/>
        <w:rPr>
          <w:rFonts w:ascii="宋体" w:hAnsi="宋体"/>
          <w:color w:val="auto"/>
          <w:sz w:val="24"/>
          <w:highlight w:val="none"/>
        </w:rPr>
      </w:pPr>
    </w:p>
    <w:p w14:paraId="36B5EDBB">
      <w:pPr>
        <w:snapToGrid w:val="0"/>
        <w:spacing w:before="156" w:beforeLines="50" w:after="50"/>
        <w:rPr>
          <w:rFonts w:ascii="宋体" w:hAnsi="宋体"/>
          <w:color w:val="auto"/>
          <w:sz w:val="24"/>
          <w:highlight w:val="none"/>
        </w:rPr>
      </w:pPr>
    </w:p>
    <w:p w14:paraId="201FF6CE">
      <w:pPr>
        <w:snapToGrid w:val="0"/>
        <w:spacing w:before="156" w:beforeLines="50" w:after="50"/>
        <w:rPr>
          <w:rFonts w:ascii="宋体" w:hAnsi="宋体"/>
          <w:color w:val="auto"/>
          <w:sz w:val="24"/>
          <w:highlight w:val="none"/>
        </w:rPr>
      </w:pPr>
    </w:p>
    <w:p w14:paraId="18A75DD0">
      <w:pPr>
        <w:snapToGrid w:val="0"/>
        <w:spacing w:before="156" w:beforeLines="50" w:after="50"/>
        <w:rPr>
          <w:rFonts w:ascii="宋体" w:hAnsi="宋体"/>
          <w:color w:val="auto"/>
          <w:sz w:val="24"/>
          <w:highlight w:val="none"/>
        </w:rPr>
      </w:pPr>
      <w:r>
        <w:rPr>
          <w:rFonts w:hint="eastAsia" w:ascii="宋体" w:hAnsi="宋体"/>
          <w:color w:val="auto"/>
          <w:sz w:val="24"/>
          <w:highlight w:val="none"/>
        </w:rPr>
        <w:t>被授权人身份证扫描件：</w:t>
      </w:r>
    </w:p>
    <w:p w14:paraId="55F8D710">
      <w:pPr>
        <w:snapToGrid w:val="0"/>
        <w:spacing w:before="156" w:beforeLines="50" w:after="50"/>
        <w:rPr>
          <w:rFonts w:ascii="宋体" w:hAnsi="宋体"/>
          <w:color w:val="auto"/>
          <w:sz w:val="24"/>
          <w:highlight w:val="none"/>
        </w:rPr>
      </w:pPr>
    </w:p>
    <w:p w14:paraId="0BF08059">
      <w:pPr>
        <w:snapToGrid w:val="0"/>
        <w:spacing w:before="156" w:beforeLines="50" w:after="50"/>
        <w:rPr>
          <w:rFonts w:ascii="宋体" w:hAnsi="宋体"/>
          <w:color w:val="auto"/>
          <w:sz w:val="24"/>
          <w:highlight w:val="none"/>
        </w:rPr>
      </w:pPr>
    </w:p>
    <w:p w14:paraId="60481223">
      <w:pPr>
        <w:snapToGrid w:val="0"/>
        <w:spacing w:before="156" w:beforeLines="50" w:after="50"/>
        <w:rPr>
          <w:rFonts w:ascii="宋体" w:hAnsi="宋体"/>
          <w:color w:val="auto"/>
          <w:sz w:val="24"/>
          <w:highlight w:val="none"/>
        </w:rPr>
      </w:pPr>
    </w:p>
    <w:p w14:paraId="1B98F708">
      <w:pPr>
        <w:rPr>
          <w:color w:val="auto"/>
          <w:highlight w:val="none"/>
        </w:rPr>
      </w:pPr>
    </w:p>
    <w:p w14:paraId="407D8878">
      <w:pPr>
        <w:rPr>
          <w:color w:val="auto"/>
          <w:highlight w:val="none"/>
        </w:rPr>
      </w:pPr>
    </w:p>
    <w:p w14:paraId="6D4DB966">
      <w:pPr>
        <w:rPr>
          <w:color w:val="auto"/>
          <w:highlight w:val="none"/>
        </w:rPr>
      </w:pPr>
    </w:p>
    <w:p w14:paraId="3600760A">
      <w:pPr>
        <w:rPr>
          <w:color w:val="auto"/>
          <w:highlight w:val="none"/>
        </w:rPr>
      </w:pPr>
    </w:p>
    <w:p w14:paraId="1A00DBB1">
      <w:pPr>
        <w:pStyle w:val="3"/>
        <w:spacing w:before="0" w:after="0" w:line="360" w:lineRule="auto"/>
        <w:ind w:firstLine="424" w:firstLineChars="151"/>
        <w:rPr>
          <w:color w:val="auto"/>
          <w:highlight w:val="none"/>
        </w:rPr>
      </w:pPr>
      <w:r>
        <w:rPr>
          <w:rFonts w:hint="eastAsia"/>
          <w:color w:val="auto"/>
          <w:sz w:val="28"/>
          <w:highlight w:val="none"/>
          <w:lang w:val="en-US" w:eastAsia="zh-CN"/>
        </w:rPr>
        <w:t>4.技术商务文件</w:t>
      </w:r>
      <w:r>
        <w:rPr>
          <w:rFonts w:hint="eastAsia"/>
          <w:color w:val="auto"/>
          <w:sz w:val="28"/>
          <w:highlight w:val="none"/>
        </w:rPr>
        <w:t>封面格式：</w:t>
      </w:r>
    </w:p>
    <w:p w14:paraId="667C75F7">
      <w:pPr>
        <w:snapToGrid w:val="0"/>
        <w:spacing w:before="156" w:beforeLines="50" w:after="50"/>
        <w:jc w:val="left"/>
        <w:rPr>
          <w:rFonts w:hint="eastAsia" w:ascii="宋体" w:hAnsi="宋体"/>
          <w:bCs/>
          <w:color w:val="auto"/>
          <w:sz w:val="40"/>
          <w:szCs w:val="20"/>
          <w:highlight w:val="none"/>
        </w:rPr>
      </w:pPr>
    </w:p>
    <w:p w14:paraId="39AE909C">
      <w:pPr>
        <w:snapToGrid w:val="0"/>
        <w:spacing w:before="156" w:beforeLines="50" w:after="5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3BAECB91">
      <w:pPr>
        <w:snapToGrid w:val="0"/>
        <w:spacing w:before="156" w:beforeLines="50" w:after="50"/>
        <w:jc w:val="center"/>
        <w:rPr>
          <w:rFonts w:ascii="宋体" w:hAnsi="宋体"/>
          <w:bCs/>
          <w:color w:val="auto"/>
          <w:sz w:val="24"/>
          <w:highlight w:val="none"/>
        </w:rPr>
      </w:pPr>
    </w:p>
    <w:p w14:paraId="62913E5C">
      <w:pPr>
        <w:snapToGrid w:val="0"/>
        <w:spacing w:before="156" w:beforeLines="50" w:after="50"/>
        <w:jc w:val="center"/>
        <w:rPr>
          <w:rFonts w:ascii="宋体" w:hAnsi="宋体"/>
          <w:bCs/>
          <w:color w:val="auto"/>
          <w:sz w:val="24"/>
          <w:szCs w:val="20"/>
          <w:highlight w:val="none"/>
        </w:rPr>
      </w:pPr>
      <w:r>
        <w:rPr>
          <w:rFonts w:hint="eastAsia" w:ascii="宋体" w:hAnsi="宋体"/>
          <w:bCs/>
          <w:color w:val="auto"/>
          <w:sz w:val="24"/>
          <w:highlight w:val="none"/>
        </w:rPr>
        <w:t>技术商务文件</w:t>
      </w:r>
    </w:p>
    <w:p w14:paraId="683D7C9D">
      <w:pPr>
        <w:snapToGrid w:val="0"/>
        <w:spacing w:before="156" w:beforeLines="50" w:after="50"/>
        <w:rPr>
          <w:rFonts w:ascii="宋体" w:hAnsi="宋体"/>
          <w:bCs/>
          <w:color w:val="auto"/>
          <w:sz w:val="24"/>
          <w:szCs w:val="20"/>
          <w:highlight w:val="none"/>
        </w:rPr>
      </w:pPr>
    </w:p>
    <w:p w14:paraId="40FEC9D0">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71DBBC1B">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36CD3914">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2E52D60F">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57A71309">
      <w:pPr>
        <w:pStyle w:val="5"/>
        <w:snapToGrid w:val="0"/>
        <w:spacing w:before="50" w:after="50"/>
        <w:ind w:firstLine="960" w:firstLineChars="400"/>
        <w:rPr>
          <w:rFonts w:ascii="宋体" w:hAnsi="宋体"/>
          <w:bCs/>
          <w:color w:val="auto"/>
          <w:sz w:val="24"/>
          <w:szCs w:val="24"/>
          <w:highlight w:val="none"/>
        </w:rPr>
      </w:pPr>
    </w:p>
    <w:p w14:paraId="65B1C6E6">
      <w:pPr>
        <w:snapToGrid w:val="0"/>
        <w:spacing w:before="156" w:beforeLines="50" w:after="50"/>
        <w:ind w:firstLine="4080" w:firstLineChars="1700"/>
        <w:rPr>
          <w:rFonts w:ascii="宋体" w:hAnsi="宋体"/>
          <w:color w:val="auto"/>
          <w:sz w:val="24"/>
          <w:szCs w:val="20"/>
          <w:highlight w:val="none"/>
        </w:rPr>
      </w:pPr>
    </w:p>
    <w:p w14:paraId="6E35A2CF">
      <w:pPr>
        <w:snapToGrid w:val="0"/>
        <w:spacing w:before="156" w:beforeLines="50" w:after="50"/>
        <w:ind w:firstLine="645"/>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4EFA8B7F">
      <w:pPr>
        <w:rPr>
          <w:color w:val="auto"/>
          <w:highlight w:val="none"/>
        </w:rPr>
      </w:pPr>
    </w:p>
    <w:p w14:paraId="4B74CD27">
      <w:pPr>
        <w:rPr>
          <w:color w:val="auto"/>
          <w:highlight w:val="none"/>
        </w:rPr>
      </w:pPr>
    </w:p>
    <w:p w14:paraId="7FC6C327">
      <w:pPr>
        <w:rPr>
          <w:rFonts w:hint="eastAsia"/>
          <w:color w:val="auto"/>
          <w:sz w:val="28"/>
          <w:highlight w:val="none"/>
          <w:lang w:val="en-US" w:eastAsia="zh-CN"/>
        </w:rPr>
      </w:pPr>
      <w:r>
        <w:rPr>
          <w:rFonts w:hint="eastAsia"/>
          <w:color w:val="auto"/>
          <w:sz w:val="28"/>
          <w:highlight w:val="none"/>
          <w:lang w:val="en-US" w:eastAsia="zh-CN"/>
        </w:rPr>
        <w:br w:type="page"/>
      </w:r>
    </w:p>
    <w:p w14:paraId="4389C125">
      <w:pPr>
        <w:pStyle w:val="3"/>
        <w:spacing w:before="0" w:after="0" w:line="360" w:lineRule="auto"/>
        <w:ind w:firstLine="424" w:firstLineChars="151"/>
        <w:rPr>
          <w:color w:val="auto"/>
          <w:sz w:val="28"/>
          <w:highlight w:val="none"/>
        </w:rPr>
      </w:pPr>
      <w:r>
        <w:rPr>
          <w:rFonts w:hint="eastAsia"/>
          <w:color w:val="auto"/>
          <w:sz w:val="28"/>
          <w:highlight w:val="none"/>
          <w:lang w:val="en-US" w:eastAsia="zh-CN"/>
        </w:rPr>
        <w:t>5</w:t>
      </w:r>
      <w:r>
        <w:rPr>
          <w:rFonts w:hint="eastAsia"/>
          <w:color w:val="auto"/>
          <w:sz w:val="28"/>
          <w:highlight w:val="none"/>
        </w:rPr>
        <w:t>.承诺书格式</w:t>
      </w:r>
    </w:p>
    <w:p w14:paraId="0CE3C810">
      <w:pPr>
        <w:snapToGrid w:val="0"/>
        <w:spacing w:before="156" w:beforeLines="50" w:after="50"/>
        <w:jc w:val="center"/>
        <w:rPr>
          <w:rFonts w:ascii="宋体" w:hAnsi="宋体"/>
          <w:b/>
          <w:color w:val="auto"/>
          <w:sz w:val="24"/>
          <w:highlight w:val="none"/>
        </w:rPr>
      </w:pPr>
      <w:r>
        <w:rPr>
          <w:rFonts w:hint="eastAsia" w:ascii="宋体" w:hAnsi="宋体"/>
          <w:b/>
          <w:color w:val="auto"/>
          <w:sz w:val="24"/>
          <w:highlight w:val="none"/>
        </w:rPr>
        <w:t>承 诺 书</w:t>
      </w:r>
    </w:p>
    <w:p w14:paraId="02F0E4C9">
      <w:pPr>
        <w:adjustRightInd w:val="0"/>
        <w:snapToGrid w:val="0"/>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浦江龙耀交通资源投资有限公司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浦江县产权交易有限公司</w:t>
      </w:r>
      <w:r>
        <w:rPr>
          <w:rFonts w:hint="eastAsia" w:ascii="宋体" w:hAnsi="宋体" w:eastAsia="宋体" w:cs="宋体"/>
          <w:color w:val="auto"/>
          <w:sz w:val="24"/>
          <w:szCs w:val="24"/>
          <w:highlight w:val="none"/>
          <w:u w:val="single"/>
        </w:rPr>
        <w:t>：</w:t>
      </w:r>
    </w:p>
    <w:p w14:paraId="00A0A25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浦江县202</w:t>
      </w:r>
      <w:r>
        <w:rPr>
          <w:rFonts w:hint="eastAsia" w:ascii="宋体" w:hAnsi="宋体" w:eastAsia="宋体" w:cs="宋体"/>
          <w:color w:val="auto"/>
          <w:sz w:val="24"/>
          <w:szCs w:val="24"/>
          <w:highlight w:val="none"/>
          <w:u w:val="single"/>
          <w:lang w:val="en-US" w:eastAsia="zh-CN"/>
        </w:rPr>
        <w:t>4-2026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eastAsia="zh-CN"/>
        </w:rPr>
        <w:t>度</w:t>
      </w:r>
      <w:r>
        <w:rPr>
          <w:rFonts w:hint="eastAsia" w:ascii="宋体" w:hAnsi="宋体" w:eastAsia="宋体" w:cs="宋体"/>
          <w:color w:val="auto"/>
          <w:sz w:val="24"/>
          <w:szCs w:val="24"/>
          <w:highlight w:val="none"/>
          <w:u w:val="single"/>
        </w:rPr>
        <w:t>地质灾害治理工程</w:t>
      </w:r>
      <w:r>
        <w:rPr>
          <w:rFonts w:hint="eastAsia" w:ascii="宋体" w:hAnsi="宋体" w:eastAsia="宋体" w:cs="宋体"/>
          <w:color w:val="auto"/>
          <w:sz w:val="24"/>
          <w:szCs w:val="24"/>
          <w:highlight w:val="none"/>
          <w:u w:val="single"/>
          <w:lang w:eastAsia="zh-CN"/>
        </w:rPr>
        <w:t>建设项目小额配套服务（监理</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封闭式框架协议项目</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PJCQKJ(LYJT)2024-092001</w:t>
      </w:r>
      <w:r>
        <w:rPr>
          <w:rFonts w:hint="eastAsia" w:ascii="宋体" w:hAnsi="宋体" w:eastAsia="宋体" w:cs="宋体"/>
          <w:color w:val="auto"/>
          <w:sz w:val="24"/>
          <w:szCs w:val="24"/>
          <w:highlight w:val="none"/>
        </w:rPr>
        <w:t>要求，我方在入围范围内郑重承诺如下：</w:t>
      </w:r>
    </w:p>
    <w:p w14:paraId="095B1E3C">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对自身及在协议履行期间的行为承担责任，保证如发现我方因自身原因违反征集文件、响应文件、协议的有关规定或承诺，征集人可以根据上述文件材料规定做出处理，采购监督管理部门有权根据《中华人民共和国政府采购法》等法律法规对我方进行处罚，直至取消我方入围资格，情节严重的，列入政府采购不良供应商名单并追究法律责任。</w:t>
      </w:r>
    </w:p>
    <w:p w14:paraId="7DC1A499">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三、我方承诺按照征集文件《</w:t>
      </w:r>
      <w:r>
        <w:rPr>
          <w:rFonts w:hint="eastAsia" w:ascii="宋体" w:hAnsi="宋体" w:eastAsia="宋体" w:cs="宋体"/>
          <w:color w:val="auto"/>
          <w:sz w:val="24"/>
          <w:szCs w:val="24"/>
          <w:highlight w:val="none"/>
          <w:u w:val="single"/>
        </w:rPr>
        <w:t>浦江县202</w:t>
      </w:r>
      <w:r>
        <w:rPr>
          <w:rFonts w:hint="eastAsia" w:ascii="宋体" w:hAnsi="宋体" w:eastAsia="宋体" w:cs="宋体"/>
          <w:color w:val="auto"/>
          <w:sz w:val="24"/>
          <w:szCs w:val="24"/>
          <w:highlight w:val="none"/>
          <w:u w:val="single"/>
          <w:lang w:val="en-US" w:eastAsia="zh-CN"/>
        </w:rPr>
        <w:t>4-2026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eastAsia="zh-CN"/>
        </w:rPr>
        <w:t>度</w:t>
      </w:r>
      <w:r>
        <w:rPr>
          <w:rFonts w:hint="eastAsia" w:ascii="宋体" w:hAnsi="宋体" w:eastAsia="宋体" w:cs="宋体"/>
          <w:color w:val="auto"/>
          <w:sz w:val="24"/>
          <w:szCs w:val="24"/>
          <w:highlight w:val="none"/>
          <w:u w:val="single"/>
        </w:rPr>
        <w:t>地质灾害治理工程</w:t>
      </w:r>
      <w:r>
        <w:rPr>
          <w:rFonts w:hint="eastAsia" w:ascii="宋体" w:hAnsi="宋体" w:eastAsia="宋体" w:cs="宋体"/>
          <w:color w:val="auto"/>
          <w:sz w:val="24"/>
          <w:szCs w:val="24"/>
          <w:highlight w:val="none"/>
          <w:u w:val="single"/>
          <w:lang w:eastAsia="zh-CN"/>
        </w:rPr>
        <w:t>建设项目小额配套服务（监理</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封闭式框架协议项目</w:t>
      </w:r>
      <w:r>
        <w:rPr>
          <w:rFonts w:hint="eastAsia" w:ascii="宋体" w:hAnsi="宋体" w:eastAsia="宋体" w:cs="宋体"/>
          <w:color w:val="auto"/>
          <w:sz w:val="24"/>
          <w:szCs w:val="24"/>
          <w:highlight w:val="none"/>
        </w:rPr>
        <w:t>》要求执行。</w:t>
      </w:r>
    </w:p>
    <w:p w14:paraId="6883D3E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、我方承诺做到以下要求:</w:t>
      </w:r>
    </w:p>
    <w:p w14:paraId="58B04A28">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1.自觉遵守相关法律、法规及有关规定，遵守廉政纪律和职业道德，保守</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及相关当事人资料数据的秘密；</w:t>
      </w:r>
    </w:p>
    <w:p w14:paraId="6B7A5253">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的有关规定，按</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的质量和进度要求</w:t>
      </w:r>
      <w:r>
        <w:rPr>
          <w:rFonts w:hint="eastAsia" w:ascii="宋体" w:hAnsi="宋体" w:eastAsia="宋体" w:cs="宋体"/>
          <w:color w:val="auto"/>
          <w:sz w:val="24"/>
          <w:szCs w:val="24"/>
          <w:highlight w:val="none"/>
          <w:lang w:eastAsia="zh-CN"/>
        </w:rPr>
        <w:t>进行项目的实施</w:t>
      </w:r>
      <w:r>
        <w:rPr>
          <w:rFonts w:hint="eastAsia" w:ascii="宋体" w:hAnsi="宋体" w:eastAsia="宋体" w:cs="宋体"/>
          <w:color w:val="auto"/>
          <w:sz w:val="24"/>
          <w:szCs w:val="24"/>
          <w:highlight w:val="none"/>
        </w:rPr>
        <w:t>；</w:t>
      </w:r>
    </w:p>
    <w:p w14:paraId="0AC632F9">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3.不得将承接的业务对外转包，不以任何借口违反相关</w:t>
      </w:r>
      <w:r>
        <w:rPr>
          <w:rFonts w:hint="eastAsia" w:ascii="宋体" w:hAnsi="宋体" w:eastAsia="宋体" w:cs="宋体"/>
          <w:color w:val="auto"/>
          <w:sz w:val="24"/>
          <w:szCs w:val="24"/>
          <w:highlight w:val="none"/>
          <w:lang w:val="en-US" w:eastAsia="zh-CN"/>
        </w:rPr>
        <w:t>法律规定</w:t>
      </w:r>
      <w:r>
        <w:rPr>
          <w:rFonts w:hint="eastAsia" w:ascii="宋体" w:hAnsi="宋体" w:eastAsia="宋体" w:cs="宋体"/>
          <w:color w:val="auto"/>
          <w:sz w:val="24"/>
          <w:szCs w:val="24"/>
          <w:highlight w:val="none"/>
        </w:rPr>
        <w:t>，降低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w:t>
      </w:r>
    </w:p>
    <w:p w14:paraId="3163F1E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4.愿意接受相关部门对</w:t>
      </w:r>
      <w:r>
        <w:rPr>
          <w:rFonts w:hint="eastAsia" w:ascii="宋体" w:hAnsi="宋体" w:eastAsia="宋体" w:cs="宋体"/>
          <w:color w:val="auto"/>
          <w:sz w:val="24"/>
          <w:szCs w:val="24"/>
          <w:highlight w:val="none"/>
          <w:lang w:eastAsia="zh-CN"/>
        </w:rPr>
        <w:t>服务成果的检验</w:t>
      </w:r>
      <w:r>
        <w:rPr>
          <w:rFonts w:hint="eastAsia" w:ascii="宋体" w:hAnsi="宋体" w:eastAsia="宋体" w:cs="宋体"/>
          <w:color w:val="auto"/>
          <w:sz w:val="24"/>
          <w:szCs w:val="24"/>
          <w:highlight w:val="none"/>
        </w:rPr>
        <w:t>。</w:t>
      </w:r>
    </w:p>
    <w:p w14:paraId="274016CF">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.入围后按本项目征集文件的规定和入围通知书的要求及时与征集人签订框架协议，无正当理由不得主动放弃入围资格或者退出框架协议。</w:t>
      </w:r>
    </w:p>
    <w:p w14:paraId="4B971BC9">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.第一阶段的响应报价（协议价格）是</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确定第二阶段成交供应商的最高限价。在接到</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订单（</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合同授予）后，无正当理由不得拖延、拒绝、取消订单，应按本项目征集文件、框架协议规定及时与</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签订合同。</w:t>
      </w:r>
    </w:p>
    <w:p w14:paraId="35AA64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.按征集文件规定的要求和合同文本格式编制合同。</w:t>
      </w:r>
    </w:p>
    <w:p w14:paraId="35AED15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签订合同后应积极履行合同义务，按约定的时间和要求完成</w:t>
      </w:r>
      <w:r>
        <w:rPr>
          <w:rFonts w:hint="eastAsia" w:ascii="宋体" w:hAnsi="宋体" w:eastAsia="宋体" w:cs="宋体"/>
          <w:color w:val="auto"/>
          <w:sz w:val="24"/>
          <w:szCs w:val="24"/>
          <w:highlight w:val="none"/>
          <w:lang w:eastAsia="zh-CN"/>
        </w:rPr>
        <w:t>项目的供货</w:t>
      </w:r>
      <w:r>
        <w:rPr>
          <w:rFonts w:hint="eastAsia" w:ascii="宋体" w:hAnsi="宋体" w:eastAsia="宋体" w:cs="宋体"/>
          <w:color w:val="auto"/>
          <w:sz w:val="24"/>
          <w:szCs w:val="24"/>
          <w:highlight w:val="none"/>
        </w:rPr>
        <w:t>。</w:t>
      </w:r>
    </w:p>
    <w:p w14:paraId="1F50D42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.在协议期内，如有信息变更（如变更法定代表人、主要负责人、联系人、联系电话、地址等），应</w:t>
      </w:r>
      <w:r>
        <w:rPr>
          <w:rFonts w:hint="eastAsia" w:ascii="宋体" w:hAnsi="宋体" w:eastAsia="宋体" w:cs="宋体"/>
          <w:color w:val="auto"/>
          <w:sz w:val="24"/>
          <w:szCs w:val="24"/>
          <w:highlight w:val="none"/>
          <w:lang w:eastAsia="zh-CN"/>
        </w:rPr>
        <w:t>及时</w:t>
      </w:r>
      <w:r>
        <w:rPr>
          <w:rFonts w:hint="eastAsia" w:ascii="宋体" w:hAnsi="宋体" w:eastAsia="宋体" w:cs="宋体"/>
          <w:color w:val="auto"/>
          <w:sz w:val="24"/>
          <w:szCs w:val="24"/>
          <w:highlight w:val="none"/>
        </w:rPr>
        <w:t>通知征集人，按征集人要求提供相关资料备案。</w:t>
      </w:r>
    </w:p>
    <w:p w14:paraId="3B5A9E2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.在协议期内，应遵守和履行本项目征集文件、框架协议的各项规定，遵守电子系统的操作规定和交易规则，积极配合征集人和采购监管部门的工作。</w:t>
      </w:r>
    </w:p>
    <w:p w14:paraId="44593EF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、我方具有健全内部控制和监督机制。</w:t>
      </w:r>
    </w:p>
    <w:p w14:paraId="708F80E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、我方具有项目所必需的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能力。</w:t>
      </w:r>
    </w:p>
    <w:p w14:paraId="1A680DDD">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、我方具有</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的能力并承担相应风险，能够依法维护委托人的权益并保守秘密。</w:t>
      </w:r>
    </w:p>
    <w:p w14:paraId="23FAD26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、贵方决定延长服务有效期，可通过“浙江政府采购网”公示，我方承诺若未在七日内提出书面异议的，即为接受贵方的要求。</w:t>
      </w:r>
    </w:p>
    <w:p w14:paraId="39A2FE7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、我方承诺无条件满足征集文件的各项要求。</w:t>
      </w:r>
    </w:p>
    <w:p w14:paraId="65FDF62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十、我方承诺按照国家、地方最新政策标准执行。</w:t>
      </w:r>
    </w:p>
    <w:p w14:paraId="0094664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、我方承诺对获知的所有有形、无形的信息及资料（包括但不限于双方的往来书面文字文件、电子邮件及信息、软盘资料等）中的商业秘密或国家秘密承担保密义务。我公司承诺按照</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的需要签订保密协议。</w:t>
      </w:r>
    </w:p>
    <w:p w14:paraId="45765E8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、我方承诺遵守促进绿色发展有关政策。供应商向</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47C2B6F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、我方谨承诺，除上述内容外，响应文件中全部信息及承诺内容以及在浙江政府采购网所填报的全部信息将成为本协议不可分割的一部分。</w:t>
      </w:r>
    </w:p>
    <w:p w14:paraId="264763BB">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本协议自我方盖章之日起至协议期满有效。</w:t>
      </w:r>
      <w:r>
        <w:rPr>
          <w:rFonts w:ascii="宋体" w:hAnsi="宋体" w:eastAsia="宋体" w:cs="宋体"/>
          <w:color w:val="auto"/>
          <w:sz w:val="24"/>
          <w:szCs w:val="24"/>
          <w:highlight w:val="none"/>
        </w:rPr>
        <w:t xml:space="preserve"> </w:t>
      </w:r>
    </w:p>
    <w:p w14:paraId="74983942">
      <w:pPr>
        <w:pStyle w:val="6"/>
        <w:snapToGrid w:val="0"/>
        <w:ind w:firstLine="480" w:firstLineChars="200"/>
        <w:jc w:val="center"/>
        <w:rPr>
          <w:rFonts w:hint="eastAsia" w:ascii="宋体" w:hAnsi="宋体" w:eastAsia="宋体" w:cs="宋体"/>
          <w:color w:val="auto"/>
          <w:sz w:val="24"/>
          <w:szCs w:val="24"/>
          <w:highlight w:val="none"/>
        </w:rPr>
      </w:pPr>
    </w:p>
    <w:p w14:paraId="1BB89CC9">
      <w:pPr>
        <w:pStyle w:val="6"/>
        <w:snapToGrid w:val="0"/>
        <w:ind w:firstLine="480" w:firstLineChars="200"/>
        <w:jc w:val="center"/>
        <w:rPr>
          <w:rFonts w:hint="eastAsia" w:ascii="宋体" w:hAnsi="宋体" w:eastAsia="宋体" w:cs="宋体"/>
          <w:color w:val="auto"/>
          <w:sz w:val="24"/>
          <w:szCs w:val="24"/>
          <w:highlight w:val="none"/>
        </w:rPr>
      </w:pPr>
    </w:p>
    <w:p w14:paraId="4C6980BF">
      <w:pPr>
        <w:pStyle w:val="6"/>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D80A351">
      <w:pPr>
        <w:snapToGrid w:val="0"/>
        <w:spacing w:before="50"/>
        <w:ind w:left="479" w:leftChars="228"/>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669AB6C">
      <w:pPr>
        <w:snapToGrid w:val="0"/>
        <w:spacing w:line="440" w:lineRule="exact"/>
        <w:jc w:val="right"/>
        <w:rPr>
          <w:rFonts w:ascii="宋体" w:hAnsi="宋体"/>
          <w:color w:val="auto"/>
          <w:sz w:val="24"/>
          <w:highlight w:val="none"/>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auto"/>
          <w:sz w:val="24"/>
          <w:highlight w:val="none"/>
        </w:rPr>
        <w:t>年    月   日</w:t>
      </w:r>
    </w:p>
    <w:p w14:paraId="2A7E0CE4">
      <w:pPr>
        <w:pStyle w:val="3"/>
        <w:spacing w:before="0" w:after="0" w:line="360" w:lineRule="auto"/>
        <w:ind w:firstLine="424" w:firstLineChars="151"/>
        <w:rPr>
          <w:color w:val="auto"/>
          <w:sz w:val="28"/>
          <w:highlight w:val="none"/>
        </w:rPr>
      </w:pPr>
      <w:r>
        <w:rPr>
          <w:rFonts w:hint="eastAsia"/>
          <w:color w:val="auto"/>
          <w:sz w:val="28"/>
          <w:highlight w:val="none"/>
          <w:lang w:val="en-US" w:eastAsia="zh-CN"/>
        </w:rPr>
        <w:t>6</w:t>
      </w:r>
      <w:r>
        <w:rPr>
          <w:rFonts w:hint="eastAsia"/>
          <w:color w:val="auto"/>
          <w:sz w:val="28"/>
          <w:highlight w:val="none"/>
        </w:rPr>
        <w:t>.业绩情况一览表格式</w:t>
      </w:r>
    </w:p>
    <w:p w14:paraId="6B6BBA97">
      <w:pPr>
        <w:snapToGrid w:val="0"/>
        <w:spacing w:before="156" w:beforeLines="50" w:after="360"/>
        <w:jc w:val="center"/>
        <w:rPr>
          <w:rFonts w:ascii="宋体" w:hAnsi="宋体"/>
          <w:b/>
          <w:color w:val="auto"/>
          <w:sz w:val="24"/>
          <w:highlight w:val="none"/>
        </w:rPr>
      </w:pPr>
      <w:r>
        <w:rPr>
          <w:rFonts w:hint="eastAsia" w:ascii="宋体" w:hAnsi="宋体"/>
          <w:b/>
          <w:color w:val="auto"/>
          <w:sz w:val="24"/>
          <w:highlight w:val="none"/>
        </w:rPr>
        <w:t>业绩情况一览表</w:t>
      </w:r>
    </w:p>
    <w:tbl>
      <w:tblPr>
        <w:tblStyle w:val="2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420"/>
        <w:gridCol w:w="1772"/>
        <w:gridCol w:w="1772"/>
        <w:gridCol w:w="1772"/>
        <w:gridCol w:w="1772"/>
        <w:gridCol w:w="1772"/>
        <w:gridCol w:w="1772"/>
      </w:tblGrid>
      <w:tr w14:paraId="7D98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3C1F5A5C">
            <w:pPr>
              <w:spacing w:line="440" w:lineRule="exact"/>
              <w:jc w:val="center"/>
              <w:rPr>
                <w:rFonts w:hAnsi="宋体" w:cs="宋体"/>
                <w:color w:val="auto"/>
                <w:sz w:val="24"/>
                <w:highlight w:val="none"/>
              </w:rPr>
            </w:pPr>
            <w:r>
              <w:rPr>
                <w:rFonts w:hint="eastAsia" w:hAnsi="宋体" w:cs="宋体"/>
                <w:color w:val="auto"/>
                <w:sz w:val="24"/>
                <w:highlight w:val="none"/>
              </w:rPr>
              <w:t>序号</w:t>
            </w:r>
          </w:p>
        </w:tc>
        <w:tc>
          <w:tcPr>
            <w:tcW w:w="2420" w:type="dxa"/>
            <w:vAlign w:val="center"/>
          </w:tcPr>
          <w:p w14:paraId="5EB5E183">
            <w:pPr>
              <w:spacing w:line="440" w:lineRule="exact"/>
              <w:jc w:val="center"/>
              <w:rPr>
                <w:rFonts w:hAnsi="宋体" w:cs="宋体"/>
                <w:color w:val="auto"/>
                <w:sz w:val="24"/>
                <w:highlight w:val="none"/>
              </w:rPr>
            </w:pPr>
            <w:r>
              <w:rPr>
                <w:rFonts w:hint="eastAsia" w:hAnsi="宋体" w:cs="宋体"/>
                <w:color w:val="auto"/>
                <w:sz w:val="24"/>
                <w:highlight w:val="none"/>
              </w:rPr>
              <w:t>审核类别</w:t>
            </w:r>
          </w:p>
        </w:tc>
        <w:tc>
          <w:tcPr>
            <w:tcW w:w="1772" w:type="dxa"/>
            <w:vAlign w:val="center"/>
          </w:tcPr>
          <w:p w14:paraId="12C22849">
            <w:pPr>
              <w:spacing w:line="440" w:lineRule="exact"/>
              <w:jc w:val="center"/>
              <w:rPr>
                <w:rFonts w:hAnsi="宋体" w:cs="宋体"/>
                <w:color w:val="auto"/>
                <w:sz w:val="24"/>
                <w:highlight w:val="none"/>
              </w:rPr>
            </w:pPr>
            <w:r>
              <w:rPr>
                <w:rFonts w:hint="eastAsia" w:hAnsi="宋体" w:cs="宋体"/>
                <w:color w:val="auto"/>
                <w:sz w:val="24"/>
                <w:highlight w:val="none"/>
              </w:rPr>
              <w:t>委托单位名称</w:t>
            </w:r>
          </w:p>
        </w:tc>
        <w:tc>
          <w:tcPr>
            <w:tcW w:w="1772" w:type="dxa"/>
            <w:vAlign w:val="center"/>
          </w:tcPr>
          <w:p w14:paraId="4E82CD8E">
            <w:pPr>
              <w:spacing w:line="440" w:lineRule="exact"/>
              <w:jc w:val="center"/>
              <w:rPr>
                <w:rFonts w:hAnsi="宋体" w:cs="宋体"/>
                <w:color w:val="auto"/>
                <w:sz w:val="24"/>
                <w:highlight w:val="none"/>
              </w:rPr>
            </w:pPr>
            <w:r>
              <w:rPr>
                <w:rFonts w:hint="eastAsia" w:hAnsi="宋体" w:cs="宋体"/>
                <w:color w:val="auto"/>
                <w:sz w:val="24"/>
                <w:highlight w:val="none"/>
              </w:rPr>
              <w:t>项目名称</w:t>
            </w:r>
          </w:p>
        </w:tc>
        <w:tc>
          <w:tcPr>
            <w:tcW w:w="1772" w:type="dxa"/>
            <w:vAlign w:val="center"/>
          </w:tcPr>
          <w:p w14:paraId="017823DB">
            <w:pPr>
              <w:spacing w:line="440" w:lineRule="exact"/>
              <w:jc w:val="center"/>
              <w:rPr>
                <w:rFonts w:hAnsi="宋体" w:cs="宋体"/>
                <w:color w:val="auto"/>
                <w:sz w:val="24"/>
                <w:highlight w:val="none"/>
              </w:rPr>
            </w:pPr>
            <w:r>
              <w:rPr>
                <w:rFonts w:hint="eastAsia" w:hAnsi="宋体" w:cs="宋体"/>
                <w:color w:val="auto"/>
                <w:sz w:val="24"/>
                <w:highlight w:val="none"/>
              </w:rPr>
              <w:t>项目规模</w:t>
            </w:r>
          </w:p>
          <w:p w14:paraId="23002A46">
            <w:pPr>
              <w:spacing w:line="440" w:lineRule="exact"/>
              <w:jc w:val="center"/>
              <w:rPr>
                <w:rFonts w:hAnsi="宋体" w:cs="宋体"/>
                <w:color w:val="auto"/>
                <w:sz w:val="24"/>
                <w:highlight w:val="none"/>
              </w:rPr>
            </w:pPr>
            <w:r>
              <w:rPr>
                <w:rFonts w:hint="eastAsia" w:hAnsi="宋体" w:cs="宋体"/>
                <w:color w:val="auto"/>
                <w:sz w:val="24"/>
                <w:highlight w:val="none"/>
              </w:rPr>
              <w:t>（万元）</w:t>
            </w:r>
          </w:p>
        </w:tc>
        <w:tc>
          <w:tcPr>
            <w:tcW w:w="1772" w:type="dxa"/>
            <w:vAlign w:val="center"/>
          </w:tcPr>
          <w:p w14:paraId="25929A89">
            <w:pPr>
              <w:spacing w:line="440" w:lineRule="exact"/>
              <w:jc w:val="center"/>
              <w:rPr>
                <w:rFonts w:hAnsi="宋体" w:cs="宋体"/>
                <w:color w:val="auto"/>
                <w:sz w:val="24"/>
                <w:highlight w:val="none"/>
              </w:rPr>
            </w:pPr>
            <w:r>
              <w:rPr>
                <w:rFonts w:hint="eastAsia" w:hAnsi="宋体" w:cs="宋体"/>
                <w:color w:val="auto"/>
                <w:sz w:val="24"/>
                <w:highlight w:val="none"/>
              </w:rPr>
              <w:t>合同签订日期</w:t>
            </w:r>
          </w:p>
        </w:tc>
        <w:tc>
          <w:tcPr>
            <w:tcW w:w="1772" w:type="dxa"/>
            <w:vAlign w:val="center"/>
          </w:tcPr>
          <w:p w14:paraId="1CBD9BE3">
            <w:pPr>
              <w:spacing w:line="440" w:lineRule="exact"/>
              <w:jc w:val="center"/>
              <w:rPr>
                <w:rFonts w:hAnsi="宋体" w:cs="宋体"/>
                <w:color w:val="auto"/>
                <w:sz w:val="24"/>
                <w:highlight w:val="none"/>
              </w:rPr>
            </w:pPr>
            <w:r>
              <w:rPr>
                <w:rFonts w:hint="eastAsia" w:hAnsi="宋体" w:cs="宋体"/>
                <w:color w:val="auto"/>
                <w:sz w:val="24"/>
                <w:highlight w:val="none"/>
              </w:rPr>
              <w:t>合同</w:t>
            </w:r>
          </w:p>
          <w:p w14:paraId="2AE00E41">
            <w:pPr>
              <w:spacing w:line="440" w:lineRule="exact"/>
              <w:jc w:val="center"/>
              <w:rPr>
                <w:rFonts w:hAnsi="宋体" w:cs="宋体"/>
                <w:color w:val="auto"/>
                <w:sz w:val="24"/>
                <w:highlight w:val="none"/>
              </w:rPr>
            </w:pPr>
            <w:r>
              <w:rPr>
                <w:rFonts w:hint="eastAsia" w:hAnsi="宋体" w:cs="宋体"/>
                <w:color w:val="auto"/>
                <w:sz w:val="24"/>
                <w:highlight w:val="none"/>
              </w:rPr>
              <w:t>（附件页码）</w:t>
            </w:r>
          </w:p>
        </w:tc>
        <w:tc>
          <w:tcPr>
            <w:tcW w:w="1772" w:type="dxa"/>
            <w:vAlign w:val="center"/>
          </w:tcPr>
          <w:p w14:paraId="4F61B920">
            <w:pPr>
              <w:spacing w:line="440" w:lineRule="exact"/>
              <w:jc w:val="center"/>
              <w:rPr>
                <w:rFonts w:hAnsi="宋体" w:cs="宋体"/>
                <w:color w:val="auto"/>
                <w:sz w:val="24"/>
                <w:highlight w:val="none"/>
              </w:rPr>
            </w:pPr>
            <w:r>
              <w:rPr>
                <w:rFonts w:hint="eastAsia" w:hAnsi="宋体" w:cs="宋体"/>
                <w:color w:val="auto"/>
                <w:sz w:val="24"/>
                <w:highlight w:val="none"/>
              </w:rPr>
              <w:t>采购单位联系人及联系电话</w:t>
            </w:r>
          </w:p>
        </w:tc>
      </w:tr>
      <w:tr w14:paraId="0D2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6E9C4DF0">
            <w:pPr>
              <w:jc w:val="center"/>
              <w:rPr>
                <w:color w:val="auto"/>
                <w:highlight w:val="none"/>
              </w:rPr>
            </w:pPr>
          </w:p>
        </w:tc>
        <w:tc>
          <w:tcPr>
            <w:tcW w:w="2420" w:type="dxa"/>
            <w:vAlign w:val="center"/>
          </w:tcPr>
          <w:p w14:paraId="0BEB089C">
            <w:pPr>
              <w:jc w:val="center"/>
              <w:rPr>
                <w:color w:val="auto"/>
                <w:highlight w:val="none"/>
              </w:rPr>
            </w:pPr>
          </w:p>
        </w:tc>
        <w:tc>
          <w:tcPr>
            <w:tcW w:w="1772" w:type="dxa"/>
            <w:vAlign w:val="center"/>
          </w:tcPr>
          <w:p w14:paraId="54629481">
            <w:pPr>
              <w:jc w:val="center"/>
              <w:rPr>
                <w:color w:val="auto"/>
                <w:highlight w:val="none"/>
              </w:rPr>
            </w:pPr>
          </w:p>
        </w:tc>
        <w:tc>
          <w:tcPr>
            <w:tcW w:w="1772" w:type="dxa"/>
            <w:vAlign w:val="center"/>
          </w:tcPr>
          <w:p w14:paraId="1C345412">
            <w:pPr>
              <w:jc w:val="center"/>
              <w:rPr>
                <w:color w:val="auto"/>
                <w:highlight w:val="none"/>
              </w:rPr>
            </w:pPr>
          </w:p>
        </w:tc>
        <w:tc>
          <w:tcPr>
            <w:tcW w:w="1772" w:type="dxa"/>
            <w:vAlign w:val="center"/>
          </w:tcPr>
          <w:p w14:paraId="78359142">
            <w:pPr>
              <w:jc w:val="center"/>
              <w:rPr>
                <w:color w:val="auto"/>
                <w:highlight w:val="none"/>
              </w:rPr>
            </w:pPr>
          </w:p>
        </w:tc>
        <w:tc>
          <w:tcPr>
            <w:tcW w:w="1772" w:type="dxa"/>
            <w:vAlign w:val="center"/>
          </w:tcPr>
          <w:p w14:paraId="6B9825DF">
            <w:pPr>
              <w:jc w:val="center"/>
              <w:rPr>
                <w:color w:val="auto"/>
                <w:highlight w:val="none"/>
              </w:rPr>
            </w:pPr>
          </w:p>
        </w:tc>
        <w:tc>
          <w:tcPr>
            <w:tcW w:w="1772" w:type="dxa"/>
            <w:vAlign w:val="center"/>
          </w:tcPr>
          <w:p w14:paraId="5B7843C4">
            <w:pPr>
              <w:jc w:val="center"/>
              <w:rPr>
                <w:color w:val="auto"/>
                <w:highlight w:val="none"/>
              </w:rPr>
            </w:pPr>
          </w:p>
        </w:tc>
        <w:tc>
          <w:tcPr>
            <w:tcW w:w="1772" w:type="dxa"/>
            <w:vAlign w:val="center"/>
          </w:tcPr>
          <w:p w14:paraId="53AC90F4">
            <w:pPr>
              <w:jc w:val="center"/>
              <w:rPr>
                <w:color w:val="auto"/>
                <w:highlight w:val="none"/>
              </w:rPr>
            </w:pPr>
          </w:p>
        </w:tc>
      </w:tr>
      <w:tr w14:paraId="47DB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702206B1">
            <w:pPr>
              <w:jc w:val="center"/>
              <w:rPr>
                <w:color w:val="auto"/>
                <w:highlight w:val="none"/>
              </w:rPr>
            </w:pPr>
          </w:p>
        </w:tc>
        <w:tc>
          <w:tcPr>
            <w:tcW w:w="2420" w:type="dxa"/>
            <w:vAlign w:val="center"/>
          </w:tcPr>
          <w:p w14:paraId="5FA2F6D1">
            <w:pPr>
              <w:jc w:val="center"/>
              <w:rPr>
                <w:color w:val="auto"/>
                <w:highlight w:val="none"/>
              </w:rPr>
            </w:pPr>
          </w:p>
        </w:tc>
        <w:tc>
          <w:tcPr>
            <w:tcW w:w="1772" w:type="dxa"/>
            <w:vAlign w:val="center"/>
          </w:tcPr>
          <w:p w14:paraId="00643350">
            <w:pPr>
              <w:jc w:val="center"/>
              <w:rPr>
                <w:color w:val="auto"/>
                <w:highlight w:val="none"/>
              </w:rPr>
            </w:pPr>
          </w:p>
        </w:tc>
        <w:tc>
          <w:tcPr>
            <w:tcW w:w="1772" w:type="dxa"/>
            <w:vAlign w:val="center"/>
          </w:tcPr>
          <w:p w14:paraId="5E83AA43">
            <w:pPr>
              <w:jc w:val="center"/>
              <w:rPr>
                <w:color w:val="auto"/>
                <w:highlight w:val="none"/>
              </w:rPr>
            </w:pPr>
          </w:p>
        </w:tc>
        <w:tc>
          <w:tcPr>
            <w:tcW w:w="1772" w:type="dxa"/>
            <w:vAlign w:val="center"/>
          </w:tcPr>
          <w:p w14:paraId="01683C69">
            <w:pPr>
              <w:jc w:val="center"/>
              <w:rPr>
                <w:color w:val="auto"/>
                <w:highlight w:val="none"/>
              </w:rPr>
            </w:pPr>
          </w:p>
        </w:tc>
        <w:tc>
          <w:tcPr>
            <w:tcW w:w="1772" w:type="dxa"/>
            <w:vAlign w:val="center"/>
          </w:tcPr>
          <w:p w14:paraId="7E99E14C">
            <w:pPr>
              <w:jc w:val="center"/>
              <w:rPr>
                <w:color w:val="auto"/>
                <w:highlight w:val="none"/>
              </w:rPr>
            </w:pPr>
          </w:p>
        </w:tc>
        <w:tc>
          <w:tcPr>
            <w:tcW w:w="1772" w:type="dxa"/>
            <w:vAlign w:val="center"/>
          </w:tcPr>
          <w:p w14:paraId="60C44332">
            <w:pPr>
              <w:jc w:val="center"/>
              <w:rPr>
                <w:color w:val="auto"/>
                <w:highlight w:val="none"/>
              </w:rPr>
            </w:pPr>
          </w:p>
        </w:tc>
        <w:tc>
          <w:tcPr>
            <w:tcW w:w="1772" w:type="dxa"/>
            <w:vAlign w:val="center"/>
          </w:tcPr>
          <w:p w14:paraId="65066049">
            <w:pPr>
              <w:jc w:val="center"/>
              <w:rPr>
                <w:color w:val="auto"/>
                <w:highlight w:val="none"/>
              </w:rPr>
            </w:pPr>
          </w:p>
        </w:tc>
      </w:tr>
      <w:tr w14:paraId="579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425F51A9">
            <w:pPr>
              <w:jc w:val="center"/>
              <w:rPr>
                <w:color w:val="auto"/>
                <w:highlight w:val="none"/>
              </w:rPr>
            </w:pPr>
          </w:p>
        </w:tc>
        <w:tc>
          <w:tcPr>
            <w:tcW w:w="2420" w:type="dxa"/>
            <w:vAlign w:val="center"/>
          </w:tcPr>
          <w:p w14:paraId="52BC8B93">
            <w:pPr>
              <w:jc w:val="center"/>
              <w:rPr>
                <w:color w:val="auto"/>
                <w:highlight w:val="none"/>
              </w:rPr>
            </w:pPr>
          </w:p>
        </w:tc>
        <w:tc>
          <w:tcPr>
            <w:tcW w:w="1772" w:type="dxa"/>
            <w:vAlign w:val="center"/>
          </w:tcPr>
          <w:p w14:paraId="63753543">
            <w:pPr>
              <w:jc w:val="center"/>
              <w:rPr>
                <w:color w:val="auto"/>
                <w:highlight w:val="none"/>
              </w:rPr>
            </w:pPr>
          </w:p>
        </w:tc>
        <w:tc>
          <w:tcPr>
            <w:tcW w:w="1772" w:type="dxa"/>
            <w:vAlign w:val="center"/>
          </w:tcPr>
          <w:p w14:paraId="69A5C425">
            <w:pPr>
              <w:jc w:val="center"/>
              <w:rPr>
                <w:color w:val="auto"/>
                <w:highlight w:val="none"/>
              </w:rPr>
            </w:pPr>
          </w:p>
        </w:tc>
        <w:tc>
          <w:tcPr>
            <w:tcW w:w="1772" w:type="dxa"/>
            <w:vAlign w:val="center"/>
          </w:tcPr>
          <w:p w14:paraId="58A1C846">
            <w:pPr>
              <w:jc w:val="center"/>
              <w:rPr>
                <w:color w:val="auto"/>
                <w:highlight w:val="none"/>
              </w:rPr>
            </w:pPr>
          </w:p>
        </w:tc>
        <w:tc>
          <w:tcPr>
            <w:tcW w:w="1772" w:type="dxa"/>
            <w:vAlign w:val="center"/>
          </w:tcPr>
          <w:p w14:paraId="0FF2ED30">
            <w:pPr>
              <w:jc w:val="center"/>
              <w:rPr>
                <w:color w:val="auto"/>
                <w:highlight w:val="none"/>
              </w:rPr>
            </w:pPr>
          </w:p>
        </w:tc>
        <w:tc>
          <w:tcPr>
            <w:tcW w:w="1772" w:type="dxa"/>
            <w:vAlign w:val="center"/>
          </w:tcPr>
          <w:p w14:paraId="19A52E5F">
            <w:pPr>
              <w:jc w:val="center"/>
              <w:rPr>
                <w:color w:val="auto"/>
                <w:highlight w:val="none"/>
              </w:rPr>
            </w:pPr>
          </w:p>
        </w:tc>
        <w:tc>
          <w:tcPr>
            <w:tcW w:w="1772" w:type="dxa"/>
            <w:vAlign w:val="center"/>
          </w:tcPr>
          <w:p w14:paraId="3A798DDD">
            <w:pPr>
              <w:jc w:val="center"/>
              <w:rPr>
                <w:color w:val="auto"/>
                <w:highlight w:val="none"/>
              </w:rPr>
            </w:pPr>
          </w:p>
        </w:tc>
      </w:tr>
    </w:tbl>
    <w:p w14:paraId="65F3AF8A">
      <w:pPr>
        <w:pStyle w:val="6"/>
        <w:snapToGrid w:val="0"/>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注：1.表格行数可自行添加。</w:t>
      </w:r>
    </w:p>
    <w:p w14:paraId="775C6347">
      <w:pPr>
        <w:pStyle w:val="6"/>
        <w:snapToGrid w:val="0"/>
        <w:ind w:firstLine="480" w:firstLineChars="200"/>
        <w:jc w:val="center"/>
        <w:rPr>
          <w:rFonts w:ascii="宋体" w:hAnsi="宋体" w:eastAsia="宋体" w:cs="宋体"/>
          <w:color w:val="auto"/>
          <w:sz w:val="24"/>
          <w:szCs w:val="24"/>
          <w:highlight w:val="none"/>
        </w:rPr>
      </w:pPr>
    </w:p>
    <w:p w14:paraId="47DB9482">
      <w:pPr>
        <w:pStyle w:val="6"/>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921310A">
      <w:pPr>
        <w:snapToGrid w:val="0"/>
        <w:spacing w:before="50"/>
        <w:ind w:left="479" w:leftChars="228"/>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0C8DE5">
      <w:pPr>
        <w:snapToGrid w:val="0"/>
        <w:spacing w:before="156" w:beforeLines="50" w:after="50"/>
        <w:jc w:val="right"/>
        <w:rPr>
          <w:rFonts w:ascii="宋体" w:hAnsi="宋体"/>
          <w:color w:val="auto"/>
          <w:sz w:val="24"/>
          <w:highlight w:val="none"/>
        </w:rPr>
      </w:pPr>
      <w:r>
        <w:rPr>
          <w:rFonts w:hint="eastAsia" w:ascii="宋体" w:hAnsi="宋体"/>
          <w:color w:val="auto"/>
          <w:sz w:val="24"/>
          <w:highlight w:val="none"/>
        </w:rPr>
        <w:t>年    月   日</w:t>
      </w:r>
    </w:p>
    <w:p w14:paraId="29497D01">
      <w:pPr>
        <w:rPr>
          <w:color w:val="auto"/>
          <w:highlight w:val="none"/>
        </w:rPr>
        <w:sectPr>
          <w:pgSz w:w="16838" w:h="11906" w:orient="landscape"/>
          <w:pgMar w:top="1797" w:right="1440" w:bottom="1797" w:left="1440" w:header="851" w:footer="992" w:gutter="0"/>
          <w:pgNumType w:fmt="decimal"/>
          <w:cols w:space="425" w:num="1"/>
          <w:docGrid w:type="lines" w:linePitch="312" w:charSpace="0"/>
        </w:sectPr>
      </w:pPr>
    </w:p>
    <w:p w14:paraId="442371D6">
      <w:pPr>
        <w:pStyle w:val="3"/>
        <w:spacing w:before="0" w:after="0" w:line="360" w:lineRule="auto"/>
        <w:ind w:firstLine="424" w:firstLineChars="151"/>
        <w:rPr>
          <w:color w:val="auto"/>
          <w:sz w:val="28"/>
          <w:highlight w:val="none"/>
        </w:rPr>
      </w:pPr>
      <w:r>
        <w:rPr>
          <w:rFonts w:hint="eastAsia"/>
          <w:color w:val="auto"/>
          <w:sz w:val="28"/>
          <w:highlight w:val="none"/>
          <w:lang w:val="en-US" w:eastAsia="zh-CN"/>
        </w:rPr>
        <w:t>7.</w:t>
      </w:r>
      <w:r>
        <w:rPr>
          <w:rFonts w:hint="eastAsia"/>
          <w:color w:val="auto"/>
          <w:sz w:val="28"/>
          <w:highlight w:val="none"/>
        </w:rPr>
        <w:t>项目组人员清单格式</w:t>
      </w:r>
    </w:p>
    <w:p w14:paraId="2E042EDA">
      <w:pPr>
        <w:snapToGrid w:val="0"/>
        <w:spacing w:before="156" w:beforeLines="50" w:after="360"/>
        <w:jc w:val="center"/>
        <w:rPr>
          <w:rFonts w:ascii="宋体" w:hAnsi="宋体"/>
          <w:b/>
          <w:color w:val="auto"/>
          <w:sz w:val="24"/>
          <w:highlight w:val="none"/>
        </w:rPr>
      </w:pPr>
      <w:r>
        <w:rPr>
          <w:rFonts w:hint="eastAsia" w:ascii="宋体" w:hAnsi="宋体"/>
          <w:b/>
          <w:color w:val="auto"/>
          <w:sz w:val="24"/>
          <w:highlight w:val="none"/>
        </w:rPr>
        <w:t>项目人员清单</w:t>
      </w:r>
    </w:p>
    <w:tbl>
      <w:tblPr>
        <w:tblStyle w:val="2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53"/>
        <w:gridCol w:w="921"/>
        <w:gridCol w:w="978"/>
        <w:gridCol w:w="1074"/>
        <w:gridCol w:w="1310"/>
        <w:gridCol w:w="2200"/>
        <w:gridCol w:w="1715"/>
        <w:gridCol w:w="1596"/>
        <w:gridCol w:w="1611"/>
      </w:tblGrid>
      <w:tr w14:paraId="1B0A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7D736C7A">
            <w:pPr>
              <w:spacing w:line="440" w:lineRule="exact"/>
              <w:jc w:val="center"/>
              <w:rPr>
                <w:rFonts w:ascii="宋体" w:hAnsi="宋体"/>
                <w:bCs/>
                <w:color w:val="auto"/>
                <w:highlight w:val="none"/>
              </w:rPr>
            </w:pPr>
            <w:r>
              <w:rPr>
                <w:rFonts w:hint="eastAsia" w:ascii="宋体" w:hAnsi="宋体" w:eastAsia="宋体" w:cs="宋体"/>
                <w:color w:val="auto"/>
                <w:sz w:val="24"/>
                <w:highlight w:val="none"/>
              </w:rPr>
              <w:t>序号</w:t>
            </w:r>
          </w:p>
        </w:tc>
        <w:tc>
          <w:tcPr>
            <w:tcW w:w="1953" w:type="dxa"/>
          </w:tcPr>
          <w:p w14:paraId="14306C70">
            <w:pPr>
              <w:autoSpaceDE w:val="0"/>
              <w:autoSpaceDN w:val="0"/>
              <w:adjustRightInd w:val="0"/>
              <w:spacing w:line="440" w:lineRule="exact"/>
              <w:jc w:val="center"/>
              <w:rPr>
                <w:rFonts w:ascii="宋体" w:hAnsi="宋体"/>
                <w:color w:val="auto"/>
                <w:highlight w:val="none"/>
              </w:rPr>
            </w:pPr>
            <w:r>
              <w:rPr>
                <w:rFonts w:hint="eastAsia" w:ascii="宋体" w:hAnsi="宋体" w:eastAsia="宋体" w:cs="宋体"/>
                <w:color w:val="auto"/>
                <w:sz w:val="24"/>
                <w:highlight w:val="none"/>
              </w:rPr>
              <w:t xml:space="preserve">姓名 </w:t>
            </w:r>
          </w:p>
        </w:tc>
        <w:tc>
          <w:tcPr>
            <w:tcW w:w="921" w:type="dxa"/>
          </w:tcPr>
          <w:p w14:paraId="4916E8C8">
            <w:pPr>
              <w:autoSpaceDE w:val="0"/>
              <w:autoSpaceDN w:val="0"/>
              <w:adjustRightInd w:val="0"/>
              <w:spacing w:line="440" w:lineRule="exact"/>
              <w:jc w:val="center"/>
              <w:rPr>
                <w:rFonts w:ascii="宋体" w:hAnsi="宋体"/>
                <w:color w:val="auto"/>
                <w:highlight w:val="none"/>
              </w:rPr>
            </w:pPr>
            <w:r>
              <w:rPr>
                <w:rFonts w:hint="eastAsia" w:ascii="宋体" w:hAnsi="宋体" w:eastAsia="宋体" w:cs="宋体"/>
                <w:color w:val="auto"/>
                <w:sz w:val="24"/>
                <w:highlight w:val="none"/>
              </w:rPr>
              <w:t>性别</w:t>
            </w:r>
          </w:p>
        </w:tc>
        <w:tc>
          <w:tcPr>
            <w:tcW w:w="978" w:type="dxa"/>
          </w:tcPr>
          <w:p w14:paraId="58DF449A">
            <w:pPr>
              <w:autoSpaceDE w:val="0"/>
              <w:autoSpaceDN w:val="0"/>
              <w:adjustRightInd w:val="0"/>
              <w:spacing w:line="440" w:lineRule="exact"/>
              <w:jc w:val="center"/>
              <w:rPr>
                <w:rFonts w:ascii="宋体" w:hAnsi="宋体"/>
                <w:color w:val="auto"/>
                <w:highlight w:val="none"/>
              </w:rPr>
            </w:pPr>
            <w:r>
              <w:rPr>
                <w:rFonts w:hint="eastAsia" w:ascii="宋体" w:hAnsi="宋体" w:eastAsia="宋体" w:cs="宋体"/>
                <w:color w:val="auto"/>
                <w:sz w:val="24"/>
                <w:highlight w:val="none"/>
              </w:rPr>
              <w:t>年龄</w:t>
            </w:r>
          </w:p>
        </w:tc>
        <w:tc>
          <w:tcPr>
            <w:tcW w:w="1074" w:type="dxa"/>
          </w:tcPr>
          <w:p w14:paraId="68CF7369">
            <w:pPr>
              <w:autoSpaceDE w:val="0"/>
              <w:autoSpaceDN w:val="0"/>
              <w:adjustRightInd w:val="0"/>
              <w:spacing w:line="440" w:lineRule="exact"/>
              <w:jc w:val="center"/>
              <w:rPr>
                <w:rFonts w:ascii="宋体" w:hAnsi="宋体"/>
                <w:color w:val="auto"/>
                <w:highlight w:val="none"/>
              </w:rPr>
            </w:pPr>
            <w:r>
              <w:rPr>
                <w:rFonts w:hint="eastAsia" w:ascii="宋体" w:hAnsi="宋体" w:eastAsia="宋体" w:cs="宋体"/>
                <w:color w:val="auto"/>
                <w:sz w:val="24"/>
                <w:highlight w:val="none"/>
              </w:rPr>
              <w:t>学历</w:t>
            </w:r>
          </w:p>
        </w:tc>
        <w:tc>
          <w:tcPr>
            <w:tcW w:w="1310" w:type="dxa"/>
          </w:tcPr>
          <w:p w14:paraId="006CC3FD">
            <w:pPr>
              <w:spacing w:line="440" w:lineRule="exact"/>
              <w:jc w:val="center"/>
              <w:rPr>
                <w:rFonts w:ascii="宋体" w:hAnsi="宋体"/>
                <w:bCs/>
                <w:color w:val="auto"/>
                <w:highlight w:val="none"/>
              </w:rPr>
            </w:pPr>
            <w:r>
              <w:rPr>
                <w:rFonts w:hint="eastAsia" w:ascii="宋体" w:hAnsi="宋体" w:eastAsia="宋体" w:cs="宋体"/>
                <w:color w:val="auto"/>
                <w:sz w:val="24"/>
                <w:highlight w:val="none"/>
              </w:rPr>
              <w:t>工作年限</w:t>
            </w:r>
          </w:p>
        </w:tc>
        <w:tc>
          <w:tcPr>
            <w:tcW w:w="2200" w:type="dxa"/>
          </w:tcPr>
          <w:p w14:paraId="2915E7FA">
            <w:pPr>
              <w:spacing w:line="440" w:lineRule="exact"/>
              <w:jc w:val="center"/>
              <w:rPr>
                <w:rFonts w:ascii="宋体" w:hAnsi="宋体"/>
                <w:bCs/>
                <w:color w:val="auto"/>
                <w:highlight w:val="none"/>
              </w:rPr>
            </w:pPr>
            <w:r>
              <w:rPr>
                <w:rFonts w:hint="eastAsia" w:ascii="宋体" w:hAnsi="宋体" w:cs="宋体"/>
                <w:color w:val="auto"/>
                <w:sz w:val="24"/>
                <w:highlight w:val="none"/>
              </w:rPr>
              <w:t>专业技术</w:t>
            </w:r>
            <w:r>
              <w:rPr>
                <w:rFonts w:hint="eastAsia" w:ascii="宋体" w:hAnsi="宋体" w:eastAsia="宋体" w:cs="宋体"/>
                <w:color w:val="auto"/>
                <w:sz w:val="24"/>
                <w:highlight w:val="none"/>
              </w:rPr>
              <w:t>职称</w:t>
            </w:r>
          </w:p>
        </w:tc>
        <w:tc>
          <w:tcPr>
            <w:tcW w:w="1715" w:type="dxa"/>
          </w:tcPr>
          <w:p w14:paraId="18CC3CEC">
            <w:pPr>
              <w:spacing w:line="440" w:lineRule="exact"/>
              <w:jc w:val="center"/>
              <w:rPr>
                <w:rFonts w:ascii="宋体" w:hAnsi="宋体"/>
                <w:color w:val="auto"/>
                <w:highlight w:val="none"/>
              </w:rPr>
            </w:pPr>
            <w:r>
              <w:rPr>
                <w:rFonts w:hint="eastAsia" w:ascii="宋体" w:hAnsi="宋体" w:eastAsia="宋体" w:cs="宋体"/>
                <w:color w:val="auto"/>
                <w:sz w:val="24"/>
                <w:highlight w:val="none"/>
              </w:rPr>
              <w:t>执业</w:t>
            </w:r>
            <w:r>
              <w:rPr>
                <w:rFonts w:hint="eastAsia" w:ascii="宋体" w:hAnsi="宋体" w:cs="宋体"/>
                <w:color w:val="auto"/>
                <w:sz w:val="24"/>
                <w:highlight w:val="none"/>
              </w:rPr>
              <w:t>资格</w:t>
            </w:r>
          </w:p>
        </w:tc>
        <w:tc>
          <w:tcPr>
            <w:tcW w:w="1596" w:type="dxa"/>
          </w:tcPr>
          <w:p w14:paraId="0D3FC8BB">
            <w:pPr>
              <w:spacing w:line="440" w:lineRule="exact"/>
              <w:jc w:val="center"/>
              <w:rPr>
                <w:rFonts w:ascii="宋体" w:hAnsi="宋体"/>
                <w:color w:val="auto"/>
                <w:highlight w:val="none"/>
              </w:rPr>
            </w:pPr>
            <w:r>
              <w:rPr>
                <w:rFonts w:hint="eastAsia" w:ascii="宋体" w:hAnsi="宋体" w:cs="宋体"/>
                <w:color w:val="auto"/>
                <w:sz w:val="24"/>
                <w:highlight w:val="none"/>
              </w:rPr>
              <w:t>专业</w:t>
            </w:r>
          </w:p>
        </w:tc>
        <w:tc>
          <w:tcPr>
            <w:tcW w:w="1611" w:type="dxa"/>
          </w:tcPr>
          <w:p w14:paraId="44260E70">
            <w:pPr>
              <w:spacing w:line="440" w:lineRule="exact"/>
              <w:jc w:val="center"/>
              <w:rPr>
                <w:rFonts w:ascii="宋体" w:hAnsi="宋体"/>
                <w:color w:val="auto"/>
                <w:highlight w:val="none"/>
              </w:rPr>
            </w:pPr>
            <w:r>
              <w:rPr>
                <w:rFonts w:hint="eastAsia" w:ascii="宋体" w:hAnsi="宋体" w:cs="宋体"/>
                <w:color w:val="auto"/>
                <w:sz w:val="24"/>
                <w:highlight w:val="none"/>
              </w:rPr>
              <w:t>拟任职务</w:t>
            </w:r>
          </w:p>
        </w:tc>
      </w:tr>
      <w:tr w14:paraId="33A3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2EB3B8CE">
            <w:pPr>
              <w:spacing w:line="440" w:lineRule="exact"/>
              <w:jc w:val="center"/>
              <w:rPr>
                <w:rFonts w:ascii="宋体" w:hAnsi="宋体"/>
                <w:color w:val="auto"/>
                <w:highlight w:val="none"/>
              </w:rPr>
            </w:pPr>
          </w:p>
        </w:tc>
        <w:tc>
          <w:tcPr>
            <w:tcW w:w="1953" w:type="dxa"/>
          </w:tcPr>
          <w:p w14:paraId="2A9E45D7">
            <w:pPr>
              <w:autoSpaceDE w:val="0"/>
              <w:autoSpaceDN w:val="0"/>
              <w:adjustRightInd w:val="0"/>
              <w:spacing w:line="440" w:lineRule="exact"/>
              <w:jc w:val="center"/>
              <w:rPr>
                <w:rFonts w:ascii="宋体" w:hAnsi="宋体"/>
                <w:color w:val="auto"/>
                <w:highlight w:val="none"/>
              </w:rPr>
            </w:pPr>
          </w:p>
        </w:tc>
        <w:tc>
          <w:tcPr>
            <w:tcW w:w="921" w:type="dxa"/>
          </w:tcPr>
          <w:p w14:paraId="75013496">
            <w:pPr>
              <w:autoSpaceDE w:val="0"/>
              <w:autoSpaceDN w:val="0"/>
              <w:adjustRightInd w:val="0"/>
              <w:spacing w:line="440" w:lineRule="exact"/>
              <w:jc w:val="center"/>
              <w:rPr>
                <w:rFonts w:ascii="宋体" w:hAnsi="宋体"/>
                <w:color w:val="auto"/>
                <w:highlight w:val="none"/>
              </w:rPr>
            </w:pPr>
          </w:p>
        </w:tc>
        <w:tc>
          <w:tcPr>
            <w:tcW w:w="978" w:type="dxa"/>
          </w:tcPr>
          <w:p w14:paraId="7CE15D36">
            <w:pPr>
              <w:autoSpaceDE w:val="0"/>
              <w:autoSpaceDN w:val="0"/>
              <w:adjustRightInd w:val="0"/>
              <w:spacing w:line="440" w:lineRule="exact"/>
              <w:jc w:val="center"/>
              <w:rPr>
                <w:rFonts w:ascii="宋体" w:hAnsi="宋体"/>
                <w:color w:val="auto"/>
                <w:highlight w:val="none"/>
              </w:rPr>
            </w:pPr>
          </w:p>
        </w:tc>
        <w:tc>
          <w:tcPr>
            <w:tcW w:w="1074" w:type="dxa"/>
          </w:tcPr>
          <w:p w14:paraId="49BDD008">
            <w:pPr>
              <w:autoSpaceDE w:val="0"/>
              <w:autoSpaceDN w:val="0"/>
              <w:adjustRightInd w:val="0"/>
              <w:spacing w:line="440" w:lineRule="exact"/>
              <w:jc w:val="center"/>
              <w:rPr>
                <w:rFonts w:ascii="宋体" w:hAnsi="宋体"/>
                <w:color w:val="auto"/>
                <w:highlight w:val="none"/>
              </w:rPr>
            </w:pPr>
          </w:p>
        </w:tc>
        <w:tc>
          <w:tcPr>
            <w:tcW w:w="1310" w:type="dxa"/>
          </w:tcPr>
          <w:p w14:paraId="691529D3">
            <w:pPr>
              <w:spacing w:line="440" w:lineRule="exact"/>
              <w:jc w:val="center"/>
              <w:rPr>
                <w:rFonts w:ascii="宋体" w:hAnsi="宋体"/>
                <w:color w:val="auto"/>
                <w:highlight w:val="none"/>
              </w:rPr>
            </w:pPr>
          </w:p>
        </w:tc>
        <w:tc>
          <w:tcPr>
            <w:tcW w:w="2200" w:type="dxa"/>
          </w:tcPr>
          <w:p w14:paraId="1FF3ED97">
            <w:pPr>
              <w:spacing w:line="440" w:lineRule="exact"/>
              <w:jc w:val="center"/>
              <w:rPr>
                <w:rFonts w:ascii="宋体" w:hAnsi="宋体"/>
                <w:color w:val="auto"/>
                <w:highlight w:val="none"/>
              </w:rPr>
            </w:pPr>
          </w:p>
        </w:tc>
        <w:tc>
          <w:tcPr>
            <w:tcW w:w="1715" w:type="dxa"/>
          </w:tcPr>
          <w:p w14:paraId="0672E260">
            <w:pPr>
              <w:spacing w:line="440" w:lineRule="exact"/>
              <w:jc w:val="center"/>
              <w:rPr>
                <w:rFonts w:ascii="宋体" w:hAnsi="宋体"/>
                <w:color w:val="auto"/>
                <w:highlight w:val="none"/>
              </w:rPr>
            </w:pPr>
          </w:p>
        </w:tc>
        <w:tc>
          <w:tcPr>
            <w:tcW w:w="1596" w:type="dxa"/>
          </w:tcPr>
          <w:p w14:paraId="6FF0B9E3">
            <w:pPr>
              <w:spacing w:line="440" w:lineRule="exact"/>
              <w:jc w:val="center"/>
              <w:rPr>
                <w:rFonts w:ascii="宋体" w:hAnsi="宋体"/>
                <w:color w:val="auto"/>
                <w:highlight w:val="none"/>
              </w:rPr>
            </w:pPr>
          </w:p>
        </w:tc>
        <w:tc>
          <w:tcPr>
            <w:tcW w:w="1611" w:type="dxa"/>
          </w:tcPr>
          <w:p w14:paraId="107A1719">
            <w:pPr>
              <w:spacing w:line="440" w:lineRule="exact"/>
              <w:jc w:val="center"/>
              <w:rPr>
                <w:rFonts w:ascii="宋体" w:hAnsi="宋体"/>
                <w:color w:val="auto"/>
                <w:highlight w:val="none"/>
              </w:rPr>
            </w:pPr>
          </w:p>
        </w:tc>
      </w:tr>
      <w:tr w14:paraId="4C4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29EAE13A">
            <w:pPr>
              <w:spacing w:line="440" w:lineRule="exact"/>
              <w:jc w:val="center"/>
              <w:rPr>
                <w:rFonts w:ascii="宋体" w:hAnsi="宋体"/>
                <w:bCs/>
                <w:color w:val="auto"/>
                <w:highlight w:val="none"/>
              </w:rPr>
            </w:pPr>
          </w:p>
        </w:tc>
        <w:tc>
          <w:tcPr>
            <w:tcW w:w="1953" w:type="dxa"/>
          </w:tcPr>
          <w:p w14:paraId="2784E037">
            <w:pPr>
              <w:spacing w:line="440" w:lineRule="exact"/>
              <w:jc w:val="center"/>
              <w:rPr>
                <w:rFonts w:ascii="宋体" w:hAnsi="宋体"/>
                <w:bCs/>
                <w:color w:val="auto"/>
                <w:highlight w:val="none"/>
              </w:rPr>
            </w:pPr>
          </w:p>
        </w:tc>
        <w:tc>
          <w:tcPr>
            <w:tcW w:w="921" w:type="dxa"/>
          </w:tcPr>
          <w:p w14:paraId="0992D9B3">
            <w:pPr>
              <w:spacing w:line="440" w:lineRule="exact"/>
              <w:jc w:val="center"/>
              <w:rPr>
                <w:rFonts w:ascii="宋体" w:hAnsi="宋体"/>
                <w:bCs/>
                <w:color w:val="auto"/>
                <w:highlight w:val="none"/>
              </w:rPr>
            </w:pPr>
          </w:p>
        </w:tc>
        <w:tc>
          <w:tcPr>
            <w:tcW w:w="978" w:type="dxa"/>
          </w:tcPr>
          <w:p w14:paraId="0D87AA0D">
            <w:pPr>
              <w:spacing w:line="440" w:lineRule="exact"/>
              <w:jc w:val="center"/>
              <w:rPr>
                <w:rFonts w:ascii="宋体" w:hAnsi="宋体"/>
                <w:bCs/>
                <w:color w:val="auto"/>
                <w:highlight w:val="none"/>
              </w:rPr>
            </w:pPr>
          </w:p>
        </w:tc>
        <w:tc>
          <w:tcPr>
            <w:tcW w:w="1074" w:type="dxa"/>
          </w:tcPr>
          <w:p w14:paraId="532D5AAD">
            <w:pPr>
              <w:spacing w:line="440" w:lineRule="exact"/>
              <w:jc w:val="center"/>
              <w:rPr>
                <w:rFonts w:ascii="宋体" w:hAnsi="宋体"/>
                <w:bCs/>
                <w:color w:val="auto"/>
                <w:highlight w:val="none"/>
              </w:rPr>
            </w:pPr>
          </w:p>
        </w:tc>
        <w:tc>
          <w:tcPr>
            <w:tcW w:w="1310" w:type="dxa"/>
          </w:tcPr>
          <w:p w14:paraId="756EEE4A">
            <w:pPr>
              <w:spacing w:line="440" w:lineRule="exact"/>
              <w:jc w:val="center"/>
              <w:rPr>
                <w:rFonts w:ascii="宋体" w:hAnsi="宋体"/>
                <w:bCs/>
                <w:color w:val="auto"/>
                <w:highlight w:val="none"/>
              </w:rPr>
            </w:pPr>
          </w:p>
        </w:tc>
        <w:tc>
          <w:tcPr>
            <w:tcW w:w="2200" w:type="dxa"/>
          </w:tcPr>
          <w:p w14:paraId="724AA415">
            <w:pPr>
              <w:spacing w:line="440" w:lineRule="exact"/>
              <w:jc w:val="center"/>
              <w:rPr>
                <w:rFonts w:ascii="宋体" w:hAnsi="宋体"/>
                <w:bCs/>
                <w:color w:val="auto"/>
                <w:highlight w:val="none"/>
              </w:rPr>
            </w:pPr>
          </w:p>
        </w:tc>
        <w:tc>
          <w:tcPr>
            <w:tcW w:w="1715" w:type="dxa"/>
          </w:tcPr>
          <w:p w14:paraId="694573EC">
            <w:pPr>
              <w:spacing w:line="440" w:lineRule="exact"/>
              <w:jc w:val="center"/>
              <w:rPr>
                <w:rFonts w:ascii="宋体" w:hAnsi="宋体"/>
                <w:bCs/>
                <w:color w:val="auto"/>
                <w:highlight w:val="none"/>
              </w:rPr>
            </w:pPr>
          </w:p>
        </w:tc>
        <w:tc>
          <w:tcPr>
            <w:tcW w:w="1596" w:type="dxa"/>
          </w:tcPr>
          <w:p w14:paraId="3F6BB097">
            <w:pPr>
              <w:spacing w:line="440" w:lineRule="exact"/>
              <w:jc w:val="center"/>
              <w:rPr>
                <w:rFonts w:ascii="宋体" w:hAnsi="宋体"/>
                <w:bCs/>
                <w:color w:val="auto"/>
                <w:highlight w:val="none"/>
              </w:rPr>
            </w:pPr>
          </w:p>
        </w:tc>
        <w:tc>
          <w:tcPr>
            <w:tcW w:w="1611" w:type="dxa"/>
          </w:tcPr>
          <w:p w14:paraId="49C3BA2F">
            <w:pPr>
              <w:spacing w:line="440" w:lineRule="exact"/>
              <w:jc w:val="center"/>
              <w:rPr>
                <w:rFonts w:ascii="宋体" w:hAnsi="宋体"/>
                <w:bCs/>
                <w:color w:val="auto"/>
                <w:highlight w:val="none"/>
              </w:rPr>
            </w:pPr>
          </w:p>
        </w:tc>
      </w:tr>
      <w:tr w14:paraId="2504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174B7FD1">
            <w:pPr>
              <w:spacing w:line="440" w:lineRule="exact"/>
              <w:jc w:val="center"/>
              <w:rPr>
                <w:rFonts w:ascii="宋体" w:hAnsi="宋体"/>
                <w:bCs/>
                <w:color w:val="auto"/>
                <w:highlight w:val="none"/>
              </w:rPr>
            </w:pPr>
          </w:p>
        </w:tc>
        <w:tc>
          <w:tcPr>
            <w:tcW w:w="1953" w:type="dxa"/>
          </w:tcPr>
          <w:p w14:paraId="1019E57C">
            <w:pPr>
              <w:spacing w:line="440" w:lineRule="exact"/>
              <w:jc w:val="center"/>
              <w:rPr>
                <w:rFonts w:ascii="宋体" w:hAnsi="宋体"/>
                <w:bCs/>
                <w:color w:val="auto"/>
                <w:highlight w:val="none"/>
              </w:rPr>
            </w:pPr>
          </w:p>
        </w:tc>
        <w:tc>
          <w:tcPr>
            <w:tcW w:w="921" w:type="dxa"/>
          </w:tcPr>
          <w:p w14:paraId="4EB37A1E">
            <w:pPr>
              <w:spacing w:line="440" w:lineRule="exact"/>
              <w:jc w:val="center"/>
              <w:rPr>
                <w:rFonts w:ascii="宋体" w:hAnsi="宋体"/>
                <w:bCs/>
                <w:color w:val="auto"/>
                <w:highlight w:val="none"/>
              </w:rPr>
            </w:pPr>
          </w:p>
        </w:tc>
        <w:tc>
          <w:tcPr>
            <w:tcW w:w="978" w:type="dxa"/>
          </w:tcPr>
          <w:p w14:paraId="1096CEB1">
            <w:pPr>
              <w:spacing w:line="440" w:lineRule="exact"/>
              <w:jc w:val="center"/>
              <w:rPr>
                <w:rFonts w:ascii="宋体" w:hAnsi="宋体"/>
                <w:bCs/>
                <w:color w:val="auto"/>
                <w:highlight w:val="none"/>
              </w:rPr>
            </w:pPr>
          </w:p>
        </w:tc>
        <w:tc>
          <w:tcPr>
            <w:tcW w:w="1074" w:type="dxa"/>
          </w:tcPr>
          <w:p w14:paraId="793900CF">
            <w:pPr>
              <w:spacing w:line="440" w:lineRule="exact"/>
              <w:jc w:val="center"/>
              <w:rPr>
                <w:rFonts w:ascii="宋体" w:hAnsi="宋体"/>
                <w:bCs/>
                <w:color w:val="auto"/>
                <w:highlight w:val="none"/>
              </w:rPr>
            </w:pPr>
          </w:p>
        </w:tc>
        <w:tc>
          <w:tcPr>
            <w:tcW w:w="1310" w:type="dxa"/>
          </w:tcPr>
          <w:p w14:paraId="411AE7FB">
            <w:pPr>
              <w:spacing w:line="440" w:lineRule="exact"/>
              <w:jc w:val="center"/>
              <w:rPr>
                <w:rFonts w:ascii="宋体" w:hAnsi="宋体"/>
                <w:bCs/>
                <w:color w:val="auto"/>
                <w:highlight w:val="none"/>
              </w:rPr>
            </w:pPr>
          </w:p>
        </w:tc>
        <w:tc>
          <w:tcPr>
            <w:tcW w:w="2200" w:type="dxa"/>
          </w:tcPr>
          <w:p w14:paraId="6625883C">
            <w:pPr>
              <w:spacing w:line="440" w:lineRule="exact"/>
              <w:jc w:val="center"/>
              <w:rPr>
                <w:rFonts w:ascii="宋体" w:hAnsi="宋体"/>
                <w:bCs/>
                <w:color w:val="auto"/>
                <w:highlight w:val="none"/>
              </w:rPr>
            </w:pPr>
          </w:p>
        </w:tc>
        <w:tc>
          <w:tcPr>
            <w:tcW w:w="1715" w:type="dxa"/>
          </w:tcPr>
          <w:p w14:paraId="4D55A81B">
            <w:pPr>
              <w:spacing w:line="440" w:lineRule="exact"/>
              <w:jc w:val="center"/>
              <w:rPr>
                <w:rFonts w:ascii="宋体" w:hAnsi="宋体"/>
                <w:bCs/>
                <w:color w:val="auto"/>
                <w:highlight w:val="none"/>
              </w:rPr>
            </w:pPr>
          </w:p>
        </w:tc>
        <w:tc>
          <w:tcPr>
            <w:tcW w:w="1596" w:type="dxa"/>
          </w:tcPr>
          <w:p w14:paraId="7CE9CA24">
            <w:pPr>
              <w:spacing w:line="440" w:lineRule="exact"/>
              <w:jc w:val="center"/>
              <w:rPr>
                <w:rFonts w:ascii="宋体" w:hAnsi="宋体"/>
                <w:bCs/>
                <w:color w:val="auto"/>
                <w:highlight w:val="none"/>
              </w:rPr>
            </w:pPr>
          </w:p>
        </w:tc>
        <w:tc>
          <w:tcPr>
            <w:tcW w:w="1611" w:type="dxa"/>
          </w:tcPr>
          <w:p w14:paraId="712E4BED">
            <w:pPr>
              <w:spacing w:line="440" w:lineRule="exact"/>
              <w:jc w:val="center"/>
              <w:rPr>
                <w:rFonts w:ascii="宋体" w:hAnsi="宋体"/>
                <w:bCs/>
                <w:color w:val="auto"/>
                <w:highlight w:val="none"/>
              </w:rPr>
            </w:pPr>
          </w:p>
        </w:tc>
      </w:tr>
      <w:tr w14:paraId="2F36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120D2871">
            <w:pPr>
              <w:spacing w:line="440" w:lineRule="exact"/>
              <w:jc w:val="center"/>
              <w:rPr>
                <w:rFonts w:ascii="宋体" w:hAnsi="宋体"/>
                <w:bCs/>
                <w:color w:val="auto"/>
                <w:highlight w:val="none"/>
              </w:rPr>
            </w:pPr>
          </w:p>
        </w:tc>
        <w:tc>
          <w:tcPr>
            <w:tcW w:w="1953" w:type="dxa"/>
          </w:tcPr>
          <w:p w14:paraId="7536F44D">
            <w:pPr>
              <w:spacing w:line="440" w:lineRule="exact"/>
              <w:jc w:val="center"/>
              <w:rPr>
                <w:rFonts w:ascii="宋体" w:hAnsi="宋体"/>
                <w:bCs/>
                <w:color w:val="auto"/>
                <w:highlight w:val="none"/>
              </w:rPr>
            </w:pPr>
          </w:p>
        </w:tc>
        <w:tc>
          <w:tcPr>
            <w:tcW w:w="921" w:type="dxa"/>
          </w:tcPr>
          <w:p w14:paraId="7AACBC59">
            <w:pPr>
              <w:spacing w:line="440" w:lineRule="exact"/>
              <w:jc w:val="center"/>
              <w:rPr>
                <w:rFonts w:ascii="宋体" w:hAnsi="宋体"/>
                <w:bCs/>
                <w:color w:val="auto"/>
                <w:highlight w:val="none"/>
              </w:rPr>
            </w:pPr>
          </w:p>
        </w:tc>
        <w:tc>
          <w:tcPr>
            <w:tcW w:w="978" w:type="dxa"/>
          </w:tcPr>
          <w:p w14:paraId="4E95F6FC">
            <w:pPr>
              <w:spacing w:line="440" w:lineRule="exact"/>
              <w:jc w:val="center"/>
              <w:rPr>
                <w:rFonts w:ascii="宋体" w:hAnsi="宋体"/>
                <w:bCs/>
                <w:color w:val="auto"/>
                <w:highlight w:val="none"/>
              </w:rPr>
            </w:pPr>
          </w:p>
        </w:tc>
        <w:tc>
          <w:tcPr>
            <w:tcW w:w="1074" w:type="dxa"/>
          </w:tcPr>
          <w:p w14:paraId="16D66A39">
            <w:pPr>
              <w:spacing w:line="440" w:lineRule="exact"/>
              <w:jc w:val="center"/>
              <w:rPr>
                <w:rFonts w:ascii="宋体" w:hAnsi="宋体"/>
                <w:bCs/>
                <w:color w:val="auto"/>
                <w:highlight w:val="none"/>
              </w:rPr>
            </w:pPr>
          </w:p>
        </w:tc>
        <w:tc>
          <w:tcPr>
            <w:tcW w:w="1310" w:type="dxa"/>
          </w:tcPr>
          <w:p w14:paraId="3BCAA195">
            <w:pPr>
              <w:spacing w:line="440" w:lineRule="exact"/>
              <w:jc w:val="center"/>
              <w:rPr>
                <w:rFonts w:ascii="宋体" w:hAnsi="宋体"/>
                <w:bCs/>
                <w:color w:val="auto"/>
                <w:highlight w:val="none"/>
              </w:rPr>
            </w:pPr>
          </w:p>
        </w:tc>
        <w:tc>
          <w:tcPr>
            <w:tcW w:w="2200" w:type="dxa"/>
          </w:tcPr>
          <w:p w14:paraId="5EE049E5">
            <w:pPr>
              <w:spacing w:line="440" w:lineRule="exact"/>
              <w:jc w:val="center"/>
              <w:rPr>
                <w:rFonts w:ascii="宋体" w:hAnsi="宋体"/>
                <w:bCs/>
                <w:color w:val="auto"/>
                <w:highlight w:val="none"/>
              </w:rPr>
            </w:pPr>
          </w:p>
        </w:tc>
        <w:tc>
          <w:tcPr>
            <w:tcW w:w="1715" w:type="dxa"/>
          </w:tcPr>
          <w:p w14:paraId="7F6BE782">
            <w:pPr>
              <w:spacing w:line="440" w:lineRule="exact"/>
              <w:jc w:val="center"/>
              <w:rPr>
                <w:rFonts w:ascii="宋体" w:hAnsi="宋体"/>
                <w:bCs/>
                <w:color w:val="auto"/>
                <w:highlight w:val="none"/>
              </w:rPr>
            </w:pPr>
          </w:p>
        </w:tc>
        <w:tc>
          <w:tcPr>
            <w:tcW w:w="1596" w:type="dxa"/>
          </w:tcPr>
          <w:p w14:paraId="769BF886">
            <w:pPr>
              <w:spacing w:line="440" w:lineRule="exact"/>
              <w:jc w:val="center"/>
              <w:rPr>
                <w:rFonts w:ascii="宋体" w:hAnsi="宋体"/>
                <w:bCs/>
                <w:color w:val="auto"/>
                <w:highlight w:val="none"/>
              </w:rPr>
            </w:pPr>
          </w:p>
        </w:tc>
        <w:tc>
          <w:tcPr>
            <w:tcW w:w="1611" w:type="dxa"/>
          </w:tcPr>
          <w:p w14:paraId="16905A73">
            <w:pPr>
              <w:spacing w:line="440" w:lineRule="exact"/>
              <w:jc w:val="center"/>
              <w:rPr>
                <w:rFonts w:ascii="宋体" w:hAnsi="宋体"/>
                <w:bCs/>
                <w:color w:val="auto"/>
                <w:highlight w:val="none"/>
              </w:rPr>
            </w:pPr>
          </w:p>
        </w:tc>
      </w:tr>
      <w:tr w14:paraId="02B0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676FC00C">
            <w:pPr>
              <w:spacing w:line="440" w:lineRule="exact"/>
              <w:jc w:val="center"/>
              <w:rPr>
                <w:rFonts w:ascii="宋体" w:hAnsi="宋体"/>
                <w:bCs/>
                <w:color w:val="auto"/>
                <w:highlight w:val="none"/>
              </w:rPr>
            </w:pPr>
          </w:p>
        </w:tc>
        <w:tc>
          <w:tcPr>
            <w:tcW w:w="1953" w:type="dxa"/>
          </w:tcPr>
          <w:p w14:paraId="5540D2B3">
            <w:pPr>
              <w:spacing w:line="440" w:lineRule="exact"/>
              <w:jc w:val="center"/>
              <w:rPr>
                <w:rFonts w:ascii="宋体" w:hAnsi="宋体"/>
                <w:bCs/>
                <w:color w:val="auto"/>
                <w:highlight w:val="none"/>
              </w:rPr>
            </w:pPr>
          </w:p>
        </w:tc>
        <w:tc>
          <w:tcPr>
            <w:tcW w:w="921" w:type="dxa"/>
          </w:tcPr>
          <w:p w14:paraId="67FB2362">
            <w:pPr>
              <w:spacing w:line="440" w:lineRule="exact"/>
              <w:jc w:val="center"/>
              <w:rPr>
                <w:rFonts w:ascii="宋体" w:hAnsi="宋体"/>
                <w:bCs/>
                <w:color w:val="auto"/>
                <w:highlight w:val="none"/>
              </w:rPr>
            </w:pPr>
          </w:p>
        </w:tc>
        <w:tc>
          <w:tcPr>
            <w:tcW w:w="978" w:type="dxa"/>
          </w:tcPr>
          <w:p w14:paraId="3F6D1583">
            <w:pPr>
              <w:spacing w:line="440" w:lineRule="exact"/>
              <w:jc w:val="center"/>
              <w:rPr>
                <w:rFonts w:ascii="宋体" w:hAnsi="宋体"/>
                <w:bCs/>
                <w:color w:val="auto"/>
                <w:highlight w:val="none"/>
              </w:rPr>
            </w:pPr>
          </w:p>
        </w:tc>
        <w:tc>
          <w:tcPr>
            <w:tcW w:w="1074" w:type="dxa"/>
          </w:tcPr>
          <w:p w14:paraId="5C36F505">
            <w:pPr>
              <w:spacing w:line="440" w:lineRule="exact"/>
              <w:jc w:val="center"/>
              <w:rPr>
                <w:rFonts w:ascii="宋体" w:hAnsi="宋体"/>
                <w:bCs/>
                <w:color w:val="auto"/>
                <w:highlight w:val="none"/>
              </w:rPr>
            </w:pPr>
          </w:p>
        </w:tc>
        <w:tc>
          <w:tcPr>
            <w:tcW w:w="1310" w:type="dxa"/>
          </w:tcPr>
          <w:p w14:paraId="00FC0969">
            <w:pPr>
              <w:spacing w:line="440" w:lineRule="exact"/>
              <w:jc w:val="center"/>
              <w:rPr>
                <w:rFonts w:ascii="宋体" w:hAnsi="宋体"/>
                <w:bCs/>
                <w:color w:val="auto"/>
                <w:highlight w:val="none"/>
              </w:rPr>
            </w:pPr>
          </w:p>
        </w:tc>
        <w:tc>
          <w:tcPr>
            <w:tcW w:w="2200" w:type="dxa"/>
          </w:tcPr>
          <w:p w14:paraId="2A33AD4B">
            <w:pPr>
              <w:spacing w:line="440" w:lineRule="exact"/>
              <w:jc w:val="center"/>
              <w:rPr>
                <w:rFonts w:ascii="宋体" w:hAnsi="宋体"/>
                <w:bCs/>
                <w:color w:val="auto"/>
                <w:highlight w:val="none"/>
              </w:rPr>
            </w:pPr>
          </w:p>
        </w:tc>
        <w:tc>
          <w:tcPr>
            <w:tcW w:w="1715" w:type="dxa"/>
          </w:tcPr>
          <w:p w14:paraId="2A1106BF">
            <w:pPr>
              <w:spacing w:line="440" w:lineRule="exact"/>
              <w:jc w:val="center"/>
              <w:rPr>
                <w:rFonts w:ascii="宋体" w:hAnsi="宋体"/>
                <w:bCs/>
                <w:color w:val="auto"/>
                <w:highlight w:val="none"/>
              </w:rPr>
            </w:pPr>
          </w:p>
        </w:tc>
        <w:tc>
          <w:tcPr>
            <w:tcW w:w="1596" w:type="dxa"/>
          </w:tcPr>
          <w:p w14:paraId="4D99567B">
            <w:pPr>
              <w:spacing w:line="440" w:lineRule="exact"/>
              <w:jc w:val="center"/>
              <w:rPr>
                <w:rFonts w:ascii="宋体" w:hAnsi="宋体"/>
                <w:bCs/>
                <w:color w:val="auto"/>
                <w:highlight w:val="none"/>
              </w:rPr>
            </w:pPr>
          </w:p>
        </w:tc>
        <w:tc>
          <w:tcPr>
            <w:tcW w:w="1611" w:type="dxa"/>
          </w:tcPr>
          <w:p w14:paraId="0C74A06F">
            <w:pPr>
              <w:spacing w:line="440" w:lineRule="exact"/>
              <w:jc w:val="center"/>
              <w:rPr>
                <w:rFonts w:ascii="宋体" w:hAnsi="宋体"/>
                <w:bCs/>
                <w:color w:val="auto"/>
                <w:highlight w:val="none"/>
              </w:rPr>
            </w:pPr>
          </w:p>
        </w:tc>
      </w:tr>
      <w:tr w14:paraId="3D42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Pr>
          <w:p w14:paraId="487B1BD0">
            <w:pPr>
              <w:spacing w:line="440" w:lineRule="exact"/>
              <w:jc w:val="center"/>
              <w:rPr>
                <w:rFonts w:ascii="宋体" w:hAnsi="宋体"/>
                <w:bCs/>
                <w:color w:val="auto"/>
                <w:highlight w:val="none"/>
              </w:rPr>
            </w:pPr>
          </w:p>
        </w:tc>
        <w:tc>
          <w:tcPr>
            <w:tcW w:w="1953" w:type="dxa"/>
          </w:tcPr>
          <w:p w14:paraId="79792D82">
            <w:pPr>
              <w:spacing w:line="440" w:lineRule="exact"/>
              <w:jc w:val="center"/>
              <w:rPr>
                <w:rFonts w:ascii="宋体" w:hAnsi="宋体"/>
                <w:bCs/>
                <w:color w:val="auto"/>
                <w:highlight w:val="none"/>
              </w:rPr>
            </w:pPr>
          </w:p>
        </w:tc>
        <w:tc>
          <w:tcPr>
            <w:tcW w:w="921" w:type="dxa"/>
          </w:tcPr>
          <w:p w14:paraId="50D52B3F">
            <w:pPr>
              <w:spacing w:line="440" w:lineRule="exact"/>
              <w:jc w:val="center"/>
              <w:rPr>
                <w:rFonts w:ascii="宋体" w:hAnsi="宋体"/>
                <w:bCs/>
                <w:color w:val="auto"/>
                <w:highlight w:val="none"/>
              </w:rPr>
            </w:pPr>
          </w:p>
        </w:tc>
        <w:tc>
          <w:tcPr>
            <w:tcW w:w="978" w:type="dxa"/>
          </w:tcPr>
          <w:p w14:paraId="0E310870">
            <w:pPr>
              <w:spacing w:line="440" w:lineRule="exact"/>
              <w:jc w:val="center"/>
              <w:rPr>
                <w:rFonts w:ascii="宋体" w:hAnsi="宋体"/>
                <w:bCs/>
                <w:color w:val="auto"/>
                <w:highlight w:val="none"/>
              </w:rPr>
            </w:pPr>
          </w:p>
        </w:tc>
        <w:tc>
          <w:tcPr>
            <w:tcW w:w="1074" w:type="dxa"/>
          </w:tcPr>
          <w:p w14:paraId="7637285D">
            <w:pPr>
              <w:spacing w:line="440" w:lineRule="exact"/>
              <w:jc w:val="center"/>
              <w:rPr>
                <w:rFonts w:ascii="宋体" w:hAnsi="宋体"/>
                <w:bCs/>
                <w:color w:val="auto"/>
                <w:highlight w:val="none"/>
              </w:rPr>
            </w:pPr>
          </w:p>
        </w:tc>
        <w:tc>
          <w:tcPr>
            <w:tcW w:w="1310" w:type="dxa"/>
          </w:tcPr>
          <w:p w14:paraId="6F01DBBB">
            <w:pPr>
              <w:spacing w:line="440" w:lineRule="exact"/>
              <w:jc w:val="center"/>
              <w:rPr>
                <w:rFonts w:ascii="宋体" w:hAnsi="宋体"/>
                <w:bCs/>
                <w:color w:val="auto"/>
                <w:highlight w:val="none"/>
              </w:rPr>
            </w:pPr>
          </w:p>
        </w:tc>
        <w:tc>
          <w:tcPr>
            <w:tcW w:w="2200" w:type="dxa"/>
          </w:tcPr>
          <w:p w14:paraId="4965479C">
            <w:pPr>
              <w:spacing w:line="440" w:lineRule="exact"/>
              <w:jc w:val="center"/>
              <w:rPr>
                <w:rFonts w:ascii="宋体" w:hAnsi="宋体"/>
                <w:bCs/>
                <w:color w:val="auto"/>
                <w:highlight w:val="none"/>
              </w:rPr>
            </w:pPr>
          </w:p>
        </w:tc>
        <w:tc>
          <w:tcPr>
            <w:tcW w:w="1715" w:type="dxa"/>
          </w:tcPr>
          <w:p w14:paraId="415BBE25">
            <w:pPr>
              <w:spacing w:line="440" w:lineRule="exact"/>
              <w:jc w:val="center"/>
              <w:rPr>
                <w:rFonts w:ascii="宋体" w:hAnsi="宋体"/>
                <w:bCs/>
                <w:color w:val="auto"/>
                <w:highlight w:val="none"/>
              </w:rPr>
            </w:pPr>
          </w:p>
        </w:tc>
        <w:tc>
          <w:tcPr>
            <w:tcW w:w="1596" w:type="dxa"/>
          </w:tcPr>
          <w:p w14:paraId="4B157961">
            <w:pPr>
              <w:spacing w:line="440" w:lineRule="exact"/>
              <w:jc w:val="center"/>
              <w:rPr>
                <w:rFonts w:ascii="宋体" w:hAnsi="宋体"/>
                <w:bCs/>
                <w:color w:val="auto"/>
                <w:highlight w:val="none"/>
              </w:rPr>
            </w:pPr>
          </w:p>
        </w:tc>
        <w:tc>
          <w:tcPr>
            <w:tcW w:w="1611" w:type="dxa"/>
          </w:tcPr>
          <w:p w14:paraId="755B1CB9">
            <w:pPr>
              <w:spacing w:line="440" w:lineRule="exact"/>
              <w:jc w:val="center"/>
              <w:rPr>
                <w:rFonts w:ascii="宋体" w:hAnsi="宋体"/>
                <w:bCs/>
                <w:color w:val="auto"/>
                <w:highlight w:val="none"/>
              </w:rPr>
            </w:pPr>
          </w:p>
        </w:tc>
      </w:tr>
    </w:tbl>
    <w:p w14:paraId="17A94995">
      <w:pPr>
        <w:spacing w:line="440" w:lineRule="exact"/>
        <w:rPr>
          <w:rFonts w:hAnsi="宋体" w:cs="宋体"/>
          <w:color w:val="auto"/>
          <w:sz w:val="24"/>
          <w:highlight w:val="none"/>
        </w:rPr>
      </w:pPr>
      <w:r>
        <w:rPr>
          <w:rFonts w:hint="eastAsia" w:hAnsi="宋体" w:cs="宋体"/>
          <w:color w:val="auto"/>
          <w:sz w:val="24"/>
          <w:highlight w:val="none"/>
        </w:rPr>
        <w:t>注：1.附相关技术职称、执业（专业）资格证书及身份证彩色扫描件，确保资料清晰可辨。</w:t>
      </w:r>
    </w:p>
    <w:p w14:paraId="2926A4A2">
      <w:pPr>
        <w:spacing w:line="440" w:lineRule="exact"/>
        <w:rPr>
          <w:rFonts w:hAnsi="宋体" w:cs="宋体"/>
          <w:color w:val="auto"/>
          <w:sz w:val="24"/>
          <w:highlight w:val="none"/>
        </w:rPr>
      </w:pPr>
      <w:r>
        <w:rPr>
          <w:rFonts w:hint="eastAsia" w:hAnsi="宋体" w:cs="宋体"/>
          <w:color w:val="auto"/>
          <w:sz w:val="24"/>
          <w:highlight w:val="none"/>
        </w:rPr>
        <w:t>2.审核人员须为供应商正式员工，提供劳动合同。</w:t>
      </w:r>
    </w:p>
    <w:p w14:paraId="39A9FCA9">
      <w:pPr>
        <w:pStyle w:val="6"/>
        <w:snapToGrid w:val="0"/>
        <w:ind w:firstLine="480" w:firstLineChars="200"/>
        <w:jc w:val="center"/>
        <w:rPr>
          <w:rFonts w:ascii="宋体" w:hAnsi="宋体" w:eastAsia="宋体" w:cs="宋体"/>
          <w:color w:val="auto"/>
          <w:sz w:val="24"/>
          <w:szCs w:val="24"/>
          <w:highlight w:val="none"/>
        </w:rPr>
      </w:pPr>
    </w:p>
    <w:p w14:paraId="2A11BB6F">
      <w:pPr>
        <w:pStyle w:val="6"/>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80060A4">
      <w:pPr>
        <w:snapToGrid w:val="0"/>
        <w:spacing w:before="50"/>
        <w:ind w:left="479" w:leftChars="228"/>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0869E8D">
      <w:pPr>
        <w:snapToGrid w:val="0"/>
        <w:spacing w:before="50"/>
        <w:ind w:left="479" w:leftChars="228"/>
        <w:jc w:val="center"/>
        <w:rPr>
          <w:color w:val="auto"/>
          <w:highlight w:val="none"/>
        </w:rPr>
        <w:sectPr>
          <w:pgSz w:w="16838" w:h="11906" w:orient="landscape"/>
          <w:pgMar w:top="1797" w:right="1440" w:bottom="1797" w:left="1440" w:header="851" w:footer="992" w:gutter="0"/>
          <w:pgNumType w:fmt="decimal"/>
          <w:cols w:space="425" w:num="1"/>
          <w:docGrid w:type="lines" w:linePitch="312" w:charSpace="0"/>
        </w:sect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月   日                               </w:t>
      </w:r>
    </w:p>
    <w:p w14:paraId="0A06FEBA">
      <w:pPr>
        <w:pStyle w:val="3"/>
        <w:spacing w:before="0" w:after="0" w:line="360" w:lineRule="auto"/>
        <w:ind w:firstLine="424" w:firstLineChars="151"/>
        <w:rPr>
          <w:color w:val="auto"/>
          <w:highlight w:val="none"/>
        </w:rPr>
      </w:pPr>
      <w:r>
        <w:rPr>
          <w:rFonts w:hint="eastAsia"/>
          <w:color w:val="auto"/>
          <w:sz w:val="28"/>
          <w:highlight w:val="none"/>
          <w:lang w:val="en-US" w:eastAsia="zh-CN"/>
        </w:rPr>
        <w:t>8.报价文件</w:t>
      </w:r>
      <w:r>
        <w:rPr>
          <w:rFonts w:hint="eastAsia"/>
          <w:color w:val="auto"/>
          <w:sz w:val="28"/>
          <w:highlight w:val="none"/>
        </w:rPr>
        <w:t>封面格式：</w:t>
      </w:r>
    </w:p>
    <w:p w14:paraId="01C48FE5">
      <w:pPr>
        <w:snapToGrid w:val="0"/>
        <w:spacing w:before="156" w:beforeLines="50" w:after="50"/>
        <w:jc w:val="center"/>
        <w:rPr>
          <w:rFonts w:hint="eastAsia" w:ascii="宋体" w:hAnsi="宋体"/>
          <w:bCs/>
          <w:color w:val="auto"/>
          <w:sz w:val="40"/>
          <w:szCs w:val="20"/>
          <w:highlight w:val="none"/>
        </w:rPr>
      </w:pPr>
    </w:p>
    <w:p w14:paraId="1585D63B">
      <w:pPr>
        <w:snapToGrid w:val="0"/>
        <w:spacing w:before="156" w:beforeLines="50" w:after="50"/>
        <w:jc w:val="center"/>
        <w:rPr>
          <w:rFonts w:hint="eastAsia" w:ascii="宋体" w:hAnsi="宋体"/>
          <w:bCs/>
          <w:color w:val="auto"/>
          <w:sz w:val="40"/>
          <w:szCs w:val="20"/>
          <w:highlight w:val="none"/>
        </w:rPr>
      </w:pPr>
    </w:p>
    <w:p w14:paraId="09035723">
      <w:pPr>
        <w:snapToGrid w:val="0"/>
        <w:spacing w:before="156" w:beforeLines="50" w:after="50"/>
        <w:jc w:val="center"/>
        <w:rPr>
          <w:rFonts w:ascii="宋体" w:hAnsi="宋体"/>
          <w:bCs/>
          <w:color w:val="auto"/>
          <w:sz w:val="40"/>
          <w:szCs w:val="20"/>
          <w:highlight w:val="none"/>
        </w:rPr>
      </w:pPr>
      <w:r>
        <w:rPr>
          <w:rFonts w:hint="eastAsia" w:ascii="宋体" w:hAnsi="宋体"/>
          <w:bCs/>
          <w:color w:val="auto"/>
          <w:sz w:val="40"/>
          <w:szCs w:val="20"/>
          <w:highlight w:val="none"/>
        </w:rPr>
        <w:t>XXX封闭式框架协议项目</w:t>
      </w:r>
    </w:p>
    <w:p w14:paraId="2563726C">
      <w:pPr>
        <w:snapToGrid w:val="0"/>
        <w:spacing w:before="156" w:beforeLines="50" w:after="50"/>
        <w:jc w:val="center"/>
        <w:rPr>
          <w:rFonts w:ascii="宋体" w:hAnsi="宋体"/>
          <w:bCs/>
          <w:color w:val="auto"/>
          <w:sz w:val="24"/>
          <w:highlight w:val="none"/>
        </w:rPr>
      </w:pPr>
    </w:p>
    <w:p w14:paraId="1A69B551">
      <w:pPr>
        <w:snapToGrid w:val="0"/>
        <w:spacing w:before="156" w:beforeLines="50" w:after="50"/>
        <w:jc w:val="center"/>
        <w:rPr>
          <w:rFonts w:ascii="宋体" w:hAnsi="宋体"/>
          <w:bCs/>
          <w:color w:val="auto"/>
          <w:sz w:val="24"/>
          <w:szCs w:val="20"/>
          <w:highlight w:val="none"/>
        </w:rPr>
      </w:pPr>
      <w:r>
        <w:rPr>
          <w:rFonts w:hint="eastAsia" w:ascii="宋体" w:hAnsi="宋体"/>
          <w:bCs/>
          <w:color w:val="auto"/>
          <w:sz w:val="24"/>
          <w:highlight w:val="none"/>
        </w:rPr>
        <w:t>报价文件</w:t>
      </w:r>
    </w:p>
    <w:p w14:paraId="638E4044">
      <w:pPr>
        <w:snapToGrid w:val="0"/>
        <w:spacing w:before="156" w:beforeLines="50" w:after="50"/>
        <w:rPr>
          <w:rFonts w:ascii="宋体" w:hAnsi="宋体"/>
          <w:bCs/>
          <w:color w:val="auto"/>
          <w:sz w:val="24"/>
          <w:szCs w:val="20"/>
          <w:highlight w:val="none"/>
        </w:rPr>
      </w:pPr>
    </w:p>
    <w:p w14:paraId="28D80640">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2A82597A">
      <w:pPr>
        <w:adjustRightInd w:val="0"/>
        <w:snapToGrid w:val="0"/>
        <w:spacing w:before="156" w:beforeLines="50" w:after="50" w:line="600" w:lineRule="exact"/>
        <w:ind w:firstLine="1068" w:firstLineChars="445"/>
        <w:rPr>
          <w:rFonts w:ascii="宋体" w:hAnsi="宋体"/>
          <w:bCs/>
          <w:color w:val="auto"/>
          <w:sz w:val="24"/>
          <w:highlight w:val="none"/>
        </w:rPr>
      </w:pPr>
      <w:r>
        <w:rPr>
          <w:rFonts w:hint="eastAsia" w:ascii="宋体" w:hAnsi="宋体"/>
          <w:bCs/>
          <w:color w:val="auto"/>
          <w:sz w:val="24"/>
          <w:highlight w:val="none"/>
        </w:rPr>
        <w:t>项目编号：</w:t>
      </w:r>
      <w:r>
        <w:rPr>
          <w:rFonts w:ascii="宋体" w:hAnsi="宋体"/>
          <w:bCs/>
          <w:color w:val="auto"/>
          <w:sz w:val="24"/>
          <w:highlight w:val="none"/>
        </w:rPr>
        <w:t xml:space="preserve"> </w:t>
      </w:r>
    </w:p>
    <w:p w14:paraId="41A91936">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响应供应商名称：</w:t>
      </w:r>
    </w:p>
    <w:p w14:paraId="5EA1EEB1">
      <w:pPr>
        <w:adjustRightInd w:val="0"/>
        <w:snapToGrid w:val="0"/>
        <w:spacing w:before="156" w:beforeLines="50" w:after="50" w:line="600" w:lineRule="exact"/>
        <w:ind w:firstLine="1068" w:firstLineChars="445"/>
        <w:rPr>
          <w:rFonts w:ascii="宋体" w:hAnsi="宋体"/>
          <w:bCs/>
          <w:color w:val="auto"/>
          <w:sz w:val="24"/>
          <w:szCs w:val="24"/>
          <w:highlight w:val="none"/>
        </w:rPr>
      </w:pPr>
      <w:r>
        <w:rPr>
          <w:rFonts w:hint="eastAsia" w:ascii="宋体" w:hAnsi="宋体"/>
          <w:bCs/>
          <w:color w:val="auto"/>
          <w:sz w:val="24"/>
          <w:szCs w:val="24"/>
          <w:highlight w:val="none"/>
        </w:rPr>
        <w:t>响应供应商地址：</w:t>
      </w:r>
    </w:p>
    <w:p w14:paraId="15F222D5">
      <w:pPr>
        <w:pStyle w:val="5"/>
        <w:snapToGrid w:val="0"/>
        <w:spacing w:before="50" w:after="50"/>
        <w:ind w:firstLine="960" w:firstLineChars="400"/>
        <w:rPr>
          <w:rFonts w:ascii="宋体" w:hAnsi="宋体"/>
          <w:bCs/>
          <w:color w:val="auto"/>
          <w:sz w:val="24"/>
          <w:szCs w:val="24"/>
          <w:highlight w:val="none"/>
        </w:rPr>
      </w:pPr>
    </w:p>
    <w:p w14:paraId="719A0C14">
      <w:pPr>
        <w:snapToGrid w:val="0"/>
        <w:spacing w:before="156" w:beforeLines="50" w:after="50"/>
        <w:ind w:firstLine="4080" w:firstLineChars="1700"/>
        <w:rPr>
          <w:rFonts w:ascii="宋体" w:hAnsi="宋体"/>
          <w:color w:val="auto"/>
          <w:sz w:val="24"/>
          <w:szCs w:val="20"/>
          <w:highlight w:val="none"/>
        </w:rPr>
      </w:pPr>
    </w:p>
    <w:p w14:paraId="0BB9EB90">
      <w:pPr>
        <w:snapToGrid w:val="0"/>
        <w:spacing w:before="156" w:beforeLines="50" w:after="50"/>
        <w:ind w:firstLine="645"/>
        <w:jc w:val="center"/>
        <w:rPr>
          <w:rFonts w:ascii="宋体" w:hAnsi="宋体"/>
          <w:color w:val="auto"/>
          <w:sz w:val="24"/>
          <w:szCs w:val="20"/>
          <w:highlight w:val="none"/>
        </w:rPr>
      </w:pP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5D7E0369">
      <w:pPr>
        <w:rPr>
          <w:color w:val="auto"/>
          <w:highlight w:val="none"/>
        </w:rPr>
      </w:pPr>
    </w:p>
    <w:p w14:paraId="4F5247FF">
      <w:pPr>
        <w:rPr>
          <w:color w:val="auto"/>
          <w:highlight w:val="none"/>
        </w:rPr>
      </w:pPr>
    </w:p>
    <w:p w14:paraId="2DA6379B">
      <w:pPr>
        <w:rPr>
          <w:color w:val="auto"/>
          <w:highlight w:val="none"/>
        </w:rPr>
      </w:pPr>
    </w:p>
    <w:p w14:paraId="4AFBB2B6">
      <w:pPr>
        <w:rPr>
          <w:color w:val="auto"/>
          <w:highlight w:val="none"/>
        </w:rPr>
      </w:pPr>
    </w:p>
    <w:p w14:paraId="1744E820">
      <w:pPr>
        <w:rPr>
          <w:color w:val="auto"/>
          <w:highlight w:val="none"/>
        </w:rPr>
      </w:pPr>
    </w:p>
    <w:p w14:paraId="10B664EA">
      <w:pPr>
        <w:rPr>
          <w:color w:val="auto"/>
          <w:highlight w:val="none"/>
        </w:rPr>
      </w:pPr>
    </w:p>
    <w:p w14:paraId="7D9C7CBB">
      <w:pPr>
        <w:rPr>
          <w:color w:val="auto"/>
          <w:highlight w:val="none"/>
        </w:rPr>
      </w:pPr>
    </w:p>
    <w:p w14:paraId="6AE74210">
      <w:pPr>
        <w:rPr>
          <w:color w:val="auto"/>
          <w:highlight w:val="none"/>
        </w:rPr>
      </w:pPr>
    </w:p>
    <w:p w14:paraId="083E11C7">
      <w:pPr>
        <w:rPr>
          <w:color w:val="auto"/>
          <w:highlight w:val="none"/>
        </w:rPr>
      </w:pPr>
    </w:p>
    <w:p w14:paraId="55F1B9E4">
      <w:pPr>
        <w:rPr>
          <w:color w:val="auto"/>
          <w:highlight w:val="none"/>
        </w:rPr>
      </w:pPr>
    </w:p>
    <w:p w14:paraId="2A55BD11">
      <w:pPr>
        <w:rPr>
          <w:color w:val="auto"/>
          <w:highlight w:val="none"/>
        </w:rPr>
      </w:pPr>
    </w:p>
    <w:p w14:paraId="668EBF13">
      <w:pPr>
        <w:rPr>
          <w:color w:val="auto"/>
          <w:highlight w:val="none"/>
        </w:rPr>
      </w:pPr>
    </w:p>
    <w:p w14:paraId="03C391C1">
      <w:pPr>
        <w:rPr>
          <w:color w:val="auto"/>
          <w:highlight w:val="none"/>
        </w:rPr>
      </w:pPr>
    </w:p>
    <w:p w14:paraId="51D31E52">
      <w:pPr>
        <w:rPr>
          <w:color w:val="auto"/>
          <w:highlight w:val="none"/>
        </w:rPr>
      </w:pPr>
    </w:p>
    <w:p w14:paraId="2726147C">
      <w:pPr>
        <w:rPr>
          <w:color w:val="auto"/>
          <w:highlight w:val="none"/>
        </w:rPr>
      </w:pPr>
    </w:p>
    <w:p w14:paraId="17078D6A">
      <w:pPr>
        <w:pStyle w:val="3"/>
        <w:spacing w:before="0" w:after="0" w:line="360" w:lineRule="auto"/>
        <w:ind w:firstLine="424" w:firstLineChars="151"/>
        <w:rPr>
          <w:color w:val="auto"/>
          <w:sz w:val="28"/>
          <w:highlight w:val="none"/>
        </w:rPr>
      </w:pPr>
      <w:r>
        <w:rPr>
          <w:rFonts w:hint="eastAsia"/>
          <w:color w:val="auto"/>
          <w:sz w:val="28"/>
          <w:highlight w:val="none"/>
          <w:lang w:val="en-US" w:eastAsia="zh-CN"/>
        </w:rPr>
        <w:t>9</w:t>
      </w:r>
      <w:r>
        <w:rPr>
          <w:rFonts w:hint="eastAsia"/>
          <w:color w:val="auto"/>
          <w:sz w:val="28"/>
          <w:highlight w:val="none"/>
        </w:rPr>
        <w:t>.报价一览表格式（仅放置于报价文件当中）</w:t>
      </w:r>
    </w:p>
    <w:p w14:paraId="640BD91D">
      <w:pPr>
        <w:snapToGrid w:val="0"/>
        <w:spacing w:before="156" w:beforeLines="50" w:after="360"/>
        <w:jc w:val="center"/>
        <w:rPr>
          <w:rFonts w:ascii="宋体" w:hAnsi="宋体"/>
          <w:b/>
          <w:color w:val="auto"/>
          <w:sz w:val="24"/>
          <w:highlight w:val="none"/>
        </w:rPr>
      </w:pPr>
      <w:r>
        <w:rPr>
          <w:rFonts w:hint="eastAsia" w:ascii="宋体" w:hAnsi="宋体"/>
          <w:b/>
          <w:color w:val="auto"/>
          <w:sz w:val="24"/>
          <w:highlight w:val="none"/>
        </w:rPr>
        <w:t>报价一览表</w:t>
      </w:r>
    </w:p>
    <w:p w14:paraId="79E7387F">
      <w:pPr>
        <w:spacing w:line="440" w:lineRule="exact"/>
        <w:jc w:val="left"/>
        <w:rPr>
          <w:rFonts w:hAnsi="宋体" w:cs="宋体"/>
          <w:color w:val="auto"/>
          <w:sz w:val="24"/>
          <w:highlight w:val="none"/>
        </w:rPr>
      </w:pPr>
      <w:r>
        <w:rPr>
          <w:rFonts w:hint="eastAsia" w:hAnsi="宋体" w:cs="宋体"/>
          <w:color w:val="auto"/>
          <w:sz w:val="24"/>
          <w:highlight w:val="none"/>
        </w:rPr>
        <w:t>项目名称：</w:t>
      </w:r>
    </w:p>
    <w:p w14:paraId="36E63E77">
      <w:pPr>
        <w:spacing w:after="240" w:line="440" w:lineRule="exact"/>
        <w:jc w:val="left"/>
        <w:rPr>
          <w:rFonts w:hAnsi="宋体" w:cs="宋体"/>
          <w:color w:val="auto"/>
          <w:sz w:val="24"/>
          <w:highlight w:val="none"/>
        </w:rPr>
      </w:pPr>
      <w:r>
        <w:rPr>
          <w:rFonts w:hint="eastAsia" w:hAnsi="宋体" w:cs="宋体"/>
          <w:color w:val="auto"/>
          <w:sz w:val="24"/>
          <w:highlight w:val="none"/>
        </w:rPr>
        <w:t xml:space="preserve">项目编号：                                                </w:t>
      </w:r>
    </w:p>
    <w:tbl>
      <w:tblPr>
        <w:tblStyle w:val="21"/>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151"/>
      </w:tblGrid>
      <w:tr w14:paraId="0991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09" w:type="dxa"/>
            <w:tcBorders>
              <w:top w:val="single" w:color="auto" w:sz="4" w:space="0"/>
              <w:left w:val="single" w:color="auto" w:sz="4" w:space="0"/>
              <w:bottom w:val="nil"/>
              <w:right w:val="single" w:color="auto" w:sz="4" w:space="0"/>
            </w:tcBorders>
            <w:vAlign w:val="center"/>
          </w:tcPr>
          <w:p w14:paraId="3EEF766A">
            <w:pPr>
              <w:spacing w:line="440" w:lineRule="exact"/>
              <w:jc w:val="center"/>
              <w:rPr>
                <w:rFonts w:hAnsi="宋体" w:cs="宋体"/>
                <w:color w:val="auto"/>
                <w:sz w:val="24"/>
                <w:highlight w:val="none"/>
              </w:rPr>
            </w:pPr>
            <w:r>
              <w:rPr>
                <w:rFonts w:hint="eastAsia" w:hAnsi="宋体" w:cs="宋体"/>
                <w:color w:val="auto"/>
                <w:sz w:val="24"/>
                <w:highlight w:val="none"/>
              </w:rPr>
              <w:t>服务内容</w:t>
            </w:r>
          </w:p>
        </w:tc>
        <w:tc>
          <w:tcPr>
            <w:tcW w:w="4151" w:type="dxa"/>
            <w:tcBorders>
              <w:top w:val="single" w:color="auto" w:sz="4" w:space="0"/>
              <w:left w:val="single" w:color="auto" w:sz="4" w:space="0"/>
              <w:bottom w:val="nil"/>
              <w:right w:val="single" w:color="auto" w:sz="4" w:space="0"/>
            </w:tcBorders>
            <w:vAlign w:val="center"/>
          </w:tcPr>
          <w:p w14:paraId="2D1A7F0D">
            <w:pPr>
              <w:spacing w:line="440" w:lineRule="exact"/>
              <w:jc w:val="center"/>
              <w:rPr>
                <w:rFonts w:hAnsi="宋体" w:cs="宋体"/>
                <w:color w:val="auto"/>
                <w:sz w:val="24"/>
                <w:highlight w:val="none"/>
              </w:rPr>
            </w:pPr>
            <w:r>
              <w:rPr>
                <w:rFonts w:hint="eastAsia" w:ascii="宋体" w:hAnsi="宋体" w:cs="宋体"/>
                <w:color w:val="auto"/>
                <w:sz w:val="24"/>
                <w:highlight w:val="none"/>
                <w:lang w:val="en-US" w:eastAsia="zh-CN"/>
              </w:rPr>
              <w:t>投标报价</w:t>
            </w:r>
            <w:r>
              <w:rPr>
                <w:rFonts w:hint="eastAsia" w:hAnsi="宋体" w:cs="宋体"/>
                <w:color w:val="auto"/>
                <w:sz w:val="24"/>
                <w:highlight w:val="none"/>
              </w:rPr>
              <w:t>（</w:t>
            </w:r>
            <w:r>
              <w:rPr>
                <w:rFonts w:hint="eastAsia" w:hAnsi="宋体" w:cs="宋体"/>
                <w:color w:val="auto"/>
                <w:sz w:val="24"/>
                <w:highlight w:val="none"/>
                <w:lang w:eastAsia="zh-CN"/>
              </w:rPr>
              <w:t>折扣率，</w:t>
            </w:r>
            <w:r>
              <w:rPr>
                <w:rFonts w:hint="eastAsia" w:hAnsi="宋体" w:cs="宋体"/>
                <w:color w:val="auto"/>
                <w:sz w:val="24"/>
                <w:highlight w:val="none"/>
              </w:rPr>
              <w:t>%）</w:t>
            </w:r>
          </w:p>
        </w:tc>
      </w:tr>
      <w:tr w14:paraId="703C9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609" w:type="dxa"/>
            <w:tcBorders>
              <w:top w:val="single" w:color="auto" w:sz="4" w:space="0"/>
              <w:left w:val="single" w:color="auto" w:sz="4" w:space="0"/>
              <w:bottom w:val="single" w:color="auto" w:sz="4" w:space="0"/>
              <w:right w:val="single" w:color="auto" w:sz="4" w:space="0"/>
            </w:tcBorders>
            <w:vAlign w:val="center"/>
          </w:tcPr>
          <w:p w14:paraId="7893B5CA">
            <w:pPr>
              <w:spacing w:line="440" w:lineRule="exact"/>
              <w:jc w:val="center"/>
              <w:rPr>
                <w:rFonts w:hAnsi="宋体" w:cs="宋体"/>
                <w:color w:val="auto"/>
                <w:sz w:val="24"/>
                <w:highlight w:val="none"/>
              </w:rPr>
            </w:pPr>
            <w:r>
              <w:rPr>
                <w:rFonts w:hint="eastAsia" w:hAnsi="宋体" w:cs="宋体"/>
                <w:color w:val="auto"/>
                <w:sz w:val="24"/>
                <w:highlight w:val="none"/>
              </w:rPr>
              <w:t>浦江县202</w:t>
            </w:r>
            <w:r>
              <w:rPr>
                <w:rFonts w:hint="eastAsia" w:hAnsi="宋体" w:cs="宋体"/>
                <w:color w:val="auto"/>
                <w:sz w:val="24"/>
                <w:highlight w:val="none"/>
                <w:lang w:val="en-US" w:eastAsia="zh-CN"/>
              </w:rPr>
              <w:t>4-2026</w:t>
            </w:r>
            <w:r>
              <w:rPr>
                <w:rFonts w:hint="eastAsia" w:hAnsi="宋体" w:cs="宋体"/>
                <w:color w:val="auto"/>
                <w:sz w:val="24"/>
                <w:highlight w:val="none"/>
              </w:rPr>
              <w:t>年</w:t>
            </w:r>
            <w:r>
              <w:rPr>
                <w:rFonts w:hint="eastAsia" w:hAnsi="宋体" w:cs="宋体"/>
                <w:color w:val="auto"/>
                <w:sz w:val="24"/>
                <w:highlight w:val="none"/>
                <w:lang w:eastAsia="zh-CN"/>
              </w:rPr>
              <w:t>度</w:t>
            </w:r>
            <w:r>
              <w:rPr>
                <w:rFonts w:hint="eastAsia" w:hAnsi="宋体" w:cs="宋体"/>
                <w:color w:val="auto"/>
                <w:sz w:val="24"/>
                <w:highlight w:val="none"/>
              </w:rPr>
              <w:t>地质灾害治理工程</w:t>
            </w:r>
            <w:r>
              <w:rPr>
                <w:rFonts w:hint="eastAsia" w:hAnsi="宋体" w:cs="宋体"/>
                <w:color w:val="auto"/>
                <w:sz w:val="24"/>
                <w:highlight w:val="none"/>
                <w:lang w:eastAsia="zh-CN"/>
              </w:rPr>
              <w:t>建设项目小额配套服务（监理</w:t>
            </w:r>
            <w:r>
              <w:rPr>
                <w:rFonts w:hint="eastAsia" w:hAnsi="宋体" w:cs="宋体"/>
                <w:color w:val="auto"/>
                <w:sz w:val="24"/>
                <w:highlight w:val="none"/>
                <w:lang w:val="en-US" w:eastAsia="zh-CN"/>
              </w:rPr>
              <w:t>)</w:t>
            </w:r>
            <w:r>
              <w:rPr>
                <w:rFonts w:hint="eastAsia" w:hAnsi="宋体" w:cs="宋体"/>
                <w:color w:val="auto"/>
                <w:sz w:val="24"/>
                <w:highlight w:val="none"/>
              </w:rPr>
              <w:t>封闭式框架协议项目</w:t>
            </w:r>
          </w:p>
        </w:tc>
        <w:tc>
          <w:tcPr>
            <w:tcW w:w="4151" w:type="dxa"/>
            <w:tcBorders>
              <w:top w:val="single" w:color="auto" w:sz="4" w:space="0"/>
              <w:left w:val="single" w:color="auto" w:sz="4" w:space="0"/>
              <w:bottom w:val="single" w:color="auto" w:sz="4" w:space="0"/>
              <w:right w:val="single" w:color="auto" w:sz="4" w:space="0"/>
            </w:tcBorders>
            <w:vAlign w:val="center"/>
          </w:tcPr>
          <w:p w14:paraId="7D9F6A27">
            <w:pPr>
              <w:spacing w:line="440" w:lineRule="exact"/>
              <w:jc w:val="center"/>
              <w:rPr>
                <w:rFonts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w:t>
            </w:r>
          </w:p>
        </w:tc>
      </w:tr>
    </w:tbl>
    <w:p w14:paraId="5DA3BF7E">
      <w:pPr>
        <w:spacing w:line="440" w:lineRule="exact"/>
        <w:jc w:val="left"/>
        <w:rPr>
          <w:rFonts w:hAnsi="宋体" w:cs="宋体"/>
          <w:color w:val="auto"/>
          <w:sz w:val="24"/>
          <w:highlight w:val="none"/>
        </w:rPr>
      </w:pPr>
      <w:r>
        <w:rPr>
          <w:rFonts w:hint="eastAsia" w:hAnsi="宋体" w:cs="宋体"/>
          <w:color w:val="auto"/>
          <w:sz w:val="24"/>
          <w:highlight w:val="none"/>
        </w:rPr>
        <w:t>注：</w:t>
      </w:r>
    </w:p>
    <w:p w14:paraId="1ACF386B">
      <w:pPr>
        <w:spacing w:line="440" w:lineRule="exact"/>
        <w:jc w:val="left"/>
        <w:rPr>
          <w:rFonts w:hint="eastAsia"/>
          <w:b/>
          <w:bCs/>
          <w:color w:val="auto"/>
          <w:sz w:val="24"/>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1</w:t>
      </w:r>
      <w:r>
        <w:rPr>
          <w:rFonts w:hint="eastAsia" w:hAnsi="宋体" w:cs="宋体"/>
          <w:b/>
          <w:color w:val="auto"/>
          <w:sz w:val="24"/>
          <w:highlight w:val="none"/>
        </w:rPr>
        <w:t>.</w:t>
      </w:r>
      <w:r>
        <w:rPr>
          <w:rFonts w:hint="eastAsia"/>
          <w:b/>
          <w:bCs/>
          <w:color w:val="auto"/>
          <w:sz w:val="24"/>
          <w:highlight w:val="none"/>
        </w:rPr>
        <w:t>报价中折扣所填数值（百分符号前面的数）须为大于0小于等于</w:t>
      </w:r>
      <w:r>
        <w:rPr>
          <w:rFonts w:hint="eastAsia"/>
          <w:b/>
          <w:bCs/>
          <w:color w:val="auto"/>
          <w:sz w:val="24"/>
          <w:highlight w:val="none"/>
          <w:lang w:val="en-US" w:eastAsia="zh-CN"/>
        </w:rPr>
        <w:t>5</w:t>
      </w:r>
      <w:r>
        <w:rPr>
          <w:rFonts w:hint="eastAsia"/>
          <w:b/>
          <w:bCs/>
          <w:color w:val="auto"/>
          <w:sz w:val="24"/>
          <w:highlight w:val="none"/>
        </w:rPr>
        <w:t>的</w:t>
      </w:r>
      <w:r>
        <w:rPr>
          <w:rFonts w:hint="eastAsia"/>
          <w:b/>
          <w:bCs/>
          <w:color w:val="auto"/>
          <w:sz w:val="24"/>
          <w:highlight w:val="none"/>
          <w:lang w:eastAsia="zh-CN"/>
        </w:rPr>
        <w:t>数值，百分号前保留</w:t>
      </w:r>
      <w:r>
        <w:rPr>
          <w:rFonts w:hint="eastAsia"/>
          <w:b/>
          <w:bCs/>
          <w:color w:val="auto"/>
          <w:sz w:val="24"/>
          <w:highlight w:val="none"/>
          <w:lang w:val="en-US" w:eastAsia="zh-CN"/>
        </w:rPr>
        <w:t>2位小数</w:t>
      </w:r>
      <w:r>
        <w:rPr>
          <w:rFonts w:hint="eastAsia"/>
          <w:b/>
          <w:bCs/>
          <w:color w:val="auto"/>
          <w:sz w:val="24"/>
          <w:highlight w:val="none"/>
        </w:rPr>
        <w:t>。</w:t>
      </w:r>
    </w:p>
    <w:p w14:paraId="56A0439A">
      <w:pPr>
        <w:spacing w:line="440" w:lineRule="exact"/>
        <w:jc w:val="left"/>
        <w:rPr>
          <w:rFonts w:hint="eastAsia"/>
          <w:b/>
          <w:bCs/>
          <w:color w:val="auto"/>
          <w:sz w:val="24"/>
          <w:highlight w:val="none"/>
        </w:rPr>
      </w:pPr>
      <w:r>
        <w:rPr>
          <w:rFonts w:hint="eastAsia" w:hAnsi="宋体" w:cs="宋体"/>
          <w:color w:val="auto"/>
          <w:sz w:val="24"/>
          <w:highlight w:val="none"/>
        </w:rPr>
        <w:t>▲</w:t>
      </w:r>
      <w:r>
        <w:rPr>
          <w:rFonts w:hint="eastAsia" w:hAnsi="宋体" w:cs="宋体"/>
          <w:b/>
          <w:color w:val="auto"/>
          <w:sz w:val="24"/>
          <w:highlight w:val="none"/>
          <w:lang w:val="en-US" w:eastAsia="zh-CN"/>
        </w:rPr>
        <w:t>2</w:t>
      </w:r>
      <w:r>
        <w:rPr>
          <w:rFonts w:hint="eastAsia" w:hAnsi="宋体" w:cs="宋体"/>
          <w:b/>
          <w:color w:val="auto"/>
          <w:sz w:val="24"/>
          <w:highlight w:val="none"/>
        </w:rPr>
        <w:t>.</w:t>
      </w:r>
      <w:r>
        <w:rPr>
          <w:rFonts w:hint="eastAsia" w:hAnsi="宋体" w:cs="宋体"/>
          <w:b/>
          <w:color w:val="auto"/>
          <w:sz w:val="24"/>
          <w:highlight w:val="none"/>
          <w:lang w:val="en-US" w:eastAsia="zh-CN"/>
        </w:rPr>
        <w:t>供应商响应报价低于2%的，应当在报价响应文件中详细阐述不影响诚信履约的具体原因。</w:t>
      </w:r>
    </w:p>
    <w:p w14:paraId="5EE113C4">
      <w:pPr>
        <w:spacing w:line="440" w:lineRule="exact"/>
        <w:jc w:val="left"/>
        <w:rPr>
          <w:rFonts w:hAnsi="宋体" w:cs="宋体"/>
          <w:color w:val="auto"/>
          <w:sz w:val="24"/>
          <w:highlight w:val="none"/>
        </w:rPr>
      </w:pPr>
      <w:r>
        <w:rPr>
          <w:rFonts w:hint="eastAsia" w:hAnsi="宋体" w:cs="宋体"/>
          <w:color w:val="auto"/>
          <w:sz w:val="24"/>
          <w:highlight w:val="none"/>
          <w:lang w:val="en-US" w:eastAsia="zh-CN"/>
        </w:rPr>
        <w:t>3</w:t>
      </w:r>
      <w:r>
        <w:rPr>
          <w:rFonts w:hint="eastAsia" w:hAnsi="宋体" w:cs="宋体"/>
          <w:color w:val="auto"/>
          <w:sz w:val="24"/>
          <w:highlight w:val="none"/>
        </w:rPr>
        <w:t>.投标报价应包括人工费、服务费、</w:t>
      </w:r>
      <w:r>
        <w:rPr>
          <w:rFonts w:hint="eastAsia" w:hAnsi="宋体" w:cs="宋体"/>
          <w:color w:val="auto"/>
          <w:sz w:val="24"/>
          <w:highlight w:val="none"/>
          <w:lang w:eastAsia="zh-CN"/>
        </w:rPr>
        <w:t>仪器设备使用费、</w:t>
      </w:r>
      <w:r>
        <w:rPr>
          <w:rFonts w:hint="eastAsia" w:hAnsi="宋体" w:cs="宋体"/>
          <w:color w:val="auto"/>
          <w:sz w:val="24"/>
          <w:highlight w:val="none"/>
        </w:rPr>
        <w:t>材料费、税费等其他一切费用。</w:t>
      </w:r>
    </w:p>
    <w:p w14:paraId="55413F3F">
      <w:pPr>
        <w:spacing w:line="440" w:lineRule="exact"/>
        <w:jc w:val="left"/>
        <w:rPr>
          <w:rFonts w:hAnsi="宋体" w:cs="宋体"/>
          <w:color w:val="auto"/>
          <w:sz w:val="24"/>
          <w:highlight w:val="none"/>
        </w:rPr>
      </w:pPr>
      <w:r>
        <w:rPr>
          <w:rFonts w:hint="eastAsia" w:hAnsi="宋体" w:cs="宋体"/>
          <w:color w:val="auto"/>
          <w:sz w:val="24"/>
          <w:highlight w:val="none"/>
          <w:lang w:val="en-US" w:eastAsia="zh-CN"/>
        </w:rPr>
        <w:t>4</w:t>
      </w:r>
      <w:r>
        <w:rPr>
          <w:rFonts w:hint="eastAsia" w:hAnsi="宋体" w:cs="宋体"/>
          <w:color w:val="auto"/>
          <w:sz w:val="24"/>
          <w:highlight w:val="none"/>
        </w:rPr>
        <w:t>.特别约定事项：征集文件和</w:t>
      </w:r>
      <w:r>
        <w:rPr>
          <w:rFonts w:hint="eastAsia" w:hAnsi="宋体" w:cs="宋体"/>
          <w:color w:val="auto"/>
          <w:sz w:val="24"/>
          <w:highlight w:val="none"/>
          <w:lang w:eastAsia="zh-CN"/>
        </w:rPr>
        <w:t>乐</w:t>
      </w:r>
      <w:r>
        <w:rPr>
          <w:rFonts w:hint="eastAsia" w:hAnsi="宋体" w:cs="宋体"/>
          <w:color w:val="auto"/>
          <w:sz w:val="24"/>
          <w:highlight w:val="none"/>
        </w:rPr>
        <w:t>采云报价系统中出现的优惠率、折扣率等表述都理解为</w:t>
      </w:r>
      <w:r>
        <w:rPr>
          <w:rFonts w:hint="eastAsia" w:hAnsi="宋体" w:cs="宋体"/>
          <w:color w:val="auto"/>
          <w:sz w:val="24"/>
          <w:highlight w:val="none"/>
          <w:lang w:eastAsia="zh-CN"/>
        </w:rPr>
        <w:t>报价</w:t>
      </w:r>
      <w:r>
        <w:rPr>
          <w:rFonts w:hint="eastAsia" w:hAnsi="宋体" w:cs="宋体"/>
          <w:color w:val="auto"/>
          <w:sz w:val="24"/>
          <w:highlight w:val="none"/>
        </w:rPr>
        <w:t>，投标报价用百分比（“XX%”）表示。</w:t>
      </w:r>
    </w:p>
    <w:p w14:paraId="28B97C35">
      <w:pPr>
        <w:spacing w:line="360" w:lineRule="auto"/>
        <w:ind w:firstLine="420" w:firstLineChars="200"/>
        <w:rPr>
          <w:color w:val="auto"/>
          <w:highlight w:val="none"/>
        </w:rPr>
      </w:pPr>
    </w:p>
    <w:p w14:paraId="47EC9100">
      <w:pPr>
        <w:pStyle w:val="6"/>
        <w:snapToGrid w:val="0"/>
        <w:ind w:firstLine="480" w:firstLineChars="200"/>
        <w:jc w:val="center"/>
        <w:rPr>
          <w:rFonts w:ascii="宋体" w:hAnsi="宋体" w:eastAsia="宋体"/>
          <w:color w:val="auto"/>
          <w:sz w:val="24"/>
          <w:highlight w:val="none"/>
          <w:u w:val="singl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3AA7A52">
      <w:pPr>
        <w:snapToGrid w:val="0"/>
        <w:spacing w:before="50"/>
        <w:ind w:left="479" w:leftChars="228"/>
        <w:jc w:val="center"/>
        <w:rPr>
          <w:rFonts w:ascii="宋体" w:hAnsi="宋体" w:eastAsia="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响应供应商（盖章）</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667EDBB">
      <w:pPr>
        <w:snapToGrid w:val="0"/>
        <w:spacing w:before="156" w:beforeLines="50" w:after="50"/>
        <w:jc w:val="right"/>
        <w:rPr>
          <w:rFonts w:ascii="宋体" w:hAnsi="宋体"/>
          <w:color w:val="auto"/>
          <w:sz w:val="24"/>
          <w:highlight w:val="none"/>
        </w:rPr>
      </w:pPr>
      <w:r>
        <w:rPr>
          <w:rFonts w:hint="eastAsia" w:ascii="宋体" w:hAnsi="宋体"/>
          <w:color w:val="auto"/>
          <w:sz w:val="24"/>
          <w:highlight w:val="none"/>
        </w:rPr>
        <w:t>年    月   日</w:t>
      </w:r>
    </w:p>
    <w:p w14:paraId="5B4F8497">
      <w:pPr>
        <w:rPr>
          <w:color w:val="auto"/>
          <w:highlight w:val="none"/>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CEFD">
    <w:pPr>
      <w:pStyle w:val="14"/>
      <w:jc w:val="center"/>
    </w:pPr>
    <w:r>
      <w:rPr>
        <w:lang w:val="zh-CN"/>
      </w:rPr>
      <w:t xml:space="preserve"> </w:t>
    </w:r>
  </w:p>
  <w:p w14:paraId="31FA08B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3A0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497B">
    <w:pPr>
      <w:pStyle w:val="14"/>
      <w:jc w:val="center"/>
    </w:pPr>
    <w:r>
      <w:rPr>
        <w:lang w:val="zh-CN"/>
      </w:rPr>
      <w:t xml:space="preserve"> </w:t>
    </w:r>
  </w:p>
  <w:p w14:paraId="414652A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0FEF42E">
        <w:pPr>
          <w:pStyle w:val="14"/>
          <w:jc w:val="center"/>
        </w:pPr>
        <w:r>
          <w:fldChar w:fldCharType="begin"/>
        </w:r>
        <w:r>
          <w:instrText xml:space="preserve">PAGE   \* MERGEFORMAT</w:instrText>
        </w:r>
        <w:r>
          <w:fldChar w:fldCharType="separate"/>
        </w:r>
        <w:r>
          <w:rPr>
            <w:lang w:val="zh-CN"/>
          </w:rPr>
          <w:t>32</w:t>
        </w:r>
        <w:r>
          <w:fldChar w:fldCharType="end"/>
        </w:r>
      </w:p>
    </w:sdtContent>
  </w:sdt>
  <w:p w14:paraId="064F8CED">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B5F3">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8B252">
                          <w:pPr>
                            <w:pStyle w:val="14"/>
                            <w:rPr>
                              <w:rStyle w:val="25"/>
                            </w:rPr>
                          </w:pPr>
                          <w:r>
                            <w:fldChar w:fldCharType="begin"/>
                          </w:r>
                          <w:r>
                            <w:rPr>
                              <w:rStyle w:val="25"/>
                            </w:rPr>
                            <w:instrText xml:space="preserve">PAGE  </w:instrText>
                          </w:r>
                          <w:r>
                            <w:fldChar w:fldCharType="separate"/>
                          </w:r>
                          <w:r>
                            <w:rPr>
                              <w:rStyle w:val="2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8B252">
                    <w:pPr>
                      <w:pStyle w:val="14"/>
                      <w:rPr>
                        <w:rStyle w:val="25"/>
                      </w:rPr>
                    </w:pPr>
                    <w:r>
                      <w:fldChar w:fldCharType="begin"/>
                    </w:r>
                    <w:r>
                      <w:rPr>
                        <w:rStyle w:val="25"/>
                      </w:rPr>
                      <w:instrText xml:space="preserve">PAGE  </w:instrText>
                    </w:r>
                    <w:r>
                      <w:fldChar w:fldCharType="separate"/>
                    </w:r>
                    <w:r>
                      <w:rPr>
                        <w:rStyle w:val="25"/>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7B86">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2</w:t>
    </w:r>
    <w:r>
      <w:fldChar w:fldCharType="end"/>
    </w:r>
  </w:p>
  <w:p w14:paraId="70288F11">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436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2B3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AF2B3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608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E3F0">
    <w:pPr>
      <w:pStyle w:val="15"/>
      <w:jc w:val="both"/>
      <w:rPr>
        <w:rFonts w:hint="default" w:ascii="黑体" w:hAnsi="黑体" w:eastAsia="黑体"/>
        <w:sz w:val="20"/>
        <w:lang w:val="en-US" w:eastAsia="zh-CN"/>
      </w:rPr>
    </w:pPr>
    <w:r>
      <w:rPr>
        <w:rFonts w:hint="eastAsia" w:ascii="黑体" w:hAnsi="黑体" w:eastAsia="黑体"/>
        <w:sz w:val="20"/>
        <w:lang w:eastAsia="zh-CN"/>
      </w:rPr>
      <w:t>浦江县产权交易有限公司</w:t>
    </w:r>
    <w:r>
      <w:rPr>
        <w:rFonts w:hint="eastAsia" w:ascii="黑体" w:hAnsi="黑体" w:eastAsia="黑体"/>
        <w:sz w:val="20"/>
      </w:rPr>
      <w:t xml:space="preserve">                                </w:t>
    </w:r>
    <w:r>
      <w:rPr>
        <w:rFonts w:hint="eastAsia" w:ascii="黑体" w:hAnsi="黑体" w:eastAsia="黑体"/>
        <w:sz w:val="20"/>
        <w:lang w:val="en-US" w:eastAsia="zh-CN"/>
      </w:rPr>
      <w:t xml:space="preserve">        </w:t>
    </w:r>
    <w:r>
      <w:rPr>
        <w:rFonts w:hint="eastAsia" w:ascii="黑体" w:hAnsi="黑体" w:eastAsia="黑体"/>
        <w:sz w:val="20"/>
      </w:rPr>
      <w:t xml:space="preserve">   0579-</w:t>
    </w:r>
    <w:r>
      <w:rPr>
        <w:rFonts w:hint="eastAsia" w:ascii="黑体" w:hAnsi="黑体" w:eastAsia="黑体"/>
        <w:sz w:val="20"/>
        <w:lang w:val="en-US" w:eastAsia="zh-CN"/>
      </w:rPr>
      <w:t>84182015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09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260"/>
        </w:tabs>
        <w:ind w:left="1260" w:hanging="420"/>
      </w:p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
    <w:nsid w:val="0000000B"/>
    <w:multiLevelType w:val="multilevel"/>
    <w:tmpl w:val="0000000B"/>
    <w:lvl w:ilvl="0" w:tentative="0">
      <w:start w:val="1"/>
      <w:numFmt w:val="japaneseCounting"/>
      <w:lvlText w:val="（%1）"/>
      <w:lvlJc w:val="left"/>
      <w:pPr>
        <w:tabs>
          <w:tab w:val="left" w:pos="720"/>
        </w:tabs>
        <w:ind w:left="720" w:hanging="720"/>
      </w:pPr>
      <w:rPr>
        <w:rFonts w:hint="default"/>
        <w:lang w:val="en-US"/>
      </w:rPr>
    </w:lvl>
    <w:lvl w:ilvl="1" w:tentative="0">
      <w:start w:val="3"/>
      <w:numFmt w:val="japaneseCounting"/>
      <w:lvlText w:val="第%2条"/>
      <w:lvlJc w:val="left"/>
      <w:pPr>
        <w:tabs>
          <w:tab w:val="left" w:pos="1620"/>
        </w:tabs>
        <w:ind w:left="1620" w:hanging="840"/>
      </w:pPr>
      <w:rPr>
        <w:rFonts w:hint="default"/>
      </w:rPr>
    </w:lvl>
    <w:lvl w:ilvl="2" w:tentative="0">
      <w:start w:val="3"/>
      <w:numFmt w:val="decimal"/>
      <w:lvlText w:val="%3、"/>
      <w:lvlJc w:val="left"/>
      <w:pPr>
        <w:tabs>
          <w:tab w:val="left" w:pos="1920"/>
        </w:tabs>
        <w:ind w:left="1920" w:hanging="720"/>
      </w:pPr>
      <w:rPr>
        <w:rFonts w:hint="default"/>
      </w:rPr>
    </w:lvl>
    <w:lvl w:ilvl="3" w:tentative="0">
      <w:start w:val="1"/>
      <w:numFmt w:val="decimal"/>
      <w:lvlText w:val="%4."/>
      <w:lvlJc w:val="left"/>
      <w:pPr>
        <w:tabs>
          <w:tab w:val="left" w:pos="2040"/>
        </w:tabs>
        <w:ind w:left="2040" w:hanging="420"/>
      </w:pPr>
      <w:rPr>
        <w:rFonts w:hint="default"/>
      </w:r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000000C"/>
    <w:multiLevelType w:val="multilevel"/>
    <w:tmpl w:val="0000000C"/>
    <w:lvl w:ilvl="0" w:tentative="0">
      <w:start w:val="1"/>
      <w:numFmt w:val="japaneseCounting"/>
      <w:lvlText w:val="第%1条"/>
      <w:lvlJc w:val="left"/>
      <w:pPr>
        <w:tabs>
          <w:tab w:val="left" w:pos="855"/>
        </w:tabs>
        <w:ind w:left="855" w:hanging="855"/>
      </w:pPr>
      <w:rPr>
        <w:rFonts w:hint="default"/>
      </w:rPr>
    </w:lvl>
    <w:lvl w:ilvl="1" w:tentative="0">
      <w:start w:val="1"/>
      <w:numFmt w:val="japaneseCounting"/>
      <w:lvlText w:val="（%2）"/>
      <w:lvlJc w:val="left"/>
      <w:pPr>
        <w:tabs>
          <w:tab w:val="left" w:pos="720"/>
        </w:tabs>
        <w:ind w:left="72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005EE5A"/>
    <w:multiLevelType w:val="singleLevel"/>
    <w:tmpl w:val="5005EE5A"/>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ZGRkZDgxNjc5YWJhOTYzN2E1MmQ0YTEwMTNlZGMifQ=="/>
  </w:docVars>
  <w:rsids>
    <w:rsidRoot w:val="002962BD"/>
    <w:rsid w:val="00002A4A"/>
    <w:rsid w:val="00013859"/>
    <w:rsid w:val="00051E75"/>
    <w:rsid w:val="000800E9"/>
    <w:rsid w:val="00085650"/>
    <w:rsid w:val="00092C6D"/>
    <w:rsid w:val="000B21C0"/>
    <w:rsid w:val="000B353A"/>
    <w:rsid w:val="000E4F9B"/>
    <w:rsid w:val="000E6E35"/>
    <w:rsid w:val="001108E6"/>
    <w:rsid w:val="001458AA"/>
    <w:rsid w:val="00151D8E"/>
    <w:rsid w:val="001660C5"/>
    <w:rsid w:val="001829BA"/>
    <w:rsid w:val="001C5D84"/>
    <w:rsid w:val="001C73E7"/>
    <w:rsid w:val="001F1431"/>
    <w:rsid w:val="001F32D9"/>
    <w:rsid w:val="00220445"/>
    <w:rsid w:val="002463EC"/>
    <w:rsid w:val="00265253"/>
    <w:rsid w:val="0028055E"/>
    <w:rsid w:val="00281CA0"/>
    <w:rsid w:val="00284F90"/>
    <w:rsid w:val="00294596"/>
    <w:rsid w:val="002962BD"/>
    <w:rsid w:val="002A0685"/>
    <w:rsid w:val="002A4B44"/>
    <w:rsid w:val="002A7580"/>
    <w:rsid w:val="002B1050"/>
    <w:rsid w:val="002C1116"/>
    <w:rsid w:val="002C68E4"/>
    <w:rsid w:val="002D3018"/>
    <w:rsid w:val="002E0020"/>
    <w:rsid w:val="002F09BA"/>
    <w:rsid w:val="00312066"/>
    <w:rsid w:val="003134DC"/>
    <w:rsid w:val="003268D1"/>
    <w:rsid w:val="0033176D"/>
    <w:rsid w:val="00333F00"/>
    <w:rsid w:val="0034315C"/>
    <w:rsid w:val="003531C1"/>
    <w:rsid w:val="00363041"/>
    <w:rsid w:val="00366DD3"/>
    <w:rsid w:val="00372B69"/>
    <w:rsid w:val="0037720B"/>
    <w:rsid w:val="00380AC5"/>
    <w:rsid w:val="00382F30"/>
    <w:rsid w:val="003E429F"/>
    <w:rsid w:val="003E55F3"/>
    <w:rsid w:val="003F223D"/>
    <w:rsid w:val="004223BA"/>
    <w:rsid w:val="0043239F"/>
    <w:rsid w:val="00451497"/>
    <w:rsid w:val="00477330"/>
    <w:rsid w:val="004B38A9"/>
    <w:rsid w:val="004B61E0"/>
    <w:rsid w:val="004D01B6"/>
    <w:rsid w:val="004E383F"/>
    <w:rsid w:val="004F171F"/>
    <w:rsid w:val="004F62E2"/>
    <w:rsid w:val="00522534"/>
    <w:rsid w:val="00533504"/>
    <w:rsid w:val="005373FF"/>
    <w:rsid w:val="00553E2B"/>
    <w:rsid w:val="00553F3E"/>
    <w:rsid w:val="0058792A"/>
    <w:rsid w:val="00595057"/>
    <w:rsid w:val="005A652B"/>
    <w:rsid w:val="005E4C20"/>
    <w:rsid w:val="00601290"/>
    <w:rsid w:val="00615B88"/>
    <w:rsid w:val="00617C32"/>
    <w:rsid w:val="0063279E"/>
    <w:rsid w:val="0064743C"/>
    <w:rsid w:val="00654E0E"/>
    <w:rsid w:val="006553F5"/>
    <w:rsid w:val="006859C0"/>
    <w:rsid w:val="0069538C"/>
    <w:rsid w:val="006D39EB"/>
    <w:rsid w:val="006F73C0"/>
    <w:rsid w:val="0070021B"/>
    <w:rsid w:val="0070438A"/>
    <w:rsid w:val="007159AE"/>
    <w:rsid w:val="00735F6C"/>
    <w:rsid w:val="00742BDC"/>
    <w:rsid w:val="007610C1"/>
    <w:rsid w:val="00761EB4"/>
    <w:rsid w:val="0076748C"/>
    <w:rsid w:val="00772C68"/>
    <w:rsid w:val="007755BA"/>
    <w:rsid w:val="007918B8"/>
    <w:rsid w:val="007A41AF"/>
    <w:rsid w:val="007B5C5F"/>
    <w:rsid w:val="0080270B"/>
    <w:rsid w:val="0080548D"/>
    <w:rsid w:val="00806654"/>
    <w:rsid w:val="00810648"/>
    <w:rsid w:val="00823E2A"/>
    <w:rsid w:val="00830BD2"/>
    <w:rsid w:val="00846A9B"/>
    <w:rsid w:val="008A02CF"/>
    <w:rsid w:val="008A2459"/>
    <w:rsid w:val="008A6A8E"/>
    <w:rsid w:val="008A7B9C"/>
    <w:rsid w:val="008B2B78"/>
    <w:rsid w:val="008C46F8"/>
    <w:rsid w:val="008E0085"/>
    <w:rsid w:val="008E041C"/>
    <w:rsid w:val="008F0AB7"/>
    <w:rsid w:val="00917DF2"/>
    <w:rsid w:val="00941C12"/>
    <w:rsid w:val="009438FF"/>
    <w:rsid w:val="00955415"/>
    <w:rsid w:val="0098055F"/>
    <w:rsid w:val="0098444B"/>
    <w:rsid w:val="009846A3"/>
    <w:rsid w:val="00993880"/>
    <w:rsid w:val="00994892"/>
    <w:rsid w:val="009966F1"/>
    <w:rsid w:val="009C36E2"/>
    <w:rsid w:val="009D14A7"/>
    <w:rsid w:val="009E5695"/>
    <w:rsid w:val="009F7157"/>
    <w:rsid w:val="00A03A27"/>
    <w:rsid w:val="00A040DB"/>
    <w:rsid w:val="00A07334"/>
    <w:rsid w:val="00A248FE"/>
    <w:rsid w:val="00A25D93"/>
    <w:rsid w:val="00A315DA"/>
    <w:rsid w:val="00A35F32"/>
    <w:rsid w:val="00A40524"/>
    <w:rsid w:val="00A43CD2"/>
    <w:rsid w:val="00A6024B"/>
    <w:rsid w:val="00A663BB"/>
    <w:rsid w:val="00A763E6"/>
    <w:rsid w:val="00A87F5A"/>
    <w:rsid w:val="00A91D4D"/>
    <w:rsid w:val="00B15B02"/>
    <w:rsid w:val="00B15C16"/>
    <w:rsid w:val="00B63BBF"/>
    <w:rsid w:val="00B764DE"/>
    <w:rsid w:val="00B9555A"/>
    <w:rsid w:val="00B95F6C"/>
    <w:rsid w:val="00BA7EF7"/>
    <w:rsid w:val="00BC12D3"/>
    <w:rsid w:val="00BF25A6"/>
    <w:rsid w:val="00C14652"/>
    <w:rsid w:val="00C33563"/>
    <w:rsid w:val="00C41979"/>
    <w:rsid w:val="00C440D5"/>
    <w:rsid w:val="00C62BE1"/>
    <w:rsid w:val="00C833E8"/>
    <w:rsid w:val="00C855CC"/>
    <w:rsid w:val="00C97BF6"/>
    <w:rsid w:val="00CA3734"/>
    <w:rsid w:val="00CB0816"/>
    <w:rsid w:val="00CC462C"/>
    <w:rsid w:val="00CE27A3"/>
    <w:rsid w:val="00CF24A0"/>
    <w:rsid w:val="00CF44F3"/>
    <w:rsid w:val="00CF5DFE"/>
    <w:rsid w:val="00D13CAE"/>
    <w:rsid w:val="00D47B23"/>
    <w:rsid w:val="00D54683"/>
    <w:rsid w:val="00D5775C"/>
    <w:rsid w:val="00D61FBD"/>
    <w:rsid w:val="00D66315"/>
    <w:rsid w:val="00D754E1"/>
    <w:rsid w:val="00D76AB1"/>
    <w:rsid w:val="00D91B72"/>
    <w:rsid w:val="00DC46AD"/>
    <w:rsid w:val="00DE686F"/>
    <w:rsid w:val="00DE7FF6"/>
    <w:rsid w:val="00DF41D9"/>
    <w:rsid w:val="00DF695A"/>
    <w:rsid w:val="00E1007F"/>
    <w:rsid w:val="00E127D9"/>
    <w:rsid w:val="00E256C1"/>
    <w:rsid w:val="00E32520"/>
    <w:rsid w:val="00E36383"/>
    <w:rsid w:val="00E42137"/>
    <w:rsid w:val="00E6068F"/>
    <w:rsid w:val="00E6101E"/>
    <w:rsid w:val="00E877A9"/>
    <w:rsid w:val="00E951DA"/>
    <w:rsid w:val="00EC1103"/>
    <w:rsid w:val="00EC1590"/>
    <w:rsid w:val="00ED5D03"/>
    <w:rsid w:val="00EF7746"/>
    <w:rsid w:val="00F0233E"/>
    <w:rsid w:val="00F11988"/>
    <w:rsid w:val="00F1718B"/>
    <w:rsid w:val="00F2570A"/>
    <w:rsid w:val="00F64ABB"/>
    <w:rsid w:val="00F752DA"/>
    <w:rsid w:val="00F86EEF"/>
    <w:rsid w:val="00FA1DB7"/>
    <w:rsid w:val="00FC241D"/>
    <w:rsid w:val="00FD0DAB"/>
    <w:rsid w:val="00FD6318"/>
    <w:rsid w:val="00FD6547"/>
    <w:rsid w:val="00FE3F35"/>
    <w:rsid w:val="00FF1856"/>
    <w:rsid w:val="02156724"/>
    <w:rsid w:val="06B867FC"/>
    <w:rsid w:val="06C05AC5"/>
    <w:rsid w:val="0989246B"/>
    <w:rsid w:val="0E273D70"/>
    <w:rsid w:val="107F0F7F"/>
    <w:rsid w:val="1A03426A"/>
    <w:rsid w:val="1D294D39"/>
    <w:rsid w:val="1DBE1788"/>
    <w:rsid w:val="1F440A73"/>
    <w:rsid w:val="224E4F84"/>
    <w:rsid w:val="22DA35DC"/>
    <w:rsid w:val="240811D4"/>
    <w:rsid w:val="28FC5C1E"/>
    <w:rsid w:val="2BA102C7"/>
    <w:rsid w:val="2DE027EA"/>
    <w:rsid w:val="313823CC"/>
    <w:rsid w:val="340B6A8C"/>
    <w:rsid w:val="35132F06"/>
    <w:rsid w:val="35534110"/>
    <w:rsid w:val="373D2AB0"/>
    <w:rsid w:val="37826121"/>
    <w:rsid w:val="37FF75C8"/>
    <w:rsid w:val="38455013"/>
    <w:rsid w:val="384F24A7"/>
    <w:rsid w:val="3C5E62B4"/>
    <w:rsid w:val="3CE8111C"/>
    <w:rsid w:val="3D0B4B93"/>
    <w:rsid w:val="3D962926"/>
    <w:rsid w:val="3F831A03"/>
    <w:rsid w:val="410F0AB6"/>
    <w:rsid w:val="45412434"/>
    <w:rsid w:val="49CB1BAA"/>
    <w:rsid w:val="4A7144FF"/>
    <w:rsid w:val="4F8D1737"/>
    <w:rsid w:val="511B1920"/>
    <w:rsid w:val="54940E1C"/>
    <w:rsid w:val="57CD4D3F"/>
    <w:rsid w:val="5BCF0D98"/>
    <w:rsid w:val="5C065CAF"/>
    <w:rsid w:val="5CCE3D56"/>
    <w:rsid w:val="5EF53F4F"/>
    <w:rsid w:val="60F40A61"/>
    <w:rsid w:val="670B672A"/>
    <w:rsid w:val="6AFE54E3"/>
    <w:rsid w:val="70FB228B"/>
    <w:rsid w:val="72D53AEE"/>
    <w:rsid w:val="75C057F3"/>
    <w:rsid w:val="772A267B"/>
    <w:rsid w:val="7A6143CF"/>
    <w:rsid w:val="7C906BD1"/>
    <w:rsid w:val="7F587460"/>
    <w:rsid w:val="BEDF19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6"/>
    <w:qFormat/>
    <w:uiPriority w:val="0"/>
    <w:pPr>
      <w:ind w:firstLine="420"/>
    </w:pPr>
    <w:rPr>
      <w:rFonts w:ascii="Times New Roman" w:hAnsi="Times New Roman" w:eastAsia="宋体" w:cs="Times New Roman"/>
      <w:szCs w:val="20"/>
    </w:rPr>
  </w:style>
  <w:style w:type="paragraph" w:styleId="6">
    <w:name w:val="caption"/>
    <w:basedOn w:val="1"/>
    <w:next w:val="1"/>
    <w:unhideWhenUsed/>
    <w:qFormat/>
    <w:uiPriority w:val="0"/>
    <w:pPr>
      <w:spacing w:before="152" w:after="160"/>
    </w:pPr>
    <w:rPr>
      <w:rFonts w:ascii="Arial" w:hAnsi="Arial" w:eastAsia="黑体" w:cs="Arial"/>
      <w:sz w:val="20"/>
      <w:szCs w:val="20"/>
    </w:rPr>
  </w:style>
  <w:style w:type="paragraph" w:styleId="7">
    <w:name w:val="annotation text"/>
    <w:basedOn w:val="1"/>
    <w:semiHidden/>
    <w:unhideWhenUsed/>
    <w:qFormat/>
    <w:uiPriority w:val="99"/>
    <w:pPr>
      <w:jc w:val="left"/>
    </w:pPr>
  </w:style>
  <w:style w:type="paragraph" w:styleId="8">
    <w:name w:val="Body Text"/>
    <w:basedOn w:val="1"/>
    <w:next w:val="1"/>
    <w:link w:val="40"/>
    <w:semiHidden/>
    <w:unhideWhenUsed/>
    <w:qFormat/>
    <w:uiPriority w:val="99"/>
    <w:pPr>
      <w:spacing w:after="120"/>
    </w:pPr>
  </w:style>
  <w:style w:type="paragraph" w:styleId="9">
    <w:name w:val="Body Text Indent"/>
    <w:basedOn w:val="1"/>
    <w:link w:val="37"/>
    <w:unhideWhenUsed/>
    <w:qFormat/>
    <w:uiPriority w:val="99"/>
    <w:pPr>
      <w:spacing w:after="120"/>
      <w:ind w:left="420" w:leftChars="200"/>
    </w:pPr>
  </w:style>
  <w:style w:type="paragraph" w:styleId="10">
    <w:name w:val="toc 3"/>
    <w:basedOn w:val="1"/>
    <w:next w:val="1"/>
    <w:semiHidden/>
    <w:unhideWhenUsed/>
    <w:qFormat/>
    <w:uiPriority w:val="39"/>
    <w:pPr>
      <w:widowControl/>
      <w:spacing w:after="100" w:line="276" w:lineRule="auto"/>
      <w:ind w:left="440"/>
      <w:jc w:val="left"/>
    </w:pPr>
    <w:rPr>
      <w:kern w:val="0"/>
      <w:sz w:val="22"/>
    </w:rPr>
  </w:style>
  <w:style w:type="paragraph" w:styleId="11">
    <w:name w:val="Plain Text"/>
    <w:basedOn w:val="1"/>
    <w:link w:val="31"/>
    <w:qFormat/>
    <w:uiPriority w:val="0"/>
    <w:pPr>
      <w:spacing w:line="440" w:lineRule="exact"/>
      <w:ind w:firstLine="569" w:firstLineChars="236"/>
    </w:pPr>
    <w:rPr>
      <w:rFonts w:ascii="宋体" w:hAnsi="Courier New" w:eastAsia="宋体" w:cs="Times New Roman"/>
      <w:b/>
      <w:sz w:val="24"/>
      <w:szCs w:val="24"/>
      <w:shd w:val="clear" w:color="auto" w:fill="FFFFFF"/>
    </w:rPr>
  </w:style>
  <w:style w:type="paragraph" w:styleId="12">
    <w:name w:val="Body Text Indent 2"/>
    <w:basedOn w:val="1"/>
    <w:link w:val="42"/>
    <w:semiHidden/>
    <w:unhideWhenUsed/>
    <w:qFormat/>
    <w:uiPriority w:val="99"/>
    <w:pPr>
      <w:spacing w:after="120" w:line="480" w:lineRule="auto"/>
      <w:ind w:left="420" w:leftChars="200"/>
    </w:pPr>
  </w:style>
  <w:style w:type="paragraph" w:styleId="13">
    <w:name w:val="Balloon Text"/>
    <w:basedOn w:val="1"/>
    <w:link w:val="3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semiHidden/>
    <w:unhideWhenUsed/>
    <w:qFormat/>
    <w:uiPriority w:val="39"/>
    <w:pPr>
      <w:widowControl/>
      <w:spacing w:after="100" w:line="276" w:lineRule="auto"/>
      <w:ind w:left="220"/>
      <w:jc w:val="left"/>
    </w:pPr>
    <w:rPr>
      <w:kern w:val="0"/>
      <w:sz w:val="22"/>
    </w:rPr>
  </w:style>
  <w:style w:type="paragraph" w:styleId="18">
    <w:name w:val="Body Text 2"/>
    <w:basedOn w:val="1"/>
    <w:link w:val="32"/>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19">
    <w:name w:val="Normal (Web)"/>
    <w:basedOn w:val="1"/>
    <w:qFormat/>
    <w:uiPriority w:val="0"/>
    <w:pPr>
      <w:jc w:val="left"/>
    </w:pPr>
    <w:rPr>
      <w:rFonts w:ascii="Times New Roman" w:hAnsi="Times New Roman" w:eastAsia="宋体" w:cs="Times New Roman"/>
      <w:kern w:val="0"/>
      <w:sz w:val="24"/>
      <w:szCs w:val="20"/>
    </w:rPr>
  </w:style>
  <w:style w:type="paragraph" w:styleId="20">
    <w:name w:val="Body Text First Indent 2"/>
    <w:basedOn w:val="9"/>
    <w:link w:val="41"/>
    <w:semiHidden/>
    <w:unhideWhenUsed/>
    <w:qFormat/>
    <w:uiPriority w:val="99"/>
    <w:pPr>
      <w:ind w:firstLine="420" w:firstLineChars="2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character" w:customStyle="1" w:styleId="29">
    <w:name w:val="标题 1 Char"/>
    <w:basedOn w:val="23"/>
    <w:link w:val="2"/>
    <w:qFormat/>
    <w:uiPriority w:val="9"/>
    <w:rPr>
      <w:b/>
      <w:bCs/>
      <w:kern w:val="44"/>
      <w:sz w:val="44"/>
      <w:szCs w:val="44"/>
    </w:rPr>
  </w:style>
  <w:style w:type="character" w:customStyle="1" w:styleId="30">
    <w:name w:val="标题 2 Char"/>
    <w:basedOn w:val="23"/>
    <w:link w:val="3"/>
    <w:qFormat/>
    <w:uiPriority w:val="9"/>
    <w:rPr>
      <w:rFonts w:asciiTheme="majorHAnsi" w:hAnsiTheme="majorHAnsi" w:eastAsiaTheme="majorEastAsia" w:cstheme="majorBidi"/>
      <w:b/>
      <w:bCs/>
      <w:sz w:val="32"/>
      <w:szCs w:val="32"/>
    </w:rPr>
  </w:style>
  <w:style w:type="character" w:customStyle="1" w:styleId="31">
    <w:name w:val="纯文本 Char"/>
    <w:basedOn w:val="23"/>
    <w:link w:val="11"/>
    <w:qFormat/>
    <w:uiPriority w:val="0"/>
    <w:rPr>
      <w:rFonts w:ascii="宋体" w:hAnsi="Courier New" w:eastAsia="宋体" w:cs="Times New Roman"/>
      <w:b/>
      <w:kern w:val="2"/>
      <w:sz w:val="24"/>
      <w:szCs w:val="24"/>
    </w:rPr>
  </w:style>
  <w:style w:type="character" w:customStyle="1" w:styleId="32">
    <w:name w:val="正文文本 2 Char"/>
    <w:basedOn w:val="23"/>
    <w:link w:val="18"/>
    <w:qFormat/>
    <w:uiPriority w:val="99"/>
    <w:rPr>
      <w:rFonts w:ascii="宋体" w:hAnsi="宋体" w:eastAsia="宋体" w:cs="Times New Roman"/>
      <w:color w:val="000000"/>
      <w:sz w:val="24"/>
      <w:szCs w:val="24"/>
    </w:rPr>
  </w:style>
  <w:style w:type="paragraph" w:styleId="33">
    <w:name w:val="List Paragraph"/>
    <w:basedOn w:val="1"/>
    <w:qFormat/>
    <w:uiPriority w:val="0"/>
    <w:pPr>
      <w:ind w:firstLine="420" w:firstLineChars="200"/>
    </w:pPr>
    <w:rPr>
      <w:rFonts w:ascii="Times New Roman" w:hAnsi="Times New Roman" w:eastAsia="宋体" w:cs="Times New Roman"/>
    </w:rPr>
  </w:style>
  <w:style w:type="character" w:customStyle="1" w:styleId="34">
    <w:name w:val="标题 3 Char"/>
    <w:basedOn w:val="23"/>
    <w:link w:val="4"/>
    <w:qFormat/>
    <w:uiPriority w:val="9"/>
    <w:rPr>
      <w:b/>
      <w:bCs/>
      <w:sz w:val="32"/>
      <w:szCs w:val="32"/>
    </w:rPr>
  </w:style>
  <w:style w:type="paragraph" w:customStyle="1" w:styleId="35">
    <w:name w:val="正文2"/>
    <w:basedOn w:val="1"/>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6">
    <w:name w:val="正文缩进 Char"/>
    <w:link w:val="5"/>
    <w:qFormat/>
    <w:uiPriority w:val="0"/>
    <w:rPr>
      <w:rFonts w:ascii="Times New Roman" w:hAnsi="Times New Roman" w:eastAsia="宋体" w:cs="Times New Roman"/>
      <w:szCs w:val="20"/>
    </w:rPr>
  </w:style>
  <w:style w:type="character" w:customStyle="1" w:styleId="37">
    <w:name w:val="正文文本缩进 Char"/>
    <w:basedOn w:val="23"/>
    <w:link w:val="9"/>
    <w:qFormat/>
    <w:uiPriority w:val="99"/>
  </w:style>
  <w:style w:type="paragraph" w:customStyle="1" w:styleId="3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3"/>
    <w:link w:val="13"/>
    <w:semiHidden/>
    <w:qFormat/>
    <w:uiPriority w:val="99"/>
    <w:rPr>
      <w:sz w:val="18"/>
      <w:szCs w:val="18"/>
    </w:rPr>
  </w:style>
  <w:style w:type="character" w:customStyle="1" w:styleId="40">
    <w:name w:val="正文文本 Char"/>
    <w:basedOn w:val="23"/>
    <w:link w:val="8"/>
    <w:semiHidden/>
    <w:qFormat/>
    <w:uiPriority w:val="99"/>
  </w:style>
  <w:style w:type="character" w:customStyle="1" w:styleId="41">
    <w:name w:val="正文首行缩进 2 Char"/>
    <w:basedOn w:val="37"/>
    <w:link w:val="20"/>
    <w:semiHidden/>
    <w:qFormat/>
    <w:uiPriority w:val="99"/>
  </w:style>
  <w:style w:type="character" w:customStyle="1" w:styleId="42">
    <w:name w:val="正文文本缩进 2 Char"/>
    <w:basedOn w:val="23"/>
    <w:link w:val="12"/>
    <w:semiHidden/>
    <w:qFormat/>
    <w:uiPriority w:val="99"/>
  </w:style>
  <w:style w:type="character" w:customStyle="1" w:styleId="43">
    <w:name w:val="font01"/>
    <w:basedOn w:val="23"/>
    <w:qFormat/>
    <w:uiPriority w:val="0"/>
    <w:rPr>
      <w:rFonts w:hint="eastAsia" w:ascii="宋体" w:hAnsi="宋体" w:eastAsia="宋体" w:cs="宋体"/>
      <w:color w:val="000000"/>
      <w:sz w:val="24"/>
      <w:szCs w:val="24"/>
      <w:u w:val="none"/>
    </w:rPr>
  </w:style>
  <w:style w:type="character" w:customStyle="1" w:styleId="44">
    <w:name w:val="font21"/>
    <w:basedOn w:val="23"/>
    <w:qFormat/>
    <w:uiPriority w:val="0"/>
    <w:rPr>
      <w:rFonts w:hint="eastAsia" w:ascii="宋体" w:hAnsi="宋体" w:eastAsia="宋体" w:cs="宋体"/>
      <w:b/>
      <w:bCs/>
      <w:color w:val="000000"/>
      <w:sz w:val="24"/>
      <w:szCs w:val="24"/>
      <w:u w:val="none"/>
    </w:rPr>
  </w:style>
  <w:style w:type="character" w:customStyle="1" w:styleId="45">
    <w:name w:val="font11"/>
    <w:basedOn w:val="23"/>
    <w:qFormat/>
    <w:uiPriority w:val="0"/>
    <w:rPr>
      <w:rFonts w:hint="eastAsia" w:ascii="宋体" w:hAnsi="宋体" w:eastAsia="宋体" w:cs="宋体"/>
      <w:color w:val="FF0000"/>
      <w:sz w:val="24"/>
      <w:szCs w:val="24"/>
      <w:u w:val="none"/>
    </w:rPr>
  </w:style>
  <w:style w:type="character" w:customStyle="1" w:styleId="46">
    <w:name w:val="font31"/>
    <w:basedOn w:val="23"/>
    <w:qFormat/>
    <w:uiPriority w:val="0"/>
    <w:rPr>
      <w:rFonts w:hint="eastAsia" w:ascii="宋体" w:hAnsi="宋体" w:eastAsia="宋体" w:cs="宋体"/>
      <w:b/>
      <w:bCs/>
      <w:color w:val="FF0000"/>
      <w:sz w:val="24"/>
      <w:szCs w:val="24"/>
      <w:u w:val="none"/>
    </w:rPr>
  </w:style>
  <w:style w:type="paragraph" w:customStyle="1" w:styleId="47">
    <w:name w:val="Table Text"/>
    <w:basedOn w:val="1"/>
    <w:semiHidden/>
    <w:qFormat/>
    <w:uiPriority w:val="0"/>
    <w:rPr>
      <w:rFonts w:ascii="宋体" w:hAnsi="宋体" w:eastAsia="宋体" w:cs="宋体"/>
      <w:sz w:val="21"/>
      <w:szCs w:val="21"/>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_Style 2"/>
    <w:qFormat/>
    <w:uiPriority w:val="99"/>
    <w:pPr>
      <w:adjustRightInd w:val="0"/>
      <w:snapToGrid w:val="0"/>
    </w:pPr>
    <w:rPr>
      <w:rFonts w:ascii="Tahoma" w:hAnsi="Tahoma" w:eastAsia="微软雅黑" w:cs="Tahoma"/>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政府机关</Company>
  <Pages>63</Pages>
  <Words>34236</Words>
  <Characters>35216</Characters>
  <Lines>249</Lines>
  <Paragraphs>70</Paragraphs>
  <TotalTime>17</TotalTime>
  <ScaleCrop>false</ScaleCrop>
  <LinksUpToDate>false</LinksUpToDate>
  <CharactersWithSpaces>38045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2024-01-24T00:24:00Z</dcterms:created>
  <dc:creator>pjccs</dc:creator>
  <cp:lastModifiedBy>扯淡</cp:lastModifiedBy>
  <cp:lastPrinted>2024-07-30T00:14:00Z</cp:lastPrinted>
  <dcterms:modified xsi:type="dcterms:W3CDTF">2024-10-08T09:08:58Z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FD4B3C2B87734A33A8B150B27B9C2967_13</vt:lpwstr>
  </property>
</Properties>
</file>