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宋体" w:hAnsi="宋体" w:eastAsia="宋体"/>
          <w:b/>
          <w:sz w:val="44"/>
          <w:szCs w:val="44"/>
        </w:rPr>
      </w:pPr>
    </w:p>
    <w:p>
      <w:pPr>
        <w:spacing w:line="276" w:lineRule="auto"/>
        <w:jc w:val="center"/>
        <w:rPr>
          <w:rFonts w:ascii="宋体" w:hAnsi="宋体" w:eastAsia="宋体"/>
          <w:b/>
          <w:sz w:val="44"/>
          <w:szCs w:val="44"/>
        </w:rPr>
      </w:pPr>
    </w:p>
    <w:p>
      <w:pPr>
        <w:spacing w:line="276" w:lineRule="auto"/>
        <w:jc w:val="center"/>
        <w:rPr>
          <w:rFonts w:ascii="宋体" w:hAnsi="宋体" w:eastAsia="宋体"/>
          <w:b/>
          <w:sz w:val="44"/>
          <w:szCs w:val="44"/>
        </w:rPr>
      </w:pPr>
      <w:r>
        <w:rPr>
          <w:rFonts w:hint="eastAsia" w:ascii="宋体" w:hAnsi="宋体" w:eastAsia="宋体"/>
          <w:b/>
          <w:sz w:val="44"/>
          <w:szCs w:val="44"/>
        </w:rPr>
        <w:t>2024-2026年度浦江县预算绩效评价咨询服务封闭式框架协议项目</w:t>
      </w:r>
    </w:p>
    <w:p>
      <w:pPr>
        <w:spacing w:line="276" w:lineRule="auto"/>
        <w:jc w:val="center"/>
        <w:rPr>
          <w:rFonts w:ascii="宋体" w:hAnsi="宋体" w:eastAsia="宋体"/>
          <w:b/>
          <w:sz w:val="44"/>
          <w:szCs w:val="44"/>
        </w:rPr>
      </w:pPr>
      <w:r>
        <w:rPr>
          <w:rFonts w:hint="eastAsia" w:ascii="宋体" w:hAnsi="宋体" w:eastAsia="宋体"/>
          <w:b/>
          <w:sz w:val="44"/>
          <w:szCs w:val="44"/>
        </w:rPr>
        <w:t>征集文件</w:t>
      </w:r>
    </w:p>
    <w:p>
      <w:pPr>
        <w:spacing w:line="276" w:lineRule="auto"/>
        <w:jc w:val="center"/>
        <w:rPr>
          <w:rFonts w:ascii="宋体" w:hAnsi="宋体" w:eastAsia="宋体"/>
          <w:b/>
          <w:sz w:val="44"/>
          <w:szCs w:val="44"/>
        </w:rPr>
      </w:pPr>
      <w:r>
        <w:rPr>
          <w:rFonts w:hint="eastAsia" w:ascii="宋体" w:hAnsi="宋体" w:eastAsia="宋体"/>
          <w:b/>
          <w:sz w:val="44"/>
          <w:szCs w:val="44"/>
        </w:rPr>
        <w:t>（封闭式框架协议）</w:t>
      </w:r>
    </w:p>
    <w:p>
      <w:pPr>
        <w:rPr>
          <w:rFonts w:ascii="宋体" w:hAnsi="宋体" w:eastAsia="宋体"/>
          <w:b/>
          <w:sz w:val="28"/>
        </w:rPr>
      </w:pPr>
    </w:p>
    <w:p>
      <w:pPr>
        <w:rPr>
          <w:rFonts w:ascii="宋体" w:hAnsi="宋体" w:eastAsia="宋体"/>
          <w:b/>
          <w:sz w:val="28"/>
        </w:rPr>
      </w:pPr>
    </w:p>
    <w:p>
      <w:pPr>
        <w:rPr>
          <w:rFonts w:ascii="宋体" w:hAnsi="宋体" w:eastAsia="宋体"/>
          <w:b/>
          <w:sz w:val="28"/>
        </w:rPr>
      </w:pPr>
    </w:p>
    <w:p>
      <w:pPr>
        <w:rPr>
          <w:rFonts w:ascii="宋体" w:hAnsi="宋体" w:eastAsia="宋体"/>
          <w:b/>
          <w:sz w:val="28"/>
        </w:rPr>
      </w:pPr>
    </w:p>
    <w:p>
      <w:pPr>
        <w:rPr>
          <w:rFonts w:ascii="宋体" w:hAnsi="宋体" w:eastAsia="宋体"/>
          <w:b/>
          <w:sz w:val="28"/>
        </w:rPr>
      </w:pPr>
    </w:p>
    <w:p>
      <w:pPr>
        <w:rPr>
          <w:rFonts w:ascii="宋体" w:hAnsi="宋体" w:eastAsia="宋体"/>
          <w:b/>
          <w:sz w:val="28"/>
        </w:rPr>
      </w:pPr>
    </w:p>
    <w:p>
      <w:pPr>
        <w:rPr>
          <w:rFonts w:ascii="宋体" w:hAnsi="宋体" w:eastAsia="宋体"/>
          <w:b/>
          <w:sz w:val="28"/>
        </w:rPr>
      </w:pPr>
    </w:p>
    <w:p>
      <w:pPr>
        <w:rPr>
          <w:rFonts w:ascii="宋体" w:hAnsi="宋体" w:eastAsia="宋体"/>
          <w:b/>
          <w:sz w:val="28"/>
        </w:rPr>
      </w:pPr>
    </w:p>
    <w:p>
      <w:pPr>
        <w:rPr>
          <w:rFonts w:ascii="宋体" w:hAnsi="宋体" w:eastAsia="宋体"/>
          <w:b/>
          <w:sz w:val="36"/>
          <w:szCs w:val="36"/>
        </w:rPr>
      </w:pPr>
      <w:r>
        <w:rPr>
          <w:rFonts w:hint="eastAsia" w:ascii="宋体" w:hAnsi="宋体" w:eastAsia="宋体"/>
          <w:b/>
          <w:sz w:val="36"/>
          <w:szCs w:val="36"/>
        </w:rPr>
        <w:t>项目编号：ZPKJ2024-003</w:t>
      </w:r>
    </w:p>
    <w:p>
      <w:pPr>
        <w:rPr>
          <w:rFonts w:ascii="宋体" w:hAnsi="宋体" w:eastAsia="宋体"/>
          <w:b/>
          <w:sz w:val="36"/>
          <w:szCs w:val="36"/>
        </w:rPr>
      </w:pPr>
      <w:r>
        <w:rPr>
          <w:rFonts w:hint="eastAsia" w:ascii="宋体" w:hAnsi="宋体" w:eastAsia="宋体"/>
          <w:b/>
          <w:sz w:val="36"/>
          <w:szCs w:val="36"/>
        </w:rPr>
        <w:t>项目名称： 2024-2026年度浦江县预算绩效评价咨询服务封闭式框架协议项目</w:t>
      </w:r>
    </w:p>
    <w:p>
      <w:pPr>
        <w:rPr>
          <w:rFonts w:ascii="宋体" w:hAnsi="宋体" w:eastAsia="宋体"/>
          <w:b/>
          <w:sz w:val="36"/>
          <w:szCs w:val="36"/>
        </w:rPr>
      </w:pPr>
      <w:r>
        <w:rPr>
          <w:rFonts w:hint="eastAsia" w:ascii="宋体" w:hAnsi="宋体" w:eastAsia="宋体"/>
          <w:b/>
          <w:sz w:val="36"/>
          <w:szCs w:val="36"/>
        </w:rPr>
        <w:t>征集人：  金华市公共资源交易中心浦江县分中心</w:t>
      </w:r>
    </w:p>
    <w:p>
      <w:pPr>
        <w:rPr>
          <w:rFonts w:ascii="宋体" w:hAnsi="宋体" w:eastAsia="宋体"/>
          <w:b/>
          <w:sz w:val="36"/>
          <w:szCs w:val="36"/>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b/>
          <w:sz w:val="36"/>
          <w:szCs w:val="36"/>
        </w:rPr>
        <w:t xml:space="preserve">                     二〇二四年八月</w:t>
      </w:r>
    </w:p>
    <w:p>
      <w:pPr>
        <w:jc w:val="center"/>
        <w:rPr>
          <w:rFonts w:ascii="宋体" w:hAnsi="宋体" w:eastAsia="宋体"/>
          <w:b/>
          <w:sz w:val="36"/>
          <w:szCs w:val="36"/>
        </w:rPr>
      </w:pPr>
    </w:p>
    <w:p>
      <w:pPr>
        <w:jc w:val="center"/>
        <w:rPr>
          <w:rFonts w:ascii="宋体" w:hAnsi="宋体" w:eastAsia="宋体"/>
          <w:b/>
          <w:sz w:val="36"/>
          <w:szCs w:val="36"/>
        </w:rPr>
      </w:pPr>
    </w:p>
    <w:p>
      <w:pPr>
        <w:jc w:val="center"/>
        <w:rPr>
          <w:rFonts w:asciiTheme="minorEastAsia" w:hAnsiTheme="minorEastAsia"/>
          <w:b/>
          <w:sz w:val="44"/>
          <w:szCs w:val="44"/>
        </w:rPr>
      </w:pPr>
      <w:r>
        <w:rPr>
          <w:rFonts w:hint="eastAsia" w:asciiTheme="minorEastAsia" w:hAnsiTheme="minorEastAsia"/>
          <w:b/>
          <w:sz w:val="44"/>
          <w:szCs w:val="44"/>
        </w:rPr>
        <w:t>目  录</w:t>
      </w:r>
    </w:p>
    <w:p>
      <w:pPr>
        <w:jc w:val="center"/>
        <w:rPr>
          <w:rFonts w:ascii="宋体" w:hAnsi="宋体" w:eastAsia="宋体"/>
          <w:b/>
          <w:sz w:val="36"/>
          <w:szCs w:val="36"/>
        </w:rPr>
      </w:pPr>
    </w:p>
    <w:p>
      <w:pPr>
        <w:pStyle w:val="16"/>
        <w:tabs>
          <w:tab w:val="right" w:leader="dot" w:pos="8296"/>
        </w:tabs>
        <w:rPr>
          <w:kern w:val="2"/>
          <w:sz w:val="28"/>
        </w:rPr>
      </w:pPr>
      <w:r>
        <w:rPr>
          <w:rFonts w:ascii="宋体" w:hAnsi="宋体" w:eastAsia="宋体"/>
          <w:b/>
          <w:sz w:val="36"/>
          <w:szCs w:val="36"/>
        </w:rPr>
        <w:fldChar w:fldCharType="begin"/>
      </w:r>
      <w:r>
        <w:rPr>
          <w:rFonts w:ascii="宋体" w:hAnsi="宋体" w:eastAsia="宋体"/>
          <w:b/>
          <w:sz w:val="36"/>
          <w:szCs w:val="36"/>
        </w:rPr>
        <w:instrText xml:space="preserve"> TOC \o "1-1" \h \z \u </w:instrText>
      </w:r>
      <w:r>
        <w:rPr>
          <w:rFonts w:ascii="宋体" w:hAnsi="宋体" w:eastAsia="宋体"/>
          <w:b/>
          <w:sz w:val="36"/>
          <w:szCs w:val="36"/>
        </w:rPr>
        <w:fldChar w:fldCharType="separate"/>
      </w:r>
      <w:r>
        <w:fldChar w:fldCharType="begin"/>
      </w:r>
      <w:r>
        <w:instrText xml:space="preserve"> HYPERLINK \l "_Toc157175689" </w:instrText>
      </w:r>
      <w:r>
        <w:fldChar w:fldCharType="separate"/>
      </w:r>
      <w:r>
        <w:rPr>
          <w:rStyle w:val="25"/>
          <w:rFonts w:hint="eastAsia"/>
          <w:sz w:val="28"/>
        </w:rPr>
        <w:t>第一章</w:t>
      </w:r>
      <w:r>
        <w:rPr>
          <w:rStyle w:val="25"/>
          <w:sz w:val="28"/>
        </w:rPr>
        <w:t xml:space="preserve"> </w:t>
      </w:r>
      <w:r>
        <w:rPr>
          <w:rStyle w:val="25"/>
          <w:rFonts w:hint="eastAsia"/>
          <w:sz w:val="28"/>
        </w:rPr>
        <w:t>征集公告</w:t>
      </w:r>
      <w:r>
        <w:rPr>
          <w:sz w:val="28"/>
        </w:rPr>
        <w:tab/>
      </w:r>
      <w:r>
        <w:rPr>
          <w:sz w:val="28"/>
        </w:rPr>
        <w:fldChar w:fldCharType="begin"/>
      </w:r>
      <w:r>
        <w:rPr>
          <w:sz w:val="28"/>
        </w:rPr>
        <w:instrText xml:space="preserve"> PAGEREF _Toc157175689 \h </w:instrText>
      </w:r>
      <w:r>
        <w:rPr>
          <w:sz w:val="28"/>
        </w:rPr>
        <w:fldChar w:fldCharType="separate"/>
      </w:r>
      <w:r>
        <w:rPr>
          <w:sz w:val="28"/>
        </w:rPr>
        <w:t>1</w:t>
      </w:r>
      <w:r>
        <w:rPr>
          <w:sz w:val="28"/>
        </w:rPr>
        <w:fldChar w:fldCharType="end"/>
      </w:r>
      <w:r>
        <w:rPr>
          <w:sz w:val="28"/>
        </w:rPr>
        <w:fldChar w:fldCharType="end"/>
      </w:r>
    </w:p>
    <w:p>
      <w:pPr>
        <w:pStyle w:val="16"/>
        <w:tabs>
          <w:tab w:val="right" w:leader="dot" w:pos="8296"/>
        </w:tabs>
        <w:rPr>
          <w:kern w:val="2"/>
          <w:sz w:val="28"/>
        </w:rPr>
      </w:pPr>
      <w:r>
        <w:fldChar w:fldCharType="begin"/>
      </w:r>
      <w:r>
        <w:instrText xml:space="preserve"> HYPERLINK \l "_Toc157175690" </w:instrText>
      </w:r>
      <w:r>
        <w:fldChar w:fldCharType="separate"/>
      </w:r>
      <w:r>
        <w:rPr>
          <w:rStyle w:val="25"/>
          <w:rFonts w:hint="eastAsia"/>
          <w:sz w:val="28"/>
        </w:rPr>
        <w:t>第二章</w:t>
      </w:r>
      <w:r>
        <w:rPr>
          <w:rStyle w:val="25"/>
          <w:sz w:val="28"/>
        </w:rPr>
        <w:t xml:space="preserve"> </w:t>
      </w:r>
      <w:r>
        <w:rPr>
          <w:rStyle w:val="25"/>
          <w:rFonts w:hint="eastAsia"/>
          <w:sz w:val="28"/>
        </w:rPr>
        <w:t>采购需求</w:t>
      </w:r>
      <w:r>
        <w:rPr>
          <w:sz w:val="28"/>
        </w:rPr>
        <w:tab/>
      </w:r>
      <w:r>
        <w:rPr>
          <w:sz w:val="28"/>
        </w:rPr>
        <w:fldChar w:fldCharType="begin"/>
      </w:r>
      <w:r>
        <w:rPr>
          <w:sz w:val="28"/>
        </w:rPr>
        <w:instrText xml:space="preserve"> PAGEREF _Toc157175690 \h </w:instrText>
      </w:r>
      <w:r>
        <w:rPr>
          <w:sz w:val="28"/>
        </w:rPr>
        <w:fldChar w:fldCharType="separate"/>
      </w:r>
      <w:r>
        <w:rPr>
          <w:sz w:val="28"/>
        </w:rPr>
        <w:t>5</w:t>
      </w:r>
      <w:r>
        <w:rPr>
          <w:sz w:val="28"/>
        </w:rPr>
        <w:fldChar w:fldCharType="end"/>
      </w:r>
      <w:r>
        <w:rPr>
          <w:sz w:val="28"/>
        </w:rPr>
        <w:fldChar w:fldCharType="end"/>
      </w:r>
    </w:p>
    <w:p>
      <w:pPr>
        <w:pStyle w:val="16"/>
        <w:tabs>
          <w:tab w:val="right" w:leader="dot" w:pos="8296"/>
        </w:tabs>
        <w:rPr>
          <w:kern w:val="2"/>
          <w:sz w:val="28"/>
        </w:rPr>
      </w:pPr>
      <w:r>
        <w:fldChar w:fldCharType="begin"/>
      </w:r>
      <w:r>
        <w:instrText xml:space="preserve"> HYPERLINK \l "_Toc157175691" </w:instrText>
      </w:r>
      <w:r>
        <w:fldChar w:fldCharType="separate"/>
      </w:r>
      <w:r>
        <w:rPr>
          <w:rStyle w:val="25"/>
          <w:rFonts w:hint="eastAsia"/>
          <w:sz w:val="28"/>
        </w:rPr>
        <w:t>第三章</w:t>
      </w:r>
      <w:r>
        <w:rPr>
          <w:rStyle w:val="25"/>
          <w:sz w:val="28"/>
        </w:rPr>
        <w:t xml:space="preserve"> </w:t>
      </w:r>
      <w:r>
        <w:rPr>
          <w:rStyle w:val="25"/>
          <w:rFonts w:hint="eastAsia"/>
          <w:sz w:val="28"/>
        </w:rPr>
        <w:t>响应方须知</w:t>
      </w:r>
      <w:r>
        <w:rPr>
          <w:sz w:val="28"/>
        </w:rPr>
        <w:tab/>
      </w:r>
      <w:r>
        <w:rPr>
          <w:sz w:val="28"/>
        </w:rPr>
        <w:fldChar w:fldCharType="begin"/>
      </w:r>
      <w:r>
        <w:rPr>
          <w:sz w:val="28"/>
        </w:rPr>
        <w:instrText xml:space="preserve"> PAGEREF _Toc157175691 \h </w:instrText>
      </w:r>
      <w:r>
        <w:rPr>
          <w:sz w:val="28"/>
        </w:rPr>
        <w:fldChar w:fldCharType="separate"/>
      </w:r>
      <w:r>
        <w:rPr>
          <w:sz w:val="28"/>
        </w:rPr>
        <w:t>10</w:t>
      </w:r>
      <w:r>
        <w:rPr>
          <w:sz w:val="28"/>
        </w:rPr>
        <w:fldChar w:fldCharType="end"/>
      </w:r>
      <w:r>
        <w:rPr>
          <w:sz w:val="28"/>
        </w:rPr>
        <w:fldChar w:fldCharType="end"/>
      </w:r>
    </w:p>
    <w:p>
      <w:pPr>
        <w:pStyle w:val="16"/>
        <w:tabs>
          <w:tab w:val="right" w:leader="dot" w:pos="8296"/>
        </w:tabs>
        <w:rPr>
          <w:kern w:val="2"/>
          <w:sz w:val="28"/>
        </w:rPr>
      </w:pPr>
      <w:r>
        <w:fldChar w:fldCharType="begin"/>
      </w:r>
      <w:r>
        <w:instrText xml:space="preserve"> HYPERLINK \l "_Toc157175692" </w:instrText>
      </w:r>
      <w:r>
        <w:fldChar w:fldCharType="separate"/>
      </w:r>
      <w:r>
        <w:rPr>
          <w:rStyle w:val="25"/>
          <w:rFonts w:hint="eastAsia"/>
          <w:sz w:val="28"/>
        </w:rPr>
        <w:t>第四章</w:t>
      </w:r>
      <w:r>
        <w:rPr>
          <w:rStyle w:val="25"/>
          <w:sz w:val="28"/>
        </w:rPr>
        <w:t xml:space="preserve"> </w:t>
      </w:r>
      <w:r>
        <w:rPr>
          <w:rStyle w:val="25"/>
          <w:rFonts w:hint="eastAsia"/>
          <w:sz w:val="28"/>
        </w:rPr>
        <w:t>评审办法及标准</w:t>
      </w:r>
      <w:r>
        <w:rPr>
          <w:sz w:val="28"/>
        </w:rPr>
        <w:tab/>
      </w:r>
      <w:r>
        <w:rPr>
          <w:sz w:val="28"/>
        </w:rPr>
        <w:fldChar w:fldCharType="begin"/>
      </w:r>
      <w:r>
        <w:rPr>
          <w:sz w:val="28"/>
        </w:rPr>
        <w:instrText xml:space="preserve"> PAGEREF _Toc157175692 \h </w:instrText>
      </w:r>
      <w:r>
        <w:rPr>
          <w:sz w:val="28"/>
        </w:rPr>
        <w:fldChar w:fldCharType="separate"/>
      </w:r>
      <w:r>
        <w:rPr>
          <w:sz w:val="28"/>
        </w:rPr>
        <w:t>26</w:t>
      </w:r>
      <w:r>
        <w:rPr>
          <w:sz w:val="28"/>
        </w:rPr>
        <w:fldChar w:fldCharType="end"/>
      </w:r>
      <w:r>
        <w:rPr>
          <w:sz w:val="28"/>
        </w:rPr>
        <w:fldChar w:fldCharType="end"/>
      </w:r>
    </w:p>
    <w:p>
      <w:pPr>
        <w:pStyle w:val="16"/>
        <w:tabs>
          <w:tab w:val="right" w:leader="dot" w:pos="8296"/>
        </w:tabs>
        <w:rPr>
          <w:kern w:val="2"/>
          <w:sz w:val="28"/>
        </w:rPr>
      </w:pPr>
      <w:r>
        <w:fldChar w:fldCharType="begin"/>
      </w:r>
      <w:r>
        <w:instrText xml:space="preserve"> HYPERLINK \l "_Toc157175693" </w:instrText>
      </w:r>
      <w:r>
        <w:fldChar w:fldCharType="separate"/>
      </w:r>
      <w:r>
        <w:rPr>
          <w:rStyle w:val="25"/>
          <w:rFonts w:hint="eastAsia"/>
          <w:sz w:val="28"/>
        </w:rPr>
        <w:t>第五章</w:t>
      </w:r>
      <w:r>
        <w:rPr>
          <w:rStyle w:val="25"/>
          <w:sz w:val="28"/>
        </w:rPr>
        <w:t xml:space="preserve"> </w:t>
      </w:r>
      <w:r>
        <w:rPr>
          <w:rStyle w:val="25"/>
          <w:rFonts w:hint="eastAsia"/>
          <w:sz w:val="28"/>
        </w:rPr>
        <w:t>拟签订的框架协议文本和采购合同文本</w:t>
      </w:r>
      <w:r>
        <w:rPr>
          <w:sz w:val="28"/>
        </w:rPr>
        <w:tab/>
      </w:r>
      <w:r>
        <w:rPr>
          <w:sz w:val="28"/>
        </w:rPr>
        <w:fldChar w:fldCharType="begin"/>
      </w:r>
      <w:r>
        <w:rPr>
          <w:sz w:val="28"/>
        </w:rPr>
        <w:instrText xml:space="preserve"> PAGEREF _Toc157175693 \h </w:instrText>
      </w:r>
      <w:r>
        <w:rPr>
          <w:sz w:val="28"/>
        </w:rPr>
        <w:fldChar w:fldCharType="separate"/>
      </w:r>
      <w:r>
        <w:rPr>
          <w:sz w:val="28"/>
        </w:rPr>
        <w:t>27</w:t>
      </w:r>
      <w:r>
        <w:rPr>
          <w:sz w:val="28"/>
        </w:rPr>
        <w:fldChar w:fldCharType="end"/>
      </w:r>
      <w:r>
        <w:rPr>
          <w:sz w:val="28"/>
        </w:rPr>
        <w:fldChar w:fldCharType="end"/>
      </w:r>
    </w:p>
    <w:p>
      <w:pPr>
        <w:pStyle w:val="16"/>
        <w:tabs>
          <w:tab w:val="right" w:leader="dot" w:pos="8296"/>
        </w:tabs>
        <w:rPr>
          <w:kern w:val="2"/>
          <w:sz w:val="28"/>
        </w:rPr>
      </w:pPr>
      <w:r>
        <w:fldChar w:fldCharType="begin"/>
      </w:r>
      <w:r>
        <w:instrText xml:space="preserve"> HYPERLINK \l "_Toc157175694" </w:instrText>
      </w:r>
      <w:r>
        <w:fldChar w:fldCharType="separate"/>
      </w:r>
      <w:r>
        <w:rPr>
          <w:rStyle w:val="25"/>
          <w:rFonts w:hint="eastAsia"/>
          <w:sz w:val="28"/>
        </w:rPr>
        <w:t>第六章</w:t>
      </w:r>
      <w:r>
        <w:rPr>
          <w:rStyle w:val="25"/>
          <w:sz w:val="28"/>
        </w:rPr>
        <w:t xml:space="preserve"> </w:t>
      </w:r>
      <w:r>
        <w:rPr>
          <w:rStyle w:val="25"/>
          <w:rFonts w:hint="eastAsia"/>
          <w:sz w:val="28"/>
        </w:rPr>
        <w:t>响应文件格式</w:t>
      </w:r>
      <w:r>
        <w:rPr>
          <w:sz w:val="28"/>
        </w:rPr>
        <w:tab/>
      </w:r>
      <w:r>
        <w:rPr>
          <w:sz w:val="28"/>
        </w:rPr>
        <w:fldChar w:fldCharType="begin"/>
      </w:r>
      <w:r>
        <w:rPr>
          <w:sz w:val="28"/>
        </w:rPr>
        <w:instrText xml:space="preserve"> PAGEREF _Toc157175694 \h </w:instrText>
      </w:r>
      <w:r>
        <w:rPr>
          <w:sz w:val="28"/>
        </w:rPr>
        <w:fldChar w:fldCharType="separate"/>
      </w:r>
      <w:r>
        <w:rPr>
          <w:sz w:val="28"/>
        </w:rPr>
        <w:t>39</w:t>
      </w:r>
      <w:r>
        <w:rPr>
          <w:sz w:val="28"/>
        </w:rPr>
        <w:fldChar w:fldCharType="end"/>
      </w:r>
      <w:r>
        <w:rPr>
          <w:sz w:val="28"/>
        </w:rPr>
        <w:fldChar w:fldCharType="end"/>
      </w:r>
    </w:p>
    <w:p>
      <w:pPr>
        <w:rPr>
          <w:rFonts w:ascii="宋体" w:hAnsi="宋体" w:eastAsia="宋体"/>
          <w:b/>
          <w:sz w:val="36"/>
          <w:szCs w:val="36"/>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ascii="宋体" w:hAnsi="宋体" w:eastAsia="宋体"/>
          <w:b/>
          <w:sz w:val="36"/>
          <w:szCs w:val="36"/>
        </w:rPr>
        <w:fldChar w:fldCharType="end"/>
      </w:r>
    </w:p>
    <w:p>
      <w:pPr>
        <w:pStyle w:val="2"/>
        <w:spacing w:before="160" w:after="160"/>
        <w:jc w:val="center"/>
      </w:pPr>
      <w:bookmarkStart w:id="0" w:name="_Toc157175689"/>
      <w:r>
        <w:rPr>
          <w:rFonts w:hint="eastAsia"/>
        </w:rPr>
        <w:t>第一章 征集公告</w:t>
      </w:r>
      <w:bookmarkEnd w:id="0"/>
    </w:p>
    <w:p>
      <w:pPr>
        <w:spacing w:before="240" w:line="360" w:lineRule="auto"/>
        <w:ind w:firstLine="480"/>
        <w:jc w:val="left"/>
        <w:rPr>
          <w:rFonts w:ascii="宋体" w:hAnsi="宋体"/>
          <w:color w:val="000000"/>
          <w:sz w:val="24"/>
        </w:rPr>
      </w:pPr>
      <w:r>
        <w:rPr>
          <w:rFonts w:hint="eastAsia" w:ascii="宋体" w:hAnsi="宋体"/>
          <w:color w:val="000000"/>
          <w:sz w:val="24"/>
        </w:rPr>
        <w:t>根据</w:t>
      </w:r>
      <w:r>
        <w:rPr>
          <w:rFonts w:hint="eastAsia" w:ascii="宋体" w:hAnsi="宋体"/>
          <w:color w:val="000000"/>
          <w:sz w:val="24"/>
          <w:u w:val="single"/>
        </w:rPr>
        <w:t>《中华人民共和国政府采购法》《中华人民共和国政府采购法实施条例》《政府采购框架协议采购方式管理暂行办法》《政府采购货物和服务招标投标管理办法》《浙江省政府采购项目电子交易管理暂行办法》</w:t>
      </w:r>
      <w:r>
        <w:rPr>
          <w:rFonts w:hint="eastAsia" w:ascii="宋体" w:hAnsi="宋体"/>
          <w:color w:val="000000"/>
          <w:sz w:val="24"/>
        </w:rPr>
        <w:t>等规定，现就</w:t>
      </w:r>
      <w:r>
        <w:rPr>
          <w:rFonts w:hint="eastAsia" w:ascii="宋体" w:hAnsi="宋体"/>
          <w:b/>
          <w:color w:val="000000"/>
          <w:sz w:val="24"/>
          <w:u w:val="single"/>
        </w:rPr>
        <w:t>2024-2026年度浦江县预算绩效评价咨询服务封闭式框架协议项目</w:t>
      </w:r>
      <w:r>
        <w:rPr>
          <w:rFonts w:ascii="宋体" w:hAnsi="宋体"/>
          <w:color w:val="000000"/>
          <w:sz w:val="24"/>
        </w:rPr>
        <w:t>进行</w:t>
      </w:r>
      <w:r>
        <w:rPr>
          <w:rFonts w:hint="eastAsia" w:ascii="宋体" w:hAnsi="宋体"/>
          <w:color w:val="000000"/>
          <w:sz w:val="24"/>
        </w:rPr>
        <w:t>框架协议</w:t>
      </w:r>
      <w:r>
        <w:rPr>
          <w:rFonts w:ascii="宋体" w:hAnsi="宋体"/>
          <w:color w:val="000000"/>
          <w:sz w:val="24"/>
        </w:rPr>
        <w:t>采购，</w:t>
      </w:r>
      <w:r>
        <w:rPr>
          <w:rFonts w:hint="eastAsia" w:ascii="宋体" w:hAnsi="宋体"/>
          <w:color w:val="000000"/>
          <w:sz w:val="24"/>
        </w:rPr>
        <w:t>欢迎国内合格的供应商前来响应。</w:t>
      </w:r>
    </w:p>
    <w:p>
      <w:pPr>
        <w:pStyle w:val="3"/>
        <w:spacing w:before="0" w:after="0" w:line="360" w:lineRule="auto"/>
        <w:ind w:firstLine="371" w:firstLineChars="132"/>
        <w:rPr>
          <w:sz w:val="28"/>
        </w:rPr>
      </w:pPr>
      <w:r>
        <w:rPr>
          <w:rFonts w:hint="eastAsia"/>
          <w:sz w:val="28"/>
        </w:rPr>
        <w:t>一、采购项目信息</w:t>
      </w:r>
    </w:p>
    <w:p>
      <w:pPr>
        <w:spacing w:line="360" w:lineRule="auto"/>
        <w:ind w:firstLine="480"/>
        <w:jc w:val="left"/>
        <w:rPr>
          <w:rFonts w:ascii="宋体" w:hAnsi="宋体" w:eastAsia="宋体"/>
          <w:sz w:val="24"/>
          <w:szCs w:val="24"/>
        </w:rPr>
      </w:pPr>
      <w:r>
        <w:rPr>
          <w:rFonts w:hint="eastAsia" w:ascii="宋体" w:hAnsi="宋体" w:eastAsia="宋体"/>
          <w:sz w:val="24"/>
          <w:szCs w:val="24"/>
        </w:rPr>
        <w:t>1.项目名称：2024-2026年度浦江县预算绩效评价咨询服务封闭式框架协议项目</w:t>
      </w:r>
    </w:p>
    <w:p>
      <w:pPr>
        <w:spacing w:line="360" w:lineRule="auto"/>
        <w:ind w:firstLine="480"/>
        <w:jc w:val="left"/>
        <w:rPr>
          <w:rFonts w:ascii="宋体" w:hAnsi="宋体" w:eastAsia="宋体"/>
          <w:sz w:val="24"/>
          <w:szCs w:val="24"/>
        </w:rPr>
      </w:pPr>
      <w:r>
        <w:rPr>
          <w:rFonts w:hint="eastAsia" w:ascii="宋体" w:hAnsi="宋体" w:eastAsia="宋体"/>
          <w:sz w:val="24"/>
          <w:szCs w:val="24"/>
        </w:rPr>
        <w:t>2.项目编号：ZPKJ2024-003</w:t>
      </w:r>
    </w:p>
    <w:p>
      <w:pPr>
        <w:spacing w:line="360" w:lineRule="auto"/>
        <w:ind w:firstLine="480"/>
        <w:jc w:val="left"/>
        <w:rPr>
          <w:rFonts w:ascii="宋体" w:hAnsi="宋体" w:eastAsia="宋体"/>
          <w:sz w:val="24"/>
          <w:szCs w:val="24"/>
        </w:rPr>
      </w:pPr>
      <w:r>
        <w:rPr>
          <w:rFonts w:hint="eastAsia" w:ascii="宋体" w:hAnsi="宋体" w:eastAsia="宋体"/>
          <w:sz w:val="24"/>
          <w:szCs w:val="24"/>
        </w:rPr>
        <w:t>3.采购方式：封闭式框架协议</w:t>
      </w:r>
    </w:p>
    <w:p>
      <w:pPr>
        <w:spacing w:line="360" w:lineRule="auto"/>
        <w:ind w:firstLine="480"/>
        <w:jc w:val="left"/>
        <w:rPr>
          <w:rFonts w:ascii="宋体" w:hAnsi="宋体" w:eastAsia="宋体"/>
          <w:sz w:val="24"/>
          <w:szCs w:val="24"/>
        </w:rPr>
      </w:pPr>
      <w:r>
        <w:rPr>
          <w:rFonts w:hint="eastAsia" w:ascii="宋体" w:hAnsi="宋体" w:eastAsia="宋体"/>
          <w:sz w:val="24"/>
          <w:szCs w:val="24"/>
        </w:rPr>
        <w:t>4.适用采购或者服务对象范围：浦江县各级行政机关、事业单位、团体组织，且单个项目不超过30万。</w:t>
      </w:r>
    </w:p>
    <w:p>
      <w:pPr>
        <w:spacing w:line="360" w:lineRule="auto"/>
        <w:ind w:firstLine="480"/>
        <w:jc w:val="left"/>
        <w:rPr>
          <w:rFonts w:ascii="宋体" w:hAnsi="宋体" w:eastAsia="宋体"/>
          <w:sz w:val="24"/>
          <w:szCs w:val="24"/>
        </w:rPr>
      </w:pPr>
      <w:r>
        <w:rPr>
          <w:rFonts w:hint="eastAsia" w:ascii="宋体" w:hAnsi="宋体" w:eastAsia="宋体"/>
          <w:sz w:val="24"/>
          <w:szCs w:val="24"/>
        </w:rPr>
        <w:t>5.框架协议的期限：</w:t>
      </w:r>
      <w:r>
        <w:rPr>
          <w:rFonts w:hint="eastAsia" w:ascii="宋体" w:hAnsi="宋体" w:eastAsia="宋体" w:cs="宋体"/>
          <w:bCs/>
          <w:sz w:val="24"/>
          <w:szCs w:val="24"/>
        </w:rPr>
        <w:t>2024.10.1-2026.9.30。</w:t>
      </w:r>
    </w:p>
    <w:p>
      <w:pPr>
        <w:spacing w:line="360" w:lineRule="auto"/>
        <w:ind w:firstLine="480"/>
        <w:jc w:val="left"/>
        <w:rPr>
          <w:rFonts w:ascii="宋体" w:hAnsi="宋体" w:eastAsia="宋体"/>
          <w:sz w:val="24"/>
          <w:szCs w:val="24"/>
        </w:rPr>
      </w:pPr>
      <w:r>
        <w:rPr>
          <w:rFonts w:hint="eastAsia" w:ascii="宋体" w:hAnsi="宋体" w:eastAsia="宋体"/>
          <w:sz w:val="24"/>
          <w:szCs w:val="24"/>
        </w:rPr>
        <w:t>6.采购内容及数量：预算绩效评价咨询服务，主要包括重大政策和项目事前绩效评估、监控和评价，绩效目标审核，部门整体绩效评价及其他预算绩效评价咨询服务事项。根据评审结果，本次采购根据征集文件入围比例为有效响应方的80%（去尾法取整数），且入围至多30家。</w:t>
      </w:r>
    </w:p>
    <w:p>
      <w:pPr>
        <w:pStyle w:val="3"/>
        <w:spacing w:before="0" w:after="0" w:line="360" w:lineRule="auto"/>
        <w:ind w:firstLine="371" w:firstLineChars="132"/>
        <w:rPr>
          <w:sz w:val="28"/>
        </w:rPr>
      </w:pPr>
      <w:r>
        <w:rPr>
          <w:rFonts w:hint="eastAsia"/>
          <w:sz w:val="28"/>
        </w:rPr>
        <w:t>二、合格响应方的资格要求</w:t>
      </w:r>
    </w:p>
    <w:p>
      <w:pPr>
        <w:spacing w:line="360" w:lineRule="auto"/>
        <w:ind w:firstLine="480"/>
        <w:jc w:val="left"/>
        <w:rPr>
          <w:rFonts w:ascii="宋体" w:hAnsi="宋体" w:eastAsia="宋体"/>
          <w:sz w:val="24"/>
          <w:szCs w:val="24"/>
        </w:rPr>
      </w:pPr>
      <w:r>
        <w:rPr>
          <w:rFonts w:hint="eastAsia" w:ascii="宋体" w:hAnsi="宋体" w:eastAsia="宋体"/>
          <w:sz w:val="24"/>
          <w:szCs w:val="24"/>
        </w:rPr>
        <w:t>1.满足《中华人民共和国政府采购法》第二十二条规定；</w:t>
      </w:r>
    </w:p>
    <w:p>
      <w:pPr>
        <w:spacing w:line="360" w:lineRule="auto"/>
        <w:ind w:firstLine="48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根据财库[2016]125号文件，通过“信用中国”网站（www.creditchina.gov.cn）、中国政府采购网（www.ccgp.gov.cn）</w:t>
      </w:r>
      <w:r>
        <w:rPr>
          <w:rFonts w:hint="eastAsia" w:ascii="宋体" w:hAnsi="宋体" w:eastAsia="宋体"/>
          <w:sz w:val="24"/>
          <w:szCs w:val="24"/>
        </w:rPr>
        <w:t>对投标供应商进行查询</w:t>
      </w:r>
      <w:r>
        <w:rPr>
          <w:rFonts w:ascii="宋体" w:hAnsi="宋体" w:eastAsia="宋体"/>
          <w:sz w:val="24"/>
          <w:szCs w:val="24"/>
        </w:rPr>
        <w:t>，对列入失信被执行人、重大税收违法案件当事人名单、政府采购严重违法失信行为记录名单的</w:t>
      </w:r>
      <w:r>
        <w:rPr>
          <w:rFonts w:hint="eastAsia" w:ascii="宋体" w:hAnsi="宋体" w:eastAsia="宋体"/>
          <w:sz w:val="24"/>
          <w:szCs w:val="24"/>
        </w:rPr>
        <w:t>响应供应商</w:t>
      </w:r>
      <w:r>
        <w:rPr>
          <w:rFonts w:ascii="宋体" w:hAnsi="宋体" w:eastAsia="宋体"/>
          <w:sz w:val="24"/>
          <w:szCs w:val="24"/>
        </w:rPr>
        <w:t>，其</w:t>
      </w:r>
      <w:r>
        <w:rPr>
          <w:rFonts w:hint="eastAsia" w:ascii="宋体" w:hAnsi="宋体" w:eastAsia="宋体"/>
          <w:sz w:val="24"/>
          <w:szCs w:val="24"/>
        </w:rPr>
        <w:t>响应</w:t>
      </w:r>
      <w:r>
        <w:rPr>
          <w:rFonts w:ascii="宋体" w:hAnsi="宋体" w:eastAsia="宋体"/>
          <w:sz w:val="24"/>
          <w:szCs w:val="24"/>
        </w:rPr>
        <w:t>将作无效处理</w:t>
      </w:r>
      <w:r>
        <w:rPr>
          <w:rFonts w:hint="eastAsia" w:ascii="宋体" w:hAnsi="宋体" w:eastAsia="宋体"/>
          <w:sz w:val="24"/>
          <w:szCs w:val="24"/>
        </w:rPr>
        <w:t>，具体</w:t>
      </w:r>
      <w:r>
        <w:rPr>
          <w:rFonts w:ascii="宋体" w:hAnsi="宋体" w:eastAsia="宋体"/>
          <w:sz w:val="24"/>
          <w:szCs w:val="24"/>
        </w:rPr>
        <w:t>以</w:t>
      </w:r>
      <w:r>
        <w:rPr>
          <w:rFonts w:hint="eastAsia" w:ascii="宋体" w:hAnsi="宋体" w:eastAsia="宋体"/>
          <w:sz w:val="24"/>
          <w:szCs w:val="24"/>
        </w:rPr>
        <w:t>响应截至当日</w:t>
      </w:r>
      <w:r>
        <w:rPr>
          <w:rFonts w:ascii="宋体" w:hAnsi="宋体" w:eastAsia="宋体"/>
          <w:sz w:val="24"/>
          <w:szCs w:val="24"/>
        </w:rPr>
        <w:t>网页查询记录为准</w:t>
      </w:r>
      <w:r>
        <w:rPr>
          <w:rFonts w:hint="eastAsia" w:ascii="宋体" w:hAnsi="宋体" w:eastAsia="宋体"/>
          <w:sz w:val="24"/>
          <w:szCs w:val="24"/>
        </w:rPr>
        <w:t>；</w:t>
      </w:r>
    </w:p>
    <w:p>
      <w:pPr>
        <w:spacing w:line="360" w:lineRule="auto"/>
        <w:ind w:firstLine="480"/>
        <w:jc w:val="left"/>
        <w:rPr>
          <w:rFonts w:ascii="宋体" w:hAnsi="宋体" w:eastAsia="宋体"/>
          <w:sz w:val="24"/>
          <w:szCs w:val="24"/>
        </w:rPr>
      </w:pPr>
      <w:r>
        <w:rPr>
          <w:rFonts w:hint="eastAsia" w:ascii="宋体" w:hAnsi="宋体" w:eastAsia="宋体"/>
          <w:sz w:val="24"/>
          <w:szCs w:val="24"/>
        </w:rPr>
        <w:t>3.特定资格要求：/；</w:t>
      </w:r>
    </w:p>
    <w:p>
      <w:pPr>
        <w:spacing w:line="360" w:lineRule="auto"/>
        <w:ind w:firstLine="480"/>
        <w:jc w:val="left"/>
        <w:rPr>
          <w:rFonts w:ascii="宋体" w:hAnsi="宋体" w:eastAsia="宋体"/>
          <w:sz w:val="24"/>
          <w:szCs w:val="24"/>
        </w:rPr>
      </w:pPr>
      <w:r>
        <w:rPr>
          <w:rFonts w:hint="eastAsia" w:ascii="宋体" w:hAnsi="宋体" w:eastAsia="宋体"/>
          <w:sz w:val="24"/>
          <w:szCs w:val="24"/>
        </w:rPr>
        <w:t>4.本项目（□是/</w:t>
      </w:r>
      <w:r>
        <w:rPr>
          <w:rFonts w:hint="eastAsia" w:ascii="MS Mincho" w:hAnsi="MS Mincho" w:eastAsia="MS Mincho" w:cs="MS Mincho"/>
          <w:sz w:val="24"/>
          <w:szCs w:val="24"/>
        </w:rPr>
        <w:t>☑</w:t>
      </w:r>
      <w:r>
        <w:rPr>
          <w:rFonts w:hint="eastAsia" w:ascii="宋体" w:hAnsi="宋体" w:eastAsia="宋体"/>
          <w:sz w:val="24"/>
          <w:szCs w:val="24"/>
        </w:rPr>
        <w:t>否）专门面向中小企业，谢绝联合体参加；</w:t>
      </w:r>
    </w:p>
    <w:p>
      <w:pPr>
        <w:spacing w:line="360" w:lineRule="auto"/>
        <w:ind w:firstLine="480"/>
        <w:jc w:val="left"/>
        <w:rPr>
          <w:rFonts w:ascii="宋体" w:hAnsi="宋体" w:eastAsia="宋体"/>
          <w:sz w:val="24"/>
          <w:szCs w:val="24"/>
        </w:rPr>
      </w:pPr>
      <w:r>
        <w:rPr>
          <w:rFonts w:hint="eastAsia" w:ascii="宋体" w:hAnsi="宋体" w:eastAsia="宋体"/>
          <w:sz w:val="24"/>
          <w:szCs w:val="24"/>
        </w:rPr>
        <w:t>5.单位负责人为同一人或者存在直接控股、管理关系的不同供应商，不得参加同一合同项下的政府采购活动。</w:t>
      </w:r>
    </w:p>
    <w:p>
      <w:pPr>
        <w:pStyle w:val="3"/>
        <w:spacing w:before="0" w:after="0" w:line="360" w:lineRule="auto"/>
        <w:ind w:firstLine="371" w:firstLineChars="132"/>
        <w:rPr>
          <w:sz w:val="28"/>
        </w:rPr>
      </w:pPr>
      <w:r>
        <w:rPr>
          <w:rFonts w:hint="eastAsia"/>
          <w:sz w:val="28"/>
        </w:rPr>
        <w:t>三、获取征集文件时间、地点和方式</w:t>
      </w:r>
    </w:p>
    <w:p>
      <w:pPr>
        <w:spacing w:line="360" w:lineRule="auto"/>
        <w:ind w:firstLine="480"/>
        <w:jc w:val="left"/>
        <w:rPr>
          <w:rFonts w:ascii="宋体" w:hAnsi="宋体" w:eastAsia="宋体"/>
          <w:sz w:val="24"/>
          <w:szCs w:val="24"/>
        </w:rPr>
      </w:pPr>
      <w:r>
        <w:rPr>
          <w:rFonts w:hint="eastAsia" w:ascii="宋体" w:hAnsi="宋体" w:eastAsia="宋体"/>
          <w:sz w:val="24"/>
          <w:szCs w:val="24"/>
        </w:rPr>
        <w:t>1.获取时间：响应截止时间前</w:t>
      </w:r>
    </w:p>
    <w:p>
      <w:pPr>
        <w:spacing w:line="360" w:lineRule="auto"/>
        <w:ind w:firstLine="480"/>
        <w:jc w:val="left"/>
        <w:rPr>
          <w:rFonts w:ascii="宋体" w:hAnsi="Courier New" w:cs="宋体"/>
          <w:sz w:val="24"/>
          <w:szCs w:val="24"/>
        </w:rPr>
      </w:pPr>
      <w:r>
        <w:rPr>
          <w:rFonts w:hint="eastAsia" w:ascii="宋体" w:hAnsi="宋体" w:eastAsia="宋体"/>
          <w:sz w:val="24"/>
          <w:szCs w:val="24"/>
        </w:rPr>
        <w:t>2.获取方</w:t>
      </w:r>
      <w:r>
        <w:rPr>
          <w:rFonts w:hint="eastAsia" w:ascii="宋体" w:hAnsi="Courier New" w:cs="宋体"/>
          <w:sz w:val="24"/>
          <w:szCs w:val="24"/>
        </w:rPr>
        <w:t>式：供应商登录政采云平台https://www.zcygov.cn/在线申请获取采购文件（进入“项目采购”应用，在获取采购文件菜单中选择项目，申请获取采购文件）</w:t>
      </w:r>
    </w:p>
    <w:p>
      <w:pPr>
        <w:spacing w:line="360" w:lineRule="auto"/>
        <w:ind w:firstLine="480"/>
        <w:jc w:val="left"/>
        <w:rPr>
          <w:rFonts w:ascii="宋体" w:hAnsi="宋体" w:eastAsia="宋体"/>
          <w:sz w:val="24"/>
          <w:szCs w:val="24"/>
        </w:rPr>
      </w:pPr>
      <w:r>
        <w:rPr>
          <w:rFonts w:hint="eastAsia" w:ascii="宋体" w:hAnsi="Courier New" w:cs="宋体"/>
          <w:sz w:val="24"/>
          <w:szCs w:val="24"/>
        </w:rPr>
        <w:t>3.获取征集文件时须提交的文件资</w:t>
      </w:r>
      <w:r>
        <w:rPr>
          <w:rFonts w:hint="eastAsia" w:ascii="宋体" w:hAnsi="宋体" w:eastAsia="宋体"/>
          <w:sz w:val="24"/>
          <w:szCs w:val="24"/>
        </w:rPr>
        <w:t>料：无</w:t>
      </w:r>
    </w:p>
    <w:p>
      <w:pPr>
        <w:spacing w:line="360" w:lineRule="auto"/>
        <w:ind w:firstLine="480"/>
        <w:jc w:val="left"/>
        <w:rPr>
          <w:rFonts w:ascii="宋体" w:hAnsi="宋体" w:eastAsia="宋体"/>
          <w:sz w:val="24"/>
          <w:szCs w:val="24"/>
        </w:rPr>
      </w:pPr>
      <w:r>
        <w:rPr>
          <w:rFonts w:hint="eastAsia" w:ascii="宋体" w:hAnsi="宋体" w:eastAsia="宋体"/>
          <w:sz w:val="24"/>
          <w:szCs w:val="24"/>
        </w:rPr>
        <w:t>4.提醒：</w:t>
      </w:r>
      <w:r>
        <w:rPr>
          <w:rFonts w:hint="eastAsia" w:ascii="宋体" w:hAnsi="Courier New" w:cs="宋体"/>
          <w:sz w:val="24"/>
          <w:szCs w:val="24"/>
        </w:rPr>
        <w:t>在浙江政府采购网征集公告附件中以“游客”身份获取的征集文件仅供阅览使用，供应商只有在“政府采购云平台”完成获取征集文件申请并下载了征集文件后才视作依法获取征集文件。</w:t>
      </w:r>
    </w:p>
    <w:p>
      <w:pPr>
        <w:spacing w:line="360" w:lineRule="auto"/>
        <w:ind w:firstLine="480"/>
        <w:jc w:val="left"/>
        <w:rPr>
          <w:rFonts w:ascii="宋体" w:hAnsi="宋体" w:eastAsia="宋体"/>
          <w:sz w:val="24"/>
          <w:szCs w:val="24"/>
        </w:rPr>
      </w:pPr>
      <w:r>
        <w:rPr>
          <w:rFonts w:hint="eastAsia" w:ascii="宋体" w:hAnsi="宋体" w:eastAsia="宋体"/>
          <w:sz w:val="24"/>
          <w:szCs w:val="24"/>
        </w:rPr>
        <w:t>注：</w:t>
      </w:r>
      <w:r>
        <w:rPr>
          <w:rFonts w:hint="eastAsia" w:ascii="宋体" w:hAnsi="Courier New" w:cs="宋体"/>
          <w:sz w:val="24"/>
          <w:szCs w:val="24"/>
        </w:rPr>
        <w:t>请各响应方按上述要求获取征集文件，如未在“政采云”系统内完成相关流程，引起的征集响应无效责任自负。</w:t>
      </w:r>
    </w:p>
    <w:p>
      <w:pPr>
        <w:pStyle w:val="3"/>
        <w:spacing w:before="0" w:after="0" w:line="360" w:lineRule="auto"/>
        <w:ind w:firstLine="371" w:firstLineChars="132"/>
        <w:rPr>
          <w:sz w:val="28"/>
        </w:rPr>
      </w:pPr>
      <w:r>
        <w:rPr>
          <w:rFonts w:hint="eastAsia"/>
          <w:sz w:val="28"/>
        </w:rPr>
        <w:t>四、保证金</w:t>
      </w:r>
    </w:p>
    <w:p>
      <w:pPr>
        <w:spacing w:line="360" w:lineRule="auto"/>
        <w:ind w:firstLine="480"/>
        <w:jc w:val="left"/>
        <w:rPr>
          <w:rFonts w:ascii="宋体" w:hAnsi="Courier New" w:cs="宋体"/>
          <w:sz w:val="24"/>
          <w:szCs w:val="24"/>
        </w:rPr>
      </w:pPr>
      <w:r>
        <w:rPr>
          <w:rFonts w:hint="eastAsia" w:ascii="宋体" w:hAnsi="Courier New" w:cs="宋体"/>
          <w:sz w:val="24"/>
          <w:szCs w:val="24"/>
        </w:rPr>
        <w:t>本项目不收取。</w:t>
      </w:r>
    </w:p>
    <w:p>
      <w:pPr>
        <w:pStyle w:val="3"/>
        <w:spacing w:before="0" w:after="0" w:line="360" w:lineRule="auto"/>
        <w:ind w:firstLine="371" w:firstLineChars="132"/>
        <w:rPr>
          <w:sz w:val="28"/>
        </w:rPr>
      </w:pPr>
      <w:r>
        <w:rPr>
          <w:rFonts w:hint="eastAsia"/>
          <w:sz w:val="28"/>
        </w:rPr>
        <w:t>五、响应截止时间和地点</w:t>
      </w:r>
    </w:p>
    <w:p>
      <w:pPr>
        <w:spacing w:line="360" w:lineRule="auto"/>
        <w:ind w:firstLine="480"/>
        <w:jc w:val="left"/>
        <w:rPr>
          <w:rFonts w:ascii="宋体" w:hAnsi="Courier New" w:cs="宋体"/>
          <w:sz w:val="24"/>
          <w:szCs w:val="24"/>
        </w:rPr>
      </w:pPr>
      <w:r>
        <w:rPr>
          <w:rFonts w:hint="eastAsia" w:ascii="宋体" w:hAnsi="Courier New" w:cs="宋体"/>
          <w:sz w:val="24"/>
          <w:szCs w:val="24"/>
        </w:rPr>
        <w:t>1.提交截止时间：</w:t>
      </w:r>
      <w:r>
        <w:rPr>
          <w:rFonts w:hint="eastAsia" w:ascii="宋体" w:hAnsi="Courier New" w:cs="宋体"/>
          <w:sz w:val="24"/>
          <w:szCs w:val="24"/>
          <w:u w:val="single"/>
        </w:rPr>
        <w:t>2024年9月10日09：30</w:t>
      </w:r>
      <w:r>
        <w:rPr>
          <w:rFonts w:hint="eastAsia" w:ascii="宋体" w:hAnsi="Courier New" w:cs="宋体"/>
          <w:sz w:val="24"/>
          <w:szCs w:val="24"/>
        </w:rPr>
        <w:t>（北京时间）</w:t>
      </w:r>
    </w:p>
    <w:p>
      <w:pPr>
        <w:spacing w:line="360" w:lineRule="auto"/>
        <w:ind w:firstLine="480"/>
        <w:jc w:val="left"/>
        <w:rPr>
          <w:rFonts w:ascii="宋体" w:hAnsi="Courier New" w:cs="宋体"/>
          <w:sz w:val="24"/>
          <w:szCs w:val="24"/>
        </w:rPr>
      </w:pPr>
      <w:r>
        <w:rPr>
          <w:rFonts w:hint="eastAsia" w:ascii="宋体" w:hAnsi="宋体" w:eastAsia="宋体"/>
          <w:sz w:val="24"/>
          <w:szCs w:val="24"/>
        </w:rPr>
        <w:t>2.响应文件提交地点（网址）</w:t>
      </w:r>
      <w:r>
        <w:rPr>
          <w:rFonts w:hint="eastAsia" w:ascii="宋体" w:hAnsi="Courier New" w:cs="宋体"/>
          <w:sz w:val="24"/>
          <w:szCs w:val="24"/>
        </w:rPr>
        <w:t>：请登录政采云投标客户端提交响应</w:t>
      </w:r>
    </w:p>
    <w:p>
      <w:pPr>
        <w:spacing w:line="360" w:lineRule="auto"/>
        <w:ind w:firstLine="480"/>
        <w:jc w:val="left"/>
        <w:rPr>
          <w:rFonts w:ascii="宋体" w:hAnsi="宋体" w:eastAsia="宋体"/>
          <w:sz w:val="24"/>
          <w:szCs w:val="24"/>
        </w:rPr>
      </w:pPr>
      <w:r>
        <w:rPr>
          <w:rFonts w:hint="eastAsia" w:ascii="宋体" w:hAnsi="宋体" w:eastAsia="宋体"/>
          <w:sz w:val="24"/>
          <w:szCs w:val="24"/>
        </w:rPr>
        <w:t>3.本项目实行电子化采购。响应文件应按照本项目征集文件和电子交易平台的要求编制、加密，并应当在提交截止时间前在规定电子交易平台完成传输递交，提交截止时间后上传的响应文件，将被电子交易平台拒收。</w:t>
      </w:r>
    </w:p>
    <w:p>
      <w:pPr>
        <w:spacing w:line="360" w:lineRule="auto"/>
        <w:ind w:firstLine="480"/>
        <w:jc w:val="left"/>
        <w:rPr>
          <w:rFonts w:ascii="宋体" w:hAnsi="宋体" w:eastAsia="宋体"/>
          <w:sz w:val="24"/>
          <w:szCs w:val="24"/>
        </w:rPr>
      </w:pPr>
      <w:r>
        <w:rPr>
          <w:rFonts w:hint="eastAsia" w:ascii="宋体" w:hAnsi="宋体" w:eastAsia="宋体"/>
          <w:sz w:val="24"/>
          <w:szCs w:val="24"/>
        </w:rPr>
        <w:t>4.响应方如提供备份响应文件，应采用数据电文形式，以U盘或DVD光盘形式存储，并在响应提交截止时间前，密封递交至金华市公共资源交易中心浦江县分中心三楼开标室（联系人陈婉珍，联系电话：0579-88088931），逾期送达或未密封将被拒收。响应方仅提供备份响应文件响应的，响应无效。</w:t>
      </w:r>
    </w:p>
    <w:p>
      <w:pPr>
        <w:spacing w:line="360" w:lineRule="auto"/>
        <w:ind w:firstLine="480"/>
        <w:jc w:val="left"/>
        <w:rPr>
          <w:rFonts w:ascii="宋体" w:hAnsi="宋体" w:eastAsia="宋体"/>
          <w:sz w:val="24"/>
          <w:szCs w:val="24"/>
        </w:rPr>
      </w:pPr>
      <w:r>
        <w:rPr>
          <w:rFonts w:hint="eastAsia" w:ascii="宋体" w:hAnsi="宋体" w:eastAsia="宋体"/>
          <w:sz w:val="24"/>
          <w:szCs w:val="24"/>
        </w:rPr>
        <w:t>5.本项目拒绝接受纸质响应文件。</w:t>
      </w:r>
    </w:p>
    <w:p>
      <w:pPr>
        <w:pStyle w:val="3"/>
        <w:spacing w:before="0" w:after="0" w:line="360" w:lineRule="auto"/>
        <w:ind w:firstLine="371" w:firstLineChars="132"/>
        <w:rPr>
          <w:sz w:val="28"/>
        </w:rPr>
      </w:pPr>
      <w:r>
        <w:rPr>
          <w:rFonts w:hint="eastAsia"/>
          <w:sz w:val="28"/>
        </w:rPr>
        <w:t>六、响应文件开启时间和地点、开启方式：</w:t>
      </w:r>
    </w:p>
    <w:p>
      <w:pPr>
        <w:spacing w:line="360" w:lineRule="auto"/>
        <w:ind w:firstLine="480"/>
        <w:jc w:val="left"/>
        <w:rPr>
          <w:rFonts w:ascii="宋体" w:hAnsi="宋体" w:eastAsia="宋体"/>
          <w:sz w:val="24"/>
          <w:szCs w:val="24"/>
        </w:rPr>
      </w:pPr>
      <w:r>
        <w:rPr>
          <w:rFonts w:hint="eastAsia" w:ascii="宋体" w:hAnsi="宋体" w:eastAsia="宋体"/>
          <w:sz w:val="24"/>
          <w:szCs w:val="24"/>
        </w:rPr>
        <w:t>1.响应文件开启时间：</w:t>
      </w:r>
      <w:r>
        <w:rPr>
          <w:rFonts w:hint="eastAsia" w:ascii="宋体" w:hAnsi="宋体" w:eastAsia="宋体"/>
          <w:sz w:val="24"/>
          <w:szCs w:val="24"/>
          <w:u w:val="single"/>
        </w:rPr>
        <w:t>2024年9月10日09：30</w:t>
      </w:r>
      <w:r>
        <w:rPr>
          <w:rFonts w:hint="eastAsia" w:ascii="宋体" w:hAnsi="宋体" w:eastAsia="宋体"/>
          <w:sz w:val="24"/>
          <w:szCs w:val="24"/>
        </w:rPr>
        <w:t>（北京时间）</w:t>
      </w:r>
    </w:p>
    <w:p>
      <w:pPr>
        <w:snapToGrid w:val="0"/>
        <w:spacing w:line="480" w:lineRule="exact"/>
        <w:ind w:right="218" w:rightChars="104" w:firstLine="480" w:firstLineChars="200"/>
        <w:rPr>
          <w:rFonts w:ascii="宋体" w:hAnsi="Courier New" w:cs="宋体"/>
          <w:sz w:val="24"/>
          <w:szCs w:val="24"/>
        </w:rPr>
      </w:pPr>
      <w:r>
        <w:rPr>
          <w:rFonts w:hint="eastAsia" w:ascii="宋体" w:hAnsi="宋体" w:eastAsia="宋体"/>
          <w:sz w:val="24"/>
          <w:szCs w:val="24"/>
        </w:rPr>
        <w:t>2.响应文件提交地点：金华市公共资源交易中心浦江县分中心三楼开标室</w:t>
      </w:r>
    </w:p>
    <w:p>
      <w:pPr>
        <w:spacing w:line="360" w:lineRule="auto"/>
        <w:ind w:firstLine="480"/>
        <w:jc w:val="left"/>
        <w:rPr>
          <w:rFonts w:ascii="宋体" w:hAnsi="宋体" w:cs="Arial"/>
          <w:bCs/>
          <w:sz w:val="24"/>
        </w:rPr>
      </w:pPr>
      <w:r>
        <w:rPr>
          <w:rFonts w:hint="eastAsia" w:ascii="宋体" w:hAnsi="宋体" w:eastAsia="宋体"/>
          <w:sz w:val="24"/>
          <w:szCs w:val="24"/>
        </w:rPr>
        <w:t>3.</w:t>
      </w:r>
      <w:r>
        <w:rPr>
          <w:rFonts w:hint="eastAsia" w:ascii="宋体" w:hAnsi="宋体" w:cs="Arial"/>
          <w:bCs/>
          <w:sz w:val="24"/>
        </w:rPr>
        <w:t>交易中心在征集文件规定的时间通过政府采购云平台组织开标、开启响应文件，所有响应方均应准时在线参加，随时关注征集进度。</w:t>
      </w:r>
    </w:p>
    <w:p>
      <w:pPr>
        <w:spacing w:line="360" w:lineRule="auto"/>
        <w:ind w:firstLine="480"/>
        <w:jc w:val="left"/>
        <w:rPr>
          <w:rFonts w:ascii="宋体" w:hAnsi="宋体" w:cs="Arial"/>
          <w:color w:val="000000"/>
          <w:sz w:val="24"/>
        </w:rPr>
      </w:pPr>
      <w:r>
        <w:rPr>
          <w:rFonts w:hint="eastAsia" w:ascii="宋体" w:hAnsi="宋体" w:cs="Arial"/>
          <w:bCs/>
          <w:sz w:val="24"/>
        </w:rPr>
        <w:t>4.响应文件开启时间后30分钟内，各响应方代表应当自行完成“电子响应文件”的在线解密。若响应方在规定时间内无法解密或解密失败，</w:t>
      </w:r>
      <w:r>
        <w:rPr>
          <w:rFonts w:hint="eastAsia" w:ascii="宋体" w:hAnsi="宋体" w:cs="Arial"/>
          <w:color w:val="000000"/>
          <w:sz w:val="24"/>
        </w:rPr>
        <w:t>响应方提供了备份响应文件的，以备份响应文件作为依据，否则视为响应文件撤回。响应文件已按时解密的，备份响应文件自动失效。</w:t>
      </w:r>
    </w:p>
    <w:p>
      <w:pPr>
        <w:pStyle w:val="3"/>
        <w:spacing w:before="0" w:after="0" w:line="360" w:lineRule="auto"/>
        <w:ind w:firstLine="371" w:firstLineChars="132"/>
        <w:rPr>
          <w:sz w:val="28"/>
        </w:rPr>
      </w:pPr>
      <w:r>
        <w:rPr>
          <w:rFonts w:hint="eastAsia"/>
          <w:sz w:val="28"/>
        </w:rPr>
        <w:t>七、公告期限</w:t>
      </w:r>
    </w:p>
    <w:p>
      <w:pPr>
        <w:spacing w:line="360" w:lineRule="auto"/>
        <w:ind w:firstLine="480"/>
        <w:jc w:val="left"/>
        <w:rPr>
          <w:rFonts w:ascii="宋体" w:hAnsi="宋体" w:cs="Arial"/>
          <w:bCs/>
          <w:sz w:val="24"/>
        </w:rPr>
      </w:pPr>
      <w:r>
        <w:rPr>
          <w:rFonts w:hint="eastAsia" w:ascii="宋体" w:hAnsi="宋体" w:cs="Arial"/>
          <w:bCs/>
          <w:sz w:val="24"/>
        </w:rPr>
        <w:t>自本公告发布之日起5个工作日。</w:t>
      </w:r>
    </w:p>
    <w:p>
      <w:pPr>
        <w:pStyle w:val="3"/>
        <w:spacing w:before="0" w:after="0" w:line="360" w:lineRule="auto"/>
        <w:ind w:firstLine="371" w:firstLineChars="132"/>
        <w:rPr>
          <w:sz w:val="28"/>
        </w:rPr>
      </w:pPr>
      <w:r>
        <w:rPr>
          <w:rFonts w:hint="eastAsia"/>
          <w:sz w:val="28"/>
        </w:rPr>
        <w:t>八、其他</w:t>
      </w:r>
    </w:p>
    <w:p>
      <w:pPr>
        <w:spacing w:line="360" w:lineRule="auto"/>
        <w:ind w:firstLine="480"/>
        <w:jc w:val="left"/>
        <w:rPr>
          <w:rFonts w:ascii="宋体" w:hAnsi="宋体" w:cs="Arial"/>
          <w:bCs/>
          <w:sz w:val="24"/>
        </w:rPr>
      </w:pPr>
      <w:r>
        <w:rPr>
          <w:rFonts w:hint="eastAsia" w:ascii="宋体" w:hAnsi="宋体" w:cs="Arial"/>
          <w:bCs/>
          <w:sz w:val="24"/>
        </w:rPr>
        <w:t>1.供应商认为征集文件使自己的权益受到损害的，可以自收到征集文件之日或者征集公告期限届满之日（</w:t>
      </w:r>
      <w:r>
        <w:rPr>
          <w:rFonts w:ascii="宋体" w:hAnsi="宋体" w:cs="Arial"/>
          <w:bCs/>
          <w:sz w:val="24"/>
        </w:rPr>
        <w:t>公告期限届满后获取</w:t>
      </w:r>
      <w:r>
        <w:rPr>
          <w:rFonts w:hint="eastAsia" w:ascii="宋体" w:hAnsi="宋体" w:cs="Arial"/>
          <w:bCs/>
          <w:sz w:val="24"/>
        </w:rPr>
        <w:t>征集</w:t>
      </w:r>
      <w:r>
        <w:rPr>
          <w:rFonts w:ascii="宋体" w:hAnsi="宋体" w:cs="Arial"/>
          <w:bCs/>
          <w:sz w:val="24"/>
        </w:rPr>
        <w:t>文件的，以公告期限届满之日为准</w:t>
      </w:r>
      <w:r>
        <w:rPr>
          <w:rFonts w:hint="eastAsia" w:ascii="宋体" w:hAnsi="宋体" w:cs="Arial"/>
          <w:bCs/>
          <w:sz w:val="24"/>
        </w:rPr>
        <w:t>）起7个工作日内，</w:t>
      </w:r>
      <w:r>
        <w:rPr>
          <w:rFonts w:ascii="宋体" w:hAnsi="宋体" w:cs="Arial"/>
          <w:b/>
          <w:bCs/>
          <w:sz w:val="24"/>
        </w:rPr>
        <w:t>以书面形式向</w:t>
      </w:r>
      <w:r>
        <w:rPr>
          <w:rFonts w:hint="eastAsia" w:ascii="宋体" w:hAnsi="宋体" w:cs="Arial"/>
          <w:b/>
          <w:bCs/>
          <w:sz w:val="24"/>
        </w:rPr>
        <w:t>征集人</w:t>
      </w:r>
      <w:r>
        <w:rPr>
          <w:rFonts w:ascii="宋体" w:hAnsi="宋体" w:cs="Arial"/>
          <w:b/>
          <w:bCs/>
          <w:sz w:val="24"/>
        </w:rPr>
        <w:t>提出质疑，</w:t>
      </w:r>
      <w:r>
        <w:rPr>
          <w:rFonts w:hint="eastAsia" w:ascii="宋体" w:hAnsi="宋体" w:cs="Arial"/>
          <w:b/>
          <w:bCs/>
          <w:sz w:val="24"/>
        </w:rPr>
        <w:t>针对同一采购程序环节的质疑应一次性提出。</w:t>
      </w:r>
      <w:r>
        <w:rPr>
          <w:rFonts w:ascii="宋体" w:hAnsi="宋体" w:cs="Arial"/>
          <w:bCs/>
          <w:sz w:val="24"/>
        </w:rPr>
        <w:t>质疑供应商对</w:t>
      </w:r>
      <w:r>
        <w:rPr>
          <w:rFonts w:hint="eastAsia" w:ascii="宋体" w:hAnsi="宋体" w:cs="Arial"/>
          <w:bCs/>
          <w:sz w:val="24"/>
        </w:rPr>
        <w:t>征集人</w:t>
      </w:r>
      <w:r>
        <w:rPr>
          <w:rFonts w:ascii="宋体" w:hAnsi="宋体" w:cs="Arial"/>
          <w:bCs/>
          <w:sz w:val="24"/>
        </w:rPr>
        <w:t>的答复不满意或者</w:t>
      </w:r>
      <w:r>
        <w:rPr>
          <w:rFonts w:hint="eastAsia" w:ascii="宋体" w:hAnsi="宋体" w:cs="Arial"/>
          <w:bCs/>
          <w:sz w:val="24"/>
        </w:rPr>
        <w:t>征集人</w:t>
      </w:r>
      <w:r>
        <w:rPr>
          <w:rFonts w:ascii="宋体" w:hAnsi="宋体" w:cs="Arial"/>
          <w:bCs/>
          <w:sz w:val="24"/>
        </w:rPr>
        <w:t>未在规定的时间内作出答复的，可以在答复期满后十五个工作日内向同级政府采购监督管理部门投诉。质疑函范本、投诉书范本请到浙江政府采购网下载专区下载。</w:t>
      </w:r>
    </w:p>
    <w:p>
      <w:pPr>
        <w:spacing w:line="360" w:lineRule="auto"/>
        <w:ind w:firstLine="480"/>
        <w:jc w:val="left"/>
        <w:rPr>
          <w:rFonts w:ascii="宋体" w:hAnsi="宋体" w:cs="Arial"/>
          <w:bCs/>
          <w:sz w:val="24"/>
        </w:rPr>
      </w:pPr>
      <w:r>
        <w:rPr>
          <w:rFonts w:hint="eastAsia" w:ascii="宋体" w:hAnsi="宋体" w:cs="Arial"/>
          <w:bCs/>
          <w:sz w:val="24"/>
        </w:rPr>
        <w:t>2.响应人应在开标前完成CA数字证书办理以及驱动下载（办理流程详见浙江政府采购官网）。完成CA数字证书办理预计一周左右，建议各响应人抓紧时间办理。</w:t>
      </w:r>
    </w:p>
    <w:p>
      <w:pPr>
        <w:snapToGrid w:val="0"/>
        <w:spacing w:line="276" w:lineRule="auto"/>
        <w:ind w:firstLine="482" w:firstLineChars="200"/>
        <w:rPr>
          <w:rFonts w:ascii="仿宋_GB2312" w:hAnsi="仿宋" w:eastAsia="仿宋_GB2312" w:cs="仿宋_GB2312"/>
          <w:b/>
          <w:bCs/>
          <w:color w:val="FF0000"/>
          <w:sz w:val="28"/>
          <w:szCs w:val="28"/>
        </w:rPr>
      </w:pPr>
      <w:r>
        <w:rPr>
          <w:rFonts w:hint="eastAsia" w:ascii="宋体" w:hAnsi="宋体"/>
          <w:b/>
          <w:bCs/>
          <w:color w:val="000000"/>
          <w:sz w:val="24"/>
        </w:rPr>
        <w:t>CA问题联系电话（人工）：汇信CA 400-888-4636；天谷CA 400-087-8198。</w:t>
      </w:r>
    </w:p>
    <w:p>
      <w:pPr>
        <w:pStyle w:val="3"/>
        <w:spacing w:before="0" w:after="0" w:line="360" w:lineRule="auto"/>
        <w:ind w:firstLine="371" w:firstLineChars="132"/>
        <w:rPr>
          <w:sz w:val="28"/>
        </w:rPr>
      </w:pPr>
      <w:r>
        <w:rPr>
          <w:rFonts w:hint="eastAsia"/>
          <w:sz w:val="28"/>
        </w:rPr>
        <w:t>九、业务咨询</w:t>
      </w:r>
    </w:p>
    <w:p>
      <w:pPr>
        <w:spacing w:line="360" w:lineRule="auto"/>
        <w:ind w:firstLine="480"/>
        <w:jc w:val="left"/>
        <w:rPr>
          <w:rFonts w:ascii="宋体" w:hAnsi="宋体" w:eastAsia="宋体"/>
          <w:sz w:val="24"/>
          <w:szCs w:val="24"/>
        </w:rPr>
      </w:pPr>
      <w:r>
        <w:rPr>
          <w:rFonts w:hint="eastAsia" w:ascii="宋体" w:hAnsi="宋体" w:eastAsia="宋体"/>
          <w:sz w:val="24"/>
          <w:szCs w:val="24"/>
        </w:rPr>
        <w:t>1.征集人</w:t>
      </w:r>
    </w:p>
    <w:p>
      <w:pPr>
        <w:widowControl/>
        <w:adjustRightInd w:val="0"/>
        <w:snapToGrid w:val="0"/>
        <w:spacing w:line="276" w:lineRule="auto"/>
        <w:jc w:val="left"/>
        <w:rPr>
          <w:rFonts w:ascii="宋体" w:hAnsi="宋体"/>
          <w:color w:val="000000"/>
          <w:sz w:val="24"/>
          <w:szCs w:val="20"/>
        </w:rPr>
      </w:pPr>
      <w:r>
        <w:rPr>
          <w:rFonts w:hint="eastAsia" w:ascii="宋体" w:hAnsi="宋体"/>
          <w:color w:val="000000"/>
          <w:sz w:val="24"/>
          <w:szCs w:val="20"/>
        </w:rPr>
        <w:t xml:space="preserve">      </w:t>
      </w:r>
      <w:r>
        <w:rPr>
          <w:rFonts w:ascii="宋体" w:hAnsi="宋体"/>
          <w:color w:val="000000"/>
          <w:sz w:val="24"/>
          <w:szCs w:val="20"/>
        </w:rPr>
        <w:t>名    称：</w:t>
      </w:r>
      <w:r>
        <w:rPr>
          <w:rFonts w:hint="eastAsia" w:ascii="宋体" w:hAnsi="宋体"/>
          <w:color w:val="000000"/>
          <w:sz w:val="24"/>
          <w:szCs w:val="20"/>
        </w:rPr>
        <w:t>金华市公共资源交易中心浦江县分中心</w:t>
      </w:r>
    </w:p>
    <w:p>
      <w:pPr>
        <w:widowControl/>
        <w:adjustRightInd w:val="0"/>
        <w:snapToGrid w:val="0"/>
        <w:spacing w:line="276" w:lineRule="auto"/>
        <w:jc w:val="left"/>
        <w:rPr>
          <w:rFonts w:ascii="宋体" w:hAnsi="宋体"/>
          <w:color w:val="000000"/>
          <w:sz w:val="24"/>
          <w:szCs w:val="20"/>
        </w:rPr>
      </w:pPr>
      <w:r>
        <w:rPr>
          <w:rFonts w:ascii="宋体" w:hAnsi="宋体"/>
          <w:color w:val="000000"/>
          <w:sz w:val="24"/>
          <w:szCs w:val="20"/>
        </w:rPr>
        <w:t>    地    址：</w:t>
      </w:r>
      <w:r>
        <w:rPr>
          <w:rFonts w:hint="eastAsia" w:ascii="宋体" w:hAnsi="宋体"/>
          <w:color w:val="000000"/>
          <w:sz w:val="24"/>
          <w:szCs w:val="20"/>
        </w:rPr>
        <w:t>浦江县人民东路83号</w:t>
      </w:r>
      <w:r>
        <w:rPr>
          <w:rFonts w:ascii="宋体" w:hAnsi="宋体"/>
          <w:color w:val="000000"/>
          <w:sz w:val="24"/>
          <w:szCs w:val="20"/>
        </w:rPr>
        <w:t> </w:t>
      </w:r>
    </w:p>
    <w:p>
      <w:pPr>
        <w:widowControl/>
        <w:adjustRightInd w:val="0"/>
        <w:snapToGrid w:val="0"/>
        <w:spacing w:line="276" w:lineRule="auto"/>
        <w:jc w:val="left"/>
        <w:rPr>
          <w:rFonts w:ascii="宋体" w:hAnsi="宋体"/>
          <w:color w:val="000000"/>
          <w:sz w:val="24"/>
          <w:szCs w:val="20"/>
        </w:rPr>
      </w:pPr>
      <w:r>
        <w:rPr>
          <w:rFonts w:ascii="宋体" w:hAnsi="宋体"/>
          <w:color w:val="000000"/>
          <w:sz w:val="24"/>
          <w:szCs w:val="20"/>
        </w:rPr>
        <w:t>    项目联系人（询问）：</w:t>
      </w:r>
      <w:r>
        <w:rPr>
          <w:rFonts w:hint="eastAsia" w:ascii="宋体" w:hAnsi="宋体"/>
          <w:color w:val="000000"/>
          <w:sz w:val="24"/>
          <w:szCs w:val="20"/>
        </w:rPr>
        <w:t>陈婉珍</w:t>
      </w:r>
    </w:p>
    <w:p>
      <w:pPr>
        <w:widowControl/>
        <w:adjustRightInd w:val="0"/>
        <w:snapToGrid w:val="0"/>
        <w:spacing w:line="276" w:lineRule="auto"/>
        <w:jc w:val="left"/>
        <w:rPr>
          <w:rFonts w:ascii="宋体" w:hAnsi="宋体"/>
          <w:color w:val="000000"/>
          <w:sz w:val="24"/>
          <w:szCs w:val="20"/>
        </w:rPr>
      </w:pPr>
      <w:r>
        <w:rPr>
          <w:rFonts w:ascii="宋体" w:hAnsi="宋体"/>
          <w:color w:val="000000"/>
          <w:sz w:val="24"/>
          <w:szCs w:val="20"/>
        </w:rPr>
        <w:t>    项目联系方式（询问）：</w:t>
      </w:r>
      <w:r>
        <w:rPr>
          <w:rFonts w:hint="eastAsia" w:ascii="宋体" w:hAnsi="宋体"/>
          <w:color w:val="000000"/>
          <w:sz w:val="24"/>
          <w:szCs w:val="20"/>
        </w:rPr>
        <w:t>0579-88088931</w:t>
      </w:r>
    </w:p>
    <w:p>
      <w:pPr>
        <w:widowControl/>
        <w:adjustRightInd w:val="0"/>
        <w:snapToGrid w:val="0"/>
        <w:spacing w:line="276" w:lineRule="auto"/>
        <w:jc w:val="left"/>
        <w:rPr>
          <w:rFonts w:ascii="宋体" w:hAnsi="宋体"/>
          <w:color w:val="000000"/>
          <w:sz w:val="24"/>
          <w:szCs w:val="20"/>
        </w:rPr>
      </w:pPr>
      <w:r>
        <w:rPr>
          <w:rFonts w:ascii="宋体" w:hAnsi="宋体"/>
          <w:color w:val="000000"/>
          <w:sz w:val="24"/>
          <w:szCs w:val="20"/>
        </w:rPr>
        <w:t>    质疑联系人：</w:t>
      </w:r>
      <w:r>
        <w:rPr>
          <w:rFonts w:hint="eastAsia" w:ascii="宋体" w:hAnsi="宋体"/>
          <w:color w:val="000000"/>
          <w:sz w:val="24"/>
          <w:szCs w:val="20"/>
        </w:rPr>
        <w:t>马雪梅</w:t>
      </w:r>
    </w:p>
    <w:p>
      <w:pPr>
        <w:widowControl/>
        <w:adjustRightInd w:val="0"/>
        <w:snapToGrid w:val="0"/>
        <w:spacing w:line="276" w:lineRule="auto"/>
        <w:jc w:val="left"/>
        <w:rPr>
          <w:rFonts w:ascii="宋体" w:hAnsi="宋体"/>
          <w:color w:val="000000"/>
          <w:sz w:val="24"/>
          <w:szCs w:val="20"/>
        </w:rPr>
      </w:pPr>
      <w:r>
        <w:rPr>
          <w:rFonts w:ascii="宋体" w:hAnsi="宋体"/>
          <w:color w:val="000000"/>
          <w:sz w:val="24"/>
          <w:szCs w:val="20"/>
        </w:rPr>
        <w:t> </w:t>
      </w:r>
      <w:r>
        <w:rPr>
          <w:rFonts w:hint="eastAsia" w:ascii="宋体" w:hAnsi="宋体"/>
          <w:color w:val="000000"/>
          <w:sz w:val="24"/>
          <w:szCs w:val="20"/>
        </w:rPr>
        <w:t xml:space="preserve">    </w:t>
      </w:r>
      <w:r>
        <w:rPr>
          <w:rFonts w:ascii="宋体" w:hAnsi="宋体"/>
          <w:color w:val="000000"/>
          <w:sz w:val="24"/>
          <w:szCs w:val="20"/>
        </w:rPr>
        <w:t>质疑联系方式：</w:t>
      </w:r>
      <w:r>
        <w:rPr>
          <w:rFonts w:hint="eastAsia" w:ascii="宋体" w:hAnsi="宋体"/>
          <w:color w:val="000000"/>
          <w:sz w:val="24"/>
          <w:szCs w:val="20"/>
        </w:rPr>
        <w:t>0579-88088931</w:t>
      </w:r>
    </w:p>
    <w:p>
      <w:pPr>
        <w:spacing w:line="360" w:lineRule="auto"/>
        <w:ind w:firstLine="480"/>
        <w:jc w:val="left"/>
        <w:rPr>
          <w:rFonts w:ascii="宋体" w:hAnsi="宋体"/>
          <w:color w:val="000000"/>
          <w:sz w:val="24"/>
          <w:szCs w:val="20"/>
        </w:rPr>
      </w:pPr>
      <w:r>
        <w:rPr>
          <w:rFonts w:hint="eastAsia" w:ascii="宋体" w:hAnsi="宋体" w:eastAsia="宋体"/>
          <w:sz w:val="24"/>
          <w:szCs w:val="24"/>
        </w:rPr>
        <w:t>2.</w:t>
      </w:r>
      <w:r>
        <w:rPr>
          <w:rFonts w:ascii="宋体" w:hAnsi="宋体"/>
          <w:color w:val="000000"/>
          <w:sz w:val="24"/>
          <w:szCs w:val="20"/>
        </w:rPr>
        <w:t>同级政府采购监督管理部门：</w:t>
      </w:r>
    </w:p>
    <w:p>
      <w:pPr>
        <w:widowControl/>
        <w:adjustRightInd w:val="0"/>
        <w:snapToGrid w:val="0"/>
        <w:spacing w:line="276" w:lineRule="auto"/>
        <w:jc w:val="left"/>
        <w:rPr>
          <w:rFonts w:ascii="宋体" w:hAnsi="宋体"/>
          <w:color w:val="000000"/>
          <w:sz w:val="24"/>
          <w:szCs w:val="20"/>
        </w:rPr>
      </w:pPr>
      <w:r>
        <w:rPr>
          <w:rFonts w:hint="eastAsia" w:ascii="宋体" w:hAnsi="宋体"/>
          <w:color w:val="000000"/>
          <w:sz w:val="24"/>
          <w:szCs w:val="20"/>
        </w:rPr>
        <w:t xml:space="preserve">      </w:t>
      </w:r>
      <w:r>
        <w:rPr>
          <w:rFonts w:ascii="宋体" w:hAnsi="宋体"/>
          <w:color w:val="000000"/>
          <w:sz w:val="24"/>
          <w:szCs w:val="20"/>
        </w:rPr>
        <w:t>名    称：浦江县财政局政府采购监管科 </w:t>
      </w:r>
    </w:p>
    <w:p>
      <w:pPr>
        <w:widowControl/>
        <w:adjustRightInd w:val="0"/>
        <w:snapToGrid w:val="0"/>
        <w:spacing w:line="276" w:lineRule="auto"/>
        <w:jc w:val="left"/>
        <w:rPr>
          <w:rFonts w:ascii="宋体" w:hAnsi="宋体"/>
          <w:color w:val="000000"/>
          <w:sz w:val="24"/>
          <w:szCs w:val="20"/>
        </w:rPr>
      </w:pPr>
      <w:r>
        <w:rPr>
          <w:rFonts w:ascii="宋体" w:hAnsi="宋体"/>
          <w:color w:val="000000"/>
          <w:sz w:val="24"/>
          <w:szCs w:val="20"/>
        </w:rPr>
        <w:t>    地    址：</w:t>
      </w:r>
      <w:r>
        <w:rPr>
          <w:rFonts w:hint="eastAsia" w:ascii="宋体" w:hAnsi="宋体"/>
          <w:color w:val="000000"/>
          <w:sz w:val="24"/>
          <w:szCs w:val="20"/>
        </w:rPr>
        <w:t>浦江县人民东路83号</w:t>
      </w:r>
      <w:r>
        <w:rPr>
          <w:rFonts w:ascii="宋体" w:hAnsi="宋体"/>
          <w:color w:val="000000"/>
          <w:sz w:val="24"/>
          <w:szCs w:val="20"/>
        </w:rPr>
        <w:t> </w:t>
      </w:r>
    </w:p>
    <w:p>
      <w:pPr>
        <w:widowControl/>
        <w:adjustRightInd w:val="0"/>
        <w:snapToGrid w:val="0"/>
        <w:spacing w:line="276" w:lineRule="auto"/>
        <w:jc w:val="left"/>
        <w:rPr>
          <w:rFonts w:ascii="宋体" w:hAnsi="宋体"/>
          <w:color w:val="000000"/>
          <w:sz w:val="24"/>
          <w:szCs w:val="20"/>
        </w:rPr>
      </w:pPr>
      <w:r>
        <w:rPr>
          <w:rFonts w:ascii="宋体" w:hAnsi="宋体"/>
          <w:color w:val="000000"/>
          <w:sz w:val="24"/>
          <w:szCs w:val="20"/>
        </w:rPr>
        <w:t>    联</w:t>
      </w:r>
      <w:r>
        <w:rPr>
          <w:rFonts w:hint="eastAsia" w:ascii="宋体" w:hAnsi="宋体"/>
          <w:color w:val="000000"/>
          <w:sz w:val="24"/>
          <w:szCs w:val="20"/>
        </w:rPr>
        <w:t xml:space="preserve">  </w:t>
      </w:r>
      <w:r>
        <w:rPr>
          <w:rFonts w:ascii="宋体" w:hAnsi="宋体"/>
          <w:color w:val="000000"/>
          <w:sz w:val="24"/>
          <w:szCs w:val="20"/>
        </w:rPr>
        <w:t>系</w:t>
      </w:r>
      <w:r>
        <w:rPr>
          <w:rFonts w:hint="eastAsia" w:ascii="宋体" w:hAnsi="宋体"/>
          <w:color w:val="000000"/>
          <w:sz w:val="24"/>
          <w:szCs w:val="20"/>
        </w:rPr>
        <w:t xml:space="preserve">  </w:t>
      </w:r>
      <w:r>
        <w:rPr>
          <w:rFonts w:ascii="宋体" w:hAnsi="宋体"/>
          <w:color w:val="000000"/>
          <w:sz w:val="24"/>
          <w:szCs w:val="20"/>
        </w:rPr>
        <w:t>人 ：</w:t>
      </w:r>
      <w:r>
        <w:rPr>
          <w:rFonts w:hint="eastAsia" w:ascii="宋体" w:hAnsi="宋体"/>
          <w:color w:val="000000"/>
          <w:sz w:val="24"/>
          <w:szCs w:val="20"/>
        </w:rPr>
        <w:t>赵国兴</w:t>
      </w:r>
      <w:r>
        <w:rPr>
          <w:rFonts w:ascii="宋体" w:hAnsi="宋体"/>
          <w:color w:val="000000"/>
          <w:sz w:val="24"/>
          <w:szCs w:val="20"/>
        </w:rPr>
        <w:t> </w:t>
      </w:r>
    </w:p>
    <w:p>
      <w:pPr>
        <w:adjustRightInd w:val="0"/>
        <w:snapToGrid w:val="0"/>
        <w:spacing w:line="276" w:lineRule="auto"/>
        <w:ind w:firstLine="720" w:firstLineChars="300"/>
        <w:jc w:val="left"/>
        <w:rPr>
          <w:rFonts w:ascii="宋体" w:hAnsi="宋体"/>
          <w:color w:val="000000"/>
          <w:sz w:val="24"/>
          <w:szCs w:val="20"/>
        </w:rPr>
      </w:pPr>
      <w:r>
        <w:rPr>
          <w:rFonts w:ascii="宋体" w:hAnsi="宋体"/>
          <w:color w:val="000000"/>
          <w:sz w:val="24"/>
          <w:szCs w:val="20"/>
        </w:rPr>
        <w:t>监督投诉电话：0579-84123011</w:t>
      </w:r>
    </w:p>
    <w:p>
      <w:pPr>
        <w:spacing w:line="360" w:lineRule="auto"/>
        <w:ind w:firstLine="480"/>
        <w:jc w:val="left"/>
        <w:rPr>
          <w:rFonts w:ascii="宋体" w:hAnsi="宋体" w:eastAsia="宋体"/>
          <w:sz w:val="24"/>
          <w:szCs w:val="24"/>
        </w:rPr>
      </w:pPr>
      <w:r>
        <w:rPr>
          <w:rFonts w:hint="eastAsia" w:ascii="宋体" w:hAnsi="宋体" w:eastAsia="宋体"/>
          <w:sz w:val="24"/>
          <w:szCs w:val="24"/>
        </w:rPr>
        <w:t>3.系统技术支持：</w:t>
      </w:r>
    </w:p>
    <w:p>
      <w:pPr>
        <w:widowControl/>
        <w:adjustRightInd w:val="0"/>
        <w:snapToGrid w:val="0"/>
        <w:spacing w:line="276" w:lineRule="auto"/>
        <w:jc w:val="left"/>
        <w:rPr>
          <w:rFonts w:ascii="宋体" w:hAnsi="宋体"/>
          <w:color w:val="000000"/>
          <w:sz w:val="24"/>
          <w:szCs w:val="20"/>
        </w:rPr>
      </w:pPr>
      <w:r>
        <w:rPr>
          <w:rFonts w:hint="eastAsia" w:ascii="宋体" w:hAnsi="宋体"/>
          <w:color w:val="000000"/>
          <w:sz w:val="24"/>
          <w:szCs w:val="20"/>
        </w:rPr>
        <w:t xml:space="preserve">      </w:t>
      </w:r>
      <w:r>
        <w:rPr>
          <w:rFonts w:ascii="宋体" w:hAnsi="宋体"/>
          <w:color w:val="000000"/>
          <w:sz w:val="24"/>
          <w:szCs w:val="20"/>
        </w:rPr>
        <w:t>名    称：</w:t>
      </w:r>
      <w:r>
        <w:rPr>
          <w:rFonts w:hint="eastAsia" w:ascii="宋体" w:hAnsi="宋体"/>
          <w:color w:val="000000"/>
          <w:sz w:val="24"/>
          <w:szCs w:val="20"/>
        </w:rPr>
        <w:t>政采云有限公司</w:t>
      </w:r>
      <w:r>
        <w:rPr>
          <w:rFonts w:ascii="宋体" w:hAnsi="宋体"/>
          <w:color w:val="000000"/>
          <w:sz w:val="24"/>
          <w:szCs w:val="20"/>
        </w:rPr>
        <w:t> </w:t>
      </w:r>
    </w:p>
    <w:p>
      <w:pPr>
        <w:widowControl/>
        <w:adjustRightInd w:val="0"/>
        <w:snapToGrid w:val="0"/>
        <w:spacing w:line="276" w:lineRule="auto"/>
        <w:jc w:val="left"/>
        <w:rPr>
          <w:rFonts w:ascii="宋体" w:hAnsi="宋体"/>
          <w:color w:val="000000"/>
          <w:sz w:val="24"/>
          <w:szCs w:val="20"/>
        </w:rPr>
      </w:pPr>
      <w:r>
        <w:rPr>
          <w:rFonts w:ascii="宋体" w:hAnsi="宋体"/>
          <w:color w:val="000000"/>
          <w:sz w:val="24"/>
          <w:szCs w:val="20"/>
        </w:rPr>
        <w:t>   </w:t>
      </w:r>
      <w:r>
        <w:rPr>
          <w:rFonts w:hint="eastAsia" w:ascii="宋体" w:hAnsi="宋体"/>
          <w:color w:val="000000"/>
          <w:sz w:val="24"/>
          <w:szCs w:val="20"/>
        </w:rPr>
        <w:t xml:space="preserve"> </w:t>
      </w:r>
      <w:r>
        <w:rPr>
          <w:rFonts w:ascii="宋体" w:hAnsi="宋体"/>
          <w:color w:val="000000"/>
          <w:sz w:val="24"/>
          <w:szCs w:val="20"/>
        </w:rPr>
        <w:t>联</w:t>
      </w:r>
      <w:r>
        <w:rPr>
          <w:rFonts w:hint="eastAsia" w:ascii="宋体" w:hAnsi="宋体"/>
          <w:color w:val="000000"/>
          <w:sz w:val="24"/>
          <w:szCs w:val="20"/>
        </w:rPr>
        <w:t xml:space="preserve">  </w:t>
      </w:r>
      <w:r>
        <w:rPr>
          <w:rFonts w:ascii="宋体" w:hAnsi="宋体"/>
          <w:color w:val="000000"/>
          <w:sz w:val="24"/>
          <w:szCs w:val="20"/>
        </w:rPr>
        <w:t>系</w:t>
      </w:r>
      <w:r>
        <w:rPr>
          <w:rFonts w:hint="eastAsia" w:ascii="宋体" w:hAnsi="宋体"/>
          <w:color w:val="000000"/>
          <w:sz w:val="24"/>
          <w:szCs w:val="20"/>
        </w:rPr>
        <w:t xml:space="preserve">  </w:t>
      </w:r>
      <w:r>
        <w:rPr>
          <w:rFonts w:ascii="宋体" w:hAnsi="宋体"/>
          <w:color w:val="000000"/>
          <w:sz w:val="24"/>
          <w:szCs w:val="20"/>
        </w:rPr>
        <w:t>人 ：</w:t>
      </w:r>
      <w:r>
        <w:rPr>
          <w:rFonts w:hint="eastAsia" w:ascii="宋体" w:hAnsi="宋体"/>
          <w:color w:val="000000"/>
          <w:sz w:val="24"/>
          <w:szCs w:val="20"/>
        </w:rPr>
        <w:t>客服</w:t>
      </w:r>
      <w:r>
        <w:rPr>
          <w:rFonts w:ascii="宋体" w:hAnsi="宋体"/>
          <w:color w:val="000000"/>
          <w:sz w:val="24"/>
          <w:szCs w:val="20"/>
        </w:rPr>
        <w:t> </w:t>
      </w:r>
    </w:p>
    <w:p>
      <w:pPr>
        <w:adjustRightInd w:val="0"/>
        <w:snapToGrid w:val="0"/>
        <w:spacing w:line="276" w:lineRule="auto"/>
        <w:ind w:firstLine="720" w:firstLineChars="300"/>
        <w:jc w:val="left"/>
        <w:rPr>
          <w:rFonts w:ascii="宋体" w:hAnsi="宋体"/>
          <w:color w:val="000000"/>
          <w:sz w:val="24"/>
          <w:szCs w:val="20"/>
        </w:rPr>
      </w:pPr>
      <w:r>
        <w:rPr>
          <w:rFonts w:hint="eastAsia" w:ascii="宋体" w:hAnsi="宋体"/>
          <w:color w:val="000000"/>
          <w:sz w:val="24"/>
          <w:szCs w:val="20"/>
        </w:rPr>
        <w:t xml:space="preserve">联 系 </w:t>
      </w:r>
      <w:r>
        <w:rPr>
          <w:rFonts w:ascii="宋体" w:hAnsi="宋体"/>
          <w:color w:val="000000"/>
          <w:sz w:val="24"/>
          <w:szCs w:val="20"/>
        </w:rPr>
        <w:t>电</w:t>
      </w:r>
      <w:r>
        <w:rPr>
          <w:rFonts w:hint="eastAsia" w:ascii="宋体" w:hAnsi="宋体"/>
          <w:color w:val="000000"/>
          <w:sz w:val="24"/>
          <w:szCs w:val="20"/>
        </w:rPr>
        <w:t xml:space="preserve"> </w:t>
      </w:r>
      <w:r>
        <w:rPr>
          <w:rFonts w:ascii="宋体" w:hAnsi="宋体"/>
          <w:color w:val="000000"/>
          <w:sz w:val="24"/>
          <w:szCs w:val="20"/>
        </w:rPr>
        <w:t>话：</w:t>
      </w:r>
      <w:r>
        <w:rPr>
          <w:rFonts w:hint="eastAsia" w:ascii="宋体" w:hAnsi="宋体"/>
          <w:color w:val="000000"/>
          <w:sz w:val="24"/>
          <w:szCs w:val="20"/>
        </w:rPr>
        <w:t>95763</w:t>
      </w:r>
    </w:p>
    <w:p>
      <w:pPr>
        <w:spacing w:line="360" w:lineRule="auto"/>
        <w:ind w:firstLine="480"/>
        <w:jc w:val="left"/>
        <w:rPr>
          <w:rFonts w:ascii="宋体" w:hAnsi="宋体" w:eastAsia="宋体"/>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pPr>
        <w:pStyle w:val="2"/>
        <w:spacing w:before="160" w:after="160"/>
        <w:jc w:val="center"/>
      </w:pPr>
      <w:bookmarkStart w:id="1" w:name="_Toc157175690"/>
      <w:r>
        <w:rPr>
          <w:rFonts w:hint="eastAsia"/>
        </w:rPr>
        <w:t>第二章 采购需求</w:t>
      </w:r>
      <w:bookmarkEnd w:id="1"/>
    </w:p>
    <w:p>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rPr>
        <w:t xml:space="preserve">“▲” </w:t>
      </w:r>
      <w:r>
        <w:rPr>
          <w:rFonts w:hint="eastAsia" w:ascii="宋体" w:hAnsi="宋体" w:cs="Arial"/>
          <w:bCs/>
          <w:sz w:val="24"/>
        </w:rPr>
        <w:t>系指实质性要求条款，如响应方未响应，将被视为无效。“★”系产品采购项目中重要参数。</w:t>
      </w:r>
      <w:r>
        <w:rPr>
          <w:rFonts w:hint="eastAsia" w:ascii="宋体" w:hAnsi="宋体" w:eastAsia="宋体"/>
          <w:sz w:val="24"/>
          <w:szCs w:val="24"/>
        </w:rPr>
        <w:t>）</w:t>
      </w:r>
    </w:p>
    <w:p>
      <w:pPr>
        <w:pStyle w:val="3"/>
        <w:spacing w:before="0" w:after="0" w:line="360" w:lineRule="auto"/>
        <w:ind w:firstLine="424" w:firstLineChars="151"/>
        <w:rPr>
          <w:sz w:val="28"/>
        </w:rPr>
      </w:pPr>
      <w:bookmarkStart w:id="2" w:name="_Hlk121842464"/>
      <w:r>
        <w:rPr>
          <w:rFonts w:hint="eastAsia"/>
          <w:sz w:val="28"/>
        </w:rPr>
        <w:t>一、采购内容</w:t>
      </w:r>
    </w:p>
    <w:p>
      <w:pPr>
        <w:spacing w:line="560" w:lineRule="exact"/>
        <w:ind w:firstLine="480" w:firstLineChars="200"/>
        <w:rPr>
          <w:rFonts w:ascii="仿宋_GB2312" w:hAnsi="仿宋_GB2312" w:eastAsia="仿宋_GB2312" w:cs="仿宋_GB2312"/>
          <w:sz w:val="28"/>
          <w:szCs w:val="28"/>
        </w:rPr>
      </w:pPr>
      <w:r>
        <w:rPr>
          <w:rFonts w:hint="eastAsia" w:ascii="宋体" w:hAnsi="宋体" w:eastAsia="宋体"/>
          <w:sz w:val="24"/>
          <w:szCs w:val="24"/>
        </w:rPr>
        <w:t>预算绩效评价咨询服务，主要包括重大政策和项目事前绩效评估、监控和评价，绩效目标审核，部门整体绩效评价及其他预算绩效评价咨询服务事项。</w:t>
      </w:r>
    </w:p>
    <w:p>
      <w:pPr>
        <w:pStyle w:val="3"/>
        <w:spacing w:before="0" w:after="0" w:line="360" w:lineRule="auto"/>
        <w:ind w:firstLine="424" w:firstLineChars="151"/>
        <w:rPr>
          <w:sz w:val="28"/>
        </w:rPr>
      </w:pPr>
      <w:r>
        <w:rPr>
          <w:rFonts w:hint="eastAsia"/>
          <w:sz w:val="28"/>
        </w:rPr>
        <w:t>二、入围数量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根据评审结果，本次采购入围比例为有效响应方的80%（去尾法取整数），且2024-2026年度浦江县预算绩效评价咨询服务封闭式框架协议项目入围至多30家。</w:t>
      </w:r>
    </w:p>
    <w:p>
      <w:pPr>
        <w:pStyle w:val="3"/>
        <w:spacing w:before="0" w:after="0" w:line="360" w:lineRule="auto"/>
        <w:ind w:firstLine="424" w:firstLineChars="151"/>
        <w:rPr>
          <w:sz w:val="28"/>
        </w:rPr>
      </w:pPr>
      <w:r>
        <w:rPr>
          <w:rFonts w:hint="eastAsia"/>
          <w:sz w:val="28"/>
        </w:rPr>
        <w:t>三、服务期限</w:t>
      </w:r>
    </w:p>
    <w:p>
      <w:pPr>
        <w:spacing w:line="560" w:lineRule="exact"/>
        <w:ind w:firstLine="480" w:firstLineChars="200"/>
        <w:rPr>
          <w:rFonts w:ascii="宋体" w:hAnsi="宋体" w:eastAsia="宋体"/>
          <w:sz w:val="24"/>
          <w:szCs w:val="24"/>
        </w:rPr>
      </w:pPr>
      <w:r>
        <w:rPr>
          <w:rFonts w:hint="eastAsia" w:ascii="宋体" w:hAnsi="宋体" w:eastAsia="宋体"/>
          <w:sz w:val="24"/>
          <w:szCs w:val="24"/>
        </w:rPr>
        <w:t>服务期2年（2024年10月1日</w:t>
      </w:r>
      <w:r>
        <w:rPr>
          <w:rFonts w:ascii="宋体" w:hAnsi="宋体" w:eastAsia="宋体"/>
          <w:sz w:val="24"/>
          <w:szCs w:val="24"/>
        </w:rPr>
        <w:t>—</w:t>
      </w:r>
      <w:r>
        <w:rPr>
          <w:rFonts w:hint="eastAsia" w:ascii="宋体" w:hAnsi="宋体" w:eastAsia="宋体"/>
          <w:sz w:val="24"/>
          <w:szCs w:val="24"/>
        </w:rPr>
        <w:t>2026年9月30日）。</w:t>
      </w:r>
    </w:p>
    <w:p>
      <w:pPr>
        <w:pStyle w:val="3"/>
        <w:spacing w:before="0" w:after="0" w:line="360" w:lineRule="auto"/>
        <w:ind w:firstLine="424" w:firstLineChars="151"/>
        <w:rPr>
          <w:sz w:val="28"/>
        </w:rPr>
      </w:pPr>
      <w:r>
        <w:rPr>
          <w:rFonts w:hint="eastAsia"/>
          <w:sz w:val="28"/>
        </w:rPr>
        <w:t>四、服务要求</w:t>
      </w:r>
    </w:p>
    <w:p>
      <w:pPr>
        <w:widowControl/>
        <w:snapToGrid w:val="0"/>
        <w:spacing w:line="460" w:lineRule="exact"/>
        <w:ind w:firstLine="480" w:firstLineChars="200"/>
        <w:rPr>
          <w:rFonts w:ascii="宋体" w:hAnsi="宋体" w:eastAsia="宋体"/>
          <w:sz w:val="24"/>
          <w:szCs w:val="24"/>
        </w:rPr>
      </w:pPr>
      <w:r>
        <w:rPr>
          <w:rFonts w:hint="eastAsia" w:ascii="宋体" w:hAnsi="宋体" w:eastAsia="宋体"/>
          <w:sz w:val="24"/>
          <w:szCs w:val="24"/>
        </w:rPr>
        <w:t>（一）服务方案及服务要求</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1.自觉遵守有关规定，严格执行绩效评价服务、廉政纪律和职业道德，保守工程资料数据的秘密。</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2.严格按照采购人的有关规定和要求实施绩效评价等服务，接受采购人的指导、监督和管理，同时按采购人的质量和进度要求及时提供结果以及与服务事项相关的资料。按采购人规定的格式、要求起草有关文书和其他材料。</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3.不得将承接的业务对外转包，不得以任何借口违反独立绩效评价相关准则和质量控制准则，降低执业质量，并同意对承担相关业务的质量向社会公示。愿意接受相关部门对项目质量的审查考核。</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4.针对第二阶段每个项目须至少派出1名主评人员（注册会计师）和</w:t>
      </w:r>
      <w:r>
        <w:rPr>
          <w:rFonts w:ascii="宋体" w:hAnsi="宋体" w:eastAsia="宋体"/>
          <w:sz w:val="24"/>
          <w:szCs w:val="24"/>
        </w:rPr>
        <w:t>其他</w:t>
      </w:r>
      <w:r>
        <w:rPr>
          <w:rFonts w:hint="eastAsia" w:ascii="宋体" w:hAnsi="宋体" w:eastAsia="宋体"/>
          <w:sz w:val="24"/>
          <w:szCs w:val="24"/>
        </w:rPr>
        <w:t>助理</w:t>
      </w:r>
      <w:r>
        <w:rPr>
          <w:rFonts w:ascii="宋体" w:hAnsi="宋体" w:eastAsia="宋体"/>
          <w:sz w:val="24"/>
          <w:szCs w:val="24"/>
        </w:rPr>
        <w:t>人员</w:t>
      </w:r>
      <w:r>
        <w:rPr>
          <w:rFonts w:hint="eastAsia" w:ascii="宋体" w:hAnsi="宋体" w:eastAsia="宋体"/>
          <w:sz w:val="24"/>
          <w:szCs w:val="24"/>
        </w:rPr>
        <w:t>2名</w:t>
      </w:r>
      <w:r>
        <w:rPr>
          <w:rFonts w:ascii="宋体" w:hAnsi="宋体" w:eastAsia="宋体"/>
          <w:sz w:val="24"/>
          <w:szCs w:val="24"/>
        </w:rPr>
        <w:t>，</w:t>
      </w:r>
      <w:r>
        <w:rPr>
          <w:rFonts w:hint="eastAsia" w:ascii="宋体" w:hAnsi="宋体" w:eastAsia="宋体"/>
          <w:sz w:val="24"/>
          <w:szCs w:val="24"/>
        </w:rPr>
        <w:t>并指定1名工作人员作为项目联系人，负责联系该项目的一切相关事宜，</w:t>
      </w:r>
      <w:r>
        <w:rPr>
          <w:rFonts w:ascii="宋体" w:hAnsi="宋体" w:eastAsia="宋体"/>
          <w:sz w:val="24"/>
          <w:szCs w:val="24"/>
        </w:rPr>
        <w:t>其中</w:t>
      </w:r>
      <w:r>
        <w:rPr>
          <w:rFonts w:hint="eastAsia" w:ascii="宋体" w:hAnsi="宋体" w:eastAsia="宋体"/>
          <w:sz w:val="24"/>
          <w:szCs w:val="24"/>
        </w:rPr>
        <w:t>项目团队成员</w:t>
      </w:r>
      <w:r>
        <w:rPr>
          <w:rFonts w:ascii="宋体" w:hAnsi="宋体" w:eastAsia="宋体"/>
          <w:sz w:val="24"/>
          <w:szCs w:val="24"/>
        </w:rPr>
        <w:t>在评价过程中保持相对稳定。供应商不得自行更换派出人员。采购人有权根据工作需要和供应商派出人员工作情况，要求供应商更换或撤回不能胜任工作的派出人员。</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▲供应商需提供相应数量（不少于5名）的本单位执业注册会计师，须提供项目组人员清单，须提供注册会计师的执业证书扫描件，证书页须体现注册会计师执业所在单位与供应商一致。</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5.建立用户档案，开展跟踪服务。保证采购人获得优先服务的权利，根据采购人的通知及时签订预算绩效评价咨询服务合同。</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6.协助做好采购人经办人的廉政工作，不得以任何形式向采购人提供回扣。</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7.在预算绩效评价咨询服务工作完成后，服务人员应及时移交实施评价过程中所形成的全部纸质资料和电子资料。服务人员不得将其参与预算绩效评价工作获取的相关信息用于与所评价咨询事项无关的目的。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（二）其他要求：</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1.框架协议系统填报的商品格式统一为：公司名称加所投标项名称。</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2.框架协议系统填报的商品主图统一为：响应供应商公司logo或公司名称的图片。</w:t>
      </w:r>
    </w:p>
    <w:p>
      <w:pPr>
        <w:pStyle w:val="3"/>
        <w:spacing w:before="0" w:after="0" w:line="360" w:lineRule="auto"/>
        <w:ind w:firstLine="424" w:firstLineChars="151"/>
        <w:rPr>
          <w:sz w:val="28"/>
        </w:rPr>
      </w:pPr>
      <w:r>
        <w:rPr>
          <w:rFonts w:hint="eastAsia"/>
          <w:sz w:val="28"/>
        </w:rPr>
        <w:t>五、最高限价及支付方式</w:t>
      </w:r>
    </w:p>
    <w:bookmarkEnd w:id="2"/>
    <w:p>
      <w:pPr>
        <w:pStyle w:val="11"/>
        <w:rPr>
          <w:b w:val="0"/>
          <w:shd w:val="clear" w:color="auto" w:fill="auto"/>
        </w:rPr>
      </w:pPr>
      <w:r>
        <w:rPr>
          <w:rFonts w:hint="eastAsia"/>
          <w:b w:val="0"/>
          <w:shd w:val="clear" w:color="auto" w:fill="auto"/>
        </w:rPr>
        <w:t>1.▲最高限价：99%。</w:t>
      </w:r>
    </w:p>
    <w:p>
      <w:pPr>
        <w:pStyle w:val="11"/>
        <w:rPr>
          <w:b w:val="0"/>
          <w:shd w:val="clear" w:color="auto" w:fill="auto"/>
        </w:rPr>
      </w:pPr>
      <w:r>
        <w:rPr>
          <w:b w:val="0"/>
          <w:shd w:val="clear" w:color="auto" w:fill="auto"/>
        </w:rPr>
        <w:t>2.</w:t>
      </w:r>
      <w:r>
        <w:rPr>
          <w:rFonts w:hint="eastAsia"/>
          <w:b w:val="0"/>
          <w:shd w:val="clear" w:color="auto" w:fill="auto"/>
        </w:rPr>
        <w:t xml:space="preserve"> 绩效评价付费标准</w:t>
      </w:r>
    </w:p>
    <w:p>
      <w:pPr>
        <w:pStyle w:val="11"/>
        <w:rPr>
          <w:b w:val="0"/>
          <w:shd w:val="clear" w:color="auto" w:fill="auto"/>
        </w:rPr>
      </w:pPr>
      <w:bookmarkStart w:id="3" w:name="_Hlk120180665"/>
      <w:r>
        <w:rPr>
          <w:rFonts w:hint="eastAsia"/>
          <w:b w:val="0"/>
          <w:shd w:val="clear" w:color="auto" w:fill="auto"/>
        </w:rPr>
        <w:t>工作量法。即根据入围供应商实施评价工作的有效天数和人数，按照一定的标准计算评价费用。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43"/>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1"/>
              <w:ind w:firstLine="0" w:firstLineChars="0"/>
              <w:jc w:val="center"/>
              <w:rPr>
                <w:shd w:val="clear" w:color="auto" w:fill="auto"/>
              </w:rPr>
            </w:pPr>
            <w:r>
              <w:rPr>
                <w:rFonts w:hint="eastAsia"/>
                <w:shd w:val="clear" w:color="auto" w:fill="auto"/>
              </w:rPr>
              <w:t>序号</w:t>
            </w:r>
          </w:p>
        </w:tc>
        <w:tc>
          <w:tcPr>
            <w:tcW w:w="3443" w:type="dxa"/>
          </w:tcPr>
          <w:p>
            <w:pPr>
              <w:pStyle w:val="11"/>
              <w:ind w:firstLine="0" w:firstLineChars="0"/>
              <w:rPr>
                <w:shd w:val="clear" w:color="auto" w:fill="auto"/>
              </w:rPr>
            </w:pPr>
            <w:r>
              <w:rPr>
                <w:rFonts w:hint="eastAsia"/>
                <w:shd w:val="clear" w:color="auto" w:fill="auto"/>
              </w:rPr>
              <w:t>工作人员类别</w:t>
            </w:r>
          </w:p>
        </w:tc>
        <w:tc>
          <w:tcPr>
            <w:tcW w:w="2131" w:type="dxa"/>
          </w:tcPr>
          <w:p>
            <w:pPr>
              <w:pStyle w:val="11"/>
              <w:ind w:firstLine="0" w:firstLineChars="0"/>
              <w:jc w:val="center"/>
              <w:rPr>
                <w:shd w:val="clear" w:color="auto" w:fill="auto"/>
              </w:rPr>
            </w:pPr>
            <w:r>
              <w:rPr>
                <w:rFonts w:hint="eastAsia"/>
                <w:shd w:val="clear" w:color="auto" w:fill="auto"/>
              </w:rPr>
              <w:t>计费标准</w:t>
            </w:r>
          </w:p>
        </w:tc>
        <w:tc>
          <w:tcPr>
            <w:tcW w:w="2131" w:type="dxa"/>
          </w:tcPr>
          <w:p>
            <w:pPr>
              <w:pStyle w:val="11"/>
              <w:ind w:firstLine="0" w:firstLineChars="0"/>
              <w:rPr>
                <w:shd w:val="clear" w:color="auto" w:fill="auto"/>
              </w:rPr>
            </w:pPr>
            <w:r>
              <w:rPr>
                <w:rFonts w:hint="eastAsia"/>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1"/>
              <w:ind w:firstLine="0" w:firstLineChars="0"/>
              <w:jc w:val="center"/>
              <w:rPr>
                <w:shd w:val="clear" w:color="auto" w:fill="auto"/>
              </w:rPr>
            </w:pPr>
            <w:r>
              <w:rPr>
                <w:rFonts w:hint="eastAsia"/>
                <w:shd w:val="clear" w:color="auto" w:fill="auto"/>
              </w:rPr>
              <w:t>1</w:t>
            </w:r>
          </w:p>
        </w:tc>
        <w:tc>
          <w:tcPr>
            <w:tcW w:w="3443" w:type="dxa"/>
          </w:tcPr>
          <w:p>
            <w:pPr>
              <w:pStyle w:val="11"/>
              <w:ind w:firstLine="0" w:firstLineChars="0"/>
              <w:rPr>
                <w:shd w:val="clear" w:color="auto" w:fill="auto"/>
              </w:rPr>
            </w:pPr>
            <w:r>
              <w:rPr>
                <w:rFonts w:hint="eastAsia"/>
                <w:shd w:val="clear" w:color="auto" w:fill="auto"/>
              </w:rPr>
              <w:t>正高级技术职称专业人员</w:t>
            </w:r>
          </w:p>
        </w:tc>
        <w:tc>
          <w:tcPr>
            <w:tcW w:w="2131" w:type="dxa"/>
          </w:tcPr>
          <w:p>
            <w:pPr>
              <w:pStyle w:val="11"/>
              <w:ind w:firstLine="0" w:firstLineChars="0"/>
              <w:rPr>
                <w:shd w:val="clear" w:color="auto" w:fill="auto"/>
              </w:rPr>
            </w:pPr>
            <w:r>
              <w:rPr>
                <w:rFonts w:hint="eastAsia"/>
                <w:shd w:val="clear" w:color="auto" w:fill="auto"/>
              </w:rPr>
              <w:t>1600元/半天</w:t>
            </w:r>
          </w:p>
        </w:tc>
        <w:tc>
          <w:tcPr>
            <w:tcW w:w="2131" w:type="dxa"/>
          </w:tcPr>
          <w:p>
            <w:pPr>
              <w:pStyle w:val="11"/>
              <w:ind w:firstLine="0" w:firstLineChars="0"/>
              <w:rPr>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1"/>
              <w:ind w:firstLine="0" w:firstLineChars="0"/>
              <w:jc w:val="center"/>
              <w:rPr>
                <w:shd w:val="clear" w:color="auto" w:fill="auto"/>
              </w:rPr>
            </w:pPr>
            <w:r>
              <w:rPr>
                <w:rFonts w:hint="eastAsia"/>
                <w:shd w:val="clear" w:color="auto" w:fill="auto"/>
              </w:rPr>
              <w:t>2</w:t>
            </w:r>
          </w:p>
        </w:tc>
        <w:tc>
          <w:tcPr>
            <w:tcW w:w="3443" w:type="dxa"/>
          </w:tcPr>
          <w:p>
            <w:pPr>
              <w:pStyle w:val="11"/>
              <w:ind w:firstLine="0" w:firstLineChars="0"/>
              <w:rPr>
                <w:shd w:val="clear" w:color="auto" w:fill="auto"/>
              </w:rPr>
            </w:pPr>
            <w:r>
              <w:rPr>
                <w:rFonts w:hint="eastAsia"/>
                <w:shd w:val="clear" w:color="auto" w:fill="auto"/>
              </w:rPr>
              <w:t>注册会计师、副高级及以上技术职称专业人员</w:t>
            </w:r>
          </w:p>
        </w:tc>
        <w:tc>
          <w:tcPr>
            <w:tcW w:w="2131" w:type="dxa"/>
          </w:tcPr>
          <w:p>
            <w:pPr>
              <w:pStyle w:val="11"/>
              <w:ind w:firstLine="0" w:firstLineChars="0"/>
              <w:rPr>
                <w:shd w:val="clear" w:color="auto" w:fill="auto"/>
              </w:rPr>
            </w:pPr>
            <w:r>
              <w:rPr>
                <w:rFonts w:hint="eastAsia"/>
                <w:shd w:val="clear" w:color="auto" w:fill="auto"/>
              </w:rPr>
              <w:t>800元/半天</w:t>
            </w:r>
          </w:p>
        </w:tc>
        <w:tc>
          <w:tcPr>
            <w:tcW w:w="2131" w:type="dxa"/>
          </w:tcPr>
          <w:p>
            <w:pPr>
              <w:pStyle w:val="11"/>
              <w:ind w:firstLine="0" w:firstLineChars="0"/>
              <w:rPr>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11"/>
              <w:ind w:firstLine="0" w:firstLineChars="0"/>
              <w:jc w:val="center"/>
              <w:rPr>
                <w:shd w:val="clear" w:color="auto" w:fill="auto"/>
              </w:rPr>
            </w:pPr>
            <w:r>
              <w:rPr>
                <w:rFonts w:hint="eastAsia"/>
                <w:shd w:val="clear" w:color="auto" w:fill="auto"/>
              </w:rPr>
              <w:t>3</w:t>
            </w:r>
          </w:p>
        </w:tc>
        <w:tc>
          <w:tcPr>
            <w:tcW w:w="3443" w:type="dxa"/>
          </w:tcPr>
          <w:p>
            <w:pPr>
              <w:pStyle w:val="11"/>
              <w:ind w:firstLine="0" w:firstLineChars="0"/>
              <w:rPr>
                <w:shd w:val="clear" w:color="auto" w:fill="auto"/>
              </w:rPr>
            </w:pPr>
            <w:r>
              <w:rPr>
                <w:rFonts w:hint="eastAsia"/>
                <w:shd w:val="clear" w:color="auto" w:fill="auto"/>
              </w:rPr>
              <w:t>中级技术职称及以下专业人员</w:t>
            </w:r>
          </w:p>
        </w:tc>
        <w:tc>
          <w:tcPr>
            <w:tcW w:w="2131" w:type="dxa"/>
          </w:tcPr>
          <w:p>
            <w:pPr>
              <w:pStyle w:val="11"/>
              <w:ind w:firstLine="0" w:firstLineChars="0"/>
              <w:rPr>
                <w:shd w:val="clear" w:color="auto" w:fill="auto"/>
              </w:rPr>
            </w:pPr>
            <w:r>
              <w:rPr>
                <w:rFonts w:hint="eastAsia"/>
                <w:shd w:val="clear" w:color="auto" w:fill="auto"/>
              </w:rPr>
              <w:t>500元/半天</w:t>
            </w:r>
          </w:p>
        </w:tc>
        <w:tc>
          <w:tcPr>
            <w:tcW w:w="2131" w:type="dxa"/>
          </w:tcPr>
          <w:p>
            <w:pPr>
              <w:pStyle w:val="11"/>
              <w:ind w:firstLine="0" w:firstLineChars="0"/>
              <w:rPr>
                <w:shd w:val="clear" w:color="auto" w:fill="auto"/>
              </w:rPr>
            </w:pPr>
          </w:p>
        </w:tc>
      </w:tr>
    </w:tbl>
    <w:p>
      <w:pPr>
        <w:pStyle w:val="11"/>
        <w:rPr>
          <w:b w:val="0"/>
          <w:shd w:val="clear" w:color="auto" w:fill="auto"/>
        </w:rPr>
      </w:pPr>
      <w:r>
        <w:rPr>
          <w:rFonts w:hint="eastAsia"/>
          <w:b w:val="0"/>
          <w:shd w:val="clear" w:color="auto" w:fill="auto"/>
        </w:rPr>
        <w:t>需赴外地的，差旅费按政府机关出差标准据实计算，并按规定执行。</w:t>
      </w:r>
    </w:p>
    <w:bookmarkEnd w:id="3"/>
    <w:p>
      <w:pPr>
        <w:widowControl/>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以上收费标准为按工作量法的基准价，供应商在此基础上给予折扣。</w:t>
      </w:r>
    </w:p>
    <w:p>
      <w:pPr>
        <w:widowControl/>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注：（1）供应商应在基准价的基础上做出第一阶段响应报价，给予折扣率。响应供应商折扣率=第二阶段授予合同的最高价/基准价×100%，如实际价格为70元，基准价为100元，则折扣率为70%。采购人可以根据采购时服务费和折扣率，确定采购的最终价格。响应方的折扣率不得高于给予其他客户的折扣率以及日常对外公布的折扣率。</w:t>
      </w:r>
    </w:p>
    <w:p>
      <w:pPr>
        <w:widowControl/>
        <w:snapToGrid w:val="0"/>
        <w:spacing w:line="44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▲（2）折扣率所填数值（百分符号前面的数）须为</w:t>
      </w:r>
      <w:r>
        <w:rPr>
          <w:rFonts w:hint="eastAsia" w:ascii="宋体" w:hAnsi="Courier New" w:eastAsia="宋体" w:cs="Times New Roman"/>
          <w:b/>
          <w:sz w:val="24"/>
          <w:szCs w:val="24"/>
        </w:rPr>
        <w:t>大于0小于100的整数。</w:t>
      </w:r>
      <w:r>
        <w:rPr>
          <w:rFonts w:hint="eastAsia" w:ascii="宋体" w:hAnsi="Courier New" w:eastAsia="宋体" w:cs="Times New Roman"/>
          <w:sz w:val="24"/>
          <w:szCs w:val="24"/>
        </w:rPr>
        <w:t>如折扣率填62%、65%、70%有效，填62.5%、65.15%、0%、100%无效。</w:t>
      </w:r>
    </w:p>
    <w:p>
      <w:pPr>
        <w:widowControl/>
        <w:snapToGrid w:val="0"/>
        <w:spacing w:line="44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▲（3）供应商响应折扣率低于50%的，应当在报价响应文件中详细阐述不影响诚信履约的具体原因（仅类似以承诺性质的说明无效，具体以评审委员会认定为准）。</w:t>
      </w:r>
    </w:p>
    <w:p>
      <w:pPr>
        <w:widowControl/>
        <w:snapToGrid w:val="0"/>
        <w:spacing w:line="44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4）特别约定事项：征集文件和政采云报价系统中出现的优惠率、折扣率等表述都理解为折扣，投标报价用折扣百分比（“XX%”）表示，即如原价为100元，打折扣或优惠后的价格为70元，则在本项目的报价中理解为：折扣=折扣率=优惠率=70%，折扣百分比越小优惠越大。</w:t>
      </w:r>
    </w:p>
    <w:p>
      <w:pPr>
        <w:pStyle w:val="11"/>
        <w:rPr>
          <w:b w:val="0"/>
          <w:shd w:val="clear" w:color="auto" w:fill="auto"/>
        </w:rPr>
      </w:pPr>
      <w:r>
        <w:rPr>
          <w:rFonts w:hint="eastAsia"/>
          <w:b w:val="0"/>
          <w:shd w:val="clear" w:color="auto" w:fill="auto"/>
        </w:rPr>
        <w:t>3.合同价款及支付方式</w:t>
      </w:r>
    </w:p>
    <w:p>
      <w:pPr>
        <w:pStyle w:val="11"/>
        <w:rPr>
          <w:b w:val="0"/>
          <w:shd w:val="clear" w:color="auto" w:fill="auto"/>
        </w:rPr>
      </w:pPr>
      <w:r>
        <w:rPr>
          <w:rFonts w:hint="eastAsia"/>
          <w:b w:val="0"/>
          <w:shd w:val="clear" w:color="auto" w:fill="auto"/>
        </w:rPr>
        <w:t>（1）在第二阶段采购合同生效以及具备实施条件后7个工作日内按《浙江省财政厅关于进一步发挥政府采购政策功能全力推动经济稳进提质的通知》（浙财采监〔2022〕3号）规定支付项目预付款（要求预付金额不低于合同金额40%，不高于70%）。对供应商为大型企业的项目或者以人工投入为主且实行按月定期结算支付款项的项目，预付款可低于上述比例或者不约定预付款。在签订第二阶段采购合同时，供应商明确表示无需预付款或者主动要求降低预付款比例的，采购人可不适用前述规定。预付款的支付比例具体以第二阶段的采购合同签订为准。</w:t>
      </w:r>
    </w:p>
    <w:p>
      <w:pPr>
        <w:pStyle w:val="11"/>
        <w:rPr>
          <w:b w:val="0"/>
          <w:shd w:val="clear" w:color="auto" w:fill="auto"/>
        </w:rPr>
      </w:pPr>
      <w:r>
        <w:rPr>
          <w:rFonts w:hint="eastAsia"/>
          <w:b w:val="0"/>
          <w:shd w:val="clear" w:color="auto" w:fill="auto"/>
        </w:rPr>
        <w:t>（2）绩效评价和财政专项业务检查任务完成、验收合格并在收到发票后7个工作日内将资金支付到合同约定的供应商账户。</w:t>
      </w:r>
    </w:p>
    <w:p>
      <w:pPr>
        <w:pStyle w:val="11"/>
        <w:rPr>
          <w:b w:val="0"/>
          <w:shd w:val="clear" w:color="auto" w:fill="auto"/>
        </w:rPr>
      </w:pPr>
      <w:r>
        <w:rPr>
          <w:rFonts w:hint="eastAsia"/>
          <w:b w:val="0"/>
          <w:shd w:val="clear" w:color="auto" w:fill="auto"/>
        </w:rPr>
        <w:t>（3）协议期间内，相关规定调整的，按照调整后的规定执行。</w:t>
      </w:r>
    </w:p>
    <w:p>
      <w:pPr>
        <w:pStyle w:val="3"/>
        <w:spacing w:before="0" w:after="0" w:line="360" w:lineRule="auto"/>
        <w:ind w:firstLine="424" w:firstLineChars="151"/>
        <w:rPr>
          <w:sz w:val="28"/>
        </w:rPr>
      </w:pPr>
      <w:r>
        <w:rPr>
          <w:rFonts w:hint="eastAsia"/>
          <w:sz w:val="28"/>
        </w:rPr>
        <w:t>六、履约方式及程序</w:t>
      </w:r>
    </w:p>
    <w:p>
      <w:pPr>
        <w:spacing w:line="440" w:lineRule="exact"/>
        <w:ind w:firstLine="482" w:firstLineChars="200"/>
        <w:rPr>
          <w:rFonts w:ascii="宋体" w:hAnsi="Courier New" w:eastAsia="宋体" w:cs="Times New Roman"/>
          <w:sz w:val="24"/>
          <w:szCs w:val="24"/>
        </w:rPr>
      </w:pPr>
      <w:r>
        <w:rPr>
          <w:rFonts w:hint="eastAsia" w:ascii="宋体" w:hAnsi="Courier New" w:eastAsia="宋体" w:cs="Times New Roman"/>
          <w:b/>
          <w:sz w:val="24"/>
          <w:szCs w:val="24"/>
        </w:rPr>
        <w:t>1.协议签订</w:t>
      </w:r>
      <w:r>
        <w:rPr>
          <w:rFonts w:hint="eastAsia" w:ascii="宋体" w:hAnsi="Courier New" w:eastAsia="宋体" w:cs="Times New Roman"/>
          <w:sz w:val="24"/>
          <w:szCs w:val="24"/>
        </w:rPr>
        <w:t>：金华市公共资源交易中心浦江县分中心与入围供应商签订框架协议。</w:t>
      </w:r>
    </w:p>
    <w:p>
      <w:pPr>
        <w:spacing w:line="440" w:lineRule="exact"/>
        <w:ind w:firstLine="482" w:firstLineChars="200"/>
        <w:rPr>
          <w:rFonts w:ascii="宋体" w:hAnsi="Courier New" w:eastAsia="宋体" w:cs="Times New Roman"/>
          <w:sz w:val="24"/>
          <w:szCs w:val="24"/>
        </w:rPr>
      </w:pPr>
      <w:r>
        <w:rPr>
          <w:rFonts w:hint="eastAsia" w:ascii="宋体" w:hAnsi="Courier New" w:eastAsia="宋体" w:cs="Times New Roman"/>
          <w:b/>
          <w:sz w:val="24"/>
          <w:szCs w:val="24"/>
        </w:rPr>
        <w:t>2.成交供应商的确定</w:t>
      </w:r>
      <w:r>
        <w:rPr>
          <w:rFonts w:hint="eastAsia" w:ascii="宋体" w:hAnsi="Courier New" w:eastAsia="宋体" w:cs="Times New Roman"/>
          <w:sz w:val="24"/>
          <w:szCs w:val="24"/>
        </w:rPr>
        <w:t>：本次框架协议第二阶段成交供应商的确定方式为直接选定。采购人依据入围供应商报价、服务质量及便利性、用户评价等因素，从入围供应商中直接选定，并授予合同。入围供应商应在两个工作日内接受合同授予，无正当理由不得拒绝。</w:t>
      </w:r>
    </w:p>
    <w:p>
      <w:pPr>
        <w:spacing w:line="440" w:lineRule="exact"/>
        <w:ind w:firstLine="482" w:firstLineChars="200"/>
        <w:rPr>
          <w:rFonts w:ascii="宋体" w:hAnsi="Courier New" w:eastAsia="宋体" w:cs="Times New Roman"/>
          <w:color w:val="FF0000"/>
          <w:sz w:val="24"/>
          <w:szCs w:val="24"/>
        </w:rPr>
      </w:pPr>
      <w:r>
        <w:rPr>
          <w:rFonts w:hint="eastAsia" w:ascii="宋体" w:hAnsi="Courier New" w:eastAsia="宋体" w:cs="Times New Roman"/>
          <w:b/>
          <w:sz w:val="24"/>
          <w:szCs w:val="24"/>
        </w:rPr>
        <w:t>3.成交价格</w:t>
      </w:r>
      <w:r>
        <w:rPr>
          <w:rFonts w:hint="eastAsia" w:ascii="宋体" w:hAnsi="Courier New" w:eastAsia="宋体" w:cs="Times New Roman"/>
          <w:sz w:val="24"/>
          <w:szCs w:val="24"/>
        </w:rPr>
        <w:t>：入围供应商的响应报价是采购人确定第二阶段成交供应商的最高限价，采购人可以与成交供应商在限价范围内协商确定最终成交价格。</w:t>
      </w:r>
    </w:p>
    <w:p>
      <w:pPr>
        <w:pStyle w:val="3"/>
        <w:spacing w:before="0" w:after="0" w:line="360" w:lineRule="auto"/>
        <w:ind w:firstLine="424" w:firstLineChars="151"/>
        <w:rPr>
          <w:sz w:val="28"/>
        </w:rPr>
      </w:pPr>
      <w:r>
        <w:rPr>
          <w:rFonts w:hint="eastAsia"/>
          <w:sz w:val="28"/>
        </w:rPr>
        <w:t>七、入围供应商清退</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（一）本框架协议由征集人根据第二阶段采购人的反馈意见对入围供应商的履约情况进行管理，相关情况将在框架协议模块中公布。</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二）在协议履约过程中发现入围供应商有违反政府采购相关规定、未按照协议约定和承诺以及其他违法违规行为的，在业务主管部门的指导下征集人可视情对其作出约谈整改、暂停入围供应商接受框架协议合同资格，并向同级财政部门备案。</w:t>
      </w:r>
    </w:p>
    <w:p>
      <w:pPr>
        <w:snapToGrid w:val="0"/>
        <w:spacing w:line="460" w:lineRule="exact"/>
        <w:ind w:firstLine="480" w:firstLineChars="200"/>
        <w:rPr>
          <w:rFonts w:ascii="宋体" w:hAnsi="Courier New" w:eastAsia="宋体" w:cs="Times New Roman"/>
          <w:sz w:val="24"/>
          <w:szCs w:val="24"/>
        </w:rPr>
      </w:pPr>
      <w:bookmarkStart w:id="4" w:name="_Hlk121903458"/>
      <w:r>
        <w:rPr>
          <w:rFonts w:hint="eastAsia" w:ascii="宋体" w:hAnsi="Courier New" w:eastAsia="宋体" w:cs="Times New Roman"/>
          <w:sz w:val="24"/>
          <w:szCs w:val="24"/>
        </w:rPr>
        <w:t>（三）入围供应商有下列情形之一，尚未签订框架协议的，取消其入围资格；已经签订框架协议的，解除与其签订的框架协议：</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1.恶意串通谋取入围或者合同成交的；</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2.提供虚假材料谋取入围或者合同成交的；</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3.无正当理由拒不接受合同授予的；</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4.不履行合同义务或者履行合同义务不符合约定，经采购人请求履行后仍不履行或者仍未按约定履行的；</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5.框架协议有效期内，因违法行为被禁止或限制参加政府采购活动的；</w:t>
      </w:r>
    </w:p>
    <w:p>
      <w:pPr>
        <w:snapToGrid w:val="0"/>
        <w:spacing w:line="460" w:lineRule="exact"/>
        <w:ind w:firstLine="480" w:firstLineChars="200"/>
        <w:rPr>
          <w:rFonts w:ascii="宋体" w:hAnsi="Courier New" w:eastAsia="宋体" w:cs="Times New Roman"/>
          <w:sz w:val="24"/>
          <w:szCs w:val="24"/>
        </w:rPr>
      </w:pPr>
      <w:r>
        <w:rPr>
          <w:rFonts w:ascii="宋体" w:hAnsi="Courier New" w:eastAsia="宋体" w:cs="Times New Roman"/>
          <w:sz w:val="24"/>
          <w:szCs w:val="24"/>
        </w:rPr>
        <w:t>6</w:t>
      </w:r>
      <w:r>
        <w:rPr>
          <w:rFonts w:hint="eastAsia" w:ascii="宋体" w:hAnsi="Courier New" w:eastAsia="宋体" w:cs="Times New Roman"/>
          <w:sz w:val="24"/>
          <w:szCs w:val="24"/>
        </w:rPr>
        <w:t>.框架协议约定的其他情形。</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入围供应商有上述1、2、3情形之一，以及无正当理由放弃本框架协议入围资格或者退出本框架协议的，由征集人移送财政部门依照政府采购法等有关法律、行政法规追究法律责任。</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（四）入围供应商无正当理由拒不与征集人签订框架协议的，取消其入围资格。</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（五）入围供应商如发生实质性变动（营业执照注销、不再符合本项目资格条件等）的，尚未签订框架协议的，取消其入围资格；已经签订框架协议的，解除与其签订的框架协议。</w:t>
      </w:r>
    </w:p>
    <w:bookmarkEnd w:id="4"/>
    <w:p>
      <w:pPr>
        <w:widowControl/>
        <w:snapToGrid w:val="0"/>
        <w:spacing w:line="44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（六）被取消入围资格或者被解除框架协议的供应商不得参加本框架协议的补充征集。</w:t>
      </w:r>
    </w:p>
    <w:p>
      <w:pPr>
        <w:pStyle w:val="3"/>
        <w:spacing w:before="0" w:after="0" w:line="360" w:lineRule="auto"/>
        <w:ind w:firstLine="424" w:firstLineChars="151"/>
        <w:rPr>
          <w:sz w:val="28"/>
        </w:rPr>
      </w:pPr>
      <w:r>
        <w:rPr>
          <w:rFonts w:hint="eastAsia"/>
          <w:sz w:val="28"/>
        </w:rPr>
        <w:t>八、入围供应商补充规则</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框架协议有效期内如出现剩余入围供应商不足入围供应商总数70%且影响框架协议执行的情形，征集人将启动补充征集工作。</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1.补充征集的条件、程序、评审方法和淘汰比例与初次征集相同。</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2.补充征集遵守原框架协议的有效期。</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3.补充征集期间，原框架协议继续履行。</w:t>
      </w:r>
    </w:p>
    <w:p>
      <w:pPr>
        <w:snapToGrid w:val="0"/>
        <w:spacing w:line="460" w:lineRule="exact"/>
        <w:ind w:firstLine="482" w:firstLineChars="200"/>
        <w:rPr>
          <w:rFonts w:ascii="仿宋_GB2312" w:hAnsi="仿宋_GB2312" w:eastAsia="仿宋_GB2312" w:cs="仿宋_GB2312"/>
          <w:b/>
          <w:sz w:val="28"/>
          <w:szCs w:val="28"/>
        </w:rPr>
      </w:pPr>
      <w:r>
        <w:rPr>
          <w:rFonts w:hint="eastAsia" w:ascii="宋体" w:hAnsi="Courier New" w:eastAsia="宋体" w:cs="Times New Roman"/>
          <w:b/>
          <w:sz w:val="24"/>
          <w:szCs w:val="24"/>
        </w:rPr>
        <w:t>被取消入围资格、被解除框架协议的供应商或者无正当理由放弃本框架协议入围资格或者无正当理由退出本框架协议不得参加本框架协议的补充征集。</w:t>
      </w:r>
    </w:p>
    <w:p>
      <w:pPr>
        <w:pStyle w:val="3"/>
        <w:spacing w:before="0" w:after="0" w:line="360" w:lineRule="auto"/>
        <w:ind w:firstLine="424" w:firstLineChars="151"/>
        <w:rPr>
          <w:sz w:val="28"/>
        </w:rPr>
      </w:pPr>
      <w:r>
        <w:rPr>
          <w:rFonts w:hint="eastAsia"/>
          <w:sz w:val="28"/>
        </w:rPr>
        <w:t>九、其他事项</w:t>
      </w:r>
    </w:p>
    <w:p>
      <w:pPr>
        <w:spacing w:line="44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（一）供应商通过框架协议模块参与框架协议，相关系统操作详见浙江政府采购网（http://zfcg.czt.zj.gov.cn/）“网上办事指南”模块下载操作手册。</w:t>
      </w:r>
    </w:p>
    <w:p>
      <w:pPr>
        <w:adjustRightInd w:val="0"/>
        <w:snapToGrid w:val="0"/>
        <w:spacing w:line="44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二）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pPr>
        <w:spacing w:line="360" w:lineRule="auto"/>
        <w:ind w:firstLine="420" w:firstLineChars="200"/>
        <w:rPr>
          <w:rFonts w:ascii="宋体" w:hAnsi="宋体" w:cs="宋体"/>
        </w:rPr>
      </w:pPr>
    </w:p>
    <w:p>
      <w:pPr>
        <w:adjustRightInd w:val="0"/>
        <w:snapToGrid w:val="0"/>
        <w:spacing w:line="440" w:lineRule="exact"/>
        <w:ind w:firstLine="480" w:firstLineChars="200"/>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pPr>
        <w:pStyle w:val="2"/>
        <w:spacing w:before="160" w:after="160"/>
        <w:jc w:val="center"/>
      </w:pPr>
      <w:bookmarkStart w:id="5" w:name="_Toc157175691"/>
      <w:r>
        <w:rPr>
          <w:rFonts w:hint="eastAsia"/>
        </w:rPr>
        <w:t>第三章 响应方须知</w:t>
      </w:r>
      <w:bookmarkEnd w:id="5"/>
    </w:p>
    <w:p>
      <w:pPr>
        <w:pStyle w:val="3"/>
        <w:spacing w:before="0" w:after="0" w:line="360" w:lineRule="auto"/>
        <w:ind w:firstLine="371" w:firstLineChars="132"/>
        <w:jc w:val="center"/>
        <w:rPr>
          <w:sz w:val="28"/>
        </w:rPr>
      </w:pPr>
      <w:r>
        <w:rPr>
          <w:rFonts w:hint="eastAsia"/>
          <w:sz w:val="28"/>
        </w:rPr>
        <w:t>前 附 表</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53"/>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1353" w:type="dxa"/>
          </w:tcPr>
          <w:p>
            <w:pPr>
              <w:spacing w:line="360" w:lineRule="auto"/>
              <w:jc w:val="center"/>
              <w:rPr>
                <w:rFonts w:ascii="宋体" w:hAnsi="宋体" w:eastAsia="宋体"/>
                <w:sz w:val="24"/>
                <w:szCs w:val="24"/>
              </w:rPr>
            </w:pPr>
            <w:r>
              <w:rPr>
                <w:rFonts w:hint="eastAsia" w:ascii="宋体" w:hAnsi="宋体" w:eastAsia="宋体"/>
                <w:sz w:val="24"/>
                <w:szCs w:val="24"/>
              </w:rPr>
              <w:t>内容</w:t>
            </w:r>
          </w:p>
        </w:tc>
        <w:tc>
          <w:tcPr>
            <w:tcW w:w="7479" w:type="dxa"/>
          </w:tcPr>
          <w:p>
            <w:pPr>
              <w:spacing w:line="360" w:lineRule="auto"/>
              <w:jc w:val="center"/>
              <w:rPr>
                <w:rFonts w:ascii="宋体" w:hAnsi="宋体" w:eastAsia="宋体"/>
                <w:sz w:val="24"/>
                <w:szCs w:val="24"/>
              </w:rPr>
            </w:pPr>
            <w:r>
              <w:rPr>
                <w:rFonts w:hint="eastAsia" w:ascii="宋体" w:hAnsi="宋体" w:eastAsia="宋体"/>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w:t>
            </w:r>
          </w:p>
        </w:tc>
        <w:tc>
          <w:tcPr>
            <w:tcW w:w="1353" w:type="dxa"/>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项目名称及采购数量</w:t>
            </w:r>
          </w:p>
        </w:tc>
        <w:tc>
          <w:tcPr>
            <w:tcW w:w="7479" w:type="dxa"/>
            <w:vAlign w:val="center"/>
          </w:tcPr>
          <w:p>
            <w:pPr>
              <w:spacing w:line="440" w:lineRule="exact"/>
              <w:rPr>
                <w:rFonts w:ascii="宋体" w:hAnsi="宋体" w:eastAsia="宋体"/>
                <w:sz w:val="24"/>
                <w:szCs w:val="24"/>
              </w:rPr>
            </w:pPr>
            <w:r>
              <w:rPr>
                <w:rFonts w:hint="eastAsia" w:ascii="宋体" w:hAnsi="宋体" w:eastAsia="宋体"/>
                <w:sz w:val="24"/>
                <w:szCs w:val="24"/>
              </w:rPr>
              <w:t>详见《第一章 征集公告》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2</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信用记录</w:t>
            </w:r>
          </w:p>
        </w:tc>
        <w:tc>
          <w:tcPr>
            <w:tcW w:w="7479" w:type="dxa"/>
          </w:tcPr>
          <w:p>
            <w:pPr>
              <w:spacing w:line="440" w:lineRule="exact"/>
              <w:jc w:val="left"/>
              <w:rPr>
                <w:rFonts w:ascii="宋体" w:hAnsi="宋体"/>
                <w:color w:val="000000"/>
                <w:sz w:val="24"/>
                <w:szCs w:val="24"/>
              </w:rPr>
            </w:pPr>
            <w:r>
              <w:rPr>
                <w:rFonts w:hint="eastAsia" w:ascii="宋体" w:hAnsi="宋体"/>
                <w:color w:val="000000"/>
                <w:sz w:val="24"/>
                <w:szCs w:val="24"/>
              </w:rPr>
              <w:t>根据财库[2016]125号的规定：</w:t>
            </w:r>
            <w:r>
              <w:rPr>
                <w:rFonts w:hint="eastAsia" w:ascii="宋体" w:hAnsi="宋体"/>
                <w:color w:val="000000"/>
                <w:sz w:val="24"/>
                <w:szCs w:val="24"/>
              </w:rPr>
              <w:br w:type="textWrapping"/>
            </w:r>
            <w:r>
              <w:rPr>
                <w:rFonts w:hint="eastAsia" w:ascii="宋体" w:hAnsi="宋体" w:eastAsia="宋体"/>
                <w:color w:val="000000"/>
                <w:sz w:val="24"/>
                <w:szCs w:val="24"/>
              </w:rPr>
              <w:t>⑴</w:t>
            </w:r>
            <w:r>
              <w:rPr>
                <w:rFonts w:hint="eastAsia" w:ascii="宋体" w:hAnsi="宋体"/>
                <w:color w:val="000000"/>
                <w:sz w:val="24"/>
                <w:szCs w:val="24"/>
              </w:rPr>
              <w:t>征集人将对本项目响应供应商的信用记录进行查询。查询渠道为信用中国网站（www.creditchina.gov.cn）、中国政府采购网（www.ccgp.gov.cn）；</w:t>
            </w:r>
            <w:r>
              <w:rPr>
                <w:rFonts w:hint="eastAsia" w:ascii="宋体" w:hAnsi="宋体"/>
                <w:color w:val="000000"/>
                <w:sz w:val="24"/>
                <w:szCs w:val="24"/>
              </w:rPr>
              <w:br w:type="textWrapping"/>
            </w:r>
            <w:r>
              <w:rPr>
                <w:rFonts w:hint="eastAsia" w:ascii="宋体" w:hAnsi="宋体"/>
                <w:color w:val="000000"/>
                <w:sz w:val="24"/>
                <w:szCs w:val="24"/>
              </w:rPr>
              <w:t>⑵截止时点：提交响应文件截止时间前3年内；</w:t>
            </w:r>
          </w:p>
          <w:p>
            <w:pPr>
              <w:spacing w:line="440" w:lineRule="exact"/>
              <w:jc w:val="left"/>
              <w:rPr>
                <w:rFonts w:ascii="宋体" w:hAnsi="宋体" w:eastAsia="宋体"/>
                <w:sz w:val="24"/>
                <w:szCs w:val="24"/>
              </w:rPr>
            </w:pPr>
            <w:r>
              <w:rPr>
                <w:rFonts w:hint="eastAsia" w:ascii="宋体" w:hAnsi="宋体"/>
                <w:color w:val="000000"/>
                <w:sz w:val="24"/>
                <w:szCs w:val="24"/>
              </w:rPr>
              <w:t>⑶查询记录和证据的留存：信用信息查询记录和证据以网页截图等方式留存。</w:t>
            </w:r>
            <w:r>
              <w:rPr>
                <w:rFonts w:hint="eastAsia" w:ascii="宋体" w:hAnsi="宋体"/>
                <w:color w:val="000000"/>
                <w:sz w:val="24"/>
                <w:szCs w:val="24"/>
              </w:rPr>
              <w:br w:type="textWrapping"/>
            </w:r>
            <w:r>
              <w:rPr>
                <w:rFonts w:hint="eastAsia" w:ascii="宋体" w:hAnsi="宋体"/>
                <w:color w:val="000000"/>
                <w:sz w:val="24"/>
                <w:szCs w:val="24"/>
              </w:rPr>
              <w:t>⑷使用规则：被列入失信被执行人、重大税收违法案件当事人名单、政府采购严重违法失信行为记录名单及其他不符合《中华人民共和国政府采购法》第二十二条规定条件的，其响应将作无效处理。</w:t>
            </w:r>
            <w:r>
              <w:rPr>
                <w:rFonts w:hint="eastAsia" w:ascii="宋体" w:hAnsi="宋体"/>
                <w:color w:val="000000"/>
                <w:sz w:val="24"/>
                <w:szCs w:val="24"/>
              </w:rPr>
              <w:br w:type="textWrapping"/>
            </w:r>
            <w:r>
              <w:rPr>
                <w:rFonts w:hint="eastAsia" w:ascii="宋体" w:hAnsi="宋体"/>
                <w:color w:val="000000"/>
                <w:sz w:val="24"/>
                <w:szCs w:val="24"/>
              </w:rPr>
              <w:t>⑸联合体成员任意一方存在不良信用记录的，视同联合体存在不良信用记录。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3</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▲响应费用</w:t>
            </w:r>
          </w:p>
        </w:tc>
        <w:tc>
          <w:tcPr>
            <w:tcW w:w="7479" w:type="dxa"/>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1.不论征集结果如何，响应供应商均应自行承担所有与响应有关的全部费用。</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2.响应供应商在响应、合同履行过程中必须做好安全保障工作，不因项目实施而危及自身及第三方人员、财产安全。若发生任何安全事故，由响应供应商自行承担一切责任并赔偿损失。</w:t>
            </w:r>
          </w:p>
          <w:p>
            <w:pPr>
              <w:spacing w:line="360" w:lineRule="auto"/>
              <w:jc w:val="left"/>
              <w:rPr>
                <w:rFonts w:ascii="宋体" w:hAnsi="宋体" w:eastAsia="宋体"/>
                <w:sz w:val="24"/>
                <w:szCs w:val="24"/>
              </w:rPr>
            </w:pPr>
            <w:r>
              <w:rPr>
                <w:rFonts w:hint="eastAsia" w:asciiTheme="minorEastAsia" w:hAnsiTheme="minorEastAsia" w:cstheme="minorEastAsia"/>
                <w:sz w:val="24"/>
                <w:szCs w:val="24"/>
              </w:rPr>
              <w:t>3.本项目免收代理服务费。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4</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保证金</w:t>
            </w:r>
          </w:p>
        </w:tc>
        <w:tc>
          <w:tcPr>
            <w:tcW w:w="7479" w:type="dxa"/>
          </w:tcPr>
          <w:p>
            <w:pPr>
              <w:spacing w:line="440" w:lineRule="exact"/>
              <w:jc w:val="left"/>
              <w:rPr>
                <w:rFonts w:ascii="宋体" w:hAnsi="宋体" w:eastAsia="宋体"/>
                <w:sz w:val="24"/>
                <w:szCs w:val="24"/>
              </w:rPr>
            </w:pPr>
            <w:r>
              <w:rPr>
                <w:rFonts w:hint="eastAsia" w:ascii="宋体" w:hAnsi="宋体" w:eastAsia="宋体"/>
                <w:color w:val="000000"/>
                <w:sz w:val="24"/>
                <w:szCs w:val="24"/>
              </w:rPr>
              <w:t>⑴</w:t>
            </w:r>
            <w:r>
              <w:rPr>
                <w:rFonts w:hint="eastAsia" w:ascii="宋体" w:hAnsi="宋体" w:eastAsia="宋体"/>
                <w:sz w:val="24"/>
                <w:szCs w:val="24"/>
              </w:rPr>
              <w:t>响应保证金：本项目不收取响应保证金。</w:t>
            </w:r>
          </w:p>
          <w:p>
            <w:pPr>
              <w:spacing w:line="440" w:lineRule="exact"/>
              <w:jc w:val="left"/>
              <w:rPr>
                <w:rFonts w:ascii="宋体" w:hAnsi="宋体" w:eastAsia="宋体"/>
                <w:sz w:val="24"/>
                <w:szCs w:val="24"/>
              </w:rPr>
            </w:pPr>
            <w:r>
              <w:rPr>
                <w:rFonts w:hint="eastAsia" w:ascii="宋体" w:hAnsi="宋体"/>
                <w:color w:val="000000"/>
                <w:sz w:val="24"/>
                <w:szCs w:val="24"/>
              </w:rPr>
              <w:t>⑵</w:t>
            </w:r>
            <w:r>
              <w:rPr>
                <w:rFonts w:hint="eastAsia" w:ascii="宋体" w:hAnsi="宋体" w:eastAsia="宋体"/>
                <w:sz w:val="24"/>
                <w:szCs w:val="24"/>
              </w:rPr>
              <w:t>履约保证金：框架协议无需缴纳履约保证金。第二阶段合同签订时，采购人按《中华人民共和国政府采购法实施条例》有关规定自行收取项目履约保证金。采购人要求成交供应商提交履约保证金的，供应商应当以支票、汇票、本票或者金融机构、担保机构出具的保函等非现金形式提交。履约保证金的数额不得超过政府采购合同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5</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响应文件组成</w:t>
            </w:r>
          </w:p>
        </w:tc>
        <w:tc>
          <w:tcPr>
            <w:tcW w:w="7479" w:type="dxa"/>
          </w:tcPr>
          <w:p>
            <w:pPr>
              <w:spacing w:line="440" w:lineRule="exact"/>
              <w:jc w:val="left"/>
              <w:rPr>
                <w:rFonts w:ascii="宋体" w:hAnsi="宋体" w:eastAsia="宋体"/>
                <w:sz w:val="24"/>
                <w:szCs w:val="24"/>
              </w:rPr>
            </w:pPr>
            <w:r>
              <w:rPr>
                <w:rFonts w:hint="eastAsia" w:ascii="宋体" w:hAnsi="宋体" w:eastAsia="宋体"/>
                <w:sz w:val="24"/>
                <w:szCs w:val="24"/>
              </w:rPr>
              <w:t>由资格响应文件、技术商务文件和报价文件组成。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6</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政府采购政策要求及措施</w:t>
            </w:r>
          </w:p>
        </w:tc>
        <w:tc>
          <w:tcPr>
            <w:tcW w:w="7479" w:type="dxa"/>
            <w:vAlign w:val="center"/>
          </w:tcPr>
          <w:p>
            <w:pPr>
              <w:adjustRightInd w:val="0"/>
              <w:snapToGrid w:val="0"/>
              <w:spacing w:line="440" w:lineRule="exact"/>
              <w:ind w:firstLine="482" w:firstLineChars="200"/>
              <w:jc w:val="left"/>
              <w:rPr>
                <w:rFonts w:ascii="宋体" w:hAnsi="宋体" w:eastAsia="宋体"/>
                <w:b/>
                <w:sz w:val="24"/>
                <w:szCs w:val="24"/>
              </w:rPr>
            </w:pPr>
            <w:r>
              <w:rPr>
                <w:rFonts w:hint="eastAsia" w:ascii="宋体" w:hAnsi="宋体" w:eastAsia="宋体"/>
                <w:b/>
                <w:sz w:val="24"/>
                <w:szCs w:val="24"/>
              </w:rPr>
              <w:t>1.</w:t>
            </w:r>
            <w:r>
              <w:rPr>
                <w:rFonts w:hint="eastAsia" w:ascii="宋体" w:hAnsi="宋体"/>
                <w:b/>
                <w:sz w:val="24"/>
                <w:szCs w:val="24"/>
              </w:rPr>
              <w:t>支持绿色发展</w:t>
            </w:r>
          </w:p>
          <w:p>
            <w:pPr>
              <w:adjustRightInd w:val="0"/>
              <w:snapToGrid w:val="0"/>
              <w:spacing w:line="440" w:lineRule="exact"/>
              <w:ind w:firstLine="482" w:firstLineChars="200"/>
              <w:jc w:val="left"/>
              <w:rPr>
                <w:rFonts w:ascii="宋体" w:hAnsi="宋体" w:eastAsia="宋体"/>
                <w:b/>
                <w:sz w:val="24"/>
                <w:szCs w:val="24"/>
              </w:rPr>
            </w:pPr>
            <w:r>
              <w:rPr>
                <w:rFonts w:hint="eastAsia" w:ascii="宋体" w:hAnsi="宋体" w:eastAsia="宋体"/>
                <w:b/>
                <w:color w:val="000000"/>
                <w:sz w:val="24"/>
                <w:szCs w:val="24"/>
              </w:rPr>
              <w:t>⑴</w:t>
            </w:r>
            <w:r>
              <w:rPr>
                <w:rFonts w:hint="eastAsia" w:ascii="宋体" w:hAnsi="宋体" w:eastAsia="宋体"/>
                <w:b/>
                <w:sz w:val="24"/>
                <w:szCs w:val="24"/>
              </w:rPr>
              <w:t>政府采购节能环保产品相关政策</w:t>
            </w:r>
          </w:p>
          <w:p>
            <w:pPr>
              <w:adjustRightInd w:val="0"/>
              <w:snapToGrid w:val="0"/>
              <w:spacing w:line="440" w:lineRule="exact"/>
              <w:ind w:firstLine="523" w:firstLineChars="218"/>
              <w:jc w:val="left"/>
              <w:rPr>
                <w:rFonts w:ascii="宋体" w:hAnsi="宋体" w:eastAsia="宋体"/>
                <w:sz w:val="24"/>
                <w:szCs w:val="24"/>
              </w:rPr>
            </w:pPr>
            <w:r>
              <w:rPr>
                <w:rFonts w:hint="eastAsia" w:ascii="宋体" w:hAnsi="宋体" w:eastAsia="宋体"/>
                <w:sz w:val="24"/>
                <w:szCs w:val="24"/>
              </w:rPr>
              <w:t>响应产品若属于节能（环保）产品的，请提供参与实施政府采购节能（环境标志）产品认证机构出具的认证证书或证书发布平台的投标产品认证证书查询截图；参与实施政府采购节能（环境标志）产品认证机构详见《</w:t>
            </w:r>
            <w:r>
              <w:rPr>
                <w:rFonts w:hint="eastAsia" w:ascii="宋体" w:hAnsi="宋体" w:eastAsia="宋体"/>
                <w:sz w:val="24"/>
                <w:szCs w:val="24"/>
                <w:lang w:eastAsia="zh-CN"/>
              </w:rPr>
              <w:t>市场监督管理总局</w:t>
            </w:r>
            <w:bookmarkStart w:id="16" w:name="_GoBack"/>
            <w:bookmarkEnd w:id="16"/>
            <w:r>
              <w:rPr>
                <w:rFonts w:hint="eastAsia" w:ascii="宋体" w:hAnsi="宋体" w:eastAsia="宋体"/>
                <w:sz w:val="24"/>
                <w:szCs w:val="24"/>
              </w:rPr>
              <w:t>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pStyle w:val="19"/>
              <w:widowControl/>
              <w:adjustRightInd w:val="0"/>
              <w:snapToGrid w:val="0"/>
              <w:spacing w:line="440" w:lineRule="exact"/>
              <w:ind w:firstLine="480" w:firstLineChars="200"/>
              <w:rPr>
                <w:rFonts w:ascii="仿宋" w:hAnsi="仿宋" w:eastAsia="仿宋"/>
                <w:b/>
                <w:szCs w:val="24"/>
              </w:rPr>
            </w:pPr>
            <w:r>
              <w:rPr>
                <w:rFonts w:hint="eastAsia" w:ascii="宋体" w:hAnsi="宋体" w:cstheme="minorBidi"/>
                <w:kern w:val="2"/>
                <w:szCs w:val="24"/>
              </w:rPr>
              <w:t>产品属于政府强制采购节能品目的（详见《关于印发节能产品政府采购品目清单的通知》财库〔2019〕19号），响应方须按上款要求提供节能产品认证证书或规定网站证书查询截图。</w:t>
            </w:r>
            <w:r>
              <w:rPr>
                <w:rFonts w:hint="eastAsia" w:ascii="宋体" w:hAnsi="宋体" w:cstheme="minorBidi"/>
                <w:b/>
                <w:kern w:val="2"/>
                <w:szCs w:val="24"/>
              </w:rPr>
              <w:t>产品属于政府强制采购节能产品品目的，响应方未提供节能产品的，其响应将作无效处理。</w:t>
            </w:r>
          </w:p>
          <w:p>
            <w:pPr>
              <w:pStyle w:val="19"/>
              <w:widowControl/>
              <w:adjustRightInd w:val="0"/>
              <w:snapToGrid w:val="0"/>
              <w:spacing w:line="440" w:lineRule="exact"/>
              <w:ind w:firstLine="482" w:firstLineChars="200"/>
              <w:rPr>
                <w:rFonts w:ascii="宋体" w:hAnsi="宋体" w:cstheme="minorBidi"/>
                <w:b/>
                <w:kern w:val="2"/>
                <w:szCs w:val="24"/>
              </w:rPr>
            </w:pPr>
            <w:r>
              <w:rPr>
                <w:rFonts w:hint="eastAsia" w:ascii="宋体" w:hAnsi="宋体"/>
                <w:b/>
                <w:color w:val="000000"/>
                <w:szCs w:val="24"/>
              </w:rPr>
              <w:t>⑵</w:t>
            </w:r>
            <w:r>
              <w:rPr>
                <w:rFonts w:hint="eastAsia" w:ascii="宋体" w:hAnsi="宋体" w:cstheme="minorBidi"/>
                <w:b/>
                <w:kern w:val="2"/>
                <w:szCs w:val="24"/>
              </w:rPr>
              <w:t xml:space="preserve"> 推广绿色包装</w:t>
            </w:r>
          </w:p>
          <w:p>
            <w:pPr>
              <w:pStyle w:val="19"/>
              <w:widowControl/>
              <w:adjustRightInd w:val="0"/>
              <w:snapToGrid w:val="0"/>
              <w:spacing w:line="440" w:lineRule="exact"/>
              <w:ind w:firstLine="523" w:firstLineChars="218"/>
              <w:rPr>
                <w:rFonts w:ascii="宋体" w:hAnsi="宋体" w:cstheme="minorBidi"/>
                <w:kern w:val="2"/>
                <w:szCs w:val="24"/>
              </w:rPr>
            </w:pPr>
            <w:r>
              <w:rPr>
                <w:rFonts w:hint="eastAsia" w:ascii="宋体" w:hAnsi="宋体" w:cstheme="minorBidi"/>
                <w:kern w:val="2"/>
                <w:szCs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pStyle w:val="19"/>
              <w:widowControl/>
              <w:adjustRightInd w:val="0"/>
              <w:snapToGrid w:val="0"/>
              <w:spacing w:line="440" w:lineRule="exact"/>
              <w:ind w:firstLine="482" w:firstLineChars="200"/>
              <w:rPr>
                <w:rFonts w:ascii="宋体" w:hAnsi="宋体"/>
                <w:b/>
                <w:szCs w:val="24"/>
              </w:rPr>
            </w:pPr>
            <w:r>
              <w:rPr>
                <w:rFonts w:hint="eastAsia" w:ascii="宋体" w:hAnsi="宋体" w:cstheme="minorBidi"/>
                <w:b/>
                <w:kern w:val="2"/>
                <w:szCs w:val="24"/>
              </w:rPr>
              <w:t>2.中小企业优惠措施</w:t>
            </w:r>
          </w:p>
          <w:p>
            <w:pPr>
              <w:widowControl/>
              <w:adjustRightInd w:val="0"/>
              <w:snapToGrid w:val="0"/>
              <w:spacing w:line="440" w:lineRule="exact"/>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⑴</w:t>
            </w:r>
            <w:r>
              <w:rPr>
                <w:rFonts w:hint="eastAsia" w:ascii="宋体" w:hAnsi="宋体" w:eastAsia="宋体"/>
                <w:sz w:val="24"/>
                <w:szCs w:val="24"/>
              </w:rPr>
              <w:t>最高限价：</w:t>
            </w:r>
            <w:r>
              <w:rPr>
                <w:rFonts w:hint="eastAsia" w:ascii="宋体" w:hAnsi="宋体" w:eastAsia="宋体"/>
                <w:sz w:val="24"/>
                <w:szCs w:val="24"/>
                <w:u w:val="single"/>
              </w:rPr>
              <w:t xml:space="preserve">     99%      </w:t>
            </w:r>
            <w:r>
              <w:rPr>
                <w:rFonts w:hint="eastAsia" w:ascii="宋体" w:hAnsi="宋体" w:eastAsia="宋体"/>
                <w:sz w:val="24"/>
                <w:szCs w:val="24"/>
              </w:rPr>
              <w:t xml:space="preserve"> </w:t>
            </w:r>
          </w:p>
          <w:p>
            <w:pPr>
              <w:widowControl/>
              <w:adjustRightInd w:val="0"/>
              <w:snapToGrid w:val="0"/>
              <w:spacing w:line="440" w:lineRule="exact"/>
              <w:ind w:firstLine="480" w:firstLineChars="200"/>
              <w:jc w:val="left"/>
              <w:rPr>
                <w:rFonts w:ascii="宋体" w:hAnsi="宋体" w:eastAsia="宋体"/>
                <w:color w:val="000000"/>
                <w:sz w:val="24"/>
                <w:szCs w:val="24"/>
              </w:rPr>
            </w:pPr>
            <w:r>
              <w:rPr>
                <w:rFonts w:hint="eastAsia" w:ascii="宋体" w:hAnsi="宋体"/>
                <w:color w:val="000000"/>
                <w:sz w:val="24"/>
                <w:szCs w:val="24"/>
              </w:rPr>
              <w:t>⑵</w:t>
            </w:r>
            <w:r>
              <w:rPr>
                <w:rFonts w:hint="eastAsia" w:ascii="宋体" w:hAnsi="宋体" w:eastAsia="宋体"/>
                <w:color w:val="000000"/>
                <w:sz w:val="24"/>
                <w:szCs w:val="24"/>
              </w:rPr>
              <w:t>项目属性：□货物/□工程/</w:t>
            </w:r>
            <w:r>
              <w:t xml:space="preserve"> </w:t>
            </w:r>
            <w:r>
              <w:rPr>
                <w:rFonts w:hint="eastAsia" w:ascii="MS Mincho" w:hAnsi="MS Mincho" w:eastAsia="MS Mincho" w:cs="MS Mincho"/>
                <w:color w:val="000000"/>
                <w:sz w:val="24"/>
                <w:szCs w:val="24"/>
              </w:rPr>
              <w:t>☑</w:t>
            </w:r>
            <w:r>
              <w:rPr>
                <w:rFonts w:hint="eastAsia" w:ascii="宋体" w:hAnsi="宋体" w:eastAsia="宋体"/>
                <w:color w:val="000000"/>
                <w:sz w:val="24"/>
                <w:szCs w:val="24"/>
              </w:rPr>
              <w:t>服务</w:t>
            </w:r>
          </w:p>
          <w:p>
            <w:pPr>
              <w:widowControl/>
              <w:adjustRightInd w:val="0"/>
              <w:snapToGrid w:val="0"/>
              <w:spacing w:line="440" w:lineRule="exact"/>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⑶中小企业划分标准所属行业（具体根据</w:t>
            </w:r>
            <w:r>
              <w:rPr>
                <w:rFonts w:ascii="宋体" w:hAnsi="宋体" w:eastAsia="宋体"/>
                <w:color w:val="000000"/>
                <w:sz w:val="24"/>
                <w:szCs w:val="24"/>
              </w:rPr>
              <w:t>《中小企业划型标准规定》</w:t>
            </w:r>
            <w:r>
              <w:rPr>
                <w:rFonts w:hint="eastAsia" w:ascii="宋体" w:hAnsi="宋体" w:eastAsia="宋体"/>
                <w:color w:val="000000"/>
                <w:sz w:val="24"/>
                <w:szCs w:val="24"/>
              </w:rPr>
              <w:t>执行）</w:t>
            </w:r>
          </w:p>
          <w:p>
            <w:pPr>
              <w:widowControl/>
              <w:adjustRightInd w:val="0"/>
              <w:snapToGrid w:val="0"/>
              <w:spacing w:line="440" w:lineRule="exact"/>
              <w:ind w:firstLine="482" w:firstLineChars="200"/>
              <w:jc w:val="left"/>
              <w:rPr>
                <w:rFonts w:ascii="宋体" w:hAnsi="宋体" w:eastAsia="宋体"/>
                <w:sz w:val="24"/>
                <w:szCs w:val="24"/>
                <w:u w:val="single"/>
              </w:rPr>
            </w:pPr>
            <w:r>
              <w:rPr>
                <w:rFonts w:hint="eastAsia" w:ascii="宋体" w:hAnsi="宋体" w:eastAsia="宋体"/>
                <w:b/>
                <w:sz w:val="24"/>
                <w:szCs w:val="24"/>
              </w:rPr>
              <w:t>采购标的：</w:t>
            </w:r>
            <w:r>
              <w:rPr>
                <w:rFonts w:hint="eastAsia" w:ascii="宋体" w:hAnsi="宋体" w:eastAsia="宋体"/>
                <w:sz w:val="24"/>
                <w:szCs w:val="24"/>
                <w:u w:val="single"/>
              </w:rPr>
              <w:t xml:space="preserve">   预算绩效评价咨询服务            </w:t>
            </w:r>
            <w:r>
              <w:rPr>
                <w:rFonts w:hint="eastAsia" w:ascii="宋体" w:hAnsi="宋体" w:eastAsia="宋体"/>
                <w:sz w:val="24"/>
                <w:szCs w:val="24"/>
              </w:rPr>
              <w:t xml:space="preserve"> ，</w:t>
            </w:r>
            <w:r>
              <w:rPr>
                <w:rFonts w:hint="eastAsia" w:ascii="宋体" w:hAnsi="宋体" w:eastAsia="宋体"/>
                <w:b/>
                <w:sz w:val="24"/>
                <w:szCs w:val="24"/>
              </w:rPr>
              <w:t>所属行业：</w:t>
            </w:r>
            <w:r>
              <w:rPr>
                <w:rFonts w:hint="eastAsia" w:ascii="宋体" w:hAnsi="宋体" w:eastAsia="宋体"/>
                <w:sz w:val="24"/>
                <w:szCs w:val="24"/>
                <w:u w:val="single"/>
              </w:rPr>
              <w:t xml:space="preserve">   租赁和商务服务业   </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（划型标准：</w:t>
            </w:r>
            <w:r>
              <w:rPr>
                <w:rFonts w:ascii="宋体" w:hAnsi="宋体" w:eastAsia="宋体"/>
                <w:sz w:val="24"/>
                <w:szCs w:val="24"/>
              </w:rPr>
              <w:t>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w:t>
            </w:r>
            <w:r>
              <w:rPr>
                <w:rFonts w:hint="eastAsia" w:ascii="宋体" w:hAnsi="宋体" w:eastAsia="宋体"/>
                <w:sz w:val="24"/>
                <w:szCs w:val="24"/>
              </w:rPr>
              <w:t>）</w:t>
            </w:r>
          </w:p>
          <w:p>
            <w:pPr>
              <w:widowControl/>
              <w:adjustRightInd w:val="0"/>
              <w:snapToGrid w:val="0"/>
              <w:spacing w:line="440" w:lineRule="exact"/>
              <w:ind w:firstLine="480" w:firstLineChars="200"/>
              <w:jc w:val="left"/>
              <w:rPr>
                <w:rFonts w:asciiTheme="minorEastAsia" w:hAnsiTheme="minorEastAsia" w:cstheme="minorEastAsia"/>
                <w:sz w:val="24"/>
                <w:szCs w:val="24"/>
              </w:rPr>
            </w:pPr>
            <w:r>
              <w:rPr>
                <w:rFonts w:hint="eastAsia" w:ascii="宋体" w:hAnsi="宋体"/>
                <w:color w:val="000000"/>
                <w:sz w:val="24"/>
                <w:szCs w:val="24"/>
              </w:rPr>
              <w:t>⑷</w:t>
            </w:r>
            <w:r>
              <w:rPr>
                <w:rFonts w:hint="eastAsia" w:ascii="宋体" w:hAnsi="宋体" w:eastAsia="宋体"/>
                <w:color w:val="000000"/>
                <w:sz w:val="24"/>
                <w:szCs w:val="24"/>
              </w:rPr>
              <w:t>本项目（□是/</w:t>
            </w:r>
            <w:r>
              <w:rPr>
                <w:rFonts w:hint="eastAsia" w:ascii="MS Mincho" w:hAnsi="MS Mincho" w:eastAsia="MS Mincho" w:cs="MS Mincho"/>
                <w:color w:val="000000"/>
                <w:sz w:val="24"/>
                <w:szCs w:val="24"/>
              </w:rPr>
              <w:t>☑</w:t>
            </w:r>
            <w:r>
              <w:rPr>
                <w:rFonts w:hint="eastAsia" w:ascii="宋体" w:hAnsi="宋体" w:eastAsia="宋体"/>
                <w:color w:val="000000"/>
                <w:sz w:val="24"/>
                <w:szCs w:val="24"/>
              </w:rPr>
              <w:t>否）</w:t>
            </w:r>
            <w:r>
              <w:rPr>
                <w:rFonts w:hint="eastAsia" w:asciiTheme="minorEastAsia" w:hAnsiTheme="minorEastAsia" w:cstheme="minorEastAsia"/>
                <w:sz w:val="24"/>
                <w:szCs w:val="24"/>
              </w:rPr>
              <w:t>属于预留份额专门面向中小企业采购的项目。</w:t>
            </w:r>
          </w:p>
          <w:p>
            <w:pPr>
              <w:widowControl/>
              <w:adjustRightInd w:val="0"/>
              <w:snapToGrid w:val="0"/>
              <w:spacing w:line="440" w:lineRule="exact"/>
              <w:ind w:firstLine="482" w:firstLineChars="200"/>
              <w:jc w:val="left"/>
              <w:rPr>
                <w:rFonts w:asciiTheme="minorEastAsia" w:hAnsiTheme="minorEastAsia" w:cstheme="minorEastAsia"/>
                <w:sz w:val="24"/>
                <w:szCs w:val="24"/>
              </w:rPr>
            </w:pPr>
            <w:r>
              <w:rPr>
                <w:rFonts w:hint="eastAsia" w:asciiTheme="minorEastAsia" w:hAnsiTheme="minorEastAsia" w:cstheme="minorEastAsia"/>
                <w:b/>
                <w:sz w:val="24"/>
                <w:szCs w:val="24"/>
              </w:rPr>
              <w:t>专门面向中小企业采购的项目或者标项</w:t>
            </w:r>
            <w:r>
              <w:rPr>
                <w:rFonts w:hint="eastAsia" w:asciiTheme="minorEastAsia" w:hAnsiTheme="minorEastAsia" w:cstheme="minorEastAsia"/>
                <w:sz w:val="24"/>
                <w:szCs w:val="24"/>
              </w:rPr>
              <w:t>，不再执行价格评审优惠的扶持政策。预留份额通过</w:t>
            </w:r>
            <w:r>
              <w:rPr>
                <w:rFonts w:hint="eastAsia" w:asciiTheme="minorEastAsia" w:hAnsiTheme="minorEastAsia" w:cstheme="minorEastAsia"/>
                <w:sz w:val="24"/>
                <w:szCs w:val="24"/>
                <w:u w:val="single"/>
              </w:rPr>
              <w:t xml:space="preserve">  /   </w:t>
            </w:r>
            <w:r>
              <w:rPr>
                <w:rFonts w:hint="eastAsia" w:asciiTheme="minorEastAsia" w:hAnsiTheme="minorEastAsia" w:cstheme="minorEastAsia"/>
                <w:sz w:val="24"/>
                <w:szCs w:val="24"/>
              </w:rPr>
              <w:t>措施进行：</w:t>
            </w:r>
          </w:p>
          <w:p>
            <w:pPr>
              <w:widowControl/>
              <w:adjustRightInd w:val="0"/>
              <w:snapToGrid w:val="0"/>
              <w:spacing w:line="44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①将采购项目整体专门面向中小企业采购；</w:t>
            </w:r>
          </w:p>
          <w:p>
            <w:pPr>
              <w:widowControl/>
              <w:adjustRightInd w:val="0"/>
              <w:snapToGrid w:val="0"/>
              <w:spacing w:line="44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②要求供应商以联合体形式参加采购活动，且联合体中中小企业承担的部分达到</w:t>
            </w:r>
            <w:r>
              <w:rPr>
                <w:rFonts w:hint="eastAsia" w:asciiTheme="minorEastAsia" w:hAnsiTheme="minorEastAsia" w:cstheme="minorEastAsia"/>
                <w:sz w:val="24"/>
                <w:szCs w:val="24"/>
                <w:u w:val="single"/>
              </w:rPr>
              <w:t xml:space="preserve">  /  % </w:t>
            </w:r>
            <w:r>
              <w:rPr>
                <w:rFonts w:hint="eastAsia" w:asciiTheme="minorEastAsia" w:hAnsiTheme="minorEastAsia" w:cstheme="minorEastAsia"/>
                <w:sz w:val="24"/>
                <w:szCs w:val="24"/>
              </w:rPr>
              <w:t>以上；</w:t>
            </w:r>
          </w:p>
          <w:p>
            <w:pPr>
              <w:widowControl/>
              <w:adjustRightInd w:val="0"/>
              <w:snapToGrid w:val="0"/>
              <w:spacing w:line="44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③要求获得采购合同的供应商将采购项目中的</w:t>
            </w:r>
            <w:r>
              <w:rPr>
                <w:rFonts w:hint="eastAsia" w:asciiTheme="minorEastAsia" w:hAnsiTheme="minorEastAsia" w:cstheme="minorEastAsia"/>
                <w:sz w:val="24"/>
                <w:szCs w:val="24"/>
                <w:u w:val="single"/>
              </w:rPr>
              <w:t xml:space="preserve">   /  %（</w:t>
            </w:r>
            <w:r>
              <w:rPr>
                <w:rFonts w:hint="eastAsia" w:asciiTheme="minorEastAsia" w:hAnsiTheme="minorEastAsia" w:cstheme="minorEastAsia"/>
                <w:sz w:val="24"/>
                <w:szCs w:val="24"/>
              </w:rPr>
              <w:t>比例）分包给一家或者多家中小企业；</w:t>
            </w:r>
          </w:p>
          <w:p>
            <w:pPr>
              <w:widowControl/>
              <w:adjustRightInd w:val="0"/>
              <w:snapToGrid w:val="0"/>
              <w:spacing w:line="44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④组成联合体或者接受分包合同的中小企业与联合体内其他企业、分包企业之间不得存在直接控股、管理关系。</w:t>
            </w:r>
          </w:p>
          <w:p>
            <w:pPr>
              <w:widowControl/>
              <w:adjustRightInd w:val="0"/>
              <w:snapToGrid w:val="0"/>
              <w:spacing w:line="440" w:lineRule="exact"/>
              <w:ind w:firstLine="482" w:firstLineChars="200"/>
              <w:jc w:val="left"/>
              <w:rPr>
                <w:rFonts w:ascii="宋体" w:hAnsi="宋体" w:eastAsia="宋体"/>
                <w:sz w:val="24"/>
                <w:szCs w:val="24"/>
              </w:rPr>
            </w:pPr>
            <w:r>
              <w:rPr>
                <w:rFonts w:hint="eastAsia" w:ascii="宋体" w:hAnsi="宋体" w:eastAsia="宋体"/>
                <w:b/>
                <w:color w:val="000000"/>
                <w:sz w:val="24"/>
                <w:szCs w:val="24"/>
              </w:rPr>
              <w:t>非专门</w:t>
            </w:r>
            <w:r>
              <w:rPr>
                <w:rFonts w:hint="eastAsia" w:asciiTheme="minorEastAsia" w:hAnsiTheme="minorEastAsia" w:cstheme="minorEastAsia"/>
                <w:b/>
                <w:sz w:val="24"/>
                <w:szCs w:val="24"/>
              </w:rPr>
              <w:t>面向中小微企业的项目或者标项</w:t>
            </w:r>
            <w:r>
              <w:rPr>
                <w:rFonts w:hint="eastAsia" w:asciiTheme="minorEastAsia" w:hAnsiTheme="minorEastAsia" w:cstheme="minorEastAsia"/>
                <w:sz w:val="24"/>
                <w:szCs w:val="24"/>
              </w:rPr>
              <w:t>，执行价格评审优惠的扶持政策。</w:t>
            </w:r>
            <w:r>
              <w:rPr>
                <w:rFonts w:hint="eastAsia" w:ascii="宋体" w:hAnsi="宋体" w:eastAsia="宋体"/>
                <w:color w:val="000000"/>
                <w:sz w:val="24"/>
                <w:szCs w:val="24"/>
              </w:rPr>
              <w:t>根据财库〔2020〕46号的相关规定，在评审时对符合本办法规定的小微企业报价给予（</w:t>
            </w:r>
            <w:r>
              <w:rPr>
                <w:rFonts w:hint="eastAsia" w:ascii="宋体" w:hAnsi="宋体" w:eastAsia="宋体"/>
                <w:color w:val="000000"/>
                <w:sz w:val="24"/>
                <w:szCs w:val="24"/>
                <w:u w:val="single"/>
              </w:rPr>
              <w:t xml:space="preserve">  10  %   </w:t>
            </w:r>
            <w:r>
              <w:rPr>
                <w:rFonts w:hint="eastAsia" w:ascii="宋体" w:hAnsi="宋体" w:eastAsia="宋体"/>
                <w:color w:val="000000"/>
                <w:sz w:val="24"/>
                <w:szCs w:val="24"/>
              </w:rPr>
              <w:t>）的扣除，</w:t>
            </w:r>
            <w:r>
              <w:rPr>
                <w:rFonts w:hint="eastAsia" w:asciiTheme="minorEastAsia" w:hAnsiTheme="minorEastAsia" w:cstheme="minorEastAsia"/>
                <w:sz w:val="24"/>
                <w:szCs w:val="24"/>
              </w:rPr>
              <w:t>大中型企业与小微企业组成联合体或者大中型企业向小微企业分包且</w:t>
            </w:r>
            <w:r>
              <w:rPr>
                <w:rFonts w:asciiTheme="minorEastAsia" w:hAnsiTheme="minorEastAsia" w:cstheme="minorEastAsia"/>
                <w:sz w:val="24"/>
                <w:szCs w:val="24"/>
              </w:rPr>
              <w:t>于联合协议或者分包意向协议约定小微企业的合同份额占到合同总金额 30%以上的</w:t>
            </w:r>
            <w:r>
              <w:rPr>
                <w:rFonts w:hint="eastAsia" w:asciiTheme="minorEastAsia" w:hAnsiTheme="minorEastAsia" w:cstheme="minorEastAsia"/>
                <w:sz w:val="24"/>
                <w:szCs w:val="24"/>
              </w:rPr>
              <w:t>给予</w:t>
            </w:r>
            <w:r>
              <w:rPr>
                <w:rFonts w:hint="eastAsia" w:ascii="宋体" w:hAnsi="宋体" w:eastAsia="宋体"/>
                <w:color w:val="000000"/>
                <w:sz w:val="24"/>
                <w:szCs w:val="24"/>
              </w:rPr>
              <w:t>（</w:t>
            </w:r>
            <w:r>
              <w:rPr>
                <w:rFonts w:hint="eastAsia" w:ascii="宋体" w:hAnsi="宋体" w:eastAsia="宋体"/>
                <w:color w:val="000000"/>
                <w:sz w:val="24"/>
                <w:szCs w:val="24"/>
                <w:u w:val="single"/>
              </w:rPr>
              <w:t xml:space="preserve">  /  %   </w:t>
            </w:r>
            <w:r>
              <w:rPr>
                <w:rFonts w:hint="eastAsia" w:ascii="宋体" w:hAnsi="宋体" w:eastAsia="宋体"/>
                <w:color w:val="000000"/>
                <w:sz w:val="24"/>
                <w:szCs w:val="24"/>
              </w:rPr>
              <w:t>）的扣除（扣除后的报价仅在评审时使用）。中小企业参加政府采购活动，应当出具本办法规定的《中小企业声明函》，否则不得享受相关中小企业扶持政策。</w:t>
            </w:r>
          </w:p>
          <w:p>
            <w:pPr>
              <w:pStyle w:val="19"/>
              <w:widowControl/>
              <w:adjustRightInd w:val="0"/>
              <w:snapToGrid w:val="0"/>
              <w:spacing w:line="440" w:lineRule="exact"/>
              <w:ind w:firstLine="482" w:firstLineChars="200"/>
              <w:rPr>
                <w:rFonts w:ascii="宋体" w:hAnsi="宋体" w:cstheme="minorBidi"/>
                <w:b/>
                <w:kern w:val="2"/>
                <w:szCs w:val="24"/>
              </w:rPr>
            </w:pPr>
            <w:r>
              <w:rPr>
                <w:rFonts w:hint="eastAsia" w:ascii="宋体" w:hAnsi="宋体" w:cstheme="minorBidi"/>
                <w:b/>
                <w:kern w:val="2"/>
                <w:szCs w:val="24"/>
              </w:rPr>
              <w:t>3.支持残疾人福利性单位</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第六章 响应文件格式）。</w:t>
            </w:r>
          </w:p>
          <w:p>
            <w:pPr>
              <w:pStyle w:val="19"/>
              <w:widowControl/>
              <w:adjustRightInd w:val="0"/>
              <w:snapToGrid w:val="0"/>
              <w:spacing w:line="440" w:lineRule="exact"/>
              <w:ind w:firstLine="482" w:firstLineChars="200"/>
              <w:rPr>
                <w:rFonts w:ascii="宋体" w:hAnsi="宋体" w:cstheme="minorBidi"/>
                <w:b/>
                <w:kern w:val="2"/>
                <w:szCs w:val="24"/>
              </w:rPr>
            </w:pPr>
            <w:r>
              <w:rPr>
                <w:rFonts w:hint="eastAsia" w:ascii="宋体" w:hAnsi="宋体" w:cstheme="minorBidi"/>
                <w:b/>
                <w:kern w:val="2"/>
                <w:szCs w:val="24"/>
              </w:rPr>
              <w:t>4.支持监狱企业</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根据财库[2014]68号的相关规定，在政府采购活动中，监狱企业视同小型、微型企业，享受评审中价格扣除政策，并在投标文件中提供由省级以上监狱管理局、戒毒管理局（含新疆生产建设兵团）出具的属于监狱企业的材料（格式自拟）。</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注：</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1.未提供以上材料的，均不得享受相关扶持政策。</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2.监狱企业、残疾人福利性单位属于小型、微型企业的，不重复享受政策。</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3.如响应供应商声明为中小企业或残疾人福利性单位或监狱企业，响应供应商的《中小企业声明函》或《残疾人福利性单位声明函》或属于监狱企业的相关材料，将随入围结果同时公告，接受社会监督。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7</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电子交易平台登录方法</w:t>
            </w:r>
          </w:p>
        </w:tc>
        <w:tc>
          <w:tcPr>
            <w:tcW w:w="7479" w:type="dxa"/>
            <w:vAlign w:val="center"/>
          </w:tcPr>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第一步：供应商注册</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响应方</w:t>
            </w:r>
            <w:r>
              <w:rPr>
                <w:rFonts w:ascii="宋体" w:hAnsi="宋体" w:eastAsia="宋体"/>
                <w:sz w:val="24"/>
                <w:szCs w:val="24"/>
              </w:rPr>
              <w:t>应在</w:t>
            </w:r>
            <w:r>
              <w:rPr>
                <w:rFonts w:hint="eastAsia" w:ascii="宋体" w:hAnsi="宋体" w:eastAsia="宋体"/>
                <w:sz w:val="24"/>
                <w:szCs w:val="24"/>
              </w:rPr>
              <w:t>投</w:t>
            </w:r>
            <w:r>
              <w:rPr>
                <w:rFonts w:ascii="宋体" w:hAnsi="宋体" w:eastAsia="宋体"/>
                <w:sz w:val="24"/>
                <w:szCs w:val="24"/>
              </w:rPr>
              <w:t>标前</w:t>
            </w:r>
            <w:r>
              <w:rPr>
                <w:rFonts w:hint="eastAsia" w:ascii="宋体" w:hAnsi="宋体" w:eastAsia="宋体"/>
                <w:sz w:val="24"/>
                <w:szCs w:val="24"/>
              </w:rPr>
              <w:t>注册成为浙江政府采购网的正式供应商；</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第二步：申请CA</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响应方</w:t>
            </w:r>
            <w:r>
              <w:rPr>
                <w:rFonts w:ascii="宋体" w:hAnsi="宋体" w:eastAsia="宋体"/>
                <w:sz w:val="24"/>
                <w:szCs w:val="24"/>
              </w:rPr>
              <w:t>应在</w:t>
            </w:r>
            <w:r>
              <w:rPr>
                <w:rFonts w:hint="eastAsia" w:ascii="宋体" w:hAnsi="宋体" w:eastAsia="宋体"/>
                <w:sz w:val="24"/>
                <w:szCs w:val="24"/>
              </w:rPr>
              <w:t>响应</w:t>
            </w:r>
            <w:r>
              <w:rPr>
                <w:rFonts w:ascii="宋体" w:hAnsi="宋体" w:eastAsia="宋体"/>
                <w:sz w:val="24"/>
                <w:szCs w:val="24"/>
              </w:rPr>
              <w:t>前完成CA数字证书办理。完成CA数字证书办理</w:t>
            </w:r>
            <w:r>
              <w:rPr>
                <w:rFonts w:hint="eastAsia" w:ascii="宋体" w:hAnsi="宋体" w:eastAsia="宋体"/>
                <w:sz w:val="24"/>
                <w:szCs w:val="24"/>
              </w:rPr>
              <w:t>预计一周左右，建议各响应方抓紧时间办理；</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第三步：下载客户端</w:t>
            </w:r>
          </w:p>
          <w:p>
            <w:pPr>
              <w:widowControl/>
              <w:adjustRightInd w:val="0"/>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响应方通过政采云电子交易客户端制作响应文件，请自行前往</w:t>
            </w:r>
            <w:r>
              <w:rPr>
                <w:rFonts w:hint="eastAsia" w:ascii="宋体" w:hAnsi="宋体" w:eastAsia="宋体"/>
                <w:sz w:val="24"/>
                <w:szCs w:val="24"/>
              </w:rPr>
              <w:t>浙江政府采购网下载并安装；</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第四步：具体流程</w:t>
            </w:r>
          </w:p>
          <w:p>
            <w:pPr>
              <w:widowControl/>
              <w:adjustRightInd w:val="0"/>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详见</w:t>
            </w:r>
            <w:r>
              <w:rPr>
                <w:rFonts w:hint="eastAsia" w:ascii="宋体" w:hAnsi="宋体" w:eastAsia="宋体"/>
                <w:sz w:val="24"/>
                <w:szCs w:val="24"/>
              </w:rPr>
              <w:t>浙江省“电子交易/不见面开评标”学习专题（网址</w:t>
            </w:r>
            <w:r>
              <w:fldChar w:fldCharType="begin"/>
            </w:r>
            <w:r>
              <w:instrText xml:space="preserve"> HYPERLINK "https://edu.zcygov.cn/luban/e-biding" </w:instrText>
            </w:r>
            <w:r>
              <w:fldChar w:fldCharType="separate"/>
            </w:r>
            <w:r>
              <w:rPr>
                <w:rFonts w:hint="eastAsia" w:ascii="宋体" w:hAnsi="宋体" w:eastAsia="宋体"/>
                <w:sz w:val="24"/>
                <w:szCs w:val="24"/>
              </w:rPr>
              <w:t>https://edu.zcygov.cn/luban/e-biding</w:t>
            </w:r>
            <w:r>
              <w:rPr>
                <w:rFonts w:hint="eastAsia" w:ascii="宋体" w:hAnsi="宋体" w:eastAsia="宋体"/>
                <w:sz w:val="24"/>
                <w:szCs w:val="24"/>
              </w:rPr>
              <w:fldChar w:fldCharType="end"/>
            </w:r>
            <w:r>
              <w:rPr>
                <w:rFonts w:hint="eastAsia" w:ascii="宋体" w:hAnsi="宋体" w:eastAsia="宋体"/>
                <w:sz w:val="24"/>
                <w:szCs w:val="24"/>
              </w:rPr>
              <w:t>）</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提醒：请各响应方合理安排时间，尽快完成第一、二、三步骤，避免影响采购活动的参与。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8</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响应文件的递交和接收</w:t>
            </w:r>
          </w:p>
        </w:tc>
        <w:tc>
          <w:tcPr>
            <w:tcW w:w="7479" w:type="dxa"/>
            <w:vAlign w:val="center"/>
          </w:tcPr>
          <w:p>
            <w:pPr>
              <w:widowControl/>
              <w:adjustRightInd w:val="0"/>
              <w:snapToGrid w:val="0"/>
              <w:spacing w:line="440" w:lineRule="exact"/>
              <w:ind w:firstLine="480" w:firstLineChars="200"/>
              <w:jc w:val="left"/>
              <w:rPr>
                <w:rFonts w:ascii="宋体" w:hAnsi="宋体" w:eastAsia="宋体"/>
                <w:sz w:val="24"/>
                <w:szCs w:val="24"/>
                <w:u w:val="single"/>
              </w:rPr>
            </w:pPr>
            <w:r>
              <w:rPr>
                <w:rFonts w:hint="eastAsia" w:ascii="宋体" w:hAnsi="宋体" w:eastAsia="宋体"/>
                <w:sz w:val="24"/>
                <w:szCs w:val="24"/>
              </w:rPr>
              <w:t>1.</w:t>
            </w:r>
            <w:r>
              <w:rPr>
                <w:rFonts w:hint="eastAsia" w:ascii="宋体" w:hAnsi="宋体" w:eastAsia="宋体"/>
                <w:bCs/>
                <w:sz w:val="24"/>
                <w:szCs w:val="24"/>
              </w:rPr>
              <w:t>响应文件的提交方式、提交截止时间和地点，开启方式、时间和地点</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详见《第一章 征集公告》</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2.本项目实行电子化采购。分电子响应文件、以介质存储的数据电文形式的备份响应文件两类。不同形式递交的文件内容均应一致：</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⑴电子响应文件，须按政采云平台供应商项目采购操作指南及本征集文件要求在线递交（如政采云平台系统有变化的，不再另行通知）。响应方应当在响应文件提交截止时间前完成电子响应文件的传输递交，并可以补充、修改或者撤回电子响应文件。补充或者修改电子响应文件的，应当先行撤回原文件，补充、修改后重新传输递交。提交截止时间前未完成传输的，视为撤回响应文件。提交截止时间后拒收响应文件。</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⑵备份响应文件，是指与电子响应文件同时生成的数据电文形式的电子文件（用于电子响应文件解密异常时应急使用），其他方式编制的备份响应文件视为无效备份响应文件。</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响应方可视自身情况自行提供1份备份响应文件，</w:t>
            </w:r>
            <w:r>
              <w:rPr>
                <w:rFonts w:hint="eastAsia" w:ascii="宋体" w:hAnsi="宋体" w:eastAsia="宋体"/>
                <w:b/>
                <w:sz w:val="24"/>
                <w:szCs w:val="24"/>
              </w:rPr>
              <w:t>不做强制要求</w:t>
            </w:r>
            <w:r>
              <w:rPr>
                <w:rFonts w:hint="eastAsia" w:ascii="宋体" w:hAnsi="宋体" w:eastAsia="宋体"/>
                <w:sz w:val="24"/>
                <w:szCs w:val="24"/>
              </w:rPr>
              <w:t>。备份响应文件未按规定密封或标记，或超过响应文件提交截止时间送达等原因的，将被拒收。因备份响应文件无法正常打开或正常显示等所引起的一切后果，由响应方自行承担。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9</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评审办法及标准</w:t>
            </w:r>
          </w:p>
        </w:tc>
        <w:tc>
          <w:tcPr>
            <w:tcW w:w="7479" w:type="dxa"/>
            <w:vAlign w:val="center"/>
          </w:tcPr>
          <w:p>
            <w:pPr>
              <w:widowControl/>
              <w:adjustRightInd w:val="0"/>
              <w:snapToGrid w:val="0"/>
              <w:spacing w:line="440" w:lineRule="exact"/>
              <w:ind w:firstLine="480" w:firstLineChars="200"/>
              <w:jc w:val="left"/>
              <w:rPr>
                <w:rFonts w:ascii="宋体" w:hAnsi="宋体" w:eastAsia="宋体"/>
                <w:sz w:val="24"/>
                <w:szCs w:val="24"/>
              </w:rPr>
            </w:pPr>
            <w:r>
              <w:rPr>
                <w:rFonts w:hint="eastAsia" w:ascii="MS Mincho" w:hAnsi="MS Mincho" w:eastAsia="MS Mincho" w:cs="MS Mincho"/>
                <w:color w:val="000000"/>
                <w:sz w:val="24"/>
                <w:szCs w:val="24"/>
              </w:rPr>
              <w:t>☑</w:t>
            </w:r>
            <w:r>
              <w:rPr>
                <w:rFonts w:hint="eastAsia" w:ascii="宋体" w:hAnsi="宋体" w:eastAsia="宋体"/>
                <w:sz w:val="24"/>
                <w:szCs w:val="24"/>
              </w:rPr>
              <w:t>价格优先法/</w:t>
            </w:r>
            <w:r>
              <w:rPr>
                <w:rFonts w:hint="eastAsia" w:ascii="宋体" w:hAnsi="宋体" w:eastAsia="宋体"/>
                <w:color w:val="000000"/>
                <w:sz w:val="24"/>
                <w:szCs w:val="24"/>
              </w:rPr>
              <w:t>□</w:t>
            </w:r>
            <w:r>
              <w:rPr>
                <w:rFonts w:hint="eastAsia" w:ascii="宋体" w:hAnsi="宋体" w:eastAsia="宋体"/>
                <w:sz w:val="24"/>
                <w:szCs w:val="24"/>
              </w:rPr>
              <w:t>质量优先法，具体标准见《第四章 评审办法及标准》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10</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入围结果公告</w:t>
            </w:r>
          </w:p>
        </w:tc>
        <w:tc>
          <w:tcPr>
            <w:tcW w:w="7479" w:type="dxa"/>
            <w:vAlign w:val="center"/>
          </w:tcPr>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入围供应商确定之日起2个工作日内，将在浙江省政府采购网发布入围结果公告（入围供应商为中小企业的，其相关声明函将随入围结果同时公告），公告期限为1个工作日。</w:t>
            </w:r>
          </w:p>
          <w:p>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入围通知书：发布入围结果公告的同时签发入围通知书。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11</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付款方式</w:t>
            </w:r>
          </w:p>
        </w:tc>
        <w:tc>
          <w:tcPr>
            <w:tcW w:w="7479" w:type="dxa"/>
            <w:vAlign w:val="center"/>
          </w:tcPr>
          <w:p>
            <w:pPr>
              <w:pStyle w:val="11"/>
              <w:rPr>
                <w:b w:val="0"/>
                <w:shd w:val="clear" w:color="auto" w:fill="auto"/>
              </w:rPr>
            </w:pPr>
            <w:r>
              <w:rPr>
                <w:rFonts w:hint="eastAsia"/>
                <w:b w:val="0"/>
                <w:shd w:val="clear" w:color="auto" w:fill="auto"/>
              </w:rPr>
              <w:t>（1）在第二阶段采购合同生效以及具备实施条件后7个工作日内按《浙江省财政厅关于进一步发挥政府采购政策功能全力推动经济稳进提质的通知》（浙财采监〔2022〕3号）规定支付项目预付款（要求预付金额不低于合同金额40%，不高于70%）。对供应商为大型企业的项目或者以人工投入为主且实行按月定期结算支付款项的项目，预付款可低于上述比例或者不约定预付款。在签订第二阶段采购合同时，供应商明确表示无需预付款或者主动要求降低预付款比例的，采购人可不适用前述规定。预付款的支付比例具体以第二阶段的采购合同签订为准。</w:t>
            </w:r>
          </w:p>
          <w:p>
            <w:pPr>
              <w:pStyle w:val="11"/>
              <w:rPr>
                <w:b w:val="0"/>
                <w:shd w:val="clear" w:color="auto" w:fill="auto"/>
              </w:rPr>
            </w:pPr>
            <w:r>
              <w:rPr>
                <w:rFonts w:hint="eastAsia"/>
                <w:b w:val="0"/>
                <w:shd w:val="clear" w:color="auto" w:fill="auto"/>
              </w:rPr>
              <w:t>（2）绩效评价和财政专项业务检查任务完成、验收合格并在收到发票后7个工作日内将资金支付到合同约定的供应商账户。</w:t>
            </w:r>
          </w:p>
          <w:p>
            <w:pPr>
              <w:pStyle w:val="11"/>
              <w:rPr>
                <w:rFonts w:ascii="仿宋" w:hAnsi="仿宋" w:eastAsia="仿宋"/>
              </w:rPr>
            </w:pPr>
            <w:r>
              <w:rPr>
                <w:rFonts w:hint="eastAsia"/>
                <w:b w:val="0"/>
                <w:shd w:val="clear" w:color="auto" w:fill="auto"/>
              </w:rPr>
              <w:t>（3）协议期间内，相关规定调整的，按照调整后的规定执行。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12</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框架协议签订时间</w:t>
            </w:r>
          </w:p>
        </w:tc>
        <w:tc>
          <w:tcPr>
            <w:tcW w:w="7479" w:type="dxa"/>
            <w:vAlign w:val="center"/>
          </w:tcPr>
          <w:p>
            <w:pPr>
              <w:widowControl/>
              <w:adjustRightInd w:val="0"/>
              <w:snapToGrid w:val="0"/>
              <w:spacing w:line="440" w:lineRule="exact"/>
              <w:ind w:firstLine="480" w:firstLineChars="200"/>
              <w:jc w:val="left"/>
              <w:rPr>
                <w:rFonts w:ascii="仿宋" w:hAnsi="仿宋" w:eastAsia="仿宋"/>
                <w:sz w:val="24"/>
                <w:szCs w:val="24"/>
              </w:rPr>
            </w:pPr>
            <w:r>
              <w:rPr>
                <w:rFonts w:hint="eastAsia" w:ascii="宋体" w:hAnsi="宋体" w:eastAsia="宋体"/>
                <w:sz w:val="24"/>
                <w:szCs w:val="24"/>
              </w:rPr>
              <w:t>入围通知书发出后30日内。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13</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响应文件有效期</w:t>
            </w:r>
          </w:p>
        </w:tc>
        <w:tc>
          <w:tcPr>
            <w:tcW w:w="7479" w:type="dxa"/>
            <w:vAlign w:val="center"/>
          </w:tcPr>
          <w:p>
            <w:pPr>
              <w:spacing w:line="440" w:lineRule="exact"/>
              <w:ind w:firstLine="458" w:firstLineChars="191"/>
              <w:rPr>
                <w:rFonts w:ascii="宋体" w:hAnsi="宋体" w:eastAsia="宋体"/>
                <w:sz w:val="24"/>
                <w:szCs w:val="24"/>
              </w:rPr>
            </w:pPr>
            <w:r>
              <w:rPr>
                <w:rFonts w:hint="eastAsia" w:ascii="宋体" w:hAnsi="宋体" w:eastAsia="宋体"/>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14</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效力标准</w:t>
            </w:r>
          </w:p>
        </w:tc>
        <w:tc>
          <w:tcPr>
            <w:tcW w:w="7479" w:type="dxa"/>
            <w:vAlign w:val="center"/>
          </w:tcPr>
          <w:p>
            <w:pPr>
              <w:spacing w:line="440" w:lineRule="exact"/>
              <w:ind w:left="458" w:leftChars="218"/>
              <w:rPr>
                <w:rFonts w:ascii="宋体" w:hAnsi="宋体" w:eastAsia="宋体"/>
                <w:sz w:val="24"/>
                <w:szCs w:val="24"/>
              </w:rPr>
            </w:pPr>
            <w:r>
              <w:rPr>
                <w:rFonts w:hint="eastAsia" w:ascii="宋体" w:hAnsi="宋体" w:eastAsia="宋体"/>
                <w:sz w:val="24"/>
                <w:szCs w:val="24"/>
              </w:rPr>
              <w:t>其他内容与前附表有冲突的，以“前附表”为准。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15</w:t>
            </w:r>
          </w:p>
        </w:tc>
        <w:tc>
          <w:tcPr>
            <w:tcW w:w="1353" w:type="dxa"/>
            <w:vAlign w:val="center"/>
          </w:tcPr>
          <w:p>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解释权</w:t>
            </w:r>
          </w:p>
        </w:tc>
        <w:tc>
          <w:tcPr>
            <w:tcW w:w="7479" w:type="dxa"/>
            <w:vAlign w:val="center"/>
          </w:tcPr>
          <w:p>
            <w:pPr>
              <w:spacing w:line="440" w:lineRule="exact"/>
              <w:ind w:firstLine="458" w:firstLineChars="191"/>
              <w:rPr>
                <w:rFonts w:ascii="宋体" w:hAnsi="宋体" w:eastAsia="宋体"/>
                <w:sz w:val="24"/>
                <w:szCs w:val="24"/>
              </w:rPr>
            </w:pPr>
            <w:r>
              <w:rPr>
                <w:rFonts w:hint="eastAsia" w:ascii="宋体" w:hAnsi="宋体" w:eastAsia="宋体"/>
                <w:sz w:val="24"/>
                <w:szCs w:val="24"/>
              </w:rPr>
              <w:t>本征集文件的解释权属于征集人。</w:t>
            </w:r>
          </w:p>
        </w:tc>
      </w:tr>
    </w:tbl>
    <w:p>
      <w:pPr>
        <w:spacing w:line="360" w:lineRule="auto"/>
        <w:ind w:firstLine="480"/>
        <w:jc w:val="left"/>
        <w:rPr>
          <w:rFonts w:ascii="宋体" w:hAnsi="宋体" w:eastAsia="宋体"/>
          <w:sz w:val="24"/>
          <w:szCs w:val="24"/>
        </w:rPr>
      </w:pPr>
    </w:p>
    <w:p>
      <w:pPr>
        <w:spacing w:line="360" w:lineRule="auto"/>
        <w:ind w:firstLine="480"/>
        <w:jc w:val="left"/>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pPr>
        <w:pStyle w:val="3"/>
        <w:spacing w:before="0" w:after="0" w:line="360" w:lineRule="auto"/>
        <w:ind w:firstLine="424" w:firstLineChars="151"/>
        <w:rPr>
          <w:sz w:val="28"/>
        </w:rPr>
      </w:pPr>
      <w:r>
        <w:rPr>
          <w:rFonts w:hint="eastAsia"/>
          <w:sz w:val="28"/>
        </w:rPr>
        <w:t>一、总则</w:t>
      </w:r>
    </w:p>
    <w:p>
      <w:pPr>
        <w:pStyle w:val="4"/>
        <w:spacing w:before="0" w:after="0"/>
        <w:ind w:firstLine="424" w:firstLineChars="176"/>
        <w:rPr>
          <w:sz w:val="24"/>
        </w:rPr>
      </w:pPr>
      <w:r>
        <w:rPr>
          <w:rFonts w:hint="eastAsia"/>
          <w:sz w:val="24"/>
        </w:rPr>
        <w:t>（一）适用范围</w:t>
      </w:r>
    </w:p>
    <w:p>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仅适用于本次征集文件中采购项目的征集、响应、评标、定标、验收、合同履约、付款等行为（法律法规另有规定的，从其规定）。</w:t>
      </w:r>
    </w:p>
    <w:p>
      <w:pPr>
        <w:pStyle w:val="4"/>
        <w:spacing w:before="0" w:after="0"/>
        <w:ind w:firstLine="424" w:firstLineChars="176"/>
        <w:rPr>
          <w:sz w:val="24"/>
        </w:rPr>
      </w:pPr>
      <w:r>
        <w:rPr>
          <w:rFonts w:hint="eastAsia"/>
          <w:sz w:val="24"/>
        </w:rPr>
        <w:t xml:space="preserve">（二）定义 </w:t>
      </w:r>
    </w:p>
    <w:p>
      <w:pPr>
        <w:adjustRightInd w:val="0"/>
        <w:snapToGrid w:val="0"/>
        <w:spacing w:line="440" w:lineRule="exact"/>
        <w:ind w:firstLine="480" w:firstLineChars="200"/>
        <w:rPr>
          <w:sz w:val="24"/>
        </w:rPr>
      </w:pPr>
      <w:r>
        <w:rPr>
          <w:rFonts w:hint="eastAsia"/>
          <w:sz w:val="24"/>
        </w:rPr>
        <w:t>1.征集人：指组织本项目采购的</w:t>
      </w:r>
      <w:r>
        <w:rPr>
          <w:rFonts w:hint="eastAsia"/>
          <w:sz w:val="24"/>
          <w:u w:val="single"/>
        </w:rPr>
        <w:t>金华市公共资源交易中心浦江县分中心</w:t>
      </w:r>
      <w:r>
        <w:rPr>
          <w:rFonts w:hint="eastAsia"/>
          <w:sz w:val="24"/>
        </w:rPr>
        <w:t>。</w:t>
      </w:r>
    </w:p>
    <w:p>
      <w:pPr>
        <w:adjustRightInd w:val="0"/>
        <w:snapToGrid w:val="0"/>
        <w:spacing w:line="440" w:lineRule="exact"/>
        <w:ind w:firstLine="480" w:firstLineChars="200"/>
        <w:rPr>
          <w:sz w:val="24"/>
        </w:rPr>
      </w:pPr>
      <w:r>
        <w:rPr>
          <w:rFonts w:hint="eastAsia"/>
          <w:sz w:val="24"/>
        </w:rPr>
        <w:t>2.响应方：</w:t>
      </w:r>
      <w:r>
        <w:rPr>
          <w:sz w:val="24"/>
        </w:rPr>
        <w:t>指响应</w:t>
      </w:r>
      <w:r>
        <w:rPr>
          <w:rFonts w:hint="eastAsia"/>
          <w:sz w:val="24"/>
        </w:rPr>
        <w:t>征集</w:t>
      </w:r>
      <w:r>
        <w:rPr>
          <w:sz w:val="24"/>
        </w:rPr>
        <w:t>、参加</w:t>
      </w:r>
      <w:r>
        <w:rPr>
          <w:rFonts w:hint="eastAsia"/>
          <w:sz w:val="24"/>
        </w:rPr>
        <w:t>响应</w:t>
      </w:r>
      <w:r>
        <w:rPr>
          <w:sz w:val="24"/>
        </w:rPr>
        <w:t>竞争的法人、其他组织或者自然人</w:t>
      </w:r>
      <w:r>
        <w:rPr>
          <w:rFonts w:hint="eastAsia"/>
          <w:sz w:val="24"/>
        </w:rPr>
        <w:t>。</w:t>
      </w:r>
    </w:p>
    <w:p>
      <w:pPr>
        <w:adjustRightInd w:val="0"/>
        <w:snapToGrid w:val="0"/>
        <w:spacing w:line="440" w:lineRule="exact"/>
        <w:ind w:firstLine="480" w:firstLineChars="200"/>
        <w:rPr>
          <w:sz w:val="24"/>
        </w:rPr>
      </w:pPr>
      <w:r>
        <w:rPr>
          <w:rFonts w:hint="eastAsia"/>
          <w:sz w:val="24"/>
        </w:rPr>
        <w:t>3.采购人：指根据本次征集结果采购相应货物、服务项目的国家机关、事业单位和团体组织。</w:t>
      </w:r>
    </w:p>
    <w:p>
      <w:pPr>
        <w:adjustRightInd w:val="0"/>
        <w:snapToGrid w:val="0"/>
        <w:spacing w:line="440" w:lineRule="exact"/>
        <w:ind w:firstLine="480" w:firstLineChars="200"/>
        <w:rPr>
          <w:sz w:val="24"/>
        </w:rPr>
      </w:pPr>
      <w:r>
        <w:rPr>
          <w:rFonts w:hint="eastAsia"/>
          <w:sz w:val="24"/>
        </w:rPr>
        <w:t>4.货物：指征集文件规定响应方须向采购人提供的一切材料、设备、机械、仪器仪表、工具及其他有关技术资料和文字材料。</w:t>
      </w:r>
    </w:p>
    <w:p>
      <w:pPr>
        <w:adjustRightInd w:val="0"/>
        <w:snapToGrid w:val="0"/>
        <w:spacing w:line="440" w:lineRule="exact"/>
        <w:ind w:firstLine="480" w:firstLineChars="200"/>
        <w:rPr>
          <w:sz w:val="24"/>
        </w:rPr>
      </w:pPr>
      <w:r>
        <w:rPr>
          <w:rFonts w:hint="eastAsia"/>
          <w:sz w:val="24"/>
        </w:rPr>
        <w:t>5.服务：指征集文件规定响应方须承担的劳务以及其他类似的义务。</w:t>
      </w:r>
    </w:p>
    <w:p>
      <w:pPr>
        <w:adjustRightInd w:val="0"/>
        <w:snapToGrid w:val="0"/>
        <w:spacing w:line="440" w:lineRule="exact"/>
        <w:ind w:firstLine="480" w:firstLineChars="200"/>
        <w:rPr>
          <w:sz w:val="24"/>
        </w:rPr>
      </w:pPr>
      <w:r>
        <w:rPr>
          <w:rFonts w:hint="eastAsia"/>
          <w:sz w:val="24"/>
        </w:rPr>
        <w:t>6.项目：指响应方按征集文件规定向采购人提供的需求总称。</w:t>
      </w:r>
    </w:p>
    <w:p>
      <w:pPr>
        <w:adjustRightInd w:val="0"/>
        <w:snapToGrid w:val="0"/>
        <w:spacing w:line="440" w:lineRule="exact"/>
        <w:ind w:firstLine="480" w:firstLineChars="200"/>
        <w:rPr>
          <w:sz w:val="24"/>
        </w:rPr>
      </w:pPr>
      <w:r>
        <w:rPr>
          <w:rFonts w:hint="eastAsia"/>
          <w:sz w:val="24"/>
        </w:rPr>
        <w:t>7.电子交易平台：指</w:t>
      </w:r>
      <w:r>
        <w:rPr>
          <w:sz w:val="24"/>
        </w:rPr>
        <w:t>政府采购项目电子交易平台</w:t>
      </w:r>
      <w:r>
        <w:rPr>
          <w:rFonts w:hint="eastAsia"/>
          <w:sz w:val="24"/>
        </w:rPr>
        <w:t>，即</w:t>
      </w:r>
      <w:r>
        <w:rPr>
          <w:sz w:val="24"/>
        </w:rPr>
        <w:t>政采云平台。</w:t>
      </w:r>
    </w:p>
    <w:p>
      <w:pPr>
        <w:adjustRightInd w:val="0"/>
        <w:snapToGrid w:val="0"/>
        <w:spacing w:line="440" w:lineRule="exact"/>
        <w:ind w:firstLine="480" w:firstLineChars="200"/>
        <w:rPr>
          <w:sz w:val="24"/>
        </w:rPr>
      </w:pPr>
      <w:r>
        <w:rPr>
          <w:rFonts w:hint="eastAsia"/>
          <w:sz w:val="24"/>
        </w:rPr>
        <w:t>8.中小企业：</w:t>
      </w:r>
      <w:r>
        <w:rPr>
          <w:sz w:val="24"/>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440" w:lineRule="exact"/>
        <w:ind w:firstLine="480" w:firstLineChars="200"/>
        <w:rPr>
          <w:sz w:val="24"/>
        </w:rPr>
      </w:pPr>
      <w:r>
        <w:rPr>
          <w:sz w:val="24"/>
        </w:rPr>
        <w:t>符合中小企业划分标准的个体工商户，在政府采购活动中视同中小企业。</w:t>
      </w:r>
    </w:p>
    <w:p>
      <w:pPr>
        <w:pStyle w:val="4"/>
        <w:spacing w:before="0" w:after="0"/>
        <w:ind w:firstLine="424" w:firstLineChars="176"/>
        <w:rPr>
          <w:sz w:val="24"/>
        </w:rPr>
      </w:pPr>
      <w:r>
        <w:rPr>
          <w:rFonts w:hint="eastAsia"/>
          <w:sz w:val="24"/>
        </w:rPr>
        <w:t>（三）响应方及委托有关说明</w:t>
      </w:r>
    </w:p>
    <w:p>
      <w:pPr>
        <w:adjustRightInd w:val="0"/>
        <w:snapToGrid w:val="0"/>
        <w:spacing w:line="440" w:lineRule="exact"/>
        <w:ind w:firstLine="480" w:firstLineChars="200"/>
        <w:rPr>
          <w:sz w:val="24"/>
        </w:rPr>
      </w:pPr>
      <w:r>
        <w:rPr>
          <w:rFonts w:hint="eastAsia"/>
          <w:sz w:val="24"/>
        </w:rPr>
        <w:t>1.如授权代表不是法定代表人</w:t>
      </w:r>
      <w:r>
        <w:rPr>
          <w:rFonts w:hint="eastAsia" w:ascii="宋体" w:hAnsi="宋体"/>
          <w:b/>
          <w:color w:val="000000"/>
          <w:sz w:val="24"/>
        </w:rPr>
        <w:t>/执行事务合伙人</w:t>
      </w:r>
      <w:r>
        <w:rPr>
          <w:rFonts w:hint="eastAsia"/>
          <w:sz w:val="24"/>
        </w:rPr>
        <w:t>，须有法定代表人</w:t>
      </w:r>
      <w:r>
        <w:rPr>
          <w:rFonts w:hint="eastAsia" w:ascii="宋体" w:hAnsi="宋体"/>
          <w:b/>
          <w:color w:val="000000"/>
          <w:sz w:val="24"/>
        </w:rPr>
        <w:t>/执行事务合伙人</w:t>
      </w:r>
      <w:r>
        <w:rPr>
          <w:rFonts w:hint="eastAsia"/>
          <w:sz w:val="24"/>
        </w:rPr>
        <w:t>出具的授权委托书（格式见附件）。</w:t>
      </w:r>
    </w:p>
    <w:p>
      <w:pPr>
        <w:adjustRightInd w:val="0"/>
        <w:snapToGrid w:val="0"/>
        <w:spacing w:line="440" w:lineRule="exact"/>
        <w:ind w:firstLine="480" w:firstLineChars="200"/>
        <w:rPr>
          <w:sz w:val="24"/>
        </w:rPr>
      </w:pPr>
      <w:r>
        <w:rPr>
          <w:rFonts w:hint="eastAsia"/>
          <w:sz w:val="24"/>
        </w:rPr>
        <w:t>2.响应方响应所使用的资格、信誉、荣誉、业绩与企业认证等必须为本法人所拥有。响应方响应所使用的采购项目实施人员必须为响应方员工（或响应方控股公司正式员工）。</w:t>
      </w:r>
    </w:p>
    <w:p>
      <w:pPr>
        <w:adjustRightInd w:val="0"/>
        <w:snapToGrid w:val="0"/>
        <w:spacing w:line="440" w:lineRule="exact"/>
        <w:ind w:firstLine="480" w:firstLineChars="200"/>
        <w:rPr>
          <w:sz w:val="24"/>
        </w:rPr>
      </w:pPr>
      <w:r>
        <w:rPr>
          <w:rFonts w:hint="eastAsia"/>
          <w:sz w:val="24"/>
        </w:rPr>
        <w:t>3.单位负责人为同一人或者存在直接控股、管理关系的不同供应商，不得参加同一合同项下的政府采购活动。</w:t>
      </w:r>
    </w:p>
    <w:p>
      <w:pPr>
        <w:adjustRightInd w:val="0"/>
        <w:snapToGrid w:val="0"/>
        <w:spacing w:line="440" w:lineRule="exact"/>
        <w:ind w:firstLine="480" w:firstLineChars="200"/>
        <w:rPr>
          <w:sz w:val="24"/>
        </w:rPr>
      </w:pPr>
      <w:r>
        <w:rPr>
          <w:rFonts w:hint="eastAsia"/>
          <w:sz w:val="24"/>
        </w:rPr>
        <w:t>4.响应方应仔细阅读征集文件的所有内容，按照征集文件的要求提交响应文件，并对所提供的全部资料的真实性承担法律责任。</w:t>
      </w:r>
    </w:p>
    <w:p>
      <w:pPr>
        <w:pStyle w:val="4"/>
        <w:spacing w:before="0" w:after="0"/>
        <w:ind w:firstLine="424" w:firstLineChars="176"/>
        <w:rPr>
          <w:sz w:val="24"/>
        </w:rPr>
      </w:pPr>
      <w:r>
        <w:rPr>
          <w:rFonts w:hint="eastAsia"/>
          <w:sz w:val="24"/>
        </w:rPr>
        <w:t>（四）响应费用</w:t>
      </w:r>
    </w:p>
    <w:p>
      <w:pPr>
        <w:adjustRightInd w:val="0"/>
        <w:snapToGrid w:val="0"/>
        <w:spacing w:line="440" w:lineRule="exact"/>
        <w:ind w:firstLine="480" w:firstLineChars="200"/>
        <w:rPr>
          <w:sz w:val="24"/>
        </w:rPr>
      </w:pPr>
      <w:r>
        <w:rPr>
          <w:rFonts w:hint="eastAsia"/>
          <w:sz w:val="24"/>
        </w:rPr>
        <w:t>不论响应结果如何，响应方均应自行承担所有与响应有关的全部费用（征集文件有其他相反规定除外）。</w:t>
      </w:r>
    </w:p>
    <w:p>
      <w:pPr>
        <w:pStyle w:val="4"/>
        <w:spacing w:before="0" w:after="0"/>
        <w:ind w:firstLine="424" w:firstLineChars="176"/>
        <w:rPr>
          <w:sz w:val="24"/>
        </w:rPr>
      </w:pPr>
      <w:r>
        <w:rPr>
          <w:rFonts w:hint="eastAsia"/>
          <w:sz w:val="24"/>
        </w:rPr>
        <w:t>（五）质疑</w:t>
      </w:r>
    </w:p>
    <w:p>
      <w:pPr>
        <w:adjustRightInd w:val="0"/>
        <w:snapToGrid w:val="0"/>
        <w:spacing w:line="440" w:lineRule="exact"/>
        <w:ind w:firstLine="480" w:firstLineChars="200"/>
        <w:rPr>
          <w:sz w:val="24"/>
        </w:rPr>
      </w:pPr>
      <w:r>
        <w:rPr>
          <w:rFonts w:hint="eastAsia"/>
          <w:sz w:val="24"/>
        </w:rPr>
        <w:t>1.响应方认为征集过程或入围结果使自己的合法权益受到损害的，可以在入围结果公告期限届满之日起七个工作日内，以书面形式向征集人提出质疑。</w:t>
      </w:r>
    </w:p>
    <w:p>
      <w:pPr>
        <w:adjustRightInd w:val="0"/>
        <w:snapToGrid w:val="0"/>
        <w:spacing w:line="440" w:lineRule="exact"/>
        <w:ind w:firstLine="480" w:firstLineChars="200"/>
        <w:rPr>
          <w:sz w:val="24"/>
        </w:rPr>
      </w:pPr>
      <w:r>
        <w:rPr>
          <w:rFonts w:hint="eastAsia"/>
          <w:sz w:val="24"/>
        </w:rPr>
        <w:t xml:space="preserve"> 2.质疑应当以书面形式提出，格式见《政府采购质疑和投诉办法》（财政部令第94号）附件范本，下载网址：浙江政府采购网，位置：“首页－下载专区－质疑投诉模板”。供应商提出质疑应当提交质疑函和必要的证明材料。供应商应当在法定质疑期内一次性提出针对同一采购程序环节的质疑。</w:t>
      </w:r>
    </w:p>
    <w:p>
      <w:pPr>
        <w:adjustRightInd w:val="0"/>
        <w:snapToGrid w:val="0"/>
        <w:spacing w:line="440" w:lineRule="exact"/>
        <w:ind w:firstLine="480" w:firstLineChars="200"/>
        <w:rPr>
          <w:sz w:val="24"/>
        </w:rPr>
      </w:pPr>
      <w:r>
        <w:rPr>
          <w:rFonts w:hint="eastAsia"/>
          <w:sz w:val="24"/>
        </w:rPr>
        <w:t>质疑函应当包括下列内容：</w:t>
      </w:r>
    </w:p>
    <w:p>
      <w:pPr>
        <w:adjustRightInd w:val="0"/>
        <w:snapToGrid w:val="0"/>
        <w:spacing w:line="440" w:lineRule="exact"/>
        <w:ind w:firstLine="480" w:firstLineChars="200"/>
        <w:rPr>
          <w:sz w:val="24"/>
        </w:rPr>
      </w:pPr>
      <w:r>
        <w:rPr>
          <w:rFonts w:hint="eastAsia"/>
          <w:sz w:val="24"/>
        </w:rPr>
        <w:t>⑴供应商的姓名或者名称、地址、邮编、联系人及联系电话；</w:t>
      </w:r>
    </w:p>
    <w:p>
      <w:pPr>
        <w:adjustRightInd w:val="0"/>
        <w:snapToGrid w:val="0"/>
        <w:spacing w:line="440" w:lineRule="exact"/>
        <w:ind w:firstLine="480" w:firstLineChars="200"/>
        <w:rPr>
          <w:sz w:val="24"/>
        </w:rPr>
      </w:pPr>
      <w:r>
        <w:rPr>
          <w:rFonts w:hint="eastAsia"/>
          <w:sz w:val="24"/>
        </w:rPr>
        <w:t>⑵质疑项目的名称、编号；</w:t>
      </w:r>
    </w:p>
    <w:p>
      <w:pPr>
        <w:adjustRightInd w:val="0"/>
        <w:snapToGrid w:val="0"/>
        <w:spacing w:line="440" w:lineRule="exact"/>
        <w:ind w:firstLine="480" w:firstLineChars="200"/>
        <w:rPr>
          <w:sz w:val="24"/>
        </w:rPr>
      </w:pPr>
      <w:r>
        <w:rPr>
          <w:rFonts w:hint="eastAsia"/>
          <w:sz w:val="24"/>
        </w:rPr>
        <w:t>⑶具体、明确的质疑事项和与质疑事项相关的请求；</w:t>
      </w:r>
    </w:p>
    <w:p>
      <w:pPr>
        <w:adjustRightInd w:val="0"/>
        <w:snapToGrid w:val="0"/>
        <w:spacing w:line="440" w:lineRule="exact"/>
        <w:ind w:firstLine="480" w:firstLineChars="200"/>
        <w:rPr>
          <w:sz w:val="24"/>
        </w:rPr>
      </w:pPr>
      <w:r>
        <w:rPr>
          <w:rFonts w:hint="eastAsia"/>
          <w:sz w:val="24"/>
        </w:rPr>
        <w:t>⑷事实依据；</w:t>
      </w:r>
    </w:p>
    <w:p>
      <w:pPr>
        <w:adjustRightInd w:val="0"/>
        <w:snapToGrid w:val="0"/>
        <w:spacing w:line="440" w:lineRule="exact"/>
        <w:ind w:firstLine="480" w:firstLineChars="200"/>
        <w:rPr>
          <w:sz w:val="24"/>
        </w:rPr>
      </w:pPr>
      <w:r>
        <w:rPr>
          <w:rFonts w:hint="eastAsia"/>
          <w:sz w:val="24"/>
        </w:rPr>
        <w:t>⑸必要的法律依据；</w:t>
      </w:r>
    </w:p>
    <w:p>
      <w:pPr>
        <w:adjustRightInd w:val="0"/>
        <w:snapToGrid w:val="0"/>
        <w:spacing w:line="440" w:lineRule="exact"/>
        <w:ind w:firstLine="480" w:firstLineChars="200"/>
        <w:rPr>
          <w:sz w:val="24"/>
        </w:rPr>
      </w:pPr>
      <w:r>
        <w:rPr>
          <w:rFonts w:hint="eastAsia"/>
          <w:sz w:val="24"/>
        </w:rPr>
        <w:t>⑹提出质疑的日期。</w:t>
      </w:r>
    </w:p>
    <w:p>
      <w:pPr>
        <w:adjustRightInd w:val="0"/>
        <w:snapToGrid w:val="0"/>
        <w:spacing w:line="440" w:lineRule="exact"/>
        <w:ind w:firstLine="480" w:firstLineChars="200"/>
        <w:rPr>
          <w:sz w:val="24"/>
        </w:rPr>
      </w:pPr>
      <w:r>
        <w:rPr>
          <w:rFonts w:hint="eastAsia"/>
          <w:sz w:val="24"/>
        </w:rPr>
        <w:t>供应商为自然人的，应当由本人签字；供应商为法人或者其他组织的，应当由法定代表人、主要负责人，或者其授权代表签字或者盖章，并加盖公章。质疑应明确阐述征集过程或入围结果中使自己合法权益受到损害的实质性内容，提供相关事实、依据和证据及其来源或线索，便于有关单位调查、答复和处理，质疑函不符合《政府采购质疑和投诉办法》相关规定的，应在规定期限内补齐的，征集人自收到补齐材料之日起受理；逾期未补齐的，按自动撤回质疑处理。</w:t>
      </w:r>
    </w:p>
    <w:p>
      <w:pPr>
        <w:pStyle w:val="4"/>
        <w:spacing w:before="0" w:after="0"/>
        <w:ind w:firstLine="424" w:firstLineChars="176"/>
        <w:rPr>
          <w:sz w:val="24"/>
        </w:rPr>
      </w:pPr>
      <w:r>
        <w:rPr>
          <w:rFonts w:hint="eastAsia"/>
          <w:sz w:val="24"/>
        </w:rPr>
        <w:t xml:space="preserve">（六）征集文件的澄清与修改 </w:t>
      </w:r>
    </w:p>
    <w:p>
      <w:pPr>
        <w:adjustRightInd w:val="0"/>
        <w:snapToGrid w:val="0"/>
        <w:spacing w:line="440" w:lineRule="exact"/>
        <w:ind w:firstLine="480" w:firstLineChars="200"/>
        <w:rPr>
          <w:sz w:val="24"/>
        </w:rPr>
      </w:pPr>
      <w:r>
        <w:rPr>
          <w:rFonts w:hint="eastAsia"/>
          <w:sz w:val="24"/>
        </w:rPr>
        <w:t>1.响应方应认真阅读本征集文件，发现其中有误或有不合理要求的，响应方应当于公告发布之日起至公告期限满第7个工作日内以书面形式向征集人提出。征集人将在规定的时间内，在财政部门指定的政府采购信息发布媒体上发布更正公告，并以书面形式通知所有征集文件收受人。逾期提出征集人将不予受理。</w:t>
      </w:r>
    </w:p>
    <w:p>
      <w:pPr>
        <w:adjustRightInd w:val="0"/>
        <w:snapToGrid w:val="0"/>
        <w:spacing w:line="440" w:lineRule="exact"/>
        <w:ind w:firstLine="480" w:firstLineChars="200"/>
        <w:rPr>
          <w:sz w:val="24"/>
        </w:rPr>
      </w:pPr>
      <w:r>
        <w:rPr>
          <w:rFonts w:hint="eastAsia"/>
          <w:sz w:val="24"/>
        </w:rPr>
        <w:t>2.征集人主动进行的澄清、修改：征集人无论出于何种原因，均可主动对征集文件中的相关事项，用补充文件等方式进行澄清和修改。</w:t>
      </w:r>
    </w:p>
    <w:p>
      <w:pPr>
        <w:adjustRightInd w:val="0"/>
        <w:snapToGrid w:val="0"/>
        <w:spacing w:line="440" w:lineRule="exact"/>
        <w:ind w:firstLine="480" w:firstLineChars="200"/>
        <w:rPr>
          <w:sz w:val="24"/>
        </w:rPr>
      </w:pPr>
      <w:r>
        <w:rPr>
          <w:rFonts w:hint="eastAsia"/>
          <w:sz w:val="24"/>
        </w:rPr>
        <w:t>3.征集文件澄清、答复、修改、补充的内容为征集文件的组成部分。当征集文件与征集文件的答复、澄清、修改、补充通知就同一内容的表述不一致时，以最后发出的书面文件为准。</w:t>
      </w:r>
    </w:p>
    <w:p>
      <w:pPr>
        <w:pStyle w:val="3"/>
        <w:spacing w:before="0" w:after="0" w:line="360" w:lineRule="auto"/>
        <w:ind w:firstLine="424" w:firstLineChars="151"/>
        <w:rPr>
          <w:sz w:val="28"/>
        </w:rPr>
      </w:pPr>
      <w:r>
        <w:rPr>
          <w:rFonts w:hint="eastAsia"/>
          <w:sz w:val="28"/>
        </w:rPr>
        <w:t>二、响应文件的编制</w:t>
      </w:r>
    </w:p>
    <w:p>
      <w:pPr>
        <w:pStyle w:val="4"/>
        <w:spacing w:before="0" w:after="0"/>
        <w:ind w:firstLine="424" w:firstLineChars="176"/>
        <w:rPr>
          <w:sz w:val="24"/>
        </w:rPr>
      </w:pPr>
      <w:r>
        <w:rPr>
          <w:rFonts w:hint="eastAsia"/>
          <w:sz w:val="24"/>
        </w:rPr>
        <w:t>（一）响应文件编制工具</w:t>
      </w:r>
    </w:p>
    <w:p>
      <w:pPr>
        <w:adjustRightInd w:val="0"/>
        <w:snapToGrid w:val="0"/>
        <w:spacing w:line="440" w:lineRule="exact"/>
        <w:ind w:firstLine="480" w:firstLineChars="200"/>
        <w:rPr>
          <w:sz w:val="24"/>
        </w:rPr>
      </w:pPr>
      <w:r>
        <w:rPr>
          <w:rFonts w:hint="eastAsia"/>
          <w:sz w:val="24"/>
        </w:rPr>
        <w:t>响应文件编制工具为</w:t>
      </w:r>
      <w:r>
        <w:rPr>
          <w:sz w:val="24"/>
        </w:rPr>
        <w:t>政采云电子交易客户端</w:t>
      </w:r>
      <w:r>
        <w:rPr>
          <w:rFonts w:hint="eastAsia"/>
          <w:sz w:val="24"/>
        </w:rPr>
        <w:t>自行下载并安装，请自行前往浙江省政府采购网下载并安装。</w:t>
      </w:r>
    </w:p>
    <w:p>
      <w:pPr>
        <w:pStyle w:val="4"/>
        <w:spacing w:before="0" w:after="0"/>
        <w:ind w:firstLine="424" w:firstLineChars="176"/>
        <w:rPr>
          <w:sz w:val="24"/>
        </w:rPr>
      </w:pPr>
      <w:r>
        <w:rPr>
          <w:rFonts w:hint="eastAsia"/>
          <w:sz w:val="24"/>
        </w:rPr>
        <w:t>（二）响应文件的效力</w:t>
      </w:r>
    </w:p>
    <w:p>
      <w:pPr>
        <w:adjustRightInd w:val="0"/>
        <w:snapToGrid w:val="0"/>
        <w:spacing w:line="440" w:lineRule="exact"/>
        <w:ind w:firstLine="480" w:firstLineChars="200"/>
      </w:pPr>
      <w:r>
        <w:rPr>
          <w:rFonts w:hint="eastAsia"/>
          <w:sz w:val="24"/>
        </w:rPr>
        <w:t>电子响应文件未按时解密，响应方提供了备份响应文件的，以备份响应文件作为依据，否则视为响应文件撤回。电子响应文件已按时解密的，备份响应文件自动失效。</w:t>
      </w:r>
    </w:p>
    <w:p>
      <w:pPr>
        <w:pStyle w:val="4"/>
        <w:spacing w:before="0" w:after="0"/>
        <w:ind w:firstLine="424" w:firstLineChars="176"/>
        <w:rPr>
          <w:sz w:val="24"/>
        </w:rPr>
      </w:pPr>
      <w:r>
        <w:rPr>
          <w:rFonts w:hint="eastAsia"/>
          <w:sz w:val="24"/>
        </w:rPr>
        <w:t>（三）响应文件的组成</w:t>
      </w:r>
    </w:p>
    <w:p>
      <w:pPr>
        <w:spacing w:line="360" w:lineRule="auto"/>
        <w:ind w:firstLine="480" w:firstLineChars="200"/>
        <w:rPr>
          <w:sz w:val="24"/>
        </w:rPr>
      </w:pPr>
      <w:r>
        <w:rPr>
          <w:rFonts w:hint="eastAsia"/>
          <w:sz w:val="24"/>
        </w:rPr>
        <w:t>本项目所称响应文件系指电子响应文件或备份响应文件。▲响应文件需按照本征集文件和电子交易平台的要求制作、加密并递交。</w:t>
      </w:r>
    </w:p>
    <w:p>
      <w:pPr>
        <w:spacing w:line="360" w:lineRule="auto"/>
        <w:ind w:firstLine="480" w:firstLineChars="200"/>
        <w:rPr>
          <w:sz w:val="24"/>
        </w:rPr>
      </w:pPr>
      <w:r>
        <w:rPr>
          <w:rFonts w:hint="eastAsia"/>
          <w:sz w:val="24"/>
        </w:rPr>
        <w:t>电子响应文件每个标项由资格响应文件、技术商务文件、报价文件三部分组成。备份响应文件的组成和内容等同电子响应文件。备份电子投标文件，按政采云平台项目采购－电子招投标操作指南中上传的电子投标文件格式，以光盘或U盘形式提供。数量为1份。</w:t>
      </w:r>
    </w:p>
    <w:p>
      <w:pPr>
        <w:spacing w:line="360" w:lineRule="auto"/>
        <w:ind w:firstLine="480" w:firstLineChars="200"/>
        <w:rPr>
          <w:sz w:val="24"/>
        </w:rPr>
      </w:pPr>
      <w:r>
        <w:rPr>
          <w:rFonts w:hint="eastAsia"/>
          <w:sz w:val="24"/>
        </w:rPr>
        <w:t>注：法定代表人/执行事务合伙人授权委托书、响应声明书、报价明细表必须按征集文件格式要求正确签署并加盖响应方公章。响应文件中所须加盖公章部分均采用CA签章。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360" w:lineRule="auto"/>
              <w:rPr>
                <w:b/>
                <w:sz w:val="24"/>
              </w:rPr>
            </w:pPr>
            <w:r>
              <w:rPr>
                <w:rFonts w:hint="eastAsia"/>
                <w:b/>
                <w:sz w:val="24"/>
              </w:rPr>
              <w:t>资格响应文件目录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序号</w:t>
            </w:r>
          </w:p>
        </w:tc>
        <w:tc>
          <w:tcPr>
            <w:tcW w:w="3119" w:type="dxa"/>
          </w:tcPr>
          <w:p>
            <w:pPr>
              <w:spacing w:line="360" w:lineRule="auto"/>
              <w:jc w:val="center"/>
              <w:rPr>
                <w:sz w:val="24"/>
              </w:rPr>
            </w:pPr>
            <w:r>
              <w:rPr>
                <w:rFonts w:hint="eastAsia"/>
                <w:sz w:val="24"/>
              </w:rPr>
              <w:t>内容</w:t>
            </w:r>
          </w:p>
        </w:tc>
        <w:tc>
          <w:tcPr>
            <w:tcW w:w="4586" w:type="dxa"/>
          </w:tcPr>
          <w:p>
            <w:pPr>
              <w:spacing w:line="360" w:lineRule="auto"/>
              <w:jc w:val="cente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1</w:t>
            </w:r>
          </w:p>
        </w:tc>
        <w:tc>
          <w:tcPr>
            <w:tcW w:w="3119" w:type="dxa"/>
          </w:tcPr>
          <w:p>
            <w:pPr>
              <w:spacing w:line="360" w:lineRule="auto"/>
              <w:rPr>
                <w:sz w:val="24"/>
              </w:rPr>
            </w:pPr>
            <w:r>
              <w:rPr>
                <w:rFonts w:hint="eastAsia"/>
                <w:sz w:val="24"/>
              </w:rPr>
              <w:t>▲响应声明书</w:t>
            </w:r>
          </w:p>
        </w:tc>
        <w:tc>
          <w:tcPr>
            <w:tcW w:w="4586" w:type="dxa"/>
          </w:tcPr>
          <w:p>
            <w:pPr>
              <w:spacing w:line="360" w:lineRule="auto"/>
              <w:rPr>
                <w:sz w:val="24"/>
              </w:rPr>
            </w:pPr>
            <w:r>
              <w:rPr>
                <w:rFonts w:hint="eastAsia"/>
                <w:sz w:val="24"/>
              </w:rPr>
              <w:t>格式见《第六章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2</w:t>
            </w:r>
          </w:p>
        </w:tc>
        <w:tc>
          <w:tcPr>
            <w:tcW w:w="3119" w:type="dxa"/>
          </w:tcPr>
          <w:p>
            <w:pPr>
              <w:spacing w:line="360" w:lineRule="auto"/>
              <w:rPr>
                <w:sz w:val="24"/>
              </w:rPr>
            </w:pPr>
            <w:r>
              <w:rPr>
                <w:rFonts w:hint="eastAsia"/>
                <w:sz w:val="24"/>
              </w:rPr>
              <w:t>▲法定代表人/执行事务合伙人授权委托书</w:t>
            </w:r>
          </w:p>
        </w:tc>
        <w:tc>
          <w:tcPr>
            <w:tcW w:w="4586" w:type="dxa"/>
          </w:tcPr>
          <w:p>
            <w:pPr>
              <w:spacing w:line="360" w:lineRule="auto"/>
              <w:rPr>
                <w:sz w:val="24"/>
              </w:rPr>
            </w:pPr>
            <w:r>
              <w:rPr>
                <w:rFonts w:hint="eastAsia"/>
                <w:sz w:val="24"/>
              </w:rPr>
              <w:t>格式见《第六章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3</w:t>
            </w:r>
          </w:p>
        </w:tc>
        <w:tc>
          <w:tcPr>
            <w:tcW w:w="3119" w:type="dxa"/>
          </w:tcPr>
          <w:p>
            <w:pPr>
              <w:spacing w:line="360" w:lineRule="auto"/>
              <w:rPr>
                <w:sz w:val="24"/>
              </w:rPr>
            </w:pPr>
            <w:r>
              <w:rPr>
                <w:rFonts w:hint="eastAsia"/>
                <w:sz w:val="24"/>
              </w:rPr>
              <w:t>▲有效的营业执照</w:t>
            </w:r>
          </w:p>
        </w:tc>
        <w:tc>
          <w:tcPr>
            <w:tcW w:w="4586" w:type="dxa"/>
          </w:tcPr>
          <w:p>
            <w:pPr>
              <w:spacing w:line="360" w:lineRule="auto"/>
              <w:rPr>
                <w:sz w:val="24"/>
              </w:rPr>
            </w:pPr>
            <w:r>
              <w:rPr>
                <w:rFonts w:hint="eastAsia"/>
                <w:sz w:val="24"/>
              </w:rPr>
              <w:t>营业执照正本或副本扫描件并加盖响应供应商单位公章；事业单位的，则提供有效的《事业单位法人证书》正本或副本扫描件并加盖公章；自然人的，则提供有效的身份证扫描件并签字。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4</w:t>
            </w:r>
          </w:p>
        </w:tc>
        <w:tc>
          <w:tcPr>
            <w:tcW w:w="3119" w:type="dxa"/>
          </w:tcPr>
          <w:p>
            <w:pPr>
              <w:spacing w:line="360" w:lineRule="auto"/>
              <w:rPr>
                <w:sz w:val="24"/>
              </w:rPr>
            </w:pPr>
            <w:r>
              <w:rPr>
                <w:rFonts w:hint="eastAsia"/>
                <w:sz w:val="24"/>
              </w:rPr>
              <w:t>▲特定资格条件</w:t>
            </w:r>
          </w:p>
        </w:tc>
        <w:tc>
          <w:tcPr>
            <w:tcW w:w="4586" w:type="dxa"/>
          </w:tcPr>
          <w:p>
            <w:pPr>
              <w:spacing w:line="360" w:lineRule="auto"/>
              <w:rPr>
                <w:sz w:val="24"/>
              </w:rPr>
            </w:pPr>
            <w:r>
              <w:rPr>
                <w:rFonts w:hint="eastAsia"/>
                <w:sz w:val="24"/>
              </w:rPr>
              <w:t>根据项目要求提供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5</w:t>
            </w:r>
          </w:p>
        </w:tc>
        <w:tc>
          <w:tcPr>
            <w:tcW w:w="3119" w:type="dxa"/>
          </w:tcPr>
          <w:p>
            <w:pPr>
              <w:spacing w:line="360" w:lineRule="auto"/>
              <w:rPr>
                <w:sz w:val="24"/>
              </w:rPr>
            </w:pPr>
            <w:r>
              <w:rPr>
                <w:rFonts w:hint="eastAsia"/>
                <w:sz w:val="24"/>
              </w:rPr>
              <w:t>响应方认为有必要提供的其他文件</w:t>
            </w:r>
          </w:p>
        </w:tc>
        <w:tc>
          <w:tcPr>
            <w:tcW w:w="4586" w:type="dxa"/>
          </w:tcPr>
          <w:p>
            <w:pPr>
              <w:spacing w:line="360" w:lineRule="auto"/>
              <w:rPr>
                <w:sz w:val="24"/>
              </w:rPr>
            </w:pPr>
            <w:r>
              <w:rPr>
                <w:rFonts w:hint="eastAsia"/>
                <w:sz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360" w:lineRule="auto"/>
              <w:rPr>
                <w:b/>
                <w:sz w:val="24"/>
              </w:rPr>
            </w:pPr>
            <w:r>
              <w:rPr>
                <w:rFonts w:hint="eastAsia"/>
                <w:b/>
                <w:sz w:val="24"/>
              </w:rPr>
              <w:t>技术商务文件目录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序号</w:t>
            </w:r>
          </w:p>
        </w:tc>
        <w:tc>
          <w:tcPr>
            <w:tcW w:w="3119" w:type="dxa"/>
          </w:tcPr>
          <w:p>
            <w:pPr>
              <w:spacing w:line="360" w:lineRule="auto"/>
              <w:jc w:val="center"/>
              <w:rPr>
                <w:sz w:val="24"/>
              </w:rPr>
            </w:pPr>
            <w:r>
              <w:rPr>
                <w:rFonts w:hint="eastAsia"/>
                <w:sz w:val="24"/>
              </w:rPr>
              <w:t>内容</w:t>
            </w:r>
          </w:p>
        </w:tc>
        <w:tc>
          <w:tcPr>
            <w:tcW w:w="4586" w:type="dxa"/>
          </w:tcPr>
          <w:p>
            <w:pPr>
              <w:spacing w:line="360" w:lineRule="auto"/>
              <w:jc w:val="cente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1</w:t>
            </w:r>
          </w:p>
        </w:tc>
        <w:tc>
          <w:tcPr>
            <w:tcW w:w="3119" w:type="dxa"/>
          </w:tcPr>
          <w:p>
            <w:pPr>
              <w:spacing w:line="360" w:lineRule="auto"/>
              <w:rPr>
                <w:sz w:val="24"/>
              </w:rPr>
            </w:pPr>
            <w:r>
              <w:rPr>
                <w:rFonts w:hint="eastAsia"/>
                <w:sz w:val="24"/>
              </w:rPr>
              <w:t>▲承诺书</w:t>
            </w:r>
          </w:p>
        </w:tc>
        <w:tc>
          <w:tcPr>
            <w:tcW w:w="4586" w:type="dxa"/>
          </w:tcPr>
          <w:p>
            <w:pPr>
              <w:spacing w:line="360" w:lineRule="auto"/>
              <w:rPr>
                <w:sz w:val="24"/>
              </w:rPr>
            </w:pPr>
            <w:r>
              <w:rPr>
                <w:rFonts w:hint="eastAsia"/>
                <w:sz w:val="24"/>
              </w:rPr>
              <w:t>格式见《第六章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2</w:t>
            </w:r>
          </w:p>
        </w:tc>
        <w:tc>
          <w:tcPr>
            <w:tcW w:w="3119" w:type="dxa"/>
          </w:tcPr>
          <w:p>
            <w:pPr>
              <w:spacing w:line="360" w:lineRule="auto"/>
              <w:rPr>
                <w:sz w:val="24"/>
              </w:rPr>
            </w:pPr>
            <w:r>
              <w:rPr>
                <w:rFonts w:hint="eastAsia"/>
                <w:sz w:val="24"/>
              </w:rPr>
              <w:t>▲管理制度</w:t>
            </w:r>
          </w:p>
        </w:tc>
        <w:tc>
          <w:tcPr>
            <w:tcW w:w="4586" w:type="dxa"/>
          </w:tcPr>
          <w:p>
            <w:pPr>
              <w:spacing w:line="360" w:lineRule="auto"/>
              <w:rPr>
                <w:sz w:val="24"/>
              </w:rPr>
            </w:pPr>
            <w:r>
              <w:rPr>
                <w:rFonts w:hint="eastAsia"/>
                <w:sz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3</w:t>
            </w:r>
          </w:p>
        </w:tc>
        <w:tc>
          <w:tcPr>
            <w:tcW w:w="3119" w:type="dxa"/>
          </w:tcPr>
          <w:p>
            <w:pPr>
              <w:spacing w:line="360" w:lineRule="auto"/>
              <w:rPr>
                <w:sz w:val="24"/>
              </w:rPr>
            </w:pPr>
            <w:r>
              <w:rPr>
                <w:rFonts w:hint="eastAsia"/>
                <w:sz w:val="24"/>
              </w:rPr>
              <w:t>针对本项目的技术和服务方案</w:t>
            </w:r>
          </w:p>
        </w:tc>
        <w:tc>
          <w:tcPr>
            <w:tcW w:w="4586" w:type="dxa"/>
          </w:tcPr>
          <w:p>
            <w:pPr>
              <w:spacing w:line="360" w:lineRule="auto"/>
              <w:rPr>
                <w:sz w:val="24"/>
              </w:rPr>
            </w:pPr>
            <w:r>
              <w:rPr>
                <w:rFonts w:hint="eastAsia"/>
                <w:sz w:val="24"/>
              </w:rPr>
              <w:t>根据项目需求自行编制，包括但不限于对重大专项政策的理解和掌握，结合项目的特点提出服务的定位、目标及标准等，详细说明如何保证服务质量，有效保证项目进度的措施以及实施过程中突发事件处理机制与预案、本地化服务等（可按类说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4</w:t>
            </w:r>
          </w:p>
        </w:tc>
        <w:tc>
          <w:tcPr>
            <w:tcW w:w="3119" w:type="dxa"/>
          </w:tcPr>
          <w:p>
            <w:pPr>
              <w:spacing w:line="360" w:lineRule="auto"/>
              <w:rPr>
                <w:sz w:val="24"/>
              </w:rPr>
            </w:pPr>
            <w:r>
              <w:rPr>
                <w:rFonts w:hint="eastAsia"/>
                <w:sz w:val="24"/>
              </w:rPr>
              <w:t>▲项目组人员清单</w:t>
            </w:r>
          </w:p>
        </w:tc>
        <w:tc>
          <w:tcPr>
            <w:tcW w:w="4586" w:type="dxa"/>
          </w:tcPr>
          <w:p>
            <w:pPr>
              <w:spacing w:line="360" w:lineRule="auto"/>
              <w:rPr>
                <w:sz w:val="24"/>
              </w:rPr>
            </w:pPr>
            <w:r>
              <w:rPr>
                <w:rFonts w:hint="eastAsia"/>
                <w:sz w:val="24"/>
              </w:rPr>
              <w:t>格式见《第六章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5</w:t>
            </w:r>
          </w:p>
        </w:tc>
        <w:tc>
          <w:tcPr>
            <w:tcW w:w="3119" w:type="dxa"/>
          </w:tcPr>
          <w:p>
            <w:pPr>
              <w:spacing w:line="360" w:lineRule="auto"/>
              <w:rPr>
                <w:sz w:val="24"/>
              </w:rPr>
            </w:pPr>
            <w:r>
              <w:rPr>
                <w:rFonts w:hint="eastAsia"/>
                <w:sz w:val="24"/>
              </w:rPr>
              <w:t>响应方履约能力</w:t>
            </w:r>
          </w:p>
        </w:tc>
        <w:tc>
          <w:tcPr>
            <w:tcW w:w="4586" w:type="dxa"/>
          </w:tcPr>
          <w:p>
            <w:pPr>
              <w:spacing w:line="360" w:lineRule="auto"/>
              <w:rPr>
                <w:sz w:val="24"/>
              </w:rPr>
            </w:pPr>
            <w:r>
              <w:rPr>
                <w:rFonts w:hint="eastAsia"/>
                <w:sz w:val="24"/>
              </w:rPr>
              <w:t>可包含且不限于技术力量情况、响应方各项能力证书、人员执业证书、项目组人员工作经验等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6</w:t>
            </w:r>
          </w:p>
        </w:tc>
        <w:tc>
          <w:tcPr>
            <w:tcW w:w="3119" w:type="dxa"/>
          </w:tcPr>
          <w:p>
            <w:pPr>
              <w:spacing w:line="360" w:lineRule="auto"/>
              <w:rPr>
                <w:sz w:val="24"/>
              </w:rPr>
            </w:pPr>
            <w:r>
              <w:rPr>
                <w:rFonts w:hint="eastAsia"/>
                <w:sz w:val="24"/>
              </w:rPr>
              <w:t>业绩情况一览表</w:t>
            </w:r>
          </w:p>
        </w:tc>
        <w:tc>
          <w:tcPr>
            <w:tcW w:w="4586" w:type="dxa"/>
          </w:tcPr>
          <w:p>
            <w:pPr>
              <w:spacing w:line="360" w:lineRule="auto"/>
              <w:rPr>
                <w:rFonts w:ascii="宋体" w:hAnsi="宋体" w:eastAsia="宋体" w:cs="宋体"/>
                <w:sz w:val="20"/>
                <w:szCs w:val="20"/>
              </w:rPr>
            </w:pPr>
            <w:r>
              <w:rPr>
                <w:rFonts w:hint="eastAsia"/>
                <w:sz w:val="24"/>
              </w:rPr>
              <w:t>格式见《第六章 响应文件格式》并按评审标准提供相应资料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7</w:t>
            </w:r>
          </w:p>
        </w:tc>
        <w:tc>
          <w:tcPr>
            <w:tcW w:w="3119" w:type="dxa"/>
          </w:tcPr>
          <w:p>
            <w:pPr>
              <w:spacing w:line="360" w:lineRule="auto"/>
              <w:rPr>
                <w:sz w:val="24"/>
              </w:rPr>
            </w:pPr>
            <w:r>
              <w:rPr>
                <w:rFonts w:hint="eastAsia"/>
                <w:sz w:val="24"/>
              </w:rPr>
              <w:t>响应方认为需要的其他文件资料</w:t>
            </w:r>
          </w:p>
        </w:tc>
        <w:tc>
          <w:tcPr>
            <w:tcW w:w="4586" w:type="dxa"/>
          </w:tcPr>
          <w:p>
            <w:pPr>
              <w:spacing w:line="360" w:lineRule="auto"/>
              <w:rPr>
                <w:sz w:val="24"/>
              </w:rPr>
            </w:pPr>
            <w:r>
              <w:rPr>
                <w:rFonts w:hint="eastAsia"/>
                <w:sz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360" w:lineRule="auto"/>
              <w:rPr>
                <w:b/>
                <w:sz w:val="24"/>
              </w:rPr>
            </w:pPr>
            <w:r>
              <w:rPr>
                <w:rFonts w:hint="eastAsia"/>
                <w:b/>
                <w:sz w:val="24"/>
              </w:rPr>
              <w:t>报价文件目录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序号</w:t>
            </w:r>
          </w:p>
        </w:tc>
        <w:tc>
          <w:tcPr>
            <w:tcW w:w="3119" w:type="dxa"/>
          </w:tcPr>
          <w:p>
            <w:pPr>
              <w:spacing w:line="360" w:lineRule="auto"/>
              <w:jc w:val="center"/>
              <w:rPr>
                <w:sz w:val="24"/>
              </w:rPr>
            </w:pPr>
            <w:r>
              <w:rPr>
                <w:rFonts w:hint="eastAsia"/>
                <w:sz w:val="24"/>
              </w:rPr>
              <w:t>内容</w:t>
            </w:r>
          </w:p>
        </w:tc>
        <w:tc>
          <w:tcPr>
            <w:tcW w:w="4586" w:type="dxa"/>
          </w:tcPr>
          <w:p>
            <w:pPr>
              <w:spacing w:line="360" w:lineRule="auto"/>
              <w:jc w:val="cente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1</w:t>
            </w:r>
          </w:p>
        </w:tc>
        <w:tc>
          <w:tcPr>
            <w:tcW w:w="3119" w:type="dxa"/>
          </w:tcPr>
          <w:p>
            <w:pPr>
              <w:spacing w:line="360" w:lineRule="auto"/>
              <w:rPr>
                <w:sz w:val="24"/>
              </w:rPr>
            </w:pPr>
            <w:r>
              <w:rPr>
                <w:rFonts w:hint="eastAsia"/>
                <w:sz w:val="24"/>
              </w:rPr>
              <w:t>▲报价一览表</w:t>
            </w:r>
          </w:p>
        </w:tc>
        <w:tc>
          <w:tcPr>
            <w:tcW w:w="4586" w:type="dxa"/>
          </w:tcPr>
          <w:p>
            <w:pPr>
              <w:spacing w:line="360" w:lineRule="auto"/>
              <w:rPr>
                <w:sz w:val="24"/>
              </w:rPr>
            </w:pPr>
            <w:r>
              <w:rPr>
                <w:rFonts w:hint="eastAsia"/>
                <w:sz w:val="24"/>
              </w:rPr>
              <w:t>格式见《第六章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2</w:t>
            </w:r>
          </w:p>
        </w:tc>
        <w:tc>
          <w:tcPr>
            <w:tcW w:w="3119" w:type="dxa"/>
          </w:tcPr>
          <w:p>
            <w:pPr>
              <w:spacing w:line="360" w:lineRule="auto"/>
              <w:rPr>
                <w:sz w:val="24"/>
              </w:rPr>
            </w:pPr>
            <w:r>
              <w:rPr>
                <w:rFonts w:hint="eastAsia"/>
                <w:sz w:val="24"/>
              </w:rPr>
              <w:t>针对报价的说明</w:t>
            </w:r>
          </w:p>
        </w:tc>
        <w:tc>
          <w:tcPr>
            <w:tcW w:w="4586" w:type="dxa"/>
          </w:tcPr>
          <w:p>
            <w:pPr>
              <w:spacing w:line="360" w:lineRule="auto"/>
              <w:rPr>
                <w:sz w:val="24"/>
              </w:rPr>
            </w:pPr>
            <w:r>
              <w:rPr>
                <w:rFonts w:hint="eastAsia"/>
                <w:sz w:val="24"/>
              </w:rPr>
              <w:t>▲供应商响应折扣率低于50%的，应当在报价响应文件中详细阐述不影响诚信履约的具体原因。</w:t>
            </w:r>
            <w:r>
              <w:rPr>
                <w:rFonts w:hint="eastAsia" w:ascii="仿宋_GB2312" w:hAnsi="仿宋_GB2312" w:eastAsia="仿宋_GB2312" w:cs="仿宋_GB2312"/>
                <w:sz w:val="28"/>
                <w:szCs w:val="28"/>
              </w:rPr>
              <w:t>（</w:t>
            </w:r>
            <w:r>
              <w:rPr>
                <w:rFonts w:hint="eastAsia"/>
                <w:sz w:val="24"/>
              </w:rPr>
              <w:t>仅类似以承诺性质的说明无效，具体以评审委员会认定为准）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3</w:t>
            </w:r>
          </w:p>
        </w:tc>
        <w:tc>
          <w:tcPr>
            <w:tcW w:w="3119" w:type="dxa"/>
          </w:tcPr>
          <w:p>
            <w:pPr>
              <w:spacing w:line="360" w:lineRule="auto"/>
              <w:rPr>
                <w:sz w:val="24"/>
              </w:rPr>
            </w:pPr>
            <w:r>
              <w:rPr>
                <w:rFonts w:hint="eastAsia"/>
                <w:sz w:val="24"/>
              </w:rPr>
              <w:t>中小企业声明函</w:t>
            </w:r>
          </w:p>
        </w:tc>
        <w:tc>
          <w:tcPr>
            <w:tcW w:w="4586" w:type="dxa"/>
          </w:tcPr>
          <w:p>
            <w:pPr>
              <w:spacing w:line="360" w:lineRule="auto"/>
              <w:rPr>
                <w:sz w:val="24"/>
              </w:rPr>
            </w:pPr>
            <w:r>
              <w:rPr>
                <w:rFonts w:hint="eastAsia"/>
                <w:sz w:val="24"/>
              </w:rPr>
              <w:t>格式见《第六章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4"/>
              </w:rPr>
            </w:pPr>
            <w:r>
              <w:rPr>
                <w:rFonts w:hint="eastAsia"/>
                <w:sz w:val="24"/>
              </w:rPr>
              <w:t>4</w:t>
            </w:r>
          </w:p>
        </w:tc>
        <w:tc>
          <w:tcPr>
            <w:tcW w:w="3119" w:type="dxa"/>
          </w:tcPr>
          <w:p>
            <w:pPr>
              <w:spacing w:line="360" w:lineRule="auto"/>
              <w:rPr>
                <w:sz w:val="24"/>
              </w:rPr>
            </w:pPr>
            <w:r>
              <w:rPr>
                <w:rFonts w:hint="eastAsia"/>
                <w:sz w:val="24"/>
              </w:rPr>
              <w:t>残疾人福利企业声明函</w:t>
            </w:r>
          </w:p>
        </w:tc>
        <w:tc>
          <w:tcPr>
            <w:tcW w:w="4586" w:type="dxa"/>
          </w:tcPr>
          <w:p>
            <w:pPr>
              <w:spacing w:line="360" w:lineRule="auto"/>
              <w:rPr>
                <w:sz w:val="24"/>
              </w:rPr>
            </w:pPr>
            <w:r>
              <w:rPr>
                <w:rFonts w:hint="eastAsia"/>
                <w:sz w:val="24"/>
              </w:rPr>
              <w:t>格式见《第六章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360" w:lineRule="auto"/>
              <w:rPr>
                <w:sz w:val="24"/>
              </w:rPr>
            </w:pPr>
            <w:r>
              <w:rPr>
                <w:rFonts w:hint="eastAsia"/>
                <w:sz w:val="24"/>
              </w:rPr>
              <w:t>注：1.征集文件中标“▲”的实质性条款内容，须提供相应资料或承诺函等，附件中如有格式，按征集文件格式，若未提供则格式自拟。</w:t>
            </w:r>
          </w:p>
          <w:p>
            <w:pPr>
              <w:spacing w:line="360" w:lineRule="auto"/>
              <w:ind w:firstLine="566" w:firstLineChars="236"/>
              <w:rPr>
                <w:sz w:val="24"/>
              </w:rPr>
            </w:pPr>
            <w:r>
              <w:rPr>
                <w:rFonts w:hint="eastAsia"/>
                <w:sz w:val="24"/>
              </w:rPr>
              <w:t>2.政采云系统参数填写要求：</w:t>
            </w:r>
          </w:p>
          <w:p>
            <w:pPr>
              <w:spacing w:line="360" w:lineRule="auto"/>
              <w:ind w:firstLine="566" w:firstLineChars="236"/>
              <w:rPr>
                <w:sz w:val="24"/>
              </w:rPr>
            </w:pPr>
            <w:r>
              <w:rPr>
                <w:rFonts w:hint="eastAsia"/>
                <w:sz w:val="24"/>
              </w:rPr>
              <w:t>⑴一个标项对应一个商品；</w:t>
            </w:r>
          </w:p>
          <w:p>
            <w:pPr>
              <w:spacing w:line="360" w:lineRule="auto"/>
              <w:ind w:firstLine="566" w:firstLineChars="236"/>
              <w:rPr>
                <w:sz w:val="24"/>
              </w:rPr>
            </w:pPr>
            <w:r>
              <w:rPr>
                <w:rFonts w:hint="eastAsia"/>
                <w:sz w:val="24"/>
              </w:rPr>
              <w:t>⑵商品标题的格式：供应商名称+所响应标项的名称；</w:t>
            </w:r>
          </w:p>
          <w:p>
            <w:pPr>
              <w:spacing w:line="360" w:lineRule="auto"/>
              <w:ind w:firstLine="566" w:firstLineChars="236"/>
              <w:rPr>
                <w:sz w:val="24"/>
              </w:rPr>
            </w:pPr>
            <w:r>
              <w:rPr>
                <w:rFonts w:hint="eastAsia"/>
                <w:sz w:val="24"/>
              </w:rPr>
              <w:t>⑶商品主图：显示供应商名称或者标志标识（logo）的图片1张；</w:t>
            </w:r>
          </w:p>
          <w:p>
            <w:pPr>
              <w:spacing w:line="360" w:lineRule="auto"/>
              <w:ind w:firstLine="566" w:firstLineChars="236"/>
              <w:rPr>
                <w:sz w:val="24"/>
              </w:rPr>
            </w:pPr>
            <w:r>
              <w:rPr>
                <w:rFonts w:hint="eastAsia"/>
                <w:sz w:val="24"/>
              </w:rPr>
              <w:t>⑷其他按政采云系统提示要求填写。</w:t>
            </w:r>
          </w:p>
          <w:p>
            <w:pPr>
              <w:spacing w:line="360" w:lineRule="auto"/>
              <w:ind w:firstLine="566" w:firstLineChars="236"/>
              <w:rPr>
                <w:sz w:val="24"/>
              </w:rPr>
            </w:pPr>
            <w:r>
              <w:rPr>
                <w:rFonts w:hint="eastAsia"/>
                <w:sz w:val="24"/>
              </w:rPr>
              <w:t>▲3.供应商在总价中应充分考虑作业期间成本投入的市场风险、政策性调整及服务期间的不可预见因素，今后不再做调整。供应商在报价中应充分考虑所有可能发生的费用。</w:t>
            </w:r>
          </w:p>
          <w:p>
            <w:pPr>
              <w:spacing w:line="360" w:lineRule="auto"/>
              <w:ind w:firstLine="566" w:firstLineChars="236"/>
              <w:rPr>
                <w:sz w:val="24"/>
              </w:rPr>
            </w:pPr>
            <w:r>
              <w:rPr>
                <w:rFonts w:hint="eastAsia"/>
                <w:sz w:val="24"/>
              </w:rPr>
              <w:t>▲4.响应方对在合同执行中，除上述费用及征集文件规定的由成交人负责的工作范围以外需要采购人协调或提供便利的工作应当在响应文件中说明。</w:t>
            </w:r>
          </w:p>
          <w:p>
            <w:pPr>
              <w:spacing w:line="360" w:lineRule="auto"/>
              <w:ind w:firstLine="566" w:firstLineChars="236"/>
              <w:rPr>
                <w:sz w:val="24"/>
              </w:rPr>
            </w:pPr>
            <w:r>
              <w:rPr>
                <w:rFonts w:hint="eastAsia"/>
                <w:sz w:val="24"/>
              </w:rPr>
              <w:t>▲</w:t>
            </w:r>
            <w:r>
              <w:rPr>
                <w:rFonts w:hint="eastAsia"/>
                <w:b/>
                <w:sz w:val="24"/>
              </w:rPr>
              <w:t>5. 关于本项目价格的信息只允许出现在“报价文件”中，不得出现在资格响应文件及技术商务文件中。</w:t>
            </w:r>
          </w:p>
        </w:tc>
      </w:tr>
    </w:tbl>
    <w:p>
      <w:pPr>
        <w:pStyle w:val="4"/>
        <w:spacing w:before="0" w:after="0"/>
        <w:ind w:firstLine="424" w:firstLineChars="176"/>
        <w:rPr>
          <w:sz w:val="24"/>
        </w:rPr>
      </w:pPr>
      <w:r>
        <w:rPr>
          <w:rFonts w:hint="eastAsia"/>
          <w:sz w:val="24"/>
        </w:rPr>
        <w:t>（四）响应文件的语言及计量</w:t>
      </w:r>
    </w:p>
    <w:p>
      <w:pPr>
        <w:adjustRightInd w:val="0"/>
        <w:snapToGrid w:val="0"/>
        <w:spacing w:line="440" w:lineRule="exact"/>
        <w:ind w:firstLine="480" w:firstLineChars="200"/>
        <w:rPr>
          <w:sz w:val="24"/>
        </w:rPr>
      </w:pPr>
      <w:r>
        <w:rPr>
          <w:rFonts w:hint="eastAsia"/>
          <w:sz w:val="24"/>
        </w:rPr>
        <w:t>1.响应文件以及响应方与征集人就有关征集、响应事宜的所有来往函电，均应以中文简体字书写。除签名、盖章、专用名称等特殊情形外，响应文件中以中文汉语以外的文字表述部分视同未提供。</w:t>
      </w:r>
    </w:p>
    <w:p>
      <w:pPr>
        <w:adjustRightInd w:val="0"/>
        <w:snapToGrid w:val="0"/>
        <w:spacing w:line="440" w:lineRule="exact"/>
        <w:ind w:firstLine="480" w:firstLineChars="200"/>
        <w:rPr>
          <w:sz w:val="24"/>
        </w:rPr>
      </w:pPr>
      <w:r>
        <w:rPr>
          <w:rFonts w:hint="eastAsia"/>
          <w:sz w:val="24"/>
        </w:rPr>
        <w:t>2.响应计量单位，征集文件已有明确规定的，使用征集文件规定的计量单位；征集文件没有规定的，应采用中华人民共和国法定计量单位（货币单位：人民币元），否则将作无效处理。</w:t>
      </w:r>
    </w:p>
    <w:p>
      <w:pPr>
        <w:pStyle w:val="4"/>
        <w:spacing w:before="0" w:after="0"/>
        <w:ind w:firstLine="424" w:firstLineChars="176"/>
        <w:rPr>
          <w:sz w:val="24"/>
        </w:rPr>
      </w:pPr>
      <w:r>
        <w:rPr>
          <w:rFonts w:hint="eastAsia"/>
          <w:sz w:val="24"/>
        </w:rPr>
        <w:t>（五）响应文件的有效期</w:t>
      </w:r>
    </w:p>
    <w:p>
      <w:pPr>
        <w:adjustRightInd w:val="0"/>
        <w:snapToGrid w:val="0"/>
        <w:spacing w:line="440" w:lineRule="exact"/>
        <w:ind w:firstLine="480" w:firstLineChars="200"/>
        <w:rPr>
          <w:sz w:val="24"/>
        </w:rPr>
      </w:pPr>
      <w:r>
        <w:rPr>
          <w:rFonts w:hint="eastAsia"/>
          <w:sz w:val="24"/>
        </w:rPr>
        <w:t>1.自提交响应文件的截止之日起90天内响应文件应保持有效。有效期不足的响应文件将作无效处理。</w:t>
      </w:r>
    </w:p>
    <w:p>
      <w:pPr>
        <w:adjustRightInd w:val="0"/>
        <w:snapToGrid w:val="0"/>
        <w:spacing w:line="440" w:lineRule="exact"/>
        <w:ind w:firstLine="480" w:firstLineChars="200"/>
        <w:rPr>
          <w:sz w:val="24"/>
        </w:rPr>
      </w:pPr>
      <w:r>
        <w:rPr>
          <w:rFonts w:hint="eastAsia"/>
          <w:sz w:val="24"/>
        </w:rPr>
        <w:t>2.入围供应商的响应文件自开启之日起至合同（第一阶段、第二阶段）履行完毕止均应保持有效。</w:t>
      </w:r>
    </w:p>
    <w:p>
      <w:pPr>
        <w:pStyle w:val="4"/>
        <w:spacing w:before="0" w:after="0"/>
        <w:ind w:firstLine="424" w:firstLineChars="176"/>
        <w:rPr>
          <w:sz w:val="24"/>
        </w:rPr>
      </w:pPr>
      <w:r>
        <w:rPr>
          <w:rFonts w:hint="eastAsia"/>
          <w:sz w:val="24"/>
        </w:rPr>
        <w:t>（六）响应文件的签署和包装</w:t>
      </w:r>
    </w:p>
    <w:p>
      <w:pPr>
        <w:spacing w:line="360" w:lineRule="auto"/>
        <w:ind w:firstLine="480" w:firstLineChars="200"/>
        <w:rPr>
          <w:sz w:val="24"/>
        </w:rPr>
      </w:pPr>
      <w:r>
        <w:rPr>
          <w:rFonts w:hint="eastAsia"/>
          <w:sz w:val="24"/>
        </w:rPr>
        <w:t xml:space="preserve">1.电子响应文件部分： </w:t>
      </w:r>
    </w:p>
    <w:p>
      <w:pPr>
        <w:spacing w:line="360" w:lineRule="auto"/>
        <w:ind w:firstLine="480" w:firstLineChars="200"/>
        <w:rPr>
          <w:sz w:val="24"/>
        </w:rPr>
      </w:pPr>
      <w:r>
        <w:rPr>
          <w:rFonts w:hint="eastAsia"/>
          <w:sz w:val="24"/>
        </w:rPr>
        <w:t>（1）响应方应根据本征集文件和电子交易平台规定的格式和顺序编制电子响应文件并进行关联定位，响应文件内容不完整、编排混乱、关联错误导致响应文件被误读、漏读或者查找不到相关内容的，是响应方的责任。</w:t>
      </w:r>
    </w:p>
    <w:p>
      <w:pPr>
        <w:spacing w:line="360" w:lineRule="auto"/>
        <w:ind w:firstLine="480" w:firstLineChars="200"/>
        <w:rPr>
          <w:sz w:val="24"/>
        </w:rPr>
      </w:pPr>
      <w:r>
        <w:rPr>
          <w:rFonts w:hint="eastAsia"/>
          <w:sz w:val="24"/>
        </w:rPr>
        <w:t>（2）响应文件须由响应方在规定位置盖章并由法定代表人</w:t>
      </w:r>
      <w:r>
        <w:rPr>
          <w:rFonts w:hint="eastAsia" w:ascii="宋体" w:hAnsi="宋体"/>
          <w:b/>
          <w:color w:val="000000"/>
          <w:sz w:val="24"/>
        </w:rPr>
        <w:t>/执行事务合伙人</w:t>
      </w:r>
      <w:r>
        <w:rPr>
          <w:rFonts w:hint="eastAsia"/>
          <w:sz w:val="24"/>
        </w:rPr>
        <w:t>或授权委托人签署，响应方应写全称。</w:t>
      </w:r>
    </w:p>
    <w:p>
      <w:pPr>
        <w:spacing w:line="360" w:lineRule="auto"/>
        <w:ind w:firstLine="480" w:firstLineChars="200"/>
        <w:rPr>
          <w:sz w:val="24"/>
        </w:rPr>
      </w:pPr>
      <w:r>
        <w:rPr>
          <w:rFonts w:hint="eastAsia"/>
          <w:sz w:val="24"/>
        </w:rPr>
        <w:t>（3）响应文件不得涂改，若有修改错漏处，须加盖响应方公章或者法定代表人</w:t>
      </w:r>
      <w:r>
        <w:rPr>
          <w:rFonts w:hint="eastAsia" w:ascii="宋体" w:hAnsi="宋体"/>
          <w:b/>
          <w:color w:val="000000"/>
          <w:sz w:val="24"/>
        </w:rPr>
        <w:t>/执行事务合伙人</w:t>
      </w:r>
      <w:r>
        <w:rPr>
          <w:rFonts w:hint="eastAsia"/>
          <w:sz w:val="24"/>
        </w:rPr>
        <w:t>或授权委托人签名或盖章。响应文件因字迹潦草或表达不清所引起的后果由响应方负责。</w:t>
      </w:r>
    </w:p>
    <w:p>
      <w:pPr>
        <w:spacing w:line="360" w:lineRule="auto"/>
        <w:ind w:firstLine="480" w:firstLineChars="200"/>
        <w:rPr>
          <w:sz w:val="24"/>
        </w:rPr>
      </w:pPr>
      <w:r>
        <w:rPr>
          <w:rFonts w:hint="eastAsia"/>
          <w:sz w:val="24"/>
        </w:rPr>
        <w:t>2.响应方选择递交备份响应文件的，备份响应文件另须满足以下条件：</w:t>
      </w:r>
    </w:p>
    <w:p>
      <w:pPr>
        <w:spacing w:line="360" w:lineRule="auto"/>
        <w:ind w:firstLine="480" w:firstLineChars="200"/>
        <w:rPr>
          <w:sz w:val="24"/>
        </w:rPr>
      </w:pPr>
      <w:r>
        <w:rPr>
          <w:rFonts w:hint="eastAsia"/>
          <w:sz w:val="24"/>
        </w:rPr>
        <w:t xml:space="preserve">（1）储存形式：U盘、DVD </w:t>
      </w:r>
    </w:p>
    <w:p>
      <w:pPr>
        <w:spacing w:line="360" w:lineRule="auto"/>
        <w:ind w:firstLine="480" w:firstLineChars="200"/>
        <w:rPr>
          <w:sz w:val="24"/>
        </w:rPr>
      </w:pPr>
      <w:r>
        <w:rPr>
          <w:rFonts w:hint="eastAsia"/>
          <w:sz w:val="24"/>
        </w:rPr>
        <w:t>（2）密封要求：外包装封面上应注明响应方名称、响应方地址、响应方联系方式（授权代表手机）、响应文件名称（备份响应文件）、项目名称、项目编号、标项及“开启时启封”字样，并加盖响应方公章。</w:t>
      </w:r>
    </w:p>
    <w:p>
      <w:pPr>
        <w:pStyle w:val="4"/>
        <w:spacing w:before="0" w:after="0"/>
        <w:ind w:firstLine="424" w:firstLineChars="176"/>
        <w:rPr>
          <w:sz w:val="24"/>
        </w:rPr>
      </w:pPr>
      <w:r>
        <w:rPr>
          <w:rFonts w:hint="eastAsia"/>
          <w:sz w:val="24"/>
        </w:rPr>
        <w:t>（七）报价</w:t>
      </w:r>
    </w:p>
    <w:p>
      <w:pPr>
        <w:spacing w:line="360" w:lineRule="auto"/>
        <w:ind w:firstLine="480" w:firstLineChars="200"/>
        <w:rPr>
          <w:sz w:val="24"/>
        </w:rPr>
      </w:pPr>
      <w:r>
        <w:rPr>
          <w:rFonts w:hint="eastAsia"/>
          <w:sz w:val="24"/>
        </w:rPr>
        <w:t>▲1.响应文件只允许有一个报价，报价应按征集文件中相关附表格式填报，该报价应与明细报价汇总相等，且不允许出现报价优惠等字样（明细出现“0”元，视同赠送，按无效处理）。</w:t>
      </w:r>
    </w:p>
    <w:p>
      <w:pPr>
        <w:spacing w:line="360" w:lineRule="auto"/>
        <w:ind w:firstLine="480" w:firstLineChars="200"/>
        <w:rPr>
          <w:sz w:val="24"/>
        </w:rPr>
      </w:pPr>
      <w:r>
        <w:rPr>
          <w:rFonts w:hint="eastAsia"/>
          <w:sz w:val="24"/>
        </w:rPr>
        <w:t>▲2.报价应包含项目所需全部产品、服务，不得缺漏，是履行合同的最终价格（含货款、标准附件、备品备件、专用工具、包装、运输、装卸、保险、货到就位以及安装、调试、培训、保修等一切税金和费用）。</w:t>
      </w:r>
    </w:p>
    <w:p>
      <w:pPr>
        <w:spacing w:line="360" w:lineRule="auto"/>
        <w:ind w:firstLine="480" w:firstLineChars="200"/>
        <w:rPr>
          <w:sz w:val="24"/>
        </w:rPr>
      </w:pPr>
      <w:r>
        <w:rPr>
          <w:rFonts w:hint="eastAsia"/>
          <w:sz w:val="24"/>
        </w:rPr>
        <w:t>3.征集文件没有规定的，报价金额到元为止，如报价总价出现角、分，将被抹除。征集文件已有明确规定的，使用征集文件规定的计量单位进行报价。</w:t>
      </w:r>
    </w:p>
    <w:p>
      <w:pPr>
        <w:pStyle w:val="4"/>
        <w:spacing w:before="0" w:after="0"/>
        <w:ind w:firstLine="424" w:firstLineChars="176"/>
        <w:rPr>
          <w:sz w:val="24"/>
        </w:rPr>
      </w:pPr>
      <w:r>
        <w:rPr>
          <w:rFonts w:hint="eastAsia"/>
          <w:sz w:val="24"/>
        </w:rPr>
        <w:t>（八）串通投标认定</w:t>
      </w:r>
    </w:p>
    <w:p>
      <w:pPr>
        <w:adjustRightInd w:val="0"/>
        <w:snapToGrid w:val="0"/>
        <w:spacing w:line="440" w:lineRule="exact"/>
        <w:ind w:firstLine="480" w:firstLineChars="200"/>
        <w:rPr>
          <w:sz w:val="24"/>
        </w:rPr>
      </w:pPr>
      <w:r>
        <w:rPr>
          <w:rFonts w:hint="eastAsia"/>
          <w:sz w:val="24"/>
        </w:rPr>
        <w:t>有下列情形之一的，视为响应方串通投标，其响应无效：</w:t>
      </w:r>
    </w:p>
    <w:p>
      <w:pPr>
        <w:adjustRightInd w:val="0"/>
        <w:snapToGrid w:val="0"/>
        <w:spacing w:line="440" w:lineRule="exact"/>
        <w:ind w:firstLine="480" w:firstLineChars="200"/>
        <w:rPr>
          <w:sz w:val="24"/>
        </w:rPr>
      </w:pPr>
      <w:r>
        <w:rPr>
          <w:rFonts w:hint="eastAsia"/>
          <w:sz w:val="24"/>
        </w:rPr>
        <w:t>1.不同响应方的响应文件由同一单位或者个人编制；</w:t>
      </w:r>
    </w:p>
    <w:p>
      <w:pPr>
        <w:adjustRightInd w:val="0"/>
        <w:snapToGrid w:val="0"/>
        <w:spacing w:line="440" w:lineRule="exact"/>
        <w:ind w:firstLine="480" w:firstLineChars="200"/>
        <w:rPr>
          <w:sz w:val="24"/>
        </w:rPr>
      </w:pPr>
      <w:r>
        <w:rPr>
          <w:rFonts w:hint="eastAsia"/>
          <w:sz w:val="24"/>
        </w:rPr>
        <w:t>2.不同响应方委托同一单位或者个人办理响应事宜；</w:t>
      </w:r>
    </w:p>
    <w:p>
      <w:pPr>
        <w:adjustRightInd w:val="0"/>
        <w:snapToGrid w:val="0"/>
        <w:spacing w:line="440" w:lineRule="exact"/>
        <w:ind w:firstLine="480" w:firstLineChars="200"/>
        <w:rPr>
          <w:sz w:val="24"/>
        </w:rPr>
      </w:pPr>
      <w:r>
        <w:rPr>
          <w:rFonts w:hint="eastAsia"/>
          <w:sz w:val="24"/>
        </w:rPr>
        <w:t>3.不同响应方的响应文件载明的项目管理成员或者联系人员为同一人；</w:t>
      </w:r>
    </w:p>
    <w:p>
      <w:pPr>
        <w:adjustRightInd w:val="0"/>
        <w:snapToGrid w:val="0"/>
        <w:spacing w:line="440" w:lineRule="exact"/>
        <w:ind w:firstLine="480" w:firstLineChars="200"/>
        <w:rPr>
          <w:sz w:val="24"/>
        </w:rPr>
      </w:pPr>
      <w:r>
        <w:rPr>
          <w:rFonts w:hint="eastAsia"/>
          <w:sz w:val="24"/>
        </w:rPr>
        <w:t>4.不同响应方的响应文件异常一致或者响应报价呈规律性差异；</w:t>
      </w:r>
    </w:p>
    <w:p>
      <w:pPr>
        <w:adjustRightInd w:val="0"/>
        <w:snapToGrid w:val="0"/>
        <w:spacing w:line="440" w:lineRule="exact"/>
        <w:ind w:firstLine="480" w:firstLineChars="200"/>
        <w:rPr>
          <w:sz w:val="24"/>
        </w:rPr>
      </w:pPr>
      <w:r>
        <w:rPr>
          <w:rFonts w:hint="eastAsia"/>
          <w:sz w:val="24"/>
        </w:rPr>
        <w:t>5.不同响应方的响应文件相互混装。</w:t>
      </w:r>
    </w:p>
    <w:p>
      <w:pPr>
        <w:pStyle w:val="4"/>
        <w:spacing w:before="0" w:after="0"/>
        <w:ind w:firstLine="424" w:firstLineChars="176"/>
        <w:rPr>
          <w:sz w:val="24"/>
        </w:rPr>
      </w:pPr>
      <w:r>
        <w:rPr>
          <w:rFonts w:hint="eastAsia"/>
          <w:sz w:val="24"/>
        </w:rPr>
        <w:t>（九）响应无效的情形</w:t>
      </w:r>
    </w:p>
    <w:p>
      <w:pPr>
        <w:adjustRightInd w:val="0"/>
        <w:snapToGrid w:val="0"/>
        <w:spacing w:line="440" w:lineRule="exact"/>
        <w:ind w:firstLine="480" w:firstLineChars="200"/>
        <w:rPr>
          <w:sz w:val="24"/>
        </w:rPr>
      </w:pPr>
      <w:r>
        <w:rPr>
          <w:rFonts w:hint="eastAsia"/>
          <w:sz w:val="24"/>
        </w:rPr>
        <w:t>在评审时，如发现下列情形之一的，响应文件将被视为无效：</w:t>
      </w:r>
    </w:p>
    <w:p>
      <w:pPr>
        <w:adjustRightInd w:val="0"/>
        <w:snapToGrid w:val="0"/>
        <w:spacing w:line="440" w:lineRule="exact"/>
        <w:ind w:firstLine="480" w:firstLineChars="200"/>
        <w:rPr>
          <w:sz w:val="24"/>
        </w:rPr>
      </w:pPr>
      <w:r>
        <w:rPr>
          <w:rFonts w:hint="eastAsia"/>
          <w:sz w:val="24"/>
        </w:rPr>
        <w:t>1.响应方未能提供合格的资格文件、响应有效期不足的；</w:t>
      </w:r>
    </w:p>
    <w:p>
      <w:pPr>
        <w:adjustRightInd w:val="0"/>
        <w:snapToGrid w:val="0"/>
        <w:spacing w:line="440" w:lineRule="exact"/>
        <w:ind w:firstLine="480" w:firstLineChars="200"/>
        <w:rPr>
          <w:sz w:val="24"/>
        </w:rPr>
      </w:pPr>
      <w:r>
        <w:rPr>
          <w:rFonts w:hint="eastAsia"/>
          <w:sz w:val="24"/>
        </w:rPr>
        <w:t>2.响应方被列入失信被执行人、重大税收违法案件当事人名单、政府采购严重违法失信行为记录名单的；</w:t>
      </w:r>
    </w:p>
    <w:p>
      <w:pPr>
        <w:adjustRightInd w:val="0"/>
        <w:snapToGrid w:val="0"/>
        <w:spacing w:line="440" w:lineRule="exact"/>
        <w:ind w:firstLine="480" w:firstLineChars="200"/>
        <w:rPr>
          <w:sz w:val="24"/>
        </w:rPr>
      </w:pPr>
      <w:r>
        <w:rPr>
          <w:rFonts w:hint="eastAsia"/>
          <w:sz w:val="24"/>
        </w:rPr>
        <w:t>3.仅提供备份响应文件的；</w:t>
      </w:r>
    </w:p>
    <w:p>
      <w:pPr>
        <w:adjustRightInd w:val="0"/>
        <w:snapToGrid w:val="0"/>
        <w:spacing w:line="440" w:lineRule="exact"/>
        <w:ind w:firstLine="480" w:firstLineChars="200"/>
        <w:rPr>
          <w:sz w:val="24"/>
        </w:rPr>
      </w:pPr>
      <w:r>
        <w:rPr>
          <w:rFonts w:hint="eastAsia"/>
          <w:sz w:val="24"/>
        </w:rPr>
        <w:t>4.电子响应文件解密失败，且未在规定时间内提交备份响应文件的；</w:t>
      </w:r>
    </w:p>
    <w:p>
      <w:pPr>
        <w:adjustRightInd w:val="0"/>
        <w:snapToGrid w:val="0"/>
        <w:spacing w:line="440" w:lineRule="exact"/>
        <w:ind w:firstLine="480" w:firstLineChars="200"/>
        <w:rPr>
          <w:sz w:val="24"/>
        </w:rPr>
      </w:pPr>
      <w:r>
        <w:rPr>
          <w:rFonts w:hint="eastAsia"/>
          <w:sz w:val="24"/>
        </w:rPr>
        <w:t>5.电子响应文件解密失败，虽然在规定时间内提交了备份响应文件，但是备份响应文件无法导入或者无法读取或者不符合本征集文件和电子交易平台要求的；</w:t>
      </w:r>
    </w:p>
    <w:p>
      <w:pPr>
        <w:adjustRightInd w:val="0"/>
        <w:snapToGrid w:val="0"/>
        <w:spacing w:line="440" w:lineRule="exact"/>
        <w:ind w:firstLine="480" w:firstLineChars="200"/>
        <w:rPr>
          <w:sz w:val="24"/>
        </w:rPr>
      </w:pPr>
      <w:r>
        <w:rPr>
          <w:rFonts w:hint="eastAsia"/>
          <w:sz w:val="24"/>
        </w:rPr>
        <w:t>6.响应文件未按征集文件要求签署、盖章的；</w:t>
      </w:r>
    </w:p>
    <w:p>
      <w:pPr>
        <w:adjustRightInd w:val="0"/>
        <w:snapToGrid w:val="0"/>
        <w:spacing w:line="440" w:lineRule="exact"/>
        <w:ind w:firstLine="480" w:firstLineChars="200"/>
        <w:rPr>
          <w:sz w:val="24"/>
        </w:rPr>
      </w:pPr>
      <w:r>
        <w:rPr>
          <w:rFonts w:hint="eastAsia"/>
          <w:sz w:val="24"/>
        </w:rPr>
        <w:t>7.与征集文件有重大偏离、未满足带“▲”号实质性指标的响应文件；</w:t>
      </w:r>
    </w:p>
    <w:p>
      <w:pPr>
        <w:adjustRightInd w:val="0"/>
        <w:snapToGrid w:val="0"/>
        <w:spacing w:line="440" w:lineRule="exact"/>
        <w:ind w:firstLine="480" w:firstLineChars="200"/>
        <w:rPr>
          <w:sz w:val="24"/>
        </w:rPr>
      </w:pPr>
      <w:r>
        <w:rPr>
          <w:rFonts w:hint="eastAsia"/>
          <w:sz w:val="24"/>
        </w:rPr>
        <w:t>8.采购需求中要求提供的产品属于节能清单中政府强制采购节能产品品目的，响应方未提供该清单内产品的；</w:t>
      </w:r>
    </w:p>
    <w:p>
      <w:pPr>
        <w:adjustRightInd w:val="0"/>
        <w:snapToGrid w:val="0"/>
        <w:spacing w:line="440" w:lineRule="exact"/>
        <w:ind w:firstLine="480" w:firstLineChars="200"/>
        <w:rPr>
          <w:sz w:val="24"/>
        </w:rPr>
      </w:pPr>
      <w:r>
        <w:rPr>
          <w:rFonts w:hint="eastAsia"/>
          <w:sz w:val="24"/>
        </w:rPr>
        <w:t>9.报价超出征集文件中规定的价格区间范围或者最高限价的；</w:t>
      </w:r>
    </w:p>
    <w:p>
      <w:pPr>
        <w:adjustRightInd w:val="0"/>
        <w:snapToGrid w:val="0"/>
        <w:spacing w:line="440" w:lineRule="exact"/>
        <w:ind w:firstLine="480" w:firstLineChars="200"/>
        <w:rPr>
          <w:sz w:val="24"/>
        </w:rPr>
      </w:pPr>
      <w:r>
        <w:rPr>
          <w:rFonts w:hint="eastAsia"/>
          <w:sz w:val="24"/>
        </w:rPr>
        <w:t>10.标项以赠送方式响应的、对一个标项提供两个响应方案或两个报价的；</w:t>
      </w:r>
    </w:p>
    <w:p>
      <w:pPr>
        <w:adjustRightInd w:val="0"/>
        <w:snapToGrid w:val="0"/>
        <w:spacing w:line="440" w:lineRule="exact"/>
        <w:ind w:firstLine="480" w:firstLineChars="200"/>
        <w:rPr>
          <w:sz w:val="24"/>
        </w:rPr>
      </w:pPr>
      <w:r>
        <w:rPr>
          <w:rFonts w:hint="eastAsia"/>
          <w:sz w:val="24"/>
        </w:rPr>
        <w:t>11.评审小组认为响应方的报价明显低于其他通过符合性审查响应方的报价，有可能影响产品质量或者不能诚信履约，且不能证明其报价合理性的；</w:t>
      </w:r>
    </w:p>
    <w:p>
      <w:pPr>
        <w:adjustRightInd w:val="0"/>
        <w:snapToGrid w:val="0"/>
        <w:spacing w:line="440" w:lineRule="exact"/>
        <w:ind w:firstLine="480" w:firstLineChars="200"/>
        <w:rPr>
          <w:sz w:val="24"/>
        </w:rPr>
      </w:pPr>
      <w:r>
        <w:rPr>
          <w:rFonts w:hint="eastAsia"/>
          <w:sz w:val="24"/>
        </w:rPr>
        <w:t>12.响应方不接受报价文件中修正后的报价的；</w:t>
      </w:r>
    </w:p>
    <w:p>
      <w:pPr>
        <w:adjustRightInd w:val="0"/>
        <w:snapToGrid w:val="0"/>
        <w:spacing w:line="440" w:lineRule="exact"/>
        <w:ind w:firstLine="480" w:firstLineChars="200"/>
        <w:rPr>
          <w:sz w:val="24"/>
        </w:rPr>
      </w:pPr>
      <w:r>
        <w:rPr>
          <w:rFonts w:hint="eastAsia"/>
          <w:sz w:val="24"/>
        </w:rPr>
        <w:t>13.未按报价要求报价的；</w:t>
      </w:r>
    </w:p>
    <w:p>
      <w:pPr>
        <w:adjustRightInd w:val="0"/>
        <w:snapToGrid w:val="0"/>
        <w:spacing w:line="440" w:lineRule="exact"/>
        <w:ind w:firstLine="480" w:firstLineChars="200"/>
        <w:rPr>
          <w:sz w:val="24"/>
        </w:rPr>
      </w:pPr>
      <w:r>
        <w:rPr>
          <w:rFonts w:hint="eastAsia"/>
          <w:sz w:val="24"/>
        </w:rPr>
        <w:t>14.响应文件含有征集人、采购人不能接受的附加条件的；</w:t>
      </w:r>
    </w:p>
    <w:p>
      <w:pPr>
        <w:adjustRightInd w:val="0"/>
        <w:snapToGrid w:val="0"/>
        <w:spacing w:line="440" w:lineRule="exact"/>
        <w:ind w:firstLine="480" w:firstLineChars="200"/>
        <w:rPr>
          <w:sz w:val="24"/>
        </w:rPr>
      </w:pPr>
      <w:r>
        <w:rPr>
          <w:rFonts w:hint="eastAsia"/>
          <w:sz w:val="24"/>
        </w:rPr>
        <w:t>15.响应方被视为串通投标的；</w:t>
      </w:r>
    </w:p>
    <w:p>
      <w:pPr>
        <w:adjustRightInd w:val="0"/>
        <w:snapToGrid w:val="0"/>
        <w:spacing w:line="440" w:lineRule="exact"/>
        <w:ind w:firstLine="480" w:firstLineChars="200"/>
        <w:rPr>
          <w:sz w:val="24"/>
        </w:rPr>
      </w:pPr>
      <w:r>
        <w:rPr>
          <w:rFonts w:hint="eastAsia"/>
          <w:sz w:val="24"/>
        </w:rPr>
        <w:t>16.不符合法律法规和本征集文件规定的其他实质性要求的。</w:t>
      </w:r>
    </w:p>
    <w:p>
      <w:pPr>
        <w:pStyle w:val="4"/>
        <w:spacing w:before="0" w:after="0"/>
        <w:ind w:firstLine="424" w:firstLineChars="176"/>
        <w:rPr>
          <w:sz w:val="24"/>
        </w:rPr>
      </w:pPr>
      <w:r>
        <w:rPr>
          <w:rFonts w:hint="eastAsia"/>
          <w:sz w:val="24"/>
        </w:rPr>
        <w:t>（十）错误修正</w:t>
      </w:r>
    </w:p>
    <w:p>
      <w:pPr>
        <w:adjustRightInd w:val="0"/>
        <w:snapToGrid w:val="0"/>
        <w:spacing w:line="440" w:lineRule="exact"/>
        <w:ind w:firstLine="480" w:firstLineChars="200"/>
        <w:rPr>
          <w:sz w:val="24"/>
        </w:rPr>
      </w:pPr>
      <w:r>
        <w:rPr>
          <w:rFonts w:hint="eastAsia"/>
          <w:sz w:val="24"/>
        </w:rPr>
        <w:t>电子交易平台客户端里开标一览表录入的报价信息与扫描上传的报价文件不一致的，以扫描上传的报价文件为准。</w:t>
      </w:r>
    </w:p>
    <w:p>
      <w:pPr>
        <w:adjustRightInd w:val="0"/>
        <w:snapToGrid w:val="0"/>
        <w:spacing w:line="440" w:lineRule="exact"/>
        <w:ind w:firstLine="480" w:firstLineChars="200"/>
        <w:rPr>
          <w:sz w:val="24"/>
        </w:rPr>
      </w:pPr>
      <w:r>
        <w:rPr>
          <w:rFonts w:hint="eastAsia"/>
          <w:sz w:val="24"/>
        </w:rPr>
        <w:t>响应文件报价出现前后不一致的，除征集文件另有规定外，按照下列规定修正：</w:t>
      </w:r>
    </w:p>
    <w:p>
      <w:pPr>
        <w:adjustRightInd w:val="0"/>
        <w:snapToGrid w:val="0"/>
        <w:spacing w:line="440" w:lineRule="exact"/>
        <w:ind w:firstLine="480" w:firstLineChars="200"/>
        <w:rPr>
          <w:sz w:val="24"/>
        </w:rPr>
      </w:pPr>
      <w:r>
        <w:rPr>
          <w:rFonts w:hint="eastAsia"/>
          <w:sz w:val="24"/>
        </w:rPr>
        <w:t>1.响应文件中报价明细表内容与响应文件中相应内容不一致的，以报价明细表为准；</w:t>
      </w:r>
    </w:p>
    <w:p>
      <w:pPr>
        <w:adjustRightInd w:val="0"/>
        <w:snapToGrid w:val="0"/>
        <w:spacing w:line="440" w:lineRule="exact"/>
        <w:ind w:firstLine="480" w:firstLineChars="200"/>
        <w:rPr>
          <w:sz w:val="24"/>
        </w:rPr>
      </w:pPr>
      <w:r>
        <w:rPr>
          <w:rFonts w:hint="eastAsia"/>
          <w:sz w:val="24"/>
        </w:rPr>
        <w:t>2.大写金额和小写金额不一致的，以大写金额为准；</w:t>
      </w:r>
    </w:p>
    <w:p>
      <w:pPr>
        <w:adjustRightInd w:val="0"/>
        <w:snapToGrid w:val="0"/>
        <w:spacing w:line="440" w:lineRule="exact"/>
        <w:ind w:firstLine="480" w:firstLineChars="200"/>
        <w:rPr>
          <w:sz w:val="24"/>
        </w:rPr>
      </w:pPr>
      <w:r>
        <w:rPr>
          <w:rFonts w:hint="eastAsia"/>
          <w:sz w:val="24"/>
        </w:rPr>
        <w:t>3.单价金额小数点或者百分比有明显错位的，以报价明细表的总价为准，并修改单价；</w:t>
      </w:r>
    </w:p>
    <w:p>
      <w:pPr>
        <w:adjustRightInd w:val="0"/>
        <w:snapToGrid w:val="0"/>
        <w:spacing w:line="440" w:lineRule="exact"/>
        <w:ind w:firstLine="480" w:firstLineChars="200"/>
        <w:rPr>
          <w:sz w:val="24"/>
        </w:rPr>
      </w:pPr>
      <w:r>
        <w:rPr>
          <w:rFonts w:hint="eastAsia"/>
          <w:sz w:val="24"/>
        </w:rPr>
        <w:t>4.总价金额与按单价汇总金额不一致的，以单价金额计算结果为准。</w:t>
      </w:r>
    </w:p>
    <w:p>
      <w:pPr>
        <w:adjustRightInd w:val="0"/>
        <w:snapToGrid w:val="0"/>
        <w:spacing w:line="440" w:lineRule="exact"/>
        <w:ind w:firstLine="480" w:firstLineChars="200"/>
        <w:rPr>
          <w:sz w:val="24"/>
        </w:rPr>
      </w:pPr>
      <w:r>
        <w:rPr>
          <w:rFonts w:hint="eastAsia"/>
          <w:sz w:val="24"/>
        </w:rPr>
        <w:t>同时出现两种以上不一致的，按照前款规定的顺序修正。修正后的报价按照经响应方加盖公章后产生约束力，响应方不确认的，其响应无效。</w:t>
      </w:r>
    </w:p>
    <w:p>
      <w:pPr>
        <w:pStyle w:val="4"/>
        <w:spacing w:before="0" w:after="0"/>
        <w:ind w:firstLine="424" w:firstLineChars="176"/>
        <w:rPr>
          <w:sz w:val="24"/>
        </w:rPr>
      </w:pPr>
      <w:r>
        <w:rPr>
          <w:rFonts w:hint="eastAsia"/>
          <w:sz w:val="24"/>
        </w:rPr>
        <w:t>（十一）采购过程中的异常情况及处理措施</w:t>
      </w:r>
    </w:p>
    <w:p>
      <w:pPr>
        <w:adjustRightInd w:val="0"/>
        <w:snapToGrid w:val="0"/>
        <w:spacing w:line="440" w:lineRule="exact"/>
        <w:ind w:firstLine="480" w:firstLineChars="200"/>
        <w:rPr>
          <w:sz w:val="24"/>
        </w:rPr>
      </w:pPr>
      <w:r>
        <w:rPr>
          <w:rFonts w:hint="eastAsia"/>
          <w:sz w:val="24"/>
        </w:rPr>
        <w:t>采购过程中出现以下情形，导致电子交易平台无法正常运行，或者无法保证电子交易的公平、公正和安全时，征集人可中止电子交易活动：</w:t>
      </w:r>
    </w:p>
    <w:p>
      <w:pPr>
        <w:adjustRightInd w:val="0"/>
        <w:snapToGrid w:val="0"/>
        <w:spacing w:line="440" w:lineRule="exact"/>
        <w:ind w:firstLine="480" w:firstLineChars="200"/>
        <w:rPr>
          <w:sz w:val="24"/>
        </w:rPr>
      </w:pPr>
      <w:r>
        <w:rPr>
          <w:rFonts w:hint="eastAsia"/>
          <w:sz w:val="24"/>
        </w:rPr>
        <w:t>1.电子交易平台发生故障而无法登录访问的；</w:t>
      </w:r>
    </w:p>
    <w:p>
      <w:pPr>
        <w:adjustRightInd w:val="0"/>
        <w:snapToGrid w:val="0"/>
        <w:spacing w:line="440" w:lineRule="exact"/>
        <w:ind w:firstLine="480" w:firstLineChars="200"/>
        <w:rPr>
          <w:sz w:val="24"/>
        </w:rPr>
      </w:pPr>
      <w:r>
        <w:rPr>
          <w:rFonts w:hint="eastAsia"/>
          <w:sz w:val="24"/>
        </w:rPr>
        <w:t>2.电子交易平台应用或数据库出现错误，不能进行正常操作的；</w:t>
      </w:r>
    </w:p>
    <w:p>
      <w:pPr>
        <w:adjustRightInd w:val="0"/>
        <w:snapToGrid w:val="0"/>
        <w:spacing w:line="440" w:lineRule="exact"/>
        <w:ind w:firstLine="480" w:firstLineChars="200"/>
        <w:rPr>
          <w:sz w:val="24"/>
        </w:rPr>
      </w:pPr>
      <w:r>
        <w:rPr>
          <w:rFonts w:hint="eastAsia"/>
          <w:sz w:val="24"/>
        </w:rPr>
        <w:t>3.电子交易平台发现严重安全漏洞，有潜在泄密危险的；</w:t>
      </w:r>
    </w:p>
    <w:p>
      <w:pPr>
        <w:adjustRightInd w:val="0"/>
        <w:snapToGrid w:val="0"/>
        <w:spacing w:line="440" w:lineRule="exact"/>
        <w:ind w:firstLine="480" w:firstLineChars="200"/>
        <w:rPr>
          <w:sz w:val="24"/>
        </w:rPr>
      </w:pPr>
      <w:r>
        <w:rPr>
          <w:rFonts w:hint="eastAsia"/>
          <w:sz w:val="24"/>
        </w:rPr>
        <w:t>4.病毒发作导致不能进行正常操作的；</w:t>
      </w:r>
    </w:p>
    <w:p>
      <w:pPr>
        <w:adjustRightInd w:val="0"/>
        <w:snapToGrid w:val="0"/>
        <w:spacing w:line="440" w:lineRule="exact"/>
        <w:ind w:firstLine="480" w:firstLineChars="200"/>
        <w:rPr>
          <w:sz w:val="24"/>
        </w:rPr>
      </w:pPr>
      <w:r>
        <w:rPr>
          <w:rFonts w:hint="eastAsia"/>
          <w:sz w:val="24"/>
        </w:rPr>
        <w:t>5.其他无法保证电子交易的公平、公正和安全的情况。</w:t>
      </w:r>
    </w:p>
    <w:p>
      <w:pPr>
        <w:adjustRightInd w:val="0"/>
        <w:snapToGrid w:val="0"/>
        <w:spacing w:line="440" w:lineRule="exact"/>
        <w:ind w:firstLine="480" w:firstLineChars="200"/>
        <w:rPr>
          <w:sz w:val="24"/>
        </w:rPr>
      </w:pPr>
      <w:r>
        <w:rPr>
          <w:rFonts w:hint="eastAsia"/>
          <w:sz w:val="24"/>
        </w:rPr>
        <w:t>出现前款规定情形，不影响采购公平、公正性的，征集人可以待上述情形消除后继续组织电子交易活动；影响或可能影响采购公平、公正性的，应当重新采购。</w:t>
      </w:r>
    </w:p>
    <w:p>
      <w:pPr>
        <w:pStyle w:val="3"/>
        <w:spacing w:before="0" w:after="0" w:line="360" w:lineRule="auto"/>
        <w:ind w:firstLine="424" w:firstLineChars="151"/>
        <w:rPr>
          <w:sz w:val="28"/>
        </w:rPr>
      </w:pPr>
      <w:r>
        <w:rPr>
          <w:rFonts w:hint="eastAsia"/>
          <w:sz w:val="28"/>
        </w:rPr>
        <w:t>三、开、评标程序及评审小组的评审程序</w:t>
      </w:r>
    </w:p>
    <w:p>
      <w:pPr>
        <w:pStyle w:val="4"/>
        <w:spacing w:before="0" w:after="0"/>
        <w:ind w:firstLine="424" w:firstLineChars="176"/>
        <w:rPr>
          <w:sz w:val="24"/>
        </w:rPr>
      </w:pPr>
      <w:r>
        <w:rPr>
          <w:rFonts w:hint="eastAsia"/>
          <w:sz w:val="24"/>
        </w:rPr>
        <w:t>（一）组织开标</w:t>
      </w:r>
    </w:p>
    <w:p>
      <w:pPr>
        <w:adjustRightInd w:val="0"/>
        <w:snapToGrid w:val="0"/>
        <w:spacing w:line="440" w:lineRule="exact"/>
        <w:ind w:firstLine="480" w:firstLineChars="200"/>
        <w:rPr>
          <w:sz w:val="24"/>
        </w:rPr>
      </w:pPr>
      <w:r>
        <w:rPr>
          <w:rFonts w:hint="eastAsia"/>
          <w:sz w:val="24"/>
        </w:rPr>
        <w:t>征集人将按照征集文件规定的时间、地点和程序组织开标，各响应方授权代表及相关人员均应当准时在线参加，无关人员不得进入开标现场。响应方如未准时在线参加的，事后不得对采购相关人员、开标过程和开标结果提出异议。</w:t>
      </w:r>
    </w:p>
    <w:p>
      <w:pPr>
        <w:adjustRightInd w:val="0"/>
        <w:snapToGrid w:val="0"/>
        <w:spacing w:line="440" w:lineRule="exact"/>
        <w:ind w:firstLine="480" w:firstLineChars="200"/>
        <w:rPr>
          <w:sz w:val="24"/>
        </w:rPr>
      </w:pPr>
      <w:r>
        <w:rPr>
          <w:rFonts w:hint="eastAsia"/>
          <w:sz w:val="24"/>
        </w:rPr>
        <w:t>1.落实工作场地、设施，检查录音录像采集设备运行情况，验证电子交易平台是否能正常登录。</w:t>
      </w:r>
    </w:p>
    <w:p>
      <w:pPr>
        <w:adjustRightInd w:val="0"/>
        <w:snapToGrid w:val="0"/>
        <w:spacing w:line="440" w:lineRule="exact"/>
        <w:ind w:firstLine="480" w:firstLineChars="200"/>
        <w:rPr>
          <w:sz w:val="24"/>
        </w:rPr>
      </w:pPr>
      <w:r>
        <w:rPr>
          <w:rFonts w:hint="eastAsia"/>
          <w:sz w:val="24"/>
        </w:rPr>
        <w:t>2.开标由征集人主持，主持人介绍开标现场的人员情况。</w:t>
      </w:r>
    </w:p>
    <w:p>
      <w:pPr>
        <w:adjustRightInd w:val="0"/>
        <w:snapToGrid w:val="0"/>
        <w:spacing w:line="440" w:lineRule="exact"/>
        <w:ind w:firstLine="480" w:firstLineChars="200"/>
        <w:rPr>
          <w:sz w:val="24"/>
        </w:rPr>
      </w:pPr>
      <w:r>
        <w:rPr>
          <w:rFonts w:hint="eastAsia"/>
          <w:sz w:val="24"/>
        </w:rPr>
        <w:t>3.响应截止时，电子交易平台自动提取所有电子响应文件。征集人点击[开始解密]按钮后，响应方可以在线解密，解密时限为30分钟。</w:t>
      </w:r>
    </w:p>
    <w:p>
      <w:pPr>
        <w:adjustRightInd w:val="0"/>
        <w:snapToGrid w:val="0"/>
        <w:spacing w:line="440" w:lineRule="exact"/>
        <w:ind w:firstLine="480" w:firstLineChars="200"/>
        <w:rPr>
          <w:sz w:val="24"/>
        </w:rPr>
      </w:pPr>
      <w:r>
        <w:rPr>
          <w:rFonts w:hint="eastAsia"/>
          <w:sz w:val="24"/>
        </w:rPr>
        <w:t>4.响应方应当在解密时限内完成解密，如所有响应方的电子响应文件都已经解密完成的，则电子交易平台自动结束解密。如有任一响应方未解密，电子交易平台会在解密时限截止时自动结束解密。</w:t>
      </w:r>
    </w:p>
    <w:p>
      <w:pPr>
        <w:adjustRightInd w:val="0"/>
        <w:snapToGrid w:val="0"/>
        <w:spacing w:line="440" w:lineRule="exact"/>
        <w:ind w:firstLine="480" w:firstLineChars="200"/>
        <w:rPr>
          <w:sz w:val="24"/>
        </w:rPr>
      </w:pPr>
      <w:r>
        <w:rPr>
          <w:rFonts w:hint="eastAsia"/>
          <w:sz w:val="24"/>
        </w:rPr>
        <w:t>解密时限内未完成解密且按规定提供了备份响应文件的，征集人将拆封其备份响应文件，并导入电子交易平台。</w:t>
      </w:r>
    </w:p>
    <w:p>
      <w:pPr>
        <w:adjustRightInd w:val="0"/>
        <w:snapToGrid w:val="0"/>
        <w:spacing w:line="440" w:lineRule="exact"/>
        <w:ind w:firstLine="480" w:firstLineChars="200"/>
        <w:rPr>
          <w:sz w:val="24"/>
        </w:rPr>
      </w:pPr>
      <w:r>
        <w:rPr>
          <w:rFonts w:hint="eastAsia"/>
          <w:sz w:val="24"/>
        </w:rPr>
        <w:t>5.评审小组在商务和技术评审结束后，主持人通过电子交易平台宣布商务和技术评审无效响应方名称及理由，有效响应方的商务和技术得分情况。</w:t>
      </w:r>
    </w:p>
    <w:p>
      <w:pPr>
        <w:adjustRightInd w:val="0"/>
        <w:snapToGrid w:val="0"/>
        <w:spacing w:line="440" w:lineRule="exact"/>
        <w:ind w:firstLine="480" w:firstLineChars="200"/>
        <w:rPr>
          <w:sz w:val="24"/>
        </w:rPr>
      </w:pPr>
      <w:r>
        <w:rPr>
          <w:rFonts w:hint="eastAsia"/>
          <w:sz w:val="24"/>
        </w:rPr>
        <w:t>6.征集人在电子交易平台开启响应方的报价文件信息，响应方对报价信息进行确认。响应方对报价信息不予确认的不影响后续评审过程。</w:t>
      </w:r>
    </w:p>
    <w:p>
      <w:pPr>
        <w:adjustRightInd w:val="0"/>
        <w:snapToGrid w:val="0"/>
        <w:spacing w:line="440" w:lineRule="exact"/>
        <w:ind w:firstLine="480" w:firstLineChars="200"/>
        <w:rPr>
          <w:sz w:val="24"/>
        </w:rPr>
      </w:pPr>
      <w:r>
        <w:rPr>
          <w:rFonts w:hint="eastAsia"/>
          <w:sz w:val="24"/>
        </w:rPr>
        <w:t>7.评审小组经商议认为需要响应方作出必要澄清或说明的，应当通过电子交易平台交换数据电文。评审小组给予响应方提交澄清或说明的时间为半小时，响应方已经明确表示澄清或说明完毕的除外。</w:t>
      </w:r>
    </w:p>
    <w:p>
      <w:pPr>
        <w:adjustRightInd w:val="0"/>
        <w:snapToGrid w:val="0"/>
        <w:spacing w:line="440" w:lineRule="exact"/>
        <w:ind w:firstLine="480" w:firstLineChars="200"/>
        <w:rPr>
          <w:sz w:val="24"/>
        </w:rPr>
      </w:pPr>
      <w:r>
        <w:rPr>
          <w:rFonts w:hint="eastAsia"/>
          <w:sz w:val="24"/>
        </w:rPr>
        <w:t>8.在电子交易平台上公布评审结果。</w:t>
      </w:r>
    </w:p>
    <w:p>
      <w:pPr>
        <w:adjustRightInd w:val="0"/>
        <w:snapToGrid w:val="0"/>
        <w:spacing w:line="440" w:lineRule="exact"/>
        <w:ind w:firstLine="480" w:firstLineChars="200"/>
        <w:rPr>
          <w:sz w:val="24"/>
        </w:rPr>
      </w:pPr>
      <w:r>
        <w:rPr>
          <w:rFonts w:hint="eastAsia"/>
          <w:sz w:val="24"/>
        </w:rPr>
        <w:t>特别说明：政采云公司如对政府采购项目电子交易开标及评审程序有调整的，按调整后的程序操作。</w:t>
      </w:r>
    </w:p>
    <w:p>
      <w:pPr>
        <w:pStyle w:val="4"/>
        <w:spacing w:before="0" w:after="0"/>
        <w:ind w:firstLine="424" w:firstLineChars="176"/>
        <w:rPr>
          <w:sz w:val="24"/>
        </w:rPr>
      </w:pPr>
      <w:r>
        <w:rPr>
          <w:rFonts w:hint="eastAsia"/>
          <w:sz w:val="24"/>
        </w:rPr>
        <w:t>（二）组织评标程序</w:t>
      </w:r>
    </w:p>
    <w:p>
      <w:pPr>
        <w:adjustRightInd w:val="0"/>
        <w:snapToGrid w:val="0"/>
        <w:spacing w:line="440" w:lineRule="exact"/>
        <w:ind w:firstLine="480" w:firstLineChars="200"/>
        <w:rPr>
          <w:sz w:val="24"/>
        </w:rPr>
      </w:pPr>
      <w:r>
        <w:rPr>
          <w:rFonts w:hint="eastAsia"/>
          <w:sz w:val="24"/>
        </w:rPr>
        <w:t>征集人将按照征集文件规定的时间、地点和程序组织评审，各评审专家及相关人员应参加评审活动并接受核验、签到，无关人员不得进入评审现场。</w:t>
      </w:r>
    </w:p>
    <w:p>
      <w:pPr>
        <w:adjustRightInd w:val="0"/>
        <w:snapToGrid w:val="0"/>
        <w:spacing w:line="440" w:lineRule="exact"/>
        <w:ind w:firstLine="480" w:firstLineChars="200"/>
        <w:rPr>
          <w:sz w:val="24"/>
        </w:rPr>
      </w:pPr>
      <w:r>
        <w:rPr>
          <w:rFonts w:hint="eastAsia"/>
          <w:sz w:val="24"/>
        </w:rPr>
        <w:t>1.开启开标场地录音录像采集设备，并确保正常运行。</w:t>
      </w:r>
    </w:p>
    <w:p>
      <w:pPr>
        <w:adjustRightInd w:val="0"/>
        <w:snapToGrid w:val="0"/>
        <w:spacing w:line="440" w:lineRule="exact"/>
        <w:ind w:firstLine="480" w:firstLineChars="200"/>
        <w:rPr>
          <w:sz w:val="24"/>
        </w:rPr>
      </w:pPr>
      <w:r>
        <w:rPr>
          <w:rFonts w:hint="eastAsia"/>
          <w:sz w:val="24"/>
        </w:rPr>
        <w:t>2.按规定统一收缴、保存评审现场相关人员通信工具。</w:t>
      </w:r>
    </w:p>
    <w:p>
      <w:pPr>
        <w:adjustRightInd w:val="0"/>
        <w:snapToGrid w:val="0"/>
        <w:spacing w:line="440" w:lineRule="exact"/>
        <w:ind w:firstLine="480" w:firstLineChars="200"/>
        <w:rPr>
          <w:sz w:val="24"/>
        </w:rPr>
      </w:pPr>
      <w:r>
        <w:rPr>
          <w:rFonts w:hint="eastAsia"/>
          <w:sz w:val="24"/>
        </w:rPr>
        <w:t>3.介绍评审现场的人员情况，宣布评审工作纪律，告知评审人员应当回避情形；组织推选评审小组组长。</w:t>
      </w:r>
    </w:p>
    <w:p>
      <w:pPr>
        <w:adjustRightInd w:val="0"/>
        <w:snapToGrid w:val="0"/>
        <w:spacing w:line="440" w:lineRule="exact"/>
        <w:ind w:firstLine="480" w:firstLineChars="200"/>
        <w:rPr>
          <w:sz w:val="24"/>
        </w:rPr>
      </w:pPr>
      <w:r>
        <w:rPr>
          <w:rFonts w:hint="eastAsia"/>
          <w:sz w:val="24"/>
        </w:rPr>
        <w:t>4.宣读提交响应文件的供应商名单，组织评审小组各位成员签订纸质形式的《政府采购评审人员廉洁自律承诺书》。</w:t>
      </w:r>
    </w:p>
    <w:p>
      <w:pPr>
        <w:adjustRightInd w:val="0"/>
        <w:snapToGrid w:val="0"/>
        <w:spacing w:line="440" w:lineRule="exact"/>
        <w:ind w:firstLine="480" w:firstLineChars="200"/>
        <w:rPr>
          <w:sz w:val="24"/>
        </w:rPr>
      </w:pPr>
      <w:r>
        <w:rPr>
          <w:rFonts w:hint="eastAsia"/>
          <w:sz w:val="24"/>
        </w:rPr>
        <w:t>5.征集人可以在评标前说明项目背景和采购需求，说明内容不得含有歧视性、倾向性意见，不得超出征集文件所述范围。说明应当提交书面材料，并随征集文件一并存档。</w:t>
      </w:r>
    </w:p>
    <w:p>
      <w:pPr>
        <w:adjustRightInd w:val="0"/>
        <w:snapToGrid w:val="0"/>
        <w:spacing w:line="440" w:lineRule="exact"/>
        <w:ind w:firstLine="480" w:firstLineChars="200"/>
        <w:rPr>
          <w:sz w:val="24"/>
        </w:rPr>
      </w:pPr>
      <w:r>
        <w:rPr>
          <w:rFonts w:hint="eastAsia"/>
          <w:sz w:val="24"/>
        </w:rPr>
        <w:t>6.根据需要简要介绍征集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人员提出的有关征集文件、响应文件的问题进行必要的说明、解释或讨论。</w:t>
      </w:r>
    </w:p>
    <w:p>
      <w:pPr>
        <w:adjustRightInd w:val="0"/>
        <w:snapToGrid w:val="0"/>
        <w:spacing w:line="440" w:lineRule="exact"/>
        <w:ind w:firstLine="480" w:firstLineChars="200"/>
        <w:rPr>
          <w:sz w:val="24"/>
        </w:rPr>
      </w:pPr>
      <w:r>
        <w:rPr>
          <w:rFonts w:hint="eastAsia"/>
          <w:sz w:val="24"/>
        </w:rPr>
        <w:t>7.征集人对响应方资格文件进行审查并以开标当日为准对响应方“信用中国”网站、中国政府采购网信用记录情况进行核实，资格不符合的，应组织相关响应方代表进行陈述、澄清或申辩。</w:t>
      </w:r>
    </w:p>
    <w:p>
      <w:pPr>
        <w:adjustRightInd w:val="0"/>
        <w:snapToGrid w:val="0"/>
        <w:spacing w:line="440" w:lineRule="exact"/>
        <w:ind w:firstLine="480" w:firstLineChars="200"/>
        <w:rPr>
          <w:sz w:val="24"/>
        </w:rPr>
      </w:pPr>
      <w:r>
        <w:rPr>
          <w:rFonts w:hint="eastAsia"/>
          <w:sz w:val="24"/>
        </w:rPr>
        <w:t>8.评审小组组长组织评审人员独立评审。评审小组对拟认定为响应文件无效，应组织相关响应方代表进行陈述、澄清或申辩；评审人员的评审、修改记录应保留原件，随项目其他资料一并存档。</w:t>
      </w:r>
    </w:p>
    <w:p>
      <w:pPr>
        <w:adjustRightInd w:val="0"/>
        <w:snapToGrid w:val="0"/>
        <w:spacing w:line="440" w:lineRule="exact"/>
        <w:ind w:firstLine="480" w:firstLineChars="200"/>
        <w:rPr>
          <w:sz w:val="24"/>
        </w:rPr>
      </w:pPr>
      <w:r>
        <w:rPr>
          <w:rFonts w:hint="eastAsia"/>
          <w:sz w:val="24"/>
        </w:rPr>
        <w:t>9.做好评审现场相关记录，协助评审小组组长做好评审报告起草、有关内容电脑文字录入等工作，并要求评审小组各成员签字确认。</w:t>
      </w:r>
    </w:p>
    <w:p>
      <w:pPr>
        <w:adjustRightInd w:val="0"/>
        <w:snapToGrid w:val="0"/>
        <w:spacing w:line="440" w:lineRule="exact"/>
        <w:ind w:firstLine="480" w:firstLineChars="200"/>
        <w:rPr>
          <w:sz w:val="24"/>
        </w:rPr>
      </w:pPr>
      <w:r>
        <w:rPr>
          <w:rFonts w:hint="eastAsia"/>
          <w:sz w:val="24"/>
        </w:rPr>
        <w:t>10.评审结束后，征集人应对评审小组各成员的专业水平、职业道德、遵纪守法等情况进行评价；同时按规定向评审专家发放评审费，并交还评审人员及其他现场相关人员的通讯工具。</w:t>
      </w:r>
    </w:p>
    <w:p>
      <w:pPr>
        <w:pStyle w:val="4"/>
        <w:spacing w:before="0" w:after="0"/>
        <w:ind w:firstLine="424" w:firstLineChars="176"/>
        <w:rPr>
          <w:sz w:val="24"/>
        </w:rPr>
      </w:pPr>
      <w:r>
        <w:rPr>
          <w:rFonts w:hint="eastAsia"/>
          <w:sz w:val="24"/>
        </w:rPr>
        <w:t>（三）评审程序</w:t>
      </w:r>
    </w:p>
    <w:p>
      <w:pPr>
        <w:spacing w:line="360" w:lineRule="auto"/>
        <w:ind w:firstLine="480" w:firstLineChars="200"/>
        <w:rPr>
          <w:sz w:val="24"/>
        </w:rPr>
      </w:pPr>
      <w:r>
        <w:rPr>
          <w:rFonts w:hint="eastAsia"/>
          <w:sz w:val="24"/>
        </w:rPr>
        <w:t>1.在评审专家中推选评审小组组长。</w:t>
      </w:r>
    </w:p>
    <w:p>
      <w:pPr>
        <w:spacing w:line="360" w:lineRule="auto"/>
        <w:ind w:firstLine="480" w:firstLineChars="200"/>
        <w:rPr>
          <w:sz w:val="24"/>
        </w:rPr>
      </w:pPr>
      <w:r>
        <w:rPr>
          <w:rFonts w:hint="eastAsia"/>
          <w:sz w:val="24"/>
        </w:rPr>
        <w:t>2.评审小组组长召集成员认真阅读征集文件以及相关补充、质疑、答复文件、项目书面说明等材料，熟悉采购项目的基本概况，采购项目的质量要求、数量、主要技术标准或服务需求，采购合同主要条款，响应文件无效情形，评审方法、评审依据、评审标准等。</w:t>
      </w:r>
    </w:p>
    <w:p>
      <w:pPr>
        <w:spacing w:line="360" w:lineRule="auto"/>
        <w:ind w:firstLine="480" w:firstLineChars="200"/>
        <w:rPr>
          <w:sz w:val="24"/>
        </w:rPr>
      </w:pPr>
      <w:r>
        <w:rPr>
          <w:rFonts w:hint="eastAsia"/>
          <w:sz w:val="24"/>
        </w:rPr>
        <w:t>3.评审人员对各响应方响应文件的有效性、符合性、完整性和响应程度进行资格性和符合性审查，确定是否对征集文件作出实质性响应。</w:t>
      </w:r>
    </w:p>
    <w:p>
      <w:pPr>
        <w:spacing w:line="360" w:lineRule="auto"/>
        <w:ind w:firstLine="480" w:firstLineChars="200"/>
        <w:rPr>
          <w:sz w:val="24"/>
        </w:rPr>
      </w:pPr>
      <w:r>
        <w:rPr>
          <w:rFonts w:hint="eastAsia"/>
          <w:sz w:val="24"/>
        </w:rPr>
        <w:t>4.评审人员按征集文件规定的评审方法和评审标准，依法独立对响应方响应文件进行评估、比较，并给予评价或打分，不受任何单位和个人的干预。</w:t>
      </w:r>
    </w:p>
    <w:p>
      <w:pPr>
        <w:spacing w:line="360" w:lineRule="auto"/>
        <w:ind w:firstLine="480" w:firstLineChars="200"/>
        <w:rPr>
          <w:sz w:val="24"/>
        </w:rPr>
      </w:pPr>
      <w:r>
        <w:rPr>
          <w:rFonts w:hint="eastAsia"/>
          <w:sz w:val="24"/>
        </w:rPr>
        <w:t>5.评审人员对各响应方响应文件非实质性内容有疑义或异议，或者审查发现明显的文字或计算错误等，及时向评审小组组长提出。经评审小组商议认为需要响应方作出必要澄清或说明的，应通知该响应方以书面形式作出澄清或说明。授权代表未按时确认或拒绝澄清说明或澄清说明的内容改变了响应文件的实质性内容的，评审小组有权对该响应文件作出不利于响应方的评判。书面通知及澄清说明文件应作为政府采购项目档案归档留存。</w:t>
      </w:r>
    </w:p>
    <w:p>
      <w:pPr>
        <w:spacing w:line="360" w:lineRule="auto"/>
        <w:ind w:firstLine="480" w:firstLineChars="200"/>
        <w:rPr>
          <w:sz w:val="24"/>
        </w:rPr>
      </w:pPr>
      <w:r>
        <w:rPr>
          <w:rFonts w:hint="eastAsia"/>
          <w:sz w:val="24"/>
        </w:rPr>
        <w:t>6.评审小组根据评审汇总情况和征集文件规定进行响应报价评审并确定入围供应商。 评审小组在进行响应报价评审时，报价中折扣所填数值（百分符号前面的数）须为大于0小于100的整数。如折扣率填62%、55%、50%有效，填62.5%、55.15%、0%、100%无效。</w:t>
      </w:r>
    </w:p>
    <w:p>
      <w:pPr>
        <w:spacing w:line="360" w:lineRule="auto"/>
        <w:ind w:firstLine="480" w:firstLineChars="200"/>
        <w:rPr>
          <w:sz w:val="24"/>
        </w:rPr>
      </w:pPr>
      <w:r>
        <w:rPr>
          <w:rFonts w:hint="eastAsia"/>
          <w:sz w:val="24"/>
        </w:rPr>
        <w:t>7.起草评审报告，所有评审人员须在评审报告上签字确认。</w:t>
      </w:r>
    </w:p>
    <w:p>
      <w:pPr>
        <w:pStyle w:val="3"/>
        <w:spacing w:before="0" w:after="0" w:line="360" w:lineRule="auto"/>
        <w:ind w:firstLine="424" w:firstLineChars="151"/>
        <w:rPr>
          <w:sz w:val="28"/>
        </w:rPr>
      </w:pPr>
      <w:r>
        <w:rPr>
          <w:rFonts w:hint="eastAsia"/>
          <w:sz w:val="28"/>
        </w:rPr>
        <w:t>四、评审原则</w:t>
      </w:r>
    </w:p>
    <w:p>
      <w:pPr>
        <w:spacing w:line="360" w:lineRule="auto"/>
        <w:ind w:firstLine="480" w:firstLineChars="200"/>
        <w:rPr>
          <w:sz w:val="24"/>
        </w:rPr>
      </w:pPr>
      <w:r>
        <w:rPr>
          <w:rFonts w:hint="eastAsia"/>
          <w:sz w:val="24"/>
        </w:rPr>
        <w:t>1.评审小组必须公平、公正、客观，不带任何倾向性、歧视性和启发性；不得向外界透露任何与评审有关的内容；任何单位和个人不得干扰、影响评审的正常进行；评审小组及有关工作人员不得私下与响应方接触。</w:t>
      </w:r>
    </w:p>
    <w:p>
      <w:pPr>
        <w:spacing w:line="360" w:lineRule="auto"/>
        <w:ind w:firstLine="480" w:firstLineChars="200"/>
        <w:rPr>
          <w:sz w:val="24"/>
        </w:rPr>
      </w:pPr>
      <w:r>
        <w:rPr>
          <w:rFonts w:hint="eastAsia"/>
          <w:sz w:val="24"/>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响应方择期重新评审的时间和地点。</w:t>
      </w:r>
    </w:p>
    <w:p>
      <w:pPr>
        <w:spacing w:line="360" w:lineRule="auto"/>
        <w:ind w:firstLine="480" w:firstLineChars="200"/>
        <w:rPr>
          <w:sz w:val="24"/>
        </w:rPr>
      </w:pPr>
      <w:r>
        <w:rPr>
          <w:rFonts w:hint="eastAsia"/>
          <w:sz w:val="24"/>
        </w:rPr>
        <w:t>3.评审人员对有关征集文件、响应文件、样品或现场演示（如有）的说明、解释、要求、标准存在不同意见的，持不同意见的评审人员及其意见或理由应予以完整记录，并在评审过程中按照少数服从多数的原则表决执行。对征集文件本身不明确或存在歧义、矛盾的内容，应作对响应方而非征集人、采购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pPr>
        <w:pStyle w:val="3"/>
        <w:spacing w:before="0" w:after="0" w:line="360" w:lineRule="auto"/>
        <w:ind w:firstLine="424" w:firstLineChars="151"/>
        <w:rPr>
          <w:sz w:val="28"/>
        </w:rPr>
      </w:pPr>
      <w:r>
        <w:rPr>
          <w:rFonts w:hint="eastAsia"/>
          <w:sz w:val="28"/>
        </w:rPr>
        <w:t>五、确定入围供应商的原则</w:t>
      </w:r>
    </w:p>
    <w:p>
      <w:pPr>
        <w:snapToGrid w:val="0"/>
        <w:spacing w:line="460" w:lineRule="exact"/>
        <w:ind w:firstLine="480" w:firstLineChars="200"/>
        <w:rPr>
          <w:sz w:val="24"/>
        </w:rPr>
      </w:pPr>
      <w:r>
        <w:rPr>
          <w:rFonts w:hint="eastAsia"/>
          <w:sz w:val="24"/>
        </w:rPr>
        <w:t>1.项目由评审小组根据《第四章 评审办法及标准》规定，在评审报告中确定入围供应商。</w:t>
      </w:r>
    </w:p>
    <w:p>
      <w:pPr>
        <w:snapToGrid w:val="0"/>
        <w:spacing w:line="460" w:lineRule="exact"/>
        <w:ind w:firstLine="480" w:firstLineChars="200"/>
        <w:rPr>
          <w:sz w:val="24"/>
        </w:rPr>
      </w:pPr>
      <w:r>
        <w:rPr>
          <w:rFonts w:hint="eastAsia"/>
          <w:sz w:val="24"/>
        </w:rPr>
        <w:t>2.征集人将于评审结果确定后2个工作日内在浙江省政府采购网上发布入围结果公告，通过电子交易平台签发《入围通知书》。</w:t>
      </w:r>
    </w:p>
    <w:p>
      <w:pPr>
        <w:pStyle w:val="3"/>
        <w:spacing w:before="0" w:after="0" w:line="360" w:lineRule="auto"/>
        <w:ind w:firstLine="424" w:firstLineChars="151"/>
        <w:rPr>
          <w:sz w:val="28"/>
        </w:rPr>
      </w:pPr>
      <w:r>
        <w:rPr>
          <w:rFonts w:hint="eastAsia"/>
          <w:sz w:val="28"/>
        </w:rPr>
        <w:t>六、协议签订</w:t>
      </w:r>
    </w:p>
    <w:p>
      <w:pPr>
        <w:snapToGrid w:val="0"/>
        <w:spacing w:line="460" w:lineRule="exact"/>
        <w:ind w:firstLine="480" w:firstLineChars="200"/>
        <w:rPr>
          <w:sz w:val="24"/>
        </w:rPr>
      </w:pPr>
      <w:r>
        <w:rPr>
          <w:rFonts w:hint="eastAsia"/>
          <w:sz w:val="24"/>
        </w:rPr>
        <w:t>（一）征集人与入围供应商应当在《入围通知书》发出之日起30日内签订政府采购框架协议，并在7个工作日内报同级财政部门备案。</w:t>
      </w:r>
    </w:p>
    <w:p>
      <w:pPr>
        <w:snapToGrid w:val="0"/>
        <w:spacing w:line="460" w:lineRule="exact"/>
        <w:ind w:firstLine="480" w:firstLineChars="200"/>
        <w:rPr>
          <w:sz w:val="24"/>
        </w:rPr>
      </w:pPr>
      <w:r>
        <w:rPr>
          <w:rFonts w:hint="eastAsia"/>
          <w:sz w:val="24"/>
        </w:rPr>
        <w:t>（二）入围供应商拖延、拒签协议的，将视为无正当理由放弃封闭式框架协议入围供应商资格。</w:t>
      </w:r>
    </w:p>
    <w:p>
      <w:pPr>
        <w:adjustRightInd w:val="0"/>
        <w:snapToGrid w:val="0"/>
        <w:spacing w:line="440" w:lineRule="exact"/>
        <w:ind w:firstLine="480" w:firstLineChars="200"/>
        <w:rPr>
          <w:sz w:val="24"/>
        </w:rPr>
        <w:sectPr>
          <w:pgSz w:w="11906" w:h="16838"/>
          <w:pgMar w:top="1440" w:right="1800" w:bottom="1440" w:left="1800" w:header="851" w:footer="992" w:gutter="0"/>
          <w:cols w:space="425" w:num="1"/>
          <w:docGrid w:type="lines" w:linePitch="312" w:charSpace="0"/>
        </w:sectPr>
      </w:pPr>
    </w:p>
    <w:p>
      <w:pPr>
        <w:pStyle w:val="2"/>
        <w:spacing w:before="160" w:after="160"/>
        <w:jc w:val="center"/>
      </w:pPr>
      <w:bookmarkStart w:id="6" w:name="_Toc157175692"/>
      <w:r>
        <w:rPr>
          <w:rFonts w:hint="eastAsia"/>
        </w:rPr>
        <w:t>第四章 评审办法及标准</w:t>
      </w:r>
      <w:bookmarkEnd w:id="6"/>
    </w:p>
    <w:p>
      <w:pPr>
        <w:spacing w:line="360" w:lineRule="auto"/>
        <w:ind w:firstLine="480" w:firstLineChars="200"/>
        <w:rPr>
          <w:sz w:val="24"/>
        </w:rPr>
      </w:pPr>
      <w:r>
        <w:rPr>
          <w:rFonts w:hint="eastAsia"/>
          <w:sz w:val="24"/>
        </w:rPr>
        <w:t>根据《中华人民共和国政府采购法》等有关法律法规，结合本项目的实际需求，制定本办法。</w:t>
      </w:r>
    </w:p>
    <w:p>
      <w:pPr>
        <w:pStyle w:val="3"/>
        <w:spacing w:before="0" w:after="0" w:line="360" w:lineRule="auto"/>
        <w:ind w:firstLine="424" w:firstLineChars="151"/>
        <w:rPr>
          <w:sz w:val="28"/>
        </w:rPr>
      </w:pPr>
      <w:r>
        <w:rPr>
          <w:rFonts w:hint="eastAsia"/>
          <w:sz w:val="28"/>
        </w:rPr>
        <w:t>一、总则</w:t>
      </w:r>
    </w:p>
    <w:p>
      <w:pPr>
        <w:spacing w:line="360" w:lineRule="auto"/>
        <w:ind w:firstLine="480" w:firstLineChars="200"/>
        <w:rPr>
          <w:sz w:val="24"/>
        </w:rPr>
      </w:pPr>
      <w:r>
        <w:rPr>
          <w:rFonts w:hint="eastAsia"/>
          <w:sz w:val="24"/>
        </w:rPr>
        <w:t>本次评审采用价格优先法。价格优先法是指对满足采购需求且响应报价不超过最高限制单价的服务，按照响应报价从低到高排序，根据征集文件规定的淘汰率或者入围供应商数量上限，确定入围供应商的评审方法。</w:t>
      </w:r>
    </w:p>
    <w:p>
      <w:pPr>
        <w:pStyle w:val="3"/>
        <w:spacing w:before="0" w:after="0" w:line="360" w:lineRule="auto"/>
        <w:ind w:firstLine="424" w:firstLineChars="151"/>
        <w:rPr>
          <w:sz w:val="28"/>
        </w:rPr>
      </w:pPr>
      <w:r>
        <w:rPr>
          <w:rFonts w:hint="eastAsia"/>
          <w:sz w:val="28"/>
        </w:rPr>
        <w:t>二、入围供应商的确定</w:t>
      </w:r>
    </w:p>
    <w:p>
      <w:pPr>
        <w:adjustRightInd w:val="0"/>
        <w:snapToGrid w:val="0"/>
        <w:spacing w:line="440" w:lineRule="exact"/>
        <w:ind w:firstLine="424" w:firstLineChars="177"/>
        <w:rPr>
          <w:sz w:val="24"/>
        </w:rPr>
      </w:pPr>
      <w:r>
        <w:rPr>
          <w:rFonts w:hint="eastAsia"/>
          <w:sz w:val="24"/>
        </w:rPr>
        <w:t>1.本项目采购入围数量根据征集文件规定的淘汰率 20 %确定，且入围至多30家，并至少淘汰一家供应商。</w:t>
      </w:r>
    </w:p>
    <w:p>
      <w:pPr>
        <w:adjustRightInd w:val="0"/>
        <w:snapToGrid w:val="0"/>
        <w:spacing w:line="440" w:lineRule="exact"/>
        <w:ind w:firstLine="424" w:firstLineChars="177"/>
        <w:rPr>
          <w:sz w:val="24"/>
        </w:rPr>
      </w:pPr>
      <w:r>
        <w:rPr>
          <w:rFonts w:hint="eastAsia"/>
          <w:sz w:val="24"/>
        </w:rPr>
        <w:t>⑴对符合资格条件、实质性要求即满足采购需求且响应报价不超过最高限制单价的供应商，按照响应报价从低到高排序，入围供应商的确定需同时满足征集文件规定的淘汰率与入围供应商数量上限。</w:t>
      </w:r>
    </w:p>
    <w:p>
      <w:pPr>
        <w:adjustRightInd w:val="0"/>
        <w:snapToGrid w:val="0"/>
        <w:spacing w:line="440" w:lineRule="exact"/>
        <w:ind w:firstLine="424" w:firstLineChars="177"/>
        <w:rPr>
          <w:sz w:val="24"/>
        </w:rPr>
      </w:pPr>
      <w:r>
        <w:rPr>
          <w:rFonts w:hint="eastAsia"/>
          <w:sz w:val="24"/>
        </w:rPr>
        <w:t>⑵如有效供应商的入围数量淘汰率为20%的项目的有效供应商数量的80%为非整数的，采用去尾法取整数，如有效供应商为12家时，排序在前的9家入围，淘汰末尾3家，以此类推。</w:t>
      </w:r>
    </w:p>
    <w:p>
      <w:pPr>
        <w:adjustRightInd w:val="0"/>
        <w:snapToGrid w:val="0"/>
        <w:spacing w:line="440" w:lineRule="exact"/>
        <w:ind w:firstLine="424" w:firstLineChars="177"/>
        <w:rPr>
          <w:sz w:val="24"/>
        </w:rPr>
      </w:pPr>
      <w:r>
        <w:rPr>
          <w:rFonts w:hint="eastAsia"/>
          <w:sz w:val="24"/>
        </w:rPr>
        <w:t>⑶如出现末位供应商并列的情况，由评审小组在评审现场以抓阄方式随机确定入围供应商。</w:t>
      </w:r>
    </w:p>
    <w:p>
      <w:pPr>
        <w:adjustRightInd w:val="0"/>
        <w:snapToGrid w:val="0"/>
        <w:spacing w:line="440" w:lineRule="exact"/>
        <w:ind w:firstLine="424" w:firstLineChars="177"/>
        <w:rPr>
          <w:sz w:val="24"/>
        </w:rPr>
      </w:pPr>
      <w:r>
        <w:rPr>
          <w:rFonts w:hint="eastAsia"/>
          <w:sz w:val="24"/>
        </w:rPr>
        <w:t>2. 若本项目为非专门面向中小企业采购的，则需在评审时对符合享受政府采购扶持政策的中小企业、残疾人福利单位、监狱企业报价按照前附表的规定给予相应的价格扣除，此扣除后报价仅用于价格排序。</w:t>
      </w:r>
    </w:p>
    <w:p>
      <w:pPr>
        <w:adjustRightInd w:val="0"/>
        <w:snapToGrid w:val="0"/>
        <w:spacing w:line="440" w:lineRule="exact"/>
        <w:ind w:firstLine="424" w:firstLineChars="177"/>
        <w:rPr>
          <w:sz w:val="24"/>
        </w:rPr>
      </w:pPr>
      <w:r>
        <w:rPr>
          <w:rFonts w:hint="eastAsia"/>
          <w:sz w:val="24"/>
        </w:rPr>
        <w:t>3.本项目提交响应文件和符合资格条件、实质性要求的供应商应当不少于2家，否则本项目作废标处理。</w:t>
      </w:r>
    </w:p>
    <w:p>
      <w:pPr>
        <w:adjustRightInd w:val="0"/>
        <w:snapToGrid w:val="0"/>
        <w:spacing w:line="440" w:lineRule="exact"/>
        <w:ind w:firstLine="424" w:firstLineChars="177"/>
        <w:rPr>
          <w:sz w:val="24"/>
        </w:rPr>
      </w:pPr>
      <w:r>
        <w:rPr>
          <w:rFonts w:hint="eastAsia"/>
          <w:sz w:val="24"/>
        </w:rPr>
        <w:t>4.采购完成后，如出现质疑并成立，淘汰部分已经入围供应商，不再另行递补入围供应商。</w:t>
      </w:r>
    </w:p>
    <w:p>
      <w:pPr>
        <w:adjustRightInd w:val="0"/>
        <w:snapToGrid w:val="0"/>
        <w:spacing w:line="440" w:lineRule="exact"/>
        <w:ind w:firstLine="420"/>
        <w:rPr>
          <w:sz w:val="24"/>
        </w:rPr>
        <w:sectPr>
          <w:pgSz w:w="11906" w:h="16838"/>
          <w:pgMar w:top="1440" w:right="1800" w:bottom="1440" w:left="1800" w:header="851" w:footer="992" w:gutter="0"/>
          <w:cols w:space="425" w:num="1"/>
          <w:docGrid w:type="lines" w:linePitch="312" w:charSpace="0"/>
        </w:sectPr>
      </w:pPr>
      <w:r>
        <w:rPr>
          <w:rFonts w:hint="eastAsia"/>
          <w:sz w:val="24"/>
        </w:rPr>
        <w:t>5.框架协议有效期内如出现剩余入围供应商不足入围供应商总数70%且影响框架协议执行的情形，征集人将启动补充征集工作。</w:t>
      </w:r>
    </w:p>
    <w:p>
      <w:pPr>
        <w:pStyle w:val="2"/>
        <w:spacing w:before="160" w:after="160"/>
        <w:jc w:val="center"/>
      </w:pPr>
      <w:bookmarkStart w:id="7" w:name="_Toc157175693"/>
      <w:r>
        <w:rPr>
          <w:rFonts w:hint="eastAsia"/>
        </w:rPr>
        <w:t>第五章 拟签订的框架协议文本和采购合同文本</w:t>
      </w:r>
      <w:bookmarkEnd w:id="7"/>
    </w:p>
    <w:p>
      <w:pPr>
        <w:pStyle w:val="3"/>
        <w:spacing w:before="0" w:after="0" w:line="360" w:lineRule="auto"/>
        <w:ind w:firstLine="424" w:firstLineChars="151"/>
        <w:jc w:val="center"/>
        <w:rPr>
          <w:sz w:val="28"/>
        </w:rPr>
      </w:pPr>
      <w:r>
        <w:rPr>
          <w:rFonts w:hint="eastAsia"/>
          <w:sz w:val="28"/>
        </w:rPr>
        <w:t>2024-2026年度浦江县预算绩效评价咨询服务封闭式框架协议项目</w:t>
      </w:r>
    </w:p>
    <w:p>
      <w:pPr>
        <w:spacing w:line="440" w:lineRule="exact"/>
        <w:rPr>
          <w:rFonts w:ascii="宋体" w:hAnsi="宋体"/>
          <w:color w:val="000000" w:themeColor="text1"/>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甲方（征集人）：</w:t>
      </w:r>
      <w:r>
        <w:rPr>
          <w:rFonts w:hint="eastAsia" w:ascii="宋体" w:hAnsi="宋体" w:cs="宋体"/>
          <w:color w:val="000000" w:themeColor="text1"/>
          <w:sz w:val="24"/>
          <w14:textFill>
            <w14:solidFill>
              <w14:schemeClr w14:val="tx1"/>
            </w14:solidFill>
          </w14:textFill>
        </w:rPr>
        <w:t>金华市公共资源交易中心浦江县分中心</w:t>
      </w:r>
    </w:p>
    <w:p>
      <w:pPr>
        <w:spacing w:line="440" w:lineRule="exact"/>
        <w:rPr>
          <w:rFonts w:ascii="宋体" w:hAnsi="宋体"/>
          <w:b/>
          <w:bCs/>
          <w:color w:val="000000" w:themeColor="text1"/>
          <w:u w:val="singl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乙方（入围供应商）：</w:t>
      </w:r>
      <w:r>
        <w:rPr>
          <w:rFonts w:hint="eastAsia" w:ascii="宋体" w:hAnsi="宋体" w:eastAsia="宋体" w:cs="宋体"/>
          <w:b/>
          <w:bCs/>
          <w:color w:val="000000" w:themeColor="text1"/>
          <w:sz w:val="24"/>
          <w:u w:val="single"/>
          <w14:textFill>
            <w14:solidFill>
              <w14:schemeClr w14:val="tx1"/>
            </w14:solidFill>
          </w14:textFill>
        </w:rPr>
        <w:t xml:space="preserve">                                             </w:t>
      </w:r>
    </w:p>
    <w:p>
      <w:pPr>
        <w:adjustRightInd w:val="0"/>
        <w:snapToGrid w:val="0"/>
        <w:spacing w:line="440" w:lineRule="exact"/>
        <w:ind w:firstLine="420"/>
        <w:rPr>
          <w:rFonts w:ascii="宋体" w:hAnsi="宋体" w:eastAsia="宋体"/>
          <w:color w:val="000000" w:themeColor="text1"/>
          <w14:textFill>
            <w14:solidFill>
              <w14:schemeClr w14:val="tx1"/>
            </w14:solidFill>
          </w14:textFill>
        </w:rPr>
      </w:pPr>
      <w:r>
        <w:rPr>
          <w:rFonts w:hint="eastAsia"/>
          <w:sz w:val="24"/>
        </w:rPr>
        <w:t xml:space="preserve"> </w:t>
      </w:r>
      <w:r>
        <w:rPr>
          <w:rFonts w:hint="eastAsia" w:ascii="宋体" w:hAnsi="宋体" w:eastAsia="宋体"/>
          <w:sz w:val="24"/>
        </w:rPr>
        <w:t>甲、乙双方根据</w:t>
      </w:r>
      <w:r>
        <w:rPr>
          <w:rFonts w:hint="eastAsia" w:ascii="宋体" w:hAnsi="宋体" w:eastAsia="宋体"/>
          <w:sz w:val="24"/>
          <w:u w:val="single"/>
        </w:rPr>
        <w:t xml:space="preserve">  2024-2026年度浦江县预算绩效评价咨询服务封闭式框架协议项目  </w:t>
      </w:r>
      <w:r>
        <w:rPr>
          <w:rFonts w:hint="eastAsia" w:ascii="宋体" w:hAnsi="宋体" w:eastAsia="宋体"/>
          <w:sz w:val="24"/>
        </w:rPr>
        <w:t>（项目编号：ZPKJ2024-003）征集的结果，签署本协议（以下简称“协议”）。协议期内，乙方、适用于框架协议的采购人双方签署《政府采购合同》（以下简称“合同”）。</w:t>
      </w:r>
    </w:p>
    <w:p>
      <w:pPr>
        <w:pStyle w:val="11"/>
        <w:ind w:firstLine="426"/>
      </w:pPr>
      <w:r>
        <w:rPr>
          <w:rFonts w:hint="eastAsia"/>
        </w:rPr>
        <w:t>一、定义</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本协议中的下列术语应解释为：</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1.“协议”系指甲方与乙方签署的、载明甲方与乙方协利义务的协议，包括所有的附件、附录和其他构成协议的所有文件。</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2.“甲方”系指征集人。甲方不作为协议一方具体参加合同的实际履行。在实际履行中由采购人与乙方另行签订具体合同。</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3.“乙方”系指本次入围供应商。</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4.“采购人”系指浦江县各级行政机关、事业单位、团体组织。本协议下述各处所指甲方同时包含采购人。</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5.“征集文件”是指“2024-2026年度浦江县预算绩效评价咨询服务封闭式框架协议项目”征集文件。</w:t>
      </w:r>
    </w:p>
    <w:p>
      <w:pPr>
        <w:pStyle w:val="11"/>
        <w:ind w:firstLine="426"/>
      </w:pPr>
      <w:r>
        <w:rPr>
          <w:rFonts w:hint="eastAsia"/>
        </w:rPr>
        <w:t>二、采购需求以及最高限制单价</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详见征集文件。</w:t>
      </w:r>
    </w:p>
    <w:p>
      <w:pPr>
        <w:pStyle w:val="11"/>
        <w:ind w:firstLine="426"/>
      </w:pPr>
      <w:r>
        <w:rPr>
          <w:rFonts w:hint="eastAsia"/>
        </w:rPr>
        <w:t>三、服务内容、服务标准</w:t>
      </w:r>
    </w:p>
    <w:p>
      <w:pPr>
        <w:adjustRightInd w:val="0"/>
        <w:snapToGrid w:val="0"/>
        <w:spacing w:line="440" w:lineRule="exact"/>
        <w:ind w:firstLine="426" w:firstLineChars="177"/>
        <w:rPr>
          <w:rFonts w:ascii="宋体" w:hAnsi="宋体" w:cs="宋体"/>
          <w:b/>
          <w:sz w:val="24"/>
        </w:rPr>
      </w:pPr>
      <w:r>
        <w:rPr>
          <w:rFonts w:hint="eastAsia" w:ascii="宋体" w:hAnsi="宋体" w:cs="宋体"/>
          <w:b/>
          <w:sz w:val="24"/>
        </w:rPr>
        <w:t>（一）服务内容</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本项目主要包括重大政策和项目事前绩效评估、监控和评价，绩效目标审核，部门整体绩效评价及其他预算绩效评价咨询服务事项。</w:t>
      </w:r>
    </w:p>
    <w:p>
      <w:pPr>
        <w:adjustRightInd w:val="0"/>
        <w:snapToGrid w:val="0"/>
        <w:spacing w:line="440" w:lineRule="exact"/>
        <w:ind w:firstLine="426" w:firstLineChars="177"/>
        <w:rPr>
          <w:rFonts w:ascii="宋体" w:hAnsi="宋体" w:cs="宋体"/>
          <w:b/>
          <w:sz w:val="24"/>
        </w:rPr>
      </w:pPr>
      <w:r>
        <w:rPr>
          <w:rFonts w:hint="eastAsia" w:ascii="宋体" w:hAnsi="宋体" w:cs="宋体"/>
          <w:b/>
          <w:sz w:val="24"/>
        </w:rPr>
        <w:t>（二）服务标准</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1.自觉遵守有关规定，严格执行绩效评价服务、廉政纪律和职业道德，保守工程资料数据的秘密。</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严格按照采购人的有关规定和要求实施绩效评价等服务，接受采购人的指导、监督和管理，同时按采购人的质量和进度要求及时提供结果以及与服务事项相关的资料。按采购人规定的格式、要求起草有关文书和其他材料。</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3.不得将承接的业务对外转包，不得以任何借口违反独立绩效评价相关准则和质量控制准则，降低执业质量，并同意对承担相关业务的质量向社会公告。愿意接受相关部门对项目质量的审查考核。</w:t>
      </w:r>
    </w:p>
    <w:p>
      <w:pPr>
        <w:adjustRightInd w:val="0"/>
        <w:snapToGrid w:val="0"/>
        <w:spacing w:line="440" w:lineRule="exact"/>
        <w:ind w:firstLine="480" w:firstLineChars="200"/>
        <w:rPr>
          <w:rFonts w:ascii="宋体" w:hAnsi="宋体" w:eastAsia="宋体"/>
          <w:sz w:val="24"/>
          <w:szCs w:val="24"/>
        </w:rPr>
      </w:pPr>
      <w:r>
        <w:rPr>
          <w:rFonts w:hint="eastAsia" w:ascii="宋体" w:hAnsi="Courier New" w:eastAsia="宋体" w:cs="Times New Roman"/>
          <w:sz w:val="24"/>
          <w:szCs w:val="24"/>
        </w:rPr>
        <w:t>4.</w:t>
      </w:r>
      <w:r>
        <w:rPr>
          <w:rFonts w:hint="eastAsia" w:ascii="宋体" w:hAnsi="宋体" w:eastAsia="宋体"/>
          <w:sz w:val="24"/>
          <w:szCs w:val="24"/>
        </w:rPr>
        <w:t>针对第二阶段每个项目须至少派出1名主评人员（注册会计师）和</w:t>
      </w:r>
      <w:r>
        <w:rPr>
          <w:rFonts w:ascii="宋体" w:hAnsi="宋体" w:eastAsia="宋体"/>
          <w:sz w:val="24"/>
          <w:szCs w:val="24"/>
        </w:rPr>
        <w:t>其他</w:t>
      </w:r>
      <w:r>
        <w:rPr>
          <w:rFonts w:hint="eastAsia" w:ascii="宋体" w:hAnsi="宋体" w:eastAsia="宋体"/>
          <w:sz w:val="24"/>
          <w:szCs w:val="24"/>
        </w:rPr>
        <w:t>助理</w:t>
      </w:r>
      <w:r>
        <w:rPr>
          <w:rFonts w:ascii="宋体" w:hAnsi="宋体" w:eastAsia="宋体"/>
          <w:sz w:val="24"/>
          <w:szCs w:val="24"/>
        </w:rPr>
        <w:t>人员</w:t>
      </w:r>
      <w:r>
        <w:rPr>
          <w:rFonts w:hint="eastAsia" w:ascii="宋体" w:hAnsi="宋体" w:eastAsia="宋体"/>
          <w:sz w:val="24"/>
          <w:szCs w:val="24"/>
        </w:rPr>
        <w:t>2名</w:t>
      </w:r>
      <w:r>
        <w:rPr>
          <w:rFonts w:ascii="宋体" w:hAnsi="宋体" w:eastAsia="宋体"/>
          <w:sz w:val="24"/>
          <w:szCs w:val="24"/>
        </w:rPr>
        <w:t>，</w:t>
      </w:r>
      <w:r>
        <w:rPr>
          <w:rFonts w:hint="eastAsia" w:ascii="宋体" w:hAnsi="宋体" w:eastAsia="宋体"/>
          <w:sz w:val="24"/>
          <w:szCs w:val="24"/>
        </w:rPr>
        <w:t>并指定1名工作人员作为项目联系人，负责联系该项目的一切相关事宜，</w:t>
      </w:r>
      <w:r>
        <w:rPr>
          <w:rFonts w:ascii="宋体" w:hAnsi="宋体" w:eastAsia="宋体"/>
          <w:sz w:val="24"/>
          <w:szCs w:val="24"/>
        </w:rPr>
        <w:t>其中</w:t>
      </w:r>
      <w:r>
        <w:rPr>
          <w:rFonts w:hint="eastAsia" w:ascii="宋体" w:hAnsi="宋体" w:eastAsia="宋体"/>
          <w:sz w:val="24"/>
          <w:szCs w:val="24"/>
        </w:rPr>
        <w:t>项目团队成员</w:t>
      </w:r>
      <w:r>
        <w:rPr>
          <w:rFonts w:ascii="宋体" w:hAnsi="宋体" w:eastAsia="宋体"/>
          <w:sz w:val="24"/>
          <w:szCs w:val="24"/>
        </w:rPr>
        <w:t>在评价过程中保持相对稳定。供应商不得自行更换派出人员。采购人有权根据工作需要和供应商派出人员工作情况，要求供应商更换或撤回不能胜任工作的派出人员。</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5.建立用户档案，开展跟踪服务。保证采购人获得优先服务的权利，根据采购人的通知及时签订预算绩效评价咨询服务合同。</w:t>
      </w:r>
    </w:p>
    <w:p>
      <w:pPr>
        <w:widowControl/>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6.协助做好采购人经办人的廉政工作，不得以任何形式向采购人提供回扣。</w:t>
      </w:r>
    </w:p>
    <w:p>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7.在预算绩效评价咨询服务工作完成后，服务人员应及时移交实施评价过程中所形成的全部纸质资料和电子资料。服务人员不得将其参与预算绩效评价工作获取的相关信息用于与所评价咨询事项无关的目的。</w:t>
      </w:r>
    </w:p>
    <w:p>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8.在协议期内，乙方如有信息变更（如变更法定代表人、主要负责人、联系人、联系电话、地址等），应及时在政采云系统中更新相关信息并通知甲方，按甲方要求提供相关资料备案。</w:t>
      </w:r>
    </w:p>
    <w:p>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9.征集文件中规定的其他服务要求。</w:t>
      </w:r>
    </w:p>
    <w:p>
      <w:pPr>
        <w:pStyle w:val="11"/>
        <w:ind w:firstLine="426"/>
      </w:pPr>
      <w:r>
        <w:rPr>
          <w:rFonts w:hint="eastAsia"/>
        </w:rPr>
        <w:t>四、协议价格</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乙方报价不得超过以下标准（最高限价）：按工作量法收费标准，中级技术职称及以下专业人员每半天不超过500元（税后，下同）；副高级技术职称专业人员、注册会计师或其他同等资格人员每半天不超过800元；正高级技术职称专业人员每半天不超过1600元。需赴外地的，差旅费按政府机关出差标准据实计算，并按规定执行。以上收费标准为按工作量法的基准价，乙方承诺在此基础上给予折扣率</w:t>
      </w:r>
      <w:r>
        <w:rPr>
          <w:rFonts w:hint="eastAsia" w:ascii="宋体" w:hAnsi="Courier New" w:eastAsia="宋体" w:cs="Times New Roman"/>
          <w:sz w:val="24"/>
          <w:szCs w:val="24"/>
          <w:u w:val="single"/>
        </w:rPr>
        <w:t xml:space="preserve">    </w:t>
      </w:r>
      <w:r>
        <w:rPr>
          <w:rFonts w:hint="eastAsia" w:ascii="宋体" w:hAnsi="Courier New" w:eastAsia="宋体" w:cs="Times New Roman"/>
          <w:sz w:val="24"/>
          <w:szCs w:val="24"/>
        </w:rPr>
        <w:t>%。</w:t>
      </w:r>
    </w:p>
    <w:p>
      <w:pPr>
        <w:pStyle w:val="11"/>
        <w:ind w:firstLine="426"/>
        <w:rPr>
          <w:rFonts w:ascii="微软雅黑" w:hAnsi="微软雅黑" w:eastAsia="微软雅黑"/>
        </w:rPr>
      </w:pPr>
      <w:r>
        <w:rPr>
          <w:rFonts w:hint="eastAsia"/>
        </w:rPr>
        <w:t>五、入围产品升级换代规则</w:t>
      </w:r>
    </w:p>
    <w:p>
      <w:pPr>
        <w:pStyle w:val="11"/>
        <w:rPr>
          <w:b w:val="0"/>
          <w:shd w:val="clear" w:color="auto" w:fill="auto"/>
        </w:rPr>
      </w:pPr>
      <w:r>
        <w:rPr>
          <w:rFonts w:hint="eastAsia"/>
          <w:b w:val="0"/>
          <w:shd w:val="clear" w:color="auto" w:fill="auto"/>
        </w:rPr>
        <w:t>协议期内，如有新的政策规定出台的（如行业标准、收费标准等），甲乙双方应当按新的政策规定执行协议。</w:t>
      </w:r>
    </w:p>
    <w:p>
      <w:pPr>
        <w:pStyle w:val="11"/>
        <w:ind w:firstLine="426"/>
      </w:pPr>
      <w:r>
        <w:rPr>
          <w:rFonts w:hint="eastAsia"/>
        </w:rPr>
        <w:t>六、确定第二阶段成交供应商的方式</w:t>
      </w:r>
    </w:p>
    <w:p>
      <w:pPr>
        <w:pStyle w:val="11"/>
        <w:rPr>
          <w:b w:val="0"/>
        </w:rPr>
      </w:pPr>
      <w:r>
        <w:rPr>
          <w:rFonts w:hint="eastAsia"/>
          <w:b w:val="0"/>
        </w:rPr>
        <w:t>本次框架协议第二阶段成交供应商的确定方式为直接选定。采购人依据入围产品价格、质量及服务便利性、用户评价等因素，从乙方中直接选定，并授予合同。乙方应在两个工作日内接受合同授予，无正当理由不得拒绝。</w:t>
      </w:r>
      <w:r>
        <w:rPr>
          <w:b w:val="0"/>
        </w:rPr>
        <w:t>本框架协议不作为甲方选择乙方作为第二阶段具体服务对象的承诺。</w:t>
      </w:r>
    </w:p>
    <w:p>
      <w:pPr>
        <w:pStyle w:val="11"/>
        <w:ind w:firstLine="426"/>
      </w:pPr>
      <w:r>
        <w:rPr>
          <w:rFonts w:hint="eastAsia"/>
        </w:rPr>
        <w:t>七、适用框架协议的采购人以及履行合同的地域范围</w:t>
      </w:r>
    </w:p>
    <w:p>
      <w:pPr>
        <w:adjustRightInd w:val="0"/>
        <w:snapToGrid w:val="0"/>
        <w:spacing w:line="440" w:lineRule="exact"/>
        <w:ind w:firstLine="424" w:firstLineChars="177"/>
        <w:rPr>
          <w:rFonts w:ascii="宋体" w:hAnsi="宋体" w:cs="宋体"/>
          <w:sz w:val="24"/>
        </w:rPr>
      </w:pPr>
      <w:r>
        <w:rPr>
          <w:rFonts w:hint="eastAsia" w:ascii="宋体" w:hAnsi="宋体" w:cs="宋体"/>
          <w:sz w:val="24"/>
        </w:rPr>
        <w:t>1.使用框架协议的采购人：</w:t>
      </w:r>
      <w:r>
        <w:rPr>
          <w:rFonts w:hint="eastAsia" w:ascii="宋体" w:hAnsi="宋体" w:cs="宋体"/>
          <w:color w:val="000000" w:themeColor="text1"/>
          <w:sz w:val="24"/>
          <w14:textFill>
            <w14:solidFill>
              <w14:schemeClr w14:val="tx1"/>
            </w14:solidFill>
          </w14:textFill>
        </w:rPr>
        <w:t>浦江县各级行政机关、事业单位、团体组织。</w:t>
      </w:r>
    </w:p>
    <w:p>
      <w:pPr>
        <w:adjustRightInd w:val="0"/>
        <w:snapToGrid w:val="0"/>
        <w:spacing w:line="440" w:lineRule="exact"/>
        <w:ind w:firstLine="424" w:firstLineChars="177"/>
        <w:rPr>
          <w:rFonts w:ascii="宋体" w:hAnsi="宋体" w:cs="宋体"/>
          <w:sz w:val="24"/>
        </w:rPr>
      </w:pPr>
      <w:r>
        <w:rPr>
          <w:rFonts w:hint="eastAsia" w:ascii="宋体" w:hAnsi="宋体" w:cs="宋体"/>
          <w:sz w:val="24"/>
        </w:rPr>
        <w:t>2.履行合同的地域范围：浦江县。</w:t>
      </w:r>
    </w:p>
    <w:p>
      <w:pPr>
        <w:pStyle w:val="11"/>
        <w:ind w:firstLine="426"/>
        <w:rPr>
          <w:color w:val="333333"/>
        </w:rPr>
      </w:pPr>
      <w:r>
        <w:rPr>
          <w:rFonts w:hint="eastAsia"/>
          <w:color w:val="333333"/>
        </w:rPr>
        <w:t>八、</w:t>
      </w:r>
      <w:r>
        <w:rPr>
          <w:rFonts w:hint="eastAsia"/>
        </w:rPr>
        <w:t>资金支付方式、时间和条件</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按照采购人和乙方签订的绩效评价咨询服务委托合同的约定支付。</w:t>
      </w:r>
    </w:p>
    <w:p>
      <w:pPr>
        <w:pStyle w:val="11"/>
        <w:ind w:firstLine="426"/>
      </w:pPr>
      <w:r>
        <w:rPr>
          <w:rFonts w:hint="eastAsia"/>
        </w:rPr>
        <w:t>九、框架协议期限</w:t>
      </w:r>
    </w:p>
    <w:p>
      <w:pPr>
        <w:snapToGrid w:val="0"/>
        <w:spacing w:line="460" w:lineRule="exact"/>
        <w:ind w:firstLine="480" w:firstLineChars="200"/>
        <w:rPr>
          <w:rFonts w:ascii="宋体" w:hAnsi="宋体" w:eastAsia="宋体" w:cs="宋体"/>
          <w:sz w:val="24"/>
        </w:rPr>
      </w:pPr>
      <w:r>
        <w:rPr>
          <w:rFonts w:hint="eastAsia" w:ascii="宋体" w:hAnsi="宋体" w:eastAsia="宋体"/>
          <w:sz w:val="24"/>
          <w:szCs w:val="24"/>
        </w:rPr>
        <w:t>服务期2年（2024年10月1日</w:t>
      </w:r>
      <w:r>
        <w:rPr>
          <w:rFonts w:ascii="宋体" w:hAnsi="宋体" w:eastAsia="宋体"/>
          <w:sz w:val="24"/>
          <w:szCs w:val="24"/>
        </w:rPr>
        <w:t>—</w:t>
      </w:r>
      <w:r>
        <w:rPr>
          <w:rFonts w:hint="eastAsia" w:ascii="宋体" w:hAnsi="宋体" w:eastAsia="宋体"/>
          <w:sz w:val="24"/>
          <w:szCs w:val="24"/>
        </w:rPr>
        <w:t>2026年9月30日）。</w:t>
      </w:r>
    </w:p>
    <w:p>
      <w:pPr>
        <w:snapToGrid w:val="0"/>
        <w:spacing w:line="460" w:lineRule="exact"/>
        <w:ind w:firstLine="480" w:firstLineChars="200"/>
        <w:rPr>
          <w:rFonts w:ascii="微软雅黑" w:hAnsi="微软雅黑" w:eastAsia="微软雅黑"/>
          <w:shd w:val="clear" w:color="auto" w:fill="FFFFFF"/>
        </w:rPr>
      </w:pPr>
      <w:r>
        <w:rPr>
          <w:rFonts w:hint="eastAsia" w:ascii="宋体" w:hAnsi="宋体" w:eastAsia="宋体" w:cs="宋体"/>
          <w:sz w:val="24"/>
        </w:rPr>
        <w:t>协议期内，乙方应遵守本项目征集文件的要求，履行响应文件的承诺，及时向采购人提供优质产品和服务，</w:t>
      </w:r>
      <w:r>
        <w:rPr>
          <w:rFonts w:hint="eastAsia" w:ascii="宋体" w:hAnsi="宋体" w:cs="宋体"/>
          <w:sz w:val="24"/>
        </w:rPr>
        <w:t>不得提出本协议书内容之外的任何不利于采购人的附加条件。</w:t>
      </w:r>
    </w:p>
    <w:p>
      <w:pPr>
        <w:pStyle w:val="11"/>
        <w:ind w:firstLine="426"/>
      </w:pPr>
      <w:r>
        <w:rPr>
          <w:rFonts w:hint="eastAsia"/>
        </w:rPr>
        <w:t>十、入围供应商补充规则</w:t>
      </w:r>
    </w:p>
    <w:p>
      <w:pPr>
        <w:spacing w:line="440" w:lineRule="exact"/>
        <w:ind w:firstLine="480" w:firstLineChars="200"/>
        <w:rPr>
          <w:rFonts w:ascii="宋体" w:hAnsi="宋体" w:cs="宋体"/>
          <w:sz w:val="24"/>
        </w:rPr>
      </w:pPr>
      <w:r>
        <w:rPr>
          <w:rFonts w:hint="eastAsia" w:ascii="宋体" w:hAnsi="宋体" w:cs="宋体"/>
          <w:sz w:val="24"/>
        </w:rPr>
        <w:t>框架协议有效期内如出现剩余入围供应商不足入围供应商总数70%且影响框架协议执行的情形，征集人将启动补充征集工作。</w:t>
      </w:r>
    </w:p>
    <w:p>
      <w:pPr>
        <w:spacing w:line="440" w:lineRule="exact"/>
        <w:ind w:firstLine="480" w:firstLineChars="200"/>
        <w:rPr>
          <w:rFonts w:ascii="宋体" w:hAnsi="宋体" w:cs="宋体"/>
          <w:sz w:val="24"/>
        </w:rPr>
      </w:pPr>
      <w:r>
        <w:rPr>
          <w:rFonts w:hint="eastAsia" w:ascii="宋体" w:hAnsi="宋体" w:cs="宋体"/>
          <w:sz w:val="24"/>
        </w:rPr>
        <w:t>1.补充征集的条件、程序、评审方法和淘汰比例与初次征集相同。</w:t>
      </w:r>
    </w:p>
    <w:p>
      <w:pPr>
        <w:spacing w:line="440" w:lineRule="exact"/>
        <w:ind w:firstLine="480" w:firstLineChars="200"/>
        <w:rPr>
          <w:rFonts w:ascii="宋体" w:hAnsi="宋体" w:cs="宋体"/>
          <w:sz w:val="24"/>
        </w:rPr>
      </w:pPr>
      <w:r>
        <w:rPr>
          <w:rFonts w:hint="eastAsia" w:ascii="宋体" w:hAnsi="宋体" w:cs="宋体"/>
          <w:sz w:val="24"/>
        </w:rPr>
        <w:t>2.补充征集遵守原框架协议的有效期。</w:t>
      </w:r>
    </w:p>
    <w:p>
      <w:pPr>
        <w:snapToGrid w:val="0"/>
        <w:spacing w:line="460" w:lineRule="exact"/>
        <w:ind w:firstLine="480" w:firstLineChars="200"/>
        <w:rPr>
          <w:rFonts w:ascii="宋体" w:hAnsi="宋体" w:cs="宋体"/>
          <w:sz w:val="24"/>
        </w:rPr>
      </w:pPr>
      <w:r>
        <w:rPr>
          <w:rFonts w:hint="eastAsia" w:ascii="宋体" w:hAnsi="宋体" w:cs="宋体"/>
          <w:sz w:val="24"/>
        </w:rPr>
        <w:t>3.补充征集期间，原框架协议继续履行。</w:t>
      </w:r>
    </w:p>
    <w:p>
      <w:pPr>
        <w:pStyle w:val="11"/>
        <w:ind w:firstLine="426"/>
        <w:rPr>
          <w:snapToGrid w:val="0"/>
        </w:rPr>
      </w:pPr>
      <w:r>
        <w:rPr>
          <w:rFonts w:hint="eastAsia"/>
        </w:rPr>
        <w:t>十一、</w:t>
      </w:r>
      <w:r>
        <w:rPr>
          <w:rFonts w:hint="eastAsia"/>
          <w:snapToGrid w:val="0"/>
        </w:rPr>
        <w:t>转包或分包</w:t>
      </w:r>
    </w:p>
    <w:p>
      <w:pPr>
        <w:pStyle w:val="11"/>
        <w:rPr>
          <w:rFonts w:hAnsi="宋体" w:cs="宋体" w:eastAsiaTheme="minorEastAsia"/>
          <w:b w:val="0"/>
          <w:szCs w:val="22"/>
          <w:shd w:val="clear" w:color="auto" w:fill="auto"/>
        </w:rPr>
      </w:pPr>
      <w:r>
        <w:rPr>
          <w:rFonts w:hint="eastAsia" w:hAnsi="宋体" w:cs="宋体" w:eastAsiaTheme="minorEastAsia"/>
          <w:b w:val="0"/>
          <w:szCs w:val="22"/>
          <w:shd w:val="clear" w:color="auto" w:fill="auto"/>
        </w:rPr>
        <w:t>不允许转包和分包。如乙方将项目转包或分包，甲方有权解除合同，追究乙方的违约责任。</w:t>
      </w:r>
    </w:p>
    <w:p>
      <w:pPr>
        <w:pStyle w:val="11"/>
        <w:ind w:firstLine="426"/>
        <w:rPr>
          <w:snapToGrid w:val="0"/>
        </w:rPr>
      </w:pPr>
      <w:r>
        <w:rPr>
          <w:rFonts w:hint="eastAsia"/>
          <w:snapToGrid w:val="0"/>
        </w:rPr>
        <w:t>十二、履约延误</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1.乙方提供服务。</w:t>
      </w:r>
    </w:p>
    <w:p>
      <w:pPr>
        <w:snapToGrid w:val="0"/>
        <w:spacing w:line="460" w:lineRule="exact"/>
        <w:ind w:right="17" w:firstLine="480" w:firstLineChars="200"/>
        <w:rPr>
          <w:rFonts w:ascii="宋体" w:hAnsi="Courier New" w:eastAsia="宋体" w:cs="Times New Roman"/>
          <w:sz w:val="24"/>
          <w:szCs w:val="24"/>
        </w:rPr>
      </w:pPr>
      <w:r>
        <w:rPr>
          <w:rFonts w:hint="eastAsia" w:ascii="宋体" w:hAnsi="Courier New" w:eastAsia="宋体" w:cs="Times New Roman"/>
          <w:sz w:val="24"/>
          <w:szCs w:val="24"/>
        </w:rPr>
        <w:t>2.在履行合同过程中，如果乙方遇到妨碍按时交货和提供服务的情况时，将及时将拖延的事实、可能拖延的期限和理由通知采购人，乙方承诺根据采购人意见，确定是否延长交货时间或取消本次采购。</w:t>
      </w:r>
    </w:p>
    <w:p>
      <w:pPr>
        <w:snapToGrid w:val="0"/>
        <w:spacing w:line="460" w:lineRule="exact"/>
        <w:ind w:right="17" w:firstLine="480" w:firstLineChars="200"/>
        <w:rPr>
          <w:rFonts w:ascii="宋体" w:hAnsi="Courier New" w:eastAsia="宋体" w:cs="Times New Roman"/>
          <w:sz w:val="24"/>
          <w:szCs w:val="24"/>
        </w:rPr>
      </w:pPr>
      <w:r>
        <w:rPr>
          <w:rFonts w:hint="eastAsia" w:ascii="宋体" w:hAnsi="Courier New" w:eastAsia="宋体" w:cs="Times New Roman"/>
          <w:sz w:val="24"/>
          <w:szCs w:val="24"/>
        </w:rPr>
        <w:t>3.如乙方无正当理由拖延服务实施，采购人有权追究乙方的违约责任。</w:t>
      </w:r>
    </w:p>
    <w:p>
      <w:pPr>
        <w:pStyle w:val="11"/>
        <w:rPr>
          <w:b w:val="0"/>
          <w:shd w:val="clear" w:color="auto" w:fill="auto"/>
        </w:rPr>
      </w:pPr>
      <w:r>
        <w:rPr>
          <w:rFonts w:hint="eastAsia"/>
          <w:b w:val="0"/>
          <w:shd w:val="clear" w:color="auto" w:fill="auto"/>
        </w:rPr>
        <w:t>4.如采购人需求错误或者无故不签收（不验收），乙方将及时向同级财政部门书面申请协调。</w:t>
      </w:r>
    </w:p>
    <w:p>
      <w:pPr>
        <w:pStyle w:val="11"/>
        <w:ind w:firstLine="426"/>
        <w:rPr>
          <w:snapToGrid w:val="0"/>
        </w:rPr>
      </w:pPr>
      <w:r>
        <w:rPr>
          <w:rFonts w:hint="eastAsia"/>
          <w:snapToGrid w:val="0"/>
        </w:rPr>
        <w:t>十三、验收</w:t>
      </w:r>
    </w:p>
    <w:p>
      <w:pPr>
        <w:pStyle w:val="11"/>
        <w:rPr>
          <w:b w:val="0"/>
          <w:shd w:val="clear" w:color="auto" w:fill="auto"/>
        </w:rPr>
      </w:pPr>
      <w:r>
        <w:rPr>
          <w:rFonts w:hint="eastAsia"/>
          <w:b w:val="0"/>
          <w:shd w:val="clear" w:color="auto" w:fill="auto"/>
        </w:rPr>
        <w:t>甲方或甲方委托的其他机构应及时对乙方提供的服务进行验收。验收时乙方应派员参加，共同对验收结果进行确认，并承担相关责任。</w:t>
      </w:r>
    </w:p>
    <w:p>
      <w:pPr>
        <w:pStyle w:val="11"/>
        <w:ind w:firstLine="426"/>
      </w:pPr>
      <w:r>
        <w:rPr>
          <w:rFonts w:hint="eastAsia"/>
          <w:snapToGrid w:val="0"/>
        </w:rPr>
        <w:t>十四、入围供应商清退规则</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（一）本框架协议由征集人根据第二阶段采购人的反馈意见对入围供应商的履约情况进行管理，相关情况将在框架协议模块中公布。</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二）在协议履约过程中发现入围供应商有违反政府采购相关规定、未按照协议约定和承诺以及其他违法违规行为的，在业务主管部门的指导下征集人可视情对其作出约谈整改、暂停入围供应商接受框架协议合同资格，并向同级财政部门备案。</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（三）入围供应商有下列情形之一，尚未签订框架协议的，取消其入围资格；已经签订框架协议的，解除与其签订的框架协议：</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1.恶意串通谋取入围或者合同成交的；</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2.提供虚假材料谋取入围或者合同成交的；</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3.无正当理由拒不接受合同授予的；</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4.不履行合同义务或者履行合同义务不符合约定，经采购人请求履行后仍不履行或者仍未按约定履行的；</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5.框架协议有效期内，因违法行为被禁止或限制参加政府采购活动的；</w:t>
      </w:r>
    </w:p>
    <w:p>
      <w:pPr>
        <w:snapToGrid w:val="0"/>
        <w:spacing w:line="460" w:lineRule="exact"/>
        <w:ind w:firstLine="480" w:firstLineChars="200"/>
        <w:rPr>
          <w:rFonts w:ascii="宋体" w:hAnsi="Courier New" w:eastAsia="宋体" w:cs="Times New Roman"/>
          <w:sz w:val="24"/>
          <w:szCs w:val="24"/>
        </w:rPr>
      </w:pPr>
      <w:r>
        <w:rPr>
          <w:rFonts w:ascii="宋体" w:hAnsi="Courier New" w:eastAsia="宋体" w:cs="Times New Roman"/>
          <w:sz w:val="24"/>
          <w:szCs w:val="24"/>
        </w:rPr>
        <w:t>6</w:t>
      </w:r>
      <w:r>
        <w:rPr>
          <w:rFonts w:hint="eastAsia" w:ascii="宋体" w:hAnsi="Courier New" w:eastAsia="宋体" w:cs="Times New Roman"/>
          <w:sz w:val="24"/>
          <w:szCs w:val="24"/>
        </w:rPr>
        <w:t>.框架协议约定的其他情形。</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入围供应商有上述1、2、3情形之一，以及无正当理由放弃本框架协议入围资格或者退出本框架协议的，由征集人移送财政部门依照政府采购法等有关法律、行政法规追究法律责任。</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（四）入围供应商无正当理由拒不与征集人签订框架协议的，取消其入围资格。</w:t>
      </w:r>
    </w:p>
    <w:p>
      <w:pPr>
        <w:snapToGrid w:val="0"/>
        <w:spacing w:line="46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（五）入围供应商如发生实质性变动（营业执照注销、不再符合本项目资格条件等）的，尚未签订框架协议的，取消其入围资格；已经签订框架协议的，解除与其签订的框架协议。</w:t>
      </w:r>
    </w:p>
    <w:p>
      <w:pPr>
        <w:pStyle w:val="11"/>
        <w:rPr>
          <w:b w:val="0"/>
          <w:shd w:val="clear" w:color="auto" w:fill="auto"/>
        </w:rPr>
      </w:pPr>
      <w:r>
        <w:rPr>
          <w:rFonts w:hint="eastAsia"/>
          <w:b w:val="0"/>
          <w:shd w:val="clear" w:color="auto" w:fill="auto"/>
        </w:rPr>
        <w:t>（六）被取消入围资格或者被解除框架协议的供应商不得参加本框架协议的补充征集。</w:t>
      </w:r>
    </w:p>
    <w:p>
      <w:pPr>
        <w:pStyle w:val="11"/>
        <w:ind w:firstLine="426"/>
        <w:rPr>
          <w:snapToGrid w:val="0"/>
        </w:rPr>
      </w:pPr>
      <w:r>
        <w:rPr>
          <w:rFonts w:hint="eastAsia"/>
          <w:snapToGrid w:val="0"/>
        </w:rPr>
        <w:t>十五、不可抗力事件处理</w:t>
      </w:r>
    </w:p>
    <w:p>
      <w:pPr>
        <w:autoSpaceDE w:val="0"/>
        <w:autoSpaceDN w:val="0"/>
        <w:adjustRightInd w:val="0"/>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1.在合同有效期内，任何一方因不可抗力事件导致不能履行合同，则合同履行期可延长，其延长期与不可抗力影响期相同。</w:t>
      </w:r>
    </w:p>
    <w:p>
      <w:pPr>
        <w:autoSpaceDE w:val="0"/>
        <w:autoSpaceDN w:val="0"/>
        <w:adjustRightInd w:val="0"/>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2.不可抗力事件发生后，应立即通知对方，并寄送有关权威机构出具的证明。</w:t>
      </w:r>
    </w:p>
    <w:p>
      <w:pPr>
        <w:autoSpaceDE w:val="0"/>
        <w:autoSpaceDN w:val="0"/>
        <w:adjustRightInd w:val="0"/>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3.不可抗力事件延续120天以上，双方应通过友好协商，确定是否继续履行合同。</w:t>
      </w:r>
    </w:p>
    <w:p>
      <w:pPr>
        <w:pStyle w:val="11"/>
        <w:ind w:firstLine="426"/>
        <w:rPr>
          <w:snapToGrid w:val="0"/>
        </w:rPr>
      </w:pPr>
      <w:r>
        <w:rPr>
          <w:rFonts w:hint="eastAsia"/>
          <w:snapToGrid w:val="0"/>
        </w:rPr>
        <w:t>十六、诉讼</w:t>
      </w:r>
    </w:p>
    <w:p>
      <w:pPr>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双方在执行合同中所发生的一切争议，应通过协商解决。如协商不成，可向甲方所在地法院起诉。</w:t>
      </w:r>
    </w:p>
    <w:p>
      <w:pPr>
        <w:pStyle w:val="11"/>
        <w:ind w:firstLine="426"/>
        <w:rPr>
          <w:snapToGrid w:val="0"/>
        </w:rPr>
      </w:pPr>
      <w:r>
        <w:rPr>
          <w:rFonts w:hint="eastAsia"/>
          <w:snapToGrid w:val="0"/>
        </w:rPr>
        <w:t>十七、协议生效及其他</w:t>
      </w:r>
    </w:p>
    <w:p>
      <w:pPr>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1.协议经甲、乙双方加盖单位公章后生效。</w:t>
      </w:r>
    </w:p>
    <w:p>
      <w:pPr>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2.如有最新政策规定，甲乙双方按最新政策规定执行，不再签订补充协议。</w:t>
      </w:r>
    </w:p>
    <w:p>
      <w:pPr>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3.征集文件、响应文件与本协议具有同等法律效力。</w:t>
      </w:r>
    </w:p>
    <w:p>
      <w:pPr>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4.本协议未尽事宜，遵照《中华人民共和国民法典》有关条文执行。</w:t>
      </w:r>
    </w:p>
    <w:p>
      <w:pPr>
        <w:spacing w:line="360" w:lineRule="auto"/>
        <w:ind w:firstLine="480" w:firstLineChars="200"/>
        <w:rPr>
          <w:rFonts w:ascii="宋体" w:hAnsi="Courier New" w:eastAsia="宋体" w:cs="Times New Roman"/>
          <w:sz w:val="24"/>
          <w:szCs w:val="24"/>
        </w:rPr>
      </w:pPr>
      <w:r>
        <w:rPr>
          <w:rFonts w:hint="eastAsia" w:ascii="宋体" w:hAnsi="Courier New" w:eastAsia="宋体" w:cs="Times New Roman"/>
          <w:sz w:val="24"/>
          <w:szCs w:val="24"/>
        </w:rPr>
        <w:t>6.本协议一式两份，甲乙双方各执一份。</w:t>
      </w:r>
    </w:p>
    <w:p>
      <w:pPr>
        <w:pStyle w:val="11"/>
        <w:ind w:firstLine="426"/>
        <w:rPr>
          <w:snapToGrid w:val="0"/>
        </w:rPr>
      </w:pPr>
      <w:r>
        <w:rPr>
          <w:rFonts w:hint="eastAsia"/>
          <w:snapToGrid w:val="0"/>
        </w:rPr>
        <w:t>（以下无正文）</w:t>
      </w:r>
    </w:p>
    <w:p>
      <w:pPr>
        <w:pStyle w:val="11"/>
        <w:ind w:firstLine="426"/>
        <w:rPr>
          <w:snapToGrid w:val="0"/>
        </w:rPr>
      </w:pPr>
      <w:r>
        <w:rPr>
          <w:rFonts w:hint="eastAsia"/>
          <w:snapToGrid w:val="0"/>
        </w:rPr>
        <w:t xml:space="preserve">甲方（盖章）：                                   </w:t>
      </w:r>
    </w:p>
    <w:p>
      <w:pPr>
        <w:pStyle w:val="11"/>
        <w:ind w:firstLine="426"/>
        <w:rPr>
          <w:snapToGrid w:val="0"/>
        </w:rPr>
      </w:pPr>
    </w:p>
    <w:p>
      <w:pPr>
        <w:pStyle w:val="11"/>
        <w:ind w:firstLine="426"/>
        <w:rPr>
          <w:snapToGrid w:val="0"/>
        </w:rPr>
      </w:pPr>
      <w:r>
        <w:rPr>
          <w:rFonts w:hint="eastAsia"/>
          <w:snapToGrid w:val="0"/>
        </w:rPr>
        <w:t>乙方（盖章）：</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签订日期：      年   月   日</w:t>
      </w:r>
    </w:p>
    <w:p>
      <w:pPr>
        <w:spacing w:line="520" w:lineRule="exact"/>
        <w:ind w:firstLine="567" w:firstLineChars="189"/>
        <w:rPr>
          <w:rFonts w:ascii="仿宋" w:hAnsi="仿宋" w:eastAsia="仿宋"/>
          <w:sz w:val="30"/>
          <w:szCs w:val="30"/>
        </w:rPr>
      </w:pPr>
    </w:p>
    <w:p>
      <w:pPr>
        <w:pStyle w:val="11"/>
        <w:ind w:firstLine="426"/>
        <w:sectPr>
          <w:pgSz w:w="11906" w:h="16838"/>
          <w:pgMar w:top="1440" w:right="1800" w:bottom="1440" w:left="1800" w:header="851" w:footer="992" w:gutter="0"/>
          <w:cols w:space="425" w:num="1"/>
          <w:docGrid w:type="lines" w:linePitch="312" w:charSpace="0"/>
        </w:sectPr>
      </w:pPr>
    </w:p>
    <w:p>
      <w:pPr>
        <w:pStyle w:val="3"/>
        <w:spacing w:before="0" w:after="0" w:line="360" w:lineRule="auto"/>
        <w:ind w:firstLine="424" w:firstLineChars="151"/>
        <w:jc w:val="center"/>
        <w:rPr>
          <w:sz w:val="28"/>
        </w:rPr>
      </w:pPr>
      <w:r>
        <w:rPr>
          <w:rFonts w:hint="eastAsia"/>
          <w:sz w:val="28"/>
        </w:rPr>
        <w:t>采购合同文本</w:t>
      </w:r>
    </w:p>
    <w:p>
      <w:pPr>
        <w:pStyle w:val="11"/>
        <w:ind w:firstLine="498"/>
        <w:jc w:val="center"/>
        <w:rPr>
          <w:rFonts w:asciiTheme="majorHAnsi" w:hAnsiTheme="majorHAnsi" w:eastAsiaTheme="majorEastAsia" w:cstheme="majorBidi"/>
          <w:bCs/>
          <w:sz w:val="28"/>
          <w:szCs w:val="32"/>
          <w:shd w:val="clear" w:color="auto" w:fill="auto"/>
        </w:rPr>
      </w:pPr>
      <w:bookmarkStart w:id="8" w:name="_Hlk141863489"/>
      <w:r>
        <w:rPr>
          <w:rFonts w:hint="eastAsia" w:asciiTheme="majorHAnsi" w:hAnsiTheme="majorHAnsi" w:eastAsiaTheme="majorEastAsia" w:cstheme="majorBidi"/>
          <w:bCs/>
          <w:sz w:val="28"/>
          <w:szCs w:val="32"/>
          <w:shd w:val="clear" w:color="auto" w:fill="auto"/>
        </w:rPr>
        <w:t>政府采购框架协议采购合同</w:t>
      </w:r>
    </w:p>
    <w:p>
      <w:pPr>
        <w:rPr>
          <w:b/>
        </w:rPr>
      </w:pPr>
    </w:p>
    <w:p>
      <w:pPr>
        <w:snapToGrid w:val="0"/>
        <w:spacing w:before="156" w:beforeLines="50" w:after="156" w:afterLines="50" w:line="360" w:lineRule="auto"/>
        <w:jc w:val="right"/>
        <w:rPr>
          <w:rFonts w:ascii="宋体" w:hAnsi="Courier New" w:eastAsia="宋体" w:cs="Times New Roman"/>
          <w:sz w:val="24"/>
          <w:szCs w:val="24"/>
        </w:rPr>
      </w:pPr>
      <w:r>
        <w:rPr>
          <w:rFonts w:hint="eastAsia" w:ascii="宋体" w:hAnsi="Courier New" w:eastAsia="宋体" w:cs="Times New Roman"/>
          <w:sz w:val="24"/>
          <w:szCs w:val="24"/>
        </w:rPr>
        <w:t>合同编号：</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 xml:space="preserve">甲方（采购单位）： </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 xml:space="preserve">乙方（供应商）： </w:t>
      </w:r>
    </w:p>
    <w:p>
      <w:pPr>
        <w:spacing w:line="520" w:lineRule="exact"/>
        <w:ind w:firstLine="240" w:firstLineChars="100"/>
        <w:rPr>
          <w:rFonts w:ascii="宋体" w:hAnsi="Courier New" w:eastAsia="宋体" w:cs="Times New Roman"/>
          <w:sz w:val="24"/>
          <w:szCs w:val="24"/>
        </w:rPr>
      </w:pP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甲、乙双方根据《中华人民共和国政府采购法》《中华人民共和国民法典》相关法律法规、2024-2026年度浦江县预算绩效评价咨询服务封闭式框架协议项目的结果签署本合同。</w:t>
      </w:r>
    </w:p>
    <w:p>
      <w:pPr>
        <w:spacing w:line="520" w:lineRule="exact"/>
        <w:ind w:firstLine="482" w:firstLineChars="200"/>
        <w:rPr>
          <w:rFonts w:ascii="宋体" w:hAnsi="Courier New" w:eastAsia="宋体"/>
          <w:b/>
          <w:snapToGrid w:val="0"/>
          <w:sz w:val="24"/>
          <w:szCs w:val="24"/>
        </w:rPr>
      </w:pPr>
      <w:r>
        <w:rPr>
          <w:rFonts w:hint="eastAsia" w:ascii="宋体" w:hAnsi="Courier New" w:eastAsia="宋体"/>
          <w:b/>
          <w:snapToGrid w:val="0"/>
          <w:sz w:val="24"/>
          <w:szCs w:val="24"/>
        </w:rPr>
        <w:t>第一条 服务项目内容</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1.主要服务内容及数量（内容较多的可另附明细附件）：  。</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2.服务期限：自</w:t>
      </w:r>
      <w:r>
        <w:rPr>
          <w:rFonts w:ascii="宋体" w:hAnsi="Courier New" w:eastAsia="宋体" w:cs="Times New Roman"/>
          <w:sz w:val="24"/>
          <w:szCs w:val="24"/>
          <w:u w:val="single"/>
        </w:rPr>
        <w:t>  </w:t>
      </w:r>
      <w:r>
        <w:rPr>
          <w:rFonts w:hint="eastAsia" w:ascii="宋体" w:hAnsi="Courier New" w:eastAsia="宋体" w:cs="Times New Roman"/>
          <w:sz w:val="24"/>
          <w:szCs w:val="24"/>
        </w:rPr>
        <w:t>年</w:t>
      </w:r>
      <w:r>
        <w:rPr>
          <w:rFonts w:ascii="宋体" w:hAnsi="Courier New" w:eastAsia="宋体" w:cs="Times New Roman"/>
          <w:sz w:val="24"/>
          <w:szCs w:val="24"/>
          <w:u w:val="single"/>
        </w:rPr>
        <w:t>  </w:t>
      </w:r>
      <w:r>
        <w:rPr>
          <w:rFonts w:hint="eastAsia" w:ascii="宋体" w:hAnsi="Courier New" w:eastAsia="宋体" w:cs="Times New Roman"/>
          <w:sz w:val="24"/>
          <w:szCs w:val="24"/>
        </w:rPr>
        <w:t>月</w:t>
      </w:r>
      <w:r>
        <w:rPr>
          <w:rFonts w:ascii="宋体" w:hAnsi="Courier New" w:eastAsia="宋体" w:cs="Times New Roman"/>
          <w:sz w:val="24"/>
          <w:szCs w:val="24"/>
          <w:u w:val="single"/>
        </w:rPr>
        <w:t>  </w:t>
      </w:r>
      <w:r>
        <w:rPr>
          <w:rFonts w:hint="eastAsia" w:ascii="宋体" w:hAnsi="Courier New" w:eastAsia="宋体" w:cs="Times New Roman"/>
          <w:sz w:val="24"/>
          <w:szCs w:val="24"/>
        </w:rPr>
        <w:t>日至</w:t>
      </w:r>
      <w:r>
        <w:rPr>
          <w:rFonts w:ascii="宋体" w:hAnsi="Courier New" w:eastAsia="宋体" w:cs="Times New Roman"/>
          <w:sz w:val="24"/>
          <w:szCs w:val="24"/>
          <w:u w:val="single"/>
        </w:rPr>
        <w:t>  </w:t>
      </w:r>
      <w:r>
        <w:rPr>
          <w:rFonts w:hint="eastAsia" w:ascii="宋体" w:hAnsi="Courier New" w:eastAsia="宋体" w:cs="Times New Roman"/>
          <w:sz w:val="24"/>
          <w:szCs w:val="24"/>
        </w:rPr>
        <w:t>年</w:t>
      </w:r>
      <w:r>
        <w:rPr>
          <w:rFonts w:ascii="宋体" w:hAnsi="Courier New" w:eastAsia="宋体" w:cs="Times New Roman"/>
          <w:sz w:val="24"/>
          <w:szCs w:val="24"/>
          <w:u w:val="single"/>
        </w:rPr>
        <w:t>  </w:t>
      </w:r>
      <w:r>
        <w:rPr>
          <w:rFonts w:hint="eastAsia" w:ascii="宋体" w:hAnsi="Courier New" w:eastAsia="宋体" w:cs="Times New Roman"/>
          <w:sz w:val="24"/>
          <w:szCs w:val="24"/>
        </w:rPr>
        <w:t>月</w:t>
      </w:r>
      <w:r>
        <w:rPr>
          <w:rFonts w:ascii="宋体" w:hAnsi="Courier New" w:eastAsia="宋体" w:cs="Times New Roman"/>
          <w:sz w:val="24"/>
          <w:szCs w:val="24"/>
          <w:u w:val="single"/>
        </w:rPr>
        <w:t>  </w:t>
      </w:r>
      <w:r>
        <w:rPr>
          <w:rFonts w:hint="eastAsia" w:ascii="宋体" w:hAnsi="Courier New" w:eastAsia="宋体" w:cs="Times New Roman"/>
          <w:sz w:val="24"/>
          <w:szCs w:val="24"/>
        </w:rPr>
        <w:t>日。</w:t>
      </w:r>
    </w:p>
    <w:p>
      <w:pPr>
        <w:spacing w:line="520" w:lineRule="exact"/>
        <w:ind w:firstLine="482" w:firstLineChars="200"/>
        <w:rPr>
          <w:rFonts w:ascii="宋体" w:hAnsi="Courier New" w:eastAsia="宋体" w:cs="Times New Roman"/>
          <w:b/>
          <w:snapToGrid w:val="0"/>
          <w:sz w:val="24"/>
          <w:szCs w:val="24"/>
          <w:shd w:val="clear" w:color="auto" w:fill="FFFFFF"/>
        </w:rPr>
      </w:pPr>
      <w:r>
        <w:rPr>
          <w:rFonts w:hint="eastAsia" w:ascii="宋体" w:hAnsi="Courier New" w:eastAsia="宋体" w:cs="Times New Roman"/>
          <w:b/>
          <w:snapToGrid w:val="0"/>
          <w:sz w:val="24"/>
          <w:szCs w:val="24"/>
          <w:shd w:val="clear" w:color="auto" w:fill="FFFFFF"/>
        </w:rPr>
        <w:t>第二条 转包与分包</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不允许转包和分包。如乙方将项目转包或分包，甲方有权解除合同，追究乙方的违约责任。</w:t>
      </w:r>
    </w:p>
    <w:p>
      <w:pPr>
        <w:spacing w:line="520" w:lineRule="exact"/>
        <w:ind w:firstLine="482" w:firstLineChars="200"/>
        <w:rPr>
          <w:rFonts w:ascii="宋体" w:hAnsi="Courier New" w:eastAsia="宋体"/>
          <w:b/>
          <w:snapToGrid w:val="0"/>
          <w:sz w:val="24"/>
          <w:szCs w:val="24"/>
        </w:rPr>
      </w:pPr>
      <w:r>
        <w:rPr>
          <w:rFonts w:hint="eastAsia" w:ascii="宋体" w:hAnsi="Courier New" w:eastAsia="宋体"/>
          <w:b/>
          <w:snapToGrid w:val="0"/>
          <w:sz w:val="24"/>
          <w:szCs w:val="24"/>
        </w:rPr>
        <w:t>第三条 服务项目质量标准和要求等（详见合同附件1）。</w:t>
      </w:r>
    </w:p>
    <w:p>
      <w:pPr>
        <w:spacing w:line="520" w:lineRule="exact"/>
        <w:ind w:firstLine="482" w:firstLineChars="200"/>
        <w:rPr>
          <w:rFonts w:ascii="宋体" w:hAnsi="Courier New" w:eastAsia="宋体"/>
          <w:b/>
          <w:snapToGrid w:val="0"/>
          <w:sz w:val="24"/>
          <w:szCs w:val="24"/>
        </w:rPr>
      </w:pPr>
      <w:r>
        <w:rPr>
          <w:rFonts w:hint="eastAsia" w:ascii="宋体" w:hAnsi="Courier New" w:eastAsia="宋体"/>
          <w:b/>
          <w:snapToGrid w:val="0"/>
          <w:sz w:val="24"/>
          <w:szCs w:val="24"/>
        </w:rPr>
        <w:t>第四条 合同金额及报价明细</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1.本合同服务费用总金额为（大写）：</w:t>
      </w:r>
      <w:r>
        <w:rPr>
          <w:rFonts w:ascii="宋体" w:hAnsi="Courier New" w:eastAsia="宋体" w:cs="Times New Roman"/>
          <w:sz w:val="24"/>
          <w:szCs w:val="24"/>
          <w:u w:val="single"/>
        </w:rPr>
        <w:t>      </w:t>
      </w:r>
      <w:r>
        <w:rPr>
          <w:rFonts w:hint="eastAsia" w:ascii="宋体" w:hAnsi="Courier New" w:eastAsia="宋体" w:cs="Times New Roman"/>
          <w:sz w:val="24"/>
          <w:szCs w:val="24"/>
        </w:rPr>
        <w:t>元人民币（¥</w:t>
      </w:r>
      <w:r>
        <w:rPr>
          <w:rFonts w:ascii="宋体" w:hAnsi="Courier New" w:eastAsia="宋体" w:cs="Times New Roman"/>
          <w:sz w:val="24"/>
          <w:szCs w:val="24"/>
          <w:u w:val="single"/>
        </w:rPr>
        <w:t>    </w:t>
      </w:r>
      <w:r>
        <w:rPr>
          <w:rFonts w:hint="eastAsia" w:ascii="宋体" w:hAnsi="Courier New" w:eastAsia="宋体" w:cs="Times New Roman"/>
          <w:sz w:val="24"/>
          <w:szCs w:val="24"/>
        </w:rPr>
        <w:t>)。</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2.报价明细。</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3.乙方开户名称：</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开户银行：</w:t>
      </w:r>
    </w:p>
    <w:p>
      <w:pPr>
        <w:spacing w:line="520" w:lineRule="exact"/>
        <w:ind w:firstLine="480" w:firstLineChars="200"/>
        <w:rPr>
          <w:rFonts w:ascii="宋体" w:hAnsi="Courier New" w:eastAsia="宋体" w:cs="Times New Roman"/>
          <w:sz w:val="24"/>
          <w:szCs w:val="24"/>
        </w:rPr>
      </w:pPr>
      <w:r>
        <w:rPr>
          <w:rFonts w:hint="eastAsia" w:ascii="宋体" w:hAnsi="Courier New" w:eastAsia="宋体" w:cs="Times New Roman"/>
          <w:sz w:val="24"/>
          <w:szCs w:val="24"/>
        </w:rPr>
        <w:t>银行账号：</w:t>
      </w:r>
      <w:r>
        <w:rPr>
          <w:rFonts w:ascii="宋体" w:hAnsi="Courier New" w:eastAsia="宋体" w:cs="Times New Roman"/>
          <w:sz w:val="24"/>
          <w:szCs w:val="24"/>
        </w:rPr>
        <w:t> </w:t>
      </w:r>
    </w:p>
    <w:p>
      <w:pPr>
        <w:spacing w:line="520" w:lineRule="exact"/>
        <w:ind w:firstLine="455" w:firstLineChars="189"/>
        <w:rPr>
          <w:rFonts w:ascii="宋体" w:hAnsi="Courier New" w:eastAsia="宋体"/>
          <w:b/>
          <w:snapToGrid w:val="0"/>
          <w:sz w:val="24"/>
          <w:szCs w:val="24"/>
        </w:rPr>
      </w:pPr>
      <w:r>
        <w:rPr>
          <w:rFonts w:hint="eastAsia" w:ascii="宋体" w:hAnsi="Courier New" w:eastAsia="宋体"/>
          <w:b/>
          <w:snapToGrid w:val="0"/>
          <w:sz w:val="24"/>
          <w:szCs w:val="24"/>
        </w:rPr>
        <w:t>第五条 货款支付</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1.付款方式：</w:t>
      </w:r>
      <w:r>
        <w:rPr>
          <w:rFonts w:hint="eastAsia" w:ascii="宋体" w:hAnsi="Courier New" w:eastAsia="宋体" w:cs="Times New Roman"/>
          <w:sz w:val="24"/>
          <w:szCs w:val="24"/>
          <w:u w:val="single"/>
        </w:rPr>
        <w:t xml:space="preserve">                                     </w:t>
      </w:r>
      <w:r>
        <w:rPr>
          <w:rFonts w:hint="eastAsia" w:ascii="宋体" w:hAnsi="Courier New" w:eastAsia="宋体" w:cs="Times New Roman"/>
          <w:sz w:val="24"/>
          <w:szCs w:val="24"/>
        </w:rPr>
        <w:t xml:space="preserve">。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2.甲方付款前，乙方应向甲方开具等额有效的增值税发票，甲方未收到发票的，有权不予支付相应款项直至乙方提供合格发票，并不承担延迟付款责任。</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3.甲方资金支付方式根据采购计划核定的方式执行。</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4.其他：</w:t>
      </w:r>
      <w:r>
        <w:rPr>
          <w:rFonts w:hint="eastAsia" w:ascii="宋体" w:hAnsi="Courier New" w:eastAsia="宋体" w:cs="Times New Roman"/>
          <w:sz w:val="24"/>
          <w:szCs w:val="24"/>
          <w:u w:val="single"/>
        </w:rPr>
        <w:t xml:space="preserve">                                           </w:t>
      </w:r>
      <w:r>
        <w:rPr>
          <w:rFonts w:hint="eastAsia" w:ascii="宋体" w:hAnsi="Courier New" w:eastAsia="宋体" w:cs="Times New Roman"/>
          <w:sz w:val="24"/>
          <w:szCs w:val="24"/>
        </w:rPr>
        <w:t>。</w:t>
      </w:r>
    </w:p>
    <w:p>
      <w:pPr>
        <w:spacing w:line="520" w:lineRule="exact"/>
        <w:ind w:firstLine="455" w:firstLineChars="189"/>
        <w:rPr>
          <w:rFonts w:ascii="宋体" w:hAnsi="Courier New" w:eastAsia="宋体"/>
          <w:b/>
          <w:snapToGrid w:val="0"/>
          <w:sz w:val="24"/>
          <w:szCs w:val="24"/>
        </w:rPr>
      </w:pPr>
      <w:r>
        <w:rPr>
          <w:rFonts w:hint="eastAsia" w:ascii="宋体" w:hAnsi="Courier New" w:eastAsia="宋体"/>
          <w:b/>
          <w:snapToGrid w:val="0"/>
          <w:sz w:val="24"/>
          <w:szCs w:val="24"/>
        </w:rPr>
        <w:t>第六条 验收方案及验收标准</w:t>
      </w:r>
    </w:p>
    <w:p>
      <w:pPr>
        <w:spacing w:line="520" w:lineRule="exact"/>
        <w:ind w:firstLine="453" w:firstLineChars="189"/>
        <w:rPr>
          <w:rFonts w:ascii="仿宋" w:hAnsi="仿宋" w:eastAsia="仿宋"/>
          <w:sz w:val="30"/>
          <w:szCs w:val="30"/>
        </w:rPr>
      </w:pPr>
      <w:r>
        <w:rPr>
          <w:rFonts w:hint="eastAsia" w:ascii="宋体" w:hAnsi="Courier New" w:eastAsia="宋体" w:cs="Times New Roman"/>
          <w:sz w:val="24"/>
          <w:szCs w:val="24"/>
        </w:rPr>
        <w:t>甲方或甲方委托的其他机构应及时对乙方提供的服务进行验收。验收时乙方应派员参加，共同对验收结果进行确认，并承担相关责任。</w:t>
      </w:r>
    </w:p>
    <w:p>
      <w:pPr>
        <w:spacing w:line="520" w:lineRule="exact"/>
        <w:ind w:firstLine="455" w:firstLineChars="189"/>
        <w:rPr>
          <w:rFonts w:ascii="宋体" w:hAnsi="Courier New" w:eastAsia="宋体"/>
          <w:b/>
          <w:snapToGrid w:val="0"/>
          <w:sz w:val="24"/>
          <w:szCs w:val="24"/>
        </w:rPr>
      </w:pPr>
      <w:r>
        <w:rPr>
          <w:rFonts w:hint="eastAsia" w:ascii="宋体" w:hAnsi="Courier New" w:eastAsia="宋体"/>
          <w:b/>
          <w:snapToGrid w:val="0"/>
          <w:sz w:val="24"/>
          <w:szCs w:val="24"/>
        </w:rPr>
        <w:t>第七条 甲方的权利和义务</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（一）甲方的权利</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1.甲方有权随时向乙方了解项目进度，并要求乙方提供项目相关资料。</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2.甲方有权对项目资金使用情况进行监督、检查，并要求乙方提供相关资料。</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4.甲方有权在乙方履行合同过程中出现损害或可能损害公共利益、公共安全情形时终止本合同。</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5.甲方有权根据国家政策或法律法规的变动对服务项目的需求标准和质量要求作出相应变动或者取消项目。</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6.甲方有权将乙方履行合同情况及不符合政府购买服务管理规定情况，向相关部门报告并纳入不良信用记录、年检（报告）、评估、执法等监管体系中。</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（二）甲方的义务</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1.甲方应及时向乙方提供与履行本合同相关的所有必须的文件、资料。</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2.甲方应为乙方履行本合同过程中与相关政府部门及其他第三方的沟通、协调提供必要的协助。</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3.甲方应按照合同约定支付服务费用。</w:t>
      </w:r>
    </w:p>
    <w:p>
      <w:pPr>
        <w:spacing w:line="520" w:lineRule="exact"/>
        <w:ind w:firstLine="455" w:firstLineChars="189"/>
        <w:rPr>
          <w:rFonts w:ascii="宋体" w:hAnsi="Courier New" w:eastAsia="宋体"/>
          <w:b/>
          <w:snapToGrid w:val="0"/>
          <w:sz w:val="24"/>
          <w:szCs w:val="24"/>
        </w:rPr>
      </w:pPr>
      <w:r>
        <w:rPr>
          <w:rFonts w:hint="eastAsia" w:ascii="宋体" w:hAnsi="Courier New" w:eastAsia="宋体"/>
          <w:b/>
          <w:snapToGrid w:val="0"/>
          <w:sz w:val="24"/>
          <w:szCs w:val="24"/>
        </w:rPr>
        <w:t>第八条</w:t>
      </w:r>
      <w:r>
        <w:rPr>
          <w:rFonts w:ascii="宋体" w:hAnsi="Courier New" w:eastAsia="宋体"/>
          <w:b/>
          <w:snapToGrid w:val="0"/>
          <w:sz w:val="24"/>
          <w:szCs w:val="24"/>
        </w:rPr>
        <w:t> </w:t>
      </w:r>
      <w:r>
        <w:rPr>
          <w:rFonts w:hint="eastAsia" w:ascii="宋体" w:hAnsi="Courier New" w:eastAsia="宋体"/>
          <w:b/>
          <w:snapToGrid w:val="0"/>
          <w:sz w:val="24"/>
          <w:szCs w:val="24"/>
        </w:rPr>
        <w:t>乙方的权利和义务</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（一）乙方的权利</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1.乙方有权按照本合同约定向甲方收取服务费用。</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2.乙方有权自甲方处获得与提供本合同项下服务相关的所有必须的文件、资料。</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（二）乙方的义务</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1.乙方应配备具有相应资质、特定经验的工作人员负责项目实施，按照本合同约定的标准、要求和时间完成项目。</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2.乙方不得以任何理由将本合同项下的服务项目转包给第三方承担。</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3.乙方应全面履行本项目实施过程中的相关安全管理职责，因乙方未尽到管理职责发生安全事故的，由乙方承担相应的法律责任。</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4.乙方承诺根据本合同提供的服务及相关的软件和技术资料，均已取得有关知识产权的权利人的合法授权。如发生涉及专利权、著作权、商标权等争议，乙方负责处理并承担由此引起的全部法律及经济责任。</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5.乙方应接受并配合甲方或甲方组织的对本合同履行情况的监督与检查，对于甲方指出的问题，应及时作出合理解释或予以纠正。</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6.乙方应对项目资金进行规范的财务管理和会计核算，加强自身监督，确保资金规范管理和使用。</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7.乙方应建立健全财务管理与报告制度，按要求向甲方提供资金的使用情况、项目执行情况、成果总结等材料，并配合甲方及甲方组织的监督检查或绩效评价。</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pPr>
        <w:spacing w:line="520" w:lineRule="exact"/>
        <w:ind w:firstLine="453" w:firstLineChars="189"/>
        <w:rPr>
          <w:rFonts w:ascii="仿宋" w:hAnsi="仿宋" w:eastAsia="仿宋"/>
          <w:sz w:val="30"/>
          <w:szCs w:val="30"/>
        </w:rPr>
      </w:pPr>
      <w:r>
        <w:rPr>
          <w:rFonts w:hint="eastAsia" w:ascii="宋体" w:hAnsi="Courier New" w:eastAsia="宋体" w:cs="Times New Roman"/>
          <w:sz w:val="24"/>
          <w:szCs w:val="24"/>
        </w:rPr>
        <w:t>9.项目交付后，乙方应无条件返还甲方向其提供的文件、资料并向甲方移交项目资料，同时乙方应当自留一份完整的项目档案并予以妥善保存。</w:t>
      </w:r>
    </w:p>
    <w:p>
      <w:pPr>
        <w:spacing w:line="520" w:lineRule="exact"/>
        <w:ind w:firstLine="455" w:firstLineChars="189"/>
        <w:rPr>
          <w:rFonts w:ascii="宋体" w:hAnsi="Courier New" w:eastAsia="宋体"/>
          <w:b/>
          <w:snapToGrid w:val="0"/>
          <w:sz w:val="24"/>
          <w:szCs w:val="24"/>
        </w:rPr>
      </w:pPr>
      <w:r>
        <w:rPr>
          <w:rFonts w:hint="eastAsia" w:ascii="宋体" w:hAnsi="Courier New" w:eastAsia="宋体"/>
          <w:b/>
          <w:snapToGrid w:val="0"/>
          <w:sz w:val="24"/>
          <w:szCs w:val="24"/>
        </w:rPr>
        <w:t>第九条</w:t>
      </w:r>
      <w:r>
        <w:rPr>
          <w:rFonts w:ascii="宋体" w:hAnsi="Courier New" w:eastAsia="宋体"/>
          <w:b/>
          <w:snapToGrid w:val="0"/>
          <w:sz w:val="24"/>
          <w:szCs w:val="24"/>
        </w:rPr>
        <w:t> </w:t>
      </w:r>
      <w:r>
        <w:rPr>
          <w:rFonts w:hint="eastAsia" w:ascii="宋体" w:hAnsi="Courier New" w:eastAsia="宋体"/>
          <w:b/>
          <w:snapToGrid w:val="0"/>
          <w:sz w:val="24"/>
          <w:szCs w:val="24"/>
        </w:rPr>
        <w:t>违约责任</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在本合同履行过程中，双方因违约或造成对方经济、社会效益等损失的应当赔偿。</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1.甲方无正当理由拒绝接收服务，到期拒付服务费的，甲方向乙方偿付应付费用的5%作为违约金。甲方逾期付款的，则每日按逾期金额的</w:t>
      </w:r>
      <w:r>
        <w:rPr>
          <w:rFonts w:hint="eastAsia" w:ascii="宋体" w:hAnsi="Courier New" w:eastAsia="宋体" w:cs="Times New Roman"/>
          <w:sz w:val="24"/>
          <w:szCs w:val="24"/>
          <w:u w:val="single"/>
        </w:rPr>
        <w:t>万分之五</w:t>
      </w:r>
      <w:r>
        <w:rPr>
          <w:rFonts w:hint="eastAsia" w:ascii="宋体" w:hAnsi="Courier New" w:eastAsia="宋体" w:cs="Times New Roman"/>
          <w:sz w:val="24"/>
          <w:szCs w:val="24"/>
        </w:rPr>
        <w:t>向乙方偿付违约金。</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2.乙方提供的服务不符合本项目相关文件和本合同规定的，甲方有权拒收，并且乙方须向甲方支付本合同总服务费的5%作为违约金，并承担其他法律责任。</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3.乙方未能按照本合同约定时间提供服务或完成约定的项目服务内容的，从逾期之日起每日按本合同总服务费</w:t>
      </w:r>
      <w:r>
        <w:rPr>
          <w:rFonts w:hint="eastAsia" w:ascii="宋体" w:hAnsi="Courier New" w:eastAsia="宋体" w:cs="Times New Roman"/>
          <w:sz w:val="24"/>
          <w:szCs w:val="24"/>
          <w:u w:val="single"/>
        </w:rPr>
        <w:t>万分之五</w:t>
      </w:r>
      <w:r>
        <w:rPr>
          <w:rFonts w:hint="eastAsia" w:ascii="宋体" w:hAnsi="Courier New" w:eastAsia="宋体" w:cs="Times New Roman"/>
          <w:sz w:val="24"/>
          <w:szCs w:val="24"/>
        </w:rPr>
        <w:t>的数额向甲方支付违约金；逾期</w:t>
      </w:r>
      <w:r>
        <w:rPr>
          <w:rFonts w:hint="eastAsia" w:ascii="宋体" w:hAnsi="Courier New" w:eastAsia="宋体" w:cs="Times New Roman"/>
          <w:sz w:val="24"/>
          <w:szCs w:val="24"/>
          <w:u w:val="single"/>
        </w:rPr>
        <w:t xml:space="preserve"> 三十 </w:t>
      </w:r>
      <w:r>
        <w:rPr>
          <w:rFonts w:hint="eastAsia" w:ascii="宋体" w:hAnsi="Courier New" w:eastAsia="宋体" w:cs="Times New Roman"/>
          <w:sz w:val="24"/>
          <w:szCs w:val="24"/>
        </w:rPr>
        <w:t>日以上的，甲方有权终止合同，由此造成的甲方经济损失由乙方承担，并追究乙方其他法律责任。</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4.未经甲方同意，乙方不得擅自将本合同服务转包第三方承担。如擅自转包，则乙方应支付甲方本合同总服务费5%的违约金。乙方还需承担其他相应法律责任。</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5.其他违约责任按《中华人民共和国民法典》处理。</w:t>
      </w:r>
    </w:p>
    <w:p>
      <w:pPr>
        <w:spacing w:line="520" w:lineRule="exact"/>
        <w:ind w:firstLine="455" w:firstLineChars="189"/>
        <w:rPr>
          <w:rFonts w:ascii="宋体" w:hAnsi="Courier New" w:eastAsia="宋体"/>
          <w:b/>
          <w:snapToGrid w:val="0"/>
          <w:sz w:val="24"/>
          <w:szCs w:val="24"/>
        </w:rPr>
      </w:pPr>
      <w:r>
        <w:rPr>
          <w:rFonts w:hint="eastAsia" w:ascii="宋体" w:hAnsi="Courier New" w:eastAsia="宋体"/>
          <w:b/>
          <w:snapToGrid w:val="0"/>
          <w:sz w:val="24"/>
          <w:szCs w:val="24"/>
        </w:rPr>
        <w:t>第十条</w:t>
      </w:r>
      <w:r>
        <w:rPr>
          <w:rFonts w:ascii="宋体" w:hAnsi="Courier New" w:eastAsia="宋体"/>
          <w:b/>
          <w:snapToGrid w:val="0"/>
          <w:sz w:val="24"/>
          <w:szCs w:val="24"/>
        </w:rPr>
        <w:t> </w:t>
      </w:r>
      <w:r>
        <w:rPr>
          <w:rFonts w:hint="eastAsia" w:ascii="宋体" w:hAnsi="Courier New" w:eastAsia="宋体"/>
          <w:b/>
          <w:snapToGrid w:val="0"/>
          <w:sz w:val="24"/>
          <w:szCs w:val="24"/>
        </w:rPr>
        <w:t>知识产权归属</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（有则按照采购要求填写，无则填“无”）。</w:t>
      </w:r>
    </w:p>
    <w:p>
      <w:pPr>
        <w:spacing w:line="520" w:lineRule="exact"/>
        <w:ind w:firstLine="455" w:firstLineChars="189"/>
        <w:rPr>
          <w:rFonts w:ascii="宋体" w:hAnsi="Courier New" w:eastAsia="宋体" w:cs="Times New Roman"/>
          <w:b/>
          <w:sz w:val="24"/>
          <w:szCs w:val="24"/>
        </w:rPr>
      </w:pPr>
      <w:r>
        <w:rPr>
          <w:rFonts w:hint="eastAsia" w:ascii="宋体" w:hAnsi="Courier New" w:eastAsia="宋体" w:cs="Times New Roman"/>
          <w:b/>
          <w:sz w:val="24"/>
          <w:szCs w:val="24"/>
        </w:rPr>
        <w:t>第十一条</w:t>
      </w:r>
      <w:r>
        <w:rPr>
          <w:rFonts w:ascii="宋体" w:hAnsi="Courier New" w:eastAsia="宋体" w:cs="Times New Roman"/>
          <w:b/>
          <w:sz w:val="24"/>
          <w:szCs w:val="24"/>
        </w:rPr>
        <w:t> </w:t>
      </w:r>
      <w:r>
        <w:rPr>
          <w:rFonts w:hint="eastAsia" w:ascii="宋体" w:hAnsi="Courier New" w:eastAsia="宋体" w:cs="Times New Roman"/>
          <w:b/>
          <w:sz w:val="24"/>
          <w:szCs w:val="24"/>
        </w:rPr>
        <w:t>保密条款</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spacing w:line="520" w:lineRule="exact"/>
        <w:ind w:firstLine="455" w:firstLineChars="189"/>
        <w:rPr>
          <w:rFonts w:ascii="宋体" w:hAnsi="Courier New" w:eastAsia="宋体" w:cs="Times New Roman"/>
          <w:b/>
          <w:sz w:val="24"/>
          <w:szCs w:val="24"/>
        </w:rPr>
      </w:pPr>
      <w:r>
        <w:rPr>
          <w:rFonts w:hint="eastAsia" w:ascii="宋体" w:hAnsi="Courier New" w:eastAsia="宋体" w:cs="Times New Roman"/>
          <w:b/>
          <w:sz w:val="24"/>
          <w:szCs w:val="24"/>
        </w:rPr>
        <w:t>第十二条</w:t>
      </w:r>
      <w:r>
        <w:rPr>
          <w:rFonts w:ascii="宋体" w:hAnsi="Courier New" w:eastAsia="宋体" w:cs="Times New Roman"/>
          <w:b/>
          <w:sz w:val="24"/>
          <w:szCs w:val="24"/>
        </w:rPr>
        <w:t> </w:t>
      </w:r>
      <w:r>
        <w:rPr>
          <w:rFonts w:hint="eastAsia" w:ascii="宋体" w:hAnsi="Courier New" w:eastAsia="宋体" w:cs="Times New Roman"/>
          <w:b/>
          <w:sz w:val="24"/>
          <w:szCs w:val="24"/>
        </w:rPr>
        <w:t>不可抗力</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1.在合同有效期内，任何一方因不可抗力事件导致不能履行合同，则合同履行期可延长，其延长期与不可抗力影响期相同。</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2.不可抗力事件发生后，应立即通知对方，并寄送有关权威机构出具的证明。</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3.不可抗力事件延续120天以上，双方应通过友好协商，确定是否继续履行合同。</w:t>
      </w:r>
    </w:p>
    <w:p>
      <w:pPr>
        <w:spacing w:line="520" w:lineRule="exact"/>
        <w:ind w:firstLine="455" w:firstLineChars="189"/>
        <w:rPr>
          <w:rFonts w:ascii="宋体" w:hAnsi="Courier New" w:eastAsia="宋体"/>
          <w:b/>
          <w:snapToGrid w:val="0"/>
          <w:sz w:val="24"/>
          <w:szCs w:val="24"/>
        </w:rPr>
      </w:pPr>
      <w:r>
        <w:rPr>
          <w:rFonts w:hint="eastAsia" w:ascii="宋体" w:hAnsi="Courier New" w:eastAsia="宋体"/>
          <w:b/>
          <w:snapToGrid w:val="0"/>
          <w:sz w:val="24"/>
          <w:szCs w:val="24"/>
        </w:rPr>
        <w:t xml:space="preserve">第十三条 法律适用与争议解决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 xml:space="preserve">1.本合同的订立、解释、履行及争议解决，均适用中华人民共和国法律。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 xml:space="preserve">2.本合同履行过程中发生争议的，甲乙双方应友好协商；协商不成的，任何一方可向甲方所在地人民法院起诉。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3.其他：</w:t>
      </w:r>
      <w:r>
        <w:rPr>
          <w:rFonts w:hint="eastAsia" w:ascii="宋体" w:hAnsi="Courier New" w:eastAsia="宋体" w:cs="Times New Roman"/>
          <w:sz w:val="24"/>
          <w:szCs w:val="24"/>
          <w:u w:val="single"/>
        </w:rPr>
        <w:t xml:space="preserve">                                      。</w:t>
      </w:r>
    </w:p>
    <w:p>
      <w:pPr>
        <w:spacing w:line="520" w:lineRule="exact"/>
        <w:ind w:firstLine="455" w:firstLineChars="189"/>
        <w:rPr>
          <w:rFonts w:ascii="宋体" w:hAnsi="Courier New" w:eastAsia="宋体"/>
          <w:b/>
          <w:snapToGrid w:val="0"/>
          <w:sz w:val="24"/>
          <w:szCs w:val="24"/>
        </w:rPr>
      </w:pPr>
      <w:r>
        <w:rPr>
          <w:rFonts w:hint="eastAsia" w:ascii="宋体" w:hAnsi="Courier New" w:eastAsia="宋体"/>
          <w:b/>
          <w:snapToGrid w:val="0"/>
          <w:sz w:val="24"/>
          <w:szCs w:val="24"/>
        </w:rPr>
        <w:t xml:space="preserve">第十四条 合同生效及其他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1.合同经甲、乙双方签名并加盖单位公章后生效。</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2.解除合同应按《浙江省政府采购合同暂行办法》向同级政府采购监管部门备案。</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3.项目征集文件、响应文件与本合同具有同等法律效力。</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4.本合同未尽事宜，遵照《中华人民共和国民法典》有关条文执行。合同内容如遇国家法律法规及政策另有规定的，从其规定。</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5.本合同一式</w:t>
      </w:r>
      <w:r>
        <w:rPr>
          <w:rFonts w:hint="eastAsia" w:ascii="宋体" w:hAnsi="Courier New" w:eastAsia="宋体" w:cs="Times New Roman"/>
          <w:sz w:val="24"/>
          <w:szCs w:val="24"/>
          <w:u w:val="single"/>
        </w:rPr>
        <w:t xml:space="preserve">   </w:t>
      </w:r>
      <w:r>
        <w:rPr>
          <w:rFonts w:hint="eastAsia" w:ascii="宋体" w:hAnsi="Courier New" w:eastAsia="宋体" w:cs="Times New Roman"/>
          <w:sz w:val="24"/>
          <w:szCs w:val="24"/>
        </w:rPr>
        <w:t>份，甲乙双方各执</w:t>
      </w:r>
      <w:r>
        <w:rPr>
          <w:rFonts w:hint="eastAsia" w:ascii="宋体" w:hAnsi="Courier New" w:eastAsia="宋体" w:cs="Times New Roman"/>
          <w:sz w:val="24"/>
          <w:szCs w:val="24"/>
          <w:u w:val="single"/>
        </w:rPr>
        <w:t xml:space="preserve">   </w:t>
      </w:r>
      <w:r>
        <w:rPr>
          <w:rFonts w:hint="eastAsia" w:ascii="宋体" w:hAnsi="Courier New" w:eastAsia="宋体" w:cs="Times New Roman"/>
          <w:sz w:val="24"/>
          <w:szCs w:val="24"/>
        </w:rPr>
        <w:t>份，具有同等法律效力。</w:t>
      </w:r>
    </w:p>
    <w:p>
      <w:pPr>
        <w:spacing w:line="520" w:lineRule="exact"/>
        <w:ind w:firstLine="567" w:firstLineChars="189"/>
        <w:rPr>
          <w:rFonts w:ascii="仿宋" w:hAnsi="仿宋" w:eastAsia="仿宋"/>
          <w:bCs/>
          <w:sz w:val="30"/>
          <w:szCs w:val="30"/>
        </w:rPr>
      </w:pP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 xml:space="preserve">甲方（盖章）：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 xml:space="preserve">地址：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 xml:space="preserve">法定（授权）代表人：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 xml:space="preserve">签名日期：     年   月   日           </w:t>
      </w:r>
    </w:p>
    <w:p>
      <w:pPr>
        <w:spacing w:line="520" w:lineRule="exact"/>
        <w:ind w:firstLine="453" w:firstLineChars="189"/>
        <w:rPr>
          <w:rFonts w:ascii="宋体" w:hAnsi="Courier New" w:eastAsia="宋体" w:cs="Times New Roman"/>
          <w:sz w:val="24"/>
          <w:szCs w:val="24"/>
        </w:rPr>
      </w:pP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乙方（盖章）：</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 xml:space="preserve">地址： </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开户行：</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开户账号：</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法定（授权）代表人：</w:t>
      </w:r>
    </w:p>
    <w:p>
      <w:pPr>
        <w:spacing w:line="520" w:lineRule="exact"/>
        <w:ind w:firstLine="453" w:firstLineChars="189"/>
        <w:rPr>
          <w:rFonts w:ascii="宋体" w:hAnsi="Courier New" w:eastAsia="宋体" w:cs="Times New Roman"/>
          <w:sz w:val="24"/>
          <w:szCs w:val="24"/>
        </w:rPr>
      </w:pPr>
      <w:r>
        <w:rPr>
          <w:rFonts w:hint="eastAsia" w:ascii="宋体" w:hAnsi="Courier New" w:eastAsia="宋体" w:cs="Times New Roman"/>
          <w:sz w:val="24"/>
          <w:szCs w:val="24"/>
        </w:rPr>
        <w:t>签名日期：      年   月   日</w:t>
      </w:r>
    </w:p>
    <w:p>
      <w:pPr>
        <w:spacing w:line="520" w:lineRule="exact"/>
        <w:rPr>
          <w:rFonts w:ascii="宋体" w:hAnsi="Courier New" w:eastAsia="宋体" w:cs="Times New Roman"/>
          <w:b/>
          <w:sz w:val="24"/>
          <w:szCs w:val="24"/>
        </w:rPr>
      </w:pPr>
      <w:r>
        <w:rPr>
          <w:rFonts w:hint="eastAsia" w:ascii="宋体" w:hAnsi="Courier New" w:eastAsia="宋体" w:cs="Times New Roman"/>
          <w:b/>
          <w:sz w:val="24"/>
          <w:szCs w:val="24"/>
        </w:rPr>
        <w:t>合同附件：</w:t>
      </w:r>
    </w:p>
    <w:p>
      <w:pPr>
        <w:spacing w:line="520" w:lineRule="exact"/>
        <w:rPr>
          <w:rFonts w:ascii="宋体" w:hAnsi="Courier New" w:eastAsia="宋体" w:cs="Times New Roman"/>
          <w:sz w:val="24"/>
          <w:szCs w:val="24"/>
        </w:rPr>
      </w:pPr>
      <w:r>
        <w:rPr>
          <w:rFonts w:hint="eastAsia" w:ascii="宋体" w:hAnsi="Courier New" w:eastAsia="宋体" w:cs="Times New Roman"/>
          <w:sz w:val="24"/>
          <w:szCs w:val="24"/>
        </w:rPr>
        <w:t>1.服务项目质量标准和要求等</w:t>
      </w:r>
    </w:p>
    <w:p>
      <w:pPr>
        <w:spacing w:line="520" w:lineRule="exact"/>
        <w:rPr>
          <w:rFonts w:ascii="宋体" w:hAnsi="Courier New" w:eastAsia="宋体" w:cs="Times New Roman"/>
          <w:sz w:val="24"/>
          <w:szCs w:val="24"/>
        </w:rPr>
      </w:pPr>
      <w:r>
        <w:rPr>
          <w:rFonts w:hint="eastAsia" w:ascii="宋体" w:hAnsi="Courier New" w:eastAsia="宋体" w:cs="Times New Roman"/>
          <w:sz w:val="24"/>
          <w:szCs w:val="24"/>
        </w:rPr>
        <w:t>2.报价明细</w:t>
      </w:r>
    </w:p>
    <w:p>
      <w:pPr>
        <w:spacing w:line="520" w:lineRule="exact"/>
        <w:rPr>
          <w:rFonts w:ascii="宋体" w:hAnsi="Courier New" w:eastAsia="宋体" w:cs="Times New Roman"/>
          <w:sz w:val="24"/>
          <w:szCs w:val="24"/>
        </w:rPr>
      </w:pPr>
      <w:r>
        <w:rPr>
          <w:rFonts w:hint="eastAsia" w:ascii="宋体" w:hAnsi="Courier New" w:eastAsia="宋体" w:cs="Times New Roman"/>
          <w:sz w:val="24"/>
          <w:szCs w:val="24"/>
        </w:rPr>
        <w:t>3.（根据项目特点需要列明的材料，无则删除）</w:t>
      </w:r>
    </w:p>
    <w:bookmarkEnd w:id="8"/>
    <w:p>
      <w:pPr>
        <w:pStyle w:val="11"/>
        <w:ind w:firstLine="426"/>
        <w:sectPr>
          <w:pgSz w:w="11906" w:h="16838"/>
          <w:pgMar w:top="1440" w:right="1800" w:bottom="1440" w:left="1800" w:header="851" w:footer="992" w:gutter="0"/>
          <w:cols w:space="425" w:num="1"/>
          <w:docGrid w:type="lines" w:linePitch="312" w:charSpace="0"/>
        </w:sectPr>
      </w:pPr>
      <w:r>
        <w:rPr>
          <w:rFonts w:hint="eastAsia"/>
        </w:rPr>
        <w:t xml:space="preserve"> </w:t>
      </w:r>
    </w:p>
    <w:p>
      <w:pPr>
        <w:pStyle w:val="2"/>
        <w:spacing w:before="160" w:after="160"/>
        <w:jc w:val="center"/>
      </w:pPr>
      <w:bookmarkStart w:id="9" w:name="_Toc157175694"/>
      <w:r>
        <w:rPr>
          <w:rFonts w:hint="eastAsia"/>
        </w:rPr>
        <w:t>第六章 响应文件格式</w:t>
      </w:r>
      <w:bookmarkEnd w:id="9"/>
    </w:p>
    <w:p>
      <w:pPr>
        <w:pStyle w:val="3"/>
        <w:spacing w:before="0" w:after="0" w:line="360" w:lineRule="auto"/>
        <w:ind w:firstLine="424" w:firstLineChars="151"/>
      </w:pPr>
      <w:r>
        <w:rPr>
          <w:rFonts w:hint="eastAsia"/>
          <w:sz w:val="28"/>
        </w:rPr>
        <w:t>1.所有响应文件封面格式：</w:t>
      </w:r>
    </w:p>
    <w:p>
      <w:pPr>
        <w:snapToGrid w:val="0"/>
        <w:spacing w:before="156" w:beforeLines="50" w:after="50"/>
        <w:jc w:val="right"/>
        <w:rPr>
          <w:rFonts w:ascii="宋体" w:hAnsi="宋体"/>
          <w:b/>
          <w:bCs/>
          <w:color w:val="000000"/>
          <w:sz w:val="32"/>
          <w:szCs w:val="20"/>
        </w:rPr>
      </w:pPr>
      <w:r>
        <w:rPr>
          <w:rFonts w:ascii="宋体" w:hAnsi="宋体"/>
          <w:color w:val="000000"/>
          <w:sz w:val="24"/>
        </w:rPr>
        <w:t xml:space="preserve">   </w:t>
      </w:r>
    </w:p>
    <w:p>
      <w:pPr>
        <w:snapToGrid w:val="0"/>
        <w:spacing w:before="156" w:beforeLines="50" w:after="50"/>
        <w:rPr>
          <w:rFonts w:ascii="宋体" w:hAnsi="宋体"/>
          <w:color w:val="000000"/>
          <w:sz w:val="24"/>
          <w:szCs w:val="20"/>
        </w:rPr>
      </w:pPr>
    </w:p>
    <w:p>
      <w:pPr>
        <w:snapToGrid w:val="0"/>
        <w:spacing w:before="156" w:beforeLines="50" w:after="50"/>
        <w:jc w:val="center"/>
        <w:rPr>
          <w:rFonts w:ascii="宋体" w:hAnsi="宋体"/>
          <w:bCs/>
          <w:color w:val="000000"/>
          <w:sz w:val="40"/>
          <w:szCs w:val="20"/>
        </w:rPr>
      </w:pPr>
      <w:r>
        <w:rPr>
          <w:rFonts w:hint="eastAsia" w:ascii="宋体" w:hAnsi="宋体"/>
          <w:bCs/>
          <w:color w:val="000000"/>
          <w:sz w:val="40"/>
          <w:szCs w:val="20"/>
        </w:rPr>
        <w:t>XXX封闭式框架协议项目</w:t>
      </w:r>
    </w:p>
    <w:p>
      <w:pPr>
        <w:snapToGrid w:val="0"/>
        <w:spacing w:before="156" w:beforeLines="50" w:after="50"/>
        <w:jc w:val="center"/>
        <w:rPr>
          <w:rFonts w:ascii="宋体" w:hAnsi="宋体"/>
          <w:bCs/>
          <w:color w:val="000000"/>
          <w:sz w:val="24"/>
        </w:rPr>
      </w:pPr>
    </w:p>
    <w:p>
      <w:pPr>
        <w:snapToGrid w:val="0"/>
        <w:spacing w:before="156" w:beforeLines="50" w:after="50"/>
        <w:jc w:val="center"/>
        <w:rPr>
          <w:rFonts w:ascii="宋体" w:hAnsi="宋体"/>
          <w:bCs/>
          <w:color w:val="000000"/>
          <w:sz w:val="24"/>
          <w:szCs w:val="20"/>
        </w:rPr>
      </w:pPr>
      <w:r>
        <w:rPr>
          <w:rFonts w:hint="eastAsia" w:ascii="宋体" w:hAnsi="宋体"/>
          <w:bCs/>
          <w:color w:val="000000"/>
          <w:sz w:val="24"/>
        </w:rPr>
        <w:t>资格响应文件/技术商务文件/报价文件</w:t>
      </w:r>
    </w:p>
    <w:p>
      <w:pPr>
        <w:snapToGrid w:val="0"/>
        <w:spacing w:before="156" w:beforeLines="50" w:after="50"/>
        <w:rPr>
          <w:rFonts w:ascii="宋体" w:hAnsi="宋体"/>
          <w:bCs/>
          <w:color w:val="000000"/>
          <w:sz w:val="24"/>
          <w:szCs w:val="20"/>
        </w:rPr>
      </w:pPr>
    </w:p>
    <w:p>
      <w:pPr>
        <w:adjustRightInd w:val="0"/>
        <w:snapToGrid w:val="0"/>
        <w:spacing w:before="156" w:beforeLines="50" w:after="50" w:line="600" w:lineRule="exact"/>
        <w:ind w:firstLine="1068" w:firstLineChars="445"/>
        <w:rPr>
          <w:rFonts w:ascii="宋体" w:hAnsi="宋体"/>
          <w:bCs/>
          <w:color w:val="000000"/>
          <w:sz w:val="24"/>
        </w:rPr>
      </w:pPr>
      <w:r>
        <w:rPr>
          <w:rFonts w:hint="eastAsia" w:ascii="宋体" w:hAnsi="宋体"/>
          <w:bCs/>
          <w:color w:val="000000"/>
          <w:sz w:val="24"/>
        </w:rPr>
        <w:t>项目名称：</w:t>
      </w:r>
    </w:p>
    <w:p>
      <w:pPr>
        <w:adjustRightInd w:val="0"/>
        <w:snapToGrid w:val="0"/>
        <w:spacing w:before="156" w:beforeLines="50" w:after="50" w:line="600" w:lineRule="exact"/>
        <w:ind w:firstLine="1068" w:firstLineChars="445"/>
        <w:rPr>
          <w:rFonts w:ascii="宋体" w:hAnsi="宋体"/>
          <w:bCs/>
          <w:color w:val="000000"/>
          <w:sz w:val="24"/>
        </w:rPr>
      </w:pPr>
      <w:r>
        <w:rPr>
          <w:rFonts w:hint="eastAsia" w:ascii="宋体" w:hAnsi="宋体"/>
          <w:bCs/>
          <w:color w:val="000000"/>
          <w:sz w:val="24"/>
        </w:rPr>
        <w:t>项目编号：</w:t>
      </w:r>
      <w:r>
        <w:rPr>
          <w:rFonts w:ascii="宋体" w:hAnsi="宋体"/>
          <w:bCs/>
          <w:color w:val="000000"/>
          <w:sz w:val="24"/>
        </w:rPr>
        <w:t xml:space="preserve"> </w:t>
      </w:r>
    </w:p>
    <w:p>
      <w:pPr>
        <w:adjustRightInd w:val="0"/>
        <w:snapToGrid w:val="0"/>
        <w:spacing w:before="156" w:beforeLines="50" w:after="50" w:line="600" w:lineRule="exact"/>
        <w:ind w:firstLine="1068" w:firstLineChars="445"/>
        <w:rPr>
          <w:rFonts w:ascii="宋体" w:hAnsi="宋体"/>
          <w:bCs/>
          <w:color w:val="000000"/>
          <w:sz w:val="24"/>
        </w:rPr>
      </w:pPr>
      <w:r>
        <w:rPr>
          <w:rFonts w:hint="eastAsia" w:ascii="宋体" w:hAnsi="宋体"/>
          <w:bCs/>
          <w:color w:val="000000"/>
          <w:sz w:val="24"/>
        </w:rPr>
        <w:t>标</w:t>
      </w:r>
      <w:r>
        <w:rPr>
          <w:rFonts w:ascii="宋体" w:hAnsi="宋体"/>
          <w:bCs/>
          <w:color w:val="000000"/>
          <w:sz w:val="24"/>
        </w:rPr>
        <w:t xml:space="preserve"> </w:t>
      </w:r>
      <w:r>
        <w:rPr>
          <w:rFonts w:hint="eastAsia" w:ascii="宋体" w:hAnsi="宋体"/>
          <w:bCs/>
          <w:color w:val="000000"/>
          <w:sz w:val="24"/>
        </w:rPr>
        <w:t xml:space="preserve">项：       </w:t>
      </w:r>
      <w:r>
        <w:rPr>
          <w:rFonts w:hint="eastAsia" w:ascii="宋体" w:hAnsi="宋体"/>
          <w:bCs/>
          <w:color w:val="000000"/>
          <w:sz w:val="24"/>
          <w:u w:val="single"/>
        </w:rPr>
        <w:t xml:space="preserve">   1    </w:t>
      </w:r>
    </w:p>
    <w:p>
      <w:pPr>
        <w:adjustRightInd w:val="0"/>
        <w:snapToGrid w:val="0"/>
        <w:spacing w:before="156" w:beforeLines="50" w:after="50" w:line="600" w:lineRule="exact"/>
        <w:ind w:firstLine="1068" w:firstLineChars="445"/>
        <w:rPr>
          <w:rFonts w:ascii="宋体" w:hAnsi="宋体"/>
          <w:bCs/>
          <w:color w:val="000000"/>
          <w:sz w:val="24"/>
          <w:szCs w:val="24"/>
        </w:rPr>
      </w:pPr>
      <w:r>
        <w:rPr>
          <w:rFonts w:hint="eastAsia" w:ascii="宋体" w:hAnsi="宋体"/>
          <w:bCs/>
          <w:color w:val="000000"/>
          <w:sz w:val="24"/>
          <w:szCs w:val="24"/>
        </w:rPr>
        <w:t>响应供应商名称：</w:t>
      </w:r>
    </w:p>
    <w:p>
      <w:pPr>
        <w:adjustRightInd w:val="0"/>
        <w:snapToGrid w:val="0"/>
        <w:spacing w:before="156" w:beforeLines="50" w:after="50" w:line="600" w:lineRule="exact"/>
        <w:ind w:firstLine="1068" w:firstLineChars="445"/>
        <w:rPr>
          <w:rFonts w:ascii="宋体" w:hAnsi="宋体"/>
          <w:bCs/>
          <w:color w:val="000000"/>
          <w:sz w:val="24"/>
          <w:szCs w:val="24"/>
        </w:rPr>
      </w:pPr>
      <w:r>
        <w:rPr>
          <w:rFonts w:hint="eastAsia" w:ascii="宋体" w:hAnsi="宋体"/>
          <w:bCs/>
          <w:color w:val="000000"/>
          <w:sz w:val="24"/>
          <w:szCs w:val="24"/>
        </w:rPr>
        <w:t>响应供应商地址：</w:t>
      </w:r>
    </w:p>
    <w:p>
      <w:pPr>
        <w:pStyle w:val="5"/>
        <w:snapToGrid w:val="0"/>
        <w:spacing w:before="50" w:after="50"/>
        <w:ind w:firstLine="960" w:firstLineChars="400"/>
        <w:rPr>
          <w:rFonts w:ascii="宋体" w:hAnsi="宋体"/>
          <w:bCs/>
          <w:color w:val="000000"/>
          <w:sz w:val="24"/>
          <w:szCs w:val="24"/>
        </w:rPr>
      </w:pPr>
    </w:p>
    <w:p>
      <w:pPr>
        <w:snapToGrid w:val="0"/>
        <w:spacing w:before="156" w:beforeLines="50" w:after="50"/>
        <w:ind w:firstLine="4080" w:firstLineChars="1700"/>
        <w:rPr>
          <w:rFonts w:ascii="宋体" w:hAnsi="宋体"/>
          <w:color w:val="000000"/>
          <w:sz w:val="24"/>
          <w:szCs w:val="20"/>
        </w:rPr>
      </w:pPr>
    </w:p>
    <w:p>
      <w:pPr>
        <w:snapToGrid w:val="0"/>
        <w:spacing w:before="156" w:beforeLines="50" w:after="50"/>
        <w:ind w:firstLine="645"/>
        <w:jc w:val="center"/>
        <w:rPr>
          <w:rFonts w:ascii="宋体" w:hAnsi="宋体"/>
          <w:color w:val="000000"/>
          <w:sz w:val="24"/>
          <w:szCs w:val="20"/>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
    <w:p/>
    <w:p/>
    <w:p/>
    <w:p/>
    <w:p/>
    <w:p/>
    <w:p/>
    <w:p/>
    <w:p/>
    <w:p/>
    <w:p>
      <w:pPr>
        <w:pStyle w:val="3"/>
        <w:spacing w:before="0" w:after="0" w:line="360" w:lineRule="auto"/>
        <w:ind w:firstLine="424" w:firstLineChars="151"/>
        <w:rPr>
          <w:sz w:val="28"/>
        </w:rPr>
      </w:pPr>
      <w:r>
        <w:rPr>
          <w:rFonts w:hint="eastAsia"/>
          <w:sz w:val="28"/>
        </w:rPr>
        <w:t>2.响应声明书格式</w:t>
      </w:r>
    </w:p>
    <w:p>
      <w:pPr>
        <w:snapToGrid w:val="0"/>
        <w:spacing w:before="156" w:beforeLines="50" w:after="50"/>
        <w:jc w:val="center"/>
        <w:rPr>
          <w:rFonts w:ascii="宋体" w:hAnsi="宋体"/>
          <w:b/>
          <w:color w:val="000000"/>
          <w:sz w:val="24"/>
        </w:rPr>
      </w:pPr>
      <w:r>
        <w:rPr>
          <w:rFonts w:hint="eastAsia" w:ascii="宋体" w:hAnsi="宋体"/>
          <w:b/>
          <w:color w:val="000000"/>
          <w:sz w:val="24"/>
        </w:rPr>
        <w:t>响应声明书</w:t>
      </w:r>
    </w:p>
    <w:p>
      <w:pPr>
        <w:adjustRightInd w:val="0"/>
        <w:snapToGrid w:val="0"/>
        <w:spacing w:after="50" w:line="440" w:lineRule="exact"/>
        <w:rPr>
          <w:rFonts w:ascii="宋体" w:hAnsi="宋体" w:cs="宋体"/>
          <w:color w:val="000000"/>
          <w:sz w:val="24"/>
          <w:szCs w:val="20"/>
        </w:rPr>
      </w:pPr>
      <w:r>
        <w:rPr>
          <w:rFonts w:hint="eastAsia" w:ascii="宋体" w:hAnsi="宋体" w:cs="宋体"/>
          <w:color w:val="000000"/>
          <w:sz w:val="24"/>
        </w:rPr>
        <w:t>致：</w:t>
      </w:r>
      <w:r>
        <w:rPr>
          <w:rFonts w:hint="eastAsia" w:ascii="宋体" w:hAnsi="宋体" w:cs="宋体"/>
          <w:color w:val="000000"/>
          <w:sz w:val="24"/>
          <w:u w:val="single"/>
        </w:rPr>
        <w:t>金华市公共资源交易中心浦江县分中心：</w:t>
      </w:r>
    </w:p>
    <w:p>
      <w:pPr>
        <w:adjustRightInd w:val="0"/>
        <w:snapToGrid w:val="0"/>
        <w:spacing w:after="50" w:line="440" w:lineRule="exact"/>
        <w:ind w:firstLine="720" w:firstLineChars="300"/>
        <w:rPr>
          <w:rFonts w:ascii="宋体" w:hAnsi="宋体" w:cs="宋体"/>
          <w:color w:val="000000"/>
          <w:sz w:val="24"/>
          <w:szCs w:val="20"/>
        </w:rPr>
      </w:pPr>
      <w:r>
        <w:rPr>
          <w:rFonts w:hint="eastAsia" w:ascii="宋体" w:hAnsi="宋体" w:cs="宋体"/>
          <w:color w:val="000000"/>
          <w:sz w:val="24"/>
          <w:u w:val="single"/>
        </w:rPr>
        <w:t xml:space="preserve">              </w:t>
      </w:r>
      <w:r>
        <w:rPr>
          <w:rFonts w:hint="eastAsia" w:ascii="宋体" w:hAnsi="宋体" w:cs="宋体"/>
          <w:color w:val="000000"/>
          <w:sz w:val="24"/>
        </w:rPr>
        <w:t>（响应方名称）系中华人民共和国合法企业，经营地址</w:t>
      </w:r>
      <w:r>
        <w:rPr>
          <w:rFonts w:hint="eastAsia" w:ascii="宋体" w:hAnsi="宋体" w:cs="宋体"/>
          <w:color w:val="000000"/>
          <w:sz w:val="24"/>
          <w:u w:val="single"/>
        </w:rPr>
        <w:t xml:space="preserve">                               </w:t>
      </w:r>
      <w:r>
        <w:rPr>
          <w:rFonts w:hint="eastAsia" w:ascii="宋体" w:hAnsi="宋体" w:cs="宋体"/>
          <w:color w:val="000000"/>
          <w:sz w:val="24"/>
        </w:rPr>
        <w:t>。</w:t>
      </w:r>
    </w:p>
    <w:p>
      <w:pPr>
        <w:adjustRightInd w:val="0"/>
        <w:snapToGrid w:val="0"/>
        <w:spacing w:after="50" w:line="440" w:lineRule="exact"/>
        <w:ind w:firstLine="645"/>
        <w:rPr>
          <w:rFonts w:ascii="宋体" w:hAnsi="宋体" w:cs="宋体"/>
          <w:color w:val="000000"/>
          <w:sz w:val="24"/>
          <w:szCs w:val="20"/>
        </w:rPr>
      </w:pPr>
      <w:r>
        <w:rPr>
          <w:rFonts w:hint="eastAsia" w:ascii="宋体" w:hAnsi="宋体" w:cs="宋体"/>
          <w:color w:val="000000"/>
          <w:sz w:val="24"/>
        </w:rPr>
        <w:t>我</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（响应方名称）的法定代表人/执行事务合伙人，我方愿意参加贵方组织的</w:t>
      </w:r>
      <w:r>
        <w:rPr>
          <w:rFonts w:hint="eastAsia" w:ascii="宋体" w:hAnsi="宋体" w:cs="宋体"/>
          <w:color w:val="000000"/>
          <w:sz w:val="24"/>
          <w:u w:val="single"/>
        </w:rPr>
        <w:t xml:space="preserve">                 </w:t>
      </w:r>
      <w:r>
        <w:rPr>
          <w:rFonts w:hint="eastAsia" w:ascii="宋体" w:hAnsi="宋体" w:cs="宋体"/>
          <w:color w:val="000000"/>
          <w:sz w:val="24"/>
        </w:rPr>
        <w:t>项目（项目编号：</w:t>
      </w:r>
      <w:r>
        <w:rPr>
          <w:rFonts w:hint="eastAsia" w:ascii="宋体" w:hAnsi="宋体" w:cs="宋体"/>
          <w:color w:val="000000"/>
          <w:sz w:val="24"/>
          <w:u w:val="single"/>
        </w:rPr>
        <w:t xml:space="preserve"> ZPKJ2024-003 </w:t>
      </w:r>
      <w:r>
        <w:rPr>
          <w:rFonts w:hint="eastAsia" w:ascii="宋体" w:hAnsi="宋体" w:cs="宋体"/>
          <w:color w:val="000000"/>
          <w:sz w:val="24"/>
        </w:rPr>
        <w:t>）的征集响应，为此，我方就本次响应有关事项郑重声明如下：</w:t>
      </w:r>
    </w:p>
    <w:p>
      <w:pPr>
        <w:adjustRightInd w:val="0"/>
        <w:snapToGrid w:val="0"/>
        <w:spacing w:after="50" w:line="440" w:lineRule="exact"/>
        <w:ind w:firstLine="480" w:firstLineChars="200"/>
        <w:rPr>
          <w:rFonts w:hAnsi="宋体" w:cs="宋体"/>
          <w:color w:val="000000"/>
          <w:sz w:val="24"/>
          <w:szCs w:val="24"/>
        </w:rPr>
      </w:pPr>
      <w:r>
        <w:rPr>
          <w:rFonts w:hAnsi="宋体" w:cs="宋体"/>
          <w:color w:val="000000"/>
          <w:sz w:val="24"/>
        </w:rPr>
        <w:t>1.</w:t>
      </w:r>
      <w:r>
        <w:rPr>
          <w:rFonts w:hint="eastAsia" w:ascii="宋体" w:hAnsi="宋体" w:eastAsia="宋体" w:cs="宋体"/>
          <w:sz w:val="24"/>
          <w:szCs w:val="24"/>
        </w:rPr>
        <w:t xml:space="preserve"> 我方已详细审查全部征集文件，同意征集文件的各项要求，</w:t>
      </w:r>
      <w:r>
        <w:rPr>
          <w:rFonts w:hint="eastAsia" w:ascii="宋体" w:hAnsi="宋体" w:eastAsia="宋体" w:cs="宋体"/>
          <w:b/>
          <w:sz w:val="24"/>
          <w:szCs w:val="24"/>
        </w:rPr>
        <w:t>对征集文件的合理性、合法性不再有异议。</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 我方向贵方提交的所有响应文件、资料都是准确的和真实的。</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 若入围，我方将按征集文件规定履行框架协议责任和义务，承诺按采购人要求做好保密工作。</w:t>
      </w:r>
    </w:p>
    <w:p>
      <w:pPr>
        <w:adjustRightInd w:val="0"/>
        <w:snapToGrid w:val="0"/>
        <w:spacing w:after="50" w:line="440" w:lineRule="exact"/>
        <w:ind w:firstLine="480" w:firstLineChars="200"/>
        <w:rPr>
          <w:rFonts w:hAnsi="宋体" w:cs="宋体"/>
          <w:color w:val="000000"/>
          <w:sz w:val="24"/>
          <w:szCs w:val="24"/>
        </w:rPr>
      </w:pPr>
      <w:r>
        <w:rPr>
          <w:rFonts w:hint="eastAsia" w:hAnsi="宋体" w:cs="宋体"/>
          <w:color w:val="000000"/>
          <w:sz w:val="24"/>
          <w:szCs w:val="24"/>
        </w:rPr>
        <w:t>4. 我方不是采购人的附属机构；在获知本项目采购信息后，与征集人聘请的为此项目提供咨询服务的公司及其附属机构没有任何联系。</w:t>
      </w:r>
    </w:p>
    <w:p>
      <w:pPr>
        <w:adjustRightInd w:val="0"/>
        <w:snapToGrid w:val="0"/>
        <w:spacing w:after="50" w:line="440" w:lineRule="exact"/>
        <w:ind w:firstLine="480" w:firstLineChars="200"/>
        <w:rPr>
          <w:rFonts w:hAnsi="宋体" w:cs="宋体"/>
          <w:color w:val="000000"/>
          <w:sz w:val="24"/>
          <w:szCs w:val="24"/>
        </w:rPr>
      </w:pPr>
      <w:r>
        <w:rPr>
          <w:rFonts w:hAnsi="宋体" w:cs="宋体"/>
          <w:color w:val="000000"/>
          <w:sz w:val="24"/>
          <w:szCs w:val="24"/>
        </w:rPr>
        <w:t>5.</w:t>
      </w:r>
      <w:r>
        <w:rPr>
          <w:rFonts w:hint="eastAsia" w:hAnsi="宋体" w:cs="宋体"/>
          <w:color w:val="000000"/>
          <w:sz w:val="24"/>
          <w:szCs w:val="24"/>
        </w:rPr>
        <w:t xml:space="preserve"> 响应文件自开标日起有效期为90天。</w:t>
      </w:r>
    </w:p>
    <w:p>
      <w:pPr>
        <w:adjustRightInd w:val="0"/>
        <w:snapToGrid w:val="0"/>
        <w:spacing w:after="50" w:line="440" w:lineRule="exact"/>
        <w:ind w:firstLine="480" w:firstLineChars="200"/>
        <w:rPr>
          <w:rFonts w:hAnsi="宋体" w:cs="宋体"/>
          <w:color w:val="000000"/>
          <w:sz w:val="24"/>
          <w:szCs w:val="24"/>
        </w:rPr>
      </w:pPr>
      <w:r>
        <w:rPr>
          <w:rFonts w:hAnsi="宋体" w:cs="宋体"/>
          <w:color w:val="000000"/>
          <w:sz w:val="24"/>
          <w:szCs w:val="24"/>
        </w:rPr>
        <w:t>6.</w:t>
      </w:r>
      <w:r>
        <w:rPr>
          <w:rFonts w:hint="eastAsia" w:hAnsi="宋体" w:cs="宋体"/>
          <w:color w:val="000000"/>
          <w:sz w:val="24"/>
          <w:szCs w:val="24"/>
        </w:rPr>
        <w:t xml:space="preserve"> 我方承诺已经具备参与政府采购活动的资格条件并且没有税收缴纳、社会保障等方面的失信记录；</w:t>
      </w:r>
    </w:p>
    <w:p>
      <w:pPr>
        <w:adjustRightInd w:val="0"/>
        <w:snapToGrid w:val="0"/>
        <w:spacing w:after="50" w:line="440" w:lineRule="exact"/>
        <w:ind w:firstLine="480" w:firstLineChars="200"/>
        <w:rPr>
          <w:rFonts w:hAnsi="宋体" w:cs="宋体"/>
          <w:color w:val="000000"/>
          <w:sz w:val="24"/>
          <w:szCs w:val="24"/>
        </w:rPr>
      </w:pPr>
      <w:r>
        <w:rPr>
          <w:rFonts w:hint="eastAsia" w:hAnsi="宋体" w:cs="宋体"/>
          <w:color w:val="000000"/>
          <w:sz w:val="24"/>
          <w:szCs w:val="24"/>
        </w:rPr>
        <w:t>7.我方通过“信用中国”网站（www.creditchina.gov.cn）、中国政府采购网（www.ccgp.gov.cn）查询，未被列入失信被执行人、重大税收违法案件当事人名单、政府采购严重违法失信行为记录名单。</w:t>
      </w:r>
    </w:p>
    <w:p>
      <w:pPr>
        <w:adjustRightInd w:val="0"/>
        <w:snapToGrid w:val="0"/>
        <w:spacing w:after="50" w:line="440" w:lineRule="exact"/>
        <w:ind w:firstLine="480" w:firstLineChars="200"/>
        <w:rPr>
          <w:rFonts w:hAnsi="宋体" w:cs="宋体"/>
          <w:color w:val="000000"/>
          <w:sz w:val="24"/>
          <w:szCs w:val="24"/>
        </w:rPr>
      </w:pPr>
      <w:r>
        <w:rPr>
          <w:rFonts w:hint="eastAsia" w:hAnsi="宋体" w:cs="宋体"/>
          <w:color w:val="000000"/>
          <w:sz w:val="24"/>
          <w:szCs w:val="24"/>
        </w:rPr>
        <w:t>8</w:t>
      </w:r>
      <w:r>
        <w:rPr>
          <w:rFonts w:hAnsi="宋体" w:cs="宋体"/>
          <w:color w:val="000000"/>
          <w:sz w:val="24"/>
          <w:szCs w:val="24"/>
        </w:rPr>
        <w:t xml:space="preserve">. </w:t>
      </w:r>
      <w:r>
        <w:rPr>
          <w:rFonts w:hint="eastAsia" w:hAnsi="宋体" w:cs="宋体"/>
          <w:color w:val="000000"/>
          <w:sz w:val="24"/>
          <w:szCs w:val="24"/>
        </w:rPr>
        <w:t>我方与参加本次项目同一合同项下政府采购活动的其他供应商不存在单位负责人为同一人或者直接控股、管理关系。</w:t>
      </w:r>
    </w:p>
    <w:p>
      <w:pPr>
        <w:adjustRightInd w:val="0"/>
        <w:snapToGrid w:val="0"/>
        <w:spacing w:after="50" w:line="440" w:lineRule="exact"/>
        <w:ind w:firstLine="480" w:firstLineChars="200"/>
        <w:rPr>
          <w:rFonts w:hAnsi="宋体" w:cs="宋体"/>
          <w:color w:val="000000"/>
          <w:sz w:val="24"/>
          <w:szCs w:val="24"/>
        </w:rPr>
      </w:pPr>
      <w:r>
        <w:rPr>
          <w:rFonts w:hint="eastAsia" w:hAnsi="宋体" w:cs="宋体"/>
          <w:color w:val="000000"/>
          <w:sz w:val="24"/>
          <w:szCs w:val="24"/>
        </w:rPr>
        <w:t>9</w:t>
      </w:r>
      <w:r>
        <w:rPr>
          <w:rFonts w:hAnsi="宋体" w:cs="宋体"/>
          <w:color w:val="000000"/>
          <w:sz w:val="24"/>
          <w:szCs w:val="24"/>
        </w:rPr>
        <w:t>.</w:t>
      </w:r>
      <w:r>
        <w:rPr>
          <w:rFonts w:hint="eastAsia" w:hAnsi="宋体" w:cs="宋体"/>
          <w:color w:val="000000"/>
          <w:sz w:val="24"/>
          <w:szCs w:val="24"/>
        </w:rPr>
        <w:t>以上事项如有虚假或隐瞒，我方愿意承担一切后果，并不再寻求任何旨在减轻或免除法律责任的辩解。</w:t>
      </w:r>
    </w:p>
    <w:p>
      <w:pPr>
        <w:snapToGrid w:val="0"/>
        <w:spacing w:before="156" w:beforeLines="50" w:after="50" w:line="440" w:lineRule="exact"/>
        <w:ind w:firstLine="480" w:firstLineChars="200"/>
        <w:rPr>
          <w:rFonts w:hAnsi="宋体" w:cs="宋体"/>
          <w:color w:val="000000"/>
          <w:sz w:val="24"/>
          <w:szCs w:val="24"/>
        </w:rPr>
      </w:pPr>
    </w:p>
    <w:p>
      <w:pPr>
        <w:snapToGrid w:val="0"/>
        <w:spacing w:before="156" w:beforeLines="50"/>
        <w:ind w:right="480"/>
        <w:rPr>
          <w:rFonts w:ascii="宋体" w:hAnsi="宋体" w:cs="宋体"/>
          <w:color w:val="000000"/>
          <w:sz w:val="24"/>
          <w:szCs w:val="20"/>
          <w:u w:val="single"/>
        </w:rPr>
      </w:pPr>
      <w:r>
        <w:rPr>
          <w:rFonts w:hint="eastAsia" w:ascii="宋体" w:hAnsi="宋体" w:cs="宋体"/>
          <w:color w:val="000000"/>
          <w:sz w:val="24"/>
        </w:rPr>
        <w:t>法定代表人/执行事务合伙人（签名或盖章）：</w:t>
      </w:r>
      <w:r>
        <w:rPr>
          <w:rFonts w:hint="eastAsia" w:ascii="宋体" w:hAnsi="宋体" w:cs="宋体"/>
          <w:color w:val="000000"/>
          <w:sz w:val="24"/>
          <w:u w:val="single"/>
        </w:rPr>
        <w:t xml:space="preserve">             </w:t>
      </w:r>
    </w:p>
    <w:p>
      <w:pPr>
        <w:snapToGrid w:val="0"/>
        <w:spacing w:before="156" w:beforeLines="50" w:after="50"/>
        <w:ind w:right="480"/>
        <w:jc w:val="left"/>
        <w:rPr>
          <w:rFonts w:ascii="宋体" w:hAnsi="宋体" w:cs="宋体"/>
          <w:color w:val="000000"/>
          <w:sz w:val="24"/>
        </w:rPr>
      </w:pPr>
      <w:r>
        <w:rPr>
          <w:rFonts w:hint="eastAsia" w:ascii="宋体" w:hAnsi="宋体" w:cs="宋体"/>
          <w:color w:val="000000"/>
          <w:sz w:val="24"/>
        </w:rPr>
        <w:t>响应供应商（盖章）：</w:t>
      </w:r>
      <w:r>
        <w:rPr>
          <w:rFonts w:hint="eastAsia" w:ascii="宋体" w:hAnsi="宋体" w:cs="宋体"/>
          <w:color w:val="000000"/>
          <w:sz w:val="24"/>
          <w:u w:val="single"/>
        </w:rPr>
        <w:t xml:space="preserve">               </w:t>
      </w:r>
    </w:p>
    <w:p>
      <w:pPr>
        <w:rPr>
          <w:rFonts w:ascii="宋体" w:hAnsi="宋体" w:cs="宋体"/>
          <w:color w:val="000000"/>
          <w:sz w:val="24"/>
        </w:rPr>
      </w:pPr>
      <w:r>
        <w:rPr>
          <w:rFonts w:hint="eastAsia" w:ascii="宋体" w:hAnsi="宋体" w:cs="宋体"/>
          <w:color w:val="000000"/>
          <w:sz w:val="24"/>
        </w:rPr>
        <w:t xml:space="preserve">                                                       年    月    日</w:t>
      </w:r>
    </w:p>
    <w:p>
      <w:pPr>
        <w:rPr>
          <w:rFonts w:ascii="宋体" w:hAnsi="宋体" w:cs="宋体"/>
          <w:color w:val="000000"/>
          <w:sz w:val="24"/>
        </w:rPr>
        <w:sectPr>
          <w:pgSz w:w="11906" w:h="16838"/>
          <w:pgMar w:top="1440" w:right="1800" w:bottom="1440" w:left="1800" w:header="851" w:footer="992" w:gutter="0"/>
          <w:cols w:space="425" w:num="1"/>
          <w:docGrid w:type="lines" w:linePitch="312" w:charSpace="0"/>
        </w:sectPr>
      </w:pPr>
    </w:p>
    <w:p>
      <w:pPr>
        <w:pStyle w:val="3"/>
        <w:spacing w:before="0" w:after="0" w:line="360" w:lineRule="auto"/>
        <w:ind w:firstLine="424" w:firstLineChars="151"/>
        <w:rPr>
          <w:sz w:val="28"/>
        </w:rPr>
      </w:pPr>
      <w:r>
        <w:rPr>
          <w:rFonts w:hint="eastAsia"/>
          <w:sz w:val="28"/>
        </w:rPr>
        <w:t>3.法定代表人/执行事务合伙人授权委托书格式</w:t>
      </w:r>
    </w:p>
    <w:p>
      <w:pPr>
        <w:snapToGrid w:val="0"/>
        <w:spacing w:before="156" w:beforeLines="50" w:after="50"/>
        <w:jc w:val="center"/>
        <w:rPr>
          <w:rFonts w:ascii="宋体" w:hAnsi="宋体"/>
          <w:b/>
          <w:color w:val="000000"/>
          <w:sz w:val="24"/>
          <w:szCs w:val="20"/>
        </w:rPr>
      </w:pPr>
      <w:r>
        <w:rPr>
          <w:rFonts w:hint="eastAsia" w:ascii="宋体" w:hAnsi="宋体"/>
          <w:b/>
          <w:color w:val="000000"/>
          <w:sz w:val="24"/>
        </w:rPr>
        <w:t>法定代表人/执行事务合伙人授权委托书</w:t>
      </w:r>
    </w:p>
    <w:p>
      <w:pPr>
        <w:adjustRightInd w:val="0"/>
        <w:snapToGrid w:val="0"/>
        <w:spacing w:line="440" w:lineRule="exact"/>
        <w:rPr>
          <w:rFonts w:ascii="宋体" w:hAnsi="宋体"/>
          <w:b/>
          <w:bCs/>
          <w:color w:val="000000"/>
          <w:sz w:val="24"/>
          <w:szCs w:val="20"/>
        </w:rPr>
      </w:pPr>
      <w:r>
        <w:rPr>
          <w:rFonts w:hint="eastAsia" w:ascii="宋体" w:hAnsi="宋体"/>
          <w:bCs/>
          <w:color w:val="000000"/>
          <w:sz w:val="24"/>
        </w:rPr>
        <w:t>致：</w:t>
      </w:r>
      <w:r>
        <w:rPr>
          <w:rFonts w:hint="eastAsia" w:ascii="宋体" w:hAnsi="宋体" w:cs="宋体"/>
          <w:color w:val="000000"/>
          <w:sz w:val="24"/>
          <w:u w:val="single"/>
        </w:rPr>
        <w:t xml:space="preserve">  金华市公共资源交易中心浦江县分中心：</w:t>
      </w:r>
    </w:p>
    <w:p>
      <w:pPr>
        <w:adjustRightInd w:val="0"/>
        <w:snapToGrid w:val="0"/>
        <w:spacing w:line="440" w:lineRule="exact"/>
        <w:ind w:firstLine="720" w:firstLineChars="300"/>
        <w:rPr>
          <w:rFonts w:ascii="宋体" w:hAnsi="宋体"/>
          <w:color w:val="000000"/>
          <w:sz w:val="24"/>
          <w:szCs w:val="20"/>
        </w:rPr>
      </w:pPr>
      <w:r>
        <w:rPr>
          <w:rFonts w:hint="eastAsia" w:ascii="宋体" w:hAnsi="宋体"/>
          <w:color w:val="000000"/>
          <w:sz w:val="24"/>
        </w:rPr>
        <w:t>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 xml:space="preserve">（响应供应商名称）的法定代表人/执行事务合伙人，现授权委托本单位在职职工 </w:t>
      </w:r>
      <w:r>
        <w:rPr>
          <w:rFonts w:hint="eastAsia" w:ascii="宋体" w:hAnsi="宋体"/>
          <w:color w:val="000000"/>
          <w:sz w:val="24"/>
          <w:u w:val="single"/>
        </w:rPr>
        <w:t xml:space="preserve">              （姓名）  </w:t>
      </w:r>
      <w:r>
        <w:rPr>
          <w:rFonts w:hint="eastAsia" w:ascii="宋体" w:hAnsi="宋体"/>
          <w:color w:val="000000"/>
          <w:sz w:val="24"/>
        </w:rPr>
        <w:t>以我方的名义参加项目编号：</w:t>
      </w:r>
      <w:r>
        <w:rPr>
          <w:rFonts w:hint="eastAsia" w:ascii="宋体" w:hAnsi="宋体"/>
          <w:color w:val="000000"/>
          <w:sz w:val="24"/>
          <w:u w:val="single"/>
        </w:rPr>
        <w:t xml:space="preserve">        </w:t>
      </w:r>
      <w:r>
        <w:rPr>
          <w:rFonts w:hint="eastAsia" w:ascii="宋体" w:hAnsi="宋体"/>
          <w:color w:val="000000"/>
          <w:sz w:val="24"/>
        </w:rPr>
        <w:t>及项目名称：</w:t>
      </w:r>
      <w:r>
        <w:rPr>
          <w:rFonts w:hint="eastAsia" w:ascii="宋体" w:hAnsi="宋体"/>
          <w:color w:val="000000"/>
          <w:sz w:val="24"/>
          <w:u w:val="single"/>
        </w:rPr>
        <w:t xml:space="preserve">        </w:t>
      </w:r>
      <w:r>
        <w:rPr>
          <w:rFonts w:hint="eastAsia" w:ascii="宋体" w:hAnsi="宋体"/>
          <w:color w:val="000000"/>
          <w:sz w:val="24"/>
        </w:rPr>
        <w:t>项目的采购活动，并代表我方全权办理针对上述项目的响应、评审、签约等具体事务和签署相关文件。</w:t>
      </w:r>
    </w:p>
    <w:p>
      <w:pPr>
        <w:adjustRightInd w:val="0"/>
        <w:snapToGrid w:val="0"/>
        <w:spacing w:line="440" w:lineRule="exact"/>
        <w:rPr>
          <w:rFonts w:ascii="宋体" w:hAnsi="宋体"/>
          <w:color w:val="000000"/>
          <w:sz w:val="24"/>
          <w:szCs w:val="20"/>
        </w:rPr>
      </w:pPr>
      <w:r>
        <w:rPr>
          <w:rFonts w:hint="eastAsia" w:ascii="宋体" w:hAnsi="宋体"/>
          <w:color w:val="000000"/>
          <w:sz w:val="24"/>
        </w:rPr>
        <w:t xml:space="preserve">    我方对被授权人的签名事项负全部责任。</w:t>
      </w:r>
    </w:p>
    <w:p>
      <w:pPr>
        <w:adjustRightInd w:val="0"/>
        <w:snapToGrid w:val="0"/>
        <w:spacing w:line="440" w:lineRule="exact"/>
        <w:ind w:firstLine="480"/>
        <w:rPr>
          <w:rFonts w:ascii="宋体" w:hAnsi="宋体"/>
          <w:color w:val="000000"/>
          <w:sz w:val="24"/>
          <w:szCs w:val="20"/>
        </w:rPr>
      </w:pPr>
      <w:r>
        <w:rPr>
          <w:rFonts w:hint="eastAsia" w:ascii="宋体" w:hAnsi="宋体"/>
          <w:color w:val="000000"/>
          <w:sz w:val="24"/>
          <w:u w:val="single"/>
        </w:rPr>
        <w:t>在撤销授权的书面通知以前，本授权书一直有效。</w:t>
      </w:r>
      <w:r>
        <w:rPr>
          <w:rFonts w:hint="eastAsia" w:ascii="宋体" w:hAnsi="宋体"/>
          <w:color w:val="000000"/>
          <w:sz w:val="24"/>
        </w:rPr>
        <w:t>被授权人在授权书有效期内签署的所有文件不因授权的撤销而失效。</w:t>
      </w:r>
    </w:p>
    <w:p>
      <w:pPr>
        <w:adjustRightInd w:val="0"/>
        <w:snapToGrid w:val="0"/>
        <w:spacing w:line="440" w:lineRule="exact"/>
        <w:ind w:firstLine="480"/>
        <w:rPr>
          <w:rFonts w:ascii="宋体" w:hAnsi="宋体"/>
          <w:color w:val="000000"/>
          <w:sz w:val="24"/>
        </w:rPr>
      </w:pPr>
      <w:r>
        <w:rPr>
          <w:rFonts w:hint="eastAsia" w:ascii="宋体" w:hAnsi="宋体"/>
          <w:color w:val="000000"/>
          <w:sz w:val="24"/>
        </w:rPr>
        <w:t>被授权人无转委托权，特此委托。</w:t>
      </w:r>
    </w:p>
    <w:p>
      <w:pPr>
        <w:adjustRightInd w:val="0"/>
        <w:snapToGrid w:val="0"/>
        <w:spacing w:line="440" w:lineRule="exact"/>
        <w:ind w:firstLine="480"/>
        <w:rPr>
          <w:rFonts w:ascii="宋体" w:hAnsi="宋体"/>
          <w:color w:val="000000"/>
          <w:sz w:val="24"/>
          <w:szCs w:val="20"/>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9"/>
        <w:gridCol w:w="2268"/>
        <w:gridCol w:w="2314"/>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9" w:type="dxa"/>
            <w:vAlign w:val="center"/>
          </w:tcPr>
          <w:p>
            <w:pPr>
              <w:adjustRightInd w:val="0"/>
              <w:snapToGrid w:val="0"/>
              <w:spacing w:line="276" w:lineRule="auto"/>
              <w:rPr>
                <w:rFonts w:ascii="宋体" w:hAnsi="宋体"/>
                <w:color w:val="000000"/>
                <w:sz w:val="24"/>
                <w:szCs w:val="20"/>
              </w:rPr>
            </w:pPr>
            <w:r>
              <w:rPr>
                <w:rFonts w:hint="eastAsia" w:ascii="宋体" w:hAnsi="宋体"/>
                <w:color w:val="000000"/>
                <w:sz w:val="24"/>
                <w:u w:val="single"/>
              </w:rPr>
              <w:t>被授权人签名</w:t>
            </w:r>
            <w:r>
              <w:rPr>
                <w:rFonts w:hint="eastAsia" w:ascii="宋体" w:hAnsi="宋体"/>
                <w:color w:val="000000"/>
                <w:sz w:val="24"/>
              </w:rPr>
              <w:t>：</w:t>
            </w:r>
          </w:p>
        </w:tc>
        <w:tc>
          <w:tcPr>
            <w:tcW w:w="2268" w:type="dxa"/>
            <w:vAlign w:val="center"/>
          </w:tcPr>
          <w:p>
            <w:pPr>
              <w:adjustRightInd w:val="0"/>
              <w:snapToGrid w:val="0"/>
              <w:spacing w:line="276" w:lineRule="auto"/>
              <w:rPr>
                <w:rFonts w:ascii="宋体" w:hAnsi="宋体"/>
                <w:color w:val="000000"/>
                <w:sz w:val="24"/>
                <w:szCs w:val="20"/>
              </w:rPr>
            </w:pPr>
            <w:r>
              <w:rPr>
                <w:rFonts w:hint="eastAsia" w:ascii="宋体" w:hAnsi="宋体"/>
                <w:color w:val="000000"/>
                <w:sz w:val="24"/>
                <w:u w:val="single"/>
              </w:rPr>
              <w:t xml:space="preserve">                </w:t>
            </w:r>
            <w:r>
              <w:rPr>
                <w:rFonts w:hint="eastAsia" w:ascii="宋体" w:hAnsi="宋体"/>
                <w:color w:val="000000"/>
                <w:sz w:val="24"/>
              </w:rPr>
              <w:t xml:space="preserve"> </w:t>
            </w:r>
          </w:p>
        </w:tc>
        <w:tc>
          <w:tcPr>
            <w:tcW w:w="2314" w:type="dxa"/>
            <w:vAlign w:val="center"/>
          </w:tcPr>
          <w:p>
            <w:pPr>
              <w:adjustRightInd w:val="0"/>
              <w:snapToGrid w:val="0"/>
              <w:spacing w:line="276" w:lineRule="auto"/>
              <w:rPr>
                <w:rFonts w:ascii="宋体" w:hAnsi="宋体"/>
                <w:color w:val="000000"/>
                <w:sz w:val="24"/>
                <w:szCs w:val="20"/>
                <w:u w:val="single"/>
              </w:rPr>
            </w:pPr>
            <w:r>
              <w:rPr>
                <w:rFonts w:hint="eastAsia" w:ascii="宋体" w:hAnsi="宋体"/>
                <w:color w:val="000000"/>
                <w:sz w:val="24"/>
                <w:u w:val="single"/>
              </w:rPr>
              <w:t>法定代表人/执行事务合伙人签名（或盖章）：</w:t>
            </w:r>
          </w:p>
        </w:tc>
        <w:tc>
          <w:tcPr>
            <w:tcW w:w="2131" w:type="dxa"/>
            <w:vAlign w:val="center"/>
          </w:tcPr>
          <w:p>
            <w:pPr>
              <w:adjustRightInd w:val="0"/>
              <w:snapToGrid w:val="0"/>
              <w:spacing w:line="276" w:lineRule="auto"/>
              <w:rPr>
                <w:rFonts w:ascii="宋体" w:hAnsi="宋体"/>
                <w:color w:val="000000"/>
                <w:sz w:val="24"/>
                <w:szCs w:val="20"/>
              </w:rPr>
            </w:pPr>
            <w:r>
              <w:rPr>
                <w:rFonts w:hint="eastAsia" w:ascii="宋体" w:hAnsi="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809" w:type="dxa"/>
            <w:vAlign w:val="center"/>
          </w:tcPr>
          <w:p>
            <w:pPr>
              <w:adjustRightInd w:val="0"/>
              <w:snapToGrid w:val="0"/>
              <w:spacing w:line="276" w:lineRule="auto"/>
              <w:rPr>
                <w:rFonts w:ascii="宋体" w:hAnsi="宋体"/>
                <w:color w:val="000000"/>
                <w:sz w:val="24"/>
                <w:szCs w:val="20"/>
                <w:u w:val="single"/>
              </w:rPr>
            </w:pPr>
            <w:r>
              <w:rPr>
                <w:rFonts w:hint="eastAsia" w:ascii="宋体" w:hAnsi="宋体"/>
                <w:color w:val="000000"/>
                <w:sz w:val="24"/>
                <w:u w:val="single"/>
              </w:rPr>
              <w:t>职务：</w:t>
            </w:r>
          </w:p>
        </w:tc>
        <w:tc>
          <w:tcPr>
            <w:tcW w:w="2268" w:type="dxa"/>
            <w:vAlign w:val="center"/>
          </w:tcPr>
          <w:p>
            <w:pPr>
              <w:adjustRightInd w:val="0"/>
              <w:snapToGrid w:val="0"/>
              <w:spacing w:line="276" w:lineRule="auto"/>
              <w:rPr>
                <w:rFonts w:ascii="宋体" w:hAnsi="宋体"/>
                <w:color w:val="000000"/>
                <w:sz w:val="24"/>
                <w:szCs w:val="20"/>
              </w:rPr>
            </w:pPr>
            <w:r>
              <w:rPr>
                <w:rFonts w:hint="eastAsia" w:ascii="宋体" w:hAnsi="宋体"/>
                <w:color w:val="000000"/>
                <w:sz w:val="24"/>
                <w:u w:val="single"/>
              </w:rPr>
              <w:t xml:space="preserve">                </w:t>
            </w:r>
          </w:p>
        </w:tc>
        <w:tc>
          <w:tcPr>
            <w:tcW w:w="2314" w:type="dxa"/>
            <w:vAlign w:val="center"/>
          </w:tcPr>
          <w:p>
            <w:pPr>
              <w:adjustRightInd w:val="0"/>
              <w:snapToGrid w:val="0"/>
              <w:spacing w:line="276" w:lineRule="auto"/>
              <w:rPr>
                <w:rFonts w:ascii="宋体" w:hAnsi="宋体"/>
                <w:color w:val="000000"/>
                <w:sz w:val="24"/>
                <w:szCs w:val="20"/>
                <w:u w:val="single"/>
              </w:rPr>
            </w:pPr>
            <w:r>
              <w:rPr>
                <w:rFonts w:hint="eastAsia" w:ascii="宋体" w:hAnsi="宋体"/>
                <w:color w:val="000000"/>
                <w:sz w:val="24"/>
                <w:u w:val="single"/>
              </w:rPr>
              <w:t>职务：</w:t>
            </w:r>
          </w:p>
        </w:tc>
        <w:tc>
          <w:tcPr>
            <w:tcW w:w="2131" w:type="dxa"/>
            <w:vAlign w:val="center"/>
          </w:tcPr>
          <w:p>
            <w:pPr>
              <w:adjustRightInd w:val="0"/>
              <w:snapToGrid w:val="0"/>
              <w:spacing w:line="276" w:lineRule="auto"/>
              <w:rPr>
                <w:rFonts w:ascii="宋体" w:hAnsi="宋体"/>
                <w:color w:val="000000"/>
                <w:sz w:val="24"/>
                <w:szCs w:val="20"/>
              </w:rPr>
            </w:pPr>
            <w:r>
              <w:rPr>
                <w:rFonts w:hint="eastAsia" w:ascii="宋体" w:hAnsi="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809" w:type="dxa"/>
            <w:vAlign w:val="center"/>
          </w:tcPr>
          <w:p>
            <w:pPr>
              <w:adjustRightInd w:val="0"/>
              <w:snapToGrid w:val="0"/>
              <w:spacing w:line="276" w:lineRule="auto"/>
              <w:rPr>
                <w:rFonts w:ascii="宋体" w:hAnsi="宋体"/>
                <w:color w:val="000000"/>
                <w:sz w:val="24"/>
                <w:szCs w:val="20"/>
                <w:u w:val="single"/>
              </w:rPr>
            </w:pPr>
            <w:r>
              <w:rPr>
                <w:rFonts w:hint="eastAsia" w:ascii="宋体" w:hAnsi="宋体"/>
                <w:color w:val="000000"/>
                <w:sz w:val="24"/>
                <w:szCs w:val="20"/>
                <w:u w:val="single"/>
              </w:rPr>
              <w:t>联系电话：</w:t>
            </w:r>
          </w:p>
        </w:tc>
        <w:tc>
          <w:tcPr>
            <w:tcW w:w="2268" w:type="dxa"/>
            <w:vAlign w:val="center"/>
          </w:tcPr>
          <w:p>
            <w:pPr>
              <w:adjustRightInd w:val="0"/>
              <w:snapToGrid w:val="0"/>
              <w:spacing w:line="276" w:lineRule="auto"/>
              <w:rPr>
                <w:rFonts w:ascii="宋体" w:hAnsi="宋体"/>
                <w:color w:val="000000"/>
                <w:sz w:val="24"/>
                <w:szCs w:val="20"/>
              </w:rPr>
            </w:pPr>
            <w:r>
              <w:rPr>
                <w:rFonts w:hint="eastAsia" w:ascii="宋体" w:hAnsi="宋体"/>
                <w:color w:val="000000"/>
                <w:sz w:val="24"/>
                <w:u w:val="single"/>
              </w:rPr>
              <w:t xml:space="preserve">                </w:t>
            </w:r>
          </w:p>
        </w:tc>
        <w:tc>
          <w:tcPr>
            <w:tcW w:w="2314" w:type="dxa"/>
            <w:vAlign w:val="center"/>
          </w:tcPr>
          <w:p>
            <w:pPr>
              <w:adjustRightInd w:val="0"/>
              <w:snapToGrid w:val="0"/>
              <w:spacing w:line="276" w:lineRule="auto"/>
              <w:rPr>
                <w:rFonts w:ascii="宋体" w:hAnsi="宋体"/>
                <w:color w:val="000000"/>
                <w:sz w:val="24"/>
                <w:szCs w:val="20"/>
                <w:u w:val="single"/>
              </w:rPr>
            </w:pPr>
            <w:r>
              <w:rPr>
                <w:rFonts w:hint="eastAsia" w:ascii="宋体" w:hAnsi="宋体"/>
                <w:color w:val="000000"/>
                <w:sz w:val="24"/>
                <w:szCs w:val="20"/>
                <w:u w:val="single"/>
              </w:rPr>
              <w:t>联系电话：</w:t>
            </w:r>
          </w:p>
        </w:tc>
        <w:tc>
          <w:tcPr>
            <w:tcW w:w="2131" w:type="dxa"/>
            <w:vAlign w:val="center"/>
          </w:tcPr>
          <w:p>
            <w:pPr>
              <w:adjustRightInd w:val="0"/>
              <w:snapToGrid w:val="0"/>
              <w:spacing w:line="276" w:lineRule="auto"/>
              <w:rPr>
                <w:rFonts w:ascii="宋体" w:hAnsi="宋体"/>
                <w:color w:val="000000"/>
                <w:sz w:val="24"/>
                <w:szCs w:val="20"/>
              </w:rPr>
            </w:pPr>
            <w:r>
              <w:rPr>
                <w:rFonts w:hint="eastAsia" w:ascii="宋体" w:hAnsi="宋体"/>
                <w:color w:val="00000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9" w:type="dxa"/>
            <w:vAlign w:val="center"/>
          </w:tcPr>
          <w:p>
            <w:pPr>
              <w:adjustRightInd w:val="0"/>
              <w:snapToGrid w:val="0"/>
              <w:spacing w:line="276" w:lineRule="auto"/>
              <w:rPr>
                <w:rFonts w:ascii="宋体" w:hAnsi="宋体"/>
                <w:color w:val="000000"/>
                <w:sz w:val="24"/>
                <w:szCs w:val="20"/>
                <w:u w:val="single"/>
              </w:rPr>
            </w:pPr>
            <w:r>
              <w:rPr>
                <w:rFonts w:hint="eastAsia" w:ascii="宋体" w:hAnsi="宋体"/>
                <w:color w:val="000000"/>
                <w:sz w:val="24"/>
                <w:u w:val="single"/>
              </w:rPr>
              <w:t>被授权人身份证号码：</w:t>
            </w:r>
          </w:p>
        </w:tc>
        <w:tc>
          <w:tcPr>
            <w:tcW w:w="6713" w:type="dxa"/>
            <w:gridSpan w:val="3"/>
            <w:vAlign w:val="center"/>
          </w:tcPr>
          <w:p>
            <w:pPr>
              <w:adjustRightInd w:val="0"/>
              <w:snapToGrid w:val="0"/>
              <w:spacing w:line="276" w:lineRule="auto"/>
              <w:rPr>
                <w:rFonts w:ascii="宋体" w:hAnsi="宋体"/>
                <w:color w:val="000000"/>
                <w:sz w:val="24"/>
                <w:szCs w:val="20"/>
              </w:rPr>
            </w:pPr>
            <w:r>
              <w:rPr>
                <w:rFonts w:hint="eastAsia" w:ascii="宋体" w:hAnsi="宋体"/>
                <w:color w:val="000000"/>
                <w:sz w:val="24"/>
                <w:u w:val="single"/>
              </w:rPr>
              <w:t xml:space="preserve">                             </w:t>
            </w:r>
          </w:p>
        </w:tc>
      </w:tr>
    </w:tbl>
    <w:p>
      <w:pPr>
        <w:adjustRightInd w:val="0"/>
        <w:snapToGrid w:val="0"/>
        <w:spacing w:line="440" w:lineRule="exact"/>
        <w:rPr>
          <w:rFonts w:ascii="宋体" w:hAnsi="宋体"/>
          <w:color w:val="000000"/>
          <w:sz w:val="24"/>
          <w:szCs w:val="24"/>
          <w:u w:val="single"/>
        </w:rPr>
      </w:pPr>
      <w:r>
        <w:rPr>
          <w:rFonts w:hint="eastAsia" w:ascii="宋体" w:hAnsi="宋体"/>
          <w:color w:val="000000"/>
          <w:sz w:val="24"/>
        </w:rPr>
        <w:t xml:space="preserve">                 </w:t>
      </w:r>
    </w:p>
    <w:p>
      <w:pPr>
        <w:adjustRightInd w:val="0"/>
        <w:snapToGrid w:val="0"/>
        <w:spacing w:line="440" w:lineRule="exact"/>
        <w:rPr>
          <w:rFonts w:ascii="宋体" w:hAnsi="宋体"/>
          <w:color w:val="000000"/>
          <w:sz w:val="24"/>
          <w:szCs w:val="20"/>
        </w:rPr>
      </w:pPr>
      <w:r>
        <w:rPr>
          <w:rFonts w:hint="eastAsia" w:ascii="宋体" w:hAnsi="宋体"/>
          <w:color w:val="000000"/>
          <w:sz w:val="24"/>
        </w:rPr>
        <w:t xml:space="preserve">                                      </w:t>
      </w:r>
      <w:r>
        <w:rPr>
          <w:rFonts w:hint="eastAsia" w:ascii="宋体" w:hAnsi="宋体" w:cs="宋体"/>
          <w:color w:val="000000"/>
          <w:sz w:val="24"/>
        </w:rPr>
        <w:t>响应供应商（盖章）：</w:t>
      </w:r>
      <w:r>
        <w:rPr>
          <w:rFonts w:hint="eastAsia" w:ascii="宋体" w:hAnsi="宋体" w:cs="宋体"/>
          <w:color w:val="000000"/>
          <w:sz w:val="24"/>
          <w:u w:val="single"/>
        </w:rPr>
        <w:t xml:space="preserve">               </w:t>
      </w:r>
    </w:p>
    <w:p>
      <w:pPr>
        <w:adjustRightInd w:val="0"/>
        <w:snapToGrid w:val="0"/>
        <w:spacing w:line="440" w:lineRule="exact"/>
        <w:jc w:val="center"/>
        <w:rPr>
          <w:rFonts w:ascii="宋体" w:hAnsi="宋体"/>
          <w:color w:val="000000"/>
          <w:sz w:val="24"/>
          <w:szCs w:val="20"/>
        </w:rPr>
      </w:pPr>
      <w:r>
        <w:rPr>
          <w:rFonts w:hint="eastAsia" w:ascii="宋体" w:hAnsi="宋体"/>
          <w:color w:val="000000"/>
          <w:sz w:val="24"/>
        </w:rPr>
        <w:t xml:space="preserve">                                        年    月    日</w:t>
      </w:r>
    </w:p>
    <w:p>
      <w:pPr>
        <w:snapToGrid w:val="0"/>
        <w:spacing w:before="156" w:beforeLines="50" w:after="50"/>
        <w:rPr>
          <w:rFonts w:ascii="宋体" w:hAnsi="宋体"/>
          <w:color w:val="000000"/>
          <w:sz w:val="24"/>
          <w:szCs w:val="24"/>
        </w:rPr>
      </w:pPr>
      <w:r>
        <w:rPr>
          <w:rFonts w:hint="eastAsia" w:ascii="宋体" w:hAnsi="宋体"/>
          <w:color w:val="000000"/>
          <w:sz w:val="24"/>
        </w:rPr>
        <w:t>法定代表人身份证扫描件：</w:t>
      </w:r>
    </w:p>
    <w:p>
      <w:pPr>
        <w:snapToGrid w:val="0"/>
        <w:spacing w:before="156" w:beforeLines="50" w:after="50"/>
        <w:rPr>
          <w:rFonts w:ascii="宋体" w:hAnsi="宋体"/>
          <w:color w:val="000000"/>
          <w:sz w:val="24"/>
        </w:rPr>
      </w:pPr>
    </w:p>
    <w:p>
      <w:pPr>
        <w:snapToGrid w:val="0"/>
        <w:spacing w:before="156" w:beforeLines="50" w:after="50"/>
        <w:rPr>
          <w:rFonts w:ascii="宋体" w:hAnsi="宋体"/>
          <w:color w:val="000000"/>
          <w:sz w:val="24"/>
        </w:rPr>
      </w:pPr>
    </w:p>
    <w:p>
      <w:pPr>
        <w:snapToGrid w:val="0"/>
        <w:spacing w:before="156" w:beforeLines="50" w:after="50"/>
        <w:rPr>
          <w:rFonts w:ascii="宋体" w:hAnsi="宋体"/>
          <w:color w:val="000000"/>
          <w:sz w:val="24"/>
        </w:rPr>
      </w:pPr>
      <w:r>
        <w:rPr>
          <w:rFonts w:hint="eastAsia" w:ascii="宋体" w:hAnsi="宋体"/>
          <w:color w:val="000000"/>
          <w:sz w:val="24"/>
        </w:rPr>
        <w:t>被授权人身份证扫描件：</w:t>
      </w:r>
    </w:p>
    <w:p>
      <w:pPr>
        <w:snapToGrid w:val="0"/>
        <w:spacing w:before="156" w:beforeLines="50" w:after="50"/>
        <w:rPr>
          <w:rFonts w:ascii="宋体" w:hAnsi="宋体"/>
          <w:color w:val="000000"/>
          <w:sz w:val="24"/>
        </w:rPr>
      </w:pPr>
    </w:p>
    <w:p>
      <w:pPr>
        <w:snapToGrid w:val="0"/>
        <w:spacing w:before="156" w:beforeLines="50" w:after="50"/>
        <w:rPr>
          <w:rFonts w:ascii="宋体" w:hAnsi="宋体"/>
          <w:color w:val="000000"/>
          <w:sz w:val="24"/>
        </w:rPr>
      </w:pPr>
    </w:p>
    <w:p/>
    <w:p/>
    <w:p>
      <w:pPr>
        <w:pStyle w:val="3"/>
        <w:spacing w:before="0" w:after="0" w:line="360" w:lineRule="auto"/>
        <w:ind w:firstLine="424" w:firstLineChars="151"/>
        <w:rPr>
          <w:sz w:val="28"/>
        </w:rPr>
      </w:pPr>
      <w:r>
        <w:rPr>
          <w:rFonts w:hint="eastAsia"/>
          <w:sz w:val="28"/>
        </w:rPr>
        <w:t>4.中小企业声明函格式（如有，请放置于报价文件当中）</w:t>
      </w:r>
    </w:p>
    <w:p>
      <w:pPr>
        <w:snapToGrid w:val="0"/>
        <w:spacing w:before="156" w:beforeLines="50" w:after="50"/>
        <w:jc w:val="center"/>
        <w:rPr>
          <w:rFonts w:ascii="宋体" w:hAnsi="宋体" w:eastAsia="宋体" w:cs="宋体"/>
          <w:bCs/>
          <w:szCs w:val="21"/>
        </w:rPr>
      </w:pPr>
      <w:bookmarkStart w:id="10" w:name="_Toc12251"/>
      <w:r>
        <w:rPr>
          <w:rFonts w:hint="eastAsia" w:ascii="宋体" w:hAnsi="宋体" w:eastAsia="宋体" w:cs="宋体"/>
          <w:sz w:val="24"/>
          <w:szCs w:val="24"/>
        </w:rPr>
        <w:t xml:space="preserve">    </w:t>
      </w:r>
      <w:r>
        <w:rPr>
          <w:rFonts w:hint="eastAsia" w:ascii="宋体" w:hAnsi="宋体"/>
          <w:b/>
          <w:color w:val="000000"/>
          <w:sz w:val="24"/>
        </w:rPr>
        <w:t>中小企业声明函（工程、服务）</w:t>
      </w:r>
      <w:bookmarkEnd w:id="10"/>
    </w:p>
    <w:p>
      <w:pPr>
        <w:snapToGrid w:val="0"/>
        <w:spacing w:before="156" w:beforeLines="50" w:after="50" w:line="440" w:lineRule="exact"/>
        <w:ind w:firstLine="480" w:firstLineChars="200"/>
        <w:rPr>
          <w:rFonts w:hAnsi="宋体" w:cs="宋体"/>
          <w:color w:val="000000"/>
          <w:sz w:val="24"/>
        </w:rPr>
      </w:pPr>
      <w:r>
        <w:rPr>
          <w:rFonts w:hint="eastAsia" w:hAnsi="宋体" w:cs="宋体"/>
          <w:color w:val="000000"/>
          <w:sz w:val="24"/>
        </w:rPr>
        <w:t>本公司（联合体）郑重声明，根据《政府采购促进中小企业发展管理办法》（财库﹝2020﹞46号）的规定，本公司（联合体）参加</w:t>
      </w:r>
      <w:r>
        <w:rPr>
          <w:rFonts w:hint="eastAsia" w:hAnsi="宋体" w:cs="宋体"/>
          <w:color w:val="000000"/>
          <w:sz w:val="24"/>
          <w:u w:val="single"/>
        </w:rPr>
        <w:t xml:space="preserve">            （单位名称）</w:t>
      </w:r>
      <w:r>
        <w:rPr>
          <w:rFonts w:hint="eastAsia" w:hAnsi="宋体" w:cs="宋体"/>
          <w:color w:val="000000"/>
          <w:sz w:val="24"/>
        </w:rPr>
        <w:t>的</w:t>
      </w:r>
      <w:r>
        <w:rPr>
          <w:rFonts w:hint="eastAsia" w:hAnsi="宋体" w:cs="宋体"/>
          <w:color w:val="000000"/>
          <w:sz w:val="24"/>
          <w:u w:val="single"/>
        </w:rPr>
        <w:t xml:space="preserve">          （项目名称）</w:t>
      </w:r>
      <w:r>
        <w:rPr>
          <w:rFonts w:hint="eastAsia" w:hAnsi="宋体" w:cs="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before="156" w:beforeLines="50" w:after="50" w:line="440" w:lineRule="exact"/>
        <w:ind w:firstLine="480" w:firstLineChars="200"/>
        <w:rPr>
          <w:rFonts w:hAnsi="宋体" w:cs="宋体"/>
          <w:color w:val="000000"/>
          <w:sz w:val="24"/>
        </w:rPr>
      </w:pPr>
      <w:r>
        <w:rPr>
          <w:rFonts w:hint="eastAsia" w:hAnsi="宋体" w:cs="宋体"/>
          <w:color w:val="000000"/>
          <w:sz w:val="24"/>
        </w:rPr>
        <w:t>1.</w:t>
      </w:r>
      <w:r>
        <w:rPr>
          <w:rFonts w:hint="eastAsia" w:hAnsi="宋体" w:cs="宋体"/>
          <w:color w:val="000000"/>
          <w:sz w:val="24"/>
          <w:u w:val="single"/>
        </w:rPr>
        <w:t xml:space="preserve">       （标的名称）</w:t>
      </w:r>
      <w:r>
        <w:rPr>
          <w:rFonts w:hint="eastAsia" w:hAnsi="宋体" w:cs="宋体"/>
          <w:color w:val="000000"/>
          <w:sz w:val="24"/>
        </w:rPr>
        <w:t>，属于</w:t>
      </w:r>
      <w:r>
        <w:rPr>
          <w:rFonts w:hint="eastAsia" w:hAnsi="宋体" w:cs="宋体"/>
          <w:color w:val="000000"/>
          <w:sz w:val="24"/>
          <w:u w:val="single"/>
        </w:rPr>
        <w:t xml:space="preserve">     （采购文件中明确的所属行业）</w:t>
      </w:r>
      <w:r>
        <w:rPr>
          <w:rFonts w:hint="eastAsia" w:hAnsi="宋体" w:cs="宋体"/>
          <w:color w:val="000000"/>
          <w:sz w:val="24"/>
        </w:rPr>
        <w:t>；承建（承接）企业为</w:t>
      </w:r>
      <w:r>
        <w:rPr>
          <w:rFonts w:hint="eastAsia" w:hAnsi="宋体" w:cs="宋体"/>
          <w:color w:val="000000"/>
          <w:sz w:val="24"/>
          <w:u w:val="single"/>
        </w:rPr>
        <w:t xml:space="preserve">      （企业名称）</w:t>
      </w:r>
      <w:r>
        <w:rPr>
          <w:rFonts w:hint="eastAsia" w:hAnsi="宋体" w:cs="宋体"/>
          <w:color w:val="000000"/>
          <w:sz w:val="24"/>
        </w:rPr>
        <w:t>，从业人员</w:t>
      </w:r>
      <w:r>
        <w:rPr>
          <w:rFonts w:hint="eastAsia" w:hAnsi="宋体" w:cs="宋体"/>
          <w:color w:val="000000"/>
          <w:sz w:val="24"/>
          <w:u w:val="single"/>
        </w:rPr>
        <w:t xml:space="preserve">     </w:t>
      </w:r>
      <w:r>
        <w:rPr>
          <w:rFonts w:hint="eastAsia" w:hAnsi="宋体" w:cs="宋体"/>
          <w:color w:val="000000"/>
          <w:sz w:val="24"/>
        </w:rPr>
        <w:t>人，营业收入为</w:t>
      </w:r>
      <w:r>
        <w:rPr>
          <w:rFonts w:hint="eastAsia" w:hAnsi="宋体" w:cs="宋体"/>
          <w:color w:val="000000"/>
          <w:sz w:val="24"/>
          <w:u w:val="single"/>
        </w:rPr>
        <w:t xml:space="preserve">     </w:t>
      </w:r>
      <w:r>
        <w:rPr>
          <w:rFonts w:hint="eastAsia" w:hAnsi="宋体" w:cs="宋体"/>
          <w:color w:val="000000"/>
          <w:sz w:val="24"/>
        </w:rPr>
        <w:t>万元，资产总额为</w:t>
      </w:r>
      <w:r>
        <w:rPr>
          <w:rFonts w:hint="eastAsia" w:hAnsi="宋体" w:cs="宋体"/>
          <w:color w:val="000000"/>
          <w:sz w:val="24"/>
          <w:u w:val="single"/>
        </w:rPr>
        <w:t xml:space="preserve">     </w:t>
      </w:r>
      <w:r>
        <w:rPr>
          <w:rFonts w:hint="eastAsia" w:hAnsi="宋体" w:cs="宋体"/>
          <w:color w:val="000000"/>
          <w:sz w:val="24"/>
        </w:rPr>
        <w:t>万元</w:t>
      </w:r>
      <w:r>
        <w:rPr>
          <w:rFonts w:hint="eastAsia" w:hAnsi="宋体" w:cs="宋体"/>
          <w:color w:val="000000"/>
          <w:sz w:val="24"/>
          <w:vertAlign w:val="superscript"/>
        </w:rPr>
        <w:t>1</w:t>
      </w:r>
      <w:r>
        <w:rPr>
          <w:rFonts w:hint="eastAsia" w:hAnsi="宋体" w:cs="宋体"/>
          <w:color w:val="000000"/>
          <w:sz w:val="24"/>
        </w:rPr>
        <w:t>，属于</w:t>
      </w:r>
      <w:r>
        <w:rPr>
          <w:rFonts w:hint="eastAsia" w:hAnsi="宋体" w:cs="宋体"/>
          <w:color w:val="000000"/>
          <w:sz w:val="24"/>
          <w:u w:val="single"/>
        </w:rPr>
        <w:t xml:space="preserve">       （中型企业、小型企业、微型企业）</w:t>
      </w:r>
      <w:r>
        <w:rPr>
          <w:rFonts w:hint="eastAsia" w:hAnsi="宋体" w:cs="宋体"/>
          <w:color w:val="000000"/>
          <w:sz w:val="24"/>
        </w:rPr>
        <w:t>；</w:t>
      </w:r>
    </w:p>
    <w:p>
      <w:pPr>
        <w:snapToGrid w:val="0"/>
        <w:spacing w:before="156" w:beforeLines="50" w:after="50" w:line="440" w:lineRule="exact"/>
        <w:ind w:firstLine="480" w:firstLineChars="200"/>
        <w:rPr>
          <w:rFonts w:hAnsi="宋体" w:cs="宋体"/>
          <w:color w:val="000000"/>
          <w:sz w:val="24"/>
        </w:rPr>
      </w:pPr>
      <w:r>
        <w:rPr>
          <w:rFonts w:hint="eastAsia" w:hAnsi="宋体" w:cs="宋体"/>
          <w:color w:val="000000"/>
          <w:sz w:val="24"/>
        </w:rPr>
        <w:t>2.</w:t>
      </w:r>
      <w:r>
        <w:rPr>
          <w:rFonts w:hint="eastAsia" w:hAnsi="宋体" w:cs="宋体"/>
          <w:color w:val="000000"/>
          <w:sz w:val="24"/>
          <w:u w:val="single"/>
        </w:rPr>
        <w:t xml:space="preserve">       （标的名称）</w:t>
      </w:r>
      <w:r>
        <w:rPr>
          <w:rFonts w:hint="eastAsia" w:hAnsi="宋体" w:cs="宋体"/>
          <w:color w:val="000000"/>
          <w:sz w:val="24"/>
        </w:rPr>
        <w:t>，属于</w:t>
      </w:r>
      <w:r>
        <w:rPr>
          <w:rFonts w:hint="eastAsia" w:hAnsi="宋体" w:cs="宋体"/>
          <w:color w:val="000000"/>
          <w:sz w:val="24"/>
          <w:u w:val="single"/>
        </w:rPr>
        <w:t xml:space="preserve">     （采购文件中明确的所属行业）</w:t>
      </w:r>
      <w:r>
        <w:rPr>
          <w:rFonts w:hint="eastAsia" w:hAnsi="宋体" w:cs="宋体"/>
          <w:color w:val="000000"/>
          <w:sz w:val="24"/>
        </w:rPr>
        <w:t>；承建（承接）企业为</w:t>
      </w:r>
      <w:r>
        <w:rPr>
          <w:rFonts w:hint="eastAsia" w:hAnsi="宋体" w:cs="宋体"/>
          <w:color w:val="000000"/>
          <w:sz w:val="24"/>
          <w:u w:val="single"/>
        </w:rPr>
        <w:t xml:space="preserve">      （企业名称）</w:t>
      </w:r>
      <w:r>
        <w:rPr>
          <w:rFonts w:hint="eastAsia" w:hAnsi="宋体" w:cs="宋体"/>
          <w:color w:val="000000"/>
          <w:sz w:val="24"/>
        </w:rPr>
        <w:t>，从业人员</w:t>
      </w:r>
      <w:r>
        <w:rPr>
          <w:rFonts w:hint="eastAsia" w:hAnsi="宋体" w:cs="宋体"/>
          <w:color w:val="000000"/>
          <w:sz w:val="24"/>
          <w:u w:val="single"/>
        </w:rPr>
        <w:t xml:space="preserve">     </w:t>
      </w:r>
      <w:r>
        <w:rPr>
          <w:rFonts w:hint="eastAsia" w:hAnsi="宋体" w:cs="宋体"/>
          <w:color w:val="000000"/>
          <w:sz w:val="24"/>
        </w:rPr>
        <w:t>人，营业收入为</w:t>
      </w:r>
      <w:r>
        <w:rPr>
          <w:rFonts w:hint="eastAsia" w:hAnsi="宋体" w:cs="宋体"/>
          <w:color w:val="000000"/>
          <w:sz w:val="24"/>
          <w:u w:val="single"/>
        </w:rPr>
        <w:t xml:space="preserve">     </w:t>
      </w:r>
      <w:r>
        <w:rPr>
          <w:rFonts w:hint="eastAsia" w:hAnsi="宋体" w:cs="宋体"/>
          <w:color w:val="000000"/>
          <w:sz w:val="24"/>
        </w:rPr>
        <w:t>万元，资产总额为</w:t>
      </w:r>
      <w:r>
        <w:rPr>
          <w:rFonts w:hint="eastAsia" w:hAnsi="宋体" w:cs="宋体"/>
          <w:color w:val="000000"/>
          <w:sz w:val="24"/>
          <w:u w:val="single"/>
        </w:rPr>
        <w:t xml:space="preserve">     </w:t>
      </w:r>
      <w:r>
        <w:rPr>
          <w:rFonts w:hint="eastAsia" w:hAnsi="宋体" w:cs="宋体"/>
          <w:color w:val="000000"/>
          <w:sz w:val="24"/>
        </w:rPr>
        <w:t>万元，属于</w:t>
      </w:r>
      <w:r>
        <w:rPr>
          <w:rFonts w:hint="eastAsia" w:hAnsi="宋体" w:cs="宋体"/>
          <w:color w:val="000000"/>
          <w:sz w:val="24"/>
          <w:u w:val="single"/>
        </w:rPr>
        <w:t xml:space="preserve">        （中型企业、小型企业、微型企业）</w:t>
      </w:r>
      <w:r>
        <w:rPr>
          <w:rFonts w:hint="eastAsia" w:hAnsi="宋体" w:cs="宋体"/>
          <w:color w:val="000000"/>
          <w:sz w:val="24"/>
        </w:rPr>
        <w:t>；</w:t>
      </w:r>
    </w:p>
    <w:p>
      <w:pPr>
        <w:snapToGrid w:val="0"/>
        <w:spacing w:before="156" w:beforeLines="50" w:after="50" w:line="440" w:lineRule="exact"/>
        <w:ind w:firstLine="480" w:firstLineChars="200"/>
        <w:rPr>
          <w:rFonts w:hAnsi="宋体" w:cs="宋体"/>
          <w:color w:val="000000"/>
          <w:sz w:val="24"/>
        </w:rPr>
      </w:pPr>
      <w:r>
        <w:rPr>
          <w:rFonts w:hint="eastAsia" w:hAnsi="宋体" w:cs="宋体"/>
          <w:color w:val="000000"/>
          <w:sz w:val="24"/>
        </w:rPr>
        <w:t>……</w:t>
      </w:r>
    </w:p>
    <w:p>
      <w:pPr>
        <w:snapToGrid w:val="0"/>
        <w:spacing w:before="156" w:beforeLines="50" w:after="50" w:line="440" w:lineRule="exact"/>
        <w:ind w:firstLine="480" w:firstLineChars="200"/>
        <w:rPr>
          <w:rFonts w:hAnsi="宋体" w:cs="宋体"/>
          <w:color w:val="000000"/>
          <w:sz w:val="24"/>
        </w:rPr>
      </w:pPr>
      <w:r>
        <w:rPr>
          <w:rFonts w:hint="eastAsia" w:hAnsi="宋体" w:cs="宋体"/>
          <w:color w:val="000000"/>
          <w:sz w:val="24"/>
        </w:rPr>
        <w:t>以上企业，不属于大企业的分支机构，不存在控股股东为大企业的情形，也不存在与大企业的负责人为同一人的情形。</w:t>
      </w:r>
    </w:p>
    <w:p>
      <w:pPr>
        <w:snapToGrid w:val="0"/>
        <w:spacing w:before="156" w:beforeLines="50" w:after="50" w:line="440" w:lineRule="exact"/>
        <w:ind w:firstLine="480" w:firstLineChars="200"/>
        <w:rPr>
          <w:rFonts w:hAnsi="宋体" w:cs="宋体"/>
          <w:color w:val="000000"/>
          <w:sz w:val="24"/>
        </w:rPr>
      </w:pPr>
      <w:r>
        <w:rPr>
          <w:rFonts w:hint="eastAsia" w:hAnsi="宋体" w:cs="宋体"/>
          <w:color w:val="000000"/>
          <w:sz w:val="24"/>
        </w:rPr>
        <w:t>本企业对上述声明内容的真实性负责。如有虚假，将依法承担相应责任。</w:t>
      </w:r>
    </w:p>
    <w:p>
      <w:pPr>
        <w:snapToGrid w:val="0"/>
        <w:spacing w:before="156" w:beforeLines="50" w:after="50" w:line="440" w:lineRule="exact"/>
        <w:ind w:firstLine="480" w:firstLineChars="200"/>
        <w:rPr>
          <w:rFonts w:hAnsi="宋体" w:cs="宋体"/>
          <w:color w:val="000000"/>
          <w:sz w:val="24"/>
          <w:u w:val="single"/>
        </w:rPr>
      </w:pPr>
      <w:r>
        <w:rPr>
          <w:rFonts w:hint="eastAsia" w:hAnsi="宋体" w:cs="宋体"/>
          <w:color w:val="000000"/>
          <w:sz w:val="24"/>
        </w:rPr>
        <w:t xml:space="preserve">                           企业名称（盖章）： </w:t>
      </w:r>
      <w:r>
        <w:rPr>
          <w:rFonts w:hint="eastAsia" w:hAnsi="宋体" w:cs="宋体"/>
          <w:color w:val="000000"/>
          <w:sz w:val="24"/>
          <w:u w:val="single"/>
        </w:rPr>
        <w:t xml:space="preserve">            </w:t>
      </w:r>
    </w:p>
    <w:p>
      <w:pPr>
        <w:snapToGrid w:val="0"/>
        <w:spacing w:before="156" w:beforeLines="50" w:after="50" w:line="440" w:lineRule="exact"/>
        <w:ind w:firstLine="480" w:firstLineChars="200"/>
        <w:rPr>
          <w:rFonts w:hAnsi="宋体" w:cs="宋体"/>
          <w:color w:val="000000"/>
          <w:sz w:val="24"/>
          <w:u w:val="single"/>
        </w:rPr>
      </w:pPr>
      <w:r>
        <w:rPr>
          <w:rFonts w:hint="eastAsia" w:hAnsi="宋体" w:cs="宋体"/>
          <w:color w:val="000000"/>
          <w:sz w:val="24"/>
        </w:rPr>
        <w:t xml:space="preserve">                           日 期：</w:t>
      </w:r>
      <w:r>
        <w:rPr>
          <w:rFonts w:hint="eastAsia" w:hAnsi="宋体" w:cs="宋体"/>
          <w:color w:val="000000"/>
          <w:sz w:val="24"/>
          <w:u w:val="single"/>
        </w:rPr>
        <w:t xml:space="preserve">            </w:t>
      </w:r>
      <w:bookmarkStart w:id="11" w:name="_Toc12095"/>
    </w:p>
    <w:p>
      <w:pPr>
        <w:snapToGrid w:val="0"/>
        <w:spacing w:before="156" w:beforeLines="50" w:after="50" w:line="440" w:lineRule="exact"/>
        <w:ind w:firstLine="480" w:firstLineChars="200"/>
        <w:rPr>
          <w:rFonts w:hAnsi="宋体" w:cs="宋体"/>
          <w:color w:val="000000"/>
          <w:sz w:val="24"/>
          <w:u w:val="single"/>
        </w:rPr>
      </w:pPr>
      <w:r>
        <w:rPr>
          <w:rFonts w:hint="eastAsia" w:hAnsi="宋体" w:cs="宋体"/>
          <w:color w:val="000000"/>
          <w:sz w:val="24"/>
          <w:u w:val="single"/>
        </w:rPr>
        <mc:AlternateContent>
          <mc:Choice Requires="wps">
            <w:drawing>
              <wp:anchor distT="0" distB="0" distL="114300" distR="114300" simplePos="0" relativeHeight="251659264" behindDoc="0" locked="0" layoutInCell="1" allowOverlap="1">
                <wp:simplePos x="0" y="0"/>
                <wp:positionH relativeFrom="column">
                  <wp:posOffset>314325</wp:posOffset>
                </wp:positionH>
                <wp:positionV relativeFrom="paragraph">
                  <wp:posOffset>305435</wp:posOffset>
                </wp:positionV>
                <wp:extent cx="188595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75pt;margin-top:24.05pt;height:0pt;width:148.5pt;z-index:251659264;mso-width-relative:page;mso-height-relative:page;" filled="f" stroked="t" coordsize="21600,21600" o:gfxdata="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LmzQbWAAAACAEAAA8AAAAAAAAAAQAgAAAA&#10;IgAAAGRycy9kb3ducmV2LnhtbFBLAQIUABQAAAAIAIdO4kCseSGS1AEAAIUDAAAOAAAAAAAAAAEA&#10;IAAAACUBAABkcnMvZTJvRG9jLnhtbFBLBQYAAAAABgAGAFkBAABrBQAAAAA=&#10;">
                <v:fill on="f" focussize="0,0"/>
                <v:stroke color="#000000 [3200]" joinstyle="round"/>
                <v:imagedata o:title=""/>
                <o:lock v:ext="edit" aspectratio="f"/>
              </v:line>
            </w:pict>
          </mc:Fallback>
        </mc:AlternateContent>
      </w:r>
    </w:p>
    <w:p>
      <w:pPr>
        <w:snapToGrid w:val="0"/>
        <w:spacing w:before="156" w:beforeLines="50" w:after="50" w:line="440" w:lineRule="exact"/>
        <w:ind w:firstLine="480" w:firstLineChars="200"/>
        <w:rPr>
          <w:rFonts w:hAnsi="宋体" w:cs="宋体"/>
          <w:color w:val="000000"/>
          <w:sz w:val="24"/>
        </w:rPr>
      </w:pPr>
      <w:r>
        <w:rPr>
          <w:rFonts w:hint="eastAsia" w:hAnsi="宋体" w:cs="宋体"/>
          <w:color w:val="000000"/>
          <w:sz w:val="24"/>
          <w:vertAlign w:val="superscript"/>
        </w:rPr>
        <w:t>1</w:t>
      </w:r>
      <w:r>
        <w:rPr>
          <w:rFonts w:hAnsi="宋体" w:cs="宋体"/>
          <w:color w:val="000000"/>
          <w:sz w:val="24"/>
        </w:rPr>
        <w:t>从业人员、营业收入、资产总额填报上一年度数据，无上一年度数据的新成立企业可不填报。</w:t>
      </w:r>
    </w:p>
    <w:p>
      <w:pPr>
        <w:snapToGrid w:val="0"/>
        <w:spacing w:before="156" w:beforeLines="50" w:after="50" w:line="440" w:lineRule="exact"/>
        <w:ind w:firstLine="560" w:firstLineChars="200"/>
        <w:rPr>
          <w:rFonts w:ascii="宋体" w:hAnsi="宋体" w:cs="宋体"/>
          <w:sz w:val="28"/>
          <w:szCs w:val="28"/>
        </w:rPr>
        <w:sectPr>
          <w:pgSz w:w="11906" w:h="16838"/>
          <w:pgMar w:top="1440" w:right="1800" w:bottom="1440" w:left="1800" w:header="851" w:footer="992" w:gutter="0"/>
          <w:cols w:space="425" w:num="1"/>
          <w:docGrid w:type="lines" w:linePitch="312" w:charSpace="0"/>
        </w:sectPr>
      </w:pPr>
    </w:p>
    <w:bookmarkEnd w:id="11"/>
    <w:p>
      <w:pPr>
        <w:pStyle w:val="3"/>
        <w:spacing w:before="0" w:after="0" w:line="360" w:lineRule="auto"/>
        <w:ind w:firstLine="424" w:firstLineChars="151"/>
        <w:rPr>
          <w:sz w:val="28"/>
        </w:rPr>
      </w:pPr>
      <w:r>
        <w:rPr>
          <w:rFonts w:hint="eastAsia"/>
          <w:sz w:val="28"/>
        </w:rPr>
        <w:t>5.残疾人福利性单位声明函格式（如有，请放置于报价文件当中）</w:t>
      </w:r>
    </w:p>
    <w:p>
      <w:pPr>
        <w:rPr>
          <w:rFonts w:ascii="宋体" w:hAnsi="宋体"/>
          <w:sz w:val="24"/>
        </w:rPr>
      </w:pPr>
    </w:p>
    <w:p>
      <w:pPr>
        <w:snapToGrid w:val="0"/>
        <w:spacing w:before="156" w:beforeLines="50" w:after="50"/>
        <w:jc w:val="center"/>
        <w:rPr>
          <w:rFonts w:ascii="宋体" w:hAnsi="宋体"/>
          <w:b/>
          <w:color w:val="000000"/>
          <w:sz w:val="24"/>
        </w:rPr>
      </w:pPr>
      <w:bookmarkStart w:id="12" w:name="_Toc1258"/>
      <w:bookmarkStart w:id="13" w:name="_Toc2674"/>
      <w:bookmarkStart w:id="14" w:name="_Toc16470"/>
      <w:bookmarkStart w:id="15" w:name="_Toc9710"/>
      <w:r>
        <w:rPr>
          <w:rFonts w:hint="eastAsia" w:ascii="宋体" w:hAnsi="宋体"/>
          <w:b/>
          <w:color w:val="000000"/>
          <w:sz w:val="24"/>
        </w:rPr>
        <w:t>残疾人福利性单位声明函</w:t>
      </w:r>
      <w:bookmarkEnd w:id="12"/>
      <w:bookmarkEnd w:id="13"/>
      <w:bookmarkEnd w:id="14"/>
      <w:bookmarkEnd w:id="15"/>
    </w:p>
    <w:p>
      <w:pPr>
        <w:spacing w:line="600" w:lineRule="exact"/>
        <w:ind w:firstLine="480" w:firstLineChars="200"/>
        <w:rPr>
          <w:rFonts w:hAnsi="宋体" w:cs="宋体"/>
          <w:color w:val="000000"/>
          <w:sz w:val="24"/>
        </w:rPr>
      </w:pPr>
      <w:r>
        <w:rPr>
          <w:rFonts w:hint="eastAsia" w:hAnsi="宋体" w:cs="宋体"/>
          <w:color w:val="000000"/>
          <w:sz w:val="24"/>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000000"/>
          <w:sz w:val="24"/>
          <w:u w:val="single"/>
        </w:rPr>
        <w:t xml:space="preserve">           </w:t>
      </w:r>
      <w:r>
        <w:rPr>
          <w:rFonts w:hint="eastAsia" w:hAnsi="宋体" w:cs="宋体"/>
          <w:color w:val="000000"/>
          <w:sz w:val="24"/>
        </w:rPr>
        <w:t>单位的</w:t>
      </w:r>
      <w:r>
        <w:rPr>
          <w:rFonts w:hint="eastAsia" w:hAnsi="宋体" w:cs="宋体"/>
          <w:color w:val="000000"/>
          <w:sz w:val="24"/>
          <w:u w:val="single"/>
        </w:rPr>
        <w:t xml:space="preserve">           </w:t>
      </w:r>
      <w:r>
        <w:rPr>
          <w:rFonts w:hint="eastAsia" w:hAnsi="宋体" w:cs="宋体"/>
          <w:color w:val="000000"/>
          <w:sz w:val="24"/>
        </w:rPr>
        <w:t>项目采购活动提供本单位制造的货物（由本单位承担工程/提供服务），或者提供其他残疾人福利性单位制造的货物（不包括使用非残疾人福利性单位注册商标的货物）。</w:t>
      </w:r>
    </w:p>
    <w:p>
      <w:pPr>
        <w:spacing w:line="600" w:lineRule="exact"/>
        <w:ind w:firstLine="480" w:firstLineChars="200"/>
        <w:rPr>
          <w:rFonts w:hAnsi="宋体" w:cs="宋体"/>
          <w:color w:val="000000"/>
          <w:sz w:val="24"/>
        </w:rPr>
      </w:pPr>
      <w:r>
        <w:rPr>
          <w:rFonts w:hint="eastAsia" w:hAnsi="宋体" w:cs="宋体"/>
          <w:color w:val="000000"/>
          <w:sz w:val="24"/>
        </w:rPr>
        <w:t>本单位对上述声明的真实性负责。如有虚假，将依法承担相应责任。</w:t>
      </w:r>
    </w:p>
    <w:p>
      <w:pPr>
        <w:spacing w:line="600" w:lineRule="exact"/>
        <w:ind w:firstLine="480" w:firstLineChars="200"/>
        <w:jc w:val="center"/>
        <w:rPr>
          <w:rFonts w:hAnsi="宋体" w:cs="宋体"/>
          <w:color w:val="000000"/>
          <w:sz w:val="24"/>
          <w:u w:val="single"/>
        </w:rPr>
      </w:pPr>
      <w:r>
        <w:rPr>
          <w:rFonts w:hint="eastAsia" w:hAnsi="宋体" w:cs="宋体"/>
          <w:color w:val="000000"/>
          <w:sz w:val="24"/>
        </w:rPr>
        <w:t xml:space="preserve">单位名称（盖章）： </w:t>
      </w:r>
      <w:r>
        <w:rPr>
          <w:rFonts w:hint="eastAsia" w:hAnsi="宋体" w:cs="宋体"/>
          <w:color w:val="000000"/>
          <w:sz w:val="24"/>
          <w:u w:val="single"/>
        </w:rPr>
        <w:t xml:space="preserve">          </w:t>
      </w:r>
    </w:p>
    <w:p>
      <w:pPr>
        <w:spacing w:line="600" w:lineRule="exact"/>
        <w:ind w:firstLine="480" w:firstLineChars="200"/>
        <w:jc w:val="center"/>
        <w:rPr>
          <w:rFonts w:hAnsi="宋体" w:cs="宋体"/>
          <w:color w:val="000000"/>
          <w:sz w:val="24"/>
          <w:u w:val="single"/>
        </w:rPr>
      </w:pPr>
      <w:r>
        <w:rPr>
          <w:rFonts w:hint="eastAsia" w:hAnsi="宋体" w:cs="宋体"/>
          <w:color w:val="000000"/>
          <w:sz w:val="24"/>
        </w:rPr>
        <w:t>日  期：</w:t>
      </w:r>
      <w:r>
        <w:rPr>
          <w:rFonts w:hint="eastAsia" w:hAnsi="宋体" w:cs="宋体"/>
          <w:color w:val="000000"/>
          <w:sz w:val="24"/>
          <w:u w:val="single"/>
        </w:rPr>
        <w:t xml:space="preserve">                </w:t>
      </w:r>
    </w:p>
    <w:p>
      <w:pPr>
        <w:snapToGrid w:val="0"/>
        <w:spacing w:line="400" w:lineRule="exact"/>
        <w:jc w:val="left"/>
        <w:rPr>
          <w:rFonts w:ascii="宋体" w:hAnsi="宋体" w:cs="Times New Roman"/>
          <w:sz w:val="24"/>
          <w:szCs w:val="24"/>
        </w:rPr>
        <w:sectPr>
          <w:pgSz w:w="11906" w:h="16838"/>
          <w:pgMar w:top="1440" w:right="1800" w:bottom="1440" w:left="1800" w:header="851" w:footer="992" w:gutter="0"/>
          <w:cols w:space="425" w:num="1"/>
          <w:docGrid w:type="lines" w:linePitch="312" w:charSpace="0"/>
        </w:sectPr>
      </w:pPr>
    </w:p>
    <w:p>
      <w:pPr>
        <w:pStyle w:val="3"/>
        <w:spacing w:before="0" w:after="0" w:line="360" w:lineRule="auto"/>
        <w:ind w:firstLine="424" w:firstLineChars="151"/>
        <w:rPr>
          <w:sz w:val="28"/>
        </w:rPr>
      </w:pPr>
      <w:r>
        <w:rPr>
          <w:rFonts w:hint="eastAsia"/>
          <w:sz w:val="28"/>
        </w:rPr>
        <w:t>6.承诺书格式</w:t>
      </w:r>
    </w:p>
    <w:p>
      <w:pPr>
        <w:snapToGrid w:val="0"/>
        <w:spacing w:before="156" w:beforeLines="50" w:after="50"/>
        <w:jc w:val="center"/>
        <w:rPr>
          <w:rFonts w:ascii="宋体" w:hAnsi="宋体"/>
          <w:b/>
          <w:color w:val="000000"/>
          <w:sz w:val="24"/>
        </w:rPr>
      </w:pPr>
      <w:r>
        <w:rPr>
          <w:rFonts w:hint="eastAsia" w:ascii="宋体" w:hAnsi="宋体"/>
          <w:b/>
          <w:color w:val="000000"/>
          <w:sz w:val="24"/>
        </w:rPr>
        <w:t>承 诺 书</w:t>
      </w:r>
    </w:p>
    <w:p>
      <w:pPr>
        <w:adjustRightInd w:val="0"/>
        <w:snapToGrid w:val="0"/>
        <w:spacing w:line="440" w:lineRule="exact"/>
        <w:rPr>
          <w:rFonts w:ascii="宋体" w:hAnsi="宋体" w:eastAsia="宋体" w:cs="宋体"/>
          <w:sz w:val="24"/>
          <w:szCs w:val="24"/>
          <w:u w:val="single"/>
        </w:rPr>
      </w:pPr>
      <w:r>
        <w:rPr>
          <w:rFonts w:hint="eastAsia" w:ascii="宋体" w:hAnsi="宋体"/>
          <w:bCs/>
          <w:color w:val="000000"/>
          <w:sz w:val="24"/>
        </w:rPr>
        <w:t>致：</w:t>
      </w:r>
      <w:r>
        <w:rPr>
          <w:rFonts w:hint="eastAsia" w:ascii="宋体" w:hAnsi="宋体" w:cs="宋体"/>
          <w:color w:val="000000"/>
          <w:sz w:val="24"/>
          <w:u w:val="single"/>
        </w:rPr>
        <w:t xml:space="preserve">  金华市公共资源交易中心浦江县分中心：</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2024-2026年度浦江县预算绩效评价咨询服务封闭式框架协议项目</w:t>
      </w:r>
      <w:r>
        <w:rPr>
          <w:rFonts w:hint="eastAsia" w:ascii="宋体" w:hAnsi="宋体" w:eastAsia="宋体" w:cs="宋体"/>
          <w:sz w:val="24"/>
          <w:szCs w:val="24"/>
        </w:rPr>
        <w:t>，项目编号：</w:t>
      </w:r>
      <w:r>
        <w:rPr>
          <w:rFonts w:hint="eastAsia" w:ascii="宋体" w:hAnsi="宋体" w:eastAsia="宋体" w:cs="宋体"/>
          <w:sz w:val="24"/>
          <w:szCs w:val="24"/>
          <w:u w:val="single"/>
        </w:rPr>
        <w:t>ZPKJ2024-003要</w:t>
      </w:r>
      <w:r>
        <w:rPr>
          <w:rFonts w:hint="eastAsia" w:ascii="宋体" w:hAnsi="宋体" w:eastAsia="宋体" w:cs="宋体"/>
          <w:sz w:val="24"/>
          <w:szCs w:val="24"/>
        </w:rPr>
        <w:t>求，我方在入围范围内郑重承诺如下：</w:t>
      </w:r>
    </w:p>
    <w:p>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一、我方承诺按工作量法收费标准，中级技术职称及以下专业人员每半天不超过 500元（税后，下同）；副高级技术职称专业人员、注册会计师或其他同等资格人员每半天不超过800元；正高级技术职称专业人员每半天不超过1600元。需赴外地的，差旅费按政府机关出差标准据实计算，并按规定执行。以上收费标准为按工作量法的基准价，在此基础上给予折扣。</w:t>
      </w:r>
    </w:p>
    <w:p>
      <w:pPr>
        <w:snapToGrid w:val="0"/>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注：响应方的折扣率的计算方式为“响应报价÷基准价”，采购人可以根据采购时服务费和折扣率，确定采购的最终价格。响应方的折扣率不得低于给予其他客户的折扣率以及日常对外公布的折扣率。</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二、我方保证对自身及在协议履行期间的行为承担责任，保证如发现我方因自身原因违反征集文件、响应文件、协议的有关规定或承诺，浦江县财政局、征集人可以根据上述文件材料规定做出处理，政府采购监督管理部门有权根据《中华人民共和国政府采购法》等法律法规对我方进行处罚，直至取消我方入围资格，情节严重的，列入政府采购不良供应商名单并追究法律责任。</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三、我方承诺按照征集文件、《2024-2026年度浦江县预算绩效评价咨询服务封闭式框架协议》要求执行。</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四、我方承诺严格遵守国家法律法规，认真执行国家和相关行业各项管理法规及规范性文件，合法经营，按章办事，诚实守信，自觉维护国家机关、事业单位和社会团体的利益。</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五、我方承诺成立服务团队，积极受理审核服务，服务期间相关咨询、业务分办、项目异议及服务投诉，并定期回访采购人。在受理投诉24小时内，了解核实情况，经核实确属我方相关当事人员责任的，应按照相关规定予以处理，于7个工作日内将处理结果告知投诉人。</w:t>
      </w:r>
    </w:p>
    <w:p>
      <w:pPr>
        <w:adjustRightInd w:val="0"/>
        <w:snapToGrid w:val="0"/>
        <w:spacing w:line="440" w:lineRule="exact"/>
        <w:ind w:firstLine="482" w:firstLineChars="200"/>
        <w:rPr>
          <w:rFonts w:ascii="宋体" w:hAnsi="宋体" w:eastAsia="宋体" w:cs="宋体"/>
          <w:b/>
          <w:sz w:val="24"/>
          <w:szCs w:val="24"/>
        </w:rPr>
      </w:pPr>
      <w:r>
        <w:rPr>
          <w:rFonts w:hint="eastAsia" w:ascii="宋体" w:hAnsi="宋体" w:eastAsia="宋体" w:cs="宋体"/>
          <w:b/>
          <w:sz w:val="24"/>
          <w:szCs w:val="24"/>
        </w:rPr>
        <w:t>我单位24小时服务电话：</w:t>
      </w:r>
      <w:r>
        <w:rPr>
          <w:rFonts w:hint="eastAsia" w:ascii="宋体" w:hAnsi="宋体" w:eastAsia="宋体" w:cs="宋体"/>
          <w:b/>
          <w:sz w:val="24"/>
          <w:szCs w:val="24"/>
          <w:u w:val="single"/>
        </w:rPr>
        <w:t xml:space="preserve">          </w:t>
      </w:r>
      <w:r>
        <w:rPr>
          <w:rFonts w:hint="eastAsia" w:ascii="宋体" w:hAnsi="宋体" w:eastAsia="宋体" w:cs="宋体"/>
          <w:b/>
          <w:sz w:val="24"/>
          <w:szCs w:val="24"/>
        </w:rPr>
        <w:t>，总协调人：</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，职务： </w:t>
      </w:r>
      <w:r>
        <w:rPr>
          <w:rFonts w:hint="eastAsia" w:ascii="宋体" w:hAnsi="宋体" w:eastAsia="宋体" w:cs="宋体"/>
          <w:b/>
          <w:sz w:val="24"/>
          <w:szCs w:val="24"/>
          <w:u w:val="single"/>
        </w:rPr>
        <w:t xml:space="preserve">          </w:t>
      </w:r>
      <w:r>
        <w:rPr>
          <w:rFonts w:hint="eastAsia" w:ascii="宋体" w:hAnsi="宋体" w:eastAsia="宋体" w:cs="宋体"/>
          <w:b/>
          <w:sz w:val="24"/>
          <w:szCs w:val="24"/>
        </w:rPr>
        <w:t>，办公电话：</w:t>
      </w:r>
      <w:r>
        <w:rPr>
          <w:rFonts w:hint="eastAsia" w:ascii="宋体" w:hAnsi="宋体" w:eastAsia="宋体" w:cs="宋体"/>
          <w:b/>
          <w:sz w:val="24"/>
          <w:szCs w:val="24"/>
          <w:u w:val="single"/>
        </w:rPr>
        <w:t xml:space="preserve">          </w:t>
      </w:r>
      <w:r>
        <w:rPr>
          <w:rFonts w:hint="eastAsia" w:ascii="宋体" w:hAnsi="宋体" w:eastAsia="宋体" w:cs="宋体"/>
          <w:b/>
          <w:sz w:val="24"/>
          <w:szCs w:val="24"/>
        </w:rPr>
        <w:t>，手机：</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六、我方承诺依据采购人出具的有效函件（如公函、组织机构代码证等证明）或签署的合同、协议等实施审核服务，原则上不得要求采购人提供押金、抵押、信用授权等。如有特殊情况将与采购人协商，取得采购人同意后方予实施。</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七、我方承诺做到以下服务要求：</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1.自觉遵守相关法律法规及有关规定，严格执行审核服务，遵守廉政纪律和职业道德，保守采购人、服务对象及相关当事人资料数据的秘密；</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2.严格按照采购人的有关规定和要求实施审核服务，按采购人的质量和进度要求及时提供结果、报告以及与服务事项相关的资料，按规定的格式、要求起草有关文书和相关材料；</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 不得将承接的业务对外转包，不得以任何借口违反独立绩效评价相关准则和质量控制准则，降低执业质量，并同意对承担相关业务的质量向社会公示。愿意接受相关部门对项目质量的审查考核。</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 针对第二阶段每个项目至少派出1名主评人员（注册会计师）和</w:t>
      </w:r>
      <w:r>
        <w:rPr>
          <w:rFonts w:ascii="宋体" w:hAnsi="宋体" w:eastAsia="宋体" w:cs="宋体"/>
          <w:sz w:val="24"/>
          <w:szCs w:val="24"/>
        </w:rPr>
        <w:t>其他</w:t>
      </w:r>
      <w:r>
        <w:rPr>
          <w:rFonts w:hint="eastAsia" w:ascii="宋体" w:hAnsi="宋体" w:eastAsia="宋体" w:cs="宋体"/>
          <w:sz w:val="24"/>
          <w:szCs w:val="24"/>
        </w:rPr>
        <w:t>助理</w:t>
      </w:r>
      <w:r>
        <w:rPr>
          <w:rFonts w:ascii="宋体" w:hAnsi="宋体" w:eastAsia="宋体" w:cs="宋体"/>
          <w:sz w:val="24"/>
          <w:szCs w:val="24"/>
        </w:rPr>
        <w:t>人员</w:t>
      </w:r>
      <w:r>
        <w:rPr>
          <w:rFonts w:hint="eastAsia" w:ascii="宋体" w:hAnsi="宋体" w:eastAsia="宋体" w:cs="宋体"/>
          <w:sz w:val="24"/>
          <w:szCs w:val="24"/>
        </w:rPr>
        <w:t>2名</w:t>
      </w:r>
      <w:r>
        <w:rPr>
          <w:rFonts w:ascii="宋体" w:hAnsi="宋体" w:eastAsia="宋体" w:cs="宋体"/>
          <w:sz w:val="24"/>
          <w:szCs w:val="24"/>
        </w:rPr>
        <w:t>，</w:t>
      </w:r>
      <w:r>
        <w:rPr>
          <w:rFonts w:hint="eastAsia" w:ascii="宋体" w:hAnsi="宋体" w:eastAsia="宋体" w:cs="宋体"/>
          <w:sz w:val="24"/>
          <w:szCs w:val="24"/>
        </w:rPr>
        <w:t>并指定1名工作人员作为项目联系人，负责联系该项目的一切相关事宜，</w:t>
      </w:r>
      <w:r>
        <w:rPr>
          <w:rFonts w:ascii="宋体" w:hAnsi="宋体" w:eastAsia="宋体" w:cs="宋体"/>
          <w:sz w:val="24"/>
          <w:szCs w:val="24"/>
        </w:rPr>
        <w:t>其中</w:t>
      </w:r>
      <w:r>
        <w:rPr>
          <w:rFonts w:hint="eastAsia" w:ascii="宋体" w:hAnsi="宋体" w:eastAsia="宋体" w:cs="宋体"/>
          <w:sz w:val="24"/>
          <w:szCs w:val="24"/>
        </w:rPr>
        <w:t>项目团队成员</w:t>
      </w:r>
      <w:r>
        <w:rPr>
          <w:rFonts w:ascii="宋体" w:hAnsi="宋体" w:eastAsia="宋体" w:cs="宋体"/>
          <w:sz w:val="24"/>
          <w:szCs w:val="24"/>
        </w:rPr>
        <w:t>在评价过程中保持相对稳定</w:t>
      </w:r>
      <w:r>
        <w:rPr>
          <w:rFonts w:hint="eastAsia" w:ascii="宋体" w:hAnsi="宋体" w:eastAsia="宋体" w:cs="宋体"/>
          <w:sz w:val="24"/>
          <w:szCs w:val="24"/>
        </w:rPr>
        <w:t>，</w:t>
      </w:r>
      <w:r>
        <w:rPr>
          <w:rFonts w:ascii="宋体" w:hAnsi="宋体" w:eastAsia="宋体" w:cs="宋体"/>
          <w:sz w:val="24"/>
          <w:szCs w:val="24"/>
        </w:rPr>
        <w:t>不自行更换派出人员</w:t>
      </w:r>
      <w:r>
        <w:rPr>
          <w:rFonts w:hint="eastAsia" w:ascii="宋体" w:hAnsi="宋体" w:eastAsia="宋体" w:cs="宋体"/>
          <w:sz w:val="24"/>
          <w:szCs w:val="24"/>
        </w:rPr>
        <w:t>，并根据</w:t>
      </w:r>
      <w:r>
        <w:rPr>
          <w:rFonts w:ascii="宋体" w:hAnsi="宋体" w:eastAsia="宋体" w:cs="宋体"/>
          <w:sz w:val="24"/>
          <w:szCs w:val="24"/>
        </w:rPr>
        <w:t>采购人</w:t>
      </w:r>
      <w:r>
        <w:rPr>
          <w:rFonts w:hint="eastAsia" w:ascii="宋体" w:hAnsi="宋体" w:eastAsia="宋体" w:cs="宋体"/>
          <w:sz w:val="24"/>
          <w:szCs w:val="24"/>
        </w:rPr>
        <w:t>的</w:t>
      </w:r>
      <w:r>
        <w:rPr>
          <w:rFonts w:ascii="宋体" w:hAnsi="宋体" w:eastAsia="宋体" w:cs="宋体"/>
          <w:sz w:val="24"/>
          <w:szCs w:val="24"/>
        </w:rPr>
        <w:t>工作需要和派出人员工作情况，更换或撤回不能胜任工作的派出人员。</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5.我方建立用户档案，开展跟踪服务。保证采购人获得优先服务的权利，根据采购人的通知及时签订预算绩效评价咨询服务合同。</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6.协助做好采购人经办人的廉政工作，不得以任何形式向采购人提供回扣。</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Courier New" w:eastAsia="宋体" w:cs="Times New Roman"/>
          <w:sz w:val="24"/>
          <w:szCs w:val="24"/>
        </w:rPr>
        <w:t>遵守征集文件中规定的其他服务要求。</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8.入围后按本项目征集文件的规定和入围通知书的要求及时与征集人签订框架协议，无正当理由不得主动放弃入围资格或者退出框架协议。</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9.第一阶段的响应报价（协议价格）是采购人确定第二阶段成交供应商的最高限价。在政采云系统中接到采购人订单（采购人合同授予）后，无正当理由不得拖延、拒绝、取消订单，应按本项目征集文件、框架协议规定及时与采购人签订合同。</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10.按征集文件规定的要求和合同文本格式编制合同。</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11.与采购人签订合同后应积极履行合同义务，按约定的时间和要求完成服务，并通过采购人验收。</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12.在协议期内，如有信息变更（如变更法定代表人、主要负责人、联系人、联系电话、地址等），应及时在政采云系统中更新相关信息并通知征集人，按征集人要求提供相关资料备案。</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11.在协议期内，应遵守和履行本项目征集文件、框架协议的各项规定，遵守电子系统的操作规定和交易规则，积极配合征集人和采购监管部门的工作。</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八、我方具有健全内部控制和监督机制。</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九、我方具有项目所必需的设备和专业技术能力。</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十、我方具有开展绩效评价咨询业务服务的人员和能力并承担相应风险，能够依法维护委托人的权益并保守秘密。</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十一、贵方决定延长服务有效期，可通过“浙江政府采购网”公示，我方承诺若未在七日内提出书面异议的，视为接受贵方的要求。</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十二、我方承诺无条件满足征集文件的各项要求。</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十三、我方承诺按照国家、地方最新政策标准执行。</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四、我方承诺对获知的所有有形、无形的信息及资料（包括但不限于双方的往来书面文字文件、电子邮件及信息、软盘资料等）中的商业秘密或国家秘密承担保密义务。我公司承诺按照采购人的需要签订保密协议。</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五、我方承诺遵守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十六、我方谨承诺，除上述内容外，响应文件中全部信息及承诺内容以及在浙江政府采购网所填报的全部信息将成为本协议不可分割的一部分。</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本协议自我方盖章之日起至协议期满有效。</w:t>
      </w:r>
      <w:r>
        <w:rPr>
          <w:rFonts w:ascii="宋体" w:hAnsi="宋体" w:eastAsia="宋体" w:cs="宋体"/>
          <w:sz w:val="24"/>
          <w:szCs w:val="24"/>
        </w:rPr>
        <w:t xml:space="preserve">  </w:t>
      </w:r>
    </w:p>
    <w:p>
      <w:pPr>
        <w:adjustRightInd w:val="0"/>
        <w:snapToGrid w:val="0"/>
        <w:spacing w:line="440" w:lineRule="exact"/>
        <w:ind w:firstLine="480" w:firstLineChars="200"/>
        <w:rPr>
          <w:rFonts w:ascii="宋体" w:hAnsi="宋体" w:eastAsia="宋体" w:cs="宋体"/>
          <w:sz w:val="24"/>
          <w:szCs w:val="24"/>
        </w:rPr>
      </w:pPr>
    </w:p>
    <w:p>
      <w:pPr>
        <w:snapToGrid w:val="0"/>
        <w:spacing w:before="50"/>
        <w:ind w:left="479" w:leftChars="228"/>
        <w:jc w:val="center"/>
        <w:rPr>
          <w:rFonts w:ascii="宋体" w:hAnsi="宋体" w:eastAsia="宋体"/>
          <w:color w:val="000000"/>
          <w:sz w:val="24"/>
        </w:rPr>
      </w:pPr>
      <w:r>
        <w:rPr>
          <w:rFonts w:hint="eastAsia" w:ascii="宋体" w:hAnsi="宋体"/>
          <w:color w:val="000000"/>
          <w:sz w:val="24"/>
        </w:rPr>
        <w:t xml:space="preserve">                  </w:t>
      </w:r>
      <w:r>
        <w:rPr>
          <w:rFonts w:hint="eastAsia" w:ascii="宋体" w:hAnsi="宋体" w:cs="宋体"/>
          <w:color w:val="000000"/>
          <w:sz w:val="24"/>
        </w:rPr>
        <w:t>承诺单位（盖章）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line="440" w:lineRule="exact"/>
        <w:jc w:val="right"/>
        <w:rPr>
          <w:rFonts w:ascii="宋体" w:hAnsi="宋体"/>
          <w:color w:val="000000"/>
          <w:sz w:val="24"/>
        </w:rPr>
        <w:sectPr>
          <w:pgSz w:w="11906" w:h="16838"/>
          <w:pgMar w:top="1440" w:right="1797" w:bottom="1440" w:left="1797" w:header="851" w:footer="992" w:gutter="0"/>
          <w:cols w:space="425" w:num="1"/>
          <w:docGrid w:type="lines" w:linePitch="312" w:charSpace="0"/>
        </w:sectPr>
      </w:pPr>
      <w:r>
        <w:rPr>
          <w:rFonts w:hint="eastAsia" w:ascii="宋体" w:hAnsi="宋体"/>
          <w:color w:val="000000"/>
          <w:sz w:val="24"/>
        </w:rPr>
        <w:t>年    月   日</w:t>
      </w:r>
    </w:p>
    <w:p>
      <w:pPr>
        <w:pStyle w:val="3"/>
        <w:spacing w:before="0" w:after="0" w:line="360" w:lineRule="auto"/>
        <w:ind w:firstLine="424" w:firstLineChars="151"/>
        <w:rPr>
          <w:sz w:val="28"/>
        </w:rPr>
      </w:pPr>
      <w:r>
        <w:rPr>
          <w:rFonts w:hint="eastAsia"/>
          <w:sz w:val="28"/>
        </w:rPr>
        <w:t>7.项目组人员清单格式</w:t>
      </w:r>
    </w:p>
    <w:p>
      <w:pPr>
        <w:snapToGrid w:val="0"/>
        <w:spacing w:before="156" w:beforeLines="50" w:after="360"/>
        <w:jc w:val="center"/>
        <w:rPr>
          <w:rFonts w:ascii="宋体" w:hAnsi="宋体"/>
          <w:b/>
          <w:color w:val="000000"/>
          <w:sz w:val="24"/>
        </w:rPr>
      </w:pPr>
      <w:r>
        <w:rPr>
          <w:rFonts w:hint="eastAsia" w:ascii="宋体" w:hAnsi="宋体"/>
          <w:b/>
          <w:color w:val="000000"/>
          <w:sz w:val="24"/>
        </w:rPr>
        <w:t>项目组人员清单</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953"/>
        <w:gridCol w:w="921"/>
        <w:gridCol w:w="978"/>
        <w:gridCol w:w="1074"/>
        <w:gridCol w:w="1310"/>
        <w:gridCol w:w="2200"/>
        <w:gridCol w:w="1715"/>
        <w:gridCol w:w="1596"/>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 w:type="pct"/>
          </w:tcPr>
          <w:p>
            <w:pPr>
              <w:spacing w:line="440" w:lineRule="exact"/>
              <w:jc w:val="center"/>
              <w:rPr>
                <w:rFonts w:ascii="宋体" w:hAnsi="宋体"/>
                <w:bCs/>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689" w:type="pct"/>
          </w:tcPr>
          <w:p>
            <w:pPr>
              <w:autoSpaceDE w:val="0"/>
              <w:autoSpaceDN w:val="0"/>
              <w:adjustRightInd w:val="0"/>
              <w:spacing w:line="440" w:lineRule="exact"/>
              <w:jc w:val="center"/>
              <w:rPr>
                <w:rFonts w:ascii="宋体" w:hAnsi="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姓名 </w:t>
            </w:r>
          </w:p>
        </w:tc>
        <w:tc>
          <w:tcPr>
            <w:tcW w:w="325" w:type="pct"/>
          </w:tcPr>
          <w:p>
            <w:pPr>
              <w:autoSpaceDE w:val="0"/>
              <w:autoSpaceDN w:val="0"/>
              <w:adjustRightInd w:val="0"/>
              <w:spacing w:line="440" w:lineRule="exact"/>
              <w:jc w:val="center"/>
              <w:rPr>
                <w:rFonts w:ascii="宋体" w:hAnsi="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性别</w:t>
            </w:r>
          </w:p>
        </w:tc>
        <w:tc>
          <w:tcPr>
            <w:tcW w:w="345" w:type="pct"/>
          </w:tcPr>
          <w:p>
            <w:pPr>
              <w:autoSpaceDE w:val="0"/>
              <w:autoSpaceDN w:val="0"/>
              <w:adjustRightInd w:val="0"/>
              <w:spacing w:line="440" w:lineRule="exact"/>
              <w:jc w:val="center"/>
              <w:rPr>
                <w:rFonts w:ascii="宋体" w:hAnsi="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年龄</w:t>
            </w:r>
          </w:p>
        </w:tc>
        <w:tc>
          <w:tcPr>
            <w:tcW w:w="379" w:type="pct"/>
          </w:tcPr>
          <w:p>
            <w:pPr>
              <w:autoSpaceDE w:val="0"/>
              <w:autoSpaceDN w:val="0"/>
              <w:adjustRightInd w:val="0"/>
              <w:spacing w:line="440" w:lineRule="exact"/>
              <w:jc w:val="center"/>
              <w:rPr>
                <w:rFonts w:ascii="宋体" w:hAnsi="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学历</w:t>
            </w:r>
          </w:p>
        </w:tc>
        <w:tc>
          <w:tcPr>
            <w:tcW w:w="462" w:type="pct"/>
          </w:tcPr>
          <w:p>
            <w:pPr>
              <w:spacing w:line="440" w:lineRule="exact"/>
              <w:jc w:val="center"/>
              <w:rPr>
                <w:rFonts w:ascii="宋体" w:hAnsi="宋体"/>
                <w:bCs/>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工作年限</w:t>
            </w:r>
          </w:p>
        </w:tc>
        <w:tc>
          <w:tcPr>
            <w:tcW w:w="776" w:type="pct"/>
          </w:tcPr>
          <w:p>
            <w:pPr>
              <w:spacing w:line="440" w:lineRule="exact"/>
              <w:jc w:val="center"/>
              <w:rPr>
                <w:rFonts w:ascii="宋体" w:hAnsi="宋体"/>
                <w:bCs/>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专业技术</w:t>
            </w:r>
            <w:r>
              <w:rPr>
                <w:rFonts w:hint="eastAsia" w:ascii="宋体" w:hAnsi="宋体" w:eastAsia="宋体" w:cs="宋体"/>
                <w:color w:val="000000" w:themeColor="text1"/>
                <w:sz w:val="24"/>
                <w14:textFill>
                  <w14:solidFill>
                    <w14:schemeClr w14:val="tx1"/>
                  </w14:solidFill>
                </w14:textFill>
              </w:rPr>
              <w:t>职称</w:t>
            </w:r>
          </w:p>
        </w:tc>
        <w:tc>
          <w:tcPr>
            <w:tcW w:w="605" w:type="pct"/>
          </w:tcPr>
          <w:p>
            <w:pPr>
              <w:spacing w:line="440" w:lineRule="exact"/>
              <w:jc w:val="center"/>
              <w:rPr>
                <w:rFonts w:ascii="宋体" w:hAnsi="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执业</w:t>
            </w:r>
            <w:r>
              <w:rPr>
                <w:rFonts w:hint="eastAsia" w:ascii="宋体" w:hAnsi="宋体" w:cs="宋体"/>
                <w:color w:val="000000" w:themeColor="text1"/>
                <w:sz w:val="24"/>
                <w14:textFill>
                  <w14:solidFill>
                    <w14:schemeClr w14:val="tx1"/>
                  </w14:solidFill>
                </w14:textFill>
              </w:rPr>
              <w:t>资格</w:t>
            </w:r>
          </w:p>
        </w:tc>
        <w:tc>
          <w:tcPr>
            <w:tcW w:w="563" w:type="pct"/>
          </w:tcPr>
          <w:p>
            <w:pPr>
              <w:spacing w:line="44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568" w:type="pct"/>
          </w:tcPr>
          <w:p>
            <w:pPr>
              <w:spacing w:line="44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 w:type="pct"/>
          </w:tcPr>
          <w:p>
            <w:pPr>
              <w:spacing w:line="440" w:lineRule="exact"/>
              <w:jc w:val="center"/>
              <w:rPr>
                <w:rFonts w:ascii="宋体" w:hAnsi="宋体"/>
                <w:color w:val="000000" w:themeColor="text1"/>
                <w14:textFill>
                  <w14:solidFill>
                    <w14:schemeClr w14:val="tx1"/>
                  </w14:solidFill>
                </w14:textFill>
              </w:rPr>
            </w:pPr>
          </w:p>
        </w:tc>
        <w:tc>
          <w:tcPr>
            <w:tcW w:w="689" w:type="pct"/>
          </w:tcPr>
          <w:p>
            <w:pPr>
              <w:autoSpaceDE w:val="0"/>
              <w:autoSpaceDN w:val="0"/>
              <w:adjustRightInd w:val="0"/>
              <w:spacing w:line="440" w:lineRule="exact"/>
              <w:jc w:val="center"/>
              <w:rPr>
                <w:rFonts w:ascii="宋体" w:hAnsi="宋体"/>
                <w:color w:val="000000" w:themeColor="text1"/>
                <w14:textFill>
                  <w14:solidFill>
                    <w14:schemeClr w14:val="tx1"/>
                  </w14:solidFill>
                </w14:textFill>
              </w:rPr>
            </w:pPr>
          </w:p>
        </w:tc>
        <w:tc>
          <w:tcPr>
            <w:tcW w:w="325" w:type="pct"/>
          </w:tcPr>
          <w:p>
            <w:pPr>
              <w:autoSpaceDE w:val="0"/>
              <w:autoSpaceDN w:val="0"/>
              <w:adjustRightInd w:val="0"/>
              <w:spacing w:line="440" w:lineRule="exact"/>
              <w:jc w:val="center"/>
              <w:rPr>
                <w:rFonts w:ascii="宋体" w:hAnsi="宋体"/>
                <w:color w:val="000000" w:themeColor="text1"/>
                <w14:textFill>
                  <w14:solidFill>
                    <w14:schemeClr w14:val="tx1"/>
                  </w14:solidFill>
                </w14:textFill>
              </w:rPr>
            </w:pPr>
          </w:p>
        </w:tc>
        <w:tc>
          <w:tcPr>
            <w:tcW w:w="345" w:type="pct"/>
          </w:tcPr>
          <w:p>
            <w:pPr>
              <w:autoSpaceDE w:val="0"/>
              <w:autoSpaceDN w:val="0"/>
              <w:adjustRightInd w:val="0"/>
              <w:spacing w:line="440" w:lineRule="exact"/>
              <w:jc w:val="center"/>
              <w:rPr>
                <w:rFonts w:ascii="宋体" w:hAnsi="宋体"/>
                <w:color w:val="000000" w:themeColor="text1"/>
                <w14:textFill>
                  <w14:solidFill>
                    <w14:schemeClr w14:val="tx1"/>
                  </w14:solidFill>
                </w14:textFill>
              </w:rPr>
            </w:pPr>
          </w:p>
        </w:tc>
        <w:tc>
          <w:tcPr>
            <w:tcW w:w="379" w:type="pct"/>
          </w:tcPr>
          <w:p>
            <w:pPr>
              <w:autoSpaceDE w:val="0"/>
              <w:autoSpaceDN w:val="0"/>
              <w:adjustRightInd w:val="0"/>
              <w:spacing w:line="440" w:lineRule="exact"/>
              <w:jc w:val="center"/>
              <w:rPr>
                <w:rFonts w:ascii="宋体" w:hAnsi="宋体"/>
                <w:color w:val="000000" w:themeColor="text1"/>
                <w14:textFill>
                  <w14:solidFill>
                    <w14:schemeClr w14:val="tx1"/>
                  </w14:solidFill>
                </w14:textFill>
              </w:rPr>
            </w:pPr>
          </w:p>
        </w:tc>
        <w:tc>
          <w:tcPr>
            <w:tcW w:w="462" w:type="pct"/>
          </w:tcPr>
          <w:p>
            <w:pPr>
              <w:spacing w:line="440" w:lineRule="exact"/>
              <w:jc w:val="center"/>
              <w:rPr>
                <w:rFonts w:ascii="宋体" w:hAnsi="宋体"/>
                <w:color w:val="000000" w:themeColor="text1"/>
                <w14:textFill>
                  <w14:solidFill>
                    <w14:schemeClr w14:val="tx1"/>
                  </w14:solidFill>
                </w14:textFill>
              </w:rPr>
            </w:pPr>
          </w:p>
        </w:tc>
        <w:tc>
          <w:tcPr>
            <w:tcW w:w="776" w:type="pct"/>
          </w:tcPr>
          <w:p>
            <w:pPr>
              <w:spacing w:line="440" w:lineRule="exact"/>
              <w:jc w:val="center"/>
              <w:rPr>
                <w:rFonts w:ascii="宋体" w:hAnsi="宋体"/>
                <w:color w:val="000000" w:themeColor="text1"/>
                <w14:textFill>
                  <w14:solidFill>
                    <w14:schemeClr w14:val="tx1"/>
                  </w14:solidFill>
                </w14:textFill>
              </w:rPr>
            </w:pPr>
          </w:p>
        </w:tc>
        <w:tc>
          <w:tcPr>
            <w:tcW w:w="605" w:type="pct"/>
          </w:tcPr>
          <w:p>
            <w:pPr>
              <w:spacing w:line="440" w:lineRule="exact"/>
              <w:jc w:val="center"/>
              <w:rPr>
                <w:rFonts w:ascii="宋体" w:hAnsi="宋体"/>
                <w:color w:val="000000" w:themeColor="text1"/>
                <w14:textFill>
                  <w14:solidFill>
                    <w14:schemeClr w14:val="tx1"/>
                  </w14:solidFill>
                </w14:textFill>
              </w:rPr>
            </w:pPr>
          </w:p>
        </w:tc>
        <w:tc>
          <w:tcPr>
            <w:tcW w:w="563" w:type="pct"/>
          </w:tcPr>
          <w:p>
            <w:pPr>
              <w:spacing w:line="440" w:lineRule="exact"/>
              <w:jc w:val="center"/>
              <w:rPr>
                <w:rFonts w:ascii="宋体" w:hAnsi="宋体"/>
                <w:color w:val="000000" w:themeColor="text1"/>
                <w14:textFill>
                  <w14:solidFill>
                    <w14:schemeClr w14:val="tx1"/>
                  </w14:solidFill>
                </w14:textFill>
              </w:rPr>
            </w:pPr>
          </w:p>
        </w:tc>
        <w:tc>
          <w:tcPr>
            <w:tcW w:w="568" w:type="pct"/>
          </w:tcPr>
          <w:p>
            <w:pPr>
              <w:spacing w:line="44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 w:type="pct"/>
          </w:tcPr>
          <w:p>
            <w:pPr>
              <w:spacing w:line="440" w:lineRule="exact"/>
              <w:jc w:val="center"/>
              <w:rPr>
                <w:rFonts w:ascii="宋体" w:hAnsi="宋体"/>
                <w:bCs/>
                <w:color w:val="000000" w:themeColor="text1"/>
                <w14:textFill>
                  <w14:solidFill>
                    <w14:schemeClr w14:val="tx1"/>
                  </w14:solidFill>
                </w14:textFill>
              </w:rPr>
            </w:pPr>
          </w:p>
        </w:tc>
        <w:tc>
          <w:tcPr>
            <w:tcW w:w="689" w:type="pct"/>
          </w:tcPr>
          <w:p>
            <w:pPr>
              <w:spacing w:line="440" w:lineRule="exact"/>
              <w:jc w:val="center"/>
              <w:rPr>
                <w:rFonts w:ascii="宋体" w:hAnsi="宋体"/>
                <w:bCs/>
                <w:color w:val="000000" w:themeColor="text1"/>
                <w14:textFill>
                  <w14:solidFill>
                    <w14:schemeClr w14:val="tx1"/>
                  </w14:solidFill>
                </w14:textFill>
              </w:rPr>
            </w:pPr>
          </w:p>
        </w:tc>
        <w:tc>
          <w:tcPr>
            <w:tcW w:w="325" w:type="pct"/>
          </w:tcPr>
          <w:p>
            <w:pPr>
              <w:spacing w:line="440" w:lineRule="exact"/>
              <w:jc w:val="center"/>
              <w:rPr>
                <w:rFonts w:ascii="宋体" w:hAnsi="宋体"/>
                <w:bCs/>
                <w:color w:val="000000" w:themeColor="text1"/>
                <w14:textFill>
                  <w14:solidFill>
                    <w14:schemeClr w14:val="tx1"/>
                  </w14:solidFill>
                </w14:textFill>
              </w:rPr>
            </w:pPr>
          </w:p>
        </w:tc>
        <w:tc>
          <w:tcPr>
            <w:tcW w:w="345" w:type="pct"/>
          </w:tcPr>
          <w:p>
            <w:pPr>
              <w:spacing w:line="440" w:lineRule="exact"/>
              <w:jc w:val="center"/>
              <w:rPr>
                <w:rFonts w:ascii="宋体" w:hAnsi="宋体"/>
                <w:bCs/>
                <w:color w:val="000000" w:themeColor="text1"/>
                <w14:textFill>
                  <w14:solidFill>
                    <w14:schemeClr w14:val="tx1"/>
                  </w14:solidFill>
                </w14:textFill>
              </w:rPr>
            </w:pPr>
          </w:p>
        </w:tc>
        <w:tc>
          <w:tcPr>
            <w:tcW w:w="379" w:type="pct"/>
          </w:tcPr>
          <w:p>
            <w:pPr>
              <w:spacing w:line="440" w:lineRule="exact"/>
              <w:jc w:val="center"/>
              <w:rPr>
                <w:rFonts w:ascii="宋体" w:hAnsi="宋体"/>
                <w:bCs/>
                <w:color w:val="000000" w:themeColor="text1"/>
                <w14:textFill>
                  <w14:solidFill>
                    <w14:schemeClr w14:val="tx1"/>
                  </w14:solidFill>
                </w14:textFill>
              </w:rPr>
            </w:pPr>
          </w:p>
        </w:tc>
        <w:tc>
          <w:tcPr>
            <w:tcW w:w="462" w:type="pct"/>
          </w:tcPr>
          <w:p>
            <w:pPr>
              <w:spacing w:line="440" w:lineRule="exact"/>
              <w:jc w:val="center"/>
              <w:rPr>
                <w:rFonts w:ascii="宋体" w:hAnsi="宋体"/>
                <w:bCs/>
                <w:color w:val="000000" w:themeColor="text1"/>
                <w14:textFill>
                  <w14:solidFill>
                    <w14:schemeClr w14:val="tx1"/>
                  </w14:solidFill>
                </w14:textFill>
              </w:rPr>
            </w:pPr>
          </w:p>
        </w:tc>
        <w:tc>
          <w:tcPr>
            <w:tcW w:w="776" w:type="pct"/>
          </w:tcPr>
          <w:p>
            <w:pPr>
              <w:spacing w:line="440" w:lineRule="exact"/>
              <w:jc w:val="center"/>
              <w:rPr>
                <w:rFonts w:ascii="宋体" w:hAnsi="宋体"/>
                <w:bCs/>
                <w:color w:val="000000" w:themeColor="text1"/>
                <w14:textFill>
                  <w14:solidFill>
                    <w14:schemeClr w14:val="tx1"/>
                  </w14:solidFill>
                </w14:textFill>
              </w:rPr>
            </w:pPr>
          </w:p>
        </w:tc>
        <w:tc>
          <w:tcPr>
            <w:tcW w:w="605" w:type="pct"/>
          </w:tcPr>
          <w:p>
            <w:pPr>
              <w:spacing w:line="440" w:lineRule="exact"/>
              <w:jc w:val="center"/>
              <w:rPr>
                <w:rFonts w:ascii="宋体" w:hAnsi="宋体"/>
                <w:bCs/>
                <w:color w:val="000000" w:themeColor="text1"/>
                <w14:textFill>
                  <w14:solidFill>
                    <w14:schemeClr w14:val="tx1"/>
                  </w14:solidFill>
                </w14:textFill>
              </w:rPr>
            </w:pPr>
          </w:p>
        </w:tc>
        <w:tc>
          <w:tcPr>
            <w:tcW w:w="563" w:type="pct"/>
          </w:tcPr>
          <w:p>
            <w:pPr>
              <w:spacing w:line="440" w:lineRule="exact"/>
              <w:jc w:val="center"/>
              <w:rPr>
                <w:rFonts w:ascii="宋体" w:hAnsi="宋体"/>
                <w:bCs/>
                <w:color w:val="000000" w:themeColor="text1"/>
                <w14:textFill>
                  <w14:solidFill>
                    <w14:schemeClr w14:val="tx1"/>
                  </w14:solidFill>
                </w14:textFill>
              </w:rPr>
            </w:pPr>
          </w:p>
        </w:tc>
        <w:tc>
          <w:tcPr>
            <w:tcW w:w="568" w:type="pct"/>
          </w:tcPr>
          <w:p>
            <w:pPr>
              <w:spacing w:line="440" w:lineRule="exact"/>
              <w:jc w:val="center"/>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 w:type="pct"/>
          </w:tcPr>
          <w:p>
            <w:pPr>
              <w:spacing w:line="440" w:lineRule="exact"/>
              <w:jc w:val="center"/>
              <w:rPr>
                <w:rFonts w:ascii="宋体" w:hAnsi="宋体"/>
                <w:bCs/>
                <w:color w:val="000000" w:themeColor="text1"/>
                <w14:textFill>
                  <w14:solidFill>
                    <w14:schemeClr w14:val="tx1"/>
                  </w14:solidFill>
                </w14:textFill>
              </w:rPr>
            </w:pPr>
          </w:p>
        </w:tc>
        <w:tc>
          <w:tcPr>
            <w:tcW w:w="689" w:type="pct"/>
          </w:tcPr>
          <w:p>
            <w:pPr>
              <w:spacing w:line="440" w:lineRule="exact"/>
              <w:jc w:val="center"/>
              <w:rPr>
                <w:rFonts w:ascii="宋体" w:hAnsi="宋体"/>
                <w:bCs/>
                <w:color w:val="000000" w:themeColor="text1"/>
                <w14:textFill>
                  <w14:solidFill>
                    <w14:schemeClr w14:val="tx1"/>
                  </w14:solidFill>
                </w14:textFill>
              </w:rPr>
            </w:pPr>
          </w:p>
        </w:tc>
        <w:tc>
          <w:tcPr>
            <w:tcW w:w="325" w:type="pct"/>
          </w:tcPr>
          <w:p>
            <w:pPr>
              <w:spacing w:line="440" w:lineRule="exact"/>
              <w:jc w:val="center"/>
              <w:rPr>
                <w:rFonts w:ascii="宋体" w:hAnsi="宋体"/>
                <w:bCs/>
                <w:color w:val="000000" w:themeColor="text1"/>
                <w14:textFill>
                  <w14:solidFill>
                    <w14:schemeClr w14:val="tx1"/>
                  </w14:solidFill>
                </w14:textFill>
              </w:rPr>
            </w:pPr>
          </w:p>
        </w:tc>
        <w:tc>
          <w:tcPr>
            <w:tcW w:w="345" w:type="pct"/>
          </w:tcPr>
          <w:p>
            <w:pPr>
              <w:spacing w:line="440" w:lineRule="exact"/>
              <w:jc w:val="center"/>
              <w:rPr>
                <w:rFonts w:ascii="宋体" w:hAnsi="宋体"/>
                <w:bCs/>
                <w:color w:val="000000" w:themeColor="text1"/>
                <w14:textFill>
                  <w14:solidFill>
                    <w14:schemeClr w14:val="tx1"/>
                  </w14:solidFill>
                </w14:textFill>
              </w:rPr>
            </w:pPr>
          </w:p>
        </w:tc>
        <w:tc>
          <w:tcPr>
            <w:tcW w:w="379" w:type="pct"/>
          </w:tcPr>
          <w:p>
            <w:pPr>
              <w:spacing w:line="440" w:lineRule="exact"/>
              <w:jc w:val="center"/>
              <w:rPr>
                <w:rFonts w:ascii="宋体" w:hAnsi="宋体"/>
                <w:bCs/>
                <w:color w:val="000000" w:themeColor="text1"/>
                <w14:textFill>
                  <w14:solidFill>
                    <w14:schemeClr w14:val="tx1"/>
                  </w14:solidFill>
                </w14:textFill>
              </w:rPr>
            </w:pPr>
          </w:p>
        </w:tc>
        <w:tc>
          <w:tcPr>
            <w:tcW w:w="462" w:type="pct"/>
          </w:tcPr>
          <w:p>
            <w:pPr>
              <w:spacing w:line="440" w:lineRule="exact"/>
              <w:jc w:val="center"/>
              <w:rPr>
                <w:rFonts w:ascii="宋体" w:hAnsi="宋体"/>
                <w:bCs/>
                <w:color w:val="000000" w:themeColor="text1"/>
                <w14:textFill>
                  <w14:solidFill>
                    <w14:schemeClr w14:val="tx1"/>
                  </w14:solidFill>
                </w14:textFill>
              </w:rPr>
            </w:pPr>
          </w:p>
        </w:tc>
        <w:tc>
          <w:tcPr>
            <w:tcW w:w="776" w:type="pct"/>
          </w:tcPr>
          <w:p>
            <w:pPr>
              <w:spacing w:line="440" w:lineRule="exact"/>
              <w:jc w:val="center"/>
              <w:rPr>
                <w:rFonts w:ascii="宋体" w:hAnsi="宋体"/>
                <w:bCs/>
                <w:color w:val="000000" w:themeColor="text1"/>
                <w14:textFill>
                  <w14:solidFill>
                    <w14:schemeClr w14:val="tx1"/>
                  </w14:solidFill>
                </w14:textFill>
              </w:rPr>
            </w:pPr>
          </w:p>
        </w:tc>
        <w:tc>
          <w:tcPr>
            <w:tcW w:w="605" w:type="pct"/>
          </w:tcPr>
          <w:p>
            <w:pPr>
              <w:spacing w:line="440" w:lineRule="exact"/>
              <w:jc w:val="center"/>
              <w:rPr>
                <w:rFonts w:ascii="宋体" w:hAnsi="宋体"/>
                <w:bCs/>
                <w:color w:val="000000" w:themeColor="text1"/>
                <w14:textFill>
                  <w14:solidFill>
                    <w14:schemeClr w14:val="tx1"/>
                  </w14:solidFill>
                </w14:textFill>
              </w:rPr>
            </w:pPr>
          </w:p>
        </w:tc>
        <w:tc>
          <w:tcPr>
            <w:tcW w:w="563" w:type="pct"/>
          </w:tcPr>
          <w:p>
            <w:pPr>
              <w:spacing w:line="440" w:lineRule="exact"/>
              <w:jc w:val="center"/>
              <w:rPr>
                <w:rFonts w:ascii="宋体" w:hAnsi="宋体"/>
                <w:bCs/>
                <w:color w:val="000000" w:themeColor="text1"/>
                <w14:textFill>
                  <w14:solidFill>
                    <w14:schemeClr w14:val="tx1"/>
                  </w14:solidFill>
                </w14:textFill>
              </w:rPr>
            </w:pPr>
          </w:p>
        </w:tc>
        <w:tc>
          <w:tcPr>
            <w:tcW w:w="568" w:type="pct"/>
          </w:tcPr>
          <w:p>
            <w:pPr>
              <w:spacing w:line="440" w:lineRule="exact"/>
              <w:jc w:val="center"/>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 w:type="pct"/>
          </w:tcPr>
          <w:p>
            <w:pPr>
              <w:spacing w:line="440" w:lineRule="exact"/>
              <w:jc w:val="center"/>
              <w:rPr>
                <w:rFonts w:ascii="宋体" w:hAnsi="宋体"/>
                <w:bCs/>
                <w:color w:val="000000" w:themeColor="text1"/>
                <w14:textFill>
                  <w14:solidFill>
                    <w14:schemeClr w14:val="tx1"/>
                  </w14:solidFill>
                </w14:textFill>
              </w:rPr>
            </w:pPr>
          </w:p>
        </w:tc>
        <w:tc>
          <w:tcPr>
            <w:tcW w:w="689" w:type="pct"/>
          </w:tcPr>
          <w:p>
            <w:pPr>
              <w:spacing w:line="440" w:lineRule="exact"/>
              <w:jc w:val="center"/>
              <w:rPr>
                <w:rFonts w:ascii="宋体" w:hAnsi="宋体"/>
                <w:bCs/>
                <w:color w:val="000000" w:themeColor="text1"/>
                <w14:textFill>
                  <w14:solidFill>
                    <w14:schemeClr w14:val="tx1"/>
                  </w14:solidFill>
                </w14:textFill>
              </w:rPr>
            </w:pPr>
          </w:p>
        </w:tc>
        <w:tc>
          <w:tcPr>
            <w:tcW w:w="325" w:type="pct"/>
          </w:tcPr>
          <w:p>
            <w:pPr>
              <w:spacing w:line="440" w:lineRule="exact"/>
              <w:jc w:val="center"/>
              <w:rPr>
                <w:rFonts w:ascii="宋体" w:hAnsi="宋体"/>
                <w:bCs/>
                <w:color w:val="000000" w:themeColor="text1"/>
                <w14:textFill>
                  <w14:solidFill>
                    <w14:schemeClr w14:val="tx1"/>
                  </w14:solidFill>
                </w14:textFill>
              </w:rPr>
            </w:pPr>
          </w:p>
        </w:tc>
        <w:tc>
          <w:tcPr>
            <w:tcW w:w="345" w:type="pct"/>
          </w:tcPr>
          <w:p>
            <w:pPr>
              <w:spacing w:line="440" w:lineRule="exact"/>
              <w:jc w:val="center"/>
              <w:rPr>
                <w:rFonts w:ascii="宋体" w:hAnsi="宋体"/>
                <w:bCs/>
                <w:color w:val="000000" w:themeColor="text1"/>
                <w14:textFill>
                  <w14:solidFill>
                    <w14:schemeClr w14:val="tx1"/>
                  </w14:solidFill>
                </w14:textFill>
              </w:rPr>
            </w:pPr>
          </w:p>
        </w:tc>
        <w:tc>
          <w:tcPr>
            <w:tcW w:w="379" w:type="pct"/>
          </w:tcPr>
          <w:p>
            <w:pPr>
              <w:spacing w:line="440" w:lineRule="exact"/>
              <w:jc w:val="center"/>
              <w:rPr>
                <w:rFonts w:ascii="宋体" w:hAnsi="宋体"/>
                <w:bCs/>
                <w:color w:val="000000" w:themeColor="text1"/>
                <w14:textFill>
                  <w14:solidFill>
                    <w14:schemeClr w14:val="tx1"/>
                  </w14:solidFill>
                </w14:textFill>
              </w:rPr>
            </w:pPr>
          </w:p>
        </w:tc>
        <w:tc>
          <w:tcPr>
            <w:tcW w:w="462" w:type="pct"/>
          </w:tcPr>
          <w:p>
            <w:pPr>
              <w:spacing w:line="440" w:lineRule="exact"/>
              <w:jc w:val="center"/>
              <w:rPr>
                <w:rFonts w:ascii="宋体" w:hAnsi="宋体"/>
                <w:bCs/>
                <w:color w:val="000000" w:themeColor="text1"/>
                <w14:textFill>
                  <w14:solidFill>
                    <w14:schemeClr w14:val="tx1"/>
                  </w14:solidFill>
                </w14:textFill>
              </w:rPr>
            </w:pPr>
          </w:p>
        </w:tc>
        <w:tc>
          <w:tcPr>
            <w:tcW w:w="776" w:type="pct"/>
          </w:tcPr>
          <w:p>
            <w:pPr>
              <w:spacing w:line="440" w:lineRule="exact"/>
              <w:jc w:val="center"/>
              <w:rPr>
                <w:rFonts w:ascii="宋体" w:hAnsi="宋体"/>
                <w:bCs/>
                <w:color w:val="000000" w:themeColor="text1"/>
                <w14:textFill>
                  <w14:solidFill>
                    <w14:schemeClr w14:val="tx1"/>
                  </w14:solidFill>
                </w14:textFill>
              </w:rPr>
            </w:pPr>
          </w:p>
        </w:tc>
        <w:tc>
          <w:tcPr>
            <w:tcW w:w="605" w:type="pct"/>
          </w:tcPr>
          <w:p>
            <w:pPr>
              <w:spacing w:line="440" w:lineRule="exact"/>
              <w:jc w:val="center"/>
              <w:rPr>
                <w:rFonts w:ascii="宋体" w:hAnsi="宋体"/>
                <w:bCs/>
                <w:color w:val="000000" w:themeColor="text1"/>
                <w14:textFill>
                  <w14:solidFill>
                    <w14:schemeClr w14:val="tx1"/>
                  </w14:solidFill>
                </w14:textFill>
              </w:rPr>
            </w:pPr>
          </w:p>
        </w:tc>
        <w:tc>
          <w:tcPr>
            <w:tcW w:w="563" w:type="pct"/>
          </w:tcPr>
          <w:p>
            <w:pPr>
              <w:spacing w:line="440" w:lineRule="exact"/>
              <w:jc w:val="center"/>
              <w:rPr>
                <w:rFonts w:ascii="宋体" w:hAnsi="宋体"/>
                <w:bCs/>
                <w:color w:val="000000" w:themeColor="text1"/>
                <w14:textFill>
                  <w14:solidFill>
                    <w14:schemeClr w14:val="tx1"/>
                  </w14:solidFill>
                </w14:textFill>
              </w:rPr>
            </w:pPr>
          </w:p>
        </w:tc>
        <w:tc>
          <w:tcPr>
            <w:tcW w:w="568" w:type="pct"/>
          </w:tcPr>
          <w:p>
            <w:pPr>
              <w:spacing w:line="440" w:lineRule="exact"/>
              <w:jc w:val="center"/>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 w:type="pct"/>
          </w:tcPr>
          <w:p>
            <w:pPr>
              <w:spacing w:line="440" w:lineRule="exact"/>
              <w:jc w:val="center"/>
              <w:rPr>
                <w:rFonts w:ascii="宋体" w:hAnsi="宋体"/>
                <w:bCs/>
                <w:color w:val="000000" w:themeColor="text1"/>
                <w14:textFill>
                  <w14:solidFill>
                    <w14:schemeClr w14:val="tx1"/>
                  </w14:solidFill>
                </w14:textFill>
              </w:rPr>
            </w:pPr>
          </w:p>
        </w:tc>
        <w:tc>
          <w:tcPr>
            <w:tcW w:w="689" w:type="pct"/>
          </w:tcPr>
          <w:p>
            <w:pPr>
              <w:spacing w:line="440" w:lineRule="exact"/>
              <w:jc w:val="center"/>
              <w:rPr>
                <w:rFonts w:ascii="宋体" w:hAnsi="宋体"/>
                <w:bCs/>
                <w:color w:val="000000" w:themeColor="text1"/>
                <w14:textFill>
                  <w14:solidFill>
                    <w14:schemeClr w14:val="tx1"/>
                  </w14:solidFill>
                </w14:textFill>
              </w:rPr>
            </w:pPr>
          </w:p>
        </w:tc>
        <w:tc>
          <w:tcPr>
            <w:tcW w:w="325" w:type="pct"/>
          </w:tcPr>
          <w:p>
            <w:pPr>
              <w:spacing w:line="440" w:lineRule="exact"/>
              <w:jc w:val="center"/>
              <w:rPr>
                <w:rFonts w:ascii="宋体" w:hAnsi="宋体"/>
                <w:bCs/>
                <w:color w:val="000000" w:themeColor="text1"/>
                <w14:textFill>
                  <w14:solidFill>
                    <w14:schemeClr w14:val="tx1"/>
                  </w14:solidFill>
                </w14:textFill>
              </w:rPr>
            </w:pPr>
          </w:p>
        </w:tc>
        <w:tc>
          <w:tcPr>
            <w:tcW w:w="345" w:type="pct"/>
          </w:tcPr>
          <w:p>
            <w:pPr>
              <w:spacing w:line="440" w:lineRule="exact"/>
              <w:jc w:val="center"/>
              <w:rPr>
                <w:rFonts w:ascii="宋体" w:hAnsi="宋体"/>
                <w:bCs/>
                <w:color w:val="000000" w:themeColor="text1"/>
                <w14:textFill>
                  <w14:solidFill>
                    <w14:schemeClr w14:val="tx1"/>
                  </w14:solidFill>
                </w14:textFill>
              </w:rPr>
            </w:pPr>
          </w:p>
        </w:tc>
        <w:tc>
          <w:tcPr>
            <w:tcW w:w="379" w:type="pct"/>
          </w:tcPr>
          <w:p>
            <w:pPr>
              <w:spacing w:line="440" w:lineRule="exact"/>
              <w:jc w:val="center"/>
              <w:rPr>
                <w:rFonts w:ascii="宋体" w:hAnsi="宋体"/>
                <w:bCs/>
                <w:color w:val="000000" w:themeColor="text1"/>
                <w14:textFill>
                  <w14:solidFill>
                    <w14:schemeClr w14:val="tx1"/>
                  </w14:solidFill>
                </w14:textFill>
              </w:rPr>
            </w:pPr>
          </w:p>
        </w:tc>
        <w:tc>
          <w:tcPr>
            <w:tcW w:w="462" w:type="pct"/>
          </w:tcPr>
          <w:p>
            <w:pPr>
              <w:spacing w:line="440" w:lineRule="exact"/>
              <w:jc w:val="center"/>
              <w:rPr>
                <w:rFonts w:ascii="宋体" w:hAnsi="宋体"/>
                <w:bCs/>
                <w:color w:val="000000" w:themeColor="text1"/>
                <w14:textFill>
                  <w14:solidFill>
                    <w14:schemeClr w14:val="tx1"/>
                  </w14:solidFill>
                </w14:textFill>
              </w:rPr>
            </w:pPr>
          </w:p>
        </w:tc>
        <w:tc>
          <w:tcPr>
            <w:tcW w:w="776" w:type="pct"/>
          </w:tcPr>
          <w:p>
            <w:pPr>
              <w:spacing w:line="440" w:lineRule="exact"/>
              <w:jc w:val="center"/>
              <w:rPr>
                <w:rFonts w:ascii="宋体" w:hAnsi="宋体"/>
                <w:bCs/>
                <w:color w:val="000000" w:themeColor="text1"/>
                <w14:textFill>
                  <w14:solidFill>
                    <w14:schemeClr w14:val="tx1"/>
                  </w14:solidFill>
                </w14:textFill>
              </w:rPr>
            </w:pPr>
          </w:p>
        </w:tc>
        <w:tc>
          <w:tcPr>
            <w:tcW w:w="605" w:type="pct"/>
          </w:tcPr>
          <w:p>
            <w:pPr>
              <w:spacing w:line="440" w:lineRule="exact"/>
              <w:jc w:val="center"/>
              <w:rPr>
                <w:rFonts w:ascii="宋体" w:hAnsi="宋体"/>
                <w:bCs/>
                <w:color w:val="000000" w:themeColor="text1"/>
                <w14:textFill>
                  <w14:solidFill>
                    <w14:schemeClr w14:val="tx1"/>
                  </w14:solidFill>
                </w14:textFill>
              </w:rPr>
            </w:pPr>
          </w:p>
        </w:tc>
        <w:tc>
          <w:tcPr>
            <w:tcW w:w="563" w:type="pct"/>
          </w:tcPr>
          <w:p>
            <w:pPr>
              <w:spacing w:line="440" w:lineRule="exact"/>
              <w:jc w:val="center"/>
              <w:rPr>
                <w:rFonts w:ascii="宋体" w:hAnsi="宋体"/>
                <w:bCs/>
                <w:color w:val="000000" w:themeColor="text1"/>
                <w14:textFill>
                  <w14:solidFill>
                    <w14:schemeClr w14:val="tx1"/>
                  </w14:solidFill>
                </w14:textFill>
              </w:rPr>
            </w:pPr>
          </w:p>
        </w:tc>
        <w:tc>
          <w:tcPr>
            <w:tcW w:w="568" w:type="pct"/>
          </w:tcPr>
          <w:p>
            <w:pPr>
              <w:spacing w:line="440" w:lineRule="exact"/>
              <w:jc w:val="center"/>
              <w:rPr>
                <w:rFonts w:ascii="宋体" w:hAnsi="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 w:type="pct"/>
          </w:tcPr>
          <w:p>
            <w:pPr>
              <w:spacing w:line="440" w:lineRule="exact"/>
              <w:jc w:val="center"/>
              <w:rPr>
                <w:rFonts w:ascii="宋体" w:hAnsi="宋体"/>
                <w:bCs/>
                <w:color w:val="000000" w:themeColor="text1"/>
                <w14:textFill>
                  <w14:solidFill>
                    <w14:schemeClr w14:val="tx1"/>
                  </w14:solidFill>
                </w14:textFill>
              </w:rPr>
            </w:pPr>
          </w:p>
        </w:tc>
        <w:tc>
          <w:tcPr>
            <w:tcW w:w="689" w:type="pct"/>
          </w:tcPr>
          <w:p>
            <w:pPr>
              <w:spacing w:line="440" w:lineRule="exact"/>
              <w:jc w:val="center"/>
              <w:rPr>
                <w:rFonts w:ascii="宋体" w:hAnsi="宋体"/>
                <w:bCs/>
                <w:color w:val="000000" w:themeColor="text1"/>
                <w14:textFill>
                  <w14:solidFill>
                    <w14:schemeClr w14:val="tx1"/>
                  </w14:solidFill>
                </w14:textFill>
              </w:rPr>
            </w:pPr>
          </w:p>
        </w:tc>
        <w:tc>
          <w:tcPr>
            <w:tcW w:w="325" w:type="pct"/>
          </w:tcPr>
          <w:p>
            <w:pPr>
              <w:spacing w:line="440" w:lineRule="exact"/>
              <w:jc w:val="center"/>
              <w:rPr>
                <w:rFonts w:ascii="宋体" w:hAnsi="宋体"/>
                <w:bCs/>
                <w:color w:val="000000" w:themeColor="text1"/>
                <w14:textFill>
                  <w14:solidFill>
                    <w14:schemeClr w14:val="tx1"/>
                  </w14:solidFill>
                </w14:textFill>
              </w:rPr>
            </w:pPr>
          </w:p>
        </w:tc>
        <w:tc>
          <w:tcPr>
            <w:tcW w:w="345" w:type="pct"/>
          </w:tcPr>
          <w:p>
            <w:pPr>
              <w:spacing w:line="440" w:lineRule="exact"/>
              <w:jc w:val="center"/>
              <w:rPr>
                <w:rFonts w:ascii="宋体" w:hAnsi="宋体"/>
                <w:bCs/>
                <w:color w:val="000000" w:themeColor="text1"/>
                <w14:textFill>
                  <w14:solidFill>
                    <w14:schemeClr w14:val="tx1"/>
                  </w14:solidFill>
                </w14:textFill>
              </w:rPr>
            </w:pPr>
          </w:p>
        </w:tc>
        <w:tc>
          <w:tcPr>
            <w:tcW w:w="379" w:type="pct"/>
          </w:tcPr>
          <w:p>
            <w:pPr>
              <w:spacing w:line="440" w:lineRule="exact"/>
              <w:jc w:val="center"/>
              <w:rPr>
                <w:rFonts w:ascii="宋体" w:hAnsi="宋体"/>
                <w:bCs/>
                <w:color w:val="000000" w:themeColor="text1"/>
                <w14:textFill>
                  <w14:solidFill>
                    <w14:schemeClr w14:val="tx1"/>
                  </w14:solidFill>
                </w14:textFill>
              </w:rPr>
            </w:pPr>
          </w:p>
        </w:tc>
        <w:tc>
          <w:tcPr>
            <w:tcW w:w="462" w:type="pct"/>
          </w:tcPr>
          <w:p>
            <w:pPr>
              <w:spacing w:line="440" w:lineRule="exact"/>
              <w:jc w:val="center"/>
              <w:rPr>
                <w:rFonts w:ascii="宋体" w:hAnsi="宋体"/>
                <w:bCs/>
                <w:color w:val="000000" w:themeColor="text1"/>
                <w14:textFill>
                  <w14:solidFill>
                    <w14:schemeClr w14:val="tx1"/>
                  </w14:solidFill>
                </w14:textFill>
              </w:rPr>
            </w:pPr>
          </w:p>
        </w:tc>
        <w:tc>
          <w:tcPr>
            <w:tcW w:w="776" w:type="pct"/>
          </w:tcPr>
          <w:p>
            <w:pPr>
              <w:spacing w:line="440" w:lineRule="exact"/>
              <w:jc w:val="center"/>
              <w:rPr>
                <w:rFonts w:ascii="宋体" w:hAnsi="宋体"/>
                <w:bCs/>
                <w:color w:val="000000" w:themeColor="text1"/>
                <w14:textFill>
                  <w14:solidFill>
                    <w14:schemeClr w14:val="tx1"/>
                  </w14:solidFill>
                </w14:textFill>
              </w:rPr>
            </w:pPr>
          </w:p>
        </w:tc>
        <w:tc>
          <w:tcPr>
            <w:tcW w:w="605" w:type="pct"/>
          </w:tcPr>
          <w:p>
            <w:pPr>
              <w:spacing w:line="440" w:lineRule="exact"/>
              <w:jc w:val="center"/>
              <w:rPr>
                <w:rFonts w:ascii="宋体" w:hAnsi="宋体"/>
                <w:bCs/>
                <w:color w:val="000000" w:themeColor="text1"/>
                <w14:textFill>
                  <w14:solidFill>
                    <w14:schemeClr w14:val="tx1"/>
                  </w14:solidFill>
                </w14:textFill>
              </w:rPr>
            </w:pPr>
          </w:p>
        </w:tc>
        <w:tc>
          <w:tcPr>
            <w:tcW w:w="563" w:type="pct"/>
          </w:tcPr>
          <w:p>
            <w:pPr>
              <w:spacing w:line="440" w:lineRule="exact"/>
              <w:jc w:val="center"/>
              <w:rPr>
                <w:rFonts w:ascii="宋体" w:hAnsi="宋体"/>
                <w:bCs/>
                <w:color w:val="000000" w:themeColor="text1"/>
                <w14:textFill>
                  <w14:solidFill>
                    <w14:schemeClr w14:val="tx1"/>
                  </w14:solidFill>
                </w14:textFill>
              </w:rPr>
            </w:pPr>
          </w:p>
        </w:tc>
        <w:tc>
          <w:tcPr>
            <w:tcW w:w="568" w:type="pct"/>
          </w:tcPr>
          <w:p>
            <w:pPr>
              <w:spacing w:line="440" w:lineRule="exact"/>
              <w:jc w:val="center"/>
              <w:rPr>
                <w:rFonts w:ascii="宋体" w:hAnsi="宋体"/>
                <w:bCs/>
                <w:color w:val="000000" w:themeColor="text1"/>
                <w14:textFill>
                  <w14:solidFill>
                    <w14:schemeClr w14:val="tx1"/>
                  </w14:solidFill>
                </w14:textFill>
              </w:rPr>
            </w:pPr>
          </w:p>
        </w:tc>
      </w:tr>
    </w:tbl>
    <w:p>
      <w:pPr>
        <w:spacing w:line="440" w:lineRule="exact"/>
        <w:rPr>
          <w:rFonts w:hAnsi="宋体" w:cs="宋体"/>
          <w:color w:val="000000"/>
          <w:sz w:val="24"/>
        </w:rPr>
      </w:pPr>
      <w:r>
        <w:rPr>
          <w:rFonts w:hint="eastAsia"/>
        </w:rPr>
        <w:t>▲</w:t>
      </w:r>
      <w:r>
        <w:rPr>
          <w:rFonts w:hint="eastAsia" w:hAnsi="宋体" w:cs="宋体"/>
          <w:color w:val="000000"/>
          <w:sz w:val="24"/>
        </w:rPr>
        <w:t>注：1.附相关技术职称、执业（专业）资格证书及身份证扫描件，确保资料清晰可辨。</w:t>
      </w:r>
    </w:p>
    <w:p>
      <w:pPr>
        <w:spacing w:line="440" w:lineRule="exact"/>
        <w:rPr>
          <w:rFonts w:hAnsi="宋体" w:cs="宋体"/>
          <w:color w:val="000000"/>
          <w:sz w:val="24"/>
        </w:rPr>
      </w:pPr>
      <w:r>
        <w:rPr>
          <w:rFonts w:hint="eastAsia" w:hAnsi="宋体" w:cs="宋体"/>
          <w:color w:val="000000"/>
          <w:sz w:val="24"/>
        </w:rPr>
        <w:t>2.助理人员须为供应商正式员工，提供劳动合同。</w:t>
      </w:r>
    </w:p>
    <w:p>
      <w:pPr>
        <w:pStyle w:val="7"/>
        <w:snapToGrid w:val="0"/>
        <w:ind w:firstLine="480" w:firstLineChars="200"/>
        <w:jc w:val="center"/>
        <w:rPr>
          <w:rFonts w:ascii="宋体" w:hAnsi="宋体" w:eastAsia="宋体" w:cs="宋体"/>
          <w:color w:val="000000"/>
          <w:sz w:val="24"/>
          <w:szCs w:val="24"/>
        </w:rPr>
      </w:pPr>
    </w:p>
    <w:p>
      <w:pPr>
        <w:pStyle w:val="7"/>
        <w:snapToGrid w:val="0"/>
        <w:ind w:firstLine="480" w:firstLineChars="200"/>
        <w:jc w:val="center"/>
        <w:rPr>
          <w:rFonts w:ascii="宋体" w:hAnsi="宋体" w:eastAsia="宋体"/>
          <w:color w:val="000000"/>
          <w:sz w:val="24"/>
          <w:u w:val="single"/>
        </w:rPr>
      </w:pPr>
    </w:p>
    <w:p>
      <w:pPr>
        <w:snapToGrid w:val="0"/>
        <w:spacing w:before="50"/>
        <w:ind w:left="479" w:leftChars="228"/>
        <w:jc w:val="center"/>
        <w:rPr>
          <w:rFonts w:ascii="宋体" w:hAnsi="宋体" w:eastAsia="宋体"/>
          <w:color w:val="000000"/>
          <w:sz w:val="24"/>
        </w:rPr>
      </w:pPr>
      <w:r>
        <w:rPr>
          <w:rFonts w:hint="eastAsia" w:ascii="宋体" w:hAnsi="宋体"/>
          <w:color w:val="000000"/>
          <w:sz w:val="24"/>
        </w:rPr>
        <w:t xml:space="preserve">                  </w:t>
      </w:r>
      <w:r>
        <w:rPr>
          <w:rFonts w:hint="eastAsia" w:ascii="宋体" w:hAnsi="宋体" w:cs="宋体"/>
          <w:color w:val="000000"/>
          <w:sz w:val="24"/>
        </w:rPr>
        <w:t>响应供应商（盖章）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before="156" w:beforeLines="50" w:after="50"/>
        <w:jc w:val="right"/>
        <w:rPr>
          <w:rFonts w:ascii="宋体" w:hAnsi="宋体"/>
          <w:color w:val="000000"/>
          <w:sz w:val="24"/>
        </w:rPr>
      </w:pPr>
      <w:r>
        <w:rPr>
          <w:rFonts w:hint="eastAsia" w:ascii="宋体" w:hAnsi="宋体"/>
          <w:color w:val="000000"/>
          <w:sz w:val="24"/>
        </w:rPr>
        <w:t>年    月   日</w:t>
      </w:r>
    </w:p>
    <w:p>
      <w:pPr>
        <w:pStyle w:val="3"/>
        <w:spacing w:before="0" w:after="0" w:line="360" w:lineRule="auto"/>
        <w:ind w:firstLine="424" w:firstLineChars="151"/>
        <w:rPr>
          <w:sz w:val="28"/>
        </w:rPr>
      </w:pPr>
      <w:r>
        <w:rPr>
          <w:rFonts w:hint="eastAsia"/>
          <w:sz w:val="28"/>
        </w:rPr>
        <w:t>8.业绩情况一览表格式</w:t>
      </w:r>
    </w:p>
    <w:p>
      <w:pPr>
        <w:snapToGrid w:val="0"/>
        <w:spacing w:before="156" w:beforeLines="50" w:after="360"/>
        <w:jc w:val="center"/>
        <w:rPr>
          <w:rFonts w:ascii="宋体" w:hAnsi="宋体"/>
          <w:b/>
          <w:color w:val="000000"/>
          <w:sz w:val="24"/>
        </w:rPr>
      </w:pPr>
      <w:r>
        <w:rPr>
          <w:rFonts w:hint="eastAsia" w:ascii="宋体" w:hAnsi="宋体"/>
          <w:b/>
          <w:color w:val="000000"/>
          <w:sz w:val="24"/>
        </w:rPr>
        <w:t>业绩情况一览表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3688"/>
        <w:gridCol w:w="848"/>
        <w:gridCol w:w="1134"/>
        <w:gridCol w:w="1420"/>
        <w:gridCol w:w="848"/>
        <w:gridCol w:w="85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38" w:type="pct"/>
            <w:vMerge w:val="restart"/>
            <w:vAlign w:val="center"/>
          </w:tcPr>
          <w:p>
            <w:pPr>
              <w:spacing w:line="440" w:lineRule="exact"/>
              <w:jc w:val="center"/>
              <w:rPr>
                <w:rFonts w:hAnsi="宋体" w:cs="宋体"/>
                <w:color w:val="000000"/>
                <w:sz w:val="24"/>
              </w:rPr>
            </w:pPr>
            <w:r>
              <w:rPr>
                <w:rFonts w:hint="eastAsia" w:hAnsi="宋体" w:cs="宋体"/>
                <w:color w:val="000000"/>
                <w:sz w:val="24"/>
              </w:rPr>
              <w:t>采购单位名称</w:t>
            </w:r>
          </w:p>
        </w:tc>
        <w:tc>
          <w:tcPr>
            <w:tcW w:w="1301" w:type="pct"/>
            <w:vMerge w:val="restart"/>
            <w:vAlign w:val="center"/>
          </w:tcPr>
          <w:p>
            <w:pPr>
              <w:spacing w:line="440" w:lineRule="exact"/>
              <w:jc w:val="center"/>
              <w:rPr>
                <w:rFonts w:hAnsi="宋体" w:cs="宋体"/>
                <w:color w:val="000000"/>
                <w:sz w:val="24"/>
              </w:rPr>
            </w:pPr>
            <w:r>
              <w:rPr>
                <w:rFonts w:hint="eastAsia" w:hAnsi="宋体" w:cs="宋体"/>
                <w:color w:val="000000"/>
                <w:sz w:val="24"/>
              </w:rPr>
              <w:t>项目名称</w:t>
            </w:r>
          </w:p>
        </w:tc>
        <w:tc>
          <w:tcPr>
            <w:tcW w:w="299" w:type="pct"/>
            <w:vMerge w:val="restart"/>
            <w:vAlign w:val="center"/>
          </w:tcPr>
          <w:p>
            <w:pPr>
              <w:spacing w:line="440" w:lineRule="exact"/>
              <w:jc w:val="center"/>
              <w:rPr>
                <w:rFonts w:hAnsi="宋体" w:cs="宋体"/>
                <w:color w:val="000000"/>
                <w:sz w:val="24"/>
              </w:rPr>
            </w:pPr>
            <w:r>
              <w:rPr>
                <w:rFonts w:hint="eastAsia" w:hAnsi="宋体" w:cs="宋体"/>
                <w:color w:val="000000"/>
                <w:sz w:val="24"/>
              </w:rPr>
              <w:t>采购数量</w:t>
            </w:r>
          </w:p>
        </w:tc>
        <w:tc>
          <w:tcPr>
            <w:tcW w:w="400" w:type="pct"/>
            <w:vMerge w:val="restart"/>
            <w:vAlign w:val="center"/>
          </w:tcPr>
          <w:p>
            <w:pPr>
              <w:spacing w:line="440" w:lineRule="exact"/>
              <w:jc w:val="center"/>
              <w:rPr>
                <w:rFonts w:hAnsi="宋体" w:cs="宋体"/>
                <w:color w:val="000000"/>
                <w:sz w:val="24"/>
              </w:rPr>
            </w:pPr>
            <w:r>
              <w:rPr>
                <w:rFonts w:hint="eastAsia" w:hAnsi="宋体" w:cs="宋体"/>
                <w:color w:val="000000"/>
                <w:sz w:val="24"/>
              </w:rPr>
              <w:t>单价</w:t>
            </w:r>
          </w:p>
          <w:p>
            <w:pPr>
              <w:spacing w:line="440" w:lineRule="exact"/>
              <w:jc w:val="center"/>
              <w:rPr>
                <w:rFonts w:hAnsi="宋体" w:cs="宋体"/>
                <w:color w:val="000000"/>
                <w:sz w:val="24"/>
              </w:rPr>
            </w:pPr>
            <w:r>
              <w:rPr>
                <w:rFonts w:hint="eastAsia" w:hAnsi="宋体" w:cs="宋体"/>
                <w:color w:val="000000"/>
                <w:sz w:val="24"/>
              </w:rPr>
              <w:t>（万元）</w:t>
            </w:r>
          </w:p>
        </w:tc>
        <w:tc>
          <w:tcPr>
            <w:tcW w:w="501" w:type="pct"/>
            <w:vMerge w:val="restart"/>
            <w:vAlign w:val="center"/>
          </w:tcPr>
          <w:p>
            <w:pPr>
              <w:spacing w:line="440" w:lineRule="exact"/>
              <w:jc w:val="center"/>
              <w:rPr>
                <w:rFonts w:hAnsi="宋体" w:cs="宋体"/>
                <w:color w:val="000000"/>
                <w:sz w:val="24"/>
              </w:rPr>
            </w:pPr>
            <w:r>
              <w:rPr>
                <w:rFonts w:hint="eastAsia" w:hAnsi="宋体" w:cs="宋体"/>
                <w:color w:val="000000"/>
                <w:sz w:val="24"/>
              </w:rPr>
              <w:t>合同金额</w:t>
            </w:r>
          </w:p>
          <w:p>
            <w:pPr>
              <w:spacing w:line="440" w:lineRule="exact"/>
              <w:jc w:val="center"/>
              <w:rPr>
                <w:rFonts w:hAnsi="宋体" w:cs="宋体"/>
                <w:color w:val="000000"/>
                <w:sz w:val="24"/>
              </w:rPr>
            </w:pPr>
            <w:r>
              <w:rPr>
                <w:rFonts w:hint="eastAsia" w:hAnsi="宋体" w:cs="宋体"/>
                <w:color w:val="000000"/>
                <w:sz w:val="24"/>
              </w:rPr>
              <w:t>（万元）</w:t>
            </w:r>
          </w:p>
        </w:tc>
        <w:tc>
          <w:tcPr>
            <w:tcW w:w="600" w:type="pct"/>
            <w:gridSpan w:val="2"/>
            <w:vAlign w:val="center"/>
          </w:tcPr>
          <w:p>
            <w:pPr>
              <w:spacing w:line="440" w:lineRule="exact"/>
              <w:jc w:val="center"/>
              <w:rPr>
                <w:rFonts w:hAnsi="宋体" w:cs="宋体"/>
                <w:color w:val="000000"/>
                <w:sz w:val="24"/>
              </w:rPr>
            </w:pPr>
            <w:r>
              <w:rPr>
                <w:rFonts w:hint="eastAsia" w:hAnsi="宋体" w:cs="宋体"/>
                <w:color w:val="000000"/>
                <w:sz w:val="24"/>
              </w:rPr>
              <w:t>附件页码</w:t>
            </w:r>
          </w:p>
        </w:tc>
        <w:tc>
          <w:tcPr>
            <w:tcW w:w="861" w:type="pct"/>
            <w:vMerge w:val="restart"/>
            <w:vAlign w:val="center"/>
          </w:tcPr>
          <w:p>
            <w:pPr>
              <w:spacing w:line="440" w:lineRule="exact"/>
              <w:jc w:val="center"/>
              <w:rPr>
                <w:rFonts w:hAnsi="宋体" w:cs="宋体"/>
                <w:color w:val="000000"/>
                <w:sz w:val="24"/>
              </w:rPr>
            </w:pPr>
            <w:r>
              <w:rPr>
                <w:rFonts w:hint="eastAsia" w:hAnsi="宋体" w:cs="宋体"/>
                <w:color w:val="000000"/>
                <w:sz w:val="24"/>
              </w:rPr>
              <w:t>采购单位联系人及联系电话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38" w:type="pct"/>
            <w:vMerge w:val="continue"/>
            <w:vAlign w:val="center"/>
          </w:tcPr>
          <w:p>
            <w:pPr>
              <w:spacing w:line="440" w:lineRule="exact"/>
              <w:jc w:val="center"/>
              <w:rPr>
                <w:rFonts w:hAnsi="宋体" w:cs="宋体"/>
                <w:color w:val="000000"/>
                <w:sz w:val="24"/>
              </w:rPr>
            </w:pPr>
          </w:p>
        </w:tc>
        <w:tc>
          <w:tcPr>
            <w:tcW w:w="1301" w:type="pct"/>
            <w:vMerge w:val="continue"/>
            <w:vAlign w:val="center"/>
          </w:tcPr>
          <w:p>
            <w:pPr>
              <w:spacing w:line="440" w:lineRule="exact"/>
              <w:jc w:val="center"/>
              <w:rPr>
                <w:rFonts w:hAnsi="宋体" w:cs="宋体"/>
                <w:color w:val="000000"/>
                <w:sz w:val="24"/>
              </w:rPr>
            </w:pPr>
          </w:p>
        </w:tc>
        <w:tc>
          <w:tcPr>
            <w:tcW w:w="299" w:type="pct"/>
            <w:vMerge w:val="continue"/>
            <w:vAlign w:val="center"/>
          </w:tcPr>
          <w:p>
            <w:pPr>
              <w:spacing w:line="440" w:lineRule="exact"/>
              <w:jc w:val="center"/>
              <w:rPr>
                <w:rFonts w:hAnsi="宋体" w:cs="宋体"/>
                <w:color w:val="000000"/>
                <w:sz w:val="24"/>
              </w:rPr>
            </w:pPr>
          </w:p>
        </w:tc>
        <w:tc>
          <w:tcPr>
            <w:tcW w:w="400" w:type="pct"/>
            <w:vMerge w:val="continue"/>
            <w:vAlign w:val="center"/>
          </w:tcPr>
          <w:p>
            <w:pPr>
              <w:spacing w:line="440" w:lineRule="exact"/>
              <w:jc w:val="center"/>
              <w:rPr>
                <w:rFonts w:hAnsi="宋体" w:cs="宋体"/>
                <w:color w:val="000000"/>
                <w:sz w:val="24"/>
              </w:rPr>
            </w:pPr>
          </w:p>
        </w:tc>
        <w:tc>
          <w:tcPr>
            <w:tcW w:w="501" w:type="pct"/>
            <w:vMerge w:val="continue"/>
            <w:vAlign w:val="center"/>
          </w:tcPr>
          <w:p>
            <w:pPr>
              <w:spacing w:line="440" w:lineRule="exact"/>
              <w:jc w:val="center"/>
              <w:rPr>
                <w:rFonts w:hAnsi="宋体" w:cs="宋体"/>
                <w:color w:val="000000"/>
                <w:sz w:val="24"/>
              </w:rPr>
            </w:pPr>
          </w:p>
        </w:tc>
        <w:tc>
          <w:tcPr>
            <w:tcW w:w="299" w:type="pct"/>
            <w:vAlign w:val="center"/>
          </w:tcPr>
          <w:p>
            <w:pPr>
              <w:spacing w:line="440" w:lineRule="exact"/>
              <w:jc w:val="center"/>
              <w:rPr>
                <w:rFonts w:hAnsi="宋体" w:cs="宋体"/>
                <w:color w:val="000000"/>
                <w:sz w:val="24"/>
              </w:rPr>
            </w:pPr>
            <w:r>
              <w:rPr>
                <w:rFonts w:hint="eastAsia" w:hAnsi="宋体" w:cs="宋体"/>
                <w:color w:val="000000"/>
                <w:sz w:val="24"/>
              </w:rPr>
              <w:t>合同</w:t>
            </w:r>
          </w:p>
        </w:tc>
        <w:tc>
          <w:tcPr>
            <w:tcW w:w="301" w:type="pct"/>
            <w:vAlign w:val="center"/>
          </w:tcPr>
          <w:p>
            <w:pPr>
              <w:spacing w:line="440" w:lineRule="exact"/>
              <w:jc w:val="center"/>
              <w:rPr>
                <w:rFonts w:hAnsi="宋体" w:cs="宋体"/>
                <w:color w:val="000000"/>
                <w:sz w:val="24"/>
              </w:rPr>
            </w:pPr>
            <w:r>
              <w:rPr>
                <w:rFonts w:hint="eastAsia" w:hAnsi="宋体" w:cs="宋体"/>
                <w:color w:val="000000"/>
                <w:sz w:val="24"/>
              </w:rPr>
              <w:t>验收报告</w:t>
            </w:r>
          </w:p>
        </w:tc>
        <w:tc>
          <w:tcPr>
            <w:tcW w:w="861" w:type="pct"/>
            <w:vMerge w:val="continue"/>
            <w:vAlign w:val="center"/>
          </w:tcPr>
          <w:p>
            <w:pPr>
              <w:spacing w:line="440" w:lineRule="exact"/>
              <w:jc w:val="center"/>
              <w:rPr>
                <w:rFonts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8" w:type="pct"/>
            <w:vAlign w:val="center"/>
          </w:tcPr>
          <w:p>
            <w:pPr>
              <w:jc w:val="center"/>
            </w:pPr>
          </w:p>
        </w:tc>
        <w:tc>
          <w:tcPr>
            <w:tcW w:w="1301" w:type="pct"/>
            <w:vAlign w:val="center"/>
          </w:tcPr>
          <w:p>
            <w:pPr>
              <w:jc w:val="center"/>
            </w:pPr>
          </w:p>
        </w:tc>
        <w:tc>
          <w:tcPr>
            <w:tcW w:w="299" w:type="pct"/>
            <w:vAlign w:val="center"/>
          </w:tcPr>
          <w:p>
            <w:pPr>
              <w:jc w:val="center"/>
            </w:pPr>
          </w:p>
        </w:tc>
        <w:tc>
          <w:tcPr>
            <w:tcW w:w="400" w:type="pct"/>
            <w:vAlign w:val="center"/>
          </w:tcPr>
          <w:p>
            <w:pPr>
              <w:jc w:val="center"/>
            </w:pPr>
          </w:p>
        </w:tc>
        <w:tc>
          <w:tcPr>
            <w:tcW w:w="501" w:type="pct"/>
            <w:vAlign w:val="center"/>
          </w:tcPr>
          <w:p>
            <w:pPr>
              <w:jc w:val="center"/>
            </w:pPr>
          </w:p>
        </w:tc>
        <w:tc>
          <w:tcPr>
            <w:tcW w:w="299" w:type="pct"/>
            <w:vAlign w:val="center"/>
          </w:tcPr>
          <w:p>
            <w:pPr>
              <w:jc w:val="center"/>
            </w:pPr>
          </w:p>
        </w:tc>
        <w:tc>
          <w:tcPr>
            <w:tcW w:w="301" w:type="pct"/>
            <w:vAlign w:val="center"/>
          </w:tcPr>
          <w:p>
            <w:pPr>
              <w:jc w:val="center"/>
            </w:pPr>
          </w:p>
        </w:tc>
        <w:tc>
          <w:tcPr>
            <w:tcW w:w="86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8" w:type="pct"/>
            <w:vAlign w:val="center"/>
          </w:tcPr>
          <w:p>
            <w:pPr>
              <w:jc w:val="center"/>
            </w:pPr>
          </w:p>
        </w:tc>
        <w:tc>
          <w:tcPr>
            <w:tcW w:w="1301" w:type="pct"/>
            <w:vAlign w:val="center"/>
          </w:tcPr>
          <w:p>
            <w:pPr>
              <w:jc w:val="center"/>
            </w:pPr>
          </w:p>
        </w:tc>
        <w:tc>
          <w:tcPr>
            <w:tcW w:w="299" w:type="pct"/>
            <w:vAlign w:val="center"/>
          </w:tcPr>
          <w:p>
            <w:pPr>
              <w:jc w:val="center"/>
            </w:pPr>
          </w:p>
        </w:tc>
        <w:tc>
          <w:tcPr>
            <w:tcW w:w="400" w:type="pct"/>
            <w:vAlign w:val="center"/>
          </w:tcPr>
          <w:p>
            <w:pPr>
              <w:jc w:val="center"/>
            </w:pPr>
          </w:p>
        </w:tc>
        <w:tc>
          <w:tcPr>
            <w:tcW w:w="501" w:type="pct"/>
            <w:vAlign w:val="center"/>
          </w:tcPr>
          <w:p>
            <w:pPr>
              <w:jc w:val="center"/>
            </w:pPr>
          </w:p>
        </w:tc>
        <w:tc>
          <w:tcPr>
            <w:tcW w:w="299" w:type="pct"/>
            <w:vAlign w:val="center"/>
          </w:tcPr>
          <w:p>
            <w:pPr>
              <w:jc w:val="center"/>
            </w:pPr>
          </w:p>
        </w:tc>
        <w:tc>
          <w:tcPr>
            <w:tcW w:w="301" w:type="pct"/>
            <w:vAlign w:val="center"/>
          </w:tcPr>
          <w:p>
            <w:pPr>
              <w:jc w:val="center"/>
            </w:pPr>
          </w:p>
        </w:tc>
        <w:tc>
          <w:tcPr>
            <w:tcW w:w="86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8" w:type="pct"/>
            <w:vAlign w:val="center"/>
          </w:tcPr>
          <w:p>
            <w:pPr>
              <w:jc w:val="center"/>
            </w:pPr>
          </w:p>
        </w:tc>
        <w:tc>
          <w:tcPr>
            <w:tcW w:w="1301" w:type="pct"/>
            <w:vAlign w:val="center"/>
          </w:tcPr>
          <w:p>
            <w:pPr>
              <w:jc w:val="center"/>
            </w:pPr>
          </w:p>
        </w:tc>
        <w:tc>
          <w:tcPr>
            <w:tcW w:w="299" w:type="pct"/>
            <w:vAlign w:val="center"/>
          </w:tcPr>
          <w:p>
            <w:pPr>
              <w:jc w:val="center"/>
            </w:pPr>
          </w:p>
        </w:tc>
        <w:tc>
          <w:tcPr>
            <w:tcW w:w="400" w:type="pct"/>
            <w:vAlign w:val="center"/>
          </w:tcPr>
          <w:p>
            <w:pPr>
              <w:jc w:val="center"/>
            </w:pPr>
          </w:p>
        </w:tc>
        <w:tc>
          <w:tcPr>
            <w:tcW w:w="501" w:type="pct"/>
            <w:vAlign w:val="center"/>
          </w:tcPr>
          <w:p>
            <w:pPr>
              <w:jc w:val="center"/>
            </w:pPr>
          </w:p>
        </w:tc>
        <w:tc>
          <w:tcPr>
            <w:tcW w:w="299" w:type="pct"/>
            <w:vAlign w:val="center"/>
          </w:tcPr>
          <w:p>
            <w:pPr>
              <w:jc w:val="center"/>
            </w:pPr>
          </w:p>
        </w:tc>
        <w:tc>
          <w:tcPr>
            <w:tcW w:w="301" w:type="pct"/>
            <w:vAlign w:val="center"/>
          </w:tcPr>
          <w:p>
            <w:pPr>
              <w:jc w:val="center"/>
            </w:pPr>
          </w:p>
        </w:tc>
        <w:tc>
          <w:tcPr>
            <w:tcW w:w="861" w:type="pct"/>
            <w:vAlign w:val="center"/>
          </w:tcPr>
          <w:p>
            <w:pPr>
              <w:jc w:val="center"/>
            </w:pPr>
          </w:p>
        </w:tc>
      </w:tr>
    </w:tbl>
    <w:p>
      <w:pPr>
        <w:pStyle w:val="7"/>
        <w:snapToGrid w:val="0"/>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注：1.表格行数可自行添加。</w:t>
      </w:r>
    </w:p>
    <w:p>
      <w:pPr>
        <w:pStyle w:val="7"/>
        <w:snapToGrid w:val="0"/>
        <w:ind w:firstLine="480" w:firstLineChars="200"/>
        <w:jc w:val="center"/>
        <w:rPr>
          <w:rFonts w:ascii="宋体" w:hAnsi="宋体" w:eastAsia="宋体" w:cs="宋体"/>
          <w:color w:val="000000"/>
          <w:sz w:val="24"/>
          <w:szCs w:val="24"/>
        </w:rPr>
      </w:pPr>
    </w:p>
    <w:p>
      <w:pPr>
        <w:pStyle w:val="7"/>
        <w:snapToGrid w:val="0"/>
        <w:ind w:firstLine="480" w:firstLineChars="200"/>
        <w:jc w:val="center"/>
        <w:rPr>
          <w:rFonts w:ascii="宋体" w:hAnsi="宋体" w:eastAsia="宋体"/>
          <w:color w:val="000000"/>
          <w:sz w:val="24"/>
          <w:u w:val="single"/>
        </w:rPr>
      </w:pPr>
    </w:p>
    <w:p>
      <w:pPr>
        <w:snapToGrid w:val="0"/>
        <w:spacing w:before="50"/>
        <w:ind w:left="479" w:leftChars="228"/>
        <w:jc w:val="center"/>
        <w:rPr>
          <w:rFonts w:ascii="宋体" w:hAnsi="宋体" w:eastAsia="宋体"/>
          <w:color w:val="000000"/>
          <w:sz w:val="24"/>
        </w:rPr>
      </w:pPr>
      <w:r>
        <w:rPr>
          <w:rFonts w:hint="eastAsia" w:ascii="宋体" w:hAnsi="宋体"/>
          <w:color w:val="000000"/>
          <w:sz w:val="24"/>
        </w:rPr>
        <w:t xml:space="preserve">                  </w:t>
      </w:r>
      <w:r>
        <w:rPr>
          <w:rFonts w:hint="eastAsia" w:ascii="宋体" w:hAnsi="宋体" w:cs="宋体"/>
          <w:color w:val="000000"/>
          <w:sz w:val="24"/>
        </w:rPr>
        <w:t>响应供应商（盖章）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before="156" w:beforeLines="50" w:after="50"/>
        <w:jc w:val="right"/>
        <w:rPr>
          <w:rFonts w:ascii="宋体" w:hAnsi="宋体"/>
          <w:color w:val="000000"/>
          <w:sz w:val="24"/>
        </w:rPr>
      </w:pPr>
      <w:r>
        <w:rPr>
          <w:rFonts w:hint="eastAsia" w:ascii="宋体" w:hAnsi="宋体"/>
          <w:color w:val="000000"/>
          <w:sz w:val="24"/>
        </w:rPr>
        <w:t>年    月   日</w:t>
      </w:r>
    </w:p>
    <w:p>
      <w:pPr>
        <w:sectPr>
          <w:pgSz w:w="16838" w:h="11906" w:orient="landscape"/>
          <w:pgMar w:top="1797" w:right="1440" w:bottom="1797" w:left="1440" w:header="851" w:footer="992" w:gutter="0"/>
          <w:cols w:space="425" w:num="1"/>
          <w:docGrid w:type="lines" w:linePitch="312" w:charSpace="0"/>
        </w:sectPr>
      </w:pPr>
    </w:p>
    <w:p>
      <w:pPr>
        <w:pStyle w:val="3"/>
        <w:spacing w:before="0" w:after="0" w:line="360" w:lineRule="auto"/>
        <w:ind w:firstLine="424" w:firstLineChars="151"/>
        <w:rPr>
          <w:sz w:val="28"/>
        </w:rPr>
      </w:pPr>
      <w:r>
        <w:rPr>
          <w:rFonts w:hint="eastAsia"/>
          <w:sz w:val="28"/>
        </w:rPr>
        <w:t>10.报价一览表格式（仅放置于报价文件当中）</w:t>
      </w:r>
    </w:p>
    <w:p>
      <w:pPr>
        <w:snapToGrid w:val="0"/>
        <w:spacing w:before="156" w:beforeLines="50" w:after="360"/>
        <w:jc w:val="center"/>
        <w:rPr>
          <w:rFonts w:ascii="宋体" w:hAnsi="宋体"/>
          <w:b/>
          <w:color w:val="000000"/>
          <w:sz w:val="24"/>
        </w:rPr>
      </w:pPr>
      <w:r>
        <w:rPr>
          <w:rFonts w:hint="eastAsia" w:ascii="宋体" w:hAnsi="宋体"/>
          <w:b/>
          <w:color w:val="000000"/>
          <w:sz w:val="24"/>
        </w:rPr>
        <w:t>报价一览表</w:t>
      </w:r>
    </w:p>
    <w:p>
      <w:pPr>
        <w:spacing w:line="440" w:lineRule="exact"/>
        <w:jc w:val="left"/>
        <w:rPr>
          <w:rFonts w:hAnsi="宋体" w:cs="宋体"/>
          <w:color w:val="000000"/>
          <w:sz w:val="24"/>
        </w:rPr>
      </w:pPr>
      <w:r>
        <w:rPr>
          <w:rFonts w:hint="eastAsia" w:hAnsi="宋体" w:cs="宋体"/>
          <w:color w:val="000000"/>
          <w:sz w:val="24"/>
        </w:rPr>
        <w:t>项目名称：</w:t>
      </w:r>
    </w:p>
    <w:p>
      <w:pPr>
        <w:spacing w:after="240" w:line="440" w:lineRule="exact"/>
        <w:jc w:val="left"/>
        <w:rPr>
          <w:rFonts w:hAnsi="宋体" w:cs="宋体"/>
          <w:color w:val="000000"/>
          <w:sz w:val="24"/>
        </w:rPr>
      </w:pPr>
      <w:r>
        <w:rPr>
          <w:rFonts w:hint="eastAsia" w:hAnsi="宋体" w:cs="宋体"/>
          <w:color w:val="000000"/>
          <w:sz w:val="24"/>
        </w:rPr>
        <w:t>项目编号：                                           标项：</w:t>
      </w:r>
    </w:p>
    <w:tbl>
      <w:tblPr>
        <w:tblStyle w:val="21"/>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1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606" w:type="dxa"/>
            <w:tcBorders>
              <w:top w:val="single" w:color="auto" w:sz="4" w:space="0"/>
              <w:left w:val="single" w:color="auto" w:sz="4" w:space="0"/>
              <w:bottom w:val="nil"/>
              <w:right w:val="single" w:color="auto" w:sz="4" w:space="0"/>
            </w:tcBorders>
            <w:vAlign w:val="center"/>
          </w:tcPr>
          <w:p>
            <w:pPr>
              <w:spacing w:line="440" w:lineRule="exact"/>
              <w:jc w:val="center"/>
              <w:rPr>
                <w:rFonts w:hAnsi="宋体" w:cs="宋体"/>
                <w:b/>
                <w:color w:val="000000"/>
                <w:sz w:val="24"/>
              </w:rPr>
            </w:pPr>
            <w:r>
              <w:rPr>
                <w:rFonts w:hint="eastAsia" w:hAnsi="宋体" w:cs="宋体"/>
                <w:b/>
                <w:color w:val="000000"/>
                <w:sz w:val="24"/>
              </w:rPr>
              <w:t>服务内容</w:t>
            </w:r>
          </w:p>
        </w:tc>
        <w:tc>
          <w:tcPr>
            <w:tcW w:w="4149" w:type="dxa"/>
            <w:tcBorders>
              <w:top w:val="single" w:color="auto" w:sz="4" w:space="0"/>
              <w:left w:val="single" w:color="auto" w:sz="4" w:space="0"/>
              <w:bottom w:val="nil"/>
              <w:right w:val="single" w:color="auto" w:sz="4" w:space="0"/>
            </w:tcBorders>
            <w:vAlign w:val="center"/>
          </w:tcPr>
          <w:p>
            <w:pPr>
              <w:spacing w:line="440" w:lineRule="exact"/>
              <w:jc w:val="center"/>
              <w:rPr>
                <w:rFonts w:hAnsi="宋体" w:cs="宋体"/>
                <w:b/>
                <w:color w:val="000000"/>
                <w:sz w:val="24"/>
              </w:rPr>
            </w:pPr>
            <w:r>
              <w:rPr>
                <w:rFonts w:hint="eastAsia" w:hAnsi="宋体" w:cs="宋体"/>
                <w:b/>
                <w:color w:val="000000"/>
                <w:sz w:val="24"/>
              </w:rPr>
              <w:t>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6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Ansi="宋体" w:cs="宋体"/>
                <w:color w:val="000000"/>
                <w:sz w:val="24"/>
              </w:rPr>
            </w:pPr>
            <w:r>
              <w:rPr>
                <w:rFonts w:hint="eastAsia" w:hAnsi="宋体" w:cs="宋体"/>
                <w:color w:val="000000"/>
                <w:sz w:val="24"/>
              </w:rPr>
              <w:t>预算绩效评价咨询服务</w:t>
            </w:r>
          </w:p>
        </w:tc>
        <w:tc>
          <w:tcPr>
            <w:tcW w:w="414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Ansi="宋体" w:cs="宋体"/>
                <w:color w:val="000000"/>
                <w:sz w:val="24"/>
              </w:rPr>
            </w:pPr>
            <w:r>
              <w:rPr>
                <w:rFonts w:hint="eastAsia" w:hAnsi="宋体" w:cs="宋体"/>
                <w:color w:val="000000"/>
                <w:sz w:val="24"/>
                <w:u w:val="single"/>
              </w:rPr>
              <w:t xml:space="preserve">       </w:t>
            </w:r>
            <w:r>
              <w:rPr>
                <w:rFonts w:hint="eastAsia" w:hAnsi="宋体" w:cs="宋体"/>
                <w:color w:val="000000"/>
                <w:sz w:val="24"/>
              </w:rPr>
              <w:t>%</w:t>
            </w:r>
          </w:p>
        </w:tc>
      </w:tr>
    </w:tbl>
    <w:p>
      <w:pPr>
        <w:spacing w:line="440" w:lineRule="exact"/>
        <w:jc w:val="left"/>
        <w:rPr>
          <w:rFonts w:hAnsi="宋体" w:cs="宋体"/>
          <w:color w:val="000000"/>
          <w:sz w:val="24"/>
        </w:rPr>
      </w:pPr>
      <w:r>
        <w:rPr>
          <w:rFonts w:hint="eastAsia" w:hAnsi="宋体" w:cs="宋体"/>
          <w:color w:val="000000"/>
          <w:sz w:val="24"/>
        </w:rPr>
        <w:t>注：1.供应商应在基准价的基础上做出第一阶段响应报价，给予折扣率。响应供应商折扣率=第二阶段授予合同的最高价/基准价×100%，如实际价格为70元，基准价为100元，则折扣率为70%。采购人可以根据采购时服务费和折扣率，确定采购的最终价格。响应方的折扣率不得高于给予其他客户的折扣率以及日常对外公布的折扣率。</w:t>
      </w:r>
    </w:p>
    <w:p>
      <w:pPr>
        <w:spacing w:line="440" w:lineRule="exact"/>
        <w:jc w:val="left"/>
        <w:rPr>
          <w:rFonts w:hAnsi="宋体" w:cs="宋体"/>
          <w:color w:val="000000"/>
          <w:sz w:val="24"/>
        </w:rPr>
      </w:pPr>
      <w:r>
        <w:rPr>
          <w:rFonts w:hint="eastAsia" w:hAnsi="宋体" w:cs="宋体"/>
          <w:color w:val="000000"/>
          <w:sz w:val="24"/>
        </w:rPr>
        <w:t>▲</w:t>
      </w:r>
      <w:r>
        <w:rPr>
          <w:rFonts w:hint="eastAsia" w:hAnsi="宋体" w:cs="宋体"/>
          <w:b/>
          <w:color w:val="000000"/>
          <w:sz w:val="24"/>
        </w:rPr>
        <w:t>2.</w:t>
      </w:r>
      <w:r>
        <w:rPr>
          <w:rFonts w:hint="eastAsia" w:ascii="仿宋" w:hAnsi="仿宋" w:eastAsia="仿宋" w:cs="仿宋"/>
          <w:bCs/>
          <w:sz w:val="28"/>
          <w:szCs w:val="28"/>
        </w:rPr>
        <w:t xml:space="preserve"> </w:t>
      </w:r>
      <w:r>
        <w:rPr>
          <w:rFonts w:hint="eastAsia" w:hAnsi="宋体" w:cs="宋体"/>
          <w:b/>
          <w:color w:val="000000"/>
          <w:sz w:val="24"/>
        </w:rPr>
        <w:t>折扣率所填数值（百分符号前面的数）须为大于0小于100的整数。如折扣率填92%、85%、70%有效，填92.5%、85.15%、0%、100%无效。</w:t>
      </w:r>
    </w:p>
    <w:p>
      <w:pPr>
        <w:spacing w:line="440" w:lineRule="exact"/>
        <w:jc w:val="left"/>
        <w:rPr>
          <w:rFonts w:hAnsi="宋体" w:cs="宋体"/>
          <w:color w:val="000000"/>
          <w:sz w:val="24"/>
        </w:rPr>
      </w:pPr>
      <w:r>
        <w:rPr>
          <w:rFonts w:hint="eastAsia" w:hAnsi="宋体" w:cs="宋体"/>
          <w:color w:val="000000"/>
          <w:sz w:val="24"/>
        </w:rPr>
        <w:t>▲</w:t>
      </w:r>
      <w:r>
        <w:rPr>
          <w:rFonts w:hint="eastAsia" w:hAnsi="宋体" w:cs="宋体"/>
          <w:b/>
          <w:color w:val="000000"/>
          <w:sz w:val="24"/>
        </w:rPr>
        <w:t>3.供应商响应折扣率低于50%的，应当在报价响应文件中详细阐述不影响诚信履约的具体原因</w:t>
      </w:r>
      <w:r>
        <w:rPr>
          <w:rFonts w:hint="eastAsia" w:hAnsi="宋体" w:cs="宋体"/>
          <w:color w:val="000000"/>
          <w:sz w:val="24"/>
        </w:rPr>
        <w:t>（仅类似以承诺性质的说明无效，具体以评审委员会认定为准）。</w:t>
      </w:r>
    </w:p>
    <w:p>
      <w:pPr>
        <w:spacing w:line="440" w:lineRule="exact"/>
        <w:jc w:val="left"/>
        <w:rPr>
          <w:rFonts w:hAnsi="宋体" w:cs="宋体"/>
          <w:color w:val="000000"/>
          <w:sz w:val="24"/>
        </w:rPr>
      </w:pPr>
      <w:r>
        <w:rPr>
          <w:rFonts w:hint="eastAsia" w:hAnsi="宋体" w:cs="宋体"/>
          <w:color w:val="000000"/>
          <w:sz w:val="24"/>
        </w:rPr>
        <w:t>4.响应报价应包括人工费、服务费、材料费、税费等其他一切费用。</w:t>
      </w:r>
    </w:p>
    <w:p>
      <w:pPr>
        <w:spacing w:line="440" w:lineRule="exact"/>
        <w:jc w:val="left"/>
        <w:rPr>
          <w:rFonts w:hAnsi="宋体" w:cs="宋体"/>
          <w:color w:val="000000"/>
          <w:sz w:val="24"/>
        </w:rPr>
      </w:pPr>
      <w:r>
        <w:rPr>
          <w:rFonts w:hint="eastAsia" w:hAnsi="宋体" w:cs="宋体"/>
          <w:color w:val="000000"/>
          <w:sz w:val="24"/>
        </w:rPr>
        <w:t>5.特别约定事项：征集文件和政采云报价系统中出现的优惠率、折扣率等表述都理解为折扣，投标报价用折扣百分比（“XX%”）表示，即如原价为100元，打折扣或优惠后的价格为70元，则在本项目的报价中理解为：折扣=折扣率=优惠率=70%，折扣百分比越小优惠越大。</w:t>
      </w:r>
    </w:p>
    <w:p>
      <w:pPr>
        <w:spacing w:line="360" w:lineRule="auto"/>
        <w:ind w:firstLine="420" w:firstLineChars="200"/>
      </w:pPr>
    </w:p>
    <w:p>
      <w:pPr>
        <w:snapToGrid w:val="0"/>
        <w:spacing w:before="50"/>
        <w:ind w:left="479" w:leftChars="228"/>
        <w:jc w:val="center"/>
        <w:rPr>
          <w:rFonts w:ascii="宋体" w:hAnsi="宋体" w:eastAsia="宋体"/>
          <w:color w:val="000000"/>
          <w:sz w:val="24"/>
        </w:rPr>
      </w:pPr>
      <w:r>
        <w:rPr>
          <w:rFonts w:hint="eastAsia" w:ascii="宋体" w:hAnsi="宋体"/>
          <w:color w:val="000000"/>
          <w:sz w:val="24"/>
        </w:rPr>
        <w:t xml:space="preserve">                  </w:t>
      </w:r>
      <w:r>
        <w:rPr>
          <w:rFonts w:hint="eastAsia" w:ascii="宋体" w:hAnsi="宋体" w:cs="宋体"/>
          <w:color w:val="000000"/>
          <w:sz w:val="24"/>
        </w:rPr>
        <w:t>响应供应商（盖章）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w:t>
      </w:r>
    </w:p>
    <w:p>
      <w:pPr>
        <w:snapToGrid w:val="0"/>
        <w:spacing w:before="156" w:beforeLines="50" w:after="50"/>
        <w:jc w:val="right"/>
        <w:rPr>
          <w:rFonts w:ascii="宋体" w:hAnsi="宋体"/>
          <w:color w:val="000000"/>
          <w:sz w:val="24"/>
        </w:rPr>
      </w:pPr>
      <w:r>
        <w:rPr>
          <w:rFonts w:hint="eastAsia" w:ascii="宋体" w:hAnsi="宋体"/>
          <w:color w:val="000000"/>
          <w:sz w:val="24"/>
        </w:rPr>
        <w:t>年    月   日</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zh-CN"/>
      </w:rPr>
      <w:t xml:space="preserve"> </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zh-CN"/>
      </w:rPr>
      <w:t xml:space="preserve"> </w: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694876"/>
    </w:sdtPr>
    <w:sdtContent>
      <w:p>
        <w:pPr>
          <w:pStyle w:val="14"/>
          <w:jc w:val="center"/>
        </w:pPr>
        <w:r>
          <w:fldChar w:fldCharType="begin"/>
        </w:r>
        <w:r>
          <w:instrText xml:space="preserve">PAGE   \* MERGEFORMAT</w:instrText>
        </w:r>
        <w:r>
          <w:fldChar w:fldCharType="separate"/>
        </w:r>
        <w:r>
          <w:rPr>
            <w:lang w:val="zh-CN"/>
          </w:rPr>
          <w:t>49</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ascii="黑体" w:hAnsi="黑体" w:eastAsia="黑体"/>
        <w:sz w:val="20"/>
      </w:rPr>
      <w:t>金华市公共资源交易中心浦江县分中心                                    0579-88088931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WYxNDBiYzBlNThmNDk5M2NhOWFhZjg3YmU2ZmMifQ=="/>
  </w:docVars>
  <w:rsids>
    <w:rsidRoot w:val="002962BD"/>
    <w:rsid w:val="00002A4A"/>
    <w:rsid w:val="00013859"/>
    <w:rsid w:val="00034DC1"/>
    <w:rsid w:val="0004576B"/>
    <w:rsid w:val="00051E75"/>
    <w:rsid w:val="00076C31"/>
    <w:rsid w:val="000800E9"/>
    <w:rsid w:val="00085650"/>
    <w:rsid w:val="00092C6D"/>
    <w:rsid w:val="000B21C0"/>
    <w:rsid w:val="000B353A"/>
    <w:rsid w:val="000C1EE9"/>
    <w:rsid w:val="000E16E2"/>
    <w:rsid w:val="000E4F9B"/>
    <w:rsid w:val="000E6E35"/>
    <w:rsid w:val="000F1BCE"/>
    <w:rsid w:val="00104BF8"/>
    <w:rsid w:val="001108E6"/>
    <w:rsid w:val="00121EA9"/>
    <w:rsid w:val="00122D6A"/>
    <w:rsid w:val="001458AA"/>
    <w:rsid w:val="00151D8E"/>
    <w:rsid w:val="001660C5"/>
    <w:rsid w:val="001829BA"/>
    <w:rsid w:val="001C560B"/>
    <w:rsid w:val="001C5D84"/>
    <w:rsid w:val="001C73E7"/>
    <w:rsid w:val="001D2C40"/>
    <w:rsid w:val="001E4AC7"/>
    <w:rsid w:val="001F1431"/>
    <w:rsid w:val="001F32D9"/>
    <w:rsid w:val="001F4C2B"/>
    <w:rsid w:val="00207C5E"/>
    <w:rsid w:val="00216B5A"/>
    <w:rsid w:val="00220445"/>
    <w:rsid w:val="00227674"/>
    <w:rsid w:val="00234301"/>
    <w:rsid w:val="002463EC"/>
    <w:rsid w:val="00265253"/>
    <w:rsid w:val="0028055E"/>
    <w:rsid w:val="00281CA0"/>
    <w:rsid w:val="00284F90"/>
    <w:rsid w:val="00294596"/>
    <w:rsid w:val="002962BD"/>
    <w:rsid w:val="002A0685"/>
    <w:rsid w:val="002A4B44"/>
    <w:rsid w:val="002A7580"/>
    <w:rsid w:val="002B1050"/>
    <w:rsid w:val="002C1116"/>
    <w:rsid w:val="002C5BAC"/>
    <w:rsid w:val="002C677B"/>
    <w:rsid w:val="002C68E4"/>
    <w:rsid w:val="002D3018"/>
    <w:rsid w:val="002E0020"/>
    <w:rsid w:val="002F09BA"/>
    <w:rsid w:val="00312066"/>
    <w:rsid w:val="003134DC"/>
    <w:rsid w:val="003268D1"/>
    <w:rsid w:val="0033176D"/>
    <w:rsid w:val="00333F00"/>
    <w:rsid w:val="0034315C"/>
    <w:rsid w:val="003531C1"/>
    <w:rsid w:val="003559F8"/>
    <w:rsid w:val="00360328"/>
    <w:rsid w:val="00363041"/>
    <w:rsid w:val="00366DD3"/>
    <w:rsid w:val="00372B69"/>
    <w:rsid w:val="0037720B"/>
    <w:rsid w:val="00380AC5"/>
    <w:rsid w:val="00382F30"/>
    <w:rsid w:val="00387813"/>
    <w:rsid w:val="00396779"/>
    <w:rsid w:val="00397DB6"/>
    <w:rsid w:val="003D519C"/>
    <w:rsid w:val="003E429F"/>
    <w:rsid w:val="003E55F3"/>
    <w:rsid w:val="003F2033"/>
    <w:rsid w:val="003F223D"/>
    <w:rsid w:val="0040527A"/>
    <w:rsid w:val="004215AA"/>
    <w:rsid w:val="004223BA"/>
    <w:rsid w:val="004260BD"/>
    <w:rsid w:val="0043239F"/>
    <w:rsid w:val="00447FE1"/>
    <w:rsid w:val="00451497"/>
    <w:rsid w:val="00470F92"/>
    <w:rsid w:val="004727B0"/>
    <w:rsid w:val="004733BD"/>
    <w:rsid w:val="00477330"/>
    <w:rsid w:val="004B38A9"/>
    <w:rsid w:val="004B61E0"/>
    <w:rsid w:val="004D01B6"/>
    <w:rsid w:val="004E0B8B"/>
    <w:rsid w:val="004E383F"/>
    <w:rsid w:val="004F0769"/>
    <w:rsid w:val="004F171F"/>
    <w:rsid w:val="004F62E2"/>
    <w:rsid w:val="00501164"/>
    <w:rsid w:val="00522534"/>
    <w:rsid w:val="00527781"/>
    <w:rsid w:val="005309B8"/>
    <w:rsid w:val="00533504"/>
    <w:rsid w:val="005373FF"/>
    <w:rsid w:val="00553E2B"/>
    <w:rsid w:val="00553F3E"/>
    <w:rsid w:val="00560D8B"/>
    <w:rsid w:val="005813F7"/>
    <w:rsid w:val="0058792A"/>
    <w:rsid w:val="00595057"/>
    <w:rsid w:val="005A652B"/>
    <w:rsid w:val="005D2EE9"/>
    <w:rsid w:val="005E4C20"/>
    <w:rsid w:val="00601290"/>
    <w:rsid w:val="006021B9"/>
    <w:rsid w:val="00615B88"/>
    <w:rsid w:val="00617C32"/>
    <w:rsid w:val="00623F14"/>
    <w:rsid w:val="0063279E"/>
    <w:rsid w:val="0064743C"/>
    <w:rsid w:val="00654E0E"/>
    <w:rsid w:val="006553F5"/>
    <w:rsid w:val="006859C0"/>
    <w:rsid w:val="0069538C"/>
    <w:rsid w:val="006D39EB"/>
    <w:rsid w:val="006D5F76"/>
    <w:rsid w:val="006F73C0"/>
    <w:rsid w:val="0070021B"/>
    <w:rsid w:val="0070438A"/>
    <w:rsid w:val="007159AE"/>
    <w:rsid w:val="0072634F"/>
    <w:rsid w:val="00735F6C"/>
    <w:rsid w:val="00736055"/>
    <w:rsid w:val="00742BDC"/>
    <w:rsid w:val="00752421"/>
    <w:rsid w:val="00752FCD"/>
    <w:rsid w:val="007610C1"/>
    <w:rsid w:val="00761EB4"/>
    <w:rsid w:val="0076748C"/>
    <w:rsid w:val="00772C68"/>
    <w:rsid w:val="007755BA"/>
    <w:rsid w:val="00784002"/>
    <w:rsid w:val="007918B8"/>
    <w:rsid w:val="00791F7B"/>
    <w:rsid w:val="007A41AF"/>
    <w:rsid w:val="007B5C5F"/>
    <w:rsid w:val="007C5492"/>
    <w:rsid w:val="007C6CE1"/>
    <w:rsid w:val="0080270B"/>
    <w:rsid w:val="0080548D"/>
    <w:rsid w:val="00806654"/>
    <w:rsid w:val="00810648"/>
    <w:rsid w:val="00821299"/>
    <w:rsid w:val="00823E2A"/>
    <w:rsid w:val="00830BD2"/>
    <w:rsid w:val="00846A9B"/>
    <w:rsid w:val="00896AC8"/>
    <w:rsid w:val="008A02CF"/>
    <w:rsid w:val="008A2459"/>
    <w:rsid w:val="008A6A8E"/>
    <w:rsid w:val="008A7B9C"/>
    <w:rsid w:val="008B2B78"/>
    <w:rsid w:val="008C46F8"/>
    <w:rsid w:val="008E0085"/>
    <w:rsid w:val="008E041C"/>
    <w:rsid w:val="008F0AB7"/>
    <w:rsid w:val="008F2572"/>
    <w:rsid w:val="00905946"/>
    <w:rsid w:val="00917DF2"/>
    <w:rsid w:val="00941C12"/>
    <w:rsid w:val="009438FF"/>
    <w:rsid w:val="00954F74"/>
    <w:rsid w:val="00955415"/>
    <w:rsid w:val="0098055F"/>
    <w:rsid w:val="0098444B"/>
    <w:rsid w:val="009846A3"/>
    <w:rsid w:val="00993880"/>
    <w:rsid w:val="00994892"/>
    <w:rsid w:val="009966F1"/>
    <w:rsid w:val="009A5FB8"/>
    <w:rsid w:val="009C36E2"/>
    <w:rsid w:val="009D14A7"/>
    <w:rsid w:val="009E5695"/>
    <w:rsid w:val="009F7157"/>
    <w:rsid w:val="00A03A27"/>
    <w:rsid w:val="00A040DB"/>
    <w:rsid w:val="00A07334"/>
    <w:rsid w:val="00A1583C"/>
    <w:rsid w:val="00A20252"/>
    <w:rsid w:val="00A248FE"/>
    <w:rsid w:val="00A25D93"/>
    <w:rsid w:val="00A27938"/>
    <w:rsid w:val="00A315DA"/>
    <w:rsid w:val="00A35F32"/>
    <w:rsid w:val="00A40524"/>
    <w:rsid w:val="00A43874"/>
    <w:rsid w:val="00A43CD2"/>
    <w:rsid w:val="00A6024B"/>
    <w:rsid w:val="00A60BDE"/>
    <w:rsid w:val="00A663BB"/>
    <w:rsid w:val="00A763E6"/>
    <w:rsid w:val="00A87F5A"/>
    <w:rsid w:val="00A91D4D"/>
    <w:rsid w:val="00AE262D"/>
    <w:rsid w:val="00AF5152"/>
    <w:rsid w:val="00B02588"/>
    <w:rsid w:val="00B15B02"/>
    <w:rsid w:val="00B15C16"/>
    <w:rsid w:val="00B31528"/>
    <w:rsid w:val="00B518E7"/>
    <w:rsid w:val="00B54D05"/>
    <w:rsid w:val="00B575DA"/>
    <w:rsid w:val="00B63BBF"/>
    <w:rsid w:val="00B764DE"/>
    <w:rsid w:val="00B9555A"/>
    <w:rsid w:val="00B95F13"/>
    <w:rsid w:val="00B95F6C"/>
    <w:rsid w:val="00BA7EF7"/>
    <w:rsid w:val="00BC0F8F"/>
    <w:rsid w:val="00BC12D3"/>
    <w:rsid w:val="00BF25A6"/>
    <w:rsid w:val="00BF440B"/>
    <w:rsid w:val="00C06101"/>
    <w:rsid w:val="00C14652"/>
    <w:rsid w:val="00C33563"/>
    <w:rsid w:val="00C41979"/>
    <w:rsid w:val="00C440D5"/>
    <w:rsid w:val="00C62BE1"/>
    <w:rsid w:val="00C747A8"/>
    <w:rsid w:val="00C82D19"/>
    <w:rsid w:val="00C833E8"/>
    <w:rsid w:val="00C855CC"/>
    <w:rsid w:val="00C97BF6"/>
    <w:rsid w:val="00CA3734"/>
    <w:rsid w:val="00CA6A36"/>
    <w:rsid w:val="00CB0816"/>
    <w:rsid w:val="00CC1BCB"/>
    <w:rsid w:val="00CC462C"/>
    <w:rsid w:val="00CE27A3"/>
    <w:rsid w:val="00CF24A0"/>
    <w:rsid w:val="00CF44F3"/>
    <w:rsid w:val="00CF5DFE"/>
    <w:rsid w:val="00D13CAE"/>
    <w:rsid w:val="00D31A27"/>
    <w:rsid w:val="00D34E03"/>
    <w:rsid w:val="00D47B23"/>
    <w:rsid w:val="00D54683"/>
    <w:rsid w:val="00D5775C"/>
    <w:rsid w:val="00D61FBD"/>
    <w:rsid w:val="00D66315"/>
    <w:rsid w:val="00D754E1"/>
    <w:rsid w:val="00D76AB1"/>
    <w:rsid w:val="00D91B72"/>
    <w:rsid w:val="00DA0CB9"/>
    <w:rsid w:val="00DC46AD"/>
    <w:rsid w:val="00DE686F"/>
    <w:rsid w:val="00DE7FF6"/>
    <w:rsid w:val="00DF1235"/>
    <w:rsid w:val="00DF1712"/>
    <w:rsid w:val="00DF41D9"/>
    <w:rsid w:val="00DF695A"/>
    <w:rsid w:val="00E1007F"/>
    <w:rsid w:val="00E127D9"/>
    <w:rsid w:val="00E12AC8"/>
    <w:rsid w:val="00E15E2A"/>
    <w:rsid w:val="00E256C1"/>
    <w:rsid w:val="00E32520"/>
    <w:rsid w:val="00E36383"/>
    <w:rsid w:val="00E42137"/>
    <w:rsid w:val="00E4587E"/>
    <w:rsid w:val="00E6068F"/>
    <w:rsid w:val="00E6101E"/>
    <w:rsid w:val="00E648DB"/>
    <w:rsid w:val="00E64C13"/>
    <w:rsid w:val="00E877A9"/>
    <w:rsid w:val="00E951DA"/>
    <w:rsid w:val="00EC1103"/>
    <w:rsid w:val="00EC1590"/>
    <w:rsid w:val="00ED5D03"/>
    <w:rsid w:val="00ED78C7"/>
    <w:rsid w:val="00EF7746"/>
    <w:rsid w:val="00F0233E"/>
    <w:rsid w:val="00F11988"/>
    <w:rsid w:val="00F1718B"/>
    <w:rsid w:val="00F2570A"/>
    <w:rsid w:val="00F64ABB"/>
    <w:rsid w:val="00F655D8"/>
    <w:rsid w:val="00F752DA"/>
    <w:rsid w:val="00F86EEF"/>
    <w:rsid w:val="00F87694"/>
    <w:rsid w:val="00FA1131"/>
    <w:rsid w:val="00FA1DB7"/>
    <w:rsid w:val="00FC241D"/>
    <w:rsid w:val="00FC4B94"/>
    <w:rsid w:val="00FD0DAB"/>
    <w:rsid w:val="00FD6318"/>
    <w:rsid w:val="00FD6547"/>
    <w:rsid w:val="00FE3F35"/>
    <w:rsid w:val="00FF1856"/>
    <w:rsid w:val="4EE1245E"/>
    <w:rsid w:val="5C065CAF"/>
    <w:rsid w:val="5C56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next w:val="6"/>
    <w:link w:val="35"/>
    <w:qFormat/>
    <w:uiPriority w:val="0"/>
    <w:pPr>
      <w:ind w:firstLine="420"/>
    </w:pPr>
    <w:rPr>
      <w:rFonts w:ascii="Times New Roman" w:hAnsi="Times New Roman" w:eastAsia="宋体" w:cs="Times New Roman"/>
      <w:szCs w:val="20"/>
    </w:rPr>
  </w:style>
  <w:style w:type="paragraph" w:styleId="6">
    <w:name w:val="Body Text Indent"/>
    <w:basedOn w:val="1"/>
    <w:link w:val="36"/>
    <w:unhideWhenUsed/>
    <w:qFormat/>
    <w:uiPriority w:val="99"/>
    <w:pPr>
      <w:spacing w:after="120"/>
      <w:ind w:left="420" w:leftChars="200"/>
    </w:pPr>
  </w:style>
  <w:style w:type="paragraph" w:styleId="7">
    <w:name w:val="caption"/>
    <w:basedOn w:val="1"/>
    <w:next w:val="1"/>
    <w:unhideWhenUsed/>
    <w:qFormat/>
    <w:uiPriority w:val="0"/>
    <w:pPr>
      <w:spacing w:before="152" w:after="160"/>
    </w:pPr>
    <w:rPr>
      <w:rFonts w:ascii="Arial" w:hAnsi="Arial" w:eastAsia="黑体" w:cs="Arial"/>
      <w:sz w:val="20"/>
      <w:szCs w:val="20"/>
    </w:rPr>
  </w:style>
  <w:style w:type="paragraph" w:styleId="8">
    <w:name w:val="Document Map"/>
    <w:basedOn w:val="1"/>
    <w:link w:val="47"/>
    <w:semiHidden/>
    <w:unhideWhenUsed/>
    <w:qFormat/>
    <w:uiPriority w:val="99"/>
    <w:rPr>
      <w:rFonts w:ascii="宋体" w:eastAsia="宋体"/>
      <w:sz w:val="18"/>
      <w:szCs w:val="18"/>
    </w:rPr>
  </w:style>
  <w:style w:type="paragraph" w:styleId="9">
    <w:name w:val="Body Text"/>
    <w:basedOn w:val="1"/>
    <w:link w:val="39"/>
    <w:semiHidden/>
    <w:unhideWhenUsed/>
    <w:qFormat/>
    <w:uiPriority w:val="99"/>
    <w:pPr>
      <w:spacing w:after="120"/>
    </w:pPr>
  </w:style>
  <w:style w:type="paragraph" w:styleId="10">
    <w:name w:val="toc 3"/>
    <w:basedOn w:val="1"/>
    <w:next w:val="1"/>
    <w:semiHidden/>
    <w:unhideWhenUsed/>
    <w:qFormat/>
    <w:uiPriority w:val="39"/>
    <w:pPr>
      <w:widowControl/>
      <w:spacing w:after="100" w:line="276" w:lineRule="auto"/>
      <w:ind w:left="440"/>
      <w:jc w:val="left"/>
    </w:pPr>
    <w:rPr>
      <w:kern w:val="0"/>
      <w:sz w:val="22"/>
    </w:rPr>
  </w:style>
  <w:style w:type="paragraph" w:styleId="11">
    <w:name w:val="Plain Text"/>
    <w:basedOn w:val="1"/>
    <w:link w:val="30"/>
    <w:qFormat/>
    <w:uiPriority w:val="0"/>
    <w:pPr>
      <w:spacing w:line="440" w:lineRule="exact"/>
      <w:ind w:firstLine="425" w:firstLineChars="177"/>
    </w:pPr>
    <w:rPr>
      <w:rFonts w:ascii="宋体" w:hAnsi="Courier New" w:eastAsia="宋体" w:cs="Times New Roman"/>
      <w:b/>
      <w:sz w:val="24"/>
      <w:szCs w:val="24"/>
      <w:shd w:val="clear" w:color="auto" w:fill="FFFFFF"/>
    </w:rPr>
  </w:style>
  <w:style w:type="paragraph" w:styleId="12">
    <w:name w:val="Body Text Indent 2"/>
    <w:basedOn w:val="1"/>
    <w:link w:val="41"/>
    <w:semiHidden/>
    <w:unhideWhenUsed/>
    <w:qFormat/>
    <w:uiPriority w:val="99"/>
    <w:pPr>
      <w:spacing w:after="120" w:line="480" w:lineRule="auto"/>
      <w:ind w:left="420" w:leftChars="200"/>
    </w:pPr>
  </w:style>
  <w:style w:type="paragraph" w:styleId="13">
    <w:name w:val="Balloon Text"/>
    <w:basedOn w:val="1"/>
    <w:link w:val="38"/>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toc 2"/>
    <w:basedOn w:val="1"/>
    <w:next w:val="1"/>
    <w:semiHidden/>
    <w:unhideWhenUsed/>
    <w:qFormat/>
    <w:uiPriority w:val="39"/>
    <w:pPr>
      <w:widowControl/>
      <w:spacing w:after="100" w:line="276" w:lineRule="auto"/>
      <w:ind w:left="220"/>
      <w:jc w:val="left"/>
    </w:pPr>
    <w:rPr>
      <w:kern w:val="0"/>
      <w:sz w:val="22"/>
    </w:rPr>
  </w:style>
  <w:style w:type="paragraph" w:styleId="18">
    <w:name w:val="Body Text 2"/>
    <w:basedOn w:val="1"/>
    <w:link w:val="31"/>
    <w:qFormat/>
    <w:uiPriority w:val="99"/>
    <w:pPr>
      <w:widowControl/>
      <w:snapToGrid w:val="0"/>
      <w:spacing w:before="50" w:afterLines="50" w:line="400" w:lineRule="exact"/>
      <w:jc w:val="left"/>
    </w:pPr>
    <w:rPr>
      <w:rFonts w:ascii="宋体" w:hAnsi="宋体" w:eastAsia="宋体" w:cs="Times New Roman"/>
      <w:color w:val="000000"/>
      <w:sz w:val="24"/>
      <w:szCs w:val="24"/>
    </w:rPr>
  </w:style>
  <w:style w:type="paragraph" w:styleId="19">
    <w:name w:val="Normal (Web)"/>
    <w:basedOn w:val="1"/>
    <w:qFormat/>
    <w:uiPriority w:val="0"/>
    <w:pPr>
      <w:jc w:val="left"/>
    </w:pPr>
    <w:rPr>
      <w:rFonts w:ascii="Times New Roman" w:hAnsi="Times New Roman" w:eastAsia="宋体" w:cs="Times New Roman"/>
      <w:kern w:val="0"/>
      <w:sz w:val="24"/>
      <w:szCs w:val="20"/>
    </w:rPr>
  </w:style>
  <w:style w:type="paragraph" w:styleId="20">
    <w:name w:val="Body Text First Indent 2"/>
    <w:basedOn w:val="6"/>
    <w:link w:val="40"/>
    <w:semiHidden/>
    <w:unhideWhenUsed/>
    <w:qFormat/>
    <w:uiPriority w:val="99"/>
    <w:pPr>
      <w:ind w:firstLine="420" w:firstLineChars="200"/>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customStyle="1" w:styleId="26">
    <w:name w:val="页眉 Char"/>
    <w:basedOn w:val="23"/>
    <w:link w:val="15"/>
    <w:qFormat/>
    <w:uiPriority w:val="99"/>
    <w:rPr>
      <w:sz w:val="18"/>
      <w:szCs w:val="18"/>
    </w:rPr>
  </w:style>
  <w:style w:type="character" w:customStyle="1" w:styleId="27">
    <w:name w:val="页脚 Char"/>
    <w:basedOn w:val="23"/>
    <w:link w:val="14"/>
    <w:qFormat/>
    <w:uiPriority w:val="99"/>
    <w:rPr>
      <w:sz w:val="18"/>
      <w:szCs w:val="18"/>
    </w:rPr>
  </w:style>
  <w:style w:type="character" w:customStyle="1" w:styleId="28">
    <w:name w:val="标题 1 Char"/>
    <w:basedOn w:val="23"/>
    <w:link w:val="2"/>
    <w:qFormat/>
    <w:uiPriority w:val="9"/>
    <w:rPr>
      <w:b/>
      <w:bCs/>
      <w:kern w:val="44"/>
      <w:sz w:val="44"/>
      <w:szCs w:val="44"/>
    </w:rPr>
  </w:style>
  <w:style w:type="character" w:customStyle="1" w:styleId="29">
    <w:name w:val="标题 2 Char"/>
    <w:basedOn w:val="23"/>
    <w:link w:val="3"/>
    <w:qFormat/>
    <w:uiPriority w:val="9"/>
    <w:rPr>
      <w:rFonts w:asciiTheme="majorHAnsi" w:hAnsiTheme="majorHAnsi" w:eastAsiaTheme="majorEastAsia" w:cstheme="majorBidi"/>
      <w:b/>
      <w:bCs/>
      <w:sz w:val="32"/>
      <w:szCs w:val="32"/>
    </w:rPr>
  </w:style>
  <w:style w:type="character" w:customStyle="1" w:styleId="30">
    <w:name w:val="纯文本 Char"/>
    <w:basedOn w:val="23"/>
    <w:link w:val="11"/>
    <w:qFormat/>
    <w:uiPriority w:val="0"/>
    <w:rPr>
      <w:rFonts w:ascii="宋体" w:hAnsi="Courier New" w:eastAsia="宋体" w:cs="Times New Roman"/>
      <w:b/>
      <w:kern w:val="2"/>
      <w:sz w:val="24"/>
      <w:szCs w:val="24"/>
    </w:rPr>
  </w:style>
  <w:style w:type="character" w:customStyle="1" w:styleId="31">
    <w:name w:val="正文文本 2 Char"/>
    <w:basedOn w:val="23"/>
    <w:link w:val="18"/>
    <w:qFormat/>
    <w:uiPriority w:val="99"/>
    <w:rPr>
      <w:rFonts w:ascii="宋体" w:hAnsi="宋体" w:eastAsia="宋体" w:cs="Times New Roman"/>
      <w:color w:val="000000"/>
      <w:sz w:val="24"/>
      <w:szCs w:val="24"/>
    </w:rPr>
  </w:style>
  <w:style w:type="paragraph" w:styleId="32">
    <w:name w:val="List Paragraph"/>
    <w:basedOn w:val="1"/>
    <w:qFormat/>
    <w:uiPriority w:val="0"/>
    <w:pPr>
      <w:ind w:firstLine="420" w:firstLineChars="200"/>
    </w:pPr>
    <w:rPr>
      <w:rFonts w:ascii="Times New Roman" w:hAnsi="Times New Roman" w:eastAsia="宋体" w:cs="Times New Roman"/>
    </w:rPr>
  </w:style>
  <w:style w:type="character" w:customStyle="1" w:styleId="33">
    <w:name w:val="标题 3 Char"/>
    <w:basedOn w:val="23"/>
    <w:link w:val="4"/>
    <w:qFormat/>
    <w:uiPriority w:val="9"/>
    <w:rPr>
      <w:b/>
      <w:bCs/>
      <w:sz w:val="32"/>
      <w:szCs w:val="32"/>
    </w:rPr>
  </w:style>
  <w:style w:type="paragraph" w:customStyle="1" w:styleId="34">
    <w:name w:val="正文2"/>
    <w:basedOn w:val="1"/>
    <w:qFormat/>
    <w:uiPriority w:val="0"/>
    <w:pPr>
      <w:spacing w:before="156" w:line="360" w:lineRule="auto"/>
      <w:ind w:firstLine="510" w:firstLineChars="200"/>
    </w:pPr>
    <w:rPr>
      <w:rFonts w:ascii="Times New Roman" w:hAnsi="Times New Roman" w:eastAsia="宋体" w:cs="宋体"/>
      <w:sz w:val="24"/>
      <w:szCs w:val="20"/>
    </w:rPr>
  </w:style>
  <w:style w:type="character" w:customStyle="1" w:styleId="35">
    <w:name w:val="正文缩进 Char"/>
    <w:link w:val="5"/>
    <w:qFormat/>
    <w:uiPriority w:val="0"/>
    <w:rPr>
      <w:rFonts w:ascii="Times New Roman" w:hAnsi="Times New Roman" w:eastAsia="宋体" w:cs="Times New Roman"/>
      <w:szCs w:val="20"/>
    </w:rPr>
  </w:style>
  <w:style w:type="character" w:customStyle="1" w:styleId="36">
    <w:name w:val="正文文本缩进 Char"/>
    <w:basedOn w:val="23"/>
    <w:link w:val="6"/>
    <w:qFormat/>
    <w:uiPriority w:val="99"/>
  </w:style>
  <w:style w:type="paragraph" w:customStyle="1" w:styleId="3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3"/>
    <w:link w:val="13"/>
    <w:semiHidden/>
    <w:qFormat/>
    <w:uiPriority w:val="99"/>
    <w:rPr>
      <w:sz w:val="18"/>
      <w:szCs w:val="18"/>
    </w:rPr>
  </w:style>
  <w:style w:type="character" w:customStyle="1" w:styleId="39">
    <w:name w:val="正文文本 Char"/>
    <w:basedOn w:val="23"/>
    <w:link w:val="9"/>
    <w:semiHidden/>
    <w:qFormat/>
    <w:uiPriority w:val="99"/>
  </w:style>
  <w:style w:type="character" w:customStyle="1" w:styleId="40">
    <w:name w:val="正文首行缩进 2 Char"/>
    <w:basedOn w:val="36"/>
    <w:link w:val="20"/>
    <w:semiHidden/>
    <w:qFormat/>
    <w:uiPriority w:val="99"/>
  </w:style>
  <w:style w:type="character" w:customStyle="1" w:styleId="41">
    <w:name w:val="正文文本缩进 2 Char"/>
    <w:basedOn w:val="23"/>
    <w:link w:val="12"/>
    <w:semiHidden/>
    <w:qFormat/>
    <w:uiPriority w:val="99"/>
  </w:style>
  <w:style w:type="character" w:customStyle="1" w:styleId="42">
    <w:name w:val="font01"/>
    <w:basedOn w:val="23"/>
    <w:qFormat/>
    <w:uiPriority w:val="0"/>
    <w:rPr>
      <w:rFonts w:hint="eastAsia" w:ascii="宋体" w:hAnsi="宋体" w:eastAsia="宋体" w:cs="宋体"/>
      <w:color w:val="000000"/>
      <w:sz w:val="24"/>
      <w:szCs w:val="24"/>
      <w:u w:val="none"/>
    </w:rPr>
  </w:style>
  <w:style w:type="character" w:customStyle="1" w:styleId="43">
    <w:name w:val="font21"/>
    <w:basedOn w:val="23"/>
    <w:qFormat/>
    <w:uiPriority w:val="0"/>
    <w:rPr>
      <w:rFonts w:hint="eastAsia" w:ascii="宋体" w:hAnsi="宋体" w:eastAsia="宋体" w:cs="宋体"/>
      <w:b/>
      <w:bCs/>
      <w:color w:val="000000"/>
      <w:sz w:val="24"/>
      <w:szCs w:val="24"/>
      <w:u w:val="none"/>
    </w:rPr>
  </w:style>
  <w:style w:type="character" w:customStyle="1" w:styleId="44">
    <w:name w:val="font11"/>
    <w:basedOn w:val="23"/>
    <w:qFormat/>
    <w:uiPriority w:val="0"/>
    <w:rPr>
      <w:rFonts w:hint="eastAsia" w:ascii="宋体" w:hAnsi="宋体" w:eastAsia="宋体" w:cs="宋体"/>
      <w:color w:val="FF0000"/>
      <w:sz w:val="24"/>
      <w:szCs w:val="24"/>
      <w:u w:val="none"/>
    </w:rPr>
  </w:style>
  <w:style w:type="character" w:customStyle="1" w:styleId="45">
    <w:name w:val="font31"/>
    <w:basedOn w:val="23"/>
    <w:qFormat/>
    <w:uiPriority w:val="0"/>
    <w:rPr>
      <w:rFonts w:hint="eastAsia" w:ascii="宋体" w:hAnsi="宋体" w:eastAsia="宋体" w:cs="宋体"/>
      <w:b/>
      <w:bCs/>
      <w:color w:val="FF0000"/>
      <w:sz w:val="24"/>
      <w:szCs w:val="24"/>
      <w:u w:val="none"/>
    </w:rPr>
  </w:style>
  <w:style w:type="paragraph" w:customStyle="1" w:styleId="46">
    <w:name w:val="正文1"/>
    <w:basedOn w:val="8"/>
    <w:next w:val="1"/>
    <w:qFormat/>
    <w:uiPriority w:val="99"/>
    <w:pPr>
      <w:widowControl/>
      <w:overflowPunct w:val="0"/>
      <w:autoSpaceDE w:val="0"/>
      <w:autoSpaceDN w:val="0"/>
      <w:adjustRightInd w:val="0"/>
      <w:spacing w:line="400" w:lineRule="exact"/>
      <w:textAlignment w:val="baseline"/>
    </w:pPr>
    <w:rPr>
      <w:rFonts w:hAnsi="Calibri" w:cs="Times New Roman"/>
      <w:kern w:val="0"/>
      <w:sz w:val="24"/>
      <w:szCs w:val="20"/>
    </w:rPr>
  </w:style>
  <w:style w:type="character" w:customStyle="1" w:styleId="47">
    <w:name w:val="文档结构图 Char"/>
    <w:basedOn w:val="23"/>
    <w:link w:val="8"/>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F7016-707F-4720-BEB5-0E2B7A5DA69E}">
  <ds:schemaRefs/>
</ds:datastoreItem>
</file>

<file path=docProps/app.xml><?xml version="1.0" encoding="utf-8"?>
<Properties xmlns="http://schemas.openxmlformats.org/officeDocument/2006/extended-properties" xmlns:vt="http://schemas.openxmlformats.org/officeDocument/2006/docPropsVTypes">
  <Template>Normal.dotm</Template>
  <Company>政府机关</Company>
  <Pages>1</Pages>
  <Words>4770</Words>
  <Characters>27189</Characters>
  <Lines>226</Lines>
  <Paragraphs>63</Paragraphs>
  <TotalTime>399</TotalTime>
  <ScaleCrop>false</ScaleCrop>
  <LinksUpToDate>false</LinksUpToDate>
  <CharactersWithSpaces>31896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2024-08-19T01:35:00Z</dcterms:created>
  <dc:creator>pjccs</dc:creator>
  <cp:lastModifiedBy>公共资源交易文书</cp:lastModifiedBy>
  <cp:lastPrinted>2024-07-30T02:46:00Z</cp:lastPrinted>
  <dcterms:modified xsi:type="dcterms:W3CDTF">2024-09-13T01:24:41Z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36C329793F6A4FFF9237189AE71ECAF1_13</vt:lpwstr>
  </property>
</Properties>
</file>