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E06" w:rsidRDefault="001E6E06" w:rsidP="001E6E06">
      <w:pPr>
        <w:spacing w:line="480" w:lineRule="exact"/>
        <w:jc w:val="center"/>
        <w:rPr>
          <w:rFonts w:ascii="黑体" w:eastAsia="黑体" w:hAnsi="黑体"/>
          <w:b/>
          <w:sz w:val="36"/>
          <w:szCs w:val="36"/>
        </w:rPr>
      </w:pPr>
      <w:r>
        <w:rPr>
          <w:rFonts w:ascii="黑体" w:eastAsia="黑体" w:hAnsi="黑体" w:hint="eastAsia"/>
          <w:b/>
          <w:sz w:val="36"/>
          <w:szCs w:val="36"/>
        </w:rPr>
        <w:t>《东阳市全域旅游发展总体规划（2017—2030）》</w:t>
      </w:r>
    </w:p>
    <w:p w:rsidR="001E6E06" w:rsidRDefault="001E6E06" w:rsidP="001E6E06">
      <w:pPr>
        <w:spacing w:line="480" w:lineRule="exact"/>
        <w:jc w:val="center"/>
        <w:rPr>
          <w:rFonts w:ascii="黑体" w:eastAsia="黑体" w:hAnsi="黑体" w:hint="eastAsia"/>
          <w:b/>
          <w:sz w:val="36"/>
          <w:szCs w:val="36"/>
        </w:rPr>
      </w:pPr>
      <w:r>
        <w:rPr>
          <w:rFonts w:ascii="黑体" w:eastAsia="黑体" w:hAnsi="黑体" w:hint="eastAsia"/>
          <w:b/>
          <w:sz w:val="36"/>
          <w:szCs w:val="36"/>
        </w:rPr>
        <w:t>的主要内容</w:t>
      </w:r>
    </w:p>
    <w:p w:rsidR="001E6E06" w:rsidRPr="001E6E06" w:rsidRDefault="001E6E06" w:rsidP="001E6E06">
      <w:pPr>
        <w:spacing w:line="460" w:lineRule="exact"/>
        <w:ind w:firstLineChars="200" w:firstLine="562"/>
        <w:rPr>
          <w:rFonts w:ascii="宋体" w:eastAsia="宋体" w:hAnsi="宋体"/>
          <w:b/>
          <w:sz w:val="28"/>
          <w:szCs w:val="28"/>
        </w:rPr>
      </w:pPr>
      <w:r w:rsidRPr="001E6E06">
        <w:rPr>
          <w:rFonts w:ascii="宋体" w:eastAsia="宋体" w:hAnsi="宋体"/>
          <w:b/>
          <w:sz w:val="28"/>
          <w:szCs w:val="28"/>
        </w:rPr>
        <w:t>一</w:t>
      </w:r>
      <w:r w:rsidRPr="001E6E06">
        <w:rPr>
          <w:rFonts w:ascii="宋体" w:eastAsia="宋体" w:hAnsi="宋体" w:hint="eastAsia"/>
          <w:b/>
          <w:sz w:val="28"/>
          <w:szCs w:val="28"/>
        </w:rPr>
        <w:t>、全域背景</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sz w:val="28"/>
          <w:szCs w:val="28"/>
        </w:rPr>
        <w:t>在宏观政策利好</w:t>
      </w:r>
      <w:r w:rsidRPr="001E6E06">
        <w:rPr>
          <w:rFonts w:ascii="宋体" w:eastAsia="宋体" w:hAnsi="宋体" w:hint="eastAsia"/>
          <w:sz w:val="28"/>
          <w:szCs w:val="28"/>
        </w:rPr>
        <w:t>、</w:t>
      </w:r>
      <w:r w:rsidRPr="001E6E06">
        <w:rPr>
          <w:rFonts w:ascii="宋体" w:eastAsia="宋体" w:hAnsi="宋体"/>
          <w:sz w:val="28"/>
          <w:szCs w:val="28"/>
        </w:rPr>
        <w:t>东阳城市扩容</w:t>
      </w:r>
      <w:r w:rsidRPr="001E6E06">
        <w:rPr>
          <w:rFonts w:ascii="宋体" w:eastAsia="宋体" w:hAnsi="宋体" w:hint="eastAsia"/>
          <w:sz w:val="28"/>
          <w:szCs w:val="28"/>
        </w:rPr>
        <w:t>、</w:t>
      </w:r>
      <w:r w:rsidRPr="001E6E06">
        <w:rPr>
          <w:rFonts w:ascii="宋体" w:eastAsia="宋体" w:hAnsi="宋体"/>
          <w:sz w:val="28"/>
          <w:szCs w:val="28"/>
        </w:rPr>
        <w:t>东义同城化</w:t>
      </w:r>
      <w:r w:rsidRPr="001E6E06">
        <w:rPr>
          <w:rFonts w:ascii="宋体" w:eastAsia="宋体" w:hAnsi="宋体" w:hint="eastAsia"/>
          <w:sz w:val="28"/>
          <w:szCs w:val="28"/>
        </w:rPr>
        <w:t>、</w:t>
      </w:r>
      <w:r w:rsidRPr="001E6E06">
        <w:rPr>
          <w:rFonts w:ascii="宋体" w:eastAsia="宋体" w:hAnsi="宋体"/>
          <w:sz w:val="28"/>
          <w:szCs w:val="28"/>
        </w:rPr>
        <w:t>东横一体化</w:t>
      </w:r>
      <w:r w:rsidRPr="001E6E06">
        <w:rPr>
          <w:rFonts w:ascii="宋体" w:eastAsia="宋体" w:hAnsi="宋体" w:hint="eastAsia"/>
          <w:sz w:val="28"/>
          <w:szCs w:val="28"/>
        </w:rPr>
        <w:t>、</w:t>
      </w:r>
      <w:r w:rsidRPr="001E6E06">
        <w:rPr>
          <w:rFonts w:ascii="宋体" w:eastAsia="宋体" w:hAnsi="宋体"/>
          <w:sz w:val="28"/>
          <w:szCs w:val="28"/>
        </w:rPr>
        <w:t>区域旅游消费升级</w:t>
      </w:r>
      <w:r w:rsidRPr="001E6E06">
        <w:rPr>
          <w:rFonts w:ascii="宋体" w:eastAsia="宋体" w:hAnsi="宋体" w:hint="eastAsia"/>
          <w:sz w:val="28"/>
          <w:szCs w:val="28"/>
        </w:rPr>
        <w:t>、</w:t>
      </w:r>
      <w:r w:rsidRPr="001E6E06">
        <w:rPr>
          <w:rFonts w:ascii="宋体" w:eastAsia="宋体" w:hAnsi="宋体"/>
          <w:sz w:val="28"/>
          <w:szCs w:val="28"/>
        </w:rPr>
        <w:t>内外交通变革六大机遇汇聚的大背景下</w:t>
      </w:r>
      <w:r w:rsidRPr="001E6E06">
        <w:rPr>
          <w:rFonts w:ascii="宋体" w:eastAsia="宋体" w:hAnsi="宋体" w:hint="eastAsia"/>
          <w:sz w:val="28"/>
          <w:szCs w:val="28"/>
        </w:rPr>
        <w:t>，</w:t>
      </w:r>
      <w:r w:rsidRPr="001E6E06">
        <w:rPr>
          <w:rFonts w:ascii="宋体" w:eastAsia="宋体" w:hAnsi="宋体"/>
          <w:sz w:val="28"/>
          <w:szCs w:val="28"/>
        </w:rPr>
        <w:t>东阳应</w:t>
      </w:r>
      <w:r w:rsidRPr="001E6E06">
        <w:rPr>
          <w:rFonts w:ascii="宋体" w:eastAsia="宋体" w:hAnsi="宋体" w:hint="eastAsia"/>
          <w:sz w:val="28"/>
          <w:szCs w:val="28"/>
        </w:rPr>
        <w:t>顺应</w:t>
      </w:r>
      <w:r w:rsidRPr="001E6E06">
        <w:rPr>
          <w:rFonts w:ascii="宋体" w:eastAsia="宋体" w:hAnsi="宋体"/>
          <w:sz w:val="28"/>
          <w:szCs w:val="28"/>
        </w:rPr>
        <w:t>旅游产业发展趋势</w:t>
      </w:r>
      <w:r w:rsidRPr="001E6E06">
        <w:rPr>
          <w:rFonts w:ascii="宋体" w:eastAsia="宋体" w:hAnsi="宋体" w:hint="eastAsia"/>
          <w:sz w:val="28"/>
          <w:szCs w:val="28"/>
        </w:rPr>
        <w:t>，加快开展</w:t>
      </w:r>
      <w:r w:rsidRPr="001E6E06">
        <w:rPr>
          <w:rFonts w:ascii="宋体" w:eastAsia="宋体" w:hAnsi="宋体"/>
          <w:sz w:val="28"/>
          <w:szCs w:val="28"/>
        </w:rPr>
        <w:t>全域旅游建设</w:t>
      </w:r>
      <w:r w:rsidRPr="001E6E06">
        <w:rPr>
          <w:rFonts w:ascii="宋体" w:eastAsia="宋体" w:hAnsi="宋体" w:hint="eastAsia"/>
          <w:sz w:val="28"/>
          <w:szCs w:val="28"/>
        </w:rPr>
        <w:t>，尽快</w:t>
      </w:r>
      <w:r w:rsidRPr="001E6E06">
        <w:rPr>
          <w:rFonts w:ascii="宋体" w:eastAsia="宋体" w:hAnsi="宋体"/>
          <w:sz w:val="28"/>
          <w:szCs w:val="28"/>
        </w:rPr>
        <w:t>创建国家全域旅游示范区</w:t>
      </w:r>
      <w:r w:rsidRPr="001E6E06">
        <w:rPr>
          <w:rFonts w:ascii="宋体" w:eastAsia="宋体" w:hAnsi="宋体" w:hint="eastAsia"/>
          <w:sz w:val="28"/>
          <w:szCs w:val="28"/>
        </w:rPr>
        <w:t>。</w:t>
      </w:r>
      <w:r w:rsidRPr="001E6E06">
        <w:rPr>
          <w:rFonts w:ascii="宋体" w:eastAsia="宋体" w:hAnsi="宋体"/>
          <w:sz w:val="28"/>
          <w:szCs w:val="28"/>
        </w:rPr>
        <w:t>本次</w:t>
      </w:r>
      <w:r w:rsidRPr="001E6E06">
        <w:rPr>
          <w:rFonts w:ascii="宋体" w:eastAsia="宋体" w:hAnsi="宋体" w:hint="eastAsia"/>
          <w:sz w:val="28"/>
          <w:szCs w:val="28"/>
        </w:rPr>
        <w:t>《浙江东阳市全域旅游发展总体规划》贯彻“绿水青山就是金山银山”发展理念，紧紧围绕建设“影视旅游名城、经济文化强市、生态宜居东阳”的总目标，对接国家全域旅游示范区创建导则，全力打造国内首个文创型国家全域旅游示范区、世界级文化创意与影视娱乐旅游目的地。</w:t>
      </w:r>
    </w:p>
    <w:p w:rsidR="001E6E06" w:rsidRPr="001E6E06" w:rsidRDefault="001E6E06" w:rsidP="001E6E06">
      <w:pPr>
        <w:spacing w:line="460" w:lineRule="exact"/>
        <w:ind w:firstLineChars="200" w:firstLine="562"/>
        <w:rPr>
          <w:rFonts w:ascii="宋体" w:eastAsia="宋体" w:hAnsi="宋体"/>
          <w:b/>
          <w:sz w:val="28"/>
          <w:szCs w:val="28"/>
        </w:rPr>
      </w:pPr>
      <w:r w:rsidRPr="001E6E06">
        <w:rPr>
          <w:rFonts w:ascii="宋体" w:eastAsia="宋体" w:hAnsi="宋体"/>
          <w:b/>
          <w:sz w:val="28"/>
          <w:szCs w:val="28"/>
        </w:rPr>
        <w:t>二</w:t>
      </w:r>
      <w:r w:rsidRPr="001E6E06">
        <w:rPr>
          <w:rFonts w:ascii="宋体" w:eastAsia="宋体" w:hAnsi="宋体" w:hint="eastAsia"/>
          <w:b/>
          <w:sz w:val="28"/>
          <w:szCs w:val="28"/>
        </w:rPr>
        <w:t>、全域支撑</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规划在对宏观政策、区位交通、社会经济、产业环境、市场基础、资源条件、发展潜力等进行系统梳理的基础上，进一步明确了东阳旅游的核心竞争优势和发展存在的问题。</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规划认为东阳具备发展全域旅游的基本条件，其创建国家全域旅游示范区的基础良好；</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sz w:val="28"/>
          <w:szCs w:val="28"/>
        </w:rPr>
        <w:t>规划认为东阳</w:t>
      </w:r>
      <w:r w:rsidRPr="001E6E06">
        <w:rPr>
          <w:rFonts w:ascii="宋体" w:eastAsia="宋体" w:hAnsi="宋体" w:hint="eastAsia"/>
          <w:sz w:val="28"/>
          <w:szCs w:val="28"/>
        </w:rPr>
        <w:t>拥有</w:t>
      </w:r>
      <w:r w:rsidRPr="001E6E06">
        <w:rPr>
          <w:rFonts w:ascii="宋体" w:eastAsia="宋体" w:hAnsi="宋体"/>
          <w:sz w:val="28"/>
          <w:szCs w:val="28"/>
        </w:rPr>
        <w:t>工艺美术</w:t>
      </w:r>
      <w:r w:rsidRPr="001E6E06">
        <w:rPr>
          <w:rFonts w:ascii="宋体" w:eastAsia="宋体" w:hAnsi="宋体" w:hint="eastAsia"/>
          <w:sz w:val="28"/>
          <w:szCs w:val="28"/>
        </w:rPr>
        <w:t>、</w:t>
      </w:r>
      <w:r w:rsidRPr="001E6E06">
        <w:rPr>
          <w:rFonts w:ascii="宋体" w:eastAsia="宋体" w:hAnsi="宋体"/>
          <w:sz w:val="28"/>
          <w:szCs w:val="28"/>
        </w:rPr>
        <w:t>影视</w:t>
      </w:r>
      <w:r w:rsidRPr="001E6E06">
        <w:rPr>
          <w:rFonts w:ascii="宋体" w:eastAsia="宋体" w:hAnsi="宋体" w:hint="eastAsia"/>
          <w:sz w:val="28"/>
          <w:szCs w:val="28"/>
        </w:rPr>
        <w:t>、东白山、</w:t>
      </w:r>
      <w:r w:rsidRPr="001E6E06">
        <w:rPr>
          <w:rFonts w:ascii="宋体" w:eastAsia="宋体" w:hAnsi="宋体"/>
          <w:sz w:val="28"/>
          <w:szCs w:val="28"/>
        </w:rPr>
        <w:t>古村古宅等四大核心资源</w:t>
      </w:r>
      <w:r w:rsidRPr="001E6E06">
        <w:rPr>
          <w:rFonts w:ascii="宋体" w:eastAsia="宋体" w:hAnsi="宋体" w:hint="eastAsia"/>
          <w:sz w:val="28"/>
          <w:szCs w:val="28"/>
        </w:rPr>
        <w:t>，</w:t>
      </w:r>
      <w:r w:rsidRPr="001E6E06">
        <w:rPr>
          <w:rFonts w:ascii="宋体" w:eastAsia="宋体" w:hAnsi="宋体"/>
          <w:sz w:val="28"/>
          <w:szCs w:val="28"/>
        </w:rPr>
        <w:t>其中东阳</w:t>
      </w:r>
      <w:r w:rsidRPr="001E6E06">
        <w:rPr>
          <w:rFonts w:ascii="宋体" w:eastAsia="宋体" w:hAnsi="宋体" w:hint="eastAsia"/>
          <w:sz w:val="28"/>
          <w:szCs w:val="28"/>
        </w:rPr>
        <w:t>工艺美术和影视两大资源集群化发展，最具核心竞争力，具有世界级资源品质；东白山自古为浙中名山之首、地理“屋脊”，观光度假要素齐备，资源具有区域独占性；古村古宅富集度高，其古建营造技艺为国内翘楚，多样化的建筑空间组织形式是发</w:t>
      </w:r>
      <w:bookmarkStart w:id="0" w:name="_GoBack"/>
      <w:bookmarkEnd w:id="0"/>
      <w:r w:rsidRPr="001E6E06">
        <w:rPr>
          <w:rFonts w:ascii="宋体" w:eastAsia="宋体" w:hAnsi="宋体" w:hint="eastAsia"/>
          <w:sz w:val="28"/>
          <w:szCs w:val="28"/>
        </w:rPr>
        <w:t>展休闲度假最佳载体。</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通过系统研究，规划认为东阳的核心竞争优势在于“人”，无论是工艺美术、影视文化等，都不属于传统型资源，因此东阳资源的特色决定了其不能走传统旅游发展的老路，不能仅就旅游谈旅游，必须创新发展模式。</w:t>
      </w:r>
    </w:p>
    <w:p w:rsidR="001E6E06" w:rsidRPr="001E6E06" w:rsidRDefault="001E6E06" w:rsidP="001E6E06">
      <w:pPr>
        <w:spacing w:line="460" w:lineRule="exact"/>
        <w:ind w:firstLineChars="200" w:firstLine="560"/>
        <w:rPr>
          <w:rFonts w:ascii="宋体" w:eastAsia="宋体" w:hAnsi="宋体" w:hint="eastAsia"/>
          <w:sz w:val="28"/>
          <w:szCs w:val="28"/>
        </w:rPr>
      </w:pPr>
      <w:r w:rsidRPr="001E6E06">
        <w:rPr>
          <w:rFonts w:ascii="宋体" w:eastAsia="宋体" w:hAnsi="宋体" w:hint="eastAsia"/>
          <w:sz w:val="28"/>
          <w:szCs w:val="28"/>
        </w:rPr>
        <w:t>规划认为东阳旅游现阶段存在空间不优、门票经济、观光主导、产品单一、体验缺失、资源转化滞后，因此需要以体验为核心，做深影视旅游、做响工艺美术旅游、做亮生态旅游、做足乡村旅游，不断</w:t>
      </w:r>
      <w:r w:rsidRPr="001E6E06">
        <w:rPr>
          <w:rFonts w:ascii="宋体" w:eastAsia="宋体" w:hAnsi="宋体" w:hint="eastAsia"/>
          <w:sz w:val="28"/>
          <w:szCs w:val="28"/>
        </w:rPr>
        <w:lastRenderedPageBreak/>
        <w:t>提升产品丰度和品质。</w:t>
      </w:r>
    </w:p>
    <w:p w:rsidR="001E6E06" w:rsidRDefault="001E6E06" w:rsidP="001E6E06">
      <w:pPr>
        <w:spacing w:line="480" w:lineRule="exact"/>
        <w:ind w:firstLineChars="196" w:firstLine="551"/>
        <w:rPr>
          <w:rFonts w:asciiTheme="minorEastAsia" w:hAnsiTheme="minorEastAsia" w:hint="eastAsia"/>
          <w:b/>
          <w:sz w:val="28"/>
          <w:szCs w:val="28"/>
        </w:rPr>
      </w:pPr>
      <w:r>
        <w:rPr>
          <w:rFonts w:asciiTheme="minorEastAsia" w:hAnsiTheme="minorEastAsia" w:hint="eastAsia"/>
          <w:b/>
          <w:sz w:val="28"/>
          <w:szCs w:val="28"/>
        </w:rPr>
        <w:t>三、定位目标：</w:t>
      </w:r>
    </w:p>
    <w:p w:rsidR="001E6E06" w:rsidRPr="001E6E06" w:rsidRDefault="001E6E06" w:rsidP="001E6E06">
      <w:pPr>
        <w:spacing w:line="480" w:lineRule="exact"/>
        <w:ind w:firstLineChars="196" w:firstLine="549"/>
        <w:rPr>
          <w:rFonts w:asciiTheme="minorEastAsia" w:hAnsiTheme="minorEastAsia" w:hint="eastAsia"/>
          <w:sz w:val="28"/>
          <w:szCs w:val="28"/>
        </w:rPr>
      </w:pPr>
      <w:r w:rsidRPr="001E6E06">
        <w:rPr>
          <w:rFonts w:asciiTheme="minorEastAsia" w:hAnsiTheme="minorEastAsia" w:hint="eastAsia"/>
          <w:sz w:val="28"/>
          <w:szCs w:val="28"/>
        </w:rPr>
        <w:t>统筹东阳国民经济和社会发展的战略性支柱产业，实现东阳产业升级和融合发展的引擎产业，推动东阳新型城镇化和城乡空间优化调整的纽带产业，引领东阳可持续发展的生态产业，促进东阳城乡居民增收和社会就业的富民产业</w:t>
      </w:r>
    </w:p>
    <w:p w:rsidR="001E6E06" w:rsidRPr="001E6E06" w:rsidRDefault="001E6E06" w:rsidP="001E6E06">
      <w:pPr>
        <w:spacing w:line="480" w:lineRule="exact"/>
        <w:ind w:firstLineChars="200" w:firstLine="560"/>
        <w:rPr>
          <w:rFonts w:asciiTheme="minorEastAsia" w:hAnsiTheme="minorEastAsia" w:hint="eastAsia"/>
          <w:sz w:val="28"/>
          <w:szCs w:val="28"/>
        </w:rPr>
      </w:pPr>
      <w:r w:rsidRPr="001E6E06">
        <w:rPr>
          <w:rFonts w:asciiTheme="minorEastAsia" w:hAnsiTheme="minorEastAsia" w:hint="eastAsia"/>
          <w:sz w:val="28"/>
          <w:szCs w:val="28"/>
        </w:rPr>
        <w:t>四、主题定位：国</w:t>
      </w:r>
      <w:r>
        <w:rPr>
          <w:rFonts w:asciiTheme="minorEastAsia" w:hAnsiTheme="minorEastAsia" w:hint="eastAsia"/>
          <w:sz w:val="28"/>
          <w:szCs w:val="28"/>
        </w:rPr>
        <w:t>内首个文创型国家全域旅游示范区、世界木雕之都与影视娱乐旅游目的地。</w:t>
      </w:r>
    </w:p>
    <w:p w:rsidR="001E6E06" w:rsidRPr="001E6E06" w:rsidRDefault="001E6E06" w:rsidP="001E6E06">
      <w:pPr>
        <w:spacing w:line="460" w:lineRule="exact"/>
        <w:ind w:firstLineChars="200" w:firstLine="562"/>
        <w:rPr>
          <w:rFonts w:ascii="宋体" w:eastAsia="宋体" w:hAnsi="宋体"/>
          <w:b/>
          <w:sz w:val="28"/>
          <w:szCs w:val="28"/>
        </w:rPr>
      </w:pPr>
      <w:r>
        <w:rPr>
          <w:rFonts w:ascii="宋体" w:eastAsia="宋体" w:hAnsi="宋体" w:hint="eastAsia"/>
          <w:b/>
          <w:sz w:val="28"/>
          <w:szCs w:val="28"/>
        </w:rPr>
        <w:t>五</w:t>
      </w:r>
      <w:r w:rsidRPr="001E6E06">
        <w:rPr>
          <w:rFonts w:ascii="宋体" w:eastAsia="宋体" w:hAnsi="宋体" w:hint="eastAsia"/>
          <w:b/>
          <w:sz w:val="28"/>
          <w:szCs w:val="28"/>
        </w:rPr>
        <w:t>、全域空间</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规划进一步明确了旅游业在东阳国民经济和社会发展中的战略性地位，将旅游业定位为全市的战略性支柱产业和现代服务业的龙头产业，定位为引领全市产业升级和融合发展的“产业整合器”。</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sz w:val="28"/>
          <w:szCs w:val="28"/>
        </w:rPr>
        <w:t>规划</w:t>
      </w:r>
      <w:r w:rsidRPr="001E6E06">
        <w:rPr>
          <w:rFonts w:ascii="宋体" w:eastAsia="宋体" w:hAnsi="宋体" w:hint="eastAsia"/>
          <w:sz w:val="28"/>
          <w:szCs w:val="28"/>
        </w:rPr>
        <w:t>基于东阳资源特质和市场发展趋势，提出了“世界级文化创意与影视娱乐旅游目的地”的战略定位，确定了近期创建国家全域旅游示范区，中远期建设中国国际特色旅游目的地的目标；规划落实全域旅游和“多规合一”理念，围绕资源整合、要素整合、空间整合、产业整合，确定了1个旅游门户、1条旅游廊道、3大产业中心、3大产业板块“</w:t>
      </w:r>
      <w:r w:rsidRPr="001E6E06">
        <w:rPr>
          <w:rFonts w:ascii="宋体" w:eastAsia="宋体" w:hAnsi="宋体"/>
          <w:sz w:val="28"/>
          <w:szCs w:val="28"/>
        </w:rPr>
        <w:t>1133</w:t>
      </w:r>
      <w:r w:rsidRPr="001E6E06">
        <w:rPr>
          <w:rFonts w:ascii="宋体" w:eastAsia="宋体" w:hAnsi="宋体" w:hint="eastAsia"/>
          <w:sz w:val="28"/>
          <w:szCs w:val="28"/>
        </w:rPr>
        <w:t>”</w:t>
      </w:r>
      <w:r w:rsidRPr="001E6E06">
        <w:rPr>
          <w:rFonts w:ascii="宋体" w:eastAsia="宋体" w:hAnsi="宋体"/>
          <w:sz w:val="28"/>
          <w:szCs w:val="28"/>
        </w:rPr>
        <w:t>的</w:t>
      </w:r>
      <w:r w:rsidRPr="001E6E06">
        <w:rPr>
          <w:rFonts w:ascii="宋体" w:eastAsia="宋体" w:hAnsi="宋体" w:hint="eastAsia"/>
          <w:sz w:val="28"/>
          <w:szCs w:val="28"/>
        </w:rPr>
        <w:t>产业空间布局。规划提出建设东阳旅游门户（东阳旅游集散中心），以古村古宅为载体，建设“歌山画水”乡村休闲旅游廊道，重点打造东阳工艺美术文创城、横店影视文创娱乐城、虎鹿（东白山）文博旅游度假城3大产业中心，以及形成西部东阳文化创意产业功能区、中部乡村文化休闲产业功能区、东部山水生态度假产业功能区3大产业板块。</w:t>
      </w:r>
    </w:p>
    <w:p w:rsidR="001E6E06" w:rsidRPr="001E6E06" w:rsidRDefault="001E6E06" w:rsidP="001E6E06">
      <w:pPr>
        <w:spacing w:line="460" w:lineRule="exact"/>
        <w:ind w:firstLineChars="200" w:firstLine="562"/>
        <w:rPr>
          <w:rFonts w:ascii="宋体" w:eastAsia="宋体" w:hAnsi="宋体"/>
          <w:b/>
          <w:sz w:val="28"/>
          <w:szCs w:val="28"/>
        </w:rPr>
      </w:pPr>
      <w:r>
        <w:rPr>
          <w:rFonts w:asciiTheme="minorEastAsia" w:hAnsiTheme="minorEastAsia" w:hint="eastAsia"/>
          <w:b/>
          <w:sz w:val="28"/>
          <w:szCs w:val="28"/>
        </w:rPr>
        <w:t>六</w:t>
      </w:r>
      <w:r w:rsidRPr="001E6E06">
        <w:rPr>
          <w:rFonts w:ascii="宋体" w:eastAsia="宋体" w:hAnsi="宋体" w:hint="eastAsia"/>
          <w:b/>
          <w:sz w:val="28"/>
          <w:szCs w:val="28"/>
        </w:rPr>
        <w:t>、全域重点</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sz w:val="28"/>
          <w:szCs w:val="28"/>
        </w:rPr>
        <w:t>规划</w:t>
      </w:r>
      <w:r w:rsidRPr="001E6E06">
        <w:rPr>
          <w:rFonts w:ascii="宋体" w:eastAsia="宋体" w:hAnsi="宋体" w:hint="eastAsia"/>
          <w:sz w:val="28"/>
          <w:szCs w:val="28"/>
        </w:rPr>
        <w:t>重点聚焦东阳城区、横店、东白山、古村古宅四大重点板块。</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sz w:val="28"/>
          <w:szCs w:val="28"/>
        </w:rPr>
        <w:t>东阳城区板块规划以</w:t>
      </w:r>
      <w:r w:rsidRPr="001E6E06">
        <w:rPr>
          <w:rFonts w:ascii="宋体" w:eastAsia="宋体" w:hAnsi="宋体" w:hint="eastAsia"/>
          <w:sz w:val="28"/>
          <w:szCs w:val="28"/>
        </w:rPr>
        <w:t>“柔韧城市”为核心理念，</w:t>
      </w:r>
      <w:r w:rsidRPr="001E6E06">
        <w:rPr>
          <w:rFonts w:ascii="宋体" w:eastAsia="宋体" w:hAnsi="宋体"/>
          <w:sz w:val="28"/>
          <w:szCs w:val="28"/>
        </w:rPr>
        <w:t>以打造</w:t>
      </w:r>
      <w:r w:rsidRPr="001E6E06">
        <w:rPr>
          <w:rFonts w:ascii="宋体" w:eastAsia="宋体" w:hAnsi="宋体" w:hint="eastAsia"/>
          <w:sz w:val="28"/>
          <w:szCs w:val="28"/>
        </w:rPr>
        <w:t>“工艺美术文创城”、“休闲城市”、“宜居城市”为核心目标，围绕“外地人为什么来“和”东阳人游什么”两大核心问题，从“做文创”、“做产品”、“做形象”三个维度出发，重点打造大卢宅文化休闲区、江滨文化休闲带、白云文创新城，提升木雕小镇，建设中山路、张府井巷、振兴</w:t>
      </w:r>
      <w:r w:rsidRPr="001E6E06">
        <w:rPr>
          <w:rFonts w:ascii="宋体" w:eastAsia="宋体" w:hAnsi="宋体" w:hint="eastAsia"/>
          <w:sz w:val="28"/>
          <w:szCs w:val="28"/>
        </w:rPr>
        <w:lastRenderedPageBreak/>
        <w:t>路休闲美食街，全面提升城市文化旅游氛围，建成浙中地区一流的城市旅游目的地。</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sz w:val="28"/>
          <w:szCs w:val="28"/>
        </w:rPr>
        <w:t>横店板块规划以打造</w:t>
      </w:r>
      <w:r w:rsidRPr="001E6E06">
        <w:rPr>
          <w:rFonts w:ascii="宋体" w:eastAsia="宋体" w:hAnsi="宋体" w:hint="eastAsia"/>
          <w:sz w:val="28"/>
          <w:szCs w:val="28"/>
        </w:rPr>
        <w:t>影视之都、文博之城、娱乐天堂、度假胜地为目标，以影视文化为统领，优化空间布局、延伸产业链条、孵化文旅产品、提升环境品质，景镇一体，打造集影视观光、文创孵化、主题度假、运动休闲、商务会展、集散服务于一体的世界级影视文化娱乐旅游目的地。围绕品质提升、丰度提升，重点做好横店影视城、横店场镇的升级，加快开发娱乐、运动、度假产品门类，丰富旅游体验，提升场镇风貌，优化场镇环境，打造东方影视文化娱乐之都。</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sz w:val="28"/>
          <w:szCs w:val="28"/>
        </w:rPr>
        <w:t>东白山板块以</w:t>
      </w:r>
      <w:r w:rsidRPr="001E6E06">
        <w:rPr>
          <w:rFonts w:ascii="宋体" w:eastAsia="宋体" w:hAnsi="宋体" w:hint="eastAsia"/>
          <w:sz w:val="28"/>
          <w:szCs w:val="28"/>
        </w:rPr>
        <w:t>道教文化为统领，以爱情文化为辅线，以养生文化为主题，整合生态、香榧、茶叶、中药材等资源，</w:t>
      </w:r>
      <w:r w:rsidRPr="001E6E06">
        <w:rPr>
          <w:rFonts w:ascii="宋体" w:eastAsia="宋体" w:hAnsi="宋体"/>
          <w:sz w:val="28"/>
          <w:szCs w:val="28"/>
        </w:rPr>
        <w:t>重点突出四季康养</w:t>
      </w:r>
      <w:r w:rsidRPr="001E6E06">
        <w:rPr>
          <w:rFonts w:ascii="宋体" w:eastAsia="宋体" w:hAnsi="宋体" w:hint="eastAsia"/>
          <w:sz w:val="28"/>
          <w:szCs w:val="28"/>
        </w:rPr>
        <w:t>，建设东白山为文化传播地、养生休闲地、爱情体验地，将东白山打造成为长三角一流的山地文化生态养生旅游目的地。</w:t>
      </w:r>
    </w:p>
    <w:p w:rsidR="001E6E06" w:rsidRPr="001E6E06" w:rsidRDefault="001E6E06"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古村古宅板块坚持廊道串联、龙头引领、分类示范、集中开发的原则，以建设“匠心东阳”乡村文化遗产廊道为核心，重点打造3宅（卢宅、李宅、蔡宅），4村（夏程里、古渊头、白坦村、后周村）、6大院（德润堂、史家花厅、肇庆堂、鼎丰堂、雍和堂、位育堂），并对市域其他古村古宅开发方向进行了引导。</w:t>
      </w:r>
    </w:p>
    <w:p w:rsidR="00526066" w:rsidRPr="001E6E06" w:rsidRDefault="001E6E06" w:rsidP="001E6E06">
      <w:pPr>
        <w:spacing w:line="480" w:lineRule="exact"/>
        <w:rPr>
          <w:rFonts w:asciiTheme="minorEastAsia" w:hAnsiTheme="minorEastAsia"/>
          <w:b/>
          <w:sz w:val="28"/>
          <w:szCs w:val="28"/>
        </w:rPr>
      </w:pPr>
      <w:r>
        <w:rPr>
          <w:rFonts w:asciiTheme="minorEastAsia" w:hAnsiTheme="minorEastAsia" w:hint="eastAsia"/>
          <w:b/>
          <w:sz w:val="28"/>
          <w:szCs w:val="28"/>
        </w:rPr>
        <w:t xml:space="preserve">    七、</w:t>
      </w:r>
      <w:r w:rsidR="00526066" w:rsidRPr="001E6E06">
        <w:rPr>
          <w:rFonts w:ascii="宋体" w:eastAsia="宋体" w:hAnsi="宋体" w:hint="eastAsia"/>
          <w:b/>
          <w:sz w:val="28"/>
          <w:szCs w:val="28"/>
        </w:rPr>
        <w:t>全域抓手</w:t>
      </w:r>
    </w:p>
    <w:p w:rsidR="00DF5870" w:rsidRPr="001E6E06" w:rsidRDefault="002644FF"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规划</w:t>
      </w:r>
      <w:r w:rsidR="00796EC9" w:rsidRPr="001E6E06">
        <w:rPr>
          <w:rFonts w:ascii="宋体" w:eastAsia="宋体" w:hAnsi="宋体" w:hint="eastAsia"/>
          <w:sz w:val="28"/>
          <w:szCs w:val="28"/>
        </w:rPr>
        <w:t>对接《国家全域旅游示范区创建工作导则》，</w:t>
      </w:r>
      <w:r w:rsidR="007D10D9" w:rsidRPr="001E6E06">
        <w:rPr>
          <w:rFonts w:ascii="宋体" w:eastAsia="宋体" w:hAnsi="宋体" w:hint="eastAsia"/>
          <w:sz w:val="28"/>
          <w:szCs w:val="28"/>
        </w:rPr>
        <w:t>按照全域旅游相关要求，</w:t>
      </w:r>
      <w:r w:rsidR="00FF2AD9" w:rsidRPr="001E6E06">
        <w:rPr>
          <w:rFonts w:ascii="宋体" w:eastAsia="宋体" w:hAnsi="宋体" w:hint="eastAsia"/>
          <w:sz w:val="28"/>
          <w:szCs w:val="28"/>
        </w:rPr>
        <w:t>规划以项目建设为重点，明确</w:t>
      </w:r>
      <w:r w:rsidR="00A801E0" w:rsidRPr="001E6E06">
        <w:rPr>
          <w:rFonts w:ascii="宋体" w:eastAsia="宋体" w:hAnsi="宋体" w:hint="eastAsia"/>
          <w:sz w:val="28"/>
          <w:szCs w:val="28"/>
        </w:rPr>
        <w:t>提出</w:t>
      </w:r>
      <w:r w:rsidR="00FF2AD9" w:rsidRPr="001E6E06">
        <w:rPr>
          <w:rFonts w:ascii="宋体" w:eastAsia="宋体" w:hAnsi="宋体" w:hint="eastAsia"/>
          <w:sz w:val="28"/>
          <w:szCs w:val="28"/>
        </w:rPr>
        <w:t>了</w:t>
      </w:r>
      <w:r w:rsidR="00FF2AD9" w:rsidRPr="001E6E06">
        <w:rPr>
          <w:rFonts w:ascii="宋体" w:eastAsia="宋体" w:hAnsi="宋体"/>
          <w:sz w:val="28"/>
          <w:szCs w:val="28"/>
        </w:rPr>
        <w:t>产品升级</w:t>
      </w:r>
      <w:r w:rsidR="00FF2AD9" w:rsidRPr="001E6E06">
        <w:rPr>
          <w:rFonts w:ascii="宋体" w:eastAsia="宋体" w:hAnsi="宋体" w:hint="eastAsia"/>
          <w:sz w:val="28"/>
          <w:szCs w:val="28"/>
        </w:rPr>
        <w:t>、</w:t>
      </w:r>
      <w:r w:rsidR="00FF2AD9" w:rsidRPr="001E6E06">
        <w:rPr>
          <w:rFonts w:ascii="宋体" w:eastAsia="宋体" w:hAnsi="宋体"/>
          <w:sz w:val="28"/>
          <w:szCs w:val="28"/>
        </w:rPr>
        <w:t>要素升级</w:t>
      </w:r>
      <w:r w:rsidR="00FF2AD9" w:rsidRPr="001E6E06">
        <w:rPr>
          <w:rFonts w:ascii="宋体" w:eastAsia="宋体" w:hAnsi="宋体" w:hint="eastAsia"/>
          <w:sz w:val="28"/>
          <w:szCs w:val="28"/>
        </w:rPr>
        <w:t>、全域</w:t>
      </w:r>
      <w:r w:rsidR="00FF2AD9" w:rsidRPr="001E6E06">
        <w:rPr>
          <w:rFonts w:ascii="宋体" w:eastAsia="宋体" w:hAnsi="宋体"/>
          <w:sz w:val="28"/>
          <w:szCs w:val="28"/>
        </w:rPr>
        <w:t>交通</w:t>
      </w:r>
      <w:r w:rsidR="00FF2AD9" w:rsidRPr="001E6E06">
        <w:rPr>
          <w:rFonts w:ascii="宋体" w:eastAsia="宋体" w:hAnsi="宋体" w:hint="eastAsia"/>
          <w:sz w:val="28"/>
          <w:szCs w:val="28"/>
        </w:rPr>
        <w:t>、</w:t>
      </w:r>
      <w:r w:rsidR="00FF2AD9" w:rsidRPr="001E6E06">
        <w:rPr>
          <w:rFonts w:ascii="宋体" w:eastAsia="宋体" w:hAnsi="宋体"/>
          <w:sz w:val="28"/>
          <w:szCs w:val="28"/>
        </w:rPr>
        <w:t>城乡环境</w:t>
      </w:r>
      <w:r w:rsidR="00FF2AD9" w:rsidRPr="001E6E06">
        <w:rPr>
          <w:rFonts w:ascii="宋体" w:eastAsia="宋体" w:hAnsi="宋体" w:hint="eastAsia"/>
          <w:sz w:val="28"/>
          <w:szCs w:val="28"/>
        </w:rPr>
        <w:t>、</w:t>
      </w:r>
      <w:r w:rsidR="00FF2AD9" w:rsidRPr="001E6E06">
        <w:rPr>
          <w:rFonts w:ascii="宋体" w:eastAsia="宋体" w:hAnsi="宋体"/>
          <w:sz w:val="28"/>
          <w:szCs w:val="28"/>
        </w:rPr>
        <w:t>公共服务</w:t>
      </w:r>
      <w:r w:rsidR="00FF2AD9" w:rsidRPr="001E6E06">
        <w:rPr>
          <w:rFonts w:ascii="宋体" w:eastAsia="宋体" w:hAnsi="宋体" w:hint="eastAsia"/>
          <w:sz w:val="28"/>
          <w:szCs w:val="28"/>
        </w:rPr>
        <w:t>、</w:t>
      </w:r>
      <w:r w:rsidR="00FF2AD9" w:rsidRPr="001E6E06">
        <w:rPr>
          <w:rFonts w:ascii="宋体" w:eastAsia="宋体" w:hAnsi="宋体"/>
          <w:sz w:val="28"/>
          <w:szCs w:val="28"/>
        </w:rPr>
        <w:t>产业融合</w:t>
      </w:r>
      <w:r w:rsidR="00FF2AD9" w:rsidRPr="001E6E06">
        <w:rPr>
          <w:rFonts w:ascii="宋体" w:eastAsia="宋体" w:hAnsi="宋体" w:hint="eastAsia"/>
          <w:sz w:val="28"/>
          <w:szCs w:val="28"/>
        </w:rPr>
        <w:t>、体制机制等7个层面的重点工作任务，</w:t>
      </w:r>
      <w:r w:rsidR="00931D10" w:rsidRPr="001E6E06">
        <w:rPr>
          <w:rFonts w:ascii="宋体" w:eastAsia="宋体" w:hAnsi="宋体" w:hint="eastAsia"/>
          <w:sz w:val="28"/>
          <w:szCs w:val="28"/>
        </w:rPr>
        <w:t>提出了10大度假区示范项目、5个特色小镇、</w:t>
      </w:r>
      <w:r w:rsidR="00717219" w:rsidRPr="001E6E06">
        <w:rPr>
          <w:rFonts w:ascii="宋体" w:eastAsia="宋体" w:hAnsi="宋体"/>
          <w:sz w:val="28"/>
          <w:szCs w:val="28"/>
        </w:rPr>
        <w:t>6</w:t>
      </w:r>
      <w:r w:rsidR="00931D10" w:rsidRPr="001E6E06">
        <w:rPr>
          <w:rFonts w:ascii="宋体" w:eastAsia="宋体" w:hAnsi="宋体" w:hint="eastAsia"/>
          <w:sz w:val="28"/>
          <w:szCs w:val="28"/>
        </w:rPr>
        <w:t>个特色</w:t>
      </w:r>
      <w:r w:rsidR="00717219" w:rsidRPr="001E6E06">
        <w:rPr>
          <w:rFonts w:ascii="宋体" w:eastAsia="宋体" w:hAnsi="宋体" w:hint="eastAsia"/>
          <w:sz w:val="28"/>
          <w:szCs w:val="28"/>
        </w:rPr>
        <w:t>村</w:t>
      </w:r>
      <w:r w:rsidR="00931D10" w:rsidRPr="001E6E06">
        <w:rPr>
          <w:rFonts w:ascii="宋体" w:eastAsia="宋体" w:hAnsi="宋体" w:hint="eastAsia"/>
          <w:sz w:val="28"/>
          <w:szCs w:val="28"/>
        </w:rPr>
        <w:t>、10个</w:t>
      </w:r>
      <w:r w:rsidR="00577F52" w:rsidRPr="001E6E06">
        <w:rPr>
          <w:rFonts w:ascii="宋体" w:eastAsia="宋体" w:hAnsi="宋体" w:hint="eastAsia"/>
          <w:sz w:val="28"/>
          <w:szCs w:val="28"/>
        </w:rPr>
        <w:t>精品景区</w:t>
      </w:r>
      <w:r w:rsidR="00931D10" w:rsidRPr="001E6E06">
        <w:rPr>
          <w:rFonts w:ascii="宋体" w:eastAsia="宋体" w:hAnsi="宋体" w:hint="eastAsia"/>
          <w:sz w:val="28"/>
          <w:szCs w:val="28"/>
        </w:rPr>
        <w:t>，构筑起了东阳全域旅游发展的骨架。</w:t>
      </w:r>
    </w:p>
    <w:p w:rsidR="005A7FCF" w:rsidRPr="001E6E06" w:rsidRDefault="004046A6"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规划</w:t>
      </w:r>
      <w:r w:rsidR="00A801E0" w:rsidRPr="001E6E06">
        <w:rPr>
          <w:rFonts w:ascii="宋体" w:eastAsia="宋体" w:hAnsi="宋体" w:hint="eastAsia"/>
          <w:sz w:val="28"/>
          <w:szCs w:val="28"/>
        </w:rPr>
        <w:t>同时</w:t>
      </w:r>
      <w:r w:rsidR="005A7FCF" w:rsidRPr="001E6E06">
        <w:rPr>
          <w:rFonts w:ascii="宋体" w:eastAsia="宋体" w:hAnsi="宋体" w:hint="eastAsia"/>
          <w:sz w:val="28"/>
          <w:szCs w:val="28"/>
        </w:rPr>
        <w:t>提出了乡村旅游提质增效示范工程、A级景区智慧旅游</w:t>
      </w:r>
      <w:r w:rsidR="00BC235E" w:rsidRPr="001E6E06">
        <w:rPr>
          <w:rFonts w:ascii="宋体" w:eastAsia="宋体" w:hAnsi="宋体" w:hint="eastAsia"/>
          <w:sz w:val="28"/>
          <w:szCs w:val="28"/>
        </w:rPr>
        <w:t>示范</w:t>
      </w:r>
      <w:r w:rsidR="005A7FCF" w:rsidRPr="001E6E06">
        <w:rPr>
          <w:rFonts w:ascii="宋体" w:eastAsia="宋体" w:hAnsi="宋体" w:hint="eastAsia"/>
          <w:sz w:val="28"/>
          <w:szCs w:val="28"/>
        </w:rPr>
        <w:t>工程、旅游咨询服务示范工程、自驾车服务示范工程等4大示范工程，以及游客后备箱行动计划、旅游厕所提升行动计划2</w:t>
      </w:r>
      <w:r w:rsidR="00BC235E" w:rsidRPr="001E6E06">
        <w:rPr>
          <w:rFonts w:ascii="宋体" w:eastAsia="宋体" w:hAnsi="宋体" w:hint="eastAsia"/>
          <w:sz w:val="28"/>
          <w:szCs w:val="28"/>
        </w:rPr>
        <w:t>大行动计划，为东阳</w:t>
      </w:r>
      <w:r w:rsidR="005A7FCF" w:rsidRPr="001E6E06">
        <w:rPr>
          <w:rFonts w:ascii="宋体" w:eastAsia="宋体" w:hAnsi="宋体" w:hint="eastAsia"/>
          <w:sz w:val="28"/>
          <w:szCs w:val="28"/>
        </w:rPr>
        <w:t>党委政府明确</w:t>
      </w:r>
      <w:r w:rsidR="00FE63D4" w:rsidRPr="001E6E06">
        <w:rPr>
          <w:rFonts w:ascii="宋体" w:eastAsia="宋体" w:hAnsi="宋体" w:hint="eastAsia"/>
          <w:sz w:val="28"/>
          <w:szCs w:val="28"/>
        </w:rPr>
        <w:t>了</w:t>
      </w:r>
      <w:r w:rsidR="00BC235E" w:rsidRPr="001E6E06">
        <w:rPr>
          <w:rFonts w:ascii="宋体" w:eastAsia="宋体" w:hAnsi="宋体" w:hint="eastAsia"/>
          <w:sz w:val="28"/>
          <w:szCs w:val="28"/>
        </w:rPr>
        <w:t>全域旅游</w:t>
      </w:r>
      <w:r w:rsidR="005A7FCF" w:rsidRPr="001E6E06">
        <w:rPr>
          <w:rFonts w:ascii="宋体" w:eastAsia="宋体" w:hAnsi="宋体" w:hint="eastAsia"/>
          <w:sz w:val="28"/>
          <w:szCs w:val="28"/>
        </w:rPr>
        <w:t>工作抓手。</w:t>
      </w:r>
    </w:p>
    <w:p w:rsidR="002761B0" w:rsidRPr="001E6E06" w:rsidRDefault="001E6E06" w:rsidP="001E6E06">
      <w:pPr>
        <w:spacing w:line="460" w:lineRule="exact"/>
        <w:ind w:firstLineChars="200" w:firstLine="562"/>
        <w:rPr>
          <w:rFonts w:ascii="宋体" w:eastAsia="宋体" w:hAnsi="宋体"/>
          <w:b/>
          <w:sz w:val="28"/>
          <w:szCs w:val="28"/>
        </w:rPr>
      </w:pPr>
      <w:r>
        <w:rPr>
          <w:rFonts w:ascii="宋体" w:eastAsia="宋体" w:hAnsi="宋体" w:hint="eastAsia"/>
          <w:b/>
          <w:sz w:val="28"/>
          <w:szCs w:val="28"/>
        </w:rPr>
        <w:t>八</w:t>
      </w:r>
      <w:r w:rsidR="00796EC9" w:rsidRPr="001E6E06">
        <w:rPr>
          <w:rFonts w:ascii="宋体" w:eastAsia="宋体" w:hAnsi="宋体" w:hint="eastAsia"/>
          <w:b/>
          <w:sz w:val="28"/>
          <w:szCs w:val="28"/>
        </w:rPr>
        <w:t>、全域创建</w:t>
      </w:r>
    </w:p>
    <w:p w:rsidR="00DF5870" w:rsidRPr="001E6E06" w:rsidRDefault="00076C82"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围绕近期创建国家全域旅游示范区的目标，</w:t>
      </w:r>
      <w:r w:rsidR="005A7FCF" w:rsidRPr="001E6E06">
        <w:rPr>
          <w:rFonts w:ascii="宋体" w:eastAsia="宋体" w:hAnsi="宋体" w:hint="eastAsia"/>
          <w:sz w:val="28"/>
          <w:szCs w:val="28"/>
        </w:rPr>
        <w:t>规划提出了</w:t>
      </w:r>
      <w:r w:rsidR="00853ECC" w:rsidRPr="001E6E06">
        <w:rPr>
          <w:rFonts w:ascii="宋体" w:eastAsia="宋体" w:hAnsi="宋体" w:hint="eastAsia"/>
          <w:sz w:val="28"/>
          <w:szCs w:val="28"/>
        </w:rPr>
        <w:t>4大近期</w:t>
      </w:r>
      <w:r w:rsidR="00853ECC" w:rsidRPr="001E6E06">
        <w:rPr>
          <w:rFonts w:ascii="宋体" w:eastAsia="宋体" w:hAnsi="宋体" w:hint="eastAsia"/>
          <w:sz w:val="28"/>
          <w:szCs w:val="28"/>
        </w:rPr>
        <w:lastRenderedPageBreak/>
        <w:t>行动</w:t>
      </w:r>
      <w:r w:rsidR="006F5607" w:rsidRPr="001E6E06">
        <w:rPr>
          <w:rFonts w:ascii="宋体" w:eastAsia="宋体" w:hAnsi="宋体" w:hint="eastAsia"/>
          <w:sz w:val="28"/>
          <w:szCs w:val="28"/>
        </w:rPr>
        <w:t>。</w:t>
      </w:r>
    </w:p>
    <w:p w:rsidR="00B4057E" w:rsidRPr="001E6E06" w:rsidRDefault="00B4057E"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6个重大项目</w:t>
      </w:r>
      <w:r w:rsidR="00655E15" w:rsidRPr="001E6E06">
        <w:rPr>
          <w:rFonts w:ascii="宋体" w:eastAsia="宋体" w:hAnsi="宋体" w:hint="eastAsia"/>
          <w:sz w:val="28"/>
          <w:szCs w:val="28"/>
        </w:rPr>
        <w:t>近期行动</w:t>
      </w:r>
      <w:r w:rsidRPr="001E6E06">
        <w:rPr>
          <w:rFonts w:ascii="宋体" w:eastAsia="宋体" w:hAnsi="宋体" w:hint="eastAsia"/>
          <w:sz w:val="28"/>
          <w:szCs w:val="28"/>
        </w:rPr>
        <w:t>：卢宅二三期、木雕小镇二三期、江滨文化休闲带、东白山旅游度假区、横店影视城提升、“匠心东阳”乡村文化遗产廊道。</w:t>
      </w:r>
    </w:p>
    <w:p w:rsidR="00655E15" w:rsidRPr="001E6E06" w:rsidRDefault="00B4057E"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交通提升近期行动：</w:t>
      </w:r>
      <w:r w:rsidR="00655E15" w:rsidRPr="001E6E06">
        <w:rPr>
          <w:rFonts w:ascii="宋体" w:eastAsia="宋体" w:hAnsi="宋体" w:hint="eastAsia"/>
          <w:sz w:val="28"/>
          <w:szCs w:val="28"/>
        </w:rPr>
        <w:t>9条旅游公路、4个旅游客运站、10条绿道打造、3</w:t>
      </w:r>
      <w:r w:rsidR="001E6E06" w:rsidRPr="001E6E06">
        <w:rPr>
          <w:rFonts w:ascii="宋体" w:eastAsia="宋体" w:hAnsi="宋体" w:hint="eastAsia"/>
          <w:sz w:val="28"/>
          <w:szCs w:val="28"/>
        </w:rPr>
        <w:t>条旅游直通车。</w:t>
      </w:r>
    </w:p>
    <w:p w:rsidR="00B4057E" w:rsidRPr="001E6E06" w:rsidRDefault="00655E15"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公共服务近期行动：</w:t>
      </w:r>
      <w:r w:rsidR="00717219" w:rsidRPr="001E6E06">
        <w:rPr>
          <w:rFonts w:ascii="宋体" w:eastAsia="宋体" w:hAnsi="宋体"/>
          <w:sz w:val="28"/>
          <w:szCs w:val="28"/>
        </w:rPr>
        <w:t>1</w:t>
      </w:r>
      <w:r w:rsidRPr="001E6E06">
        <w:rPr>
          <w:rFonts w:ascii="宋体" w:eastAsia="宋体" w:hAnsi="宋体" w:hint="eastAsia"/>
          <w:sz w:val="28"/>
          <w:szCs w:val="28"/>
        </w:rPr>
        <w:t>个旅游集散中心、新增20个AAA级旅游厕所、新增60个AA级旅游厕所、</w:t>
      </w:r>
      <w:r w:rsidR="001E6E06" w:rsidRPr="001E6E06">
        <w:rPr>
          <w:rFonts w:ascii="宋体" w:eastAsia="宋体" w:hAnsi="宋体" w:hint="eastAsia"/>
          <w:sz w:val="28"/>
          <w:szCs w:val="28"/>
        </w:rPr>
        <w:t>提升厕所若干。</w:t>
      </w:r>
    </w:p>
    <w:p w:rsidR="00746566" w:rsidRPr="001E6E06" w:rsidRDefault="00655E15" w:rsidP="001E6E06">
      <w:pPr>
        <w:spacing w:line="460" w:lineRule="exact"/>
        <w:ind w:firstLineChars="200" w:firstLine="560"/>
        <w:rPr>
          <w:rFonts w:ascii="宋体" w:eastAsia="宋体" w:hAnsi="宋体"/>
          <w:sz w:val="28"/>
          <w:szCs w:val="28"/>
        </w:rPr>
      </w:pPr>
      <w:r w:rsidRPr="001E6E06">
        <w:rPr>
          <w:rFonts w:ascii="宋体" w:eastAsia="宋体" w:hAnsi="宋体" w:hint="eastAsia"/>
          <w:sz w:val="28"/>
          <w:szCs w:val="28"/>
        </w:rPr>
        <w:t>软件提升近期行动：建立全域旅游数据监控体系、建立全域旅游服务信息平台、建立全域旅游考核标准、设立旅游警察、旅游工商所、促进旅游巡回法庭常态化</w:t>
      </w:r>
      <w:r w:rsidR="001E6E06" w:rsidRPr="001E6E06">
        <w:rPr>
          <w:rFonts w:ascii="宋体" w:eastAsia="宋体" w:hAnsi="宋体" w:hint="eastAsia"/>
          <w:sz w:val="28"/>
          <w:szCs w:val="28"/>
        </w:rPr>
        <w:t>。</w:t>
      </w:r>
    </w:p>
    <w:p w:rsidR="00746566" w:rsidRPr="001E6E06" w:rsidRDefault="00746566" w:rsidP="001E6E06">
      <w:pPr>
        <w:spacing w:line="460" w:lineRule="exact"/>
        <w:rPr>
          <w:rFonts w:ascii="宋体" w:eastAsia="宋体" w:hAnsi="宋体"/>
          <w:b/>
          <w:sz w:val="28"/>
          <w:szCs w:val="28"/>
        </w:rPr>
      </w:pPr>
    </w:p>
    <w:p w:rsidR="00E205EA" w:rsidRPr="001E6E06" w:rsidRDefault="002E53B2" w:rsidP="001E6E06">
      <w:pPr>
        <w:spacing w:line="460" w:lineRule="exact"/>
        <w:ind w:firstLineChars="200" w:firstLine="562"/>
        <w:rPr>
          <w:rFonts w:ascii="宋体" w:eastAsia="宋体" w:hAnsi="宋体"/>
          <w:b/>
          <w:sz w:val="28"/>
          <w:szCs w:val="28"/>
        </w:rPr>
      </w:pPr>
      <w:r w:rsidRPr="001E6E06">
        <w:rPr>
          <w:rFonts w:ascii="宋体" w:eastAsia="宋体" w:hAnsi="宋体" w:hint="eastAsia"/>
          <w:b/>
          <w:sz w:val="28"/>
          <w:szCs w:val="28"/>
        </w:rPr>
        <w:t>本次规划是指导</w:t>
      </w:r>
      <w:r w:rsidR="00A24EBB" w:rsidRPr="001E6E06">
        <w:rPr>
          <w:rFonts w:ascii="宋体" w:eastAsia="宋体" w:hAnsi="宋体" w:hint="eastAsia"/>
          <w:b/>
          <w:sz w:val="28"/>
          <w:szCs w:val="28"/>
        </w:rPr>
        <w:t>东阳全域旅游发展</w:t>
      </w:r>
      <w:r w:rsidRPr="001E6E06">
        <w:rPr>
          <w:rFonts w:ascii="宋体" w:eastAsia="宋体" w:hAnsi="宋体" w:hint="eastAsia"/>
          <w:b/>
          <w:sz w:val="28"/>
          <w:szCs w:val="28"/>
        </w:rPr>
        <w:t>，特别是</w:t>
      </w:r>
      <w:r w:rsidR="00A24EBB" w:rsidRPr="001E6E06">
        <w:rPr>
          <w:rFonts w:ascii="宋体" w:eastAsia="宋体" w:hAnsi="宋体" w:hint="eastAsia"/>
          <w:b/>
          <w:sz w:val="28"/>
          <w:szCs w:val="28"/>
        </w:rPr>
        <w:t>国家</w:t>
      </w:r>
      <w:r w:rsidRPr="001E6E06">
        <w:rPr>
          <w:rFonts w:ascii="宋体" w:eastAsia="宋体" w:hAnsi="宋体" w:hint="eastAsia"/>
          <w:b/>
          <w:sz w:val="28"/>
          <w:szCs w:val="28"/>
        </w:rPr>
        <w:t>全域旅游示范区创建的重要工作手册，</w:t>
      </w:r>
      <w:r w:rsidR="00E03D9E" w:rsidRPr="001E6E06">
        <w:rPr>
          <w:rFonts w:ascii="宋体" w:eastAsia="宋体" w:hAnsi="宋体" w:hint="eastAsia"/>
          <w:b/>
          <w:sz w:val="28"/>
          <w:szCs w:val="28"/>
        </w:rPr>
        <w:t>力争通过2—3年努力，使东阳成功创建国家全域旅游旅游示范区，并在10—15年内，将东阳建设成为特色鲜明的全域旅游目的地。</w:t>
      </w:r>
    </w:p>
    <w:p w:rsidR="00EA1F78" w:rsidRPr="001E6E06" w:rsidRDefault="00EA1F78" w:rsidP="001E6E06">
      <w:pPr>
        <w:spacing w:line="460" w:lineRule="exact"/>
        <w:rPr>
          <w:rFonts w:ascii="宋体" w:eastAsia="宋体" w:hAnsi="宋体"/>
          <w:b/>
          <w:sz w:val="28"/>
          <w:szCs w:val="28"/>
        </w:rPr>
      </w:pPr>
    </w:p>
    <w:sectPr w:rsidR="00EA1F78" w:rsidRPr="001E6E06" w:rsidSect="006C3B5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4008" w:rsidRDefault="00234008" w:rsidP="00C775BA">
      <w:r>
        <w:separator/>
      </w:r>
    </w:p>
  </w:endnote>
  <w:endnote w:type="continuationSeparator" w:id="0">
    <w:p w:rsidR="00234008" w:rsidRDefault="00234008" w:rsidP="00C775B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4008" w:rsidRDefault="00234008" w:rsidP="00C775BA">
      <w:r>
        <w:separator/>
      </w:r>
    </w:p>
  </w:footnote>
  <w:footnote w:type="continuationSeparator" w:id="0">
    <w:p w:rsidR="00234008" w:rsidRDefault="00234008" w:rsidP="00C77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25278D"/>
    <w:multiLevelType w:val="hybridMultilevel"/>
    <w:tmpl w:val="5484A914"/>
    <w:lvl w:ilvl="0" w:tplc="9BE4261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62AFD"/>
    <w:rsid w:val="00002E09"/>
    <w:rsid w:val="00015428"/>
    <w:rsid w:val="00015C22"/>
    <w:rsid w:val="00027D3C"/>
    <w:rsid w:val="00035154"/>
    <w:rsid w:val="00036D92"/>
    <w:rsid w:val="000429BD"/>
    <w:rsid w:val="0005044F"/>
    <w:rsid w:val="000615B0"/>
    <w:rsid w:val="000644E5"/>
    <w:rsid w:val="00076C82"/>
    <w:rsid w:val="000834E1"/>
    <w:rsid w:val="000A431A"/>
    <w:rsid w:val="000B3D81"/>
    <w:rsid w:val="000B7064"/>
    <w:rsid w:val="000B7DA4"/>
    <w:rsid w:val="000C4AFA"/>
    <w:rsid w:val="000E0223"/>
    <w:rsid w:val="000E2491"/>
    <w:rsid w:val="000E44FC"/>
    <w:rsid w:val="000E475C"/>
    <w:rsid w:val="000E55F9"/>
    <w:rsid w:val="000F0964"/>
    <w:rsid w:val="000F5AEB"/>
    <w:rsid w:val="00102B2B"/>
    <w:rsid w:val="001039B1"/>
    <w:rsid w:val="00111227"/>
    <w:rsid w:val="0011131C"/>
    <w:rsid w:val="0011423C"/>
    <w:rsid w:val="00117B98"/>
    <w:rsid w:val="001213CB"/>
    <w:rsid w:val="001260F9"/>
    <w:rsid w:val="0013411D"/>
    <w:rsid w:val="00135F6E"/>
    <w:rsid w:val="00136A8A"/>
    <w:rsid w:val="0014505E"/>
    <w:rsid w:val="00146AE4"/>
    <w:rsid w:val="00150C6F"/>
    <w:rsid w:val="00171CEE"/>
    <w:rsid w:val="0017344C"/>
    <w:rsid w:val="00183D45"/>
    <w:rsid w:val="00184193"/>
    <w:rsid w:val="00185C5B"/>
    <w:rsid w:val="00186177"/>
    <w:rsid w:val="001A1B45"/>
    <w:rsid w:val="001A7942"/>
    <w:rsid w:val="001C463F"/>
    <w:rsid w:val="001D3E05"/>
    <w:rsid w:val="001E6AE4"/>
    <w:rsid w:val="001E6E06"/>
    <w:rsid w:val="001F09CA"/>
    <w:rsid w:val="00203609"/>
    <w:rsid w:val="00204497"/>
    <w:rsid w:val="002133ED"/>
    <w:rsid w:val="002146D2"/>
    <w:rsid w:val="00226686"/>
    <w:rsid w:val="00232C62"/>
    <w:rsid w:val="00234008"/>
    <w:rsid w:val="00251785"/>
    <w:rsid w:val="00262155"/>
    <w:rsid w:val="002644FF"/>
    <w:rsid w:val="00264813"/>
    <w:rsid w:val="00271039"/>
    <w:rsid w:val="00274915"/>
    <w:rsid w:val="00275C4D"/>
    <w:rsid w:val="002761B0"/>
    <w:rsid w:val="00281E0F"/>
    <w:rsid w:val="00283974"/>
    <w:rsid w:val="00294361"/>
    <w:rsid w:val="00295CAD"/>
    <w:rsid w:val="002A2080"/>
    <w:rsid w:val="002A325E"/>
    <w:rsid w:val="002C7D12"/>
    <w:rsid w:val="002D70F8"/>
    <w:rsid w:val="002E53B2"/>
    <w:rsid w:val="002F761B"/>
    <w:rsid w:val="00300530"/>
    <w:rsid w:val="00301378"/>
    <w:rsid w:val="0030167A"/>
    <w:rsid w:val="00303E01"/>
    <w:rsid w:val="00325563"/>
    <w:rsid w:val="00326EF3"/>
    <w:rsid w:val="003415DA"/>
    <w:rsid w:val="003503A1"/>
    <w:rsid w:val="00361157"/>
    <w:rsid w:val="00366E91"/>
    <w:rsid w:val="0036702C"/>
    <w:rsid w:val="00382028"/>
    <w:rsid w:val="003871C8"/>
    <w:rsid w:val="003922EC"/>
    <w:rsid w:val="00393D81"/>
    <w:rsid w:val="00395986"/>
    <w:rsid w:val="003961AC"/>
    <w:rsid w:val="003B4C86"/>
    <w:rsid w:val="003D35E2"/>
    <w:rsid w:val="003D7D1E"/>
    <w:rsid w:val="003E667A"/>
    <w:rsid w:val="00403B92"/>
    <w:rsid w:val="004046A6"/>
    <w:rsid w:val="00407F39"/>
    <w:rsid w:val="00414D6E"/>
    <w:rsid w:val="00432E6C"/>
    <w:rsid w:val="0043314F"/>
    <w:rsid w:val="00433790"/>
    <w:rsid w:val="0044747D"/>
    <w:rsid w:val="004477E8"/>
    <w:rsid w:val="004510D5"/>
    <w:rsid w:val="00456276"/>
    <w:rsid w:val="00465459"/>
    <w:rsid w:val="0047780E"/>
    <w:rsid w:val="00477B1D"/>
    <w:rsid w:val="004918E1"/>
    <w:rsid w:val="004A46D9"/>
    <w:rsid w:val="004B3C38"/>
    <w:rsid w:val="004B4B3C"/>
    <w:rsid w:val="004B5ED3"/>
    <w:rsid w:val="004B7B1B"/>
    <w:rsid w:val="004E097D"/>
    <w:rsid w:val="004E0F9A"/>
    <w:rsid w:val="004E1237"/>
    <w:rsid w:val="004E4C1D"/>
    <w:rsid w:val="004E634E"/>
    <w:rsid w:val="00512059"/>
    <w:rsid w:val="00521F36"/>
    <w:rsid w:val="00526066"/>
    <w:rsid w:val="0053207A"/>
    <w:rsid w:val="00541A96"/>
    <w:rsid w:val="0054230F"/>
    <w:rsid w:val="00542E44"/>
    <w:rsid w:val="005640C2"/>
    <w:rsid w:val="00573B1C"/>
    <w:rsid w:val="00577F52"/>
    <w:rsid w:val="00585280"/>
    <w:rsid w:val="005874D9"/>
    <w:rsid w:val="00593C69"/>
    <w:rsid w:val="00594CBB"/>
    <w:rsid w:val="005A2564"/>
    <w:rsid w:val="005A6CF8"/>
    <w:rsid w:val="005A7FCF"/>
    <w:rsid w:val="005B035C"/>
    <w:rsid w:val="005B4CFB"/>
    <w:rsid w:val="005B4E8E"/>
    <w:rsid w:val="005B544F"/>
    <w:rsid w:val="005B58FF"/>
    <w:rsid w:val="005C21F3"/>
    <w:rsid w:val="005C250B"/>
    <w:rsid w:val="005C505D"/>
    <w:rsid w:val="005D7819"/>
    <w:rsid w:val="00600F68"/>
    <w:rsid w:val="00610C94"/>
    <w:rsid w:val="00614802"/>
    <w:rsid w:val="006149B7"/>
    <w:rsid w:val="0062694C"/>
    <w:rsid w:val="00632F01"/>
    <w:rsid w:val="00646DF1"/>
    <w:rsid w:val="00651781"/>
    <w:rsid w:val="00655E15"/>
    <w:rsid w:val="0067444E"/>
    <w:rsid w:val="00675448"/>
    <w:rsid w:val="00680CEB"/>
    <w:rsid w:val="00682778"/>
    <w:rsid w:val="0068497A"/>
    <w:rsid w:val="006A1C38"/>
    <w:rsid w:val="006B0FE0"/>
    <w:rsid w:val="006B572F"/>
    <w:rsid w:val="006B7D12"/>
    <w:rsid w:val="006C2593"/>
    <w:rsid w:val="006C3B5B"/>
    <w:rsid w:val="006C48B3"/>
    <w:rsid w:val="006D5D98"/>
    <w:rsid w:val="006E5485"/>
    <w:rsid w:val="006F5607"/>
    <w:rsid w:val="007074F3"/>
    <w:rsid w:val="007102AC"/>
    <w:rsid w:val="00716F31"/>
    <w:rsid w:val="00717219"/>
    <w:rsid w:val="007240D4"/>
    <w:rsid w:val="007413A4"/>
    <w:rsid w:val="00741EA9"/>
    <w:rsid w:val="00746566"/>
    <w:rsid w:val="007578FF"/>
    <w:rsid w:val="0076302F"/>
    <w:rsid w:val="00766D23"/>
    <w:rsid w:val="00767CA3"/>
    <w:rsid w:val="00772E6C"/>
    <w:rsid w:val="00777335"/>
    <w:rsid w:val="00796EC9"/>
    <w:rsid w:val="007A2650"/>
    <w:rsid w:val="007A70B0"/>
    <w:rsid w:val="007B3CAF"/>
    <w:rsid w:val="007C0130"/>
    <w:rsid w:val="007C5DF8"/>
    <w:rsid w:val="007D10D9"/>
    <w:rsid w:val="007D41ED"/>
    <w:rsid w:val="007D5306"/>
    <w:rsid w:val="007E116F"/>
    <w:rsid w:val="008047A4"/>
    <w:rsid w:val="0080614E"/>
    <w:rsid w:val="008076C8"/>
    <w:rsid w:val="00811FFD"/>
    <w:rsid w:val="00821BF5"/>
    <w:rsid w:val="00823F57"/>
    <w:rsid w:val="0082510F"/>
    <w:rsid w:val="00826BA5"/>
    <w:rsid w:val="00830ED8"/>
    <w:rsid w:val="00834088"/>
    <w:rsid w:val="00847A39"/>
    <w:rsid w:val="00853ECC"/>
    <w:rsid w:val="00860CA9"/>
    <w:rsid w:val="00862149"/>
    <w:rsid w:val="008741D5"/>
    <w:rsid w:val="00883BF4"/>
    <w:rsid w:val="008917FC"/>
    <w:rsid w:val="00895D94"/>
    <w:rsid w:val="008969A7"/>
    <w:rsid w:val="008A21B9"/>
    <w:rsid w:val="008A29EC"/>
    <w:rsid w:val="008C0760"/>
    <w:rsid w:val="008C384A"/>
    <w:rsid w:val="008D28C5"/>
    <w:rsid w:val="008F37BC"/>
    <w:rsid w:val="009000A5"/>
    <w:rsid w:val="0090155A"/>
    <w:rsid w:val="00910BAB"/>
    <w:rsid w:val="00916716"/>
    <w:rsid w:val="00917C20"/>
    <w:rsid w:val="0092018B"/>
    <w:rsid w:val="009217BD"/>
    <w:rsid w:val="00931D10"/>
    <w:rsid w:val="00933A00"/>
    <w:rsid w:val="009404AA"/>
    <w:rsid w:val="009409F0"/>
    <w:rsid w:val="00965E42"/>
    <w:rsid w:val="00966057"/>
    <w:rsid w:val="00984A15"/>
    <w:rsid w:val="00985C8C"/>
    <w:rsid w:val="009A0649"/>
    <w:rsid w:val="009A7134"/>
    <w:rsid w:val="009B72F3"/>
    <w:rsid w:val="009C5FCF"/>
    <w:rsid w:val="009D2FE1"/>
    <w:rsid w:val="009E4E9E"/>
    <w:rsid w:val="009E5ECB"/>
    <w:rsid w:val="00A01091"/>
    <w:rsid w:val="00A12A14"/>
    <w:rsid w:val="00A13417"/>
    <w:rsid w:val="00A23497"/>
    <w:rsid w:val="00A2494C"/>
    <w:rsid w:val="00A24E83"/>
    <w:rsid w:val="00A24EBB"/>
    <w:rsid w:val="00A314DD"/>
    <w:rsid w:val="00A41C77"/>
    <w:rsid w:val="00A4529D"/>
    <w:rsid w:val="00A63048"/>
    <w:rsid w:val="00A665A2"/>
    <w:rsid w:val="00A718BF"/>
    <w:rsid w:val="00A74C49"/>
    <w:rsid w:val="00A801E0"/>
    <w:rsid w:val="00A80200"/>
    <w:rsid w:val="00A97176"/>
    <w:rsid w:val="00AB0C55"/>
    <w:rsid w:val="00AB56A3"/>
    <w:rsid w:val="00AC0643"/>
    <w:rsid w:val="00AC382B"/>
    <w:rsid w:val="00AC5D8E"/>
    <w:rsid w:val="00AC6A9B"/>
    <w:rsid w:val="00AD04FF"/>
    <w:rsid w:val="00AE1629"/>
    <w:rsid w:val="00AE1DF2"/>
    <w:rsid w:val="00AE71AC"/>
    <w:rsid w:val="00AF2DB9"/>
    <w:rsid w:val="00B02FAE"/>
    <w:rsid w:val="00B07827"/>
    <w:rsid w:val="00B24BD3"/>
    <w:rsid w:val="00B2672E"/>
    <w:rsid w:val="00B30411"/>
    <w:rsid w:val="00B323A0"/>
    <w:rsid w:val="00B3741A"/>
    <w:rsid w:val="00B4057E"/>
    <w:rsid w:val="00B410B1"/>
    <w:rsid w:val="00B44F55"/>
    <w:rsid w:val="00B526A7"/>
    <w:rsid w:val="00B548A7"/>
    <w:rsid w:val="00B5607B"/>
    <w:rsid w:val="00B62AFD"/>
    <w:rsid w:val="00B674D6"/>
    <w:rsid w:val="00B70A08"/>
    <w:rsid w:val="00B744E8"/>
    <w:rsid w:val="00B829B2"/>
    <w:rsid w:val="00B85653"/>
    <w:rsid w:val="00B87BC9"/>
    <w:rsid w:val="00B9087E"/>
    <w:rsid w:val="00B908B2"/>
    <w:rsid w:val="00B911BC"/>
    <w:rsid w:val="00B95A27"/>
    <w:rsid w:val="00B95D8F"/>
    <w:rsid w:val="00BA1D32"/>
    <w:rsid w:val="00BA6896"/>
    <w:rsid w:val="00BC235E"/>
    <w:rsid w:val="00BC2635"/>
    <w:rsid w:val="00BC74E7"/>
    <w:rsid w:val="00BD11D2"/>
    <w:rsid w:val="00BD47F8"/>
    <w:rsid w:val="00BD62AE"/>
    <w:rsid w:val="00BE557E"/>
    <w:rsid w:val="00BF2D4C"/>
    <w:rsid w:val="00C140B9"/>
    <w:rsid w:val="00C17AE5"/>
    <w:rsid w:val="00C216B2"/>
    <w:rsid w:val="00C27914"/>
    <w:rsid w:val="00C303FE"/>
    <w:rsid w:val="00C371E9"/>
    <w:rsid w:val="00C55CE8"/>
    <w:rsid w:val="00C61405"/>
    <w:rsid w:val="00C74BD5"/>
    <w:rsid w:val="00C775BA"/>
    <w:rsid w:val="00C80D54"/>
    <w:rsid w:val="00C82522"/>
    <w:rsid w:val="00C828CA"/>
    <w:rsid w:val="00C8322C"/>
    <w:rsid w:val="00C910EF"/>
    <w:rsid w:val="00C92D47"/>
    <w:rsid w:val="00C96C95"/>
    <w:rsid w:val="00C97E5B"/>
    <w:rsid w:val="00CA7301"/>
    <w:rsid w:val="00CB11EE"/>
    <w:rsid w:val="00CC789F"/>
    <w:rsid w:val="00CC7B18"/>
    <w:rsid w:val="00CD44BD"/>
    <w:rsid w:val="00CE1C2C"/>
    <w:rsid w:val="00CE47BB"/>
    <w:rsid w:val="00D069EB"/>
    <w:rsid w:val="00D10182"/>
    <w:rsid w:val="00D1696C"/>
    <w:rsid w:val="00D1763D"/>
    <w:rsid w:val="00D2245E"/>
    <w:rsid w:val="00D24818"/>
    <w:rsid w:val="00D308E4"/>
    <w:rsid w:val="00D35012"/>
    <w:rsid w:val="00D42FE3"/>
    <w:rsid w:val="00D437DD"/>
    <w:rsid w:val="00D5491E"/>
    <w:rsid w:val="00D55378"/>
    <w:rsid w:val="00D63872"/>
    <w:rsid w:val="00D65835"/>
    <w:rsid w:val="00D722BC"/>
    <w:rsid w:val="00D83080"/>
    <w:rsid w:val="00D93B5C"/>
    <w:rsid w:val="00D93F23"/>
    <w:rsid w:val="00D946B4"/>
    <w:rsid w:val="00D95DCE"/>
    <w:rsid w:val="00D96081"/>
    <w:rsid w:val="00D9795F"/>
    <w:rsid w:val="00DA5608"/>
    <w:rsid w:val="00DB095D"/>
    <w:rsid w:val="00DB1EDF"/>
    <w:rsid w:val="00DB2E4D"/>
    <w:rsid w:val="00DB3A0C"/>
    <w:rsid w:val="00DC2351"/>
    <w:rsid w:val="00DD403D"/>
    <w:rsid w:val="00DD45D8"/>
    <w:rsid w:val="00DD6B91"/>
    <w:rsid w:val="00DD7B23"/>
    <w:rsid w:val="00DE4052"/>
    <w:rsid w:val="00DF5870"/>
    <w:rsid w:val="00E03D9E"/>
    <w:rsid w:val="00E15A9B"/>
    <w:rsid w:val="00E205EA"/>
    <w:rsid w:val="00E30DF5"/>
    <w:rsid w:val="00E33FB9"/>
    <w:rsid w:val="00E34FFC"/>
    <w:rsid w:val="00E3632B"/>
    <w:rsid w:val="00E425C1"/>
    <w:rsid w:val="00E54B7D"/>
    <w:rsid w:val="00E55A43"/>
    <w:rsid w:val="00E5609C"/>
    <w:rsid w:val="00E56181"/>
    <w:rsid w:val="00E57D9C"/>
    <w:rsid w:val="00E65003"/>
    <w:rsid w:val="00E75418"/>
    <w:rsid w:val="00E8057E"/>
    <w:rsid w:val="00E85B09"/>
    <w:rsid w:val="00E90C29"/>
    <w:rsid w:val="00EA1F78"/>
    <w:rsid w:val="00EB13E7"/>
    <w:rsid w:val="00EB2AC1"/>
    <w:rsid w:val="00EB4BAA"/>
    <w:rsid w:val="00EC62BC"/>
    <w:rsid w:val="00ED4074"/>
    <w:rsid w:val="00EE1950"/>
    <w:rsid w:val="00EE6F22"/>
    <w:rsid w:val="00EF76B8"/>
    <w:rsid w:val="00F00385"/>
    <w:rsid w:val="00F02592"/>
    <w:rsid w:val="00F04B2A"/>
    <w:rsid w:val="00F073A1"/>
    <w:rsid w:val="00F13AB2"/>
    <w:rsid w:val="00F24038"/>
    <w:rsid w:val="00F34325"/>
    <w:rsid w:val="00F547DE"/>
    <w:rsid w:val="00F650AE"/>
    <w:rsid w:val="00F66498"/>
    <w:rsid w:val="00FA19B4"/>
    <w:rsid w:val="00FA63AC"/>
    <w:rsid w:val="00FB1650"/>
    <w:rsid w:val="00FC29FE"/>
    <w:rsid w:val="00FC6FC4"/>
    <w:rsid w:val="00FD410E"/>
    <w:rsid w:val="00FE39CA"/>
    <w:rsid w:val="00FE453F"/>
    <w:rsid w:val="00FE63D4"/>
    <w:rsid w:val="00FE67C5"/>
    <w:rsid w:val="00FF2AD9"/>
    <w:rsid w:val="00FF6D1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B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55F9"/>
    <w:pPr>
      <w:ind w:firstLineChars="200" w:firstLine="420"/>
    </w:pPr>
  </w:style>
  <w:style w:type="paragraph" w:styleId="a4">
    <w:name w:val="Normal (Web)"/>
    <w:basedOn w:val="a"/>
    <w:uiPriority w:val="99"/>
    <w:semiHidden/>
    <w:unhideWhenUsed/>
    <w:rsid w:val="00655E15"/>
    <w:pPr>
      <w:widowControl/>
      <w:spacing w:before="100" w:beforeAutospacing="1" w:after="100" w:afterAutospacing="1"/>
      <w:jc w:val="left"/>
    </w:pPr>
    <w:rPr>
      <w:rFonts w:ascii="宋体" w:eastAsia="宋体" w:hAnsi="宋体" w:cs="宋体"/>
      <w:kern w:val="0"/>
      <w:sz w:val="24"/>
      <w:szCs w:val="24"/>
    </w:rPr>
  </w:style>
  <w:style w:type="paragraph" w:styleId="a5">
    <w:name w:val="header"/>
    <w:basedOn w:val="a"/>
    <w:link w:val="Char"/>
    <w:uiPriority w:val="99"/>
    <w:unhideWhenUsed/>
    <w:rsid w:val="00C775B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C775BA"/>
    <w:rPr>
      <w:sz w:val="18"/>
      <w:szCs w:val="18"/>
    </w:rPr>
  </w:style>
  <w:style w:type="paragraph" w:styleId="a6">
    <w:name w:val="footer"/>
    <w:basedOn w:val="a"/>
    <w:link w:val="Char0"/>
    <w:uiPriority w:val="99"/>
    <w:unhideWhenUsed/>
    <w:rsid w:val="00C775BA"/>
    <w:pPr>
      <w:tabs>
        <w:tab w:val="center" w:pos="4153"/>
        <w:tab w:val="right" w:pos="8306"/>
      </w:tabs>
      <w:snapToGrid w:val="0"/>
      <w:jc w:val="left"/>
    </w:pPr>
    <w:rPr>
      <w:sz w:val="18"/>
      <w:szCs w:val="18"/>
    </w:rPr>
  </w:style>
  <w:style w:type="character" w:customStyle="1" w:styleId="Char0">
    <w:name w:val="页脚 Char"/>
    <w:basedOn w:val="a0"/>
    <w:link w:val="a6"/>
    <w:uiPriority w:val="99"/>
    <w:rsid w:val="00C775BA"/>
    <w:rPr>
      <w:sz w:val="18"/>
      <w:szCs w:val="18"/>
    </w:rPr>
  </w:style>
</w:styles>
</file>

<file path=word/webSettings.xml><?xml version="1.0" encoding="utf-8"?>
<w:webSettings xmlns:r="http://schemas.openxmlformats.org/officeDocument/2006/relationships" xmlns:w="http://schemas.openxmlformats.org/wordprocessingml/2006/main">
  <w:divs>
    <w:div w:id="10910726">
      <w:bodyDiv w:val="1"/>
      <w:marLeft w:val="0"/>
      <w:marRight w:val="0"/>
      <w:marTop w:val="0"/>
      <w:marBottom w:val="0"/>
      <w:divBdr>
        <w:top w:val="none" w:sz="0" w:space="0" w:color="auto"/>
        <w:left w:val="none" w:sz="0" w:space="0" w:color="auto"/>
        <w:bottom w:val="none" w:sz="0" w:space="0" w:color="auto"/>
        <w:right w:val="none" w:sz="0" w:space="0" w:color="auto"/>
      </w:divBdr>
    </w:div>
    <w:div w:id="45182798">
      <w:bodyDiv w:val="1"/>
      <w:marLeft w:val="0"/>
      <w:marRight w:val="0"/>
      <w:marTop w:val="0"/>
      <w:marBottom w:val="0"/>
      <w:divBdr>
        <w:top w:val="none" w:sz="0" w:space="0" w:color="auto"/>
        <w:left w:val="none" w:sz="0" w:space="0" w:color="auto"/>
        <w:bottom w:val="none" w:sz="0" w:space="0" w:color="auto"/>
        <w:right w:val="none" w:sz="0" w:space="0" w:color="auto"/>
      </w:divBdr>
    </w:div>
    <w:div w:id="99690024">
      <w:bodyDiv w:val="1"/>
      <w:marLeft w:val="0"/>
      <w:marRight w:val="0"/>
      <w:marTop w:val="0"/>
      <w:marBottom w:val="0"/>
      <w:divBdr>
        <w:top w:val="none" w:sz="0" w:space="0" w:color="auto"/>
        <w:left w:val="none" w:sz="0" w:space="0" w:color="auto"/>
        <w:bottom w:val="none" w:sz="0" w:space="0" w:color="auto"/>
        <w:right w:val="none" w:sz="0" w:space="0" w:color="auto"/>
      </w:divBdr>
    </w:div>
    <w:div w:id="99880583">
      <w:bodyDiv w:val="1"/>
      <w:marLeft w:val="0"/>
      <w:marRight w:val="0"/>
      <w:marTop w:val="0"/>
      <w:marBottom w:val="0"/>
      <w:divBdr>
        <w:top w:val="none" w:sz="0" w:space="0" w:color="auto"/>
        <w:left w:val="none" w:sz="0" w:space="0" w:color="auto"/>
        <w:bottom w:val="none" w:sz="0" w:space="0" w:color="auto"/>
        <w:right w:val="none" w:sz="0" w:space="0" w:color="auto"/>
      </w:divBdr>
    </w:div>
    <w:div w:id="106387869">
      <w:bodyDiv w:val="1"/>
      <w:marLeft w:val="0"/>
      <w:marRight w:val="0"/>
      <w:marTop w:val="0"/>
      <w:marBottom w:val="0"/>
      <w:divBdr>
        <w:top w:val="none" w:sz="0" w:space="0" w:color="auto"/>
        <w:left w:val="none" w:sz="0" w:space="0" w:color="auto"/>
        <w:bottom w:val="none" w:sz="0" w:space="0" w:color="auto"/>
        <w:right w:val="none" w:sz="0" w:space="0" w:color="auto"/>
      </w:divBdr>
      <w:divsChild>
        <w:div w:id="1136993139">
          <w:marLeft w:val="547"/>
          <w:marRight w:val="0"/>
          <w:marTop w:val="0"/>
          <w:marBottom w:val="0"/>
          <w:divBdr>
            <w:top w:val="none" w:sz="0" w:space="0" w:color="auto"/>
            <w:left w:val="none" w:sz="0" w:space="0" w:color="auto"/>
            <w:bottom w:val="none" w:sz="0" w:space="0" w:color="auto"/>
            <w:right w:val="none" w:sz="0" w:space="0" w:color="auto"/>
          </w:divBdr>
        </w:div>
      </w:divsChild>
    </w:div>
    <w:div w:id="112210293">
      <w:bodyDiv w:val="1"/>
      <w:marLeft w:val="0"/>
      <w:marRight w:val="0"/>
      <w:marTop w:val="0"/>
      <w:marBottom w:val="0"/>
      <w:divBdr>
        <w:top w:val="none" w:sz="0" w:space="0" w:color="auto"/>
        <w:left w:val="none" w:sz="0" w:space="0" w:color="auto"/>
        <w:bottom w:val="none" w:sz="0" w:space="0" w:color="auto"/>
        <w:right w:val="none" w:sz="0" w:space="0" w:color="auto"/>
      </w:divBdr>
    </w:div>
    <w:div w:id="140663252">
      <w:bodyDiv w:val="1"/>
      <w:marLeft w:val="0"/>
      <w:marRight w:val="0"/>
      <w:marTop w:val="0"/>
      <w:marBottom w:val="0"/>
      <w:divBdr>
        <w:top w:val="none" w:sz="0" w:space="0" w:color="auto"/>
        <w:left w:val="none" w:sz="0" w:space="0" w:color="auto"/>
        <w:bottom w:val="none" w:sz="0" w:space="0" w:color="auto"/>
        <w:right w:val="none" w:sz="0" w:space="0" w:color="auto"/>
      </w:divBdr>
    </w:div>
    <w:div w:id="156842943">
      <w:bodyDiv w:val="1"/>
      <w:marLeft w:val="0"/>
      <w:marRight w:val="0"/>
      <w:marTop w:val="0"/>
      <w:marBottom w:val="0"/>
      <w:divBdr>
        <w:top w:val="none" w:sz="0" w:space="0" w:color="auto"/>
        <w:left w:val="none" w:sz="0" w:space="0" w:color="auto"/>
        <w:bottom w:val="none" w:sz="0" w:space="0" w:color="auto"/>
        <w:right w:val="none" w:sz="0" w:space="0" w:color="auto"/>
      </w:divBdr>
    </w:div>
    <w:div w:id="191501914">
      <w:bodyDiv w:val="1"/>
      <w:marLeft w:val="0"/>
      <w:marRight w:val="0"/>
      <w:marTop w:val="0"/>
      <w:marBottom w:val="0"/>
      <w:divBdr>
        <w:top w:val="none" w:sz="0" w:space="0" w:color="auto"/>
        <w:left w:val="none" w:sz="0" w:space="0" w:color="auto"/>
        <w:bottom w:val="none" w:sz="0" w:space="0" w:color="auto"/>
        <w:right w:val="none" w:sz="0" w:space="0" w:color="auto"/>
      </w:divBdr>
    </w:div>
    <w:div w:id="218059595">
      <w:bodyDiv w:val="1"/>
      <w:marLeft w:val="0"/>
      <w:marRight w:val="0"/>
      <w:marTop w:val="0"/>
      <w:marBottom w:val="0"/>
      <w:divBdr>
        <w:top w:val="none" w:sz="0" w:space="0" w:color="auto"/>
        <w:left w:val="none" w:sz="0" w:space="0" w:color="auto"/>
        <w:bottom w:val="none" w:sz="0" w:space="0" w:color="auto"/>
        <w:right w:val="none" w:sz="0" w:space="0" w:color="auto"/>
      </w:divBdr>
    </w:div>
    <w:div w:id="289290899">
      <w:bodyDiv w:val="1"/>
      <w:marLeft w:val="0"/>
      <w:marRight w:val="0"/>
      <w:marTop w:val="0"/>
      <w:marBottom w:val="0"/>
      <w:divBdr>
        <w:top w:val="none" w:sz="0" w:space="0" w:color="auto"/>
        <w:left w:val="none" w:sz="0" w:space="0" w:color="auto"/>
        <w:bottom w:val="none" w:sz="0" w:space="0" w:color="auto"/>
        <w:right w:val="none" w:sz="0" w:space="0" w:color="auto"/>
      </w:divBdr>
    </w:div>
    <w:div w:id="313141904">
      <w:bodyDiv w:val="1"/>
      <w:marLeft w:val="0"/>
      <w:marRight w:val="0"/>
      <w:marTop w:val="0"/>
      <w:marBottom w:val="0"/>
      <w:divBdr>
        <w:top w:val="none" w:sz="0" w:space="0" w:color="auto"/>
        <w:left w:val="none" w:sz="0" w:space="0" w:color="auto"/>
        <w:bottom w:val="none" w:sz="0" w:space="0" w:color="auto"/>
        <w:right w:val="none" w:sz="0" w:space="0" w:color="auto"/>
      </w:divBdr>
      <w:divsChild>
        <w:div w:id="1936865221">
          <w:marLeft w:val="547"/>
          <w:marRight w:val="0"/>
          <w:marTop w:val="0"/>
          <w:marBottom w:val="0"/>
          <w:divBdr>
            <w:top w:val="none" w:sz="0" w:space="0" w:color="auto"/>
            <w:left w:val="none" w:sz="0" w:space="0" w:color="auto"/>
            <w:bottom w:val="none" w:sz="0" w:space="0" w:color="auto"/>
            <w:right w:val="none" w:sz="0" w:space="0" w:color="auto"/>
          </w:divBdr>
        </w:div>
      </w:divsChild>
    </w:div>
    <w:div w:id="378943649">
      <w:bodyDiv w:val="1"/>
      <w:marLeft w:val="0"/>
      <w:marRight w:val="0"/>
      <w:marTop w:val="0"/>
      <w:marBottom w:val="0"/>
      <w:divBdr>
        <w:top w:val="none" w:sz="0" w:space="0" w:color="auto"/>
        <w:left w:val="none" w:sz="0" w:space="0" w:color="auto"/>
        <w:bottom w:val="none" w:sz="0" w:space="0" w:color="auto"/>
        <w:right w:val="none" w:sz="0" w:space="0" w:color="auto"/>
      </w:divBdr>
    </w:div>
    <w:div w:id="450436590">
      <w:bodyDiv w:val="1"/>
      <w:marLeft w:val="0"/>
      <w:marRight w:val="0"/>
      <w:marTop w:val="0"/>
      <w:marBottom w:val="0"/>
      <w:divBdr>
        <w:top w:val="none" w:sz="0" w:space="0" w:color="auto"/>
        <w:left w:val="none" w:sz="0" w:space="0" w:color="auto"/>
        <w:bottom w:val="none" w:sz="0" w:space="0" w:color="auto"/>
        <w:right w:val="none" w:sz="0" w:space="0" w:color="auto"/>
      </w:divBdr>
      <w:divsChild>
        <w:div w:id="1192181204">
          <w:marLeft w:val="547"/>
          <w:marRight w:val="0"/>
          <w:marTop w:val="0"/>
          <w:marBottom w:val="0"/>
          <w:divBdr>
            <w:top w:val="none" w:sz="0" w:space="0" w:color="auto"/>
            <w:left w:val="none" w:sz="0" w:space="0" w:color="auto"/>
            <w:bottom w:val="none" w:sz="0" w:space="0" w:color="auto"/>
            <w:right w:val="none" w:sz="0" w:space="0" w:color="auto"/>
          </w:divBdr>
        </w:div>
      </w:divsChild>
    </w:div>
    <w:div w:id="497156819">
      <w:bodyDiv w:val="1"/>
      <w:marLeft w:val="0"/>
      <w:marRight w:val="0"/>
      <w:marTop w:val="0"/>
      <w:marBottom w:val="0"/>
      <w:divBdr>
        <w:top w:val="none" w:sz="0" w:space="0" w:color="auto"/>
        <w:left w:val="none" w:sz="0" w:space="0" w:color="auto"/>
        <w:bottom w:val="none" w:sz="0" w:space="0" w:color="auto"/>
        <w:right w:val="none" w:sz="0" w:space="0" w:color="auto"/>
      </w:divBdr>
    </w:div>
    <w:div w:id="502744011">
      <w:bodyDiv w:val="1"/>
      <w:marLeft w:val="0"/>
      <w:marRight w:val="0"/>
      <w:marTop w:val="0"/>
      <w:marBottom w:val="0"/>
      <w:divBdr>
        <w:top w:val="none" w:sz="0" w:space="0" w:color="auto"/>
        <w:left w:val="none" w:sz="0" w:space="0" w:color="auto"/>
        <w:bottom w:val="none" w:sz="0" w:space="0" w:color="auto"/>
        <w:right w:val="none" w:sz="0" w:space="0" w:color="auto"/>
      </w:divBdr>
    </w:div>
    <w:div w:id="505898776">
      <w:bodyDiv w:val="1"/>
      <w:marLeft w:val="0"/>
      <w:marRight w:val="0"/>
      <w:marTop w:val="0"/>
      <w:marBottom w:val="0"/>
      <w:divBdr>
        <w:top w:val="none" w:sz="0" w:space="0" w:color="auto"/>
        <w:left w:val="none" w:sz="0" w:space="0" w:color="auto"/>
        <w:bottom w:val="none" w:sz="0" w:space="0" w:color="auto"/>
        <w:right w:val="none" w:sz="0" w:space="0" w:color="auto"/>
      </w:divBdr>
    </w:div>
    <w:div w:id="536241518">
      <w:bodyDiv w:val="1"/>
      <w:marLeft w:val="0"/>
      <w:marRight w:val="0"/>
      <w:marTop w:val="0"/>
      <w:marBottom w:val="0"/>
      <w:divBdr>
        <w:top w:val="none" w:sz="0" w:space="0" w:color="auto"/>
        <w:left w:val="none" w:sz="0" w:space="0" w:color="auto"/>
        <w:bottom w:val="none" w:sz="0" w:space="0" w:color="auto"/>
        <w:right w:val="none" w:sz="0" w:space="0" w:color="auto"/>
      </w:divBdr>
    </w:div>
    <w:div w:id="634063823">
      <w:bodyDiv w:val="1"/>
      <w:marLeft w:val="0"/>
      <w:marRight w:val="0"/>
      <w:marTop w:val="0"/>
      <w:marBottom w:val="0"/>
      <w:divBdr>
        <w:top w:val="none" w:sz="0" w:space="0" w:color="auto"/>
        <w:left w:val="none" w:sz="0" w:space="0" w:color="auto"/>
        <w:bottom w:val="none" w:sz="0" w:space="0" w:color="auto"/>
        <w:right w:val="none" w:sz="0" w:space="0" w:color="auto"/>
      </w:divBdr>
    </w:div>
    <w:div w:id="773867940">
      <w:bodyDiv w:val="1"/>
      <w:marLeft w:val="0"/>
      <w:marRight w:val="0"/>
      <w:marTop w:val="0"/>
      <w:marBottom w:val="0"/>
      <w:divBdr>
        <w:top w:val="none" w:sz="0" w:space="0" w:color="auto"/>
        <w:left w:val="none" w:sz="0" w:space="0" w:color="auto"/>
        <w:bottom w:val="none" w:sz="0" w:space="0" w:color="auto"/>
        <w:right w:val="none" w:sz="0" w:space="0" w:color="auto"/>
      </w:divBdr>
    </w:div>
    <w:div w:id="861210613">
      <w:bodyDiv w:val="1"/>
      <w:marLeft w:val="0"/>
      <w:marRight w:val="0"/>
      <w:marTop w:val="0"/>
      <w:marBottom w:val="0"/>
      <w:divBdr>
        <w:top w:val="none" w:sz="0" w:space="0" w:color="auto"/>
        <w:left w:val="none" w:sz="0" w:space="0" w:color="auto"/>
        <w:bottom w:val="none" w:sz="0" w:space="0" w:color="auto"/>
        <w:right w:val="none" w:sz="0" w:space="0" w:color="auto"/>
      </w:divBdr>
    </w:div>
    <w:div w:id="1005283913">
      <w:bodyDiv w:val="1"/>
      <w:marLeft w:val="0"/>
      <w:marRight w:val="0"/>
      <w:marTop w:val="0"/>
      <w:marBottom w:val="0"/>
      <w:divBdr>
        <w:top w:val="none" w:sz="0" w:space="0" w:color="auto"/>
        <w:left w:val="none" w:sz="0" w:space="0" w:color="auto"/>
        <w:bottom w:val="none" w:sz="0" w:space="0" w:color="auto"/>
        <w:right w:val="none" w:sz="0" w:space="0" w:color="auto"/>
      </w:divBdr>
    </w:div>
    <w:div w:id="1051032420">
      <w:bodyDiv w:val="1"/>
      <w:marLeft w:val="0"/>
      <w:marRight w:val="0"/>
      <w:marTop w:val="0"/>
      <w:marBottom w:val="0"/>
      <w:divBdr>
        <w:top w:val="none" w:sz="0" w:space="0" w:color="auto"/>
        <w:left w:val="none" w:sz="0" w:space="0" w:color="auto"/>
        <w:bottom w:val="none" w:sz="0" w:space="0" w:color="auto"/>
        <w:right w:val="none" w:sz="0" w:space="0" w:color="auto"/>
      </w:divBdr>
    </w:div>
    <w:div w:id="1075319106">
      <w:bodyDiv w:val="1"/>
      <w:marLeft w:val="0"/>
      <w:marRight w:val="0"/>
      <w:marTop w:val="0"/>
      <w:marBottom w:val="0"/>
      <w:divBdr>
        <w:top w:val="none" w:sz="0" w:space="0" w:color="auto"/>
        <w:left w:val="none" w:sz="0" w:space="0" w:color="auto"/>
        <w:bottom w:val="none" w:sz="0" w:space="0" w:color="auto"/>
        <w:right w:val="none" w:sz="0" w:space="0" w:color="auto"/>
      </w:divBdr>
    </w:div>
    <w:div w:id="1141843820">
      <w:bodyDiv w:val="1"/>
      <w:marLeft w:val="0"/>
      <w:marRight w:val="0"/>
      <w:marTop w:val="0"/>
      <w:marBottom w:val="0"/>
      <w:divBdr>
        <w:top w:val="none" w:sz="0" w:space="0" w:color="auto"/>
        <w:left w:val="none" w:sz="0" w:space="0" w:color="auto"/>
        <w:bottom w:val="none" w:sz="0" w:space="0" w:color="auto"/>
        <w:right w:val="none" w:sz="0" w:space="0" w:color="auto"/>
      </w:divBdr>
    </w:div>
    <w:div w:id="1185169690">
      <w:bodyDiv w:val="1"/>
      <w:marLeft w:val="0"/>
      <w:marRight w:val="0"/>
      <w:marTop w:val="0"/>
      <w:marBottom w:val="0"/>
      <w:divBdr>
        <w:top w:val="none" w:sz="0" w:space="0" w:color="auto"/>
        <w:left w:val="none" w:sz="0" w:space="0" w:color="auto"/>
        <w:bottom w:val="none" w:sz="0" w:space="0" w:color="auto"/>
        <w:right w:val="none" w:sz="0" w:space="0" w:color="auto"/>
      </w:divBdr>
    </w:div>
    <w:div w:id="1204949702">
      <w:bodyDiv w:val="1"/>
      <w:marLeft w:val="0"/>
      <w:marRight w:val="0"/>
      <w:marTop w:val="0"/>
      <w:marBottom w:val="0"/>
      <w:divBdr>
        <w:top w:val="none" w:sz="0" w:space="0" w:color="auto"/>
        <w:left w:val="none" w:sz="0" w:space="0" w:color="auto"/>
        <w:bottom w:val="none" w:sz="0" w:space="0" w:color="auto"/>
        <w:right w:val="none" w:sz="0" w:space="0" w:color="auto"/>
      </w:divBdr>
    </w:div>
    <w:div w:id="1217666698">
      <w:bodyDiv w:val="1"/>
      <w:marLeft w:val="0"/>
      <w:marRight w:val="0"/>
      <w:marTop w:val="0"/>
      <w:marBottom w:val="0"/>
      <w:divBdr>
        <w:top w:val="none" w:sz="0" w:space="0" w:color="auto"/>
        <w:left w:val="none" w:sz="0" w:space="0" w:color="auto"/>
        <w:bottom w:val="none" w:sz="0" w:space="0" w:color="auto"/>
        <w:right w:val="none" w:sz="0" w:space="0" w:color="auto"/>
      </w:divBdr>
    </w:div>
    <w:div w:id="1254314559">
      <w:bodyDiv w:val="1"/>
      <w:marLeft w:val="0"/>
      <w:marRight w:val="0"/>
      <w:marTop w:val="0"/>
      <w:marBottom w:val="0"/>
      <w:divBdr>
        <w:top w:val="none" w:sz="0" w:space="0" w:color="auto"/>
        <w:left w:val="none" w:sz="0" w:space="0" w:color="auto"/>
        <w:bottom w:val="none" w:sz="0" w:space="0" w:color="auto"/>
        <w:right w:val="none" w:sz="0" w:space="0" w:color="auto"/>
      </w:divBdr>
    </w:div>
    <w:div w:id="1291206458">
      <w:bodyDiv w:val="1"/>
      <w:marLeft w:val="0"/>
      <w:marRight w:val="0"/>
      <w:marTop w:val="0"/>
      <w:marBottom w:val="0"/>
      <w:divBdr>
        <w:top w:val="none" w:sz="0" w:space="0" w:color="auto"/>
        <w:left w:val="none" w:sz="0" w:space="0" w:color="auto"/>
        <w:bottom w:val="none" w:sz="0" w:space="0" w:color="auto"/>
        <w:right w:val="none" w:sz="0" w:space="0" w:color="auto"/>
      </w:divBdr>
    </w:div>
    <w:div w:id="1378043717">
      <w:bodyDiv w:val="1"/>
      <w:marLeft w:val="0"/>
      <w:marRight w:val="0"/>
      <w:marTop w:val="0"/>
      <w:marBottom w:val="0"/>
      <w:divBdr>
        <w:top w:val="none" w:sz="0" w:space="0" w:color="auto"/>
        <w:left w:val="none" w:sz="0" w:space="0" w:color="auto"/>
        <w:bottom w:val="none" w:sz="0" w:space="0" w:color="auto"/>
        <w:right w:val="none" w:sz="0" w:space="0" w:color="auto"/>
      </w:divBdr>
    </w:div>
    <w:div w:id="1425614169">
      <w:bodyDiv w:val="1"/>
      <w:marLeft w:val="0"/>
      <w:marRight w:val="0"/>
      <w:marTop w:val="0"/>
      <w:marBottom w:val="0"/>
      <w:divBdr>
        <w:top w:val="none" w:sz="0" w:space="0" w:color="auto"/>
        <w:left w:val="none" w:sz="0" w:space="0" w:color="auto"/>
        <w:bottom w:val="none" w:sz="0" w:space="0" w:color="auto"/>
        <w:right w:val="none" w:sz="0" w:space="0" w:color="auto"/>
      </w:divBdr>
    </w:div>
    <w:div w:id="1440294630">
      <w:bodyDiv w:val="1"/>
      <w:marLeft w:val="0"/>
      <w:marRight w:val="0"/>
      <w:marTop w:val="0"/>
      <w:marBottom w:val="0"/>
      <w:divBdr>
        <w:top w:val="none" w:sz="0" w:space="0" w:color="auto"/>
        <w:left w:val="none" w:sz="0" w:space="0" w:color="auto"/>
        <w:bottom w:val="none" w:sz="0" w:space="0" w:color="auto"/>
        <w:right w:val="none" w:sz="0" w:space="0" w:color="auto"/>
      </w:divBdr>
    </w:div>
    <w:div w:id="1481727588">
      <w:bodyDiv w:val="1"/>
      <w:marLeft w:val="0"/>
      <w:marRight w:val="0"/>
      <w:marTop w:val="0"/>
      <w:marBottom w:val="0"/>
      <w:divBdr>
        <w:top w:val="none" w:sz="0" w:space="0" w:color="auto"/>
        <w:left w:val="none" w:sz="0" w:space="0" w:color="auto"/>
        <w:bottom w:val="none" w:sz="0" w:space="0" w:color="auto"/>
        <w:right w:val="none" w:sz="0" w:space="0" w:color="auto"/>
      </w:divBdr>
    </w:div>
    <w:div w:id="1615015960">
      <w:bodyDiv w:val="1"/>
      <w:marLeft w:val="0"/>
      <w:marRight w:val="0"/>
      <w:marTop w:val="0"/>
      <w:marBottom w:val="0"/>
      <w:divBdr>
        <w:top w:val="none" w:sz="0" w:space="0" w:color="auto"/>
        <w:left w:val="none" w:sz="0" w:space="0" w:color="auto"/>
        <w:bottom w:val="none" w:sz="0" w:space="0" w:color="auto"/>
        <w:right w:val="none" w:sz="0" w:space="0" w:color="auto"/>
      </w:divBdr>
    </w:div>
    <w:div w:id="1653287241">
      <w:bodyDiv w:val="1"/>
      <w:marLeft w:val="0"/>
      <w:marRight w:val="0"/>
      <w:marTop w:val="0"/>
      <w:marBottom w:val="0"/>
      <w:divBdr>
        <w:top w:val="none" w:sz="0" w:space="0" w:color="auto"/>
        <w:left w:val="none" w:sz="0" w:space="0" w:color="auto"/>
        <w:bottom w:val="none" w:sz="0" w:space="0" w:color="auto"/>
        <w:right w:val="none" w:sz="0" w:space="0" w:color="auto"/>
      </w:divBdr>
    </w:div>
    <w:div w:id="1686900915">
      <w:bodyDiv w:val="1"/>
      <w:marLeft w:val="0"/>
      <w:marRight w:val="0"/>
      <w:marTop w:val="0"/>
      <w:marBottom w:val="0"/>
      <w:divBdr>
        <w:top w:val="none" w:sz="0" w:space="0" w:color="auto"/>
        <w:left w:val="none" w:sz="0" w:space="0" w:color="auto"/>
        <w:bottom w:val="none" w:sz="0" w:space="0" w:color="auto"/>
        <w:right w:val="none" w:sz="0" w:space="0" w:color="auto"/>
      </w:divBdr>
    </w:div>
    <w:div w:id="1740398230">
      <w:bodyDiv w:val="1"/>
      <w:marLeft w:val="0"/>
      <w:marRight w:val="0"/>
      <w:marTop w:val="0"/>
      <w:marBottom w:val="0"/>
      <w:divBdr>
        <w:top w:val="none" w:sz="0" w:space="0" w:color="auto"/>
        <w:left w:val="none" w:sz="0" w:space="0" w:color="auto"/>
        <w:bottom w:val="none" w:sz="0" w:space="0" w:color="auto"/>
        <w:right w:val="none" w:sz="0" w:space="0" w:color="auto"/>
      </w:divBdr>
    </w:div>
    <w:div w:id="1823616756">
      <w:bodyDiv w:val="1"/>
      <w:marLeft w:val="0"/>
      <w:marRight w:val="0"/>
      <w:marTop w:val="0"/>
      <w:marBottom w:val="0"/>
      <w:divBdr>
        <w:top w:val="none" w:sz="0" w:space="0" w:color="auto"/>
        <w:left w:val="none" w:sz="0" w:space="0" w:color="auto"/>
        <w:bottom w:val="none" w:sz="0" w:space="0" w:color="auto"/>
        <w:right w:val="none" w:sz="0" w:space="0" w:color="auto"/>
      </w:divBdr>
    </w:div>
    <w:div w:id="1832137034">
      <w:bodyDiv w:val="1"/>
      <w:marLeft w:val="0"/>
      <w:marRight w:val="0"/>
      <w:marTop w:val="0"/>
      <w:marBottom w:val="0"/>
      <w:divBdr>
        <w:top w:val="none" w:sz="0" w:space="0" w:color="auto"/>
        <w:left w:val="none" w:sz="0" w:space="0" w:color="auto"/>
        <w:bottom w:val="none" w:sz="0" w:space="0" w:color="auto"/>
        <w:right w:val="none" w:sz="0" w:space="0" w:color="auto"/>
      </w:divBdr>
    </w:div>
    <w:div w:id="1864784916">
      <w:bodyDiv w:val="1"/>
      <w:marLeft w:val="0"/>
      <w:marRight w:val="0"/>
      <w:marTop w:val="0"/>
      <w:marBottom w:val="0"/>
      <w:divBdr>
        <w:top w:val="none" w:sz="0" w:space="0" w:color="auto"/>
        <w:left w:val="none" w:sz="0" w:space="0" w:color="auto"/>
        <w:bottom w:val="none" w:sz="0" w:space="0" w:color="auto"/>
        <w:right w:val="none" w:sz="0" w:space="0" w:color="auto"/>
      </w:divBdr>
    </w:div>
    <w:div w:id="1921258059">
      <w:bodyDiv w:val="1"/>
      <w:marLeft w:val="0"/>
      <w:marRight w:val="0"/>
      <w:marTop w:val="0"/>
      <w:marBottom w:val="0"/>
      <w:divBdr>
        <w:top w:val="none" w:sz="0" w:space="0" w:color="auto"/>
        <w:left w:val="none" w:sz="0" w:space="0" w:color="auto"/>
        <w:bottom w:val="none" w:sz="0" w:space="0" w:color="auto"/>
        <w:right w:val="none" w:sz="0" w:space="0" w:color="auto"/>
      </w:divBdr>
    </w:div>
    <w:div w:id="1992715214">
      <w:bodyDiv w:val="1"/>
      <w:marLeft w:val="0"/>
      <w:marRight w:val="0"/>
      <w:marTop w:val="0"/>
      <w:marBottom w:val="0"/>
      <w:divBdr>
        <w:top w:val="none" w:sz="0" w:space="0" w:color="auto"/>
        <w:left w:val="none" w:sz="0" w:space="0" w:color="auto"/>
        <w:bottom w:val="none" w:sz="0" w:space="0" w:color="auto"/>
        <w:right w:val="none" w:sz="0" w:space="0" w:color="auto"/>
      </w:divBdr>
    </w:div>
    <w:div w:id="2021464762">
      <w:bodyDiv w:val="1"/>
      <w:marLeft w:val="0"/>
      <w:marRight w:val="0"/>
      <w:marTop w:val="0"/>
      <w:marBottom w:val="0"/>
      <w:divBdr>
        <w:top w:val="none" w:sz="0" w:space="0" w:color="auto"/>
        <w:left w:val="none" w:sz="0" w:space="0" w:color="auto"/>
        <w:bottom w:val="none" w:sz="0" w:space="0" w:color="auto"/>
        <w:right w:val="none" w:sz="0" w:space="0" w:color="auto"/>
      </w:divBdr>
    </w:div>
    <w:div w:id="205635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张哥还在办贷款哇</dc:creator>
  <cp:lastModifiedBy>Administrator</cp:lastModifiedBy>
  <cp:revision>2</cp:revision>
  <dcterms:created xsi:type="dcterms:W3CDTF">2017-12-26T13:48:00Z</dcterms:created>
  <dcterms:modified xsi:type="dcterms:W3CDTF">2017-12-26T13:48:00Z</dcterms:modified>
</cp:coreProperties>
</file>