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sz w:val="44"/>
          <w:szCs w:val="44"/>
        </w:rPr>
      </w:pPr>
    </w:p>
    <w:p>
      <w:pPr>
        <w:jc w:val="center"/>
        <w:rPr>
          <w:rFonts w:eastAsia="黑体"/>
          <w:sz w:val="44"/>
          <w:szCs w:val="44"/>
        </w:rPr>
      </w:pPr>
    </w:p>
    <w:p>
      <w:pPr>
        <w:jc w:val="center"/>
        <w:rPr>
          <w:rFonts w:eastAsia="黑体"/>
          <w:sz w:val="44"/>
          <w:szCs w:val="44"/>
        </w:rPr>
      </w:pPr>
    </w:p>
    <w:p>
      <w:pPr>
        <w:pStyle w:val="2"/>
        <w:ind w:firstLine="588"/>
      </w:pPr>
    </w:p>
    <w:p>
      <w:pPr>
        <w:pStyle w:val="2"/>
        <w:ind w:firstLine="588"/>
      </w:pPr>
    </w:p>
    <w:p>
      <w:pPr>
        <w:pStyle w:val="2"/>
        <w:ind w:firstLine="588"/>
      </w:pPr>
    </w:p>
    <w:p>
      <w:pPr>
        <w:pStyle w:val="2"/>
        <w:ind w:firstLine="588"/>
      </w:pPr>
    </w:p>
    <w:p>
      <w:pPr>
        <w:spacing w:line="360" w:lineRule="auto"/>
        <w:jc w:val="center"/>
        <w:rPr>
          <w:rFonts w:hint="eastAsia" w:ascii="宋体" w:hAnsi="宋体" w:eastAsia="宋体"/>
          <w:b/>
          <w:bCs/>
          <w:sz w:val="52"/>
          <w:szCs w:val="52"/>
        </w:rPr>
      </w:pPr>
      <w:r>
        <w:rPr>
          <w:rFonts w:hint="eastAsia" w:ascii="宋体" w:hAnsi="宋体" w:eastAsia="宋体"/>
          <w:b/>
          <w:bCs/>
          <w:sz w:val="52"/>
          <w:szCs w:val="52"/>
        </w:rPr>
        <w:t>宁波市镇海区电动汽车充电基础</w:t>
      </w:r>
    </w:p>
    <w:p>
      <w:pPr>
        <w:spacing w:line="360" w:lineRule="auto"/>
        <w:jc w:val="center"/>
        <w:rPr>
          <w:rFonts w:ascii="宋体" w:hAnsi="宋体" w:eastAsia="宋体"/>
          <w:b/>
          <w:bCs/>
          <w:sz w:val="52"/>
          <w:szCs w:val="52"/>
        </w:rPr>
      </w:pPr>
      <w:r>
        <w:rPr>
          <w:rFonts w:hint="eastAsia" w:ascii="宋体" w:hAnsi="宋体" w:eastAsia="宋体"/>
          <w:b/>
          <w:bCs/>
          <w:sz w:val="52"/>
          <w:szCs w:val="52"/>
        </w:rPr>
        <w:t>设施布局规划（2023-2025年）</w:t>
      </w:r>
    </w:p>
    <w:p>
      <w:pPr>
        <w:jc w:val="center"/>
        <w:rPr>
          <w:rFonts w:hint="eastAsia" w:ascii="宋体" w:hAnsi="宋体" w:eastAsia="宋体"/>
          <w:b w:val="0"/>
          <w:bCs w:val="0"/>
          <w:sz w:val="52"/>
          <w:szCs w:val="52"/>
          <w:lang w:eastAsia="zh-CN"/>
        </w:rPr>
      </w:pPr>
      <w:r>
        <w:rPr>
          <w:rFonts w:hint="eastAsia" w:ascii="方正小标宋简体" w:hAnsi="方正小标宋简体" w:eastAsia="方正小标宋简体" w:cs="方正小标宋简体"/>
          <w:b w:val="0"/>
          <w:bCs w:val="0"/>
          <w:sz w:val="36"/>
          <w:szCs w:val="36"/>
          <w:lang w:eastAsia="zh-CN"/>
        </w:rPr>
        <w:t>（</w:t>
      </w:r>
      <w:r>
        <w:rPr>
          <w:rFonts w:hint="eastAsia" w:ascii="方正小标宋简体" w:hAnsi="方正小标宋简体" w:eastAsia="方正小标宋简体" w:cs="方正小标宋简体"/>
          <w:b w:val="0"/>
          <w:bCs w:val="0"/>
          <w:sz w:val="36"/>
          <w:szCs w:val="36"/>
          <w:lang w:val="en-US" w:eastAsia="zh-CN"/>
        </w:rPr>
        <w:t>征求意见稿</w:t>
      </w:r>
      <w:r>
        <w:rPr>
          <w:rFonts w:hint="eastAsia" w:ascii="方正小标宋简体" w:hAnsi="方正小标宋简体" w:eastAsia="方正小标宋简体" w:cs="方正小标宋简体"/>
          <w:b w:val="0"/>
          <w:bCs w:val="0"/>
          <w:sz w:val="36"/>
          <w:szCs w:val="36"/>
          <w:lang w:eastAsia="zh-CN"/>
        </w:rPr>
        <w:t>）</w:t>
      </w:r>
    </w:p>
    <w:p>
      <w:pPr>
        <w:jc w:val="center"/>
        <w:rPr>
          <w:rFonts w:ascii="楷体_GB2312" w:hAnsi="宋体" w:eastAsia="楷体_GB2312"/>
          <w:bCs/>
          <w:sz w:val="48"/>
          <w:szCs w:val="48"/>
        </w:rPr>
      </w:pPr>
    </w:p>
    <w:p>
      <w:pPr>
        <w:jc w:val="center"/>
        <w:rPr>
          <w:rFonts w:ascii="楷体_GB2312" w:hAnsi="宋体" w:eastAsia="楷体_GB2312"/>
          <w:bCs/>
          <w:sz w:val="48"/>
          <w:szCs w:val="48"/>
        </w:rPr>
      </w:pPr>
    </w:p>
    <w:p>
      <w:pPr>
        <w:jc w:val="center"/>
        <w:rPr>
          <w:rFonts w:eastAsia="黑体"/>
          <w:sz w:val="44"/>
          <w:szCs w:val="44"/>
        </w:rPr>
      </w:pPr>
    </w:p>
    <w:p>
      <w:pPr>
        <w:jc w:val="center"/>
        <w:rPr>
          <w:rFonts w:eastAsia="黑体"/>
          <w:sz w:val="44"/>
          <w:szCs w:val="44"/>
        </w:rPr>
      </w:pPr>
    </w:p>
    <w:p>
      <w:pPr>
        <w:jc w:val="center"/>
        <w:rPr>
          <w:rFonts w:eastAsia="黑体"/>
          <w:sz w:val="44"/>
          <w:szCs w:val="44"/>
        </w:rPr>
      </w:pPr>
    </w:p>
    <w:p>
      <w:pPr>
        <w:jc w:val="center"/>
        <w:rPr>
          <w:rFonts w:eastAsia="黑体"/>
          <w:sz w:val="44"/>
          <w:szCs w:val="44"/>
        </w:rPr>
      </w:pPr>
    </w:p>
    <w:p>
      <w:pPr>
        <w:jc w:val="center"/>
        <w:rPr>
          <w:rFonts w:eastAsia="黑体"/>
          <w:sz w:val="44"/>
          <w:szCs w:val="44"/>
        </w:rPr>
      </w:pPr>
    </w:p>
    <w:p>
      <w:pPr>
        <w:jc w:val="center"/>
        <w:rPr>
          <w:rFonts w:eastAsia="黑体"/>
          <w:color w:val="000000" w:themeColor="text1"/>
          <w:sz w:val="44"/>
          <w:szCs w:val="44"/>
          <w14:textFill>
            <w14:solidFill>
              <w14:schemeClr w14:val="tx1"/>
            </w14:solidFill>
          </w14:textFill>
        </w:rPr>
      </w:pPr>
      <w:r>
        <w:rPr>
          <w:rFonts w:hint="eastAsia" w:eastAsia="黑体"/>
          <w:color w:val="000000" w:themeColor="text1"/>
          <w:sz w:val="44"/>
          <w:szCs w:val="44"/>
          <w14:textFill>
            <w14:solidFill>
              <w14:schemeClr w14:val="tx1"/>
            </w14:solidFill>
          </w14:textFill>
        </w:rPr>
        <w:t>镇海区发展和改革局</w:t>
      </w:r>
    </w:p>
    <w:p>
      <w:pPr>
        <w:jc w:val="center"/>
        <w:rPr>
          <w:rFonts w:eastAsia="黑体"/>
          <w:sz w:val="44"/>
          <w:szCs w:val="44"/>
        </w:rPr>
      </w:pPr>
      <w:r>
        <w:rPr>
          <w:rFonts w:hint="eastAsia" w:eastAsia="黑体"/>
          <w:sz w:val="44"/>
          <w:szCs w:val="44"/>
        </w:rPr>
        <w:t>2023年</w:t>
      </w:r>
      <w:r>
        <w:rPr>
          <w:rFonts w:eastAsia="黑体"/>
          <w:sz w:val="44"/>
          <w:szCs w:val="44"/>
        </w:rPr>
        <w:t>7</w:t>
      </w:r>
      <w:r>
        <w:rPr>
          <w:rFonts w:hint="eastAsia" w:eastAsia="黑体"/>
          <w:sz w:val="44"/>
          <w:szCs w:val="44"/>
        </w:rPr>
        <w:t>月</w:t>
      </w:r>
    </w:p>
    <w:p>
      <w:pPr>
        <w:widowControl/>
        <w:rPr>
          <w:rFonts w:ascii="宋体" w:hAnsi="宋体" w:eastAsia="宋体"/>
          <w:b/>
          <w:bCs/>
          <w:sz w:val="32"/>
          <w:szCs w:val="32"/>
        </w:rPr>
        <w:sectPr>
          <w:footerReference r:id="rId3" w:type="default"/>
          <w:pgSz w:w="11906" w:h="16838"/>
          <w:pgMar w:top="1440" w:right="1800" w:bottom="1440" w:left="1800" w:header="851" w:footer="992" w:gutter="0"/>
          <w:pgNumType w:fmt="upperRoman"/>
          <w:cols w:space="425" w:num="1"/>
          <w:docGrid w:type="lines" w:linePitch="312" w:charSpace="0"/>
        </w:sectPr>
      </w:pPr>
    </w:p>
    <w:p>
      <w:pPr>
        <w:pStyle w:val="65"/>
        <w:numPr>
          <w:ilvl w:val="255"/>
          <w:numId w:val="0"/>
        </w:numPr>
        <w:rPr>
          <w:color w:val="000000" w:themeColor="text1"/>
          <w14:textFill>
            <w14:solidFill>
              <w14:schemeClr w14:val="tx1"/>
            </w14:solidFill>
          </w14:textFill>
        </w:rPr>
      </w:pPr>
      <w:bookmarkStart w:id="0" w:name="_Toc14305"/>
      <w:r>
        <w:rPr>
          <w:rFonts w:hint="eastAsia"/>
          <w:color w:val="000000" w:themeColor="text1"/>
          <w14:textFill>
            <w14:solidFill>
              <w14:schemeClr w14:val="tx1"/>
            </w14:solidFill>
          </w14:textFill>
        </w:rPr>
        <w:t>一、前言</w:t>
      </w:r>
      <w:bookmarkEnd w:id="0"/>
    </w:p>
    <w:p>
      <w:pPr>
        <w:pStyle w:val="66"/>
        <w:numPr>
          <w:ilvl w:val="255"/>
          <w:numId w:val="0"/>
        </w:numPr>
        <w:ind w:right="210"/>
        <w:rPr>
          <w:color w:val="000000" w:themeColor="text1"/>
          <w14:textFill>
            <w14:solidFill>
              <w14:schemeClr w14:val="tx1"/>
            </w14:solidFill>
          </w14:textFill>
        </w:rPr>
      </w:pPr>
      <w:bookmarkStart w:id="1" w:name="_Toc2547"/>
      <w:r>
        <w:rPr>
          <w:rFonts w:hint="eastAsia"/>
          <w:color w:val="000000" w:themeColor="text1"/>
          <w14:textFill>
            <w14:solidFill>
              <w14:schemeClr w14:val="tx1"/>
            </w14:solidFill>
          </w14:textFill>
        </w:rPr>
        <w:t>（一）编制目的及意义</w:t>
      </w:r>
      <w:bookmarkEnd w:id="1"/>
    </w:p>
    <w:p>
      <w:pPr>
        <w:pStyle w:val="67"/>
      </w:pPr>
      <w:r>
        <w:rPr>
          <w:rFonts w:hint="eastAsia"/>
        </w:rPr>
        <w:t>1.1.1背景</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随着我国经济社会发展水平的不断提高，汽车保有量持续攀升，大力发展电动汽车，加快燃油替代，减少尾气排放，是保障能源安全、促进节能减排、防治大气污染、推动我国从汽车大国迈向汽车强国的重要</w:t>
      </w:r>
      <w:r>
        <w:rPr>
          <w:color w:val="000000" w:themeColor="text1"/>
          <w14:textFill>
            <w14:solidFill>
              <w14:schemeClr w14:val="tx1"/>
            </w14:solidFill>
          </w14:textFill>
        </w:rPr>
        <w:t>举措</w:t>
      </w:r>
      <w:r>
        <w:rPr>
          <w:rFonts w:hint="eastAsia"/>
          <w:color w:val="000000" w:themeColor="text1"/>
          <w14:textFill>
            <w14:solidFill>
              <w14:schemeClr w14:val="tx1"/>
            </w14:solidFill>
          </w14:textFill>
        </w:rPr>
        <w:t>。而目前居住区充电设施安装共享难、时段性供需矛盾突出以及广大农村地区公共充电基础设施建设不足等问题，成为掣肘电动汽车发展的重要因素，制约了电动汽车消费潜力的释放。</w:t>
      </w:r>
    </w:p>
    <w:p>
      <w:pPr>
        <w:pStyle w:val="67"/>
      </w:pPr>
      <w:r>
        <w:rPr>
          <w:rFonts w:hint="eastAsia"/>
        </w:rPr>
        <w:t>1.1.2</w:t>
      </w:r>
      <w:r>
        <w:t>意义</w:t>
      </w:r>
    </w:p>
    <w:p>
      <w:pPr>
        <w:pStyle w:val="69"/>
        <w:ind w:firstLine="640"/>
        <w:rPr>
          <w:color w:val="000000" w:themeColor="text1"/>
          <w14:textFill>
            <w14:solidFill>
              <w14:schemeClr w14:val="tx1"/>
            </w14:solidFill>
          </w14:textFill>
        </w:rPr>
      </w:pPr>
      <w:r>
        <w:rPr>
          <w:color w:val="000000" w:themeColor="text1"/>
          <w14:textFill>
            <w14:solidFill>
              <w14:schemeClr w14:val="tx1"/>
            </w14:solidFill>
          </w14:textFill>
        </w:rPr>
        <w:t>规划建设好电动汽车充电基础设施是推广电动汽车应用的重要保障，是实现“碳达峰、碳中和”战略目标的重要手段。同时，适度超前建设充电基础设施，优化电动汽车使用环境，对推动电动汽车下乡、引导农村地区居民绿色出行、促进乡村全面振兴具有重要意义。</w:t>
      </w:r>
    </w:p>
    <w:p>
      <w:pPr>
        <w:pStyle w:val="69"/>
        <w:ind w:firstLine="640"/>
        <w:rPr>
          <w:color w:val="000000" w:themeColor="text1"/>
          <w14:textFill>
            <w14:solidFill>
              <w14:schemeClr w14:val="tx1"/>
            </w14:solidFill>
          </w14:textFill>
        </w:rPr>
      </w:pPr>
      <w:r>
        <w:rPr>
          <w:color w:val="000000" w:themeColor="text1"/>
          <w14:textFill>
            <w14:solidFill>
              <w14:schemeClr w14:val="tx1"/>
            </w14:solidFill>
          </w14:textFill>
        </w:rPr>
        <w:t>为认真贯彻落实《国务院办公厅关于进一步构建高质量充电基础设施体系的指导意见》（国办发〔2023〕19 号）和《宁波市人民政府办公厅关于加快打造新能源汽车之城的若干意见》（甬政办发〔2023〕27 号）文件精神，现结合我区实际，统筹推动镇海区电动汽车充电基础设施布局规划，提高电动汽车充电基础设施布局的合理性、可操作性、落地性，提高充电基础设施配套能力，切实解决电动汽车“充电难”矛盾。</w:t>
      </w:r>
    </w:p>
    <w:p>
      <w:pPr>
        <w:pStyle w:val="66"/>
        <w:numPr>
          <w:ilvl w:val="255"/>
          <w:numId w:val="0"/>
        </w:numPr>
        <w:ind w:right="210"/>
        <w:rPr>
          <w:color w:val="000000" w:themeColor="text1"/>
          <w14:textFill>
            <w14:solidFill>
              <w14:schemeClr w14:val="tx1"/>
            </w14:solidFill>
          </w14:textFill>
        </w:rPr>
      </w:pPr>
      <w:bookmarkStart w:id="2" w:name="_Toc674"/>
      <w:r>
        <w:rPr>
          <w:rFonts w:hint="eastAsia"/>
          <w:color w:val="000000" w:themeColor="text1"/>
          <w14:textFill>
            <w14:solidFill>
              <w14:schemeClr w14:val="tx1"/>
            </w14:solidFill>
          </w14:textFill>
        </w:rPr>
        <w:t>（二）规划范围及年限</w:t>
      </w:r>
      <w:bookmarkEnd w:id="2"/>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规划</w:t>
      </w:r>
      <w:r>
        <w:rPr>
          <w:color w:val="000000" w:themeColor="text1"/>
          <w14:textFill>
            <w14:solidFill>
              <w14:schemeClr w14:val="tx1"/>
            </w14:solidFill>
          </w14:textFill>
        </w:rPr>
        <w:t>范围：镇海区</w:t>
      </w:r>
      <w:r>
        <w:rPr>
          <w:rFonts w:hint="eastAsia"/>
          <w:color w:val="000000" w:themeColor="text1"/>
          <w14:textFill>
            <w14:solidFill>
              <w14:schemeClr w14:val="tx1"/>
            </w14:solidFill>
          </w14:textFill>
        </w:rPr>
        <w:t>行政区划范围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石化经济技术开发区</w:t>
      </w:r>
      <w:r>
        <w:rPr>
          <w:color w:val="000000" w:themeColor="text1"/>
          <w14:textFill>
            <w14:solidFill>
              <w14:schemeClr w14:val="tx1"/>
            </w14:solidFill>
          </w14:textFill>
        </w:rPr>
        <w:t>除外）</w:t>
      </w:r>
      <w:r>
        <w:rPr>
          <w:rFonts w:hint="eastAsia"/>
          <w:color w:val="000000" w:themeColor="text1"/>
          <w14:textFill>
            <w14:solidFill>
              <w14:schemeClr w14:val="tx1"/>
            </w14:solidFill>
          </w14:textFill>
        </w:rPr>
        <w:t>。</w:t>
      </w:r>
    </w:p>
    <w:p>
      <w:pPr>
        <w:pStyle w:val="69"/>
        <w:ind w:firstLine="640"/>
        <w:rPr>
          <w:color w:val="000000" w:themeColor="text1"/>
          <w14:textFill>
            <w14:solidFill>
              <w14:schemeClr w14:val="tx1"/>
            </w14:solidFill>
          </w14:textFill>
        </w:rPr>
      </w:pPr>
      <w:r>
        <w:rPr>
          <w:color w:val="000000" w:themeColor="text1"/>
          <w14:textFill>
            <w14:solidFill>
              <w14:schemeClr w14:val="tx1"/>
            </w14:solidFill>
          </w14:textFill>
        </w:rPr>
        <w:t>规划年限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2023 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2025 年，</w:t>
      </w:r>
      <w:r>
        <w:rPr>
          <w:rFonts w:hint="eastAsia"/>
          <w:color w:val="000000" w:themeColor="text1"/>
          <w14:textFill>
            <w14:solidFill>
              <w14:schemeClr w14:val="tx1"/>
            </w14:solidFill>
          </w14:textFill>
        </w:rPr>
        <w:t>基准年为</w:t>
      </w:r>
      <w:r>
        <w:rPr>
          <w:color w:val="000000" w:themeColor="text1"/>
          <w14:textFill>
            <w14:solidFill>
              <w14:schemeClr w14:val="tx1"/>
            </w14:solidFill>
          </w14:textFill>
        </w:rPr>
        <w:t>2022 年</w:t>
      </w:r>
      <w:r>
        <w:rPr>
          <w:rFonts w:hint="eastAsia"/>
          <w:color w:val="000000" w:themeColor="text1"/>
          <w14:textFill>
            <w14:solidFill>
              <w14:schemeClr w14:val="tx1"/>
            </w14:solidFill>
          </w14:textFill>
        </w:rPr>
        <w:t>。</w:t>
      </w:r>
    </w:p>
    <w:p>
      <w:pPr>
        <w:widowControl/>
        <w:jc w:val="left"/>
        <w:rPr>
          <w:rFonts w:ascii="Times New Roman" w:hAnsi="Times New Roman" w:eastAsia="仿宋_GB2312" w:cs="Times New Roman"/>
          <w:color w:val="000000" w:themeColor="text1"/>
          <w:sz w:val="28"/>
          <w:szCs w:val="28"/>
          <w14:textFill>
            <w14:solidFill>
              <w14:schemeClr w14:val="tx1"/>
            </w14:solidFill>
          </w14:textFill>
        </w:rPr>
      </w:pPr>
      <w:r>
        <w:rPr>
          <w:color w:val="000000" w:themeColor="text1"/>
          <w:sz w:val="28"/>
          <w14:textFill>
            <w14:solidFill>
              <w14:schemeClr w14:val="tx1"/>
            </w14:solidFill>
          </w14:textFill>
        </w:rPr>
        <w:br w:type="page"/>
      </w:r>
    </w:p>
    <w:p>
      <w:pPr>
        <w:pStyle w:val="65"/>
        <w:numPr>
          <w:ilvl w:val="255"/>
          <w:numId w:val="0"/>
        </w:numPr>
        <w:rPr>
          <w:color w:val="000000" w:themeColor="text1"/>
          <w14:textFill>
            <w14:solidFill>
              <w14:schemeClr w14:val="tx1"/>
            </w14:solidFill>
          </w14:textFill>
        </w:rPr>
      </w:pPr>
      <w:bookmarkStart w:id="3" w:name="_Toc2742"/>
      <w:r>
        <w:rPr>
          <w:rFonts w:hint="eastAsia"/>
          <w:color w:val="000000" w:themeColor="text1"/>
          <w14:textFill>
            <w14:solidFill>
              <w14:schemeClr w14:val="tx1"/>
            </w14:solidFill>
          </w14:textFill>
        </w:rPr>
        <w:t>二、社会经济发展</w:t>
      </w:r>
      <w:r>
        <w:rPr>
          <w:color w:val="000000" w:themeColor="text1"/>
          <w14:textFill>
            <w14:solidFill>
              <w14:schemeClr w14:val="tx1"/>
            </w14:solidFill>
          </w14:textFill>
        </w:rPr>
        <w:t>情况</w:t>
      </w:r>
      <w:bookmarkEnd w:id="3"/>
    </w:p>
    <w:p>
      <w:pPr>
        <w:pStyle w:val="66"/>
        <w:numPr>
          <w:ilvl w:val="255"/>
          <w:numId w:val="0"/>
        </w:numPr>
        <w:ind w:right="210"/>
        <w:rPr>
          <w:color w:val="000000" w:themeColor="text1"/>
          <w14:textFill>
            <w14:solidFill>
              <w14:schemeClr w14:val="tx1"/>
            </w14:solidFill>
          </w14:textFill>
        </w:rPr>
      </w:pPr>
      <w:bookmarkStart w:id="4" w:name="_Toc26402"/>
      <w:r>
        <w:rPr>
          <w:rFonts w:hint="eastAsia"/>
          <w:color w:val="000000" w:themeColor="text1"/>
          <w14:textFill>
            <w14:solidFill>
              <w14:schemeClr w14:val="tx1"/>
            </w14:solidFill>
          </w14:textFill>
        </w:rPr>
        <w:t>（一）社会经济发展现状</w:t>
      </w:r>
      <w:bookmarkEnd w:id="4"/>
    </w:p>
    <w:p>
      <w:pPr>
        <w:pStyle w:val="67"/>
      </w:pPr>
      <w:r>
        <w:rPr>
          <w:rFonts w:hint="eastAsia"/>
        </w:rPr>
        <w:t>2.1.1区域行政区划</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根据《宁波市镇海区国土空间规划（</w:t>
      </w:r>
      <w:r>
        <w:rPr>
          <w:color w:val="000000" w:themeColor="text1"/>
          <w14:textFill>
            <w14:solidFill>
              <w14:schemeClr w14:val="tx1"/>
            </w14:solidFill>
          </w14:textFill>
        </w:rPr>
        <w:t>2020-2035年）》</w:t>
      </w:r>
      <w:r>
        <w:rPr>
          <w:rFonts w:hint="eastAsia"/>
          <w:color w:val="000000" w:themeColor="text1"/>
          <w14:textFill>
            <w14:solidFill>
              <w14:schemeClr w14:val="tx1"/>
            </w14:solidFill>
          </w14:textFill>
        </w:rPr>
        <w:t>，本次</w:t>
      </w:r>
      <w:r>
        <w:rPr>
          <w:color w:val="000000" w:themeColor="text1"/>
          <w14:textFill>
            <w14:solidFill>
              <w14:schemeClr w14:val="tx1"/>
            </w14:solidFill>
          </w14:textFill>
        </w:rPr>
        <w:t>规划</w:t>
      </w:r>
      <w:r>
        <w:rPr>
          <w:rFonts w:hint="eastAsia"/>
          <w:color w:val="000000" w:themeColor="text1"/>
          <w14:textFill>
            <w14:solidFill>
              <w14:schemeClr w14:val="tx1"/>
            </w14:solidFill>
          </w14:textFill>
        </w:rPr>
        <w:t>涉及</w:t>
      </w:r>
      <w:r>
        <w:rPr>
          <w:color w:val="000000" w:themeColor="text1"/>
          <w14:textFill>
            <w14:solidFill>
              <w14:schemeClr w14:val="tx1"/>
            </w14:solidFill>
          </w14:textFill>
        </w:rPr>
        <w:t>镇海</w:t>
      </w:r>
      <w:r>
        <w:rPr>
          <w:rFonts w:hint="eastAsia"/>
          <w:color w:val="000000" w:themeColor="text1"/>
          <w14:textFill>
            <w14:solidFill>
              <w14:schemeClr w14:val="tx1"/>
            </w14:solidFill>
          </w14:textFill>
        </w:rPr>
        <w:t>区4</w:t>
      </w:r>
      <w:r>
        <w:rPr>
          <w:color w:val="000000" w:themeColor="text1"/>
          <w14:textFill>
            <w14:solidFill>
              <w14:schemeClr w14:val="tx1"/>
            </w14:solidFill>
          </w14:textFill>
        </w:rPr>
        <w:t>个街道</w:t>
      </w:r>
      <w:r>
        <w:rPr>
          <w:rFonts w:hint="eastAsia"/>
          <w:color w:val="000000" w:themeColor="text1"/>
          <w14:textFill>
            <w14:solidFill>
              <w14:schemeClr w14:val="tx1"/>
            </w14:solidFill>
          </w14:textFill>
        </w:rPr>
        <w:t>（石化经济技术开发区</w:t>
      </w:r>
      <w:r>
        <w:rPr>
          <w:color w:val="000000" w:themeColor="text1"/>
          <w14:textFill>
            <w14:solidFill>
              <w14:schemeClr w14:val="tx1"/>
            </w14:solidFill>
          </w14:textFill>
        </w:rPr>
        <w:t>除外</w:t>
      </w:r>
      <w:r>
        <w:rPr>
          <w:rFonts w:hint="eastAsia"/>
          <w:color w:val="000000" w:themeColor="text1"/>
          <w14:textFill>
            <w14:solidFill>
              <w14:schemeClr w14:val="tx1"/>
            </w14:solidFill>
          </w14:textFill>
        </w:rPr>
        <w:t>）和2</w:t>
      </w:r>
      <w:r>
        <w:rPr>
          <w:color w:val="000000" w:themeColor="text1"/>
          <w14:textFill>
            <w14:solidFill>
              <w14:schemeClr w14:val="tx1"/>
            </w14:solidFill>
          </w14:textFill>
        </w:rPr>
        <w:t>个镇区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分别为招宝山街道、</w:t>
      </w:r>
      <w:r>
        <w:rPr>
          <w:rFonts w:hint="eastAsia"/>
          <w:color w:val="000000" w:themeColor="text1"/>
          <w14:textFill>
            <w14:solidFill>
              <w14:schemeClr w14:val="tx1"/>
            </w14:solidFill>
          </w14:textFill>
        </w:rPr>
        <w:t>蛟川街道、骆驼街道、庄市街道和</w:t>
      </w:r>
      <w:r>
        <w:rPr>
          <w:rFonts w:hint="eastAsia" w:ascii="微软雅黑" w:hAnsi="微软雅黑" w:eastAsia="微软雅黑" w:cs="微软雅黑"/>
          <w:color w:val="000000" w:themeColor="text1"/>
          <w14:textFill>
            <w14:solidFill>
              <w14:schemeClr w14:val="tx1"/>
            </w14:solidFill>
          </w14:textFill>
        </w:rPr>
        <w:t>澥</w:t>
      </w:r>
      <w:r>
        <w:rPr>
          <w:rFonts w:hint="eastAsia" w:ascii="仿宋_GB2312" w:hAnsi="仿宋_GB2312" w:cs="仿宋_GB2312"/>
          <w:color w:val="000000" w:themeColor="text1"/>
          <w14:textFill>
            <w14:solidFill>
              <w14:schemeClr w14:val="tx1"/>
            </w14:solidFill>
          </w14:textFill>
        </w:rPr>
        <w:t>浦镇、九龙湖镇</w:t>
      </w:r>
      <w:r>
        <w:rPr>
          <w:rFonts w:hint="eastAsia"/>
          <w:color w:val="000000" w:themeColor="text1"/>
          <w14:textFill>
            <w14:solidFill>
              <w14:schemeClr w14:val="tx1"/>
            </w14:solidFill>
          </w14:textFill>
        </w:rPr>
        <w:t>。各</w:t>
      </w:r>
      <w:r>
        <w:rPr>
          <w:color w:val="000000" w:themeColor="text1"/>
          <w14:textFill>
            <w14:solidFill>
              <w14:schemeClr w14:val="tx1"/>
            </w14:solidFill>
          </w14:textFill>
        </w:rPr>
        <w:t>镇街道</w:t>
      </w:r>
      <w:r>
        <w:rPr>
          <w:rFonts w:hint="eastAsia"/>
          <w:color w:val="000000" w:themeColor="text1"/>
          <w14:textFill>
            <w14:solidFill>
              <w14:schemeClr w14:val="tx1"/>
            </w14:solidFill>
          </w14:textFill>
        </w:rPr>
        <w:t>行政</w:t>
      </w:r>
      <w:r>
        <w:rPr>
          <w:color w:val="000000" w:themeColor="text1"/>
          <w14:textFill>
            <w14:solidFill>
              <w14:schemeClr w14:val="tx1"/>
            </w14:solidFill>
          </w14:textFill>
        </w:rPr>
        <w:t>区划范围如下图</w:t>
      </w:r>
      <w:r>
        <w:rPr>
          <w:rFonts w:hint="eastAsia"/>
          <w:color w:val="000000" w:themeColor="text1"/>
          <w14:textFill>
            <w14:solidFill>
              <w14:schemeClr w14:val="tx1"/>
            </w14:solidFill>
          </w14:textFill>
        </w:rPr>
        <w:t>所示</w:t>
      </w:r>
      <w:r>
        <w:rPr>
          <w:color w:val="000000" w:themeColor="text1"/>
          <w14:textFill>
            <w14:solidFill>
              <w14:schemeClr w14:val="tx1"/>
            </w14:solidFill>
          </w14:textFill>
        </w:rPr>
        <w:t>。</w:t>
      </w:r>
    </w:p>
    <w:p>
      <w:pPr>
        <w:pStyle w:val="69"/>
        <w:spacing w:before="156" w:line="240" w:lineRule="auto"/>
        <w:ind w:firstLine="0" w:firstLineChars="0"/>
        <w:jc w:val="center"/>
        <w:rPr>
          <w:color w:val="FF0000"/>
        </w:rPr>
      </w:pPr>
      <w:r>
        <w:rPr>
          <w:color w:val="FF0000"/>
        </w:rPr>
        <w:drawing>
          <wp:inline distT="0" distB="0" distL="0" distR="0">
            <wp:extent cx="5142230" cy="3230245"/>
            <wp:effectExtent l="0" t="0" r="127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cstate="print"/>
                    <a:srcRect/>
                    <a:stretch>
                      <a:fillRect/>
                    </a:stretch>
                  </pic:blipFill>
                  <pic:spPr>
                    <a:xfrm>
                      <a:off x="0" y="0"/>
                      <a:ext cx="5142230" cy="3230245"/>
                    </a:xfrm>
                    <a:prstGeom prst="rect">
                      <a:avLst/>
                    </a:prstGeom>
                    <a:ln>
                      <a:noFill/>
                    </a:ln>
                  </pic:spPr>
                </pic:pic>
              </a:graphicData>
            </a:graphic>
          </wp:inline>
        </w:drawing>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图2</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镇海区</w:t>
      </w:r>
      <w:r>
        <w:rPr>
          <w:color w:val="000000" w:themeColor="text1"/>
          <w:sz w:val="24"/>
          <w14:textFill>
            <w14:solidFill>
              <w14:schemeClr w14:val="tx1"/>
            </w14:solidFill>
          </w14:textFill>
        </w:rPr>
        <w:t>行政区划</w:t>
      </w:r>
      <w:r>
        <w:rPr>
          <w:rFonts w:hint="eastAsia"/>
          <w:color w:val="000000" w:themeColor="text1"/>
          <w:sz w:val="24"/>
          <w14:textFill>
            <w14:solidFill>
              <w14:schemeClr w14:val="tx1"/>
            </w14:solidFill>
          </w14:textFill>
        </w:rPr>
        <w:t>范围</w:t>
      </w:r>
      <w:r>
        <w:rPr>
          <w:color w:val="000000" w:themeColor="text1"/>
          <w:sz w:val="24"/>
          <w14:textFill>
            <w14:solidFill>
              <w14:schemeClr w14:val="tx1"/>
            </w14:solidFill>
          </w14:textFill>
        </w:rPr>
        <w:t>图</w:t>
      </w:r>
    </w:p>
    <w:p>
      <w:pPr>
        <w:pStyle w:val="69"/>
        <w:spacing w:before="156" w:line="240" w:lineRule="auto"/>
        <w:ind w:firstLineChars="0"/>
        <w:jc w:val="center"/>
        <w:rPr>
          <w:color w:val="000000" w:themeColor="text1"/>
          <w:sz w:val="24"/>
          <w14:textFill>
            <w14:solidFill>
              <w14:schemeClr w14:val="tx1"/>
            </w14:solidFill>
          </w14:textFill>
        </w:rPr>
      </w:pPr>
    </w:p>
    <w:p>
      <w:pPr>
        <w:pStyle w:val="69"/>
        <w:spacing w:before="156" w:line="240" w:lineRule="auto"/>
        <w:ind w:firstLineChars="0"/>
        <w:jc w:val="center"/>
        <w:rPr>
          <w:color w:val="000000" w:themeColor="text1"/>
          <w:sz w:val="24"/>
          <w14:textFill>
            <w14:solidFill>
              <w14:schemeClr w14:val="tx1"/>
            </w14:solidFill>
          </w14:textFill>
        </w:rPr>
      </w:pPr>
    </w:p>
    <w:p>
      <w:pPr>
        <w:pStyle w:val="69"/>
        <w:spacing w:before="156" w:line="240" w:lineRule="auto"/>
        <w:ind w:firstLineChars="0"/>
        <w:jc w:val="center"/>
        <w:rPr>
          <w:color w:val="000000" w:themeColor="text1"/>
          <w:sz w:val="24"/>
          <w14:textFill>
            <w14:solidFill>
              <w14:schemeClr w14:val="tx1"/>
            </w14:solidFill>
          </w14:textFill>
        </w:rPr>
      </w:pPr>
    </w:p>
    <w:p>
      <w:pPr>
        <w:pStyle w:val="69"/>
        <w:spacing w:before="156" w:line="240" w:lineRule="auto"/>
        <w:ind w:firstLineChars="0"/>
        <w:jc w:val="center"/>
        <w:rPr>
          <w:color w:val="000000" w:themeColor="text1"/>
          <w:sz w:val="24"/>
          <w14:textFill>
            <w14:solidFill>
              <w14:schemeClr w14:val="tx1"/>
            </w14:solidFill>
          </w14:textFill>
        </w:rPr>
      </w:pPr>
    </w:p>
    <w:p>
      <w:pPr>
        <w:pStyle w:val="69"/>
        <w:spacing w:before="156" w:line="240" w:lineRule="auto"/>
        <w:ind w:firstLineChars="0"/>
        <w:jc w:val="center"/>
        <w:rPr>
          <w:color w:val="000000" w:themeColor="text1"/>
          <w:sz w:val="24"/>
          <w14:textFill>
            <w14:solidFill>
              <w14:schemeClr w14:val="tx1"/>
            </w14:solidFill>
          </w14:textFill>
        </w:rPr>
      </w:pPr>
    </w:p>
    <w:p>
      <w:pPr>
        <w:pStyle w:val="69"/>
        <w:spacing w:before="156" w:line="240" w:lineRule="auto"/>
        <w:ind w:firstLineChars="0"/>
        <w:jc w:val="center"/>
        <w:rPr>
          <w:color w:val="000000" w:themeColor="text1"/>
          <w:sz w:val="24"/>
          <w14:textFill>
            <w14:solidFill>
              <w14:schemeClr w14:val="tx1"/>
            </w14:solidFill>
          </w14:textFill>
        </w:rPr>
      </w:pPr>
    </w:p>
    <w:p>
      <w:pPr>
        <w:pStyle w:val="69"/>
        <w:spacing w:before="156" w:line="240" w:lineRule="auto"/>
        <w:ind w:firstLineChars="0"/>
        <w:jc w:val="center"/>
        <w:rPr>
          <w:color w:val="000000" w:themeColor="text1"/>
          <w:sz w:val="24"/>
          <w14:textFill>
            <w14:solidFill>
              <w14:schemeClr w14:val="tx1"/>
            </w14:solidFill>
          </w14:textFill>
        </w:rPr>
      </w:pPr>
    </w:p>
    <w:p>
      <w:pPr>
        <w:pStyle w:val="69"/>
        <w:spacing w:before="156" w:line="240" w:lineRule="auto"/>
        <w:ind w:firstLineChars="0"/>
        <w:jc w:val="center"/>
        <w:rPr>
          <w:color w:val="000000" w:themeColor="text1"/>
          <w:sz w:val="24"/>
          <w14:textFill>
            <w14:solidFill>
              <w14:schemeClr w14:val="tx1"/>
            </w14:solidFill>
          </w14:textFill>
        </w:rPr>
      </w:pPr>
    </w:p>
    <w:p>
      <w:pPr>
        <w:pStyle w:val="69"/>
        <w:spacing w:before="156" w:line="240" w:lineRule="auto"/>
        <w:ind w:firstLine="198"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表2-1镇海区行政区划详情表</w:t>
      </w:r>
    </w:p>
    <w:tbl>
      <w:tblPr>
        <w:tblStyle w:val="34"/>
        <w:tblpPr w:leftFromText="180" w:rightFromText="180" w:vertAnchor="text" w:horzAnchor="margin" w:tblpY="201"/>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191"/>
        <w:gridCol w:w="1057"/>
        <w:gridCol w:w="920"/>
        <w:gridCol w:w="941"/>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9" w:type="dxa"/>
            <w:vAlign w:val="center"/>
          </w:tcPr>
          <w:p>
            <w:pPr>
              <w:pStyle w:val="69"/>
              <w:spacing w:line="240" w:lineRule="auto"/>
              <w:ind w:firstLine="0" w:firstLineChars="0"/>
              <w:jc w:val="center"/>
              <w:rPr>
                <w:b/>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辖区</w:t>
            </w:r>
          </w:p>
        </w:tc>
        <w:tc>
          <w:tcPr>
            <w:tcW w:w="1191" w:type="dxa"/>
            <w:vAlign w:val="center"/>
          </w:tcPr>
          <w:p>
            <w:pPr>
              <w:pStyle w:val="69"/>
              <w:spacing w:line="240" w:lineRule="auto"/>
              <w:ind w:firstLine="0" w:firstLineChars="0"/>
              <w:jc w:val="center"/>
              <w:rPr>
                <w:b/>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行政面积</w:t>
            </w:r>
          </w:p>
          <w:p>
            <w:pPr>
              <w:pStyle w:val="69"/>
              <w:spacing w:line="240" w:lineRule="auto"/>
              <w:ind w:firstLine="0" w:firstLineChars="0"/>
              <w:jc w:val="center"/>
              <w:rPr>
                <w:b/>
                <w:color w:val="000000" w:themeColor="text1"/>
                <w:sz w:val="24"/>
                <w:szCs w:val="32"/>
                <w14:textFill>
                  <w14:solidFill>
                    <w14:schemeClr w14:val="tx1"/>
                  </w14:solidFill>
                </w14:textFill>
              </w:rPr>
            </w:pPr>
            <w:r>
              <w:rPr>
                <w:rFonts w:hint="eastAsia"/>
                <w:b/>
                <w:color w:val="000000" w:themeColor="text1"/>
                <w:sz w:val="24"/>
                <w:szCs w:val="32"/>
                <w14:textFill>
                  <w14:solidFill>
                    <w14:schemeClr w14:val="tx1"/>
                  </w14:solidFill>
                </w14:textFill>
              </w:rPr>
              <w:t>/</w:t>
            </w:r>
            <w:r>
              <w:rPr>
                <w:b/>
                <w:color w:val="000000" w:themeColor="text1"/>
                <w:sz w:val="24"/>
                <w:szCs w:val="32"/>
                <w14:textFill>
                  <w14:solidFill>
                    <w14:schemeClr w14:val="tx1"/>
                  </w14:solidFill>
                </w14:textFill>
              </w:rPr>
              <w:t xml:space="preserve"> km²</w:t>
            </w:r>
          </w:p>
        </w:tc>
        <w:tc>
          <w:tcPr>
            <w:tcW w:w="1057" w:type="dxa"/>
            <w:vAlign w:val="center"/>
          </w:tcPr>
          <w:p>
            <w:pPr>
              <w:pStyle w:val="69"/>
              <w:spacing w:line="240" w:lineRule="auto"/>
              <w:ind w:firstLine="0" w:firstLineChars="0"/>
              <w:jc w:val="center"/>
              <w:rPr>
                <w:b/>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人口</w:t>
            </w:r>
            <w:r>
              <w:rPr>
                <w:rFonts w:hint="eastAsia"/>
                <w:b/>
                <w:color w:val="000000" w:themeColor="text1"/>
                <w:sz w:val="24"/>
                <w:szCs w:val="32"/>
                <w14:textFill>
                  <w14:solidFill>
                    <w14:schemeClr w14:val="tx1"/>
                  </w14:solidFill>
                </w14:textFill>
              </w:rPr>
              <w:t>/人</w:t>
            </w:r>
          </w:p>
        </w:tc>
        <w:tc>
          <w:tcPr>
            <w:tcW w:w="920" w:type="dxa"/>
            <w:vAlign w:val="center"/>
          </w:tcPr>
          <w:p>
            <w:pPr>
              <w:pStyle w:val="69"/>
              <w:spacing w:line="240" w:lineRule="auto"/>
              <w:ind w:firstLine="0" w:firstLineChars="0"/>
              <w:jc w:val="center"/>
              <w:rPr>
                <w:b/>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社区</w:t>
            </w:r>
            <w:r>
              <w:rPr>
                <w:rFonts w:hint="eastAsia"/>
                <w:b/>
                <w:color w:val="000000" w:themeColor="text1"/>
                <w:sz w:val="24"/>
                <w:szCs w:val="32"/>
                <w14:textFill>
                  <w14:solidFill>
                    <w14:schemeClr w14:val="tx1"/>
                  </w14:solidFill>
                </w14:textFill>
              </w:rPr>
              <w:t>/个</w:t>
            </w:r>
          </w:p>
        </w:tc>
        <w:tc>
          <w:tcPr>
            <w:tcW w:w="941" w:type="dxa"/>
            <w:vAlign w:val="center"/>
          </w:tcPr>
          <w:p>
            <w:pPr>
              <w:pStyle w:val="69"/>
              <w:spacing w:line="240" w:lineRule="auto"/>
              <w:ind w:firstLine="0" w:firstLineChars="0"/>
              <w:jc w:val="center"/>
              <w:rPr>
                <w:b/>
                <w:color w:val="000000" w:themeColor="text1"/>
                <w:sz w:val="24"/>
                <w:szCs w:val="32"/>
                <w14:textFill>
                  <w14:solidFill>
                    <w14:schemeClr w14:val="tx1"/>
                  </w14:solidFill>
                </w14:textFill>
              </w:rPr>
            </w:pPr>
            <w:r>
              <w:rPr>
                <w:rFonts w:hint="eastAsia"/>
                <w:b/>
                <w:color w:val="000000" w:themeColor="text1"/>
                <w:sz w:val="24"/>
                <w:szCs w:val="32"/>
                <w14:textFill>
                  <w14:solidFill>
                    <w14:schemeClr w14:val="tx1"/>
                  </w14:solidFill>
                </w14:textFill>
              </w:rPr>
              <w:t>行政</w:t>
            </w:r>
            <w:r>
              <w:rPr>
                <w:b/>
                <w:color w:val="000000" w:themeColor="text1"/>
                <w:sz w:val="24"/>
                <w:szCs w:val="32"/>
                <w14:textFill>
                  <w14:solidFill>
                    <w14:schemeClr w14:val="tx1"/>
                  </w14:solidFill>
                </w14:textFill>
              </w:rPr>
              <w:t>村</w:t>
            </w:r>
            <w:r>
              <w:rPr>
                <w:rFonts w:hint="eastAsia"/>
                <w:b/>
                <w:color w:val="000000" w:themeColor="text1"/>
                <w:sz w:val="24"/>
                <w:szCs w:val="32"/>
                <w14:textFill>
                  <w14:solidFill>
                    <w14:schemeClr w14:val="tx1"/>
                  </w14:solidFill>
                </w14:textFill>
              </w:rPr>
              <w:t>/个</w:t>
            </w:r>
          </w:p>
        </w:tc>
        <w:tc>
          <w:tcPr>
            <w:tcW w:w="2744" w:type="dxa"/>
            <w:vAlign w:val="center"/>
          </w:tcPr>
          <w:p>
            <w:pPr>
              <w:pStyle w:val="69"/>
              <w:spacing w:line="240" w:lineRule="auto"/>
              <w:ind w:firstLine="0" w:firstLineChars="0"/>
              <w:jc w:val="center"/>
              <w:rPr>
                <w:b/>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9"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ascii="微软雅黑" w:hAnsi="微软雅黑" w:eastAsia="微软雅黑" w:cs="微软雅黑"/>
                <w:color w:val="000000" w:themeColor="text1"/>
                <w:sz w:val="24"/>
                <w:szCs w:val="32"/>
                <w14:textFill>
                  <w14:solidFill>
                    <w14:schemeClr w14:val="tx1"/>
                  </w14:solidFill>
                </w14:textFill>
              </w:rPr>
              <w:t>澥</w:t>
            </w:r>
            <w:r>
              <w:rPr>
                <w:rFonts w:hint="eastAsia" w:ascii="仿宋_GB2312" w:hAnsi="仿宋_GB2312" w:cs="仿宋_GB2312"/>
                <w:color w:val="000000" w:themeColor="text1"/>
                <w:sz w:val="24"/>
                <w:szCs w:val="32"/>
                <w14:textFill>
                  <w14:solidFill>
                    <w14:schemeClr w14:val="tx1"/>
                  </w14:solidFill>
                </w14:textFill>
              </w:rPr>
              <w:t>浦镇</w:t>
            </w:r>
          </w:p>
        </w:tc>
        <w:tc>
          <w:tcPr>
            <w:tcW w:w="119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25.44</w:t>
            </w:r>
          </w:p>
        </w:tc>
        <w:tc>
          <w:tcPr>
            <w:tcW w:w="1057"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50660</w:t>
            </w:r>
          </w:p>
        </w:tc>
        <w:tc>
          <w:tcPr>
            <w:tcW w:w="920"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4</w:t>
            </w:r>
            <w:r>
              <w:fldChar w:fldCharType="begin"/>
            </w:r>
            <w:r>
              <w:instrText xml:space="preserve"> HYPERLINK "http://getdiming.qi18.com/zhejiangsheng/zhenhaiqu_puzhen_huiyuanshequdianhltq/" </w:instrText>
            </w:r>
            <w:r>
              <w:fldChar w:fldCharType="separate"/>
            </w:r>
            <w:r>
              <w:fldChar w:fldCharType="end"/>
            </w:r>
          </w:p>
        </w:tc>
        <w:tc>
          <w:tcPr>
            <w:tcW w:w="94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6</w:t>
            </w:r>
          </w:p>
        </w:tc>
        <w:tc>
          <w:tcPr>
            <w:tcW w:w="2744"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其中有岚山</w:t>
            </w:r>
            <w:r>
              <w:rPr>
                <w:color w:val="000000" w:themeColor="text1"/>
                <w:sz w:val="24"/>
                <w:szCs w:val="32"/>
                <w14:textFill>
                  <w14:solidFill>
                    <w14:schemeClr w14:val="tx1"/>
                  </w14:solidFill>
                </w14:textFill>
              </w:rPr>
              <w:t>村、湾塘村</w:t>
            </w:r>
            <w:r>
              <w:rPr>
                <w:rFonts w:hint="eastAsia"/>
                <w:color w:val="000000" w:themeColor="text1"/>
                <w:sz w:val="24"/>
                <w:szCs w:val="32"/>
                <w14:textFill>
                  <w14:solidFill>
                    <w14:schemeClr w14:val="tx1"/>
                  </w14:solidFill>
                </w14:textFill>
              </w:rPr>
              <w:t>2个村庄拆迁，岚湾社区、兴骆社区为新成立社区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9"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九龙湖镇</w:t>
            </w:r>
          </w:p>
        </w:tc>
        <w:tc>
          <w:tcPr>
            <w:tcW w:w="119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65.3</w:t>
            </w:r>
          </w:p>
        </w:tc>
        <w:tc>
          <w:tcPr>
            <w:tcW w:w="1057"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42509</w:t>
            </w:r>
          </w:p>
        </w:tc>
        <w:tc>
          <w:tcPr>
            <w:tcW w:w="920"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fldChar w:fldCharType="begin"/>
            </w:r>
            <w:r>
              <w:instrText xml:space="preserve"> HYPERLINK "http://getdiming.qi18.com/zhejiangsheng/zhenhaiqu_jiulonghuzhen_siyuanshequdianhltq/" </w:instrText>
            </w:r>
            <w:r>
              <w:fldChar w:fldCharType="separate"/>
            </w:r>
            <w:r>
              <w:rPr>
                <w:rFonts w:hint="eastAsia"/>
                <w:color w:val="000000" w:themeColor="text1"/>
                <w:sz w:val="24"/>
                <w:szCs w:val="32"/>
                <w14:textFill>
                  <w14:solidFill>
                    <w14:schemeClr w14:val="tx1"/>
                  </w14:solidFill>
                </w14:textFill>
              </w:rPr>
              <w:t>3</w:t>
            </w:r>
            <w:r>
              <w:rPr>
                <w:rFonts w:hint="eastAsia"/>
                <w:color w:val="000000" w:themeColor="text1"/>
                <w:sz w:val="24"/>
                <w:szCs w:val="32"/>
                <w14:textFill>
                  <w14:solidFill>
                    <w14:schemeClr w14:val="tx1"/>
                  </w14:solidFill>
                </w14:textFill>
              </w:rPr>
              <w:fldChar w:fldCharType="end"/>
            </w:r>
          </w:p>
        </w:tc>
        <w:tc>
          <w:tcPr>
            <w:tcW w:w="94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11</w:t>
            </w:r>
          </w:p>
        </w:tc>
        <w:tc>
          <w:tcPr>
            <w:tcW w:w="2744"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其中长石村（思源社区在内）拆迁，河头村</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长宏村、田顾村部分拆迁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9"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招宝山街道</w:t>
            </w:r>
          </w:p>
        </w:tc>
        <w:tc>
          <w:tcPr>
            <w:tcW w:w="119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20.8</w:t>
            </w:r>
          </w:p>
        </w:tc>
        <w:tc>
          <w:tcPr>
            <w:tcW w:w="1057"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83934</w:t>
            </w:r>
          </w:p>
        </w:tc>
        <w:tc>
          <w:tcPr>
            <w:tcW w:w="920"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fldChar w:fldCharType="begin"/>
            </w:r>
            <w:r>
              <w:instrText xml:space="preserve"> HYPERLINK "http://getdiming.qi18.com/zhejiangsheng/zhenhaiqu_zhaobaoshanjiedao_bailongshequdianhltq/" </w:instrText>
            </w:r>
            <w:r>
              <w:fldChar w:fldCharType="separate"/>
            </w:r>
            <w:r>
              <w:rPr>
                <w:rFonts w:hint="eastAsia"/>
                <w:color w:val="000000" w:themeColor="text1"/>
                <w:sz w:val="24"/>
                <w:szCs w:val="32"/>
                <w14:textFill>
                  <w14:solidFill>
                    <w14:schemeClr w14:val="tx1"/>
                  </w14:solidFill>
                </w14:textFill>
              </w:rPr>
              <w:t>11</w:t>
            </w:r>
            <w:r>
              <w:rPr>
                <w:rFonts w:hint="eastAsia"/>
                <w:color w:val="000000" w:themeColor="text1"/>
                <w:sz w:val="24"/>
                <w:szCs w:val="32"/>
                <w14:textFill>
                  <w14:solidFill>
                    <w14:schemeClr w14:val="tx1"/>
                  </w14:solidFill>
                </w14:textFill>
              </w:rPr>
              <w:fldChar w:fldCharType="end"/>
            </w:r>
          </w:p>
        </w:tc>
        <w:tc>
          <w:tcPr>
            <w:tcW w:w="94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0</w:t>
            </w:r>
          </w:p>
        </w:tc>
        <w:tc>
          <w:tcPr>
            <w:tcW w:w="2744"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9"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蛟川街道</w:t>
            </w:r>
          </w:p>
        </w:tc>
        <w:tc>
          <w:tcPr>
            <w:tcW w:w="119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36.82</w:t>
            </w:r>
          </w:p>
        </w:tc>
        <w:tc>
          <w:tcPr>
            <w:tcW w:w="1057"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128880</w:t>
            </w:r>
          </w:p>
        </w:tc>
        <w:tc>
          <w:tcPr>
            <w:tcW w:w="920"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13</w:t>
            </w:r>
          </w:p>
        </w:tc>
        <w:tc>
          <w:tcPr>
            <w:tcW w:w="94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6</w:t>
            </w:r>
          </w:p>
        </w:tc>
        <w:tc>
          <w:tcPr>
            <w:tcW w:w="2744"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其中</w:t>
            </w:r>
            <w:r>
              <w:rPr>
                <w:color w:val="000000" w:themeColor="text1"/>
                <w:sz w:val="24"/>
                <w:szCs w:val="32"/>
                <w14:textFill>
                  <w14:solidFill>
                    <w14:schemeClr w14:val="tx1"/>
                  </w14:solidFill>
                </w14:textFill>
              </w:rPr>
              <w:t>俞范村</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陈家村</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清水浦村</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沿江村</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渡</w:t>
            </w:r>
            <w:r>
              <w:rPr>
                <w:rFonts w:hint="eastAsia"/>
                <w:color w:val="000000" w:themeColor="text1"/>
                <w:sz w:val="24"/>
                <w:szCs w:val="32"/>
                <w14:textFill>
                  <w14:solidFill>
                    <w14:schemeClr w14:val="tx1"/>
                  </w14:solidFill>
                </w14:textFill>
              </w:rPr>
              <w:t>驾桥</w:t>
            </w:r>
            <w:r>
              <w:rPr>
                <w:color w:val="000000" w:themeColor="text1"/>
                <w:sz w:val="24"/>
                <w:szCs w:val="32"/>
                <w14:textFill>
                  <w14:solidFill>
                    <w14:schemeClr w14:val="tx1"/>
                  </w14:solidFill>
                </w14:textFill>
              </w:rPr>
              <w:t>村</w:t>
            </w:r>
            <w:r>
              <w:rPr>
                <w:rFonts w:hint="eastAsia"/>
                <w:color w:val="000000" w:themeColor="text1"/>
                <w:sz w:val="24"/>
                <w:szCs w:val="32"/>
                <w14:textFill>
                  <w14:solidFill>
                    <w14:schemeClr w14:val="tx1"/>
                  </w14:solidFill>
                </w14:textFill>
              </w:rPr>
              <w:t>5个</w:t>
            </w:r>
            <w:r>
              <w:rPr>
                <w:color w:val="000000" w:themeColor="text1"/>
                <w:sz w:val="24"/>
                <w:szCs w:val="32"/>
                <w14:textFill>
                  <w14:solidFill>
                    <w14:schemeClr w14:val="tx1"/>
                  </w14:solidFill>
                </w14:textFill>
              </w:rPr>
              <w:t>村庄拆迁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9"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骆驼街道</w:t>
            </w:r>
          </w:p>
        </w:tc>
        <w:tc>
          <w:tcPr>
            <w:tcW w:w="119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30.25</w:t>
            </w:r>
          </w:p>
        </w:tc>
        <w:tc>
          <w:tcPr>
            <w:tcW w:w="1057"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111310</w:t>
            </w:r>
          </w:p>
        </w:tc>
        <w:tc>
          <w:tcPr>
            <w:tcW w:w="920"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12</w:t>
            </w:r>
          </w:p>
        </w:tc>
        <w:tc>
          <w:tcPr>
            <w:tcW w:w="94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9</w:t>
            </w:r>
          </w:p>
        </w:tc>
        <w:tc>
          <w:tcPr>
            <w:tcW w:w="2744"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其中有骆驼</w:t>
            </w:r>
            <w:r>
              <w:rPr>
                <w:color w:val="000000" w:themeColor="text1"/>
                <w:sz w:val="24"/>
                <w:szCs w:val="32"/>
                <w14:textFill>
                  <w14:solidFill>
                    <w14:schemeClr w14:val="tx1"/>
                  </w14:solidFill>
                </w14:textFill>
              </w:rPr>
              <w:t>村、团桥村、骆兴村</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董家畈</w:t>
            </w:r>
            <w:r>
              <w:rPr>
                <w:rFonts w:hint="eastAsia"/>
                <w:color w:val="000000" w:themeColor="text1"/>
                <w:sz w:val="24"/>
                <w:szCs w:val="32"/>
                <w14:textFill>
                  <w14:solidFill>
                    <w14:schemeClr w14:val="tx1"/>
                  </w14:solidFill>
                </w14:textFill>
              </w:rPr>
              <w:t>4个村庄拆迁，</w:t>
            </w:r>
            <w:r>
              <w:rPr>
                <w:color w:val="000000" w:themeColor="text1"/>
                <w:sz w:val="24"/>
                <w:szCs w:val="32"/>
                <w14:textFill>
                  <w14:solidFill>
                    <w14:schemeClr w14:val="tx1"/>
                  </w14:solidFill>
                </w14:textFill>
              </w:rPr>
              <w:t>新城楼宇社区为新成立社区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9"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庄市街道</w:t>
            </w:r>
          </w:p>
        </w:tc>
        <w:tc>
          <w:tcPr>
            <w:tcW w:w="119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25.13</w:t>
            </w:r>
          </w:p>
        </w:tc>
        <w:tc>
          <w:tcPr>
            <w:tcW w:w="1057"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98822</w:t>
            </w:r>
          </w:p>
        </w:tc>
        <w:tc>
          <w:tcPr>
            <w:tcW w:w="920"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11</w:t>
            </w:r>
          </w:p>
        </w:tc>
        <w:tc>
          <w:tcPr>
            <w:tcW w:w="94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5</w:t>
            </w:r>
          </w:p>
        </w:tc>
        <w:tc>
          <w:tcPr>
            <w:tcW w:w="2744"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其中有钟</w:t>
            </w:r>
            <w:r>
              <w:rPr>
                <w:color w:val="000000" w:themeColor="text1"/>
                <w:sz w:val="24"/>
                <w:szCs w:val="32"/>
                <w14:textFill>
                  <w14:solidFill>
                    <w14:schemeClr w14:val="tx1"/>
                  </w14:solidFill>
                </w14:textFill>
              </w:rPr>
              <w:t>包村</w:t>
            </w:r>
            <w:r>
              <w:rPr>
                <w:rFonts w:hint="eastAsia"/>
                <w:color w:val="000000" w:themeColor="text1"/>
                <w:sz w:val="24"/>
                <w:szCs w:val="32"/>
                <w14:textFill>
                  <w14:solidFill>
                    <w14:schemeClr w14:val="tx1"/>
                  </w14:solidFill>
                </w14:textFill>
              </w:rPr>
              <w:t>拆迁，联</w:t>
            </w:r>
            <w:r>
              <w:rPr>
                <w:color w:val="000000" w:themeColor="text1"/>
                <w:sz w:val="24"/>
                <w:szCs w:val="32"/>
                <w14:textFill>
                  <w14:solidFill>
                    <w14:schemeClr w14:val="tx1"/>
                  </w14:solidFill>
                </w14:textFill>
              </w:rPr>
              <w:t>兴社区、</w:t>
            </w:r>
            <w:r>
              <w:rPr>
                <w:rFonts w:hint="eastAsia"/>
                <w:color w:val="000000" w:themeColor="text1"/>
                <w:sz w:val="24"/>
                <w:szCs w:val="32"/>
                <w14:textFill>
                  <w14:solidFill>
                    <w14:schemeClr w14:val="tx1"/>
                  </w14:solidFill>
                </w14:textFill>
              </w:rPr>
              <w:t>庄</w:t>
            </w:r>
            <w:r>
              <w:rPr>
                <w:color w:val="000000" w:themeColor="text1"/>
                <w:sz w:val="24"/>
                <w:szCs w:val="32"/>
                <w14:textFill>
                  <w14:solidFill>
                    <w14:schemeClr w14:val="tx1"/>
                  </w14:solidFill>
                </w14:textFill>
              </w:rPr>
              <w:t>一社区、庄市社区部分拆迁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9"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合计</w:t>
            </w:r>
          </w:p>
        </w:tc>
        <w:tc>
          <w:tcPr>
            <w:tcW w:w="119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203.74</w:t>
            </w:r>
          </w:p>
        </w:tc>
        <w:tc>
          <w:tcPr>
            <w:tcW w:w="1057"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516115</w:t>
            </w:r>
          </w:p>
        </w:tc>
        <w:tc>
          <w:tcPr>
            <w:tcW w:w="920"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5</w:t>
            </w:r>
            <w:r>
              <w:rPr>
                <w:color w:val="000000" w:themeColor="text1"/>
                <w:sz w:val="24"/>
                <w:szCs w:val="32"/>
                <w14:textFill>
                  <w14:solidFill>
                    <w14:schemeClr w14:val="tx1"/>
                  </w14:solidFill>
                </w14:textFill>
              </w:rPr>
              <w:t>4</w:t>
            </w:r>
          </w:p>
        </w:tc>
        <w:tc>
          <w:tcPr>
            <w:tcW w:w="94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37</w:t>
            </w:r>
          </w:p>
        </w:tc>
        <w:tc>
          <w:tcPr>
            <w:tcW w:w="2744"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w:t>
            </w:r>
          </w:p>
        </w:tc>
      </w:tr>
    </w:tbl>
    <w:p>
      <w:pPr>
        <w:pStyle w:val="67"/>
      </w:pPr>
      <w:r>
        <w:rPr>
          <w:rFonts w:hint="eastAsia"/>
        </w:rPr>
        <w:t>2.1.2经济社会发展情况</w:t>
      </w:r>
    </w:p>
    <w:p>
      <w:pPr>
        <w:pStyle w:val="69"/>
        <w:ind w:firstLine="640"/>
        <w:rPr>
          <w:color w:val="000000" w:themeColor="text1"/>
          <w14:textFill>
            <w14:solidFill>
              <w14:schemeClr w14:val="tx1"/>
            </w14:solidFill>
          </w14:textFill>
        </w:rPr>
      </w:pPr>
      <w:r>
        <w:rPr>
          <w:color w:val="000000" w:themeColor="text1"/>
          <w14:textFill>
            <w14:solidFill>
              <w14:schemeClr w14:val="tx1"/>
            </w14:solidFill>
          </w14:textFill>
        </w:rPr>
        <w:t>镇海区</w:t>
      </w:r>
      <w:r>
        <w:rPr>
          <w:rFonts w:hint="eastAsia"/>
          <w:color w:val="000000" w:themeColor="text1"/>
          <w14:textFill>
            <w14:solidFill>
              <w14:schemeClr w14:val="tx1"/>
            </w14:solidFill>
          </w14:textFill>
        </w:rPr>
        <w:t>全年区社会地区生产总值于2020年</w:t>
      </w:r>
      <w:r>
        <w:rPr>
          <w:color w:val="000000" w:themeColor="text1"/>
          <w14:textFill>
            <w14:solidFill>
              <w14:schemeClr w14:val="tx1"/>
            </w14:solidFill>
          </w14:textFill>
        </w:rPr>
        <w:t>达1030</w:t>
      </w:r>
      <w:r>
        <w:rPr>
          <w:rFonts w:hint="eastAsia"/>
          <w:color w:val="000000" w:themeColor="text1"/>
          <w14:textFill>
            <w14:solidFill>
              <w14:schemeClr w14:val="tx1"/>
            </w14:solidFill>
          </w14:textFill>
        </w:rPr>
        <w:t>亿元，“十三五”期间平均</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增长</w:t>
      </w:r>
      <w:r>
        <w:rPr>
          <w:color w:val="000000" w:themeColor="text1"/>
          <w14:textFill>
            <w14:solidFill>
              <w14:schemeClr w14:val="tx1"/>
            </w14:solidFill>
          </w14:textFill>
        </w:rPr>
        <w:t>率为</w:t>
      </w:r>
      <w:r>
        <w:rPr>
          <w:rFonts w:hint="eastAsia"/>
          <w:color w:val="000000" w:themeColor="text1"/>
          <w14:textFill>
            <w14:solidFill>
              <w14:schemeClr w14:val="tx1"/>
            </w14:solidFill>
          </w14:textFill>
        </w:rPr>
        <w:t>5.06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如下</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所示</w:t>
      </w:r>
      <w:r>
        <w:rPr>
          <w:rFonts w:hint="eastAsia"/>
          <w:color w:val="000000" w:themeColor="text1"/>
          <w14:textFill>
            <w14:solidFill>
              <w14:schemeClr w14:val="tx1"/>
            </w14:solidFill>
          </w14:textFill>
        </w:rPr>
        <w:t>。</w:t>
      </w:r>
    </w:p>
    <w:p>
      <w:pPr>
        <w:pStyle w:val="69"/>
        <w:spacing w:before="156" w:line="240" w:lineRule="auto"/>
        <w:ind w:firstLine="198"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表2-2“十三五”期间镇海区全年区社会地区生产总值统计表</w:t>
      </w:r>
    </w:p>
    <w:tbl>
      <w:tblPr>
        <w:tblStyle w:val="3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9"/>
        <w:gridCol w:w="1342"/>
        <w:gridCol w:w="1301"/>
        <w:gridCol w:w="1341"/>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9" w:type="dxa"/>
            <w:vAlign w:val="center"/>
          </w:tcPr>
          <w:p>
            <w:pPr>
              <w:pStyle w:val="69"/>
              <w:spacing w:line="240" w:lineRule="auto"/>
              <w:ind w:firstLine="0" w:firstLineChars="0"/>
              <w:jc w:val="center"/>
              <w:rPr>
                <w:b/>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年份</w:t>
            </w:r>
          </w:p>
        </w:tc>
        <w:tc>
          <w:tcPr>
            <w:tcW w:w="1342" w:type="dxa"/>
            <w:vAlign w:val="center"/>
          </w:tcPr>
          <w:p>
            <w:pPr>
              <w:pStyle w:val="69"/>
              <w:spacing w:line="240" w:lineRule="auto"/>
              <w:ind w:firstLine="0" w:firstLineChars="0"/>
              <w:jc w:val="center"/>
              <w:rPr>
                <w:b/>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2015</w:t>
            </w:r>
            <w:r>
              <w:rPr>
                <w:rFonts w:hint="eastAsia"/>
                <w:b/>
                <w:color w:val="000000" w:themeColor="text1"/>
                <w:sz w:val="24"/>
                <w:szCs w:val="32"/>
                <w14:textFill>
                  <w14:solidFill>
                    <w14:schemeClr w14:val="tx1"/>
                  </w14:solidFill>
                </w14:textFill>
              </w:rPr>
              <w:t>年</w:t>
            </w:r>
          </w:p>
        </w:tc>
        <w:tc>
          <w:tcPr>
            <w:tcW w:w="1301" w:type="dxa"/>
            <w:vAlign w:val="center"/>
          </w:tcPr>
          <w:p>
            <w:pPr>
              <w:pStyle w:val="69"/>
              <w:spacing w:line="240" w:lineRule="auto"/>
              <w:ind w:firstLine="0" w:firstLineChars="0"/>
              <w:jc w:val="center"/>
              <w:rPr>
                <w:b/>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2016</w:t>
            </w:r>
            <w:r>
              <w:rPr>
                <w:rFonts w:hint="eastAsia"/>
                <w:b/>
                <w:color w:val="000000" w:themeColor="text1"/>
                <w:sz w:val="24"/>
                <w:szCs w:val="32"/>
                <w14:textFill>
                  <w14:solidFill>
                    <w14:schemeClr w14:val="tx1"/>
                  </w14:solidFill>
                </w14:textFill>
              </w:rPr>
              <w:t>年</w:t>
            </w:r>
          </w:p>
        </w:tc>
        <w:tc>
          <w:tcPr>
            <w:tcW w:w="1341" w:type="dxa"/>
            <w:vAlign w:val="center"/>
          </w:tcPr>
          <w:p>
            <w:pPr>
              <w:pStyle w:val="69"/>
              <w:spacing w:line="240" w:lineRule="auto"/>
              <w:ind w:firstLine="0" w:firstLineChars="0"/>
              <w:jc w:val="center"/>
              <w:rPr>
                <w:b/>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2017</w:t>
            </w:r>
            <w:r>
              <w:rPr>
                <w:rFonts w:hint="eastAsia"/>
                <w:b/>
                <w:color w:val="000000" w:themeColor="text1"/>
                <w:sz w:val="24"/>
                <w:szCs w:val="32"/>
                <w14:textFill>
                  <w14:solidFill>
                    <w14:schemeClr w14:val="tx1"/>
                  </w14:solidFill>
                </w14:textFill>
              </w:rPr>
              <w:t>年</w:t>
            </w:r>
          </w:p>
        </w:tc>
        <w:tc>
          <w:tcPr>
            <w:tcW w:w="1519" w:type="dxa"/>
            <w:vAlign w:val="center"/>
          </w:tcPr>
          <w:p>
            <w:pPr>
              <w:pStyle w:val="69"/>
              <w:spacing w:line="240" w:lineRule="auto"/>
              <w:ind w:firstLine="0" w:firstLineChars="0"/>
              <w:jc w:val="center"/>
              <w:rPr>
                <w:b/>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2018</w:t>
            </w:r>
            <w:r>
              <w:rPr>
                <w:rFonts w:hint="eastAsia"/>
                <w:b/>
                <w:color w:val="000000" w:themeColor="text1"/>
                <w:sz w:val="24"/>
                <w:szCs w:val="32"/>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9"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GDP总量（亿元）</w:t>
            </w:r>
          </w:p>
        </w:tc>
        <w:tc>
          <w:tcPr>
            <w:tcW w:w="1342"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663.9</w:t>
            </w:r>
          </w:p>
        </w:tc>
        <w:tc>
          <w:tcPr>
            <w:tcW w:w="130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821.1</w:t>
            </w:r>
          </w:p>
        </w:tc>
        <w:tc>
          <w:tcPr>
            <w:tcW w:w="134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924.9</w:t>
            </w:r>
          </w:p>
        </w:tc>
        <w:tc>
          <w:tcPr>
            <w:tcW w:w="1519"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989.2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9"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增长率（%）</w:t>
            </w:r>
          </w:p>
        </w:tc>
        <w:tc>
          <w:tcPr>
            <w:tcW w:w="1342" w:type="dxa"/>
            <w:vAlign w:val="center"/>
          </w:tcPr>
          <w:p>
            <w:pPr>
              <w:pStyle w:val="69"/>
              <w:spacing w:line="240" w:lineRule="auto"/>
              <w:ind w:firstLine="170" w:firstLineChars="71"/>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w:t>
            </w:r>
          </w:p>
        </w:tc>
        <w:tc>
          <w:tcPr>
            <w:tcW w:w="130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7.9</w:t>
            </w:r>
          </w:p>
        </w:tc>
        <w:tc>
          <w:tcPr>
            <w:tcW w:w="134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4.3</w:t>
            </w:r>
          </w:p>
        </w:tc>
        <w:tc>
          <w:tcPr>
            <w:tcW w:w="1519"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9"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年份</w:t>
            </w:r>
          </w:p>
        </w:tc>
        <w:tc>
          <w:tcPr>
            <w:tcW w:w="1342"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2019</w:t>
            </w:r>
            <w:r>
              <w:rPr>
                <w:rFonts w:hint="eastAsia"/>
                <w:b/>
                <w:color w:val="000000" w:themeColor="text1"/>
                <w:sz w:val="24"/>
                <w:szCs w:val="32"/>
                <w14:textFill>
                  <w14:solidFill>
                    <w14:schemeClr w14:val="tx1"/>
                  </w14:solidFill>
                </w14:textFill>
              </w:rPr>
              <w:t>年</w:t>
            </w:r>
          </w:p>
        </w:tc>
        <w:tc>
          <w:tcPr>
            <w:tcW w:w="130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2020</w:t>
            </w:r>
            <w:r>
              <w:rPr>
                <w:rFonts w:hint="eastAsia"/>
                <w:b/>
                <w:color w:val="000000" w:themeColor="text1"/>
                <w:sz w:val="24"/>
                <w:szCs w:val="32"/>
                <w14:textFill>
                  <w14:solidFill>
                    <w14:schemeClr w14:val="tx1"/>
                  </w14:solidFill>
                </w14:textFill>
              </w:rPr>
              <w:t>年</w:t>
            </w:r>
          </w:p>
        </w:tc>
        <w:tc>
          <w:tcPr>
            <w:tcW w:w="134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2021</w:t>
            </w:r>
            <w:r>
              <w:rPr>
                <w:rFonts w:hint="eastAsia"/>
                <w:b/>
                <w:color w:val="000000" w:themeColor="text1"/>
                <w:sz w:val="24"/>
                <w:szCs w:val="32"/>
                <w14:textFill>
                  <w14:solidFill>
                    <w14:schemeClr w14:val="tx1"/>
                  </w14:solidFill>
                </w14:textFill>
              </w:rPr>
              <w:t>年</w:t>
            </w:r>
          </w:p>
        </w:tc>
        <w:tc>
          <w:tcPr>
            <w:tcW w:w="1519"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2022</w:t>
            </w:r>
            <w:r>
              <w:rPr>
                <w:rFonts w:hint="eastAsia"/>
                <w:b/>
                <w:color w:val="000000" w:themeColor="text1"/>
                <w:sz w:val="24"/>
                <w:szCs w:val="32"/>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9"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GDP总量（亿元）</w:t>
            </w:r>
          </w:p>
        </w:tc>
        <w:tc>
          <w:tcPr>
            <w:tcW w:w="1342"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1021.6</w:t>
            </w:r>
          </w:p>
        </w:tc>
        <w:tc>
          <w:tcPr>
            <w:tcW w:w="130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1030</w:t>
            </w:r>
          </w:p>
        </w:tc>
        <w:tc>
          <w:tcPr>
            <w:tcW w:w="134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1252.4</w:t>
            </w:r>
          </w:p>
        </w:tc>
        <w:tc>
          <w:tcPr>
            <w:tcW w:w="1519"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1374.3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9"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增长率（%）</w:t>
            </w:r>
          </w:p>
        </w:tc>
        <w:tc>
          <w:tcPr>
            <w:tcW w:w="1342"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7.1</w:t>
            </w:r>
          </w:p>
        </w:tc>
        <w:tc>
          <w:tcPr>
            <w:tcW w:w="1301" w:type="dxa"/>
            <w:vAlign w:val="center"/>
          </w:tcPr>
          <w:p>
            <w:pPr>
              <w:pStyle w:val="69"/>
              <w:spacing w:line="240" w:lineRule="auto"/>
              <w:ind w:firstLine="0" w:firstLineChars="0"/>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2.9</w:t>
            </w:r>
          </w:p>
        </w:tc>
        <w:tc>
          <w:tcPr>
            <w:tcW w:w="1341" w:type="dxa"/>
            <w:vAlign w:val="center"/>
          </w:tcPr>
          <w:p>
            <w:pPr>
              <w:pStyle w:val="69"/>
              <w:spacing w:line="240" w:lineRule="auto"/>
              <w:ind w:firstLine="170" w:firstLineChars="71"/>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7</w:t>
            </w:r>
          </w:p>
        </w:tc>
        <w:tc>
          <w:tcPr>
            <w:tcW w:w="1519" w:type="dxa"/>
            <w:vAlign w:val="center"/>
          </w:tcPr>
          <w:p>
            <w:pPr>
              <w:pStyle w:val="69"/>
              <w:spacing w:line="240" w:lineRule="auto"/>
              <w:ind w:firstLine="170" w:firstLineChars="71"/>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5.9</w:t>
            </w:r>
          </w:p>
        </w:tc>
      </w:tr>
    </w:tbl>
    <w:p>
      <w:pPr>
        <w:pStyle w:val="69"/>
        <w:spacing w:line="240" w:lineRule="auto"/>
        <w:ind w:firstLine="0" w:firstLineChars="0"/>
        <w:rPr>
          <w:color w:val="000000" w:themeColor="text1"/>
          <w:sz w:val="28"/>
          <w14:textFill>
            <w14:solidFill>
              <w14:schemeClr w14:val="tx1"/>
            </w14:solidFill>
          </w14:textFill>
        </w:rPr>
      </w:pPr>
      <w:r>
        <w:rPr>
          <w:color w:val="000000" w:themeColor="text1"/>
          <w:sz w:val="24"/>
          <w14:textFill>
            <w14:solidFill>
              <w14:schemeClr w14:val="tx1"/>
            </w14:solidFill>
          </w14:textFill>
        </w:rPr>
        <w:t>数据来源：宁波市镇海区国民经济和社会发展统计公报</w:t>
      </w:r>
    </w:p>
    <w:p>
      <w:pPr>
        <w:pStyle w:val="69"/>
        <w:ind w:firstLine="640"/>
        <w:rPr>
          <w:color w:val="000000" w:themeColor="text1"/>
          <w14:textFill>
            <w14:solidFill>
              <w14:schemeClr w14:val="tx1"/>
            </w14:solidFill>
          </w14:textFill>
        </w:rPr>
      </w:pPr>
      <w:r>
        <w:rPr>
          <w:color w:val="000000" w:themeColor="text1"/>
          <w14:textFill>
            <w14:solidFill>
              <w14:schemeClr w14:val="tx1"/>
            </w14:solidFill>
          </w14:textFill>
        </w:rPr>
        <w:t>根据《宁波市镇海区国民经济和社会发展第十四个五年规划和二</w:t>
      </w:r>
      <w:r>
        <w:rPr>
          <w:rFonts w:hint="eastAsia" w:ascii="微软雅黑" w:hAnsi="微软雅黑" w:eastAsia="微软雅黑" w:cs="微软雅黑"/>
          <w:color w:val="000000" w:themeColor="text1"/>
          <w14:textFill>
            <w14:solidFill>
              <w14:schemeClr w14:val="tx1"/>
            </w14:solidFill>
          </w14:textFill>
        </w:rPr>
        <w:t>〇</w:t>
      </w:r>
      <w:r>
        <w:rPr>
          <w:rFonts w:hint="eastAsia"/>
          <w:color w:val="000000" w:themeColor="text1"/>
          <w14:textFill>
            <w14:solidFill>
              <w14:schemeClr w14:val="tx1"/>
            </w14:solidFill>
          </w14:textFill>
        </w:rPr>
        <w:t>三五年远景目标纲要》，到</w:t>
      </w:r>
      <w:r>
        <w:rPr>
          <w:color w:val="000000" w:themeColor="text1"/>
          <w14:textFill>
            <w14:solidFill>
              <w14:schemeClr w14:val="tx1"/>
            </w14:solidFill>
          </w14:textFill>
        </w:rPr>
        <w:t>2025年，经济总量实现翻番，创新能力显著提升，民生福祉进一步改善，城市能级和品质显著提升，镇海区生产总值、人均生产总值分别突破2000亿元、30万元。</w:t>
      </w:r>
    </w:p>
    <w:p>
      <w:pPr>
        <w:pStyle w:val="67"/>
      </w:pPr>
      <w:r>
        <w:rPr>
          <w:rFonts w:hint="eastAsia"/>
        </w:rPr>
        <w:t>2.1.3道路交通发展情况</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“十三五”期间</w:t>
      </w:r>
      <w:r>
        <w:rPr>
          <w:color w:val="000000" w:themeColor="text1"/>
          <w14:textFill>
            <w14:solidFill>
              <w14:schemeClr w14:val="tx1"/>
            </w14:solidFill>
          </w14:textFill>
        </w:rPr>
        <w:t>，镇海区</w:t>
      </w:r>
      <w:r>
        <w:rPr>
          <w:rFonts w:hint="eastAsia"/>
          <w:color w:val="000000" w:themeColor="text1"/>
          <w14:textFill>
            <w14:solidFill>
              <w14:schemeClr w14:val="tx1"/>
            </w14:solidFill>
          </w14:textFill>
        </w:rPr>
        <w:t>基本形成“七横八纵”的交通骨干网络，道路里程约</w:t>
      </w:r>
      <w:r>
        <w:rPr>
          <w:color w:val="000000" w:themeColor="text1"/>
          <w14:textFill>
            <w14:solidFill>
              <w14:schemeClr w14:val="tx1"/>
            </w14:solidFill>
          </w14:textFill>
        </w:rPr>
        <w:t>719公里，道路网密度为292.8公里/百平方公里</w:t>
      </w:r>
      <w:r>
        <w:rPr>
          <w:rFonts w:hint="eastAsia"/>
          <w:color w:val="000000" w:themeColor="text1"/>
          <w14:textFill>
            <w14:solidFill>
              <w14:schemeClr w14:val="tx1"/>
            </w14:solidFill>
          </w14:textFill>
        </w:rPr>
        <w:t>。其中</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道路</w:t>
      </w:r>
      <w:r>
        <w:rPr>
          <w:color w:val="000000" w:themeColor="text1"/>
          <w14:textFill>
            <w14:solidFill>
              <w14:schemeClr w14:val="tx1"/>
            </w14:solidFill>
          </w14:textFill>
        </w:rPr>
        <w:t>建设主要推动了</w:t>
      </w:r>
      <w:r>
        <w:rPr>
          <w:rFonts w:hint="eastAsia"/>
          <w:color w:val="000000" w:themeColor="text1"/>
          <w14:textFill>
            <w14:solidFill>
              <w14:schemeClr w14:val="tx1"/>
            </w14:solidFill>
          </w14:textFill>
        </w:rPr>
        <w:t>：</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高速公路：杭甬高速复线宁波段一期已开工建设、杭甬高速复线宁波段三期工程前期推进；</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快速路：北环东路快速路、东外环快速路完工，开工建设世纪大道快速路（东明路</w:t>
      </w:r>
      <w:r>
        <w:rPr>
          <w:color w:val="000000" w:themeColor="text1"/>
          <w14:textFill>
            <w14:solidFill>
              <w14:schemeClr w14:val="tx1"/>
            </w14:solidFill>
          </w14:textFill>
        </w:rPr>
        <w:t>-永乐路）</w:t>
      </w:r>
      <w:r>
        <w:rPr>
          <w:rFonts w:hint="eastAsia"/>
          <w:color w:val="000000" w:themeColor="text1"/>
          <w14:textFill>
            <w14:solidFill>
              <w14:schemeClr w14:val="tx1"/>
            </w14:solidFill>
          </w14:textFill>
        </w:rPr>
        <w:t>；</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主干道：完成三官堂大桥及接线工程、招宝山大桥连接线及定海路拓宽改建工程、宁镇路改造一期、新长邱线拓宽改建工程、逸夫路南段二期，汶骆路局部拓宽建设。</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农村</w:t>
      </w:r>
      <w:r>
        <w:rPr>
          <w:color w:val="000000" w:themeColor="text1"/>
          <w14:textFill>
            <w14:solidFill>
              <w14:schemeClr w14:val="tx1"/>
            </w14:solidFill>
          </w14:textFill>
        </w:rPr>
        <w:t>道路：</w:t>
      </w:r>
      <w:r>
        <w:rPr>
          <w:rFonts w:hint="eastAsia"/>
          <w:color w:val="000000" w:themeColor="text1"/>
          <w14:textFill>
            <w14:solidFill>
              <w14:schemeClr w14:val="tx1"/>
            </w14:solidFill>
          </w14:textFill>
        </w:rPr>
        <w:t>创建九龙湖镇、</w:t>
      </w:r>
      <w:r>
        <w:rPr>
          <w:rFonts w:hint="eastAsia" w:ascii="微软雅黑" w:hAnsi="微软雅黑" w:eastAsia="微软雅黑" w:cs="微软雅黑"/>
          <w:color w:val="000000" w:themeColor="text1"/>
          <w14:textFill>
            <w14:solidFill>
              <w14:schemeClr w14:val="tx1"/>
            </w14:solidFill>
          </w14:textFill>
        </w:rPr>
        <w:t>澥</w:t>
      </w:r>
      <w:r>
        <w:rPr>
          <w:rFonts w:hint="eastAsia"/>
          <w:color w:val="000000" w:themeColor="text1"/>
          <w14:textFill>
            <w14:solidFill>
              <w14:schemeClr w14:val="tx1"/>
            </w14:solidFill>
          </w14:textFill>
        </w:rPr>
        <w:t>浦镇两个“四好农村路”示范乡镇，所有行政村均已通双车道。</w:t>
      </w:r>
    </w:p>
    <w:p>
      <w:pPr>
        <w:pStyle w:val="69"/>
        <w:spacing w:before="156" w:line="240" w:lineRule="auto"/>
        <w:ind w:firstLine="0" w:firstLineChars="0"/>
        <w:jc w:val="center"/>
        <w:rPr>
          <w:b/>
          <w:color w:val="FF0000"/>
          <w:sz w:val="28"/>
        </w:rPr>
      </w:pPr>
      <w:r>
        <w:rPr>
          <w:b/>
          <w:color w:val="FF0000"/>
          <w:sz w:val="28"/>
        </w:rPr>
        <w:drawing>
          <wp:inline distT="0" distB="0" distL="0" distR="0">
            <wp:extent cx="5013325" cy="308229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cstate="print"/>
                    <a:srcRect/>
                    <a:stretch>
                      <a:fillRect/>
                    </a:stretch>
                  </pic:blipFill>
                  <pic:spPr>
                    <a:xfrm>
                      <a:off x="0" y="0"/>
                      <a:ext cx="5017582" cy="3085246"/>
                    </a:xfrm>
                    <a:prstGeom prst="rect">
                      <a:avLst/>
                    </a:prstGeom>
                    <a:ln>
                      <a:noFill/>
                    </a:ln>
                  </pic:spPr>
                </pic:pic>
              </a:graphicData>
            </a:graphic>
          </wp:inline>
        </w:drawing>
      </w:r>
    </w:p>
    <w:p>
      <w:pPr>
        <w:pStyle w:val="69"/>
        <w:spacing w:line="36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图2</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镇海区道路</w:t>
      </w:r>
      <w:r>
        <w:rPr>
          <w:color w:val="000000" w:themeColor="text1"/>
          <w:sz w:val="24"/>
          <w14:textFill>
            <w14:solidFill>
              <w14:schemeClr w14:val="tx1"/>
            </w14:solidFill>
          </w14:textFill>
        </w:rPr>
        <w:t>交通现状路网图</w:t>
      </w:r>
    </w:p>
    <w:p>
      <w:pPr>
        <w:pStyle w:val="66"/>
        <w:numPr>
          <w:ilvl w:val="255"/>
          <w:numId w:val="0"/>
        </w:numPr>
        <w:ind w:right="210"/>
        <w:rPr>
          <w:color w:val="000000" w:themeColor="text1"/>
          <w14:textFill>
            <w14:solidFill>
              <w14:schemeClr w14:val="tx1"/>
            </w14:solidFill>
          </w14:textFill>
        </w:rPr>
      </w:pPr>
      <w:bookmarkStart w:id="5" w:name="_Toc3397"/>
      <w:r>
        <w:rPr>
          <w:rFonts w:hint="eastAsia"/>
          <w:color w:val="000000" w:themeColor="text1"/>
          <w14:textFill>
            <w14:solidFill>
              <w14:schemeClr w14:val="tx1"/>
            </w14:solidFill>
          </w14:textFill>
        </w:rPr>
        <w:t>（二）发展规划情况</w:t>
      </w:r>
      <w:bookmarkEnd w:id="5"/>
    </w:p>
    <w:p>
      <w:pPr>
        <w:pStyle w:val="67"/>
      </w:pPr>
      <w:r>
        <w:rPr>
          <w:rFonts w:hint="eastAsia"/>
        </w:rPr>
        <w:t>2.</w:t>
      </w:r>
      <w:r>
        <w:t>2</w:t>
      </w:r>
      <w:r>
        <w:rPr>
          <w:rFonts w:hint="eastAsia"/>
        </w:rPr>
        <w:t>.1区域总体</w:t>
      </w:r>
      <w:r>
        <w:t>规划</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根据《宁波市镇海区国土空间规划（</w:t>
      </w:r>
      <w:r>
        <w:rPr>
          <w:color w:val="000000" w:themeColor="text1"/>
          <w14:textFill>
            <w14:solidFill>
              <w14:schemeClr w14:val="tx1"/>
            </w14:solidFill>
          </w14:textFill>
        </w:rPr>
        <w:t>2020-2035年）》</w:t>
      </w:r>
      <w:r>
        <w:rPr>
          <w:rFonts w:hint="eastAsia"/>
          <w:color w:val="000000" w:themeColor="text1"/>
          <w14:textFill>
            <w14:solidFill>
              <w14:schemeClr w14:val="tx1"/>
            </w14:solidFill>
          </w14:textFill>
        </w:rPr>
        <w:t>，规划形成“一核两廊四区”的网络化开放型全域空间格局。其中，“一核”指以宁波植物园为空间联系的纽带，联动骆驼箭港湖、庄市同心湖、贵驷文胜湖，共同打造集“科研创新、产业孵化、商业商务、公共文化”等功能于一体的镇海区发展核心。</w:t>
      </w:r>
      <w:r>
        <w:rPr>
          <w:color w:val="000000" w:themeColor="text1"/>
          <w14:textFill>
            <w14:solidFill>
              <w14:schemeClr w14:val="tx1"/>
            </w14:solidFill>
          </w14:textFill>
        </w:rPr>
        <w:t>“两廊”指生态活力文化廊和甬江科创大走廊。“四区”指科产城融合区、都市田园区、绿色产业区和海洋发展区。</w:t>
      </w:r>
    </w:p>
    <w:p>
      <w:pPr>
        <w:pStyle w:val="69"/>
        <w:spacing w:before="156" w:line="240" w:lineRule="auto"/>
        <w:ind w:firstLine="0" w:firstLineChars="0"/>
        <w:jc w:val="center"/>
        <w:rPr>
          <w:color w:val="FF0000"/>
        </w:rPr>
      </w:pPr>
      <w:r>
        <w:rPr>
          <w:rFonts w:hint="eastAsia"/>
          <w:color w:val="FF0000"/>
        </w:rPr>
        <w:drawing>
          <wp:inline distT="0" distB="0" distL="0" distR="0">
            <wp:extent cx="5123180" cy="3207385"/>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cstate="print">
                      <a:extLst>
                        <a:ext uri="{28A0092B-C50C-407E-A947-70E740481C1C}">
                          <a14:useLocalDpi xmlns:a14="http://schemas.microsoft.com/office/drawing/2010/main" val="0"/>
                        </a:ext>
                      </a:extLst>
                    </a:blip>
                    <a:srcRect l="1376" t="8945" r="1481" b="5094"/>
                    <a:stretch>
                      <a:fillRect/>
                    </a:stretch>
                  </pic:blipFill>
                  <pic:spPr>
                    <a:xfrm>
                      <a:off x="0" y="0"/>
                      <a:ext cx="5123627" cy="3207937"/>
                    </a:xfrm>
                    <a:prstGeom prst="rect">
                      <a:avLst/>
                    </a:prstGeom>
                    <a:ln>
                      <a:noFill/>
                    </a:ln>
                  </pic:spPr>
                </pic:pic>
              </a:graphicData>
            </a:graphic>
          </wp:inline>
        </w:drawing>
      </w:r>
    </w:p>
    <w:p>
      <w:pPr>
        <w:pStyle w:val="69"/>
        <w:spacing w:line="36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图2</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镇海区国土</w:t>
      </w:r>
      <w:r>
        <w:rPr>
          <w:color w:val="000000" w:themeColor="text1"/>
          <w:sz w:val="24"/>
          <w14:textFill>
            <w14:solidFill>
              <w14:schemeClr w14:val="tx1"/>
            </w14:solidFill>
          </w14:textFill>
        </w:rPr>
        <w:t>空间</w:t>
      </w:r>
      <w:r>
        <w:rPr>
          <w:rFonts w:hint="eastAsia"/>
          <w:color w:val="000000" w:themeColor="text1"/>
          <w:sz w:val="24"/>
          <w14:textFill>
            <w14:solidFill>
              <w14:schemeClr w14:val="tx1"/>
            </w14:solidFill>
          </w14:textFill>
        </w:rPr>
        <w:t>总体</w:t>
      </w:r>
      <w:r>
        <w:rPr>
          <w:color w:val="000000" w:themeColor="text1"/>
          <w:sz w:val="24"/>
          <w14:textFill>
            <w14:solidFill>
              <w14:schemeClr w14:val="tx1"/>
            </w14:solidFill>
          </w14:textFill>
        </w:rPr>
        <w:t>格局规划</w:t>
      </w:r>
      <w:r>
        <w:rPr>
          <w:rFonts w:hint="eastAsia"/>
          <w:color w:val="000000" w:themeColor="text1"/>
          <w:sz w:val="24"/>
          <w14:textFill>
            <w14:solidFill>
              <w14:schemeClr w14:val="tx1"/>
            </w14:solidFill>
          </w14:textFill>
        </w:rPr>
        <w:t>图</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近期</w:t>
      </w:r>
      <w:r>
        <w:rPr>
          <w:color w:val="000000" w:themeColor="text1"/>
          <w14:textFill>
            <w14:solidFill>
              <w14:schemeClr w14:val="tx1"/>
            </w14:solidFill>
          </w14:textFill>
        </w:rPr>
        <w:t>涉及的重点开发区域有</w:t>
      </w:r>
      <w:r>
        <w:rPr>
          <w:rFonts w:hint="eastAsia"/>
          <w:color w:val="000000" w:themeColor="text1"/>
          <w14:textFill>
            <w14:solidFill>
              <w14:schemeClr w14:val="tx1"/>
            </w14:solidFill>
          </w14:textFill>
        </w:rPr>
        <w:t>甬江科创区核心区板块、绿色石化拓展区板块、集成电路产业园板块及包括甬江北岸和镇海新城的城市重点开发板块。近期重点建设工程共计</w:t>
      </w:r>
      <w:r>
        <w:rPr>
          <w:color w:val="000000" w:themeColor="text1"/>
          <w14:textFill>
            <w14:solidFill>
              <w14:schemeClr w14:val="tx1"/>
            </w14:solidFill>
          </w14:textFill>
        </w:rPr>
        <w:t>321项，占地面积5649.2323公顷，项目类型以建设用地节约集约示范工程、中心城市能级提升工程以及基础设施与市政设施提标升级工程为主，项目级别以县级项目为主。于</w:t>
      </w:r>
      <w:r>
        <w:rPr>
          <w:rFonts w:hint="eastAsia"/>
          <w:color w:val="000000" w:themeColor="text1"/>
          <w14:textFill>
            <w14:solidFill>
              <w14:schemeClr w14:val="tx1"/>
            </w14:solidFill>
          </w14:textFill>
        </w:rPr>
        <w:t>“十四五”期间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规划</w:t>
      </w:r>
      <w:r>
        <w:rPr>
          <w:color w:val="000000" w:themeColor="text1"/>
          <w14:textFill>
            <w14:solidFill>
              <w14:schemeClr w14:val="tx1"/>
            </w14:solidFill>
          </w14:textFill>
        </w:rPr>
        <w:t>建设的大型公共建筑</w:t>
      </w:r>
      <w:r>
        <w:rPr>
          <w:rFonts w:hint="eastAsia"/>
          <w:color w:val="000000" w:themeColor="text1"/>
          <w14:textFill>
            <w14:solidFill>
              <w14:schemeClr w14:val="tx1"/>
            </w14:solidFill>
          </w14:textFill>
        </w:rPr>
        <w:t>及园区</w:t>
      </w:r>
      <w:r>
        <w:rPr>
          <w:color w:val="000000" w:themeColor="text1"/>
          <w14:textFill>
            <w14:solidFill>
              <w14:schemeClr w14:val="tx1"/>
            </w14:solidFill>
          </w14:textFill>
        </w:rPr>
        <w:t>主要</w:t>
      </w:r>
      <w:r>
        <w:rPr>
          <w:rFonts w:hint="eastAsia"/>
          <w:color w:val="000000" w:themeColor="text1"/>
          <w14:textFill>
            <w14:solidFill>
              <w14:schemeClr w14:val="tx1"/>
            </w14:solidFill>
          </w14:textFill>
        </w:rPr>
        <w:t>有东方理工大学</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甬江实验室</w:t>
      </w:r>
      <w:r>
        <w:rPr>
          <w:color w:val="000000" w:themeColor="text1"/>
          <w14:textFill>
            <w14:solidFill>
              <w14:schemeClr w14:val="tx1"/>
            </w14:solidFill>
          </w14:textFill>
        </w:rPr>
        <w:t>AB</w:t>
      </w:r>
      <w:r>
        <w:rPr>
          <w:rFonts w:hint="eastAsia"/>
          <w:color w:val="000000" w:themeColor="text1"/>
          <w14:textFill>
            <w14:solidFill>
              <w14:schemeClr w14:val="tx1"/>
            </w14:solidFill>
          </w14:textFill>
        </w:rPr>
        <w:t>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骆驼小微园</w:t>
      </w:r>
      <w:r>
        <w:rPr>
          <w:color w:val="000000" w:themeColor="text1"/>
          <w14:textFill>
            <w14:solidFill>
              <w14:schemeClr w14:val="tx1"/>
            </w14:solidFill>
          </w14:textFill>
        </w:rPr>
        <w:t>JZ01、</w:t>
      </w:r>
      <w:r>
        <w:rPr>
          <w:rFonts w:hint="eastAsia"/>
          <w:color w:val="000000" w:themeColor="text1"/>
          <w14:textFill>
            <w14:solidFill>
              <w14:schemeClr w14:val="tx1"/>
            </w14:solidFill>
          </w14:textFill>
        </w:rPr>
        <w:t>骆驼中学北侧商务地块等。</w:t>
      </w:r>
    </w:p>
    <w:p>
      <w:pPr>
        <w:pStyle w:val="69"/>
        <w:spacing w:before="156"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129530" cy="32061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cstate="print">
                      <a:extLst>
                        <a:ext uri="{28A0092B-C50C-407E-A947-70E740481C1C}">
                          <a14:useLocalDpi xmlns:a14="http://schemas.microsoft.com/office/drawing/2010/main" val="0"/>
                        </a:ext>
                      </a:extLst>
                    </a:blip>
                    <a:srcRect l="1126" t="8593" r="1603" b="5486"/>
                    <a:stretch>
                      <a:fillRect/>
                    </a:stretch>
                  </pic:blipFill>
                  <pic:spPr>
                    <a:xfrm>
                      <a:off x="0" y="0"/>
                      <a:ext cx="5130140" cy="3206338"/>
                    </a:xfrm>
                    <a:prstGeom prst="rect">
                      <a:avLst/>
                    </a:prstGeom>
                    <a:ln>
                      <a:noFill/>
                    </a:ln>
                  </pic:spPr>
                </pic:pic>
              </a:graphicData>
            </a:graphic>
          </wp:inline>
        </w:drawing>
      </w:r>
    </w:p>
    <w:p>
      <w:pPr>
        <w:pStyle w:val="69"/>
        <w:spacing w:line="36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图2</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镇海区近期重点</w:t>
      </w:r>
      <w:r>
        <w:rPr>
          <w:color w:val="000000" w:themeColor="text1"/>
          <w:sz w:val="24"/>
          <w14:textFill>
            <w14:solidFill>
              <w14:schemeClr w14:val="tx1"/>
            </w14:solidFill>
          </w14:textFill>
        </w:rPr>
        <w:t>项目布局图</w:t>
      </w: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2.2.2道路交通规划</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在</w:t>
      </w:r>
      <w:r>
        <w:rPr>
          <w:color w:val="000000" w:themeColor="text1"/>
          <w14:textFill>
            <w14:solidFill>
              <w14:schemeClr w14:val="tx1"/>
            </w14:solidFill>
          </w14:textFill>
        </w:rPr>
        <w:t>路网总体形态上，</w:t>
      </w:r>
      <w:r>
        <w:rPr>
          <w:rFonts w:hint="eastAsia"/>
          <w:color w:val="000000" w:themeColor="text1"/>
          <w14:textFill>
            <w14:solidFill>
              <w14:schemeClr w14:val="tx1"/>
            </w14:solidFill>
          </w14:textFill>
        </w:rPr>
        <w:t>根据镇海区组团式发展特点，各组团内骨架路网总体形成方格网状，快速路与主干路总体形成“十二横十一纵”的路网骨架，构成“内聚外联“的路网形态。“十二横”分别为海天路、镇浦路、镇骆路、骆兴路、镇海大道、永茂路、北外环、逸夫路、中官路、宁镇路、雄镇路、定海路。“十一纵”分别为康桥北路、九龙大道、慈海路、东邑路、望海路、兴海路、明海路、光明路、东外环、隧道北路、靖远路。其中</w:t>
      </w:r>
      <w:r>
        <w:rPr>
          <w:color w:val="000000" w:themeColor="text1"/>
          <w14:textFill>
            <w14:solidFill>
              <w14:schemeClr w14:val="tx1"/>
            </w14:solidFill>
          </w14:textFill>
        </w:rPr>
        <w:t>康桥北路、光明路</w:t>
      </w:r>
      <w:r>
        <w:rPr>
          <w:rFonts w:hint="eastAsia"/>
          <w:color w:val="000000" w:themeColor="text1"/>
          <w14:textFill>
            <w14:solidFill>
              <w14:schemeClr w14:val="tx1"/>
            </w14:solidFill>
          </w14:textFill>
        </w:rPr>
        <w:t>暂无</w:t>
      </w:r>
      <w:r>
        <w:rPr>
          <w:color w:val="000000" w:themeColor="text1"/>
          <w14:textFill>
            <w14:solidFill>
              <w14:schemeClr w14:val="tx1"/>
            </w14:solidFill>
          </w14:textFill>
        </w:rPr>
        <w:t>实施计划，</w:t>
      </w:r>
      <w:r>
        <w:rPr>
          <w:rFonts w:hint="eastAsia"/>
          <w:color w:val="000000" w:themeColor="text1"/>
          <w14:textFill>
            <w14:solidFill>
              <w14:schemeClr w14:val="tx1"/>
            </w14:solidFill>
          </w14:textFill>
        </w:rPr>
        <w:t>镇浦路一期、世纪大道快速路近三年会开工建设。</w:t>
      </w:r>
    </w:p>
    <w:p>
      <w:pPr>
        <w:pStyle w:val="69"/>
        <w:spacing w:before="156"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165725" cy="32289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cstate="print">
                      <a:extLst>
                        <a:ext uri="{28A0092B-C50C-407E-A947-70E740481C1C}">
                          <a14:useLocalDpi xmlns:a14="http://schemas.microsoft.com/office/drawing/2010/main" val="0"/>
                        </a:ext>
                      </a:extLst>
                    </a:blip>
                    <a:srcRect l="1126" t="8274" r="895" b="5161"/>
                    <a:stretch>
                      <a:fillRect/>
                    </a:stretch>
                  </pic:blipFill>
                  <pic:spPr>
                    <a:xfrm>
                      <a:off x="0" y="0"/>
                      <a:ext cx="5167843" cy="3230548"/>
                    </a:xfrm>
                    <a:prstGeom prst="rect">
                      <a:avLst/>
                    </a:prstGeom>
                    <a:ln>
                      <a:noFill/>
                    </a:ln>
                  </pic:spPr>
                </pic:pic>
              </a:graphicData>
            </a:graphic>
          </wp:inline>
        </w:drawing>
      </w:r>
    </w:p>
    <w:p>
      <w:pPr>
        <w:pStyle w:val="69"/>
        <w:spacing w:line="36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图2</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镇海区2035年道路</w:t>
      </w:r>
      <w:r>
        <w:rPr>
          <w:color w:val="000000" w:themeColor="text1"/>
          <w:sz w:val="24"/>
          <w14:textFill>
            <w14:solidFill>
              <w14:schemeClr w14:val="tx1"/>
            </w14:solidFill>
          </w14:textFill>
        </w:rPr>
        <w:t>规划图</w:t>
      </w: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2.2.4电网规划</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规划至2</w:t>
      </w:r>
      <w:r>
        <w:rPr>
          <w:color w:val="000000" w:themeColor="text1"/>
          <w14:textFill>
            <w14:solidFill>
              <w14:schemeClr w14:val="tx1"/>
            </w14:solidFill>
          </w14:textFill>
        </w:rPr>
        <w:t>035</w:t>
      </w:r>
      <w:r>
        <w:rPr>
          <w:rFonts w:hint="eastAsia"/>
          <w:color w:val="000000" w:themeColor="text1"/>
          <w14:textFill>
            <w14:solidFill>
              <w14:schemeClr w14:val="tx1"/>
            </w14:solidFill>
          </w14:textFill>
        </w:rPr>
        <w:t>年，镇海区人均综合用电负荷指标</w:t>
      </w:r>
      <w:r>
        <w:rPr>
          <w:color w:val="000000" w:themeColor="text1"/>
          <w14:textFill>
            <w14:solidFill>
              <w14:schemeClr w14:val="tx1"/>
            </w14:solidFill>
          </w14:textFill>
        </w:rPr>
        <w:t>2.0千瓦/人</w:t>
      </w:r>
      <w:r>
        <w:rPr>
          <w:rFonts w:hint="eastAsia"/>
          <w:color w:val="000000" w:themeColor="text1"/>
          <w14:textFill>
            <w14:solidFill>
              <w14:schemeClr w14:val="tx1"/>
            </w14:solidFill>
          </w14:textFill>
        </w:rPr>
        <w:t>。公用负荷</w:t>
      </w:r>
      <w:r>
        <w:rPr>
          <w:color w:val="000000" w:themeColor="text1"/>
          <w14:textFill>
            <w14:solidFill>
              <w14:schemeClr w14:val="tx1"/>
            </w14:solidFill>
          </w14:textFill>
        </w:rPr>
        <w:t>130</w:t>
      </w:r>
      <w:r>
        <w:rPr>
          <w:rFonts w:hint="eastAsia"/>
          <w:color w:val="000000" w:themeColor="text1"/>
          <w14:textFill>
            <w14:solidFill>
              <w14:schemeClr w14:val="tx1"/>
            </w14:solidFill>
          </w14:textFill>
        </w:rPr>
        <w:t>万k</w:t>
      </w:r>
      <w:r>
        <w:rPr>
          <w:color w:val="000000" w:themeColor="text1"/>
          <w14:textFill>
            <w14:solidFill>
              <w14:schemeClr w14:val="tx1"/>
            </w14:solidFill>
          </w14:textFill>
        </w:rPr>
        <w:t>W</w:t>
      </w:r>
      <w:r>
        <w:rPr>
          <w:rFonts w:hint="eastAsia"/>
          <w:color w:val="000000" w:themeColor="text1"/>
          <w14:textFill>
            <w14:solidFill>
              <w14:schemeClr w14:val="tx1"/>
            </w14:solidFill>
          </w14:textFill>
        </w:rPr>
        <w:t>，大用户负荷</w:t>
      </w:r>
      <w:r>
        <w:rPr>
          <w:color w:val="000000" w:themeColor="text1"/>
          <w14:textFill>
            <w14:solidFill>
              <w14:schemeClr w14:val="tx1"/>
            </w14:solidFill>
          </w14:textFill>
        </w:rPr>
        <w:t>304</w:t>
      </w:r>
      <w:r>
        <w:rPr>
          <w:rFonts w:hint="eastAsia"/>
          <w:color w:val="000000" w:themeColor="text1"/>
          <w14:textFill>
            <w14:solidFill>
              <w14:schemeClr w14:val="tx1"/>
            </w14:solidFill>
          </w14:textFill>
        </w:rPr>
        <w:t>万k</w:t>
      </w:r>
      <w:r>
        <w:rPr>
          <w:color w:val="000000" w:themeColor="text1"/>
          <w14:textFill>
            <w14:solidFill>
              <w14:schemeClr w14:val="tx1"/>
            </w14:solidFill>
          </w14:textFill>
        </w:rPr>
        <w:t>W</w:t>
      </w:r>
      <w:r>
        <w:rPr>
          <w:rFonts w:hint="eastAsia"/>
          <w:color w:val="000000" w:themeColor="text1"/>
          <w14:textFill>
            <w14:solidFill>
              <w14:schemeClr w14:val="tx1"/>
            </w14:solidFill>
          </w14:textFill>
        </w:rPr>
        <w:t>。</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在电源方面，镇海区设置规模以上（燃煤燃气）常规电厂</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座，</w:t>
      </w:r>
      <w:r>
        <w:rPr>
          <w:color w:val="000000" w:themeColor="text1"/>
          <w14:textFill>
            <w14:solidFill>
              <w14:schemeClr w14:val="tx1"/>
            </w14:solidFill>
          </w14:textFill>
        </w:rPr>
        <w:t>分别为招宝山电厂、</w:t>
      </w:r>
      <w:r>
        <w:rPr>
          <w:rFonts w:hint="eastAsia"/>
          <w:color w:val="000000" w:themeColor="text1"/>
          <w14:textFill>
            <w14:solidFill>
              <w14:schemeClr w14:val="tx1"/>
            </w14:solidFill>
          </w14:textFill>
        </w:rPr>
        <w:t>新泓口电厂</w:t>
      </w:r>
      <w:r>
        <w:rPr>
          <w:color w:val="000000" w:themeColor="text1"/>
          <w14:textFill>
            <w14:solidFill>
              <w14:schemeClr w14:val="tx1"/>
            </w14:solidFill>
          </w14:textFill>
        </w:rPr>
        <w:t>和镇海电厂（9F燃气机组）</w:t>
      </w:r>
      <w:r>
        <w:rPr>
          <w:rFonts w:hint="eastAsia"/>
          <w:color w:val="000000" w:themeColor="text1"/>
          <w14:textFill>
            <w14:solidFill>
              <w14:schemeClr w14:val="tx1"/>
            </w14:solidFill>
          </w14:textFill>
        </w:rPr>
        <w:t>。在变电设施方面，镇海区规划设置5</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V</w:t>
      </w:r>
      <w:r>
        <w:rPr>
          <w:rFonts w:hint="eastAsia"/>
          <w:color w:val="000000" w:themeColor="text1"/>
          <w14:textFill>
            <w14:solidFill>
              <w14:schemeClr w14:val="tx1"/>
            </w14:solidFill>
          </w14:textFill>
        </w:rPr>
        <w:t>变电所</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座，扩建现状威远变，规划在</w:t>
      </w:r>
      <w:r>
        <w:rPr>
          <w:color w:val="000000" w:themeColor="text1"/>
          <w14:textFill>
            <w14:solidFill>
              <w14:schemeClr w14:val="tx1"/>
            </w14:solidFill>
          </w14:textFill>
        </w:rPr>
        <w:t>石化区</w:t>
      </w:r>
      <w:r>
        <w:rPr>
          <w:rFonts w:hint="eastAsia"/>
          <w:color w:val="000000" w:themeColor="text1"/>
          <w14:textFill>
            <w14:solidFill>
              <w14:schemeClr w14:val="tx1"/>
            </w14:solidFill>
          </w14:textFill>
        </w:rPr>
        <w:t>新建1座。设置</w:t>
      </w:r>
      <w:r>
        <w:rPr>
          <w:color w:val="000000" w:themeColor="text1"/>
          <w14:textFill>
            <w14:solidFill>
              <w14:schemeClr w14:val="tx1"/>
            </w14:solidFill>
          </w14:textFill>
        </w:rPr>
        <w:t>220kV变电站11座，设置110kV变电站40座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承担</w:t>
      </w:r>
      <w:r>
        <w:rPr>
          <w:rFonts w:hint="eastAsia"/>
          <w:color w:val="000000" w:themeColor="text1"/>
          <w14:textFill>
            <w14:solidFill>
              <w14:schemeClr w14:val="tx1"/>
            </w14:solidFill>
          </w14:textFill>
        </w:rPr>
        <w:t>区域</w:t>
      </w:r>
      <w:r>
        <w:rPr>
          <w:color w:val="000000" w:themeColor="text1"/>
          <w14:textFill>
            <w14:solidFill>
              <w14:schemeClr w14:val="tx1"/>
            </w14:solidFill>
          </w14:textFill>
        </w:rPr>
        <w:t>输送电能功能，实现分区供电，提高各个分区供电能力、区间互济能力、接纳电源能力</w:t>
      </w:r>
      <w:r>
        <w:rPr>
          <w:rFonts w:hint="eastAsia"/>
          <w:color w:val="000000" w:themeColor="text1"/>
          <w14:textFill>
            <w14:solidFill>
              <w14:schemeClr w14:val="tx1"/>
            </w14:solidFill>
          </w14:textFill>
        </w:rPr>
        <w:t>。“十四五”期间重点推进</w:t>
      </w:r>
      <w:r>
        <w:rPr>
          <w:color w:val="000000" w:themeColor="text1"/>
          <w14:textFill>
            <w14:solidFill>
              <w14:schemeClr w14:val="tx1"/>
            </w14:solidFill>
          </w14:textFill>
        </w:rPr>
        <w:t>220kV围涂变、220kV钟包变、110kV半路变、110kV骆驼变（迁建）、110kV岚山变以及110kV前陆变等变电站的建设。</w:t>
      </w:r>
    </w:p>
    <w:p>
      <w:pPr>
        <w:pStyle w:val="69"/>
        <w:spacing w:before="156"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129530" cy="31940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extLst>
                        <a:ext uri="{28A0092B-C50C-407E-A947-70E740481C1C}">
                          <a14:useLocalDpi xmlns:a14="http://schemas.microsoft.com/office/drawing/2010/main" val="0"/>
                        </a:ext>
                      </a:extLst>
                    </a:blip>
                    <a:srcRect l="1576" t="8911" r="1150" b="5485"/>
                    <a:stretch>
                      <a:fillRect/>
                    </a:stretch>
                  </pic:blipFill>
                  <pic:spPr>
                    <a:xfrm>
                      <a:off x="0" y="0"/>
                      <a:ext cx="5130489" cy="3194679"/>
                    </a:xfrm>
                    <a:prstGeom prst="rect">
                      <a:avLst/>
                    </a:prstGeom>
                    <a:ln>
                      <a:noFill/>
                    </a:ln>
                  </pic:spPr>
                </pic:pic>
              </a:graphicData>
            </a:graphic>
          </wp:inline>
        </w:drawing>
      </w:r>
    </w:p>
    <w:p>
      <w:pPr>
        <w:pStyle w:val="69"/>
        <w:spacing w:line="36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图2</w:t>
      </w:r>
      <w:r>
        <w:rPr>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镇海区</w:t>
      </w:r>
      <w:r>
        <w:rPr>
          <w:color w:val="000000" w:themeColor="text1"/>
          <w:sz w:val="24"/>
          <w14:textFill>
            <w14:solidFill>
              <w14:schemeClr w14:val="tx1"/>
            </w14:solidFill>
          </w14:textFill>
        </w:rPr>
        <w:t>2035</w:t>
      </w:r>
      <w:r>
        <w:rPr>
          <w:rFonts w:hint="eastAsia"/>
          <w:color w:val="000000" w:themeColor="text1"/>
          <w:sz w:val="24"/>
          <w14:textFill>
            <w14:solidFill>
              <w14:schemeClr w14:val="tx1"/>
            </w14:solidFill>
          </w14:textFill>
        </w:rPr>
        <w:t>年电力规划图</w:t>
      </w:r>
    </w:p>
    <w:p>
      <w:pPr>
        <w:widowControl/>
        <w:jc w:val="left"/>
        <w:rPr>
          <w:rFonts w:ascii="Times New Roman" w:hAnsi="Times New Roman" w:eastAsia="仿宋_GB2312" w:cs="Times New Roman"/>
          <w:color w:val="000000" w:themeColor="text1"/>
          <w:sz w:val="24"/>
          <w:szCs w:val="28"/>
          <w14:textFill>
            <w14:solidFill>
              <w14:schemeClr w14:val="tx1"/>
            </w14:solidFill>
          </w14:textFill>
        </w:rPr>
      </w:pPr>
      <w:r>
        <w:rPr>
          <w:color w:val="000000" w:themeColor="text1"/>
          <w:sz w:val="24"/>
          <w14:textFill>
            <w14:solidFill>
              <w14:schemeClr w14:val="tx1"/>
            </w14:solidFill>
          </w14:textFill>
        </w:rPr>
        <w:br w:type="page"/>
      </w:r>
    </w:p>
    <w:p>
      <w:pPr>
        <w:pStyle w:val="65"/>
        <w:numPr>
          <w:ilvl w:val="255"/>
          <w:numId w:val="0"/>
        </w:numPr>
        <w:rPr>
          <w:color w:val="000000" w:themeColor="text1"/>
          <w14:textFill>
            <w14:solidFill>
              <w14:schemeClr w14:val="tx1"/>
            </w14:solidFill>
          </w14:textFill>
        </w:rPr>
      </w:pPr>
      <w:bookmarkStart w:id="6" w:name="_Toc11543"/>
      <w:r>
        <w:rPr>
          <w:rFonts w:hint="eastAsia"/>
          <w:color w:val="000000" w:themeColor="text1"/>
          <w14:textFill>
            <w14:solidFill>
              <w14:schemeClr w14:val="tx1"/>
            </w14:solidFill>
          </w14:textFill>
        </w:rPr>
        <w:t>三、电动汽车及充电设施现状分析</w:t>
      </w:r>
      <w:bookmarkEnd w:id="6"/>
    </w:p>
    <w:p>
      <w:pPr>
        <w:pStyle w:val="66"/>
        <w:numPr>
          <w:ilvl w:val="255"/>
          <w:numId w:val="0"/>
        </w:numPr>
        <w:ind w:right="210"/>
        <w:rPr>
          <w:color w:val="000000" w:themeColor="text1"/>
          <w14:textFill>
            <w14:solidFill>
              <w14:schemeClr w14:val="tx1"/>
            </w14:solidFill>
          </w14:textFill>
        </w:rPr>
      </w:pPr>
      <w:bookmarkStart w:id="7" w:name="_Toc63016639"/>
      <w:bookmarkStart w:id="8" w:name="_Toc2459"/>
      <w:r>
        <w:rPr>
          <w:rFonts w:hint="eastAsia"/>
          <w:color w:val="000000" w:themeColor="text1"/>
          <w14:textFill>
            <w14:solidFill>
              <w14:schemeClr w14:val="tx1"/>
            </w14:solidFill>
          </w14:textFill>
        </w:rPr>
        <w:t>（一）区域电动汽车</w:t>
      </w:r>
      <w:bookmarkEnd w:id="7"/>
      <w:r>
        <w:rPr>
          <w:rFonts w:hint="eastAsia"/>
          <w:color w:val="000000" w:themeColor="text1"/>
          <w14:textFill>
            <w14:solidFill>
              <w14:schemeClr w14:val="tx1"/>
            </w14:solidFill>
          </w14:textFill>
        </w:rPr>
        <w:t>发展现状</w:t>
      </w:r>
      <w:bookmarkEnd w:id="8"/>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3.1.1私家车</w:t>
      </w:r>
    </w:p>
    <w:p>
      <w:pPr>
        <w:pStyle w:val="69"/>
        <w:ind w:firstLine="640"/>
        <w:rPr>
          <w:color w:val="000000" w:themeColor="text1"/>
          <w14:textFill>
            <w14:solidFill>
              <w14:schemeClr w14:val="tx1"/>
            </w14:solidFill>
          </w14:textFill>
        </w:rPr>
      </w:pPr>
      <w:r>
        <w:rPr>
          <w:color w:val="000000" w:themeColor="text1"/>
          <w14:textFill>
            <w14:solidFill>
              <w14:schemeClr w14:val="tx1"/>
            </w14:solidFill>
          </w14:textFill>
        </w:rPr>
        <w:t>截至2022年12月底，镇海区机动车保有量169821辆，其中</w:t>
      </w:r>
      <w:r>
        <w:rPr>
          <w:rFonts w:hint="eastAsia"/>
          <w:color w:val="000000" w:themeColor="text1"/>
          <w14:textFill>
            <w14:solidFill>
              <w14:schemeClr w14:val="tx1"/>
            </w14:solidFill>
          </w14:textFill>
        </w:rPr>
        <w:t>新能源8267</w:t>
      </w:r>
      <w:r>
        <w:rPr>
          <w:color w:val="000000" w:themeColor="text1"/>
          <w14:textFill>
            <w14:solidFill>
              <w14:schemeClr w14:val="tx1"/>
            </w14:solidFill>
          </w14:textFill>
        </w:rPr>
        <w:t>辆（</w:t>
      </w:r>
      <w:r>
        <w:rPr>
          <w:rFonts w:hint="eastAsia"/>
          <w:color w:val="000000" w:themeColor="text1"/>
          <w14:textFill>
            <w14:solidFill>
              <w14:schemeClr w14:val="tx1"/>
            </w14:solidFill>
          </w14:textFill>
        </w:rPr>
        <w:t>小车</w:t>
      </w:r>
      <w:r>
        <w:rPr>
          <w:color w:val="000000" w:themeColor="text1"/>
          <w14:textFill>
            <w14:solidFill>
              <w14:schemeClr w14:val="tx1"/>
            </w14:solidFill>
          </w14:textFill>
        </w:rPr>
        <w:t>7960</w:t>
      </w:r>
      <w:r>
        <w:rPr>
          <w:rFonts w:hint="eastAsia"/>
          <w:color w:val="000000" w:themeColor="text1"/>
          <w14:textFill>
            <w14:solidFill>
              <w14:schemeClr w14:val="tx1"/>
            </w14:solidFill>
          </w14:textFill>
        </w:rPr>
        <w:t>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燃油</w:t>
      </w:r>
      <w:r>
        <w:rPr>
          <w:color w:val="000000" w:themeColor="text1"/>
          <w14:textFill>
            <w14:solidFill>
              <w14:schemeClr w14:val="tx1"/>
            </w14:solidFill>
          </w14:textFill>
        </w:rPr>
        <w:t>车161554辆（</w:t>
      </w:r>
      <w:r>
        <w:rPr>
          <w:rFonts w:hint="eastAsia"/>
          <w:color w:val="000000" w:themeColor="text1"/>
          <w14:textFill>
            <w14:solidFill>
              <w14:schemeClr w14:val="tx1"/>
            </w14:solidFill>
          </w14:textFill>
        </w:rPr>
        <w:t>小车</w:t>
      </w:r>
      <w:r>
        <w:rPr>
          <w:color w:val="000000" w:themeColor="text1"/>
          <w14:textFill>
            <w14:solidFill>
              <w14:schemeClr w14:val="tx1"/>
            </w14:solidFill>
          </w14:textFill>
        </w:rPr>
        <w:t>155061</w:t>
      </w:r>
      <w:r>
        <w:rPr>
          <w:rFonts w:hint="eastAsia"/>
          <w:color w:val="000000" w:themeColor="text1"/>
          <w14:textFill>
            <w14:solidFill>
              <w14:schemeClr w14:val="tx1"/>
            </w14:solidFill>
          </w14:textFill>
        </w:rPr>
        <w:t>辆</w:t>
      </w:r>
      <w:r>
        <w:rPr>
          <w:color w:val="000000" w:themeColor="text1"/>
          <w14:textFill>
            <w14:solidFill>
              <w14:schemeClr w14:val="tx1"/>
            </w14:solidFill>
          </w14:textFill>
        </w:rPr>
        <w:t>）。</w:t>
      </w:r>
    </w:p>
    <w:p>
      <w:pPr>
        <w:pStyle w:val="69"/>
        <w:spacing w:before="156" w:line="240" w:lineRule="auto"/>
        <w:ind w:firstLine="198"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表</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镇海区</w:t>
      </w:r>
      <w:r>
        <w:rPr>
          <w:rFonts w:hint="eastAsia"/>
          <w:color w:val="000000" w:themeColor="text1"/>
          <w:sz w:val="24"/>
          <w14:textFill>
            <w14:solidFill>
              <w14:schemeClr w14:val="tx1"/>
            </w14:solidFill>
          </w14:textFill>
        </w:rPr>
        <w:t>现状电动</w:t>
      </w:r>
      <w:r>
        <w:rPr>
          <w:color w:val="000000" w:themeColor="text1"/>
          <w:sz w:val="24"/>
          <w14:textFill>
            <w14:solidFill>
              <w14:schemeClr w14:val="tx1"/>
            </w14:solidFill>
          </w14:textFill>
        </w:rPr>
        <w:t>汽车车辆历年保有量统计表</w:t>
      </w:r>
    </w:p>
    <w:tbl>
      <w:tblPr>
        <w:tblStyle w:val="3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869"/>
        <w:gridCol w:w="869"/>
        <w:gridCol w:w="871"/>
        <w:gridCol w:w="871"/>
        <w:gridCol w:w="1168"/>
        <w:gridCol w:w="1168"/>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restart"/>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年份</w:t>
            </w:r>
          </w:p>
        </w:tc>
        <w:tc>
          <w:tcPr>
            <w:tcW w:w="2609" w:type="dxa"/>
            <w:gridSpan w:val="3"/>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新能源/辆</w:t>
            </w:r>
          </w:p>
        </w:tc>
        <w:tc>
          <w:tcPr>
            <w:tcW w:w="3207" w:type="dxa"/>
            <w:gridSpan w:val="3"/>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油车</w:t>
            </w:r>
            <w:r>
              <w:rPr>
                <w:b/>
                <w:color w:val="000000" w:themeColor="text1"/>
                <w:sz w:val="24"/>
                <w14:textFill>
                  <w14:solidFill>
                    <w14:schemeClr w14:val="tx1"/>
                  </w14:solidFill>
                </w14:textFill>
              </w:rPr>
              <w:t>/辆</w:t>
            </w:r>
          </w:p>
        </w:tc>
        <w:tc>
          <w:tcPr>
            <w:tcW w:w="1166" w:type="dxa"/>
            <w:vMerge w:val="restart"/>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vAlign w:val="center"/>
          </w:tcPr>
          <w:p>
            <w:pPr>
              <w:pStyle w:val="69"/>
              <w:spacing w:line="240" w:lineRule="auto"/>
              <w:ind w:firstLine="0" w:firstLineChars="0"/>
              <w:jc w:val="center"/>
              <w:rPr>
                <w:b/>
                <w:color w:val="000000" w:themeColor="text1"/>
                <w:sz w:val="24"/>
                <w14:textFill>
                  <w14:solidFill>
                    <w14:schemeClr w14:val="tx1"/>
                  </w14:solidFill>
                </w14:textFill>
              </w:rPr>
            </w:pPr>
          </w:p>
        </w:tc>
        <w:tc>
          <w:tcPr>
            <w:tcW w:w="869" w:type="dxa"/>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大车</w:t>
            </w:r>
          </w:p>
        </w:tc>
        <w:tc>
          <w:tcPr>
            <w:tcW w:w="869" w:type="dxa"/>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小车</w:t>
            </w:r>
          </w:p>
        </w:tc>
        <w:tc>
          <w:tcPr>
            <w:tcW w:w="871" w:type="dxa"/>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总和</w:t>
            </w:r>
          </w:p>
        </w:tc>
        <w:tc>
          <w:tcPr>
            <w:tcW w:w="871" w:type="dxa"/>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大车</w:t>
            </w:r>
          </w:p>
        </w:tc>
        <w:tc>
          <w:tcPr>
            <w:tcW w:w="1168" w:type="dxa"/>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小车</w:t>
            </w:r>
          </w:p>
        </w:tc>
        <w:tc>
          <w:tcPr>
            <w:tcW w:w="1168" w:type="dxa"/>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总和</w:t>
            </w:r>
          </w:p>
        </w:tc>
        <w:tc>
          <w:tcPr>
            <w:tcW w:w="1166" w:type="dxa"/>
            <w:vMerge w:val="continue"/>
            <w:vAlign w:val="center"/>
          </w:tcPr>
          <w:p>
            <w:pPr>
              <w:pStyle w:val="69"/>
              <w:spacing w:line="240" w:lineRule="auto"/>
              <w:ind w:firstLine="0" w:firstLineChars="0"/>
              <w:jc w:val="center"/>
              <w:rPr>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2015</w:t>
            </w:r>
            <w:r>
              <w:rPr>
                <w:rFonts w:hint="eastAsia"/>
                <w:color w:val="000000" w:themeColor="text1"/>
                <w:sz w:val="24"/>
                <w14:textFill>
                  <w14:solidFill>
                    <w14:schemeClr w14:val="tx1"/>
                  </w14:solidFill>
                </w14:textFill>
              </w:rPr>
              <w:t>年末</w:t>
            </w:r>
          </w:p>
        </w:tc>
        <w:tc>
          <w:tcPr>
            <w:tcW w:w="869"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869"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87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87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3964</w:t>
            </w:r>
          </w:p>
        </w:tc>
        <w:tc>
          <w:tcPr>
            <w:tcW w:w="1168"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83537</w:t>
            </w:r>
          </w:p>
        </w:tc>
        <w:tc>
          <w:tcPr>
            <w:tcW w:w="1168"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87501</w:t>
            </w:r>
          </w:p>
        </w:tc>
        <w:tc>
          <w:tcPr>
            <w:tcW w:w="1166"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87501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2016</w:t>
            </w:r>
            <w:r>
              <w:rPr>
                <w:rFonts w:hint="eastAsia"/>
                <w:color w:val="000000" w:themeColor="text1"/>
                <w:sz w:val="24"/>
                <w14:textFill>
                  <w14:solidFill>
                    <w14:schemeClr w14:val="tx1"/>
                  </w14:solidFill>
                </w14:textFill>
              </w:rPr>
              <w:t>年末</w:t>
            </w:r>
          </w:p>
        </w:tc>
        <w:tc>
          <w:tcPr>
            <w:tcW w:w="869"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869"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87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87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4140</w:t>
            </w:r>
          </w:p>
        </w:tc>
        <w:tc>
          <w:tcPr>
            <w:tcW w:w="1168"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94946</w:t>
            </w:r>
          </w:p>
        </w:tc>
        <w:tc>
          <w:tcPr>
            <w:tcW w:w="1168"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99086</w:t>
            </w:r>
          </w:p>
        </w:tc>
        <w:tc>
          <w:tcPr>
            <w:tcW w:w="1166"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99086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2017</w:t>
            </w:r>
            <w:r>
              <w:rPr>
                <w:rFonts w:hint="eastAsia"/>
                <w:color w:val="000000" w:themeColor="text1"/>
                <w:sz w:val="24"/>
                <w14:textFill>
                  <w14:solidFill>
                    <w14:schemeClr w14:val="tx1"/>
                  </w14:solidFill>
                </w14:textFill>
              </w:rPr>
              <w:t>年末</w:t>
            </w:r>
          </w:p>
        </w:tc>
        <w:tc>
          <w:tcPr>
            <w:tcW w:w="869"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869"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87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87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4349</w:t>
            </w:r>
          </w:p>
        </w:tc>
        <w:tc>
          <w:tcPr>
            <w:tcW w:w="1168"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106166</w:t>
            </w:r>
          </w:p>
        </w:tc>
        <w:tc>
          <w:tcPr>
            <w:tcW w:w="1168"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110515</w:t>
            </w:r>
          </w:p>
        </w:tc>
        <w:tc>
          <w:tcPr>
            <w:tcW w:w="1166"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110515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2018</w:t>
            </w:r>
            <w:r>
              <w:rPr>
                <w:rFonts w:hint="eastAsia"/>
                <w:color w:val="000000" w:themeColor="text1"/>
                <w:sz w:val="24"/>
                <w14:textFill>
                  <w14:solidFill>
                    <w14:schemeClr w14:val="tx1"/>
                  </w14:solidFill>
                </w14:textFill>
              </w:rPr>
              <w:t>年末</w:t>
            </w:r>
          </w:p>
        </w:tc>
        <w:tc>
          <w:tcPr>
            <w:tcW w:w="869"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61</w:t>
            </w:r>
          </w:p>
        </w:tc>
        <w:tc>
          <w:tcPr>
            <w:tcW w:w="869"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254</w:t>
            </w:r>
          </w:p>
        </w:tc>
        <w:tc>
          <w:tcPr>
            <w:tcW w:w="87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315</w:t>
            </w:r>
          </w:p>
        </w:tc>
        <w:tc>
          <w:tcPr>
            <w:tcW w:w="87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4812</w:t>
            </w:r>
          </w:p>
        </w:tc>
        <w:tc>
          <w:tcPr>
            <w:tcW w:w="1168"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118415</w:t>
            </w:r>
          </w:p>
        </w:tc>
        <w:tc>
          <w:tcPr>
            <w:tcW w:w="1168"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123227</w:t>
            </w:r>
          </w:p>
        </w:tc>
        <w:tc>
          <w:tcPr>
            <w:tcW w:w="1166"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123542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2019</w:t>
            </w:r>
            <w:r>
              <w:rPr>
                <w:rFonts w:hint="eastAsia"/>
                <w:color w:val="000000" w:themeColor="text1"/>
                <w:sz w:val="24"/>
                <w14:textFill>
                  <w14:solidFill>
                    <w14:schemeClr w14:val="tx1"/>
                  </w14:solidFill>
                </w14:textFill>
              </w:rPr>
              <w:t>年末</w:t>
            </w:r>
          </w:p>
        </w:tc>
        <w:tc>
          <w:tcPr>
            <w:tcW w:w="869"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152</w:t>
            </w:r>
          </w:p>
        </w:tc>
        <w:tc>
          <w:tcPr>
            <w:tcW w:w="869"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1256</w:t>
            </w:r>
          </w:p>
        </w:tc>
        <w:tc>
          <w:tcPr>
            <w:tcW w:w="87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1408</w:t>
            </w:r>
          </w:p>
        </w:tc>
        <w:tc>
          <w:tcPr>
            <w:tcW w:w="87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5012</w:t>
            </w:r>
          </w:p>
        </w:tc>
        <w:tc>
          <w:tcPr>
            <w:tcW w:w="1168"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130049</w:t>
            </w:r>
          </w:p>
        </w:tc>
        <w:tc>
          <w:tcPr>
            <w:tcW w:w="1168"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135061</w:t>
            </w:r>
          </w:p>
        </w:tc>
        <w:tc>
          <w:tcPr>
            <w:tcW w:w="1166"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136469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2020</w:t>
            </w:r>
            <w:r>
              <w:rPr>
                <w:rFonts w:hint="eastAsia"/>
                <w:color w:val="000000" w:themeColor="text1"/>
                <w:sz w:val="24"/>
                <w14:textFill>
                  <w14:solidFill>
                    <w14:schemeClr w14:val="tx1"/>
                  </w14:solidFill>
                </w14:textFill>
              </w:rPr>
              <w:t>年末</w:t>
            </w:r>
          </w:p>
        </w:tc>
        <w:tc>
          <w:tcPr>
            <w:tcW w:w="869"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238</w:t>
            </w:r>
          </w:p>
        </w:tc>
        <w:tc>
          <w:tcPr>
            <w:tcW w:w="869"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2049</w:t>
            </w:r>
          </w:p>
        </w:tc>
        <w:tc>
          <w:tcPr>
            <w:tcW w:w="87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2287</w:t>
            </w:r>
          </w:p>
        </w:tc>
        <w:tc>
          <w:tcPr>
            <w:tcW w:w="87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5394</w:t>
            </w:r>
          </w:p>
        </w:tc>
        <w:tc>
          <w:tcPr>
            <w:tcW w:w="1168"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141118</w:t>
            </w:r>
          </w:p>
        </w:tc>
        <w:tc>
          <w:tcPr>
            <w:tcW w:w="1168"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146512</w:t>
            </w:r>
          </w:p>
        </w:tc>
        <w:tc>
          <w:tcPr>
            <w:tcW w:w="1166"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148799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2021</w:t>
            </w:r>
            <w:r>
              <w:rPr>
                <w:rFonts w:hint="eastAsia"/>
                <w:color w:val="000000" w:themeColor="text1"/>
                <w:sz w:val="24"/>
                <w14:textFill>
                  <w14:solidFill>
                    <w14:schemeClr w14:val="tx1"/>
                  </w14:solidFill>
                </w14:textFill>
              </w:rPr>
              <w:t>年末</w:t>
            </w:r>
          </w:p>
        </w:tc>
        <w:tc>
          <w:tcPr>
            <w:tcW w:w="869"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287</w:t>
            </w:r>
          </w:p>
        </w:tc>
        <w:tc>
          <w:tcPr>
            <w:tcW w:w="869"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3732</w:t>
            </w:r>
          </w:p>
        </w:tc>
        <w:tc>
          <w:tcPr>
            <w:tcW w:w="87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4019</w:t>
            </w:r>
          </w:p>
        </w:tc>
        <w:tc>
          <w:tcPr>
            <w:tcW w:w="87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6280</w:t>
            </w:r>
          </w:p>
        </w:tc>
        <w:tc>
          <w:tcPr>
            <w:tcW w:w="1168"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149443</w:t>
            </w:r>
          </w:p>
        </w:tc>
        <w:tc>
          <w:tcPr>
            <w:tcW w:w="1168"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155723</w:t>
            </w:r>
          </w:p>
        </w:tc>
        <w:tc>
          <w:tcPr>
            <w:tcW w:w="1166"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159742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2022</w:t>
            </w:r>
            <w:r>
              <w:rPr>
                <w:rFonts w:hint="eastAsia"/>
                <w:color w:val="000000" w:themeColor="text1"/>
                <w:sz w:val="24"/>
                <w14:textFill>
                  <w14:solidFill>
                    <w14:schemeClr w14:val="tx1"/>
                  </w14:solidFill>
                </w14:textFill>
              </w:rPr>
              <w:t>年末</w:t>
            </w:r>
          </w:p>
        </w:tc>
        <w:tc>
          <w:tcPr>
            <w:tcW w:w="869"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307</w:t>
            </w:r>
          </w:p>
        </w:tc>
        <w:tc>
          <w:tcPr>
            <w:tcW w:w="869"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7960</w:t>
            </w:r>
          </w:p>
        </w:tc>
        <w:tc>
          <w:tcPr>
            <w:tcW w:w="87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8267</w:t>
            </w:r>
          </w:p>
        </w:tc>
        <w:tc>
          <w:tcPr>
            <w:tcW w:w="87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6493</w:t>
            </w:r>
          </w:p>
        </w:tc>
        <w:tc>
          <w:tcPr>
            <w:tcW w:w="1168"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155061</w:t>
            </w:r>
          </w:p>
        </w:tc>
        <w:tc>
          <w:tcPr>
            <w:tcW w:w="1168"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161554</w:t>
            </w:r>
          </w:p>
        </w:tc>
        <w:tc>
          <w:tcPr>
            <w:tcW w:w="1166"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169821</w:t>
            </w:r>
          </w:p>
        </w:tc>
      </w:tr>
    </w:tbl>
    <w:p>
      <w:pPr>
        <w:pStyle w:val="69"/>
        <w:spacing w:line="360" w:lineRule="auto"/>
        <w:ind w:firstLine="440"/>
        <w:jc w:val="center"/>
        <w:rPr>
          <w:color w:val="000000" w:themeColor="text1"/>
          <w:sz w:val="22"/>
          <w14:textFill>
            <w14:solidFill>
              <w14:schemeClr w14:val="tx1"/>
            </w14:solidFill>
          </w14:textFill>
        </w:rPr>
      </w:pPr>
    </w:p>
    <w:p>
      <w:pPr>
        <w:pStyle w:val="69"/>
        <w:spacing w:line="360" w:lineRule="auto"/>
        <w:ind w:firstLine="640"/>
        <w:jc w:val="center"/>
        <w:rPr>
          <w:color w:val="000000" w:themeColor="text1"/>
          <w:sz w:val="28"/>
          <w14:textFill>
            <w14:solidFill>
              <w14:schemeClr w14:val="tx1"/>
            </w14:solidFill>
          </w14:textFill>
        </w:rPr>
      </w:pPr>
      <w:r>
        <w:rPr>
          <w:color w:val="000000" w:themeColor="text1"/>
          <w14:textFill>
            <w14:solidFill>
              <w14:schemeClr w14:val="tx1"/>
            </w14:solidFill>
          </w14:textFill>
        </w:rPr>
        <w:drawing>
          <wp:inline distT="0" distB="0" distL="0" distR="0">
            <wp:extent cx="4572000" cy="2743200"/>
            <wp:effectExtent l="4445" t="4445" r="14605" b="14605"/>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69"/>
        <w:spacing w:line="36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图</w:t>
      </w:r>
      <w:r>
        <w:rPr>
          <w:color w:val="000000" w:themeColor="text1"/>
          <w:sz w:val="24"/>
          <w14:textFill>
            <w14:solidFill>
              <w14:schemeClr w14:val="tx1"/>
            </w14:solidFill>
          </w14:textFill>
        </w:rPr>
        <w:t>3-1</w:t>
      </w:r>
      <w:r>
        <w:rPr>
          <w:rFonts w:hint="eastAsia"/>
          <w:color w:val="000000" w:themeColor="text1"/>
          <w:sz w:val="24"/>
          <w14:textFill>
            <w14:solidFill>
              <w14:schemeClr w14:val="tx1"/>
            </w14:solidFill>
          </w14:textFill>
        </w:rPr>
        <w:t>镇海区现状</w:t>
      </w:r>
      <w:r>
        <w:rPr>
          <w:color w:val="000000" w:themeColor="text1"/>
          <w:sz w:val="24"/>
          <w14:textFill>
            <w14:solidFill>
              <w14:schemeClr w14:val="tx1"/>
            </w14:solidFill>
          </w14:textFill>
        </w:rPr>
        <w:t>机动车保有总量年增长分析图</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对机动车增长率进行分析，油车</w:t>
      </w:r>
      <w:r>
        <w:rPr>
          <w:color w:val="000000" w:themeColor="text1"/>
          <w14:textFill>
            <w14:solidFill>
              <w14:schemeClr w14:val="tx1"/>
            </w14:solidFill>
          </w14:textFill>
        </w:rPr>
        <w:t>及机动车总量增长率</w:t>
      </w:r>
      <w:r>
        <w:rPr>
          <w:rFonts w:hint="eastAsia"/>
          <w:color w:val="000000" w:themeColor="text1"/>
          <w14:textFill>
            <w14:solidFill>
              <w14:schemeClr w14:val="tx1"/>
            </w14:solidFill>
          </w14:textFill>
        </w:rPr>
        <w:t>变化</w:t>
      </w:r>
      <w:r>
        <w:rPr>
          <w:color w:val="000000" w:themeColor="text1"/>
          <w14:textFill>
            <w14:solidFill>
              <w14:schemeClr w14:val="tx1"/>
            </w14:solidFill>
          </w14:textFill>
        </w:rPr>
        <w:t>基本为逐年稳定下降，</w:t>
      </w:r>
      <w:r>
        <w:rPr>
          <w:rFonts w:hint="eastAsia"/>
          <w:color w:val="000000" w:themeColor="text1"/>
          <w14:textFill>
            <w14:solidFill>
              <w14:schemeClr w14:val="tx1"/>
            </w14:solidFill>
          </w14:textFill>
        </w:rPr>
        <w:t>电动</w:t>
      </w:r>
      <w:r>
        <w:rPr>
          <w:color w:val="000000" w:themeColor="text1"/>
          <w14:textFill>
            <w14:solidFill>
              <w14:schemeClr w14:val="tx1"/>
            </w14:solidFill>
          </w14:textFill>
        </w:rPr>
        <w:t>汽车</w:t>
      </w:r>
      <w:r>
        <w:rPr>
          <w:rFonts w:hint="eastAsia"/>
          <w:color w:val="000000" w:themeColor="text1"/>
          <w14:textFill>
            <w14:solidFill>
              <w14:schemeClr w14:val="tx1"/>
            </w14:solidFill>
          </w14:textFill>
        </w:rPr>
        <w:t>增长率</w:t>
      </w:r>
      <w:r>
        <w:rPr>
          <w:color w:val="000000" w:themeColor="text1"/>
          <w14:textFill>
            <w14:solidFill>
              <w14:schemeClr w14:val="tx1"/>
            </w14:solidFill>
          </w14:textFill>
        </w:rPr>
        <w:t>变化明显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对几个变化异常段进行分析</w:t>
      </w:r>
      <w:r>
        <w:rPr>
          <w:rFonts w:hint="eastAsia"/>
          <w:color w:val="000000" w:themeColor="text1"/>
          <w14:textFill>
            <w14:solidFill>
              <w14:schemeClr w14:val="tx1"/>
            </w14:solidFill>
          </w14:textFill>
        </w:rPr>
        <w:t>：</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（1）2019年</w:t>
      </w:r>
      <w:r>
        <w:rPr>
          <w:color w:val="000000" w:themeColor="text1"/>
          <w14:textFill>
            <w14:solidFill>
              <w14:schemeClr w14:val="tx1"/>
            </w14:solidFill>
          </w14:textFill>
        </w:rPr>
        <w:t>末增长率陡增陡</w:t>
      </w:r>
      <w:r>
        <w:rPr>
          <w:rFonts w:hint="eastAsia"/>
          <w:color w:val="000000" w:themeColor="text1"/>
          <w14:textFill>
            <w14:solidFill>
              <w14:schemeClr w14:val="tx1"/>
            </w14:solidFill>
          </w14:textFill>
        </w:rPr>
        <w:t>降，主要</w:t>
      </w:r>
      <w:r>
        <w:rPr>
          <w:color w:val="000000" w:themeColor="text1"/>
          <w14:textFill>
            <w14:solidFill>
              <w14:schemeClr w14:val="tx1"/>
            </w14:solidFill>
          </w14:textFill>
        </w:rPr>
        <w:t>原因为</w:t>
      </w:r>
      <w:r>
        <w:rPr>
          <w:rFonts w:hint="eastAsia"/>
          <w:color w:val="000000" w:themeColor="text1"/>
          <w14:textFill>
            <w14:solidFill>
              <w14:schemeClr w14:val="tx1"/>
            </w14:solidFill>
          </w14:textFill>
        </w:rPr>
        <w:t>电动汽车普及初期，基数小，发展不稳定，增长率增降显著；</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（2）2022年</w:t>
      </w:r>
      <w:r>
        <w:rPr>
          <w:color w:val="000000" w:themeColor="text1"/>
          <w14:textFill>
            <w14:solidFill>
              <w14:schemeClr w14:val="tx1"/>
            </w14:solidFill>
          </w14:textFill>
        </w:rPr>
        <w:t>末增长率出</w:t>
      </w:r>
      <w:r>
        <w:rPr>
          <w:rFonts w:hint="eastAsia"/>
          <w:color w:val="000000" w:themeColor="text1"/>
          <w14:textFill>
            <w14:solidFill>
              <w14:schemeClr w14:val="tx1"/>
            </w14:solidFill>
          </w14:textFill>
        </w:rPr>
        <w:t>现</w:t>
      </w:r>
      <w:r>
        <w:rPr>
          <w:color w:val="000000" w:themeColor="text1"/>
          <w14:textFill>
            <w14:solidFill>
              <w14:schemeClr w14:val="tx1"/>
            </w14:solidFill>
          </w14:textFill>
        </w:rPr>
        <w:t>一个小高峰的增</w:t>
      </w:r>
      <w:r>
        <w:rPr>
          <w:rFonts w:hint="eastAsia"/>
          <w:color w:val="000000" w:themeColor="text1"/>
          <w14:textFill>
            <w14:solidFill>
              <w14:schemeClr w14:val="tx1"/>
            </w14:solidFill>
          </w14:textFill>
        </w:rPr>
        <w:t>降</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受</w:t>
      </w:r>
      <w:r>
        <w:rPr>
          <w:rFonts w:hint="eastAsia"/>
          <w:color w:val="000000" w:themeColor="text1"/>
          <w14:textFill>
            <w14:solidFill>
              <w14:schemeClr w14:val="tx1"/>
            </w14:solidFill>
          </w14:textFill>
        </w:rPr>
        <w:t>电动汽车购买补贴政策影响</w:t>
      </w:r>
      <w:r>
        <w:rPr>
          <w:color w:val="000000" w:themeColor="text1"/>
          <w14:textFill>
            <w14:solidFill>
              <w14:schemeClr w14:val="tx1"/>
            </w14:solidFill>
          </w14:textFill>
        </w:rPr>
        <w:t>；</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w:t>
      </w:r>
      <w:r>
        <w:rPr>
          <w:color w:val="000000" w:themeColor="text1"/>
          <w:sz w:val="24"/>
          <w14:textFill>
            <w14:solidFill>
              <w14:schemeClr w14:val="tx1"/>
            </w14:solidFill>
          </w14:textFill>
        </w:rPr>
        <w:t>3-2镇海区</w:t>
      </w:r>
      <w:r>
        <w:rPr>
          <w:rFonts w:hint="eastAsia"/>
          <w:color w:val="000000" w:themeColor="text1"/>
          <w:sz w:val="24"/>
          <w14:textFill>
            <w14:solidFill>
              <w14:schemeClr w14:val="tx1"/>
            </w14:solidFill>
          </w14:textFill>
        </w:rPr>
        <w:t>现状电动汽车</w:t>
      </w:r>
      <w:r>
        <w:rPr>
          <w:color w:val="000000" w:themeColor="text1"/>
          <w:sz w:val="24"/>
          <w14:textFill>
            <w14:solidFill>
              <w14:schemeClr w14:val="tx1"/>
            </w14:solidFill>
          </w14:textFill>
        </w:rPr>
        <w:t>车辆历年保有量</w:t>
      </w:r>
      <w:r>
        <w:rPr>
          <w:rFonts w:hint="eastAsia"/>
          <w:color w:val="000000" w:themeColor="text1"/>
          <w:sz w:val="24"/>
          <w14:textFill>
            <w14:solidFill>
              <w14:schemeClr w14:val="tx1"/>
            </w14:solidFill>
          </w14:textFill>
        </w:rPr>
        <w:t>增长率</w:t>
      </w:r>
      <w:r>
        <w:rPr>
          <w:color w:val="000000" w:themeColor="text1"/>
          <w:sz w:val="24"/>
          <w14:textFill>
            <w14:solidFill>
              <w14:schemeClr w14:val="tx1"/>
            </w14:solidFill>
          </w14:textFill>
        </w:rPr>
        <w:t>统计表</w:t>
      </w:r>
    </w:p>
    <w:tbl>
      <w:tblPr>
        <w:tblStyle w:val="3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107"/>
        <w:gridCol w:w="1106"/>
        <w:gridCol w:w="1106"/>
        <w:gridCol w:w="983"/>
        <w:gridCol w:w="983"/>
        <w:gridCol w:w="983"/>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2" w:type="dxa"/>
            <w:vMerge w:val="restart"/>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年份</w:t>
            </w:r>
          </w:p>
        </w:tc>
        <w:tc>
          <w:tcPr>
            <w:tcW w:w="3319" w:type="dxa"/>
            <w:gridSpan w:val="3"/>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新能源/辆</w:t>
            </w:r>
          </w:p>
        </w:tc>
        <w:tc>
          <w:tcPr>
            <w:tcW w:w="2949" w:type="dxa"/>
            <w:gridSpan w:val="3"/>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油车</w:t>
            </w:r>
            <w:r>
              <w:rPr>
                <w:b/>
                <w:color w:val="000000" w:themeColor="text1"/>
                <w:sz w:val="24"/>
                <w14:textFill>
                  <w14:solidFill>
                    <w14:schemeClr w14:val="tx1"/>
                  </w14:solidFill>
                </w14:textFill>
              </w:rPr>
              <w:t>/辆</w:t>
            </w:r>
          </w:p>
        </w:tc>
        <w:tc>
          <w:tcPr>
            <w:tcW w:w="982" w:type="dxa"/>
            <w:vMerge w:val="restart"/>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2" w:type="dxa"/>
            <w:vMerge w:val="continue"/>
            <w:vAlign w:val="center"/>
          </w:tcPr>
          <w:p>
            <w:pPr>
              <w:pStyle w:val="69"/>
              <w:spacing w:line="240" w:lineRule="auto"/>
              <w:ind w:firstLine="0" w:firstLineChars="0"/>
              <w:jc w:val="center"/>
              <w:rPr>
                <w:color w:val="000000" w:themeColor="text1"/>
                <w:sz w:val="24"/>
                <w14:textFill>
                  <w14:solidFill>
                    <w14:schemeClr w14:val="tx1"/>
                  </w14:solidFill>
                </w14:textFill>
              </w:rPr>
            </w:pPr>
          </w:p>
        </w:tc>
        <w:tc>
          <w:tcPr>
            <w:tcW w:w="1107"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大车</w:t>
            </w:r>
          </w:p>
        </w:tc>
        <w:tc>
          <w:tcPr>
            <w:tcW w:w="1106"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小车</w:t>
            </w:r>
          </w:p>
        </w:tc>
        <w:tc>
          <w:tcPr>
            <w:tcW w:w="1106"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总和</w:t>
            </w:r>
          </w:p>
        </w:tc>
        <w:tc>
          <w:tcPr>
            <w:tcW w:w="983"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大车</w:t>
            </w:r>
          </w:p>
        </w:tc>
        <w:tc>
          <w:tcPr>
            <w:tcW w:w="983"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小车</w:t>
            </w:r>
          </w:p>
        </w:tc>
        <w:tc>
          <w:tcPr>
            <w:tcW w:w="983"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总和</w:t>
            </w:r>
          </w:p>
        </w:tc>
        <w:tc>
          <w:tcPr>
            <w:tcW w:w="982" w:type="dxa"/>
            <w:vMerge w:val="continue"/>
            <w:vAlign w:val="center"/>
          </w:tcPr>
          <w:p>
            <w:pPr>
              <w:pStyle w:val="69"/>
              <w:spacing w:line="240" w:lineRule="auto"/>
              <w:ind w:firstLine="0" w:firstLineChars="0"/>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2" w:type="dxa"/>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2015</w:t>
            </w:r>
            <w:r>
              <w:rPr>
                <w:rFonts w:hint="eastAsia"/>
                <w:color w:val="000000" w:themeColor="text1"/>
                <w:sz w:val="24"/>
                <w14:textFill>
                  <w14:solidFill>
                    <w14:schemeClr w14:val="tx1"/>
                  </w14:solidFill>
                </w14:textFill>
              </w:rPr>
              <w:t>年末</w:t>
            </w:r>
          </w:p>
        </w:tc>
        <w:tc>
          <w:tcPr>
            <w:tcW w:w="1107"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110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110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982"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2" w:type="dxa"/>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2016</w:t>
            </w:r>
            <w:r>
              <w:rPr>
                <w:rFonts w:hint="eastAsia"/>
                <w:color w:val="000000" w:themeColor="text1"/>
                <w:sz w:val="24"/>
                <w14:textFill>
                  <w14:solidFill>
                    <w14:schemeClr w14:val="tx1"/>
                  </w14:solidFill>
                </w14:textFill>
              </w:rPr>
              <w:t>年末</w:t>
            </w:r>
          </w:p>
        </w:tc>
        <w:tc>
          <w:tcPr>
            <w:tcW w:w="1107"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110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110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4.44%</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13.66%</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13.24%</w:t>
            </w:r>
          </w:p>
        </w:tc>
        <w:tc>
          <w:tcPr>
            <w:tcW w:w="982"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2" w:type="dxa"/>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2017</w:t>
            </w:r>
            <w:r>
              <w:rPr>
                <w:rFonts w:hint="eastAsia"/>
                <w:color w:val="000000" w:themeColor="text1"/>
                <w:sz w:val="24"/>
                <w14:textFill>
                  <w14:solidFill>
                    <w14:schemeClr w14:val="tx1"/>
                  </w14:solidFill>
                </w14:textFill>
              </w:rPr>
              <w:t>年末</w:t>
            </w:r>
          </w:p>
        </w:tc>
        <w:tc>
          <w:tcPr>
            <w:tcW w:w="1107"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110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110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5.05%</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11.82%</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11.53%</w:t>
            </w:r>
          </w:p>
        </w:tc>
        <w:tc>
          <w:tcPr>
            <w:tcW w:w="982"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2" w:type="dxa"/>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2018</w:t>
            </w:r>
            <w:r>
              <w:rPr>
                <w:rFonts w:hint="eastAsia"/>
                <w:color w:val="000000" w:themeColor="text1"/>
                <w:sz w:val="24"/>
                <w14:textFill>
                  <w14:solidFill>
                    <w14:schemeClr w14:val="tx1"/>
                  </w14:solidFill>
                </w14:textFill>
              </w:rPr>
              <w:t>年末</w:t>
            </w:r>
          </w:p>
        </w:tc>
        <w:tc>
          <w:tcPr>
            <w:tcW w:w="1107"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110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110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10.65%</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11.54%</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11.50%</w:t>
            </w:r>
          </w:p>
        </w:tc>
        <w:tc>
          <w:tcPr>
            <w:tcW w:w="982"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2" w:type="dxa"/>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2019</w:t>
            </w:r>
            <w:r>
              <w:rPr>
                <w:rFonts w:hint="eastAsia"/>
                <w:color w:val="000000" w:themeColor="text1"/>
                <w:sz w:val="24"/>
                <w14:textFill>
                  <w14:solidFill>
                    <w14:schemeClr w14:val="tx1"/>
                  </w14:solidFill>
                </w14:textFill>
              </w:rPr>
              <w:t>年末</w:t>
            </w:r>
          </w:p>
        </w:tc>
        <w:tc>
          <w:tcPr>
            <w:tcW w:w="1107"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149.18%</w:t>
            </w:r>
          </w:p>
        </w:tc>
        <w:tc>
          <w:tcPr>
            <w:tcW w:w="110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394.49%</w:t>
            </w:r>
          </w:p>
        </w:tc>
        <w:tc>
          <w:tcPr>
            <w:tcW w:w="110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346.98%</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4.16%</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9.82%</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9.60%</w:t>
            </w:r>
          </w:p>
        </w:tc>
        <w:tc>
          <w:tcPr>
            <w:tcW w:w="982"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2" w:type="dxa"/>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2020</w:t>
            </w:r>
            <w:r>
              <w:rPr>
                <w:rFonts w:hint="eastAsia"/>
                <w:color w:val="000000" w:themeColor="text1"/>
                <w:sz w:val="24"/>
                <w14:textFill>
                  <w14:solidFill>
                    <w14:schemeClr w14:val="tx1"/>
                  </w14:solidFill>
                </w14:textFill>
              </w:rPr>
              <w:t>年末</w:t>
            </w:r>
          </w:p>
        </w:tc>
        <w:tc>
          <w:tcPr>
            <w:tcW w:w="1107"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56.58%</w:t>
            </w:r>
          </w:p>
        </w:tc>
        <w:tc>
          <w:tcPr>
            <w:tcW w:w="110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63.14%</w:t>
            </w:r>
          </w:p>
        </w:tc>
        <w:tc>
          <w:tcPr>
            <w:tcW w:w="110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62.43%</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7.62%</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8.51%</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8.48%</w:t>
            </w:r>
          </w:p>
        </w:tc>
        <w:tc>
          <w:tcPr>
            <w:tcW w:w="982"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2" w:type="dxa"/>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2021</w:t>
            </w:r>
            <w:r>
              <w:rPr>
                <w:rFonts w:hint="eastAsia"/>
                <w:color w:val="000000" w:themeColor="text1"/>
                <w:sz w:val="24"/>
                <w14:textFill>
                  <w14:solidFill>
                    <w14:schemeClr w14:val="tx1"/>
                  </w14:solidFill>
                </w14:textFill>
              </w:rPr>
              <w:t>年末</w:t>
            </w:r>
          </w:p>
        </w:tc>
        <w:tc>
          <w:tcPr>
            <w:tcW w:w="1107"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20.59%</w:t>
            </w:r>
          </w:p>
        </w:tc>
        <w:tc>
          <w:tcPr>
            <w:tcW w:w="110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82.14%</w:t>
            </w:r>
          </w:p>
        </w:tc>
        <w:tc>
          <w:tcPr>
            <w:tcW w:w="110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75.73%</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16.43%</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5.90%</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6.29%</w:t>
            </w:r>
          </w:p>
        </w:tc>
        <w:tc>
          <w:tcPr>
            <w:tcW w:w="982"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2" w:type="dxa"/>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2022</w:t>
            </w:r>
            <w:r>
              <w:rPr>
                <w:rFonts w:hint="eastAsia"/>
                <w:color w:val="000000" w:themeColor="text1"/>
                <w:sz w:val="24"/>
                <w14:textFill>
                  <w14:solidFill>
                    <w14:schemeClr w14:val="tx1"/>
                  </w14:solidFill>
                </w14:textFill>
              </w:rPr>
              <w:t>年末</w:t>
            </w:r>
          </w:p>
        </w:tc>
        <w:tc>
          <w:tcPr>
            <w:tcW w:w="1107"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6.97%</w:t>
            </w:r>
          </w:p>
        </w:tc>
        <w:tc>
          <w:tcPr>
            <w:tcW w:w="110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113.29%</w:t>
            </w:r>
          </w:p>
        </w:tc>
        <w:tc>
          <w:tcPr>
            <w:tcW w:w="110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105.70%</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3.39%</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3.76%</w:t>
            </w:r>
          </w:p>
        </w:tc>
        <w:tc>
          <w:tcPr>
            <w:tcW w:w="98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3.74%</w:t>
            </w:r>
          </w:p>
        </w:tc>
        <w:tc>
          <w:tcPr>
            <w:tcW w:w="982"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6.31%</w:t>
            </w:r>
          </w:p>
        </w:tc>
      </w:tr>
    </w:tbl>
    <w:p>
      <w:pPr>
        <w:pStyle w:val="69"/>
        <w:spacing w:line="360" w:lineRule="auto"/>
        <w:ind w:firstLine="260"/>
        <w:rPr>
          <w:color w:val="000000" w:themeColor="text1"/>
          <w:sz w:val="13"/>
          <w14:textFill>
            <w14:solidFill>
              <w14:schemeClr w14:val="tx1"/>
            </w14:solidFill>
          </w14:textFill>
        </w:rPr>
      </w:pPr>
    </w:p>
    <w:p>
      <w:pPr>
        <w:pStyle w:val="69"/>
        <w:spacing w:line="360" w:lineRule="auto"/>
        <w:ind w:firstLine="640"/>
        <w:jc w:val="center"/>
        <w:rPr>
          <w:color w:val="000000" w:themeColor="text1"/>
          <w:sz w:val="28"/>
          <w14:textFill>
            <w14:solidFill>
              <w14:schemeClr w14:val="tx1"/>
            </w14:solidFill>
          </w14:textFill>
        </w:rPr>
      </w:pPr>
      <w:r>
        <w:rPr>
          <w:color w:val="000000" w:themeColor="text1"/>
          <w14:textFill>
            <w14:solidFill>
              <w14:schemeClr w14:val="tx1"/>
            </w14:solidFill>
          </w14:textFill>
        </w:rPr>
        <w:drawing>
          <wp:inline distT="0" distB="0" distL="0" distR="0">
            <wp:extent cx="4116705" cy="2469515"/>
            <wp:effectExtent l="0" t="0" r="17145" b="6985"/>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69"/>
        <w:spacing w:line="36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图</w:t>
      </w:r>
      <w:r>
        <w:rPr>
          <w:color w:val="000000" w:themeColor="text1"/>
          <w:sz w:val="24"/>
          <w14:textFill>
            <w14:solidFill>
              <w14:schemeClr w14:val="tx1"/>
            </w14:solidFill>
          </w14:textFill>
        </w:rPr>
        <w:t>3-2</w:t>
      </w:r>
      <w:r>
        <w:rPr>
          <w:rFonts w:hint="eastAsia"/>
          <w:color w:val="000000" w:themeColor="text1"/>
          <w:sz w:val="24"/>
          <w14:textFill>
            <w14:solidFill>
              <w14:schemeClr w14:val="tx1"/>
            </w14:solidFill>
          </w14:textFill>
        </w:rPr>
        <w:t>镇海区</w:t>
      </w:r>
      <w:r>
        <w:rPr>
          <w:color w:val="000000" w:themeColor="text1"/>
          <w:sz w:val="24"/>
          <w14:textFill>
            <w14:solidFill>
              <w14:schemeClr w14:val="tx1"/>
            </w14:solidFill>
          </w14:textFill>
        </w:rPr>
        <w:t>现状电动</w:t>
      </w:r>
      <w:r>
        <w:rPr>
          <w:rFonts w:hint="eastAsia"/>
          <w:color w:val="000000" w:themeColor="text1"/>
          <w:sz w:val="24"/>
          <w14:textFill>
            <w14:solidFill>
              <w14:schemeClr w14:val="tx1"/>
            </w14:solidFill>
          </w14:textFill>
        </w:rPr>
        <w:t>汽</w:t>
      </w:r>
      <w:r>
        <w:rPr>
          <w:color w:val="000000" w:themeColor="text1"/>
          <w:sz w:val="24"/>
          <w14:textFill>
            <w14:solidFill>
              <w14:schemeClr w14:val="tx1"/>
            </w14:solidFill>
          </w14:textFill>
        </w:rPr>
        <w:t>车保有量年增长率分析图</w:t>
      </w: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2.2.3停车场规划</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目前，镇海区尚未做停车专项规划，区国土空间规划中也尚未明确停车场相关规划内容。因此，对现状停车场进行排摸，按公共停车场、配建停车场进行分类。</w:t>
      </w:r>
      <w:r>
        <w:rPr>
          <w:color w:val="000000" w:themeColor="text1"/>
          <w14:textFill>
            <w14:solidFill>
              <w14:schemeClr w14:val="tx1"/>
            </w14:solidFill>
          </w14:textFill>
        </w:rPr>
        <w:t>镇海区现状可对外开放的公共及配建停车场共164个，绝大部分为配建停车场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按街道区分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骆驼街道49个、庄市街道36个、蛟川街</w:t>
      </w:r>
      <w:r>
        <w:rPr>
          <w:rFonts w:hint="eastAsia"/>
          <w:color w:val="000000" w:themeColor="text1"/>
          <w14:textFill>
            <w14:solidFill>
              <w14:schemeClr w14:val="tx1"/>
            </w14:solidFill>
          </w14:textFill>
        </w:rPr>
        <w:t>道4</w:t>
      </w:r>
      <w:r>
        <w:rPr>
          <w:color w:val="000000" w:themeColor="text1"/>
          <w14:textFill>
            <w14:solidFill>
              <w14:schemeClr w14:val="tx1"/>
            </w14:solidFill>
          </w14:textFill>
        </w:rPr>
        <w:t>0个、招宝山街道22个、九龙湖镇及</w:t>
      </w:r>
      <w:r>
        <w:rPr>
          <w:rFonts w:hint="eastAsia" w:ascii="微软雅黑" w:hAnsi="微软雅黑" w:eastAsia="微软雅黑" w:cs="微软雅黑"/>
          <w:color w:val="000000" w:themeColor="text1"/>
          <w14:textFill>
            <w14:solidFill>
              <w14:schemeClr w14:val="tx1"/>
            </w14:solidFill>
          </w14:textFill>
        </w:rPr>
        <w:t>澥</w:t>
      </w:r>
      <w:r>
        <w:rPr>
          <w:rFonts w:hint="eastAsia" w:ascii="仿宋_GB2312" w:hAnsi="仿宋_GB2312" w:cs="仿宋_GB2312"/>
          <w:color w:val="000000" w:themeColor="text1"/>
          <w14:textFill>
            <w14:solidFill>
              <w14:schemeClr w14:val="tx1"/>
            </w14:solidFill>
          </w14:textFill>
        </w:rPr>
        <w:t>浦镇总量较少，分别是</w:t>
      </w:r>
      <w:r>
        <w:rPr>
          <w:color w:val="000000" w:themeColor="text1"/>
          <w14:textFill>
            <w14:solidFill>
              <w14:schemeClr w14:val="tx1"/>
            </w14:solidFill>
          </w14:textFill>
        </w:rPr>
        <w:t>8个、9个。</w:t>
      </w:r>
    </w:p>
    <w:p>
      <w:pPr>
        <w:pStyle w:val="69"/>
        <w:spacing w:before="156" w:line="240" w:lineRule="auto"/>
        <w:ind w:firstLine="198"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表3-3镇海区</w:t>
      </w:r>
      <w:r>
        <w:rPr>
          <w:rFonts w:hint="eastAsia"/>
          <w:color w:val="000000" w:themeColor="text1"/>
          <w:sz w:val="24"/>
          <w14:textFill>
            <w14:solidFill>
              <w14:schemeClr w14:val="tx1"/>
            </w14:solidFill>
          </w14:textFill>
        </w:rPr>
        <w:t>现状</w:t>
      </w:r>
      <w:r>
        <w:rPr>
          <w:color w:val="000000" w:themeColor="text1"/>
          <w:sz w:val="24"/>
          <w14:textFill>
            <w14:solidFill>
              <w14:schemeClr w14:val="tx1"/>
            </w14:solidFill>
          </w14:textFill>
        </w:rPr>
        <w:t>停车场统计表</w:t>
      </w:r>
    </w:p>
    <w:tbl>
      <w:tblPr>
        <w:tblStyle w:val="34"/>
        <w:tblW w:w="8522" w:type="dxa"/>
        <w:jc w:val="center"/>
        <w:tblLayout w:type="fixed"/>
        <w:tblCellMar>
          <w:top w:w="0" w:type="dxa"/>
          <w:left w:w="108" w:type="dxa"/>
          <w:bottom w:w="0" w:type="dxa"/>
          <w:right w:w="108" w:type="dxa"/>
        </w:tblCellMar>
      </w:tblPr>
      <w:tblGrid>
        <w:gridCol w:w="2161"/>
        <w:gridCol w:w="2792"/>
        <w:gridCol w:w="2173"/>
        <w:gridCol w:w="1396"/>
      </w:tblGrid>
      <w:tr>
        <w:tblPrEx>
          <w:tblCellMar>
            <w:top w:w="0" w:type="dxa"/>
            <w:left w:w="108" w:type="dxa"/>
            <w:bottom w:w="0" w:type="dxa"/>
            <w:right w:w="108" w:type="dxa"/>
          </w:tblCellMar>
        </w:tblPrEx>
        <w:trPr>
          <w:trHeight w:val="454" w:hRule="atLeast"/>
          <w:jc w:val="center"/>
        </w:trPr>
        <w:tc>
          <w:tcPr>
            <w:tcW w:w="2161"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b/>
                <w:color w:val="000000" w:themeColor="text1"/>
                <w:sz w:val="24"/>
                <w:szCs w:val="28"/>
                <w14:textFill>
                  <w14:solidFill>
                    <w14:schemeClr w14:val="tx1"/>
                  </w14:solidFill>
                </w14:textFill>
              </w:rPr>
            </w:pPr>
            <w:r>
              <w:rPr>
                <w:rFonts w:ascii="Times New Roman" w:hAnsi="Times New Roman" w:eastAsia="仿宋_GB2312" w:cs="Times New Roman"/>
                <w:b/>
                <w:color w:val="000000" w:themeColor="text1"/>
                <w:sz w:val="24"/>
                <w:szCs w:val="28"/>
                <w14:textFill>
                  <w14:solidFill>
                    <w14:schemeClr w14:val="tx1"/>
                  </w14:solidFill>
                </w14:textFill>
              </w:rPr>
              <w:t>辖区</w:t>
            </w:r>
          </w:p>
        </w:tc>
        <w:tc>
          <w:tcPr>
            <w:tcW w:w="2792" w:type="dxa"/>
            <w:tcBorders>
              <w:top w:val="single" w:color="auto" w:sz="8" w:space="0"/>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b/>
                <w:color w:val="000000" w:themeColor="text1"/>
                <w:sz w:val="24"/>
                <w:szCs w:val="28"/>
                <w14:textFill>
                  <w14:solidFill>
                    <w14:schemeClr w14:val="tx1"/>
                  </w14:solidFill>
                </w14:textFill>
              </w:rPr>
            </w:pPr>
            <w:r>
              <w:rPr>
                <w:rFonts w:ascii="Times New Roman" w:hAnsi="Times New Roman" w:eastAsia="仿宋_GB2312" w:cs="Times New Roman"/>
                <w:b/>
                <w:color w:val="000000" w:themeColor="text1"/>
                <w:sz w:val="24"/>
                <w:szCs w:val="28"/>
                <w14:textFill>
                  <w14:solidFill>
                    <w14:schemeClr w14:val="tx1"/>
                  </w14:solidFill>
                </w14:textFill>
              </w:rPr>
              <w:t>公共停车场/个</w:t>
            </w:r>
          </w:p>
        </w:tc>
        <w:tc>
          <w:tcPr>
            <w:tcW w:w="2173" w:type="dxa"/>
            <w:tcBorders>
              <w:top w:val="single" w:color="auto" w:sz="8" w:space="0"/>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b/>
                <w:color w:val="000000" w:themeColor="text1"/>
                <w:sz w:val="24"/>
                <w:szCs w:val="28"/>
                <w14:textFill>
                  <w14:solidFill>
                    <w14:schemeClr w14:val="tx1"/>
                  </w14:solidFill>
                </w14:textFill>
              </w:rPr>
            </w:pPr>
            <w:r>
              <w:rPr>
                <w:rFonts w:ascii="Times New Roman" w:hAnsi="Times New Roman" w:eastAsia="仿宋_GB2312" w:cs="Times New Roman"/>
                <w:b/>
                <w:color w:val="000000" w:themeColor="text1"/>
                <w:sz w:val="24"/>
                <w:szCs w:val="28"/>
                <w14:textFill>
                  <w14:solidFill>
                    <w14:schemeClr w14:val="tx1"/>
                  </w14:solidFill>
                </w14:textFill>
              </w:rPr>
              <w:t>配建停车场</w:t>
            </w:r>
            <w:r>
              <w:rPr>
                <w:rFonts w:hint="eastAsia" w:ascii="Times New Roman" w:hAnsi="Times New Roman" w:eastAsia="仿宋_GB2312" w:cs="Times New Roman"/>
                <w:b/>
                <w:color w:val="000000" w:themeColor="text1"/>
                <w:sz w:val="24"/>
                <w:szCs w:val="28"/>
                <w14:textFill>
                  <w14:solidFill>
                    <w14:schemeClr w14:val="tx1"/>
                  </w14:solidFill>
                </w14:textFill>
              </w:rPr>
              <w:t>/</w:t>
            </w:r>
            <w:r>
              <w:rPr>
                <w:rFonts w:ascii="Times New Roman" w:hAnsi="Times New Roman" w:eastAsia="仿宋_GB2312" w:cs="Times New Roman"/>
                <w:b/>
                <w:color w:val="000000" w:themeColor="text1"/>
                <w:sz w:val="24"/>
                <w:szCs w:val="28"/>
                <w14:textFill>
                  <w14:solidFill>
                    <w14:schemeClr w14:val="tx1"/>
                  </w14:solidFill>
                </w14:textFill>
              </w:rPr>
              <w:t>个</w:t>
            </w:r>
          </w:p>
        </w:tc>
        <w:tc>
          <w:tcPr>
            <w:tcW w:w="1396" w:type="dxa"/>
            <w:tcBorders>
              <w:top w:val="single" w:color="auto" w:sz="8" w:space="0"/>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b/>
                <w:color w:val="000000" w:themeColor="text1"/>
                <w:sz w:val="24"/>
                <w:szCs w:val="28"/>
                <w14:textFill>
                  <w14:solidFill>
                    <w14:schemeClr w14:val="tx1"/>
                  </w14:solidFill>
                </w14:textFill>
              </w:rPr>
            </w:pPr>
            <w:r>
              <w:rPr>
                <w:rFonts w:ascii="Times New Roman" w:hAnsi="Times New Roman" w:eastAsia="仿宋_GB2312" w:cs="Times New Roman"/>
                <w:b/>
                <w:color w:val="000000" w:themeColor="text1"/>
                <w:sz w:val="24"/>
                <w:szCs w:val="28"/>
                <w14:textFill>
                  <w14:solidFill>
                    <w14:schemeClr w14:val="tx1"/>
                  </w14:solidFill>
                </w14:textFill>
              </w:rPr>
              <w:t>总</w:t>
            </w:r>
            <w:r>
              <w:rPr>
                <w:rFonts w:hint="eastAsia" w:ascii="Times New Roman" w:hAnsi="Times New Roman" w:eastAsia="仿宋_GB2312" w:cs="Times New Roman"/>
                <w:b/>
                <w:color w:val="000000" w:themeColor="text1"/>
                <w:sz w:val="24"/>
                <w:szCs w:val="28"/>
                <w14:textFill>
                  <w14:solidFill>
                    <w14:schemeClr w14:val="tx1"/>
                  </w14:solidFill>
                </w14:textFill>
              </w:rPr>
              <w:t>计</w:t>
            </w:r>
          </w:p>
        </w:tc>
      </w:tr>
      <w:tr>
        <w:tblPrEx>
          <w:tblCellMar>
            <w:top w:w="0" w:type="dxa"/>
            <w:left w:w="108" w:type="dxa"/>
            <w:bottom w:w="0" w:type="dxa"/>
            <w:right w:w="108" w:type="dxa"/>
          </w:tblCellMar>
        </w:tblPrEx>
        <w:trPr>
          <w:trHeight w:val="454" w:hRule="atLeast"/>
          <w:jc w:val="center"/>
        </w:trPr>
        <w:tc>
          <w:tcPr>
            <w:tcW w:w="2161"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澥浦镇</w:t>
            </w:r>
          </w:p>
        </w:tc>
        <w:tc>
          <w:tcPr>
            <w:tcW w:w="2792" w:type="dxa"/>
            <w:tcBorders>
              <w:top w:val="single" w:color="auto" w:sz="8" w:space="0"/>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4</w:t>
            </w:r>
          </w:p>
        </w:tc>
        <w:tc>
          <w:tcPr>
            <w:tcW w:w="2173" w:type="dxa"/>
            <w:tcBorders>
              <w:top w:val="single" w:color="auto" w:sz="8" w:space="0"/>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5</w:t>
            </w:r>
          </w:p>
        </w:tc>
        <w:tc>
          <w:tcPr>
            <w:tcW w:w="1396" w:type="dxa"/>
            <w:tcBorders>
              <w:top w:val="single" w:color="auto" w:sz="8" w:space="0"/>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9</w:t>
            </w:r>
          </w:p>
        </w:tc>
      </w:tr>
      <w:tr>
        <w:tblPrEx>
          <w:tblCellMar>
            <w:top w:w="0" w:type="dxa"/>
            <w:left w:w="108" w:type="dxa"/>
            <w:bottom w:w="0" w:type="dxa"/>
            <w:right w:w="108" w:type="dxa"/>
          </w:tblCellMar>
        </w:tblPrEx>
        <w:trPr>
          <w:trHeight w:val="454" w:hRule="atLeast"/>
          <w:jc w:val="center"/>
        </w:trPr>
        <w:tc>
          <w:tcPr>
            <w:tcW w:w="2161"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九龙湖镇</w:t>
            </w:r>
          </w:p>
        </w:tc>
        <w:tc>
          <w:tcPr>
            <w:tcW w:w="2792" w:type="dxa"/>
            <w:tcBorders>
              <w:top w:val="single" w:color="auto" w:sz="8" w:space="0"/>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3</w:t>
            </w:r>
          </w:p>
        </w:tc>
        <w:tc>
          <w:tcPr>
            <w:tcW w:w="2173" w:type="dxa"/>
            <w:tcBorders>
              <w:top w:val="single" w:color="auto" w:sz="8" w:space="0"/>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5</w:t>
            </w:r>
          </w:p>
        </w:tc>
        <w:tc>
          <w:tcPr>
            <w:tcW w:w="1396" w:type="dxa"/>
            <w:tcBorders>
              <w:top w:val="single" w:color="auto" w:sz="8" w:space="0"/>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8</w:t>
            </w:r>
          </w:p>
        </w:tc>
      </w:tr>
      <w:tr>
        <w:tblPrEx>
          <w:tblCellMar>
            <w:top w:w="0" w:type="dxa"/>
            <w:left w:w="108" w:type="dxa"/>
            <w:bottom w:w="0" w:type="dxa"/>
            <w:right w:w="108" w:type="dxa"/>
          </w:tblCellMar>
        </w:tblPrEx>
        <w:trPr>
          <w:trHeight w:val="454" w:hRule="atLeast"/>
          <w:jc w:val="center"/>
        </w:trPr>
        <w:tc>
          <w:tcPr>
            <w:tcW w:w="2161" w:type="dxa"/>
            <w:tcBorders>
              <w:top w:val="nil"/>
              <w:left w:val="single" w:color="auto" w:sz="8" w:space="0"/>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招宝山街道</w:t>
            </w:r>
          </w:p>
        </w:tc>
        <w:tc>
          <w:tcPr>
            <w:tcW w:w="2792" w:type="dxa"/>
            <w:tcBorders>
              <w:top w:val="nil"/>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4</w:t>
            </w:r>
          </w:p>
        </w:tc>
        <w:tc>
          <w:tcPr>
            <w:tcW w:w="2173" w:type="dxa"/>
            <w:tcBorders>
              <w:top w:val="nil"/>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18</w:t>
            </w:r>
          </w:p>
        </w:tc>
        <w:tc>
          <w:tcPr>
            <w:tcW w:w="1396" w:type="dxa"/>
            <w:tcBorders>
              <w:top w:val="nil"/>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22</w:t>
            </w:r>
          </w:p>
        </w:tc>
      </w:tr>
      <w:tr>
        <w:tblPrEx>
          <w:tblCellMar>
            <w:top w:w="0" w:type="dxa"/>
            <w:left w:w="108" w:type="dxa"/>
            <w:bottom w:w="0" w:type="dxa"/>
            <w:right w:w="108" w:type="dxa"/>
          </w:tblCellMar>
        </w:tblPrEx>
        <w:trPr>
          <w:trHeight w:val="454" w:hRule="atLeast"/>
          <w:jc w:val="center"/>
        </w:trPr>
        <w:tc>
          <w:tcPr>
            <w:tcW w:w="2161" w:type="dxa"/>
            <w:tcBorders>
              <w:top w:val="nil"/>
              <w:left w:val="single" w:color="auto" w:sz="8" w:space="0"/>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蛟川街道</w:t>
            </w:r>
          </w:p>
        </w:tc>
        <w:tc>
          <w:tcPr>
            <w:tcW w:w="2792" w:type="dxa"/>
            <w:tcBorders>
              <w:top w:val="nil"/>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5</w:t>
            </w:r>
          </w:p>
        </w:tc>
        <w:tc>
          <w:tcPr>
            <w:tcW w:w="2173" w:type="dxa"/>
            <w:tcBorders>
              <w:top w:val="nil"/>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35</w:t>
            </w:r>
          </w:p>
        </w:tc>
        <w:tc>
          <w:tcPr>
            <w:tcW w:w="1396" w:type="dxa"/>
            <w:tcBorders>
              <w:top w:val="nil"/>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40</w:t>
            </w:r>
          </w:p>
        </w:tc>
      </w:tr>
      <w:tr>
        <w:tblPrEx>
          <w:tblCellMar>
            <w:top w:w="0" w:type="dxa"/>
            <w:left w:w="108" w:type="dxa"/>
            <w:bottom w:w="0" w:type="dxa"/>
            <w:right w:w="108" w:type="dxa"/>
          </w:tblCellMar>
        </w:tblPrEx>
        <w:trPr>
          <w:trHeight w:val="454" w:hRule="atLeast"/>
          <w:jc w:val="center"/>
        </w:trPr>
        <w:tc>
          <w:tcPr>
            <w:tcW w:w="2161" w:type="dxa"/>
            <w:tcBorders>
              <w:top w:val="nil"/>
              <w:left w:val="single" w:color="auto" w:sz="8" w:space="0"/>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骆驼街道</w:t>
            </w:r>
          </w:p>
        </w:tc>
        <w:tc>
          <w:tcPr>
            <w:tcW w:w="2792" w:type="dxa"/>
            <w:tcBorders>
              <w:top w:val="nil"/>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3</w:t>
            </w:r>
          </w:p>
        </w:tc>
        <w:tc>
          <w:tcPr>
            <w:tcW w:w="2173" w:type="dxa"/>
            <w:tcBorders>
              <w:top w:val="nil"/>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46</w:t>
            </w:r>
          </w:p>
        </w:tc>
        <w:tc>
          <w:tcPr>
            <w:tcW w:w="1396" w:type="dxa"/>
            <w:tcBorders>
              <w:top w:val="nil"/>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49</w:t>
            </w:r>
          </w:p>
        </w:tc>
      </w:tr>
      <w:tr>
        <w:tblPrEx>
          <w:tblCellMar>
            <w:top w:w="0" w:type="dxa"/>
            <w:left w:w="108" w:type="dxa"/>
            <w:bottom w:w="0" w:type="dxa"/>
            <w:right w:w="108" w:type="dxa"/>
          </w:tblCellMar>
        </w:tblPrEx>
        <w:trPr>
          <w:trHeight w:val="454" w:hRule="atLeast"/>
          <w:jc w:val="center"/>
        </w:trPr>
        <w:tc>
          <w:tcPr>
            <w:tcW w:w="2161" w:type="dxa"/>
            <w:tcBorders>
              <w:top w:val="nil"/>
              <w:left w:val="single" w:color="auto" w:sz="8" w:space="0"/>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庄市街道</w:t>
            </w:r>
          </w:p>
        </w:tc>
        <w:tc>
          <w:tcPr>
            <w:tcW w:w="2792" w:type="dxa"/>
            <w:tcBorders>
              <w:top w:val="nil"/>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5</w:t>
            </w:r>
          </w:p>
        </w:tc>
        <w:tc>
          <w:tcPr>
            <w:tcW w:w="2173" w:type="dxa"/>
            <w:tcBorders>
              <w:top w:val="nil"/>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31</w:t>
            </w:r>
          </w:p>
        </w:tc>
        <w:tc>
          <w:tcPr>
            <w:tcW w:w="1396" w:type="dxa"/>
            <w:tcBorders>
              <w:top w:val="nil"/>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36</w:t>
            </w:r>
          </w:p>
        </w:tc>
      </w:tr>
      <w:tr>
        <w:tblPrEx>
          <w:tblCellMar>
            <w:top w:w="0" w:type="dxa"/>
            <w:left w:w="108" w:type="dxa"/>
            <w:bottom w:w="0" w:type="dxa"/>
            <w:right w:w="108" w:type="dxa"/>
          </w:tblCellMar>
        </w:tblPrEx>
        <w:trPr>
          <w:trHeight w:val="454" w:hRule="atLeast"/>
          <w:jc w:val="center"/>
        </w:trPr>
        <w:tc>
          <w:tcPr>
            <w:tcW w:w="2161" w:type="dxa"/>
            <w:tcBorders>
              <w:top w:val="nil"/>
              <w:left w:val="single" w:color="auto" w:sz="8" w:space="0"/>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总计</w:t>
            </w:r>
          </w:p>
        </w:tc>
        <w:tc>
          <w:tcPr>
            <w:tcW w:w="2792" w:type="dxa"/>
            <w:tcBorders>
              <w:top w:val="nil"/>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2</w:t>
            </w:r>
            <w:r>
              <w:rPr>
                <w:rFonts w:hint="eastAsia" w:ascii="Times New Roman" w:hAnsi="Times New Roman" w:eastAsia="仿宋_GB2312" w:cs="Times New Roman"/>
                <w:color w:val="000000" w:themeColor="text1"/>
                <w:sz w:val="24"/>
                <w:szCs w:val="28"/>
                <w14:textFill>
                  <w14:solidFill>
                    <w14:schemeClr w14:val="tx1"/>
                  </w14:solidFill>
                </w14:textFill>
              </w:rPr>
              <w:t>4</w:t>
            </w:r>
          </w:p>
        </w:tc>
        <w:tc>
          <w:tcPr>
            <w:tcW w:w="2173" w:type="dxa"/>
            <w:tcBorders>
              <w:top w:val="nil"/>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140</w:t>
            </w:r>
          </w:p>
        </w:tc>
        <w:tc>
          <w:tcPr>
            <w:tcW w:w="1396" w:type="dxa"/>
            <w:tcBorders>
              <w:top w:val="nil"/>
              <w:left w:val="nil"/>
              <w:bottom w:val="single" w:color="auto" w:sz="8" w:space="0"/>
              <w:right w:val="single" w:color="auto" w:sz="8" w:space="0"/>
            </w:tcBorders>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164</w:t>
            </w:r>
          </w:p>
        </w:tc>
      </w:tr>
    </w:tbl>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3.1.2专用车</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对专用车</w:t>
      </w:r>
      <w:r>
        <w:rPr>
          <w:color w:val="000000" w:themeColor="text1"/>
          <w14:textFill>
            <w14:solidFill>
              <w14:schemeClr w14:val="tx1"/>
            </w14:solidFill>
          </w14:textFill>
        </w:rPr>
        <w:t>进行统计，公交车、出租车</w:t>
      </w:r>
      <w:r>
        <w:rPr>
          <w:rFonts w:hint="eastAsia"/>
          <w:color w:val="000000" w:themeColor="text1"/>
          <w14:textFill>
            <w14:solidFill>
              <w14:schemeClr w14:val="tx1"/>
            </w14:solidFill>
          </w14:textFill>
        </w:rPr>
        <w:t>电动汽</w:t>
      </w:r>
      <w:r>
        <w:rPr>
          <w:color w:val="000000" w:themeColor="text1"/>
          <w14:textFill>
            <w14:solidFill>
              <w14:schemeClr w14:val="tx1"/>
            </w14:solidFill>
          </w14:textFill>
        </w:rPr>
        <w:t>车占比近</w:t>
      </w:r>
      <w:r>
        <w:rPr>
          <w:rFonts w:hint="eastAsia"/>
          <w:color w:val="000000" w:themeColor="text1"/>
          <w14:textFill>
            <w14:solidFill>
              <w14:schemeClr w14:val="tx1"/>
            </w14:solidFill>
          </w14:textFill>
        </w:rPr>
        <w:t>100</w:t>
      </w:r>
      <w:r>
        <w:rPr>
          <w:color w:val="000000" w:themeColor="text1"/>
          <w14:textFill>
            <w14:solidFill>
              <w14:schemeClr w14:val="tx1"/>
            </w14:solidFill>
          </w14:textFill>
        </w:rPr>
        <w:t>%，网约车</w:t>
      </w:r>
      <w:r>
        <w:rPr>
          <w:rFonts w:hint="eastAsia"/>
          <w:color w:val="000000" w:themeColor="text1"/>
          <w14:textFill>
            <w14:solidFill>
              <w14:schemeClr w14:val="tx1"/>
            </w14:solidFill>
          </w14:textFill>
        </w:rPr>
        <w:t>新能源</w:t>
      </w:r>
      <w:r>
        <w:rPr>
          <w:color w:val="000000" w:themeColor="text1"/>
          <w14:textFill>
            <w14:solidFill>
              <w14:schemeClr w14:val="tx1"/>
            </w14:solidFill>
          </w14:textFill>
        </w:rPr>
        <w:t>占比也较</w:t>
      </w:r>
      <w:r>
        <w:rPr>
          <w:rFonts w:hint="eastAsia"/>
          <w:color w:val="000000" w:themeColor="text1"/>
          <w14:textFill>
            <w14:solidFill>
              <w14:schemeClr w14:val="tx1"/>
            </w14:solidFill>
          </w14:textFill>
        </w:rPr>
        <w:t>高</w:t>
      </w:r>
      <w:r>
        <w:rPr>
          <w:color w:val="000000" w:themeColor="text1"/>
          <w14:textFill>
            <w14:solidFill>
              <w14:schemeClr w14:val="tx1"/>
            </w14:solidFill>
          </w14:textFill>
        </w:rPr>
        <w:t>，达</w:t>
      </w:r>
      <w:r>
        <w:rPr>
          <w:rFonts w:hint="eastAsia"/>
          <w:color w:val="000000" w:themeColor="text1"/>
          <w14:textFill>
            <w14:solidFill>
              <w14:schemeClr w14:val="tx1"/>
            </w14:solidFill>
          </w14:textFill>
        </w:rPr>
        <w:t>86</w:t>
      </w:r>
      <w:r>
        <w:rPr>
          <w:color w:val="000000" w:themeColor="text1"/>
          <w14:textFill>
            <w14:solidFill>
              <w14:schemeClr w14:val="tx1"/>
            </w14:solidFill>
          </w14:textFill>
        </w:rPr>
        <w:t>%，货运车辆</w:t>
      </w:r>
      <w:r>
        <w:rPr>
          <w:rFonts w:hint="eastAsia"/>
          <w:color w:val="000000" w:themeColor="text1"/>
          <w14:textFill>
            <w14:solidFill>
              <w14:schemeClr w14:val="tx1"/>
            </w14:solidFill>
          </w14:textFill>
        </w:rPr>
        <w:t>新</w:t>
      </w:r>
      <w:r>
        <w:rPr>
          <w:color w:val="000000" w:themeColor="text1"/>
          <w14:textFill>
            <w14:solidFill>
              <w14:schemeClr w14:val="tx1"/>
            </w14:solidFill>
          </w14:textFill>
        </w:rPr>
        <w:t>能源占比</w:t>
      </w:r>
      <w:r>
        <w:rPr>
          <w:rFonts w:hint="eastAsia"/>
          <w:color w:val="000000" w:themeColor="text1"/>
          <w14:textFill>
            <w14:solidFill>
              <w14:schemeClr w14:val="tx1"/>
            </w14:solidFill>
          </w14:textFill>
        </w:rPr>
        <w:t>低</w:t>
      </w:r>
      <w:r>
        <w:rPr>
          <w:color w:val="000000" w:themeColor="text1"/>
          <w14:textFill>
            <w14:solidFill>
              <w14:schemeClr w14:val="tx1"/>
            </w14:solidFill>
          </w14:textFill>
        </w:rPr>
        <w:t>，仅</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表3-</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镇海区</w:t>
      </w:r>
      <w:r>
        <w:rPr>
          <w:color w:val="000000" w:themeColor="text1"/>
          <w:sz w:val="24"/>
          <w14:textFill>
            <w14:solidFill>
              <w14:schemeClr w14:val="tx1"/>
            </w14:solidFill>
          </w14:textFill>
        </w:rPr>
        <w:t>现状</w:t>
      </w:r>
      <w:r>
        <w:rPr>
          <w:rFonts w:hint="eastAsia"/>
          <w:color w:val="000000" w:themeColor="text1"/>
          <w:sz w:val="24"/>
          <w14:textFill>
            <w14:solidFill>
              <w14:schemeClr w14:val="tx1"/>
            </w14:solidFill>
          </w14:textFill>
        </w:rPr>
        <w:t>专用电动汽车保有量统计表</w:t>
      </w:r>
    </w:p>
    <w:tbl>
      <w:tblPr>
        <w:tblStyle w:val="3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4" w:type="dxa"/>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类型</w:t>
            </w:r>
          </w:p>
        </w:tc>
        <w:tc>
          <w:tcPr>
            <w:tcW w:w="1704" w:type="dxa"/>
            <w:vAlign w:val="center"/>
          </w:tcPr>
          <w:p>
            <w:pPr>
              <w:pStyle w:val="69"/>
              <w:spacing w:line="240" w:lineRule="auto"/>
              <w:ind w:firstLine="0"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出租车</w:t>
            </w:r>
          </w:p>
        </w:tc>
        <w:tc>
          <w:tcPr>
            <w:tcW w:w="1704" w:type="dxa"/>
            <w:vAlign w:val="center"/>
          </w:tcPr>
          <w:p>
            <w:pPr>
              <w:pStyle w:val="69"/>
              <w:spacing w:line="240" w:lineRule="auto"/>
              <w:ind w:firstLine="0"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公交车</w:t>
            </w:r>
          </w:p>
        </w:tc>
        <w:tc>
          <w:tcPr>
            <w:tcW w:w="1704" w:type="dxa"/>
            <w:vAlign w:val="center"/>
          </w:tcPr>
          <w:p>
            <w:pPr>
              <w:pStyle w:val="69"/>
              <w:spacing w:line="240" w:lineRule="auto"/>
              <w:ind w:firstLine="0"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网约车</w:t>
            </w:r>
          </w:p>
        </w:tc>
        <w:tc>
          <w:tcPr>
            <w:tcW w:w="1706" w:type="dxa"/>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货运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4" w:type="dxa"/>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新能源/辆</w:t>
            </w:r>
          </w:p>
        </w:tc>
        <w:tc>
          <w:tcPr>
            <w:tcW w:w="1704"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60</w:t>
            </w:r>
          </w:p>
        </w:tc>
        <w:tc>
          <w:tcPr>
            <w:tcW w:w="1704"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300</w:t>
            </w:r>
          </w:p>
        </w:tc>
        <w:tc>
          <w:tcPr>
            <w:tcW w:w="1704"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262</w:t>
            </w:r>
          </w:p>
        </w:tc>
        <w:tc>
          <w:tcPr>
            <w:tcW w:w="1706" w:type="dxa"/>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4" w:type="dxa"/>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油</w:t>
            </w:r>
            <w:r>
              <w:rPr>
                <w:b/>
                <w:color w:val="000000" w:themeColor="text1"/>
                <w:sz w:val="24"/>
                <w14:textFill>
                  <w14:solidFill>
                    <w14:schemeClr w14:val="tx1"/>
                  </w14:solidFill>
                </w14:textFill>
              </w:rPr>
              <w:t>/辆</w:t>
            </w:r>
          </w:p>
        </w:tc>
        <w:tc>
          <w:tcPr>
            <w:tcW w:w="1704"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p>
        </w:tc>
        <w:tc>
          <w:tcPr>
            <w:tcW w:w="1704"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1704"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203</w:t>
            </w:r>
          </w:p>
        </w:tc>
        <w:tc>
          <w:tcPr>
            <w:tcW w:w="1706" w:type="dxa"/>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4" w:type="dxa"/>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总</w:t>
            </w:r>
            <w:r>
              <w:rPr>
                <w:b/>
                <w:color w:val="000000" w:themeColor="text1"/>
                <w:sz w:val="24"/>
                <w14:textFill>
                  <w14:solidFill>
                    <w14:schemeClr w14:val="tx1"/>
                  </w14:solidFill>
                </w14:textFill>
              </w:rPr>
              <w:t>/辆</w:t>
            </w:r>
          </w:p>
        </w:tc>
        <w:tc>
          <w:tcPr>
            <w:tcW w:w="1704"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62</w:t>
            </w:r>
          </w:p>
        </w:tc>
        <w:tc>
          <w:tcPr>
            <w:tcW w:w="1704"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300</w:t>
            </w:r>
          </w:p>
        </w:tc>
        <w:tc>
          <w:tcPr>
            <w:tcW w:w="1704"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1465</w:t>
            </w:r>
          </w:p>
        </w:tc>
        <w:tc>
          <w:tcPr>
            <w:tcW w:w="1706" w:type="dxa"/>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4" w:type="dxa"/>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新能源</w:t>
            </w:r>
            <w:r>
              <w:rPr>
                <w:b/>
                <w:color w:val="000000" w:themeColor="text1"/>
                <w:sz w:val="24"/>
                <w14:textFill>
                  <w14:solidFill>
                    <w14:schemeClr w14:val="tx1"/>
                  </w14:solidFill>
                </w14:textFill>
              </w:rPr>
              <w:t>比例</w:t>
            </w:r>
          </w:p>
        </w:tc>
        <w:tc>
          <w:tcPr>
            <w:tcW w:w="1704"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97</w:t>
            </w:r>
            <w:r>
              <w:rPr>
                <w:color w:val="000000" w:themeColor="text1"/>
                <w:sz w:val="24"/>
                <w14:textFill>
                  <w14:solidFill>
                    <w14:schemeClr w14:val="tx1"/>
                  </w14:solidFill>
                </w14:textFill>
              </w:rPr>
              <w:t>%</w:t>
            </w:r>
          </w:p>
        </w:tc>
        <w:tc>
          <w:tcPr>
            <w:tcW w:w="1704"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100</w:t>
            </w:r>
            <w:r>
              <w:rPr>
                <w:color w:val="000000" w:themeColor="text1"/>
                <w:sz w:val="24"/>
                <w14:textFill>
                  <w14:solidFill>
                    <w14:schemeClr w14:val="tx1"/>
                  </w14:solidFill>
                </w14:textFill>
              </w:rPr>
              <w:t>%</w:t>
            </w:r>
          </w:p>
        </w:tc>
        <w:tc>
          <w:tcPr>
            <w:tcW w:w="1704"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86</w:t>
            </w:r>
            <w:r>
              <w:rPr>
                <w:color w:val="000000" w:themeColor="text1"/>
                <w:sz w:val="24"/>
                <w14:textFill>
                  <w14:solidFill>
                    <w14:schemeClr w14:val="tx1"/>
                  </w14:solidFill>
                </w14:textFill>
              </w:rPr>
              <w:t>%</w:t>
            </w:r>
          </w:p>
        </w:tc>
        <w:tc>
          <w:tcPr>
            <w:tcW w:w="1706" w:type="dxa"/>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r>
    </w:tbl>
    <w:p>
      <w:pPr>
        <w:pStyle w:val="66"/>
        <w:numPr>
          <w:ilvl w:val="255"/>
          <w:numId w:val="0"/>
        </w:numPr>
        <w:ind w:right="210"/>
        <w:rPr>
          <w:color w:val="000000" w:themeColor="text1"/>
          <w14:textFill>
            <w14:solidFill>
              <w14:schemeClr w14:val="tx1"/>
            </w14:solidFill>
          </w14:textFill>
        </w:rPr>
      </w:pPr>
      <w:bookmarkStart w:id="9" w:name="_Toc63016640"/>
      <w:bookmarkStart w:id="10" w:name="_Toc10260"/>
      <w:r>
        <w:rPr>
          <w:rFonts w:hint="eastAsia"/>
          <w:color w:val="000000" w:themeColor="text1"/>
          <w14:textFill>
            <w14:solidFill>
              <w14:schemeClr w14:val="tx1"/>
            </w14:solidFill>
          </w14:textFill>
        </w:rPr>
        <w:t>（二）充电设施</w:t>
      </w:r>
      <w:bookmarkEnd w:id="9"/>
      <w:r>
        <w:rPr>
          <w:rFonts w:hint="eastAsia"/>
          <w:color w:val="000000" w:themeColor="text1"/>
          <w14:textFill>
            <w14:solidFill>
              <w14:schemeClr w14:val="tx1"/>
            </w14:solidFill>
          </w14:textFill>
        </w:rPr>
        <w:t>现状</w:t>
      </w:r>
      <w:bookmarkEnd w:id="10"/>
    </w:p>
    <w:p>
      <w:pPr>
        <w:pStyle w:val="67"/>
        <w:rPr>
          <w:color w:val="000000" w:themeColor="text1"/>
          <w14:textFill>
            <w14:solidFill>
              <w14:schemeClr w14:val="tx1"/>
            </w14:solidFill>
          </w14:textFill>
        </w:rPr>
      </w:pPr>
      <w:r>
        <w:rPr>
          <w:color w:val="000000" w:themeColor="text1"/>
          <w14:textFill>
            <w14:solidFill>
              <w14:schemeClr w14:val="tx1"/>
            </w14:solidFill>
          </w14:textFill>
        </w:rPr>
        <w:t>3.2.1发展</w:t>
      </w:r>
      <w:r>
        <w:rPr>
          <w:rFonts w:hint="eastAsia"/>
          <w:color w:val="000000" w:themeColor="text1"/>
          <w14:textFill>
            <w14:solidFill>
              <w14:schemeClr w14:val="tx1"/>
            </w14:solidFill>
          </w14:textFill>
        </w:rPr>
        <w:t>情况</w:t>
      </w:r>
    </w:p>
    <w:p>
      <w:pPr>
        <w:pStyle w:val="69"/>
        <w:ind w:firstLine="640"/>
        <w:rPr>
          <w:color w:val="000000" w:themeColor="text1"/>
          <w14:textFill>
            <w14:solidFill>
              <w14:schemeClr w14:val="tx1"/>
            </w14:solidFill>
          </w14:textFill>
        </w:rPr>
      </w:pPr>
      <w:r>
        <w:rPr>
          <w:color w:val="000000" w:themeColor="text1"/>
          <w14:textFill>
            <w14:solidFill>
              <w14:schemeClr w14:val="tx1"/>
            </w14:solidFill>
          </w14:textFill>
        </w:rPr>
        <w:t>截至2022年</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2月底，镇海区电动汽车保有量7960辆</w:t>
      </w:r>
      <w:r>
        <w:rPr>
          <w:rFonts w:hint="eastAsia"/>
          <w:color w:val="000000" w:themeColor="text1"/>
          <w14:textFill>
            <w14:solidFill>
              <w14:schemeClr w14:val="tx1"/>
            </w14:solidFill>
          </w14:textFill>
        </w:rPr>
        <w:t>。已建成公共充电桩931枪（具体见附件1），其中，公共</w:t>
      </w:r>
      <w:r>
        <w:rPr>
          <w:color w:val="000000" w:themeColor="text1"/>
          <w14:textFill>
            <w14:solidFill>
              <w14:schemeClr w14:val="tx1"/>
            </w14:solidFill>
          </w14:textFill>
        </w:rPr>
        <w:t>桩</w:t>
      </w:r>
      <w:r>
        <w:rPr>
          <w:rFonts w:hint="eastAsia"/>
          <w:color w:val="000000" w:themeColor="text1"/>
          <w14:textFill>
            <w14:solidFill>
              <w14:schemeClr w14:val="tx1"/>
            </w14:solidFill>
          </w14:textFill>
        </w:rPr>
        <w:t>（含单位桩等）站点</w:t>
      </w:r>
      <w:r>
        <w:rPr>
          <w:color w:val="000000" w:themeColor="text1"/>
          <w14:textFill>
            <w14:solidFill>
              <w14:schemeClr w14:val="tx1"/>
            </w14:solidFill>
          </w14:textFill>
        </w:rPr>
        <w:t>73</w:t>
      </w:r>
      <w:r>
        <w:rPr>
          <w:rFonts w:hint="eastAsia"/>
          <w:color w:val="000000" w:themeColor="text1"/>
          <w14:textFill>
            <w14:solidFill>
              <w14:schemeClr w14:val="tx1"/>
            </w14:solidFill>
          </w14:textFill>
        </w:rPr>
        <w:t>处共</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27枪</w:t>
      </w:r>
      <w:r>
        <w:rPr>
          <w:color w:val="000000" w:themeColor="text1"/>
          <w14:textFill>
            <w14:solidFill>
              <w14:schemeClr w14:val="tx1"/>
            </w14:solidFill>
          </w14:textFill>
        </w:rPr>
        <w:t>，专用桩</w:t>
      </w:r>
      <w:r>
        <w:rPr>
          <w:rFonts w:hint="eastAsia"/>
          <w:color w:val="000000" w:themeColor="text1"/>
          <w14:textFill>
            <w14:solidFill>
              <w14:schemeClr w14:val="tx1"/>
            </w14:solidFill>
          </w14:textFill>
        </w:rPr>
        <w:t>（含公交专用桩等）站点</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1处共204枪。居民</w:t>
      </w:r>
      <w:r>
        <w:rPr>
          <w:color w:val="000000" w:themeColor="text1"/>
          <w14:textFill>
            <w14:solidFill>
              <w14:schemeClr w14:val="tx1"/>
            </w14:solidFill>
          </w14:textFill>
        </w:rPr>
        <w:t>充电桩共计</w:t>
      </w:r>
      <w:r>
        <w:rPr>
          <w:rFonts w:hint="eastAsia"/>
          <w:color w:val="000000" w:themeColor="text1"/>
          <w14:textFill>
            <w14:solidFill>
              <w14:schemeClr w14:val="tx1"/>
            </w14:solidFill>
          </w14:textFill>
        </w:rPr>
        <w:t>4855</w:t>
      </w:r>
      <w:r>
        <w:rPr>
          <w:color w:val="000000" w:themeColor="text1"/>
          <w14:textFill>
            <w14:solidFill>
              <w14:schemeClr w14:val="tx1"/>
            </w14:solidFill>
          </w14:textFill>
        </w:rPr>
        <w:t>个</w:t>
      </w:r>
      <w:r>
        <w:rPr>
          <w:rFonts w:hint="eastAsia"/>
          <w:color w:val="000000" w:themeColor="text1"/>
          <w14:textFill>
            <w14:solidFill>
              <w14:schemeClr w14:val="tx1"/>
            </w14:solidFill>
          </w14:textFill>
        </w:rPr>
        <w:t>。</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表3-</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镇海区现状行政区</w:t>
      </w:r>
      <w:r>
        <w:rPr>
          <w:color w:val="000000" w:themeColor="text1"/>
          <w:sz w:val="24"/>
          <w14:textFill>
            <w14:solidFill>
              <w14:schemeClr w14:val="tx1"/>
            </w14:solidFill>
          </w14:textFill>
        </w:rPr>
        <w:t>况及</w:t>
      </w:r>
      <w:r>
        <w:rPr>
          <w:rFonts w:hint="eastAsia"/>
          <w:color w:val="000000" w:themeColor="text1"/>
          <w:sz w:val="24"/>
          <w14:textFill>
            <w14:solidFill>
              <w14:schemeClr w14:val="tx1"/>
            </w14:solidFill>
          </w14:textFill>
        </w:rPr>
        <w:t>车辆</w:t>
      </w:r>
      <w:r>
        <w:rPr>
          <w:color w:val="000000" w:themeColor="text1"/>
          <w:sz w:val="24"/>
          <w14:textFill>
            <w14:solidFill>
              <w14:schemeClr w14:val="tx1"/>
            </w14:solidFill>
          </w14:textFill>
        </w:rPr>
        <w:t>、充电设施</w:t>
      </w:r>
      <w:r>
        <w:rPr>
          <w:rFonts w:hint="eastAsia"/>
          <w:color w:val="000000" w:themeColor="text1"/>
          <w:sz w:val="24"/>
          <w14:textFill>
            <w14:solidFill>
              <w14:schemeClr w14:val="tx1"/>
            </w14:solidFill>
          </w14:textFill>
        </w:rPr>
        <w:t>情况</w:t>
      </w:r>
      <w:r>
        <w:rPr>
          <w:color w:val="000000" w:themeColor="text1"/>
          <w:sz w:val="24"/>
          <w14:textFill>
            <w14:solidFill>
              <w14:schemeClr w14:val="tx1"/>
            </w14:solidFill>
          </w14:textFill>
        </w:rPr>
        <w:t>统计表</w:t>
      </w:r>
      <w:bookmarkStart w:id="11" w:name="_Toc119069269"/>
      <w:bookmarkStart w:id="12" w:name="_Toc119070126"/>
      <w:bookmarkStart w:id="13" w:name="_Toc119056799"/>
      <w:bookmarkStart w:id="14" w:name="_Toc130548396"/>
    </w:p>
    <w:tbl>
      <w:tblPr>
        <w:tblStyle w:val="3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558"/>
        <w:gridCol w:w="1277"/>
        <w:gridCol w:w="1237"/>
        <w:gridCol w:w="1142"/>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vMerge w:val="restart"/>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行政区况</w:t>
            </w:r>
          </w:p>
        </w:tc>
        <w:tc>
          <w:tcPr>
            <w:tcW w:w="1558"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人口</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人</w:t>
            </w:r>
          </w:p>
        </w:tc>
        <w:tc>
          <w:tcPr>
            <w:tcW w:w="1277"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面积</w:t>
            </w:r>
            <w:r>
              <w:rPr>
                <w:b/>
                <w:color w:val="000000" w:themeColor="text1"/>
                <w:sz w:val="24"/>
                <w14:textFill>
                  <w14:solidFill>
                    <w14:schemeClr w14:val="tx1"/>
                  </w14:solidFill>
                </w14:textFill>
              </w:rPr>
              <w:t>/km</w:t>
            </w:r>
            <w:r>
              <w:rPr>
                <w:rFonts w:hint="eastAsia"/>
                <w:b/>
                <w:color w:val="000000" w:themeColor="text1"/>
                <w:sz w:val="24"/>
                <w14:textFill>
                  <w14:solidFill>
                    <w14:schemeClr w14:val="tx1"/>
                  </w14:solidFill>
                </w14:textFill>
              </w:rPr>
              <w:t xml:space="preserve"> </w:t>
            </w:r>
            <w:r>
              <w:rPr>
                <w:b/>
                <w:color w:val="000000" w:themeColor="text1"/>
                <w:sz w:val="24"/>
                <w14:textFill>
                  <w14:solidFill>
                    <w14:schemeClr w14:val="tx1"/>
                  </w14:solidFill>
                </w14:textFill>
              </w:rPr>
              <w:t>²</w:t>
            </w:r>
          </w:p>
        </w:tc>
        <w:tc>
          <w:tcPr>
            <w:tcW w:w="1237"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镇街道数/个</w:t>
            </w:r>
          </w:p>
        </w:tc>
        <w:tc>
          <w:tcPr>
            <w:tcW w:w="1142"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社区数/个</w:t>
            </w:r>
          </w:p>
        </w:tc>
        <w:tc>
          <w:tcPr>
            <w:tcW w:w="1357"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行政村数/个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vMerge w:val="continue"/>
            <w:vAlign w:val="center"/>
          </w:tcPr>
          <w:p>
            <w:pPr>
              <w:pStyle w:val="69"/>
              <w:spacing w:line="240" w:lineRule="auto"/>
              <w:ind w:firstLine="0" w:firstLineChars="0"/>
              <w:jc w:val="center"/>
              <w:rPr>
                <w:b/>
                <w:color w:val="000000" w:themeColor="text1"/>
                <w:sz w:val="24"/>
                <w14:textFill>
                  <w14:solidFill>
                    <w14:schemeClr w14:val="tx1"/>
                  </w14:solidFill>
                </w14:textFill>
              </w:rPr>
            </w:pPr>
          </w:p>
        </w:tc>
        <w:tc>
          <w:tcPr>
            <w:tcW w:w="1558"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516145</w:t>
            </w:r>
          </w:p>
        </w:tc>
        <w:tc>
          <w:tcPr>
            <w:tcW w:w="1277"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393.21</w:t>
            </w:r>
          </w:p>
        </w:tc>
        <w:tc>
          <w:tcPr>
            <w:tcW w:w="1237"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w:t>
            </w:r>
          </w:p>
        </w:tc>
        <w:tc>
          <w:tcPr>
            <w:tcW w:w="1142"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54</w:t>
            </w:r>
          </w:p>
        </w:tc>
        <w:tc>
          <w:tcPr>
            <w:tcW w:w="1357"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vMerge w:val="restart"/>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车辆及设施情况</w:t>
            </w:r>
          </w:p>
        </w:tc>
        <w:tc>
          <w:tcPr>
            <w:tcW w:w="1558"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乘用车总量</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辆</w:t>
            </w:r>
          </w:p>
        </w:tc>
        <w:tc>
          <w:tcPr>
            <w:tcW w:w="1277"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电动汽车</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辆</w:t>
            </w:r>
          </w:p>
        </w:tc>
        <w:tc>
          <w:tcPr>
            <w:tcW w:w="1237"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公共枪</w:t>
            </w:r>
            <w:r>
              <w:rPr>
                <w:b/>
                <w:color w:val="000000" w:themeColor="text1"/>
                <w:sz w:val="24"/>
                <w14:textFill>
                  <w14:solidFill>
                    <w14:schemeClr w14:val="tx1"/>
                  </w14:solidFill>
                </w14:textFill>
              </w:rPr>
              <w:t>/</w:t>
            </w:r>
          </w:p>
          <w:p>
            <w:pPr>
              <w:pStyle w:val="69"/>
              <w:spacing w:line="240" w:lineRule="auto"/>
              <w:ind w:firstLine="0"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根</w:t>
            </w:r>
          </w:p>
        </w:tc>
        <w:tc>
          <w:tcPr>
            <w:tcW w:w="1142"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专用枪</w:t>
            </w:r>
            <w:r>
              <w:rPr>
                <w:b/>
                <w:color w:val="000000" w:themeColor="text1"/>
                <w:sz w:val="24"/>
                <w14:textFill>
                  <w14:solidFill>
                    <w14:schemeClr w14:val="tx1"/>
                  </w14:solidFill>
                </w14:textFill>
              </w:rPr>
              <w:t>/根</w:t>
            </w:r>
          </w:p>
        </w:tc>
        <w:tc>
          <w:tcPr>
            <w:tcW w:w="1357"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居民枪</w:t>
            </w:r>
            <w:r>
              <w:rPr>
                <w:b/>
                <w:color w:val="000000" w:themeColor="text1"/>
                <w:sz w:val="24"/>
                <w14:textFill>
                  <w14:solidFill>
                    <w14:schemeClr w14:val="tx1"/>
                  </w14:solidFill>
                </w14:textFill>
              </w:rPr>
              <w:t>/</w:t>
            </w:r>
          </w:p>
          <w:p>
            <w:pPr>
              <w:pStyle w:val="69"/>
              <w:spacing w:line="240" w:lineRule="auto"/>
              <w:ind w:firstLine="0"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vMerge w:val="continue"/>
            <w:vAlign w:val="center"/>
          </w:tcPr>
          <w:p>
            <w:pPr>
              <w:pStyle w:val="69"/>
              <w:spacing w:line="240" w:lineRule="auto"/>
              <w:ind w:firstLine="0" w:firstLineChars="0"/>
              <w:jc w:val="center"/>
              <w:rPr>
                <w:b/>
                <w:color w:val="000000" w:themeColor="text1"/>
                <w:sz w:val="24"/>
                <w14:textFill>
                  <w14:solidFill>
                    <w14:schemeClr w14:val="tx1"/>
                  </w14:solidFill>
                </w14:textFill>
              </w:rPr>
            </w:pPr>
          </w:p>
        </w:tc>
        <w:tc>
          <w:tcPr>
            <w:tcW w:w="1558"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163021</w:t>
            </w:r>
          </w:p>
        </w:tc>
        <w:tc>
          <w:tcPr>
            <w:tcW w:w="1277"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7960</w:t>
            </w:r>
          </w:p>
        </w:tc>
        <w:tc>
          <w:tcPr>
            <w:tcW w:w="1237"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27</w:t>
            </w:r>
          </w:p>
        </w:tc>
        <w:tc>
          <w:tcPr>
            <w:tcW w:w="1142"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204</w:t>
            </w:r>
          </w:p>
        </w:tc>
        <w:tc>
          <w:tcPr>
            <w:tcW w:w="1357"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4855</w:t>
            </w:r>
          </w:p>
        </w:tc>
      </w:tr>
    </w:tbl>
    <w:p>
      <w:pPr>
        <w:pStyle w:val="69"/>
        <w:ind w:firstLine="640"/>
        <w:rPr>
          <w:color w:val="000000" w:themeColor="text1"/>
          <w14:textFill>
            <w14:solidFill>
              <w14:schemeClr w14:val="tx1"/>
            </w14:solidFill>
          </w14:textFill>
        </w:rPr>
      </w:pPr>
      <w:r>
        <w:rPr>
          <w:color w:val="000000" w:themeColor="text1"/>
          <w14:textFill>
            <w14:solidFill>
              <w14:schemeClr w14:val="tx1"/>
            </w14:solidFill>
          </w14:textFill>
        </w:rPr>
        <w:t>现状区</w:t>
      </w:r>
      <w:r>
        <w:rPr>
          <w:rFonts w:hint="eastAsia"/>
          <w:color w:val="000000" w:themeColor="text1"/>
          <w14:textFill>
            <w14:solidFill>
              <w14:schemeClr w14:val="tx1"/>
            </w14:solidFill>
          </w14:textFill>
        </w:rPr>
        <w:t>内</w:t>
      </w:r>
      <w:r>
        <w:rPr>
          <w:color w:val="000000" w:themeColor="text1"/>
          <w14:textFill>
            <w14:solidFill>
              <w14:schemeClr w14:val="tx1"/>
            </w14:solidFill>
          </w14:textFill>
        </w:rPr>
        <w:t>电动汽车保有量与公用充电桩的车桩比达</w:t>
      </w:r>
      <w:r>
        <w:rPr>
          <w:rFonts w:hint="eastAsia"/>
          <w:color w:val="000000" w:themeColor="text1"/>
          <w14:textFill>
            <w14:solidFill>
              <w14:schemeClr w14:val="tx1"/>
            </w14:solidFill>
          </w14:textFill>
        </w:rPr>
        <w:t>10.9:1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现状区内电动汽车保有量与居民桩的车桩比达1.64:1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公交车车桩比</w:t>
      </w:r>
      <w:r>
        <w:rPr>
          <w:color w:val="000000" w:themeColor="text1"/>
          <w14:textFill>
            <w14:solidFill>
              <w14:schemeClr w14:val="tx1"/>
            </w14:solidFill>
          </w14:textFill>
        </w:rPr>
        <w:t>1.4</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:1。</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车桩比在</w:t>
      </w:r>
      <w:r>
        <w:rPr>
          <w:color w:val="000000" w:themeColor="text1"/>
          <w14:textFill>
            <w14:solidFill>
              <w14:schemeClr w14:val="tx1"/>
            </w14:solidFill>
          </w14:textFill>
        </w:rPr>
        <w:t>一定程度上</w:t>
      </w:r>
      <w:r>
        <w:rPr>
          <w:rFonts w:hint="eastAsia"/>
          <w:color w:val="000000" w:themeColor="text1"/>
          <w14:textFill>
            <w14:solidFill>
              <w14:schemeClr w14:val="tx1"/>
            </w14:solidFill>
          </w14:textFill>
        </w:rPr>
        <w:t>决定了充电基础设施网络的整体服务水平，结合下表相关城市经验，镇海区专用桩车桩比处于较高水平</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居民桩车桩比处于中等水平</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仍有提升空间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电动汽车公共桩车桩比相比宁波市“十三五”规划的</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仍显不足</w:t>
      </w:r>
      <w:r>
        <w:rPr>
          <w:color w:val="000000" w:themeColor="text1"/>
          <w14:textFill>
            <w14:solidFill>
              <w14:schemeClr w14:val="tx1"/>
            </w14:solidFill>
          </w14:textFill>
        </w:rPr>
        <w:t>。</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w:t>
      </w:r>
      <w:r>
        <w:rPr>
          <w:color w:val="000000" w:themeColor="text1"/>
          <w:sz w:val="24"/>
          <w14:textFill>
            <w14:solidFill>
              <w14:schemeClr w14:val="tx1"/>
            </w14:solidFill>
          </w14:textFill>
        </w:rPr>
        <w:t>3-6</w:t>
      </w:r>
      <w:r>
        <w:rPr>
          <w:rFonts w:hint="eastAsia"/>
          <w:color w:val="000000" w:themeColor="text1"/>
          <w:sz w:val="24"/>
          <w14:textFill>
            <w14:solidFill>
              <w14:schemeClr w14:val="tx1"/>
            </w14:solidFill>
          </w14:textFill>
        </w:rPr>
        <w:t>相关城市车桩比经验一览表</w:t>
      </w:r>
    </w:p>
    <w:tbl>
      <w:tblPr>
        <w:tblStyle w:val="3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7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shd w:val="clear" w:color="auto" w:fill="auto"/>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城市</w:t>
            </w:r>
          </w:p>
        </w:tc>
        <w:tc>
          <w:tcPr>
            <w:tcW w:w="7152" w:type="dxa"/>
            <w:shd w:val="clear" w:color="auto" w:fill="auto"/>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shd w:val="clear" w:color="auto" w:fill="auto"/>
            <w:vAlign w:val="center"/>
          </w:tcPr>
          <w:p>
            <w:pPr>
              <w:pStyle w:val="69"/>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广州</w:t>
            </w:r>
          </w:p>
        </w:tc>
        <w:tc>
          <w:tcPr>
            <w:tcW w:w="7152" w:type="dxa"/>
            <w:shd w:val="clear" w:color="auto" w:fill="auto"/>
            <w:vAlign w:val="center"/>
          </w:tcPr>
          <w:p>
            <w:pPr>
              <w:pStyle w:val="69"/>
              <w:spacing w:line="240" w:lineRule="auto"/>
              <w:ind w:firstLine="0" w:firstLineChars="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按公共快充柜数10:1配置公共快充站，家庭用车和公务车按照1:1配置交流</w:t>
            </w:r>
            <w:r>
              <w:rPr>
                <w:bCs/>
                <w:color w:val="000000" w:themeColor="text1"/>
                <w:sz w:val="24"/>
                <w14:textFill>
                  <w14:solidFill>
                    <w14:schemeClr w14:val="tx1"/>
                  </w14:solidFill>
                </w14:textFill>
              </w:rPr>
              <w:t>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shd w:val="clear" w:color="auto" w:fill="auto"/>
            <w:vAlign w:val="center"/>
          </w:tcPr>
          <w:p>
            <w:pPr>
              <w:pStyle w:val="69"/>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深圳</w:t>
            </w:r>
          </w:p>
        </w:tc>
        <w:tc>
          <w:tcPr>
            <w:tcW w:w="7152" w:type="dxa"/>
            <w:shd w:val="clear" w:color="auto" w:fill="auto"/>
            <w:vAlign w:val="center"/>
          </w:tcPr>
          <w:p>
            <w:pPr>
              <w:pStyle w:val="69"/>
              <w:spacing w:line="240" w:lineRule="auto"/>
              <w:ind w:firstLine="0" w:firstLineChars="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出租车快速充电桩5:1，私乘车慢充1:1.5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shd w:val="clear" w:color="auto" w:fill="auto"/>
            <w:vAlign w:val="center"/>
          </w:tcPr>
          <w:p>
            <w:pPr>
              <w:pStyle w:val="69"/>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北京</w:t>
            </w:r>
          </w:p>
        </w:tc>
        <w:tc>
          <w:tcPr>
            <w:tcW w:w="7152" w:type="dxa"/>
            <w:shd w:val="clear" w:color="auto" w:fill="auto"/>
            <w:vAlign w:val="center"/>
          </w:tcPr>
          <w:p>
            <w:pPr>
              <w:pStyle w:val="69"/>
              <w:spacing w:line="240" w:lineRule="auto"/>
              <w:ind w:firstLine="0" w:firstLineChars="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对市区电动出租车按照不低于3：1的车桩比建设快速充电桩；对区域电动出租车分别按照不低于1：1、5：1的车桩比建设交流充电桩、快速充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shd w:val="clear" w:color="auto" w:fill="auto"/>
            <w:vAlign w:val="center"/>
          </w:tcPr>
          <w:p>
            <w:pPr>
              <w:pStyle w:val="69"/>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合肥</w:t>
            </w:r>
          </w:p>
        </w:tc>
        <w:tc>
          <w:tcPr>
            <w:tcW w:w="7152" w:type="dxa"/>
            <w:shd w:val="clear" w:color="auto" w:fill="auto"/>
            <w:vAlign w:val="center"/>
          </w:tcPr>
          <w:p>
            <w:pPr>
              <w:pStyle w:val="69"/>
              <w:spacing w:line="240" w:lineRule="auto"/>
              <w:ind w:firstLine="0" w:firstLineChars="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公交车、短途客运：2:1-3:1；私乘车、出租车：4:1-6:1；小型物流：10:1；环卫车：4:1。各车型交流枪按照1:1进行配置</w:t>
            </w:r>
          </w:p>
        </w:tc>
      </w:tr>
    </w:tbl>
    <w:p>
      <w:pPr>
        <w:pStyle w:val="67"/>
        <w:rPr>
          <w:color w:val="000000" w:themeColor="text1"/>
          <w14:textFill>
            <w14:solidFill>
              <w14:schemeClr w14:val="tx1"/>
            </w14:solidFill>
          </w14:textFill>
        </w:rPr>
      </w:pPr>
      <w:r>
        <w:rPr>
          <w:color w:val="000000" w:themeColor="text1"/>
          <w14:textFill>
            <w14:solidFill>
              <w14:schemeClr w14:val="tx1"/>
            </w14:solidFill>
          </w14:textFill>
        </w:rPr>
        <w:t>3.2.2布局</w:t>
      </w:r>
      <w:bookmarkEnd w:id="11"/>
      <w:bookmarkEnd w:id="12"/>
      <w:bookmarkEnd w:id="13"/>
      <w:bookmarkEnd w:id="14"/>
      <w:r>
        <w:rPr>
          <w:rFonts w:hint="eastAsia"/>
          <w:color w:val="000000" w:themeColor="text1"/>
          <w14:textFill>
            <w14:solidFill>
              <w14:schemeClr w14:val="tx1"/>
            </w14:solidFill>
          </w14:textFill>
        </w:rPr>
        <w:t>情况</w:t>
      </w:r>
    </w:p>
    <w:p>
      <w:pPr>
        <w:pStyle w:val="69"/>
        <w:ind w:firstLine="643"/>
        <w:rPr>
          <w:color w:val="000000" w:themeColor="text1"/>
          <w14:textFill>
            <w14:solidFill>
              <w14:schemeClr w14:val="tx1"/>
            </w14:solidFill>
          </w14:textFill>
        </w:rPr>
      </w:pPr>
      <w:r>
        <w:rPr>
          <w:b/>
          <w:color w:val="000000" w:themeColor="text1"/>
          <w14:textFill>
            <w14:solidFill>
              <w14:schemeClr w14:val="tx1"/>
            </w14:solidFill>
          </w14:textFill>
        </w:rPr>
        <w:t>分布情况：</w:t>
      </w:r>
      <w:r>
        <w:rPr>
          <w:color w:val="000000" w:themeColor="text1"/>
          <w14:textFill>
            <w14:solidFill>
              <w14:schemeClr w14:val="tx1"/>
            </w14:solidFill>
          </w14:textFill>
        </w:rPr>
        <w:t>各街道</w:t>
      </w:r>
      <w:r>
        <w:rPr>
          <w:rFonts w:hint="eastAsia"/>
          <w:color w:val="000000" w:themeColor="text1"/>
          <w14:textFill>
            <w14:solidFill>
              <w14:schemeClr w14:val="tx1"/>
            </w14:solidFill>
          </w14:textFill>
        </w:rPr>
        <w:t>间</w:t>
      </w:r>
      <w:r>
        <w:rPr>
          <w:color w:val="000000" w:themeColor="text1"/>
          <w14:textFill>
            <w14:solidFill>
              <w14:schemeClr w14:val="tx1"/>
            </w14:solidFill>
          </w14:textFill>
        </w:rPr>
        <w:t>充电桩建设数量存在</w:t>
      </w:r>
      <w:r>
        <w:rPr>
          <w:rFonts w:hint="eastAsia"/>
          <w:color w:val="000000" w:themeColor="text1"/>
          <w14:textFill>
            <w14:solidFill>
              <w14:schemeClr w14:val="tx1"/>
            </w14:solidFill>
          </w14:textFill>
        </w:rPr>
        <w:t>一定不均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在公共桩方面</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庄市街道数量最多</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占全区公共桩总数</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6.7</w:t>
      </w:r>
      <w:r>
        <w:rPr>
          <w:color w:val="000000" w:themeColor="text1"/>
          <w14:textFill>
            <w14:solidFill>
              <w14:schemeClr w14:val="tx1"/>
            </w14:solidFill>
          </w14:textFill>
        </w:rPr>
        <w:t>%，</w:t>
      </w:r>
      <w:r>
        <w:rPr>
          <w:rFonts w:hint="eastAsia" w:ascii="微软雅黑" w:hAnsi="微软雅黑" w:eastAsia="微软雅黑" w:cs="微软雅黑"/>
          <w:color w:val="000000" w:themeColor="text1"/>
          <w14:textFill>
            <w14:solidFill>
              <w14:schemeClr w14:val="tx1"/>
            </w14:solidFill>
          </w14:textFill>
        </w:rPr>
        <w:t>澥</w:t>
      </w:r>
      <w:r>
        <w:rPr>
          <w:rFonts w:hint="eastAsia" w:ascii="仿宋_GB2312" w:hAnsi="仿宋_GB2312" w:cs="仿宋_GB2312"/>
          <w:color w:val="000000" w:themeColor="text1"/>
          <w14:textFill>
            <w14:solidFill>
              <w14:schemeClr w14:val="tx1"/>
            </w14:solidFill>
          </w14:textFill>
        </w:rPr>
        <w:t>浦镇、</w:t>
      </w:r>
      <w:r>
        <w:rPr>
          <w:rFonts w:hint="eastAsia"/>
          <w:color w:val="000000" w:themeColor="text1"/>
          <w14:textFill>
            <w14:solidFill>
              <w14:schemeClr w14:val="tx1"/>
            </w14:solidFill>
          </w14:textFill>
        </w:rPr>
        <w:t>招宝山街道则明显较少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在居民桩方面</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骆驼街道与庄市街道数量最多</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占全区</w:t>
      </w:r>
      <w:r>
        <w:rPr>
          <w:color w:val="000000" w:themeColor="text1"/>
          <w14:textFill>
            <w14:solidFill>
              <w14:schemeClr w14:val="tx1"/>
            </w14:solidFill>
          </w14:textFill>
        </w:rPr>
        <w:t>79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ascii="微软雅黑" w:hAnsi="微软雅黑" w:eastAsia="微软雅黑" w:cs="微软雅黑"/>
          <w:color w:val="000000" w:themeColor="text1"/>
          <w14:textFill>
            <w14:solidFill>
              <w14:schemeClr w14:val="tx1"/>
            </w14:solidFill>
          </w14:textFill>
        </w:rPr>
        <w:t>澥</w:t>
      </w:r>
      <w:r>
        <w:rPr>
          <w:rFonts w:hint="eastAsia" w:ascii="仿宋_GB2312" w:hAnsi="仿宋_GB2312" w:cs="仿宋_GB2312"/>
          <w:color w:val="000000" w:themeColor="text1"/>
          <w14:textFill>
            <w14:solidFill>
              <w14:schemeClr w14:val="tx1"/>
            </w14:solidFill>
          </w14:textFill>
        </w:rPr>
        <w:t>浦镇</w:t>
      </w:r>
      <w:r>
        <w:rPr>
          <w:rFonts w:hint="eastAsia"/>
          <w:color w:val="000000" w:themeColor="text1"/>
          <w14:textFill>
            <w14:solidFill>
              <w14:schemeClr w14:val="tx1"/>
            </w14:solidFill>
          </w14:textFill>
        </w:rPr>
        <w:t>则明显较少</w:t>
      </w:r>
      <w:r>
        <w:rPr>
          <w:color w:val="000000" w:themeColor="text1"/>
          <w14:textFill>
            <w14:solidFill>
              <w14:schemeClr w14:val="tx1"/>
            </w14:solidFill>
          </w14:textFill>
        </w:rPr>
        <w:t>。</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表3-</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镇海</w:t>
      </w:r>
      <w:r>
        <w:rPr>
          <w:color w:val="000000" w:themeColor="text1"/>
          <w:sz w:val="24"/>
          <w14:textFill>
            <w14:solidFill>
              <w14:schemeClr w14:val="tx1"/>
            </w14:solidFill>
          </w14:textFill>
        </w:rPr>
        <w:t>区</w:t>
      </w:r>
      <w:r>
        <w:rPr>
          <w:rFonts w:hint="eastAsia"/>
          <w:color w:val="000000" w:themeColor="text1"/>
          <w:sz w:val="24"/>
          <w14:textFill>
            <w14:solidFill>
              <w14:schemeClr w14:val="tx1"/>
            </w14:solidFill>
          </w14:textFill>
        </w:rPr>
        <w:t>现状充电</w:t>
      </w:r>
      <w:r>
        <w:rPr>
          <w:color w:val="000000" w:themeColor="text1"/>
          <w:sz w:val="24"/>
          <w14:textFill>
            <w14:solidFill>
              <w14:schemeClr w14:val="tx1"/>
            </w14:solidFill>
          </w14:textFill>
        </w:rPr>
        <w:t>设施分类</w:t>
      </w:r>
      <w:r>
        <w:rPr>
          <w:rFonts w:hint="eastAsia"/>
          <w:color w:val="000000" w:themeColor="text1"/>
          <w:sz w:val="24"/>
          <w14:textFill>
            <w14:solidFill>
              <w14:schemeClr w14:val="tx1"/>
            </w14:solidFill>
          </w14:textFill>
        </w:rPr>
        <w:t>统计</w:t>
      </w:r>
      <w:r>
        <w:rPr>
          <w:color w:val="000000" w:themeColor="text1"/>
          <w:sz w:val="24"/>
          <w14:textFill>
            <w14:solidFill>
              <w14:schemeClr w14:val="tx1"/>
            </w14:solidFill>
          </w14:textFill>
        </w:rPr>
        <w:t>表</w:t>
      </w:r>
    </w:p>
    <w:tbl>
      <w:tblPr>
        <w:tblStyle w:val="34"/>
        <w:tblW w:w="8522" w:type="dxa"/>
        <w:jc w:val="center"/>
        <w:tblLayout w:type="fixed"/>
        <w:tblCellMar>
          <w:top w:w="0" w:type="dxa"/>
          <w:left w:w="108" w:type="dxa"/>
          <w:bottom w:w="0" w:type="dxa"/>
          <w:right w:w="108" w:type="dxa"/>
        </w:tblCellMar>
      </w:tblPr>
      <w:tblGrid>
        <w:gridCol w:w="1807"/>
        <w:gridCol w:w="1595"/>
        <w:gridCol w:w="1691"/>
        <w:gridCol w:w="2158"/>
        <w:gridCol w:w="1271"/>
      </w:tblGrid>
      <w:tr>
        <w:tblPrEx>
          <w:tblCellMar>
            <w:top w:w="0" w:type="dxa"/>
            <w:left w:w="108" w:type="dxa"/>
            <w:bottom w:w="0" w:type="dxa"/>
            <w:right w:w="108" w:type="dxa"/>
          </w:tblCellMar>
        </w:tblPrEx>
        <w:trPr>
          <w:trHeight w:val="454" w:hRule="atLeast"/>
          <w:jc w:val="center"/>
        </w:trPr>
        <w:tc>
          <w:tcPr>
            <w:tcW w:w="180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辖区</w:t>
            </w:r>
          </w:p>
        </w:tc>
        <w:tc>
          <w:tcPr>
            <w:tcW w:w="159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公共枪</w:t>
            </w:r>
            <w:r>
              <w:rPr>
                <w:rFonts w:hint="eastAsia"/>
                <w:b/>
                <w:color w:val="000000" w:themeColor="text1"/>
                <w:sz w:val="24"/>
                <w14:textFill>
                  <w14:solidFill>
                    <w14:schemeClr w14:val="tx1"/>
                  </w14:solidFill>
                </w14:textFill>
              </w:rPr>
              <w:t>/根</w:t>
            </w:r>
          </w:p>
        </w:tc>
        <w:tc>
          <w:tcPr>
            <w:tcW w:w="16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专用枪</w:t>
            </w:r>
            <w:r>
              <w:rPr>
                <w:rFonts w:hint="eastAsia"/>
                <w:b/>
                <w:color w:val="000000" w:themeColor="text1"/>
                <w:sz w:val="24"/>
                <w14:textFill>
                  <w14:solidFill>
                    <w14:schemeClr w14:val="tx1"/>
                  </w14:solidFill>
                </w14:textFill>
              </w:rPr>
              <w:t>/根</w:t>
            </w:r>
          </w:p>
        </w:tc>
        <w:tc>
          <w:tcPr>
            <w:tcW w:w="215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69"/>
              <w:spacing w:line="240" w:lineRule="auto"/>
              <w:ind w:firstLine="0"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居民枪</w:t>
            </w:r>
            <w:r>
              <w:rPr>
                <w:rFonts w:hint="eastAsia"/>
                <w:b/>
                <w:color w:val="000000" w:themeColor="text1"/>
                <w:sz w:val="24"/>
                <w14:textFill>
                  <w14:solidFill>
                    <w14:schemeClr w14:val="tx1"/>
                  </w14:solidFill>
                </w14:textFill>
              </w:rPr>
              <w:t>/根</w:t>
            </w:r>
          </w:p>
        </w:tc>
        <w:tc>
          <w:tcPr>
            <w:tcW w:w="12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合计</w:t>
            </w:r>
          </w:p>
        </w:tc>
      </w:tr>
      <w:tr>
        <w:tblPrEx>
          <w:tblCellMar>
            <w:top w:w="0" w:type="dxa"/>
            <w:left w:w="108" w:type="dxa"/>
            <w:bottom w:w="0" w:type="dxa"/>
            <w:right w:w="108" w:type="dxa"/>
          </w:tblCellMar>
        </w:tblPrEx>
        <w:trPr>
          <w:trHeight w:val="454" w:hRule="atLeast"/>
          <w:jc w:val="center"/>
        </w:trPr>
        <w:tc>
          <w:tcPr>
            <w:tcW w:w="1807"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澥浦镇</w:t>
            </w:r>
          </w:p>
        </w:tc>
        <w:tc>
          <w:tcPr>
            <w:tcW w:w="1595"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18</w:t>
            </w:r>
          </w:p>
        </w:tc>
        <w:tc>
          <w:tcPr>
            <w:tcW w:w="1691"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w:t>
            </w:r>
          </w:p>
        </w:tc>
        <w:tc>
          <w:tcPr>
            <w:tcW w:w="2158" w:type="dxa"/>
            <w:tcBorders>
              <w:top w:val="nil"/>
              <w:left w:val="single" w:color="000000" w:sz="8" w:space="0"/>
              <w:bottom w:val="single" w:color="000000" w:sz="8" w:space="0"/>
              <w:right w:val="single" w:color="000000" w:sz="8" w:space="0"/>
            </w:tcBorders>
            <w:shd w:val="clear" w:color="auto" w:fill="auto"/>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21</w:t>
            </w:r>
          </w:p>
        </w:tc>
        <w:tc>
          <w:tcPr>
            <w:tcW w:w="1271"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43</w:t>
            </w:r>
          </w:p>
        </w:tc>
      </w:tr>
      <w:tr>
        <w:tblPrEx>
          <w:tblCellMar>
            <w:top w:w="0" w:type="dxa"/>
            <w:left w:w="108" w:type="dxa"/>
            <w:bottom w:w="0" w:type="dxa"/>
            <w:right w:w="108" w:type="dxa"/>
          </w:tblCellMar>
        </w:tblPrEx>
        <w:trPr>
          <w:trHeight w:val="454" w:hRule="atLeast"/>
          <w:jc w:val="center"/>
        </w:trPr>
        <w:tc>
          <w:tcPr>
            <w:tcW w:w="1807"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九龙湖镇</w:t>
            </w:r>
          </w:p>
        </w:tc>
        <w:tc>
          <w:tcPr>
            <w:tcW w:w="1595"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18</w:t>
            </w:r>
          </w:p>
        </w:tc>
        <w:tc>
          <w:tcPr>
            <w:tcW w:w="1691"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6</w:t>
            </w:r>
          </w:p>
        </w:tc>
        <w:tc>
          <w:tcPr>
            <w:tcW w:w="2158" w:type="dxa"/>
            <w:tcBorders>
              <w:top w:val="nil"/>
              <w:left w:val="single" w:color="000000" w:sz="8" w:space="0"/>
              <w:bottom w:val="single" w:color="000000" w:sz="8" w:space="0"/>
              <w:right w:val="single" w:color="000000" w:sz="8" w:space="0"/>
            </w:tcBorders>
            <w:shd w:val="clear" w:color="auto" w:fill="auto"/>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449</w:t>
            </w:r>
          </w:p>
        </w:tc>
        <w:tc>
          <w:tcPr>
            <w:tcW w:w="1271"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473</w:t>
            </w:r>
          </w:p>
        </w:tc>
      </w:tr>
      <w:tr>
        <w:tblPrEx>
          <w:tblCellMar>
            <w:top w:w="0" w:type="dxa"/>
            <w:left w:w="108" w:type="dxa"/>
            <w:bottom w:w="0" w:type="dxa"/>
            <w:right w:w="108" w:type="dxa"/>
          </w:tblCellMar>
        </w:tblPrEx>
        <w:trPr>
          <w:trHeight w:val="454" w:hRule="atLeast"/>
          <w:jc w:val="center"/>
        </w:trPr>
        <w:tc>
          <w:tcPr>
            <w:tcW w:w="1807"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招宝山街道</w:t>
            </w:r>
          </w:p>
        </w:tc>
        <w:tc>
          <w:tcPr>
            <w:tcW w:w="1595"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27</w:t>
            </w:r>
          </w:p>
        </w:tc>
        <w:tc>
          <w:tcPr>
            <w:tcW w:w="1691"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w:t>
            </w:r>
          </w:p>
        </w:tc>
        <w:tc>
          <w:tcPr>
            <w:tcW w:w="2158" w:type="dxa"/>
            <w:tcBorders>
              <w:top w:val="nil"/>
              <w:left w:val="single" w:color="000000" w:sz="8" w:space="0"/>
              <w:bottom w:val="single" w:color="000000" w:sz="8" w:space="0"/>
              <w:right w:val="single" w:color="000000" w:sz="8" w:space="0"/>
            </w:tcBorders>
            <w:shd w:val="clear" w:color="auto" w:fill="auto"/>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180</w:t>
            </w:r>
          </w:p>
        </w:tc>
        <w:tc>
          <w:tcPr>
            <w:tcW w:w="1271"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21</w:t>
            </w:r>
            <w:r>
              <w:rPr>
                <w:rFonts w:hint="eastAsia"/>
                <w:bCs/>
                <w:color w:val="000000" w:themeColor="text1"/>
                <w:sz w:val="24"/>
                <w14:textFill>
                  <w14:solidFill>
                    <w14:schemeClr w14:val="tx1"/>
                  </w14:solidFill>
                </w14:textFill>
              </w:rPr>
              <w:t>0</w:t>
            </w:r>
          </w:p>
        </w:tc>
      </w:tr>
      <w:tr>
        <w:tblPrEx>
          <w:tblCellMar>
            <w:top w:w="0" w:type="dxa"/>
            <w:left w:w="108" w:type="dxa"/>
            <w:bottom w:w="0" w:type="dxa"/>
            <w:right w:w="108" w:type="dxa"/>
          </w:tblCellMar>
        </w:tblPrEx>
        <w:trPr>
          <w:trHeight w:val="454" w:hRule="atLeast"/>
          <w:jc w:val="center"/>
        </w:trPr>
        <w:tc>
          <w:tcPr>
            <w:tcW w:w="1807"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蛟川街道</w:t>
            </w:r>
          </w:p>
        </w:tc>
        <w:tc>
          <w:tcPr>
            <w:tcW w:w="1595"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94</w:t>
            </w:r>
          </w:p>
        </w:tc>
        <w:tc>
          <w:tcPr>
            <w:tcW w:w="1691"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w:t>
            </w:r>
          </w:p>
        </w:tc>
        <w:tc>
          <w:tcPr>
            <w:tcW w:w="2158" w:type="dxa"/>
            <w:tcBorders>
              <w:top w:val="nil"/>
              <w:left w:val="single" w:color="000000" w:sz="8" w:space="0"/>
              <w:bottom w:val="single" w:color="000000" w:sz="8" w:space="0"/>
              <w:right w:val="single" w:color="000000" w:sz="8" w:space="0"/>
            </w:tcBorders>
            <w:shd w:val="clear" w:color="auto" w:fill="auto"/>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345</w:t>
            </w:r>
          </w:p>
        </w:tc>
        <w:tc>
          <w:tcPr>
            <w:tcW w:w="1271"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444</w:t>
            </w:r>
          </w:p>
        </w:tc>
      </w:tr>
      <w:tr>
        <w:tblPrEx>
          <w:tblCellMar>
            <w:top w:w="0" w:type="dxa"/>
            <w:left w:w="108" w:type="dxa"/>
            <w:bottom w:w="0" w:type="dxa"/>
            <w:right w:w="108" w:type="dxa"/>
          </w:tblCellMar>
        </w:tblPrEx>
        <w:trPr>
          <w:trHeight w:val="454" w:hRule="atLeast"/>
          <w:jc w:val="center"/>
        </w:trPr>
        <w:tc>
          <w:tcPr>
            <w:tcW w:w="1807"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骆驼街道</w:t>
            </w:r>
          </w:p>
        </w:tc>
        <w:tc>
          <w:tcPr>
            <w:tcW w:w="1595"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158</w:t>
            </w:r>
          </w:p>
        </w:tc>
        <w:tc>
          <w:tcPr>
            <w:tcW w:w="1691"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183</w:t>
            </w:r>
          </w:p>
        </w:tc>
        <w:tc>
          <w:tcPr>
            <w:tcW w:w="2158" w:type="dxa"/>
            <w:tcBorders>
              <w:top w:val="nil"/>
              <w:left w:val="single" w:color="000000" w:sz="8" w:space="0"/>
              <w:bottom w:val="single" w:color="000000" w:sz="8" w:space="0"/>
              <w:right w:val="single" w:color="000000" w:sz="8" w:space="0"/>
            </w:tcBorders>
            <w:shd w:val="clear" w:color="auto" w:fill="auto"/>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2020</w:t>
            </w:r>
            <w:r>
              <w:rPr>
                <w:rFonts w:hint="eastAsia"/>
                <w:bCs/>
                <w:color w:val="000000" w:themeColor="text1"/>
                <w:sz w:val="24"/>
                <w14:textFill>
                  <w14:solidFill>
                    <w14:schemeClr w14:val="tx1"/>
                  </w14:solidFill>
                </w14:textFill>
              </w:rPr>
              <w:t>（含贵驷）</w:t>
            </w:r>
          </w:p>
        </w:tc>
        <w:tc>
          <w:tcPr>
            <w:tcW w:w="1271"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341</w:t>
            </w:r>
          </w:p>
        </w:tc>
      </w:tr>
      <w:tr>
        <w:tblPrEx>
          <w:tblCellMar>
            <w:top w:w="0" w:type="dxa"/>
            <w:left w:w="108" w:type="dxa"/>
            <w:bottom w:w="0" w:type="dxa"/>
            <w:right w:w="108" w:type="dxa"/>
          </w:tblCellMar>
        </w:tblPrEx>
        <w:trPr>
          <w:trHeight w:val="454" w:hRule="atLeast"/>
          <w:jc w:val="center"/>
        </w:trPr>
        <w:tc>
          <w:tcPr>
            <w:tcW w:w="1807"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庄市街道</w:t>
            </w:r>
          </w:p>
        </w:tc>
        <w:tc>
          <w:tcPr>
            <w:tcW w:w="1595"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412</w:t>
            </w:r>
          </w:p>
        </w:tc>
        <w:tc>
          <w:tcPr>
            <w:tcW w:w="1691"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w:t>
            </w:r>
          </w:p>
        </w:tc>
        <w:tc>
          <w:tcPr>
            <w:tcW w:w="2158" w:type="dxa"/>
            <w:tcBorders>
              <w:top w:val="nil"/>
              <w:left w:val="single" w:color="000000" w:sz="8" w:space="0"/>
              <w:bottom w:val="single" w:color="000000" w:sz="8" w:space="0"/>
              <w:right w:val="single" w:color="000000" w:sz="8" w:space="0"/>
            </w:tcBorders>
            <w:shd w:val="clear" w:color="auto" w:fill="auto"/>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1840</w:t>
            </w:r>
          </w:p>
        </w:tc>
        <w:tc>
          <w:tcPr>
            <w:tcW w:w="1271"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2255</w:t>
            </w:r>
          </w:p>
        </w:tc>
      </w:tr>
      <w:tr>
        <w:tblPrEx>
          <w:tblCellMar>
            <w:top w:w="0" w:type="dxa"/>
            <w:left w:w="108" w:type="dxa"/>
            <w:bottom w:w="0" w:type="dxa"/>
            <w:right w:w="108" w:type="dxa"/>
          </w:tblCellMar>
        </w:tblPrEx>
        <w:trPr>
          <w:trHeight w:val="454" w:hRule="atLeast"/>
          <w:jc w:val="center"/>
        </w:trPr>
        <w:tc>
          <w:tcPr>
            <w:tcW w:w="1807"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合计</w:t>
            </w:r>
          </w:p>
        </w:tc>
        <w:tc>
          <w:tcPr>
            <w:tcW w:w="1595"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7</w:t>
            </w:r>
            <w:r>
              <w:rPr>
                <w:rFonts w:hint="eastAsia"/>
                <w:bCs/>
                <w:color w:val="000000" w:themeColor="text1"/>
                <w:sz w:val="24"/>
                <w14:textFill>
                  <w14:solidFill>
                    <w14:schemeClr w14:val="tx1"/>
                  </w14:solidFill>
                </w14:textFill>
              </w:rPr>
              <w:t>27</w:t>
            </w:r>
          </w:p>
        </w:tc>
        <w:tc>
          <w:tcPr>
            <w:tcW w:w="1691"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20</w:t>
            </w:r>
            <w:r>
              <w:rPr>
                <w:rFonts w:hint="eastAsia"/>
                <w:bCs/>
                <w:color w:val="000000" w:themeColor="text1"/>
                <w:sz w:val="24"/>
                <w14:textFill>
                  <w14:solidFill>
                    <w14:schemeClr w14:val="tx1"/>
                  </w14:solidFill>
                </w14:textFill>
              </w:rPr>
              <w:t>4</w:t>
            </w:r>
          </w:p>
        </w:tc>
        <w:tc>
          <w:tcPr>
            <w:tcW w:w="2158" w:type="dxa"/>
            <w:tcBorders>
              <w:top w:val="nil"/>
              <w:left w:val="single" w:color="000000" w:sz="8" w:space="0"/>
              <w:bottom w:val="single" w:color="000000" w:sz="8" w:space="0"/>
              <w:right w:val="single" w:color="000000" w:sz="8" w:space="0"/>
            </w:tcBorders>
            <w:shd w:val="clear" w:color="auto" w:fill="auto"/>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4855</w:t>
            </w:r>
          </w:p>
        </w:tc>
        <w:tc>
          <w:tcPr>
            <w:tcW w:w="1271" w:type="dxa"/>
            <w:tcBorders>
              <w:top w:val="nil"/>
              <w:left w:val="single" w:color="000000" w:sz="8" w:space="0"/>
              <w:bottom w:val="single" w:color="000000" w:sz="8" w:space="0"/>
              <w:right w:val="single" w:color="000000" w:sz="8" w:space="0"/>
            </w:tcBorders>
            <w:shd w:val="clear" w:color="auto" w:fill="auto"/>
            <w:noWrap/>
            <w:vAlign w:val="center"/>
          </w:tcPr>
          <w:p>
            <w:pPr>
              <w:pStyle w:val="69"/>
              <w:spacing w:line="240" w:lineRule="auto"/>
              <w:ind w:firstLine="0" w:firstLineChars="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w:t>
            </w:r>
            <w:r>
              <w:rPr>
                <w:rFonts w:hint="eastAsia"/>
                <w:bCs/>
                <w:color w:val="000000" w:themeColor="text1"/>
                <w:sz w:val="24"/>
                <w14:textFill>
                  <w14:solidFill>
                    <w14:schemeClr w14:val="tx1"/>
                  </w14:solidFill>
                </w14:textFill>
              </w:rPr>
              <w:t>786</w:t>
            </w:r>
          </w:p>
        </w:tc>
      </w:tr>
    </w:tbl>
    <w:p>
      <w:pPr>
        <w:pStyle w:val="69"/>
        <w:ind w:firstLine="0" w:firstLineChars="0"/>
        <w:rPr>
          <w:bCs/>
          <w:color w:val="000000" w:themeColor="text1"/>
          <w:sz w:val="28"/>
          <w14:textFill>
            <w14:solidFill>
              <w14:schemeClr w14:val="tx1"/>
            </w14:solidFill>
          </w14:textFill>
        </w:rPr>
      </w:pPr>
    </w:p>
    <w:p>
      <w:pPr>
        <w:pStyle w:val="69"/>
        <w:ind w:firstLineChars="71"/>
        <w:rPr>
          <w:b/>
          <w:color w:val="000000" w:themeColor="text1"/>
          <w:sz w:val="28"/>
          <w14:textFill>
            <w14:solidFill>
              <w14:schemeClr w14:val="tx1"/>
            </w14:solidFill>
          </w14:textFill>
        </w:rPr>
        <w:sectPr>
          <w:footerReference r:id="rId4" w:type="default"/>
          <w:pgSz w:w="11906" w:h="16838"/>
          <w:pgMar w:top="1440" w:right="1800" w:bottom="1440" w:left="1800" w:header="851" w:footer="992" w:gutter="0"/>
          <w:cols w:space="425" w:num="1"/>
          <w:docGrid w:type="lines" w:linePitch="312" w:charSpace="0"/>
        </w:sectPr>
      </w:pPr>
    </w:p>
    <w:p>
      <w:pPr>
        <w:pStyle w:val="69"/>
        <w:ind w:firstLine="643"/>
        <w:rPr>
          <w:color w:val="000000" w:themeColor="text1"/>
          <w14:textFill>
            <w14:solidFill>
              <w14:schemeClr w14:val="tx1"/>
            </w14:solidFill>
          </w14:textFill>
        </w:rPr>
      </w:pPr>
      <w:r>
        <w:rPr>
          <w:rFonts w:hint="eastAsia"/>
          <w:b/>
          <w:color w:val="000000" w:themeColor="text1"/>
          <w14:textFill>
            <w14:solidFill>
              <w14:schemeClr w14:val="tx1"/>
            </w14:solidFill>
          </w14:textFill>
        </w:rPr>
        <w:t>覆盖</w:t>
      </w:r>
      <w:r>
        <w:rPr>
          <w:b/>
          <w:color w:val="000000" w:themeColor="text1"/>
          <w14:textFill>
            <w14:solidFill>
              <w14:schemeClr w14:val="tx1"/>
            </w14:solidFill>
          </w14:textFill>
        </w:rPr>
        <w:t>情况：</w:t>
      </w:r>
      <w:r>
        <w:rPr>
          <w:rFonts w:hint="eastAsia"/>
          <w:color w:val="000000" w:themeColor="text1"/>
          <w14:textFill>
            <w14:solidFill>
              <w14:schemeClr w14:val="tx1"/>
            </w14:solidFill>
          </w14:textFill>
        </w:rPr>
        <w:t>镇海区现状公共桩千人拥有率1.41根/千人，其中庄市街道千人拥有率最高，达4.17根/千人，九龙湖镇及骆驼街道接近区平均水平，</w:t>
      </w:r>
      <w:r>
        <w:rPr>
          <w:rFonts w:hint="eastAsia" w:ascii="微软雅黑" w:hAnsi="微软雅黑" w:eastAsia="微软雅黑" w:cs="微软雅黑"/>
          <w:color w:val="000000" w:themeColor="text1"/>
          <w14:textFill>
            <w14:solidFill>
              <w14:schemeClr w14:val="tx1"/>
            </w14:solidFill>
          </w14:textFill>
        </w:rPr>
        <w:t>澥</w:t>
      </w:r>
      <w:r>
        <w:rPr>
          <w:rFonts w:hint="eastAsia" w:ascii="仿宋_GB2312" w:hAnsi="仿宋_GB2312" w:cs="仿宋_GB2312"/>
          <w:color w:val="000000" w:themeColor="text1"/>
          <w14:textFill>
            <w14:solidFill>
              <w14:schemeClr w14:val="tx1"/>
            </w14:solidFill>
          </w14:textFill>
        </w:rPr>
        <w:t>浦镇、招宝山街道、蛟川街道千人拥有率明显低于区平均水平，现状充电设施社区覆盖率为</w:t>
      </w:r>
      <w:r>
        <w:rPr>
          <w:rFonts w:hint="eastAsia"/>
          <w:color w:val="000000" w:themeColor="text1"/>
          <w14:textFill>
            <w14:solidFill>
              <w14:schemeClr w14:val="tx1"/>
            </w14:solidFill>
          </w14:textFill>
        </w:rPr>
        <w:t>51.92%，其中，庄市街道社区覆盖率最高，达81.82%，其次为骆驼街道66.67%，其余镇街道社区覆盖率均不足40%。现状充电设施乡村覆盖率为22.58%，其中，蛟川街道乡村覆盖率最高，达50%，其次为</w:t>
      </w:r>
      <w:r>
        <w:rPr>
          <w:rFonts w:hint="eastAsia" w:ascii="微软雅黑" w:hAnsi="微软雅黑" w:eastAsia="微软雅黑" w:cs="微软雅黑"/>
          <w:color w:val="000000" w:themeColor="text1"/>
          <w14:textFill>
            <w14:solidFill>
              <w14:schemeClr w14:val="tx1"/>
            </w14:solidFill>
          </w14:textFill>
        </w:rPr>
        <w:t>澥</w:t>
      </w:r>
      <w:r>
        <w:rPr>
          <w:rFonts w:hint="eastAsia" w:ascii="仿宋_GB2312" w:hAnsi="仿宋_GB2312" w:cs="仿宋_GB2312"/>
          <w:color w:val="000000" w:themeColor="text1"/>
          <w14:textFill>
            <w14:solidFill>
              <w14:schemeClr w14:val="tx1"/>
            </w14:solidFill>
          </w14:textFill>
        </w:rPr>
        <w:t>浦镇</w:t>
      </w:r>
      <w:r>
        <w:rPr>
          <w:rFonts w:hint="eastAsia"/>
          <w:color w:val="000000" w:themeColor="text1"/>
          <w14:textFill>
            <w14:solidFill>
              <w14:schemeClr w14:val="tx1"/>
            </w14:solidFill>
          </w14:textFill>
        </w:rPr>
        <w:t>33.33%，庄市街道与骆驼街道的乡村覆盖率均为0%，覆盖情况较差。</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表3-</w:t>
      </w:r>
      <w:r>
        <w:rPr>
          <w:color w:val="000000" w:themeColor="text1"/>
          <w:sz w:val="24"/>
          <w14:textFill>
            <w14:solidFill>
              <w14:schemeClr w14:val="tx1"/>
            </w14:solidFill>
          </w14:textFill>
        </w:rPr>
        <w:t>8</w:t>
      </w:r>
      <w:r>
        <w:rPr>
          <w:rFonts w:hint="eastAsia"/>
          <w:color w:val="000000" w:themeColor="text1"/>
          <w:sz w:val="24"/>
          <w14:textFill>
            <w14:solidFill>
              <w14:schemeClr w14:val="tx1"/>
            </w14:solidFill>
          </w14:textFill>
        </w:rPr>
        <w:t>镇海区现状公共桩人口及行政区划覆盖率表（不含专用）</w:t>
      </w:r>
    </w:p>
    <w:tbl>
      <w:tblPr>
        <w:tblStyle w:val="34"/>
        <w:tblW w:w="14174" w:type="dxa"/>
        <w:jc w:val="center"/>
        <w:tblLayout w:type="fixed"/>
        <w:tblCellMar>
          <w:top w:w="0" w:type="dxa"/>
          <w:left w:w="108" w:type="dxa"/>
          <w:bottom w:w="0" w:type="dxa"/>
          <w:right w:w="108" w:type="dxa"/>
        </w:tblCellMar>
      </w:tblPr>
      <w:tblGrid>
        <w:gridCol w:w="1668"/>
        <w:gridCol w:w="1843"/>
        <w:gridCol w:w="1701"/>
        <w:gridCol w:w="1276"/>
        <w:gridCol w:w="709"/>
        <w:gridCol w:w="848"/>
        <w:gridCol w:w="995"/>
        <w:gridCol w:w="992"/>
        <w:gridCol w:w="848"/>
        <w:gridCol w:w="1134"/>
        <w:gridCol w:w="995"/>
        <w:gridCol w:w="1165"/>
      </w:tblGrid>
      <w:tr>
        <w:tblPrEx>
          <w:tblCellMar>
            <w:top w:w="0" w:type="dxa"/>
            <w:left w:w="108" w:type="dxa"/>
            <w:bottom w:w="0" w:type="dxa"/>
            <w:right w:w="108" w:type="dxa"/>
          </w:tblCellMar>
        </w:tblPrEx>
        <w:trPr>
          <w:trHeight w:val="454" w:hRule="atLeast"/>
          <w:jc w:val="center"/>
        </w:trPr>
        <w:tc>
          <w:tcPr>
            <w:tcW w:w="16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辖区</w:t>
            </w:r>
          </w:p>
        </w:tc>
        <w:tc>
          <w:tcPr>
            <w:tcW w:w="1843" w:type="dxa"/>
            <w:tcBorders>
              <w:top w:val="single" w:color="auto" w:sz="4" w:space="0"/>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行政面积</w:t>
            </w:r>
            <w:r>
              <w:rPr>
                <w:b/>
                <w:color w:val="000000" w:themeColor="text1"/>
                <w:sz w:val="24"/>
                <w14:textFill>
                  <w14:solidFill>
                    <w14:schemeClr w14:val="tx1"/>
                  </w14:solidFill>
                </w14:textFill>
              </w:rPr>
              <w:t>/ km²</w:t>
            </w:r>
          </w:p>
        </w:tc>
        <w:tc>
          <w:tcPr>
            <w:tcW w:w="1701" w:type="dxa"/>
            <w:tcBorders>
              <w:top w:val="single" w:color="auto" w:sz="4" w:space="0"/>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人口数</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总枪数/根</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枪/千人</w:t>
            </w:r>
          </w:p>
        </w:tc>
        <w:tc>
          <w:tcPr>
            <w:tcW w:w="848" w:type="dxa"/>
            <w:tcBorders>
              <w:top w:val="single" w:color="auto" w:sz="4" w:space="0"/>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社区数</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个</w:t>
            </w:r>
          </w:p>
        </w:tc>
        <w:tc>
          <w:tcPr>
            <w:tcW w:w="995" w:type="dxa"/>
            <w:tcBorders>
              <w:top w:val="single" w:color="auto" w:sz="4" w:space="0"/>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现状覆盖社区数/个</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覆盖率</w:t>
            </w:r>
          </w:p>
        </w:tc>
        <w:tc>
          <w:tcPr>
            <w:tcW w:w="848" w:type="dxa"/>
            <w:tcBorders>
              <w:top w:val="single" w:color="auto" w:sz="4" w:space="0"/>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村庄数</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个</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扣除拆迁后村庄数/个</w:t>
            </w:r>
          </w:p>
        </w:tc>
        <w:tc>
          <w:tcPr>
            <w:tcW w:w="995" w:type="dxa"/>
            <w:tcBorders>
              <w:top w:val="single" w:color="auto" w:sz="4" w:space="0"/>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现状覆盖村庄数</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个</w:t>
            </w:r>
          </w:p>
        </w:tc>
        <w:tc>
          <w:tcPr>
            <w:tcW w:w="1165" w:type="dxa"/>
            <w:tcBorders>
              <w:top w:val="single" w:color="auto" w:sz="4" w:space="0"/>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覆盖率</w:t>
            </w:r>
          </w:p>
        </w:tc>
      </w:tr>
      <w:tr>
        <w:tblPrEx>
          <w:tblCellMar>
            <w:top w:w="0" w:type="dxa"/>
            <w:left w:w="108" w:type="dxa"/>
            <w:bottom w:w="0" w:type="dxa"/>
            <w:right w:w="108" w:type="dxa"/>
          </w:tblCellMar>
        </w:tblPrEx>
        <w:trPr>
          <w:trHeight w:val="454" w:hRule="atLeast"/>
          <w:jc w:val="center"/>
        </w:trPr>
        <w:tc>
          <w:tcPr>
            <w:tcW w:w="1668" w:type="dxa"/>
            <w:tcBorders>
              <w:top w:val="nil"/>
              <w:left w:val="single" w:color="auto" w:sz="4" w:space="0"/>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澥浦镇</w:t>
            </w:r>
          </w:p>
        </w:tc>
        <w:tc>
          <w:tcPr>
            <w:tcW w:w="1843"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25.44</w:t>
            </w:r>
          </w:p>
        </w:tc>
        <w:tc>
          <w:tcPr>
            <w:tcW w:w="1701"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50660</w:t>
            </w:r>
          </w:p>
        </w:tc>
        <w:tc>
          <w:tcPr>
            <w:tcW w:w="1276"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18</w:t>
            </w:r>
          </w:p>
        </w:tc>
        <w:tc>
          <w:tcPr>
            <w:tcW w:w="709"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0.36 </w:t>
            </w:r>
          </w:p>
        </w:tc>
        <w:tc>
          <w:tcPr>
            <w:tcW w:w="848"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4</w:t>
            </w:r>
          </w:p>
        </w:tc>
        <w:tc>
          <w:tcPr>
            <w:tcW w:w="99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992"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25.00%</w:t>
            </w:r>
          </w:p>
        </w:tc>
        <w:tc>
          <w:tcPr>
            <w:tcW w:w="848"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w:t>
            </w:r>
          </w:p>
        </w:tc>
        <w:tc>
          <w:tcPr>
            <w:tcW w:w="1134"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p>
        </w:tc>
        <w:tc>
          <w:tcPr>
            <w:tcW w:w="99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p>
        </w:tc>
        <w:tc>
          <w:tcPr>
            <w:tcW w:w="116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33.33%</w:t>
            </w:r>
          </w:p>
        </w:tc>
      </w:tr>
      <w:tr>
        <w:tblPrEx>
          <w:tblCellMar>
            <w:top w:w="0" w:type="dxa"/>
            <w:left w:w="108" w:type="dxa"/>
            <w:bottom w:w="0" w:type="dxa"/>
            <w:right w:w="108" w:type="dxa"/>
          </w:tblCellMar>
        </w:tblPrEx>
        <w:trPr>
          <w:trHeight w:val="454" w:hRule="atLeast"/>
          <w:jc w:val="center"/>
        </w:trPr>
        <w:tc>
          <w:tcPr>
            <w:tcW w:w="1668" w:type="dxa"/>
            <w:tcBorders>
              <w:top w:val="nil"/>
              <w:left w:val="single" w:color="auto" w:sz="4" w:space="0"/>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九龙湖镇</w:t>
            </w:r>
          </w:p>
        </w:tc>
        <w:tc>
          <w:tcPr>
            <w:tcW w:w="1843"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65.3</w:t>
            </w:r>
          </w:p>
        </w:tc>
        <w:tc>
          <w:tcPr>
            <w:tcW w:w="1701"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42509</w:t>
            </w:r>
          </w:p>
        </w:tc>
        <w:tc>
          <w:tcPr>
            <w:tcW w:w="1276"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18</w:t>
            </w:r>
          </w:p>
        </w:tc>
        <w:tc>
          <w:tcPr>
            <w:tcW w:w="709"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0.42 </w:t>
            </w:r>
          </w:p>
        </w:tc>
        <w:tc>
          <w:tcPr>
            <w:tcW w:w="848"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fldChar w:fldCharType="begin"/>
            </w:r>
            <w:r>
              <w:instrText xml:space="preserve"> HYPERLINK "http://getdiming.qi18.com/zhejiangsheng/zhenhaiqu_jiulonghuzhen_siyuanshequdianhltq/" \o "http://getdiming.qi18.com/zhejiangsheng/zhenhaiqu_jiulonghuzhen_siyuanshequdianhltq/" </w:instrText>
            </w:r>
            <w:r>
              <w:fldChar w:fldCharType="separate"/>
            </w:r>
            <w:r>
              <w:rPr>
                <w:color w:val="000000" w:themeColor="text1"/>
                <w:sz w:val="24"/>
                <w14:textFill>
                  <w14:solidFill>
                    <w14:schemeClr w14:val="tx1"/>
                  </w14:solidFill>
                </w14:textFill>
              </w:rPr>
              <w:t>3</w:t>
            </w:r>
            <w:r>
              <w:rPr>
                <w:color w:val="000000" w:themeColor="text1"/>
                <w:sz w:val="24"/>
                <w14:textFill>
                  <w14:solidFill>
                    <w14:schemeClr w14:val="tx1"/>
                  </w14:solidFill>
                </w14:textFill>
              </w:rPr>
              <w:fldChar w:fldCharType="end"/>
            </w:r>
          </w:p>
        </w:tc>
        <w:tc>
          <w:tcPr>
            <w:tcW w:w="99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992"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33.33%</w:t>
            </w:r>
          </w:p>
        </w:tc>
        <w:tc>
          <w:tcPr>
            <w:tcW w:w="848"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11</w:t>
            </w:r>
          </w:p>
        </w:tc>
        <w:tc>
          <w:tcPr>
            <w:tcW w:w="1134"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w:t>
            </w:r>
          </w:p>
        </w:tc>
        <w:tc>
          <w:tcPr>
            <w:tcW w:w="99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p>
        </w:tc>
        <w:tc>
          <w:tcPr>
            <w:tcW w:w="116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18.18%</w:t>
            </w:r>
          </w:p>
        </w:tc>
      </w:tr>
      <w:tr>
        <w:tblPrEx>
          <w:tblCellMar>
            <w:top w:w="0" w:type="dxa"/>
            <w:left w:w="108" w:type="dxa"/>
            <w:bottom w:w="0" w:type="dxa"/>
            <w:right w:w="108" w:type="dxa"/>
          </w:tblCellMar>
        </w:tblPrEx>
        <w:trPr>
          <w:trHeight w:val="454" w:hRule="atLeast"/>
          <w:jc w:val="center"/>
        </w:trPr>
        <w:tc>
          <w:tcPr>
            <w:tcW w:w="1668" w:type="dxa"/>
            <w:tcBorders>
              <w:top w:val="nil"/>
              <w:left w:val="single" w:color="auto" w:sz="4" w:space="0"/>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招宝山街道</w:t>
            </w:r>
          </w:p>
        </w:tc>
        <w:tc>
          <w:tcPr>
            <w:tcW w:w="1843"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20.8</w:t>
            </w:r>
          </w:p>
        </w:tc>
        <w:tc>
          <w:tcPr>
            <w:tcW w:w="1701"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83934</w:t>
            </w:r>
          </w:p>
        </w:tc>
        <w:tc>
          <w:tcPr>
            <w:tcW w:w="1276"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27</w:t>
            </w:r>
          </w:p>
        </w:tc>
        <w:tc>
          <w:tcPr>
            <w:tcW w:w="709"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0.32 </w:t>
            </w:r>
          </w:p>
        </w:tc>
        <w:tc>
          <w:tcPr>
            <w:tcW w:w="848"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fldChar w:fldCharType="begin"/>
            </w:r>
            <w:r>
              <w:instrText xml:space="preserve"> HYPERLINK "http://getdiming.qi18.com/zhejiangsheng/zhenhaiqu_zhaobaoshanjiedao_bailongshequdianhltq/" \o "http://getdiming.qi18.com/zhejiangsheng/zhenhaiqu_zhaobaoshanjiedao_bailongshequdianhltq/" </w:instrText>
            </w:r>
            <w:r>
              <w:fldChar w:fldCharType="separate"/>
            </w:r>
            <w:r>
              <w:rPr>
                <w:color w:val="000000" w:themeColor="text1"/>
                <w:sz w:val="24"/>
                <w14:textFill>
                  <w14:solidFill>
                    <w14:schemeClr w14:val="tx1"/>
                  </w14:solidFill>
                </w14:textFill>
              </w:rPr>
              <w:t>11</w:t>
            </w:r>
            <w:r>
              <w:rPr>
                <w:color w:val="000000" w:themeColor="text1"/>
                <w:sz w:val="24"/>
                <w14:textFill>
                  <w14:solidFill>
                    <w14:schemeClr w14:val="tx1"/>
                  </w14:solidFill>
                </w14:textFill>
              </w:rPr>
              <w:fldChar w:fldCharType="end"/>
            </w:r>
          </w:p>
        </w:tc>
        <w:tc>
          <w:tcPr>
            <w:tcW w:w="99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p>
        </w:tc>
        <w:tc>
          <w:tcPr>
            <w:tcW w:w="992"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27.27%</w:t>
            </w:r>
          </w:p>
        </w:tc>
        <w:tc>
          <w:tcPr>
            <w:tcW w:w="848"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0</w:t>
            </w:r>
          </w:p>
        </w:tc>
        <w:tc>
          <w:tcPr>
            <w:tcW w:w="1134"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99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116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tblPrEx>
          <w:tblCellMar>
            <w:top w:w="0" w:type="dxa"/>
            <w:left w:w="108" w:type="dxa"/>
            <w:bottom w:w="0" w:type="dxa"/>
            <w:right w:w="108" w:type="dxa"/>
          </w:tblCellMar>
        </w:tblPrEx>
        <w:trPr>
          <w:trHeight w:val="454" w:hRule="atLeast"/>
          <w:jc w:val="center"/>
        </w:trPr>
        <w:tc>
          <w:tcPr>
            <w:tcW w:w="1668" w:type="dxa"/>
            <w:tcBorders>
              <w:top w:val="nil"/>
              <w:left w:val="single" w:color="auto" w:sz="4" w:space="0"/>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蛟川街道</w:t>
            </w:r>
          </w:p>
        </w:tc>
        <w:tc>
          <w:tcPr>
            <w:tcW w:w="1843"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36.82</w:t>
            </w:r>
          </w:p>
        </w:tc>
        <w:tc>
          <w:tcPr>
            <w:tcW w:w="1701"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128880</w:t>
            </w:r>
          </w:p>
        </w:tc>
        <w:tc>
          <w:tcPr>
            <w:tcW w:w="1276"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94</w:t>
            </w:r>
          </w:p>
        </w:tc>
        <w:tc>
          <w:tcPr>
            <w:tcW w:w="709"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0.73 </w:t>
            </w:r>
          </w:p>
        </w:tc>
        <w:tc>
          <w:tcPr>
            <w:tcW w:w="848"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13</w:t>
            </w:r>
          </w:p>
        </w:tc>
        <w:tc>
          <w:tcPr>
            <w:tcW w:w="99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p>
        </w:tc>
        <w:tc>
          <w:tcPr>
            <w:tcW w:w="992"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38.46%</w:t>
            </w:r>
          </w:p>
        </w:tc>
        <w:tc>
          <w:tcPr>
            <w:tcW w:w="848"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w:t>
            </w:r>
          </w:p>
        </w:tc>
        <w:tc>
          <w:tcPr>
            <w:tcW w:w="1134"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w:t>
            </w:r>
          </w:p>
        </w:tc>
        <w:tc>
          <w:tcPr>
            <w:tcW w:w="99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p>
        </w:tc>
        <w:tc>
          <w:tcPr>
            <w:tcW w:w="116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50.00%</w:t>
            </w:r>
          </w:p>
        </w:tc>
      </w:tr>
      <w:tr>
        <w:tblPrEx>
          <w:tblCellMar>
            <w:top w:w="0" w:type="dxa"/>
            <w:left w:w="108" w:type="dxa"/>
            <w:bottom w:w="0" w:type="dxa"/>
            <w:right w:w="108" w:type="dxa"/>
          </w:tblCellMar>
        </w:tblPrEx>
        <w:trPr>
          <w:trHeight w:val="454" w:hRule="atLeast"/>
          <w:jc w:val="center"/>
        </w:trPr>
        <w:tc>
          <w:tcPr>
            <w:tcW w:w="1668" w:type="dxa"/>
            <w:tcBorders>
              <w:top w:val="nil"/>
              <w:left w:val="single" w:color="auto" w:sz="4" w:space="0"/>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骆驼街道</w:t>
            </w:r>
          </w:p>
        </w:tc>
        <w:tc>
          <w:tcPr>
            <w:tcW w:w="1843"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30.25</w:t>
            </w:r>
          </w:p>
        </w:tc>
        <w:tc>
          <w:tcPr>
            <w:tcW w:w="1701"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111310</w:t>
            </w:r>
          </w:p>
        </w:tc>
        <w:tc>
          <w:tcPr>
            <w:tcW w:w="1276"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158</w:t>
            </w:r>
          </w:p>
        </w:tc>
        <w:tc>
          <w:tcPr>
            <w:tcW w:w="709"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1.42 </w:t>
            </w:r>
          </w:p>
        </w:tc>
        <w:tc>
          <w:tcPr>
            <w:tcW w:w="848"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12</w:t>
            </w:r>
          </w:p>
        </w:tc>
        <w:tc>
          <w:tcPr>
            <w:tcW w:w="99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w:t>
            </w:r>
          </w:p>
        </w:tc>
        <w:tc>
          <w:tcPr>
            <w:tcW w:w="992"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66.67%</w:t>
            </w:r>
          </w:p>
        </w:tc>
        <w:tc>
          <w:tcPr>
            <w:tcW w:w="848"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9</w:t>
            </w:r>
          </w:p>
        </w:tc>
        <w:tc>
          <w:tcPr>
            <w:tcW w:w="1134"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w:t>
            </w:r>
          </w:p>
        </w:tc>
        <w:tc>
          <w:tcPr>
            <w:tcW w:w="99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116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0.00%</w:t>
            </w:r>
          </w:p>
        </w:tc>
      </w:tr>
      <w:tr>
        <w:tblPrEx>
          <w:tblCellMar>
            <w:top w:w="0" w:type="dxa"/>
            <w:left w:w="108" w:type="dxa"/>
            <w:bottom w:w="0" w:type="dxa"/>
            <w:right w:w="108" w:type="dxa"/>
          </w:tblCellMar>
        </w:tblPrEx>
        <w:trPr>
          <w:trHeight w:val="454" w:hRule="atLeast"/>
          <w:jc w:val="center"/>
        </w:trPr>
        <w:tc>
          <w:tcPr>
            <w:tcW w:w="1668" w:type="dxa"/>
            <w:tcBorders>
              <w:top w:val="nil"/>
              <w:left w:val="single" w:color="auto" w:sz="4" w:space="0"/>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庄市街道</w:t>
            </w:r>
          </w:p>
        </w:tc>
        <w:tc>
          <w:tcPr>
            <w:tcW w:w="1843"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25.13</w:t>
            </w:r>
          </w:p>
        </w:tc>
        <w:tc>
          <w:tcPr>
            <w:tcW w:w="1701"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98822</w:t>
            </w:r>
          </w:p>
        </w:tc>
        <w:tc>
          <w:tcPr>
            <w:tcW w:w="1276"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412</w:t>
            </w:r>
          </w:p>
        </w:tc>
        <w:tc>
          <w:tcPr>
            <w:tcW w:w="709"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4.17 </w:t>
            </w:r>
          </w:p>
        </w:tc>
        <w:tc>
          <w:tcPr>
            <w:tcW w:w="848"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11</w:t>
            </w:r>
          </w:p>
        </w:tc>
        <w:tc>
          <w:tcPr>
            <w:tcW w:w="99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w:t>
            </w:r>
          </w:p>
        </w:tc>
        <w:tc>
          <w:tcPr>
            <w:tcW w:w="992"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81.82%</w:t>
            </w:r>
          </w:p>
        </w:tc>
        <w:tc>
          <w:tcPr>
            <w:tcW w:w="848"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5</w:t>
            </w:r>
          </w:p>
        </w:tc>
        <w:tc>
          <w:tcPr>
            <w:tcW w:w="1134"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p>
        </w:tc>
        <w:tc>
          <w:tcPr>
            <w:tcW w:w="99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w:t>
            </w:r>
          </w:p>
        </w:tc>
        <w:tc>
          <w:tcPr>
            <w:tcW w:w="116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0.00%</w:t>
            </w:r>
          </w:p>
        </w:tc>
      </w:tr>
      <w:tr>
        <w:tblPrEx>
          <w:tblCellMar>
            <w:top w:w="0" w:type="dxa"/>
            <w:left w:w="108" w:type="dxa"/>
            <w:bottom w:w="0" w:type="dxa"/>
            <w:right w:w="108" w:type="dxa"/>
          </w:tblCellMar>
        </w:tblPrEx>
        <w:trPr>
          <w:trHeight w:val="454" w:hRule="atLeast"/>
          <w:jc w:val="center"/>
        </w:trPr>
        <w:tc>
          <w:tcPr>
            <w:tcW w:w="1668" w:type="dxa"/>
            <w:tcBorders>
              <w:top w:val="nil"/>
              <w:left w:val="single" w:color="auto" w:sz="4" w:space="0"/>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合计</w:t>
            </w:r>
          </w:p>
        </w:tc>
        <w:tc>
          <w:tcPr>
            <w:tcW w:w="1843"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203.74</w:t>
            </w:r>
          </w:p>
        </w:tc>
        <w:tc>
          <w:tcPr>
            <w:tcW w:w="1701"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516115</w:t>
            </w:r>
          </w:p>
        </w:tc>
        <w:tc>
          <w:tcPr>
            <w:tcW w:w="1276"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727</w:t>
            </w:r>
          </w:p>
        </w:tc>
        <w:tc>
          <w:tcPr>
            <w:tcW w:w="709"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1.41 </w:t>
            </w:r>
          </w:p>
        </w:tc>
        <w:tc>
          <w:tcPr>
            <w:tcW w:w="848"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4</w:t>
            </w:r>
          </w:p>
        </w:tc>
        <w:tc>
          <w:tcPr>
            <w:tcW w:w="99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27</w:t>
            </w:r>
          </w:p>
        </w:tc>
        <w:tc>
          <w:tcPr>
            <w:tcW w:w="992"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51.92%</w:t>
            </w:r>
          </w:p>
        </w:tc>
        <w:tc>
          <w:tcPr>
            <w:tcW w:w="848" w:type="dxa"/>
            <w:tcBorders>
              <w:top w:val="nil"/>
              <w:left w:val="nil"/>
              <w:bottom w:val="single" w:color="auto" w:sz="4" w:space="0"/>
              <w:right w:val="single" w:color="auto" w:sz="4" w:space="0"/>
            </w:tcBorders>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37</w:t>
            </w:r>
          </w:p>
        </w:tc>
        <w:tc>
          <w:tcPr>
            <w:tcW w:w="1134"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26</w:t>
            </w:r>
          </w:p>
        </w:tc>
        <w:tc>
          <w:tcPr>
            <w:tcW w:w="99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w:t>
            </w:r>
          </w:p>
        </w:tc>
        <w:tc>
          <w:tcPr>
            <w:tcW w:w="1165" w:type="dxa"/>
            <w:tcBorders>
              <w:top w:val="nil"/>
              <w:left w:val="nil"/>
              <w:bottom w:val="single" w:color="auto" w:sz="4" w:space="0"/>
              <w:right w:val="single" w:color="auto" w:sz="4" w:space="0"/>
            </w:tcBorders>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22.58%</w:t>
            </w:r>
          </w:p>
        </w:tc>
      </w:tr>
    </w:tbl>
    <w:p>
      <w:pPr>
        <w:pStyle w:val="67"/>
        <w:rPr>
          <w:color w:val="000000" w:themeColor="text1"/>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bookmarkStart w:id="15" w:name="_Toc130548397"/>
      <w:bookmarkStart w:id="16" w:name="_Toc119070127"/>
      <w:bookmarkStart w:id="17" w:name="_Toc119056800"/>
      <w:bookmarkStart w:id="18" w:name="_Toc119069270"/>
    </w:p>
    <w:p>
      <w:pPr>
        <w:pStyle w:val="67"/>
        <w:rPr>
          <w:color w:val="000000" w:themeColor="text1"/>
          <w14:textFill>
            <w14:solidFill>
              <w14:schemeClr w14:val="tx1"/>
            </w14:solidFill>
          </w14:textFill>
        </w:rPr>
      </w:pPr>
      <w:r>
        <w:rPr>
          <w:color w:val="000000" w:themeColor="text1"/>
          <w14:textFill>
            <w14:solidFill>
              <w14:schemeClr w14:val="tx1"/>
            </w14:solidFill>
          </w14:textFill>
        </w:rPr>
        <w:t>3.2.3利用</w:t>
      </w:r>
      <w:r>
        <w:rPr>
          <w:rFonts w:hint="eastAsia"/>
          <w:color w:val="000000" w:themeColor="text1"/>
          <w14:textFill>
            <w14:solidFill>
              <w14:schemeClr w14:val="tx1"/>
            </w14:solidFill>
          </w14:textFill>
        </w:rPr>
        <w:t>情况</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（1）城市</w:t>
      </w:r>
      <w:r>
        <w:rPr>
          <w:color w:val="000000" w:themeColor="text1"/>
          <w14:textFill>
            <w14:solidFill>
              <w14:schemeClr w14:val="tx1"/>
            </w14:solidFill>
          </w14:textFill>
        </w:rPr>
        <w:t>地区</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选取骆驼</w:t>
      </w:r>
      <w:r>
        <w:rPr>
          <w:color w:val="000000" w:themeColor="text1"/>
          <w14:textFill>
            <w14:solidFill>
              <w14:schemeClr w14:val="tx1"/>
            </w14:solidFill>
          </w14:textFill>
        </w:rPr>
        <w:t>、庄市、蛟川、招宝山</w:t>
      </w:r>
      <w:r>
        <w:rPr>
          <w:rFonts w:hint="eastAsia"/>
          <w:color w:val="000000" w:themeColor="text1"/>
          <w14:textFill>
            <w14:solidFill>
              <w14:schemeClr w14:val="tx1"/>
            </w14:solidFill>
          </w14:textFill>
        </w:rPr>
        <w:t>街道居住区</w:t>
      </w:r>
      <w:r>
        <w:rPr>
          <w:color w:val="000000" w:themeColor="text1"/>
          <w14:textFill>
            <w14:solidFill>
              <w14:schemeClr w14:val="tx1"/>
            </w14:solidFill>
          </w14:textFill>
        </w:rPr>
        <w:t>、办公区、</w:t>
      </w:r>
      <w:r>
        <w:rPr>
          <w:rFonts w:hint="eastAsia"/>
          <w:color w:val="000000" w:themeColor="text1"/>
          <w14:textFill>
            <w14:solidFill>
              <w14:schemeClr w14:val="tx1"/>
            </w14:solidFill>
          </w14:textFill>
        </w:rPr>
        <w:t>商业区</w:t>
      </w:r>
      <w:r>
        <w:rPr>
          <w:color w:val="000000" w:themeColor="text1"/>
          <w14:textFill>
            <w14:solidFill>
              <w14:schemeClr w14:val="tx1"/>
            </w14:solidFill>
          </w14:textFill>
        </w:rPr>
        <w:t>、工业区、休闲中心</w:t>
      </w:r>
      <w:r>
        <w:rPr>
          <w:rFonts w:hint="eastAsia"/>
          <w:color w:val="000000" w:themeColor="text1"/>
          <w14:textFill>
            <w14:solidFill>
              <w14:schemeClr w14:val="tx1"/>
            </w14:solidFill>
          </w14:textFill>
        </w:rPr>
        <w:t>5类</w:t>
      </w:r>
      <w:r>
        <w:rPr>
          <w:color w:val="000000" w:themeColor="text1"/>
          <w14:textFill>
            <w14:solidFill>
              <w14:schemeClr w14:val="tx1"/>
            </w14:solidFill>
          </w14:textFill>
        </w:rPr>
        <w:t>区域的典型地块对</w:t>
      </w:r>
      <w:r>
        <w:rPr>
          <w:rFonts w:hint="eastAsia"/>
          <w:color w:val="000000" w:themeColor="text1"/>
          <w14:textFill>
            <w14:solidFill>
              <w14:schemeClr w14:val="tx1"/>
            </w14:solidFill>
          </w14:textFill>
        </w:rPr>
        <w:t>现状充电桩</w:t>
      </w:r>
      <w:r>
        <w:rPr>
          <w:color w:val="000000" w:themeColor="text1"/>
          <w14:textFill>
            <w14:solidFill>
              <w14:schemeClr w14:val="tx1"/>
            </w14:solidFill>
          </w14:textFill>
        </w:rPr>
        <w:t>利用</w:t>
      </w:r>
      <w:r>
        <w:rPr>
          <w:rFonts w:hint="eastAsia"/>
          <w:color w:val="000000" w:themeColor="text1"/>
          <w14:textFill>
            <w14:solidFill>
              <w14:schemeClr w14:val="tx1"/>
            </w14:solidFill>
          </w14:textFill>
        </w:rPr>
        <w:t>率</w:t>
      </w:r>
      <w:r>
        <w:rPr>
          <w:color w:val="000000" w:themeColor="text1"/>
          <w14:textFill>
            <w14:solidFill>
              <w14:schemeClr w14:val="tx1"/>
            </w14:solidFill>
          </w14:textFill>
        </w:rPr>
        <w:t>进行排摸</w:t>
      </w:r>
      <w:r>
        <w:rPr>
          <w:rFonts w:hint="eastAsia"/>
          <w:color w:val="000000" w:themeColor="text1"/>
          <w14:textFill>
            <w14:solidFill>
              <w14:schemeClr w14:val="tx1"/>
            </w14:solidFill>
          </w14:textFill>
        </w:rPr>
        <w:t>。总体</w:t>
      </w:r>
      <w:r>
        <w:rPr>
          <w:color w:val="000000" w:themeColor="text1"/>
          <w14:textFill>
            <w14:solidFill>
              <w14:schemeClr w14:val="tx1"/>
            </w14:solidFill>
          </w14:textFill>
        </w:rPr>
        <w:t>而言，</w:t>
      </w:r>
      <w:r>
        <w:rPr>
          <w:rFonts w:hint="eastAsia"/>
          <w:color w:val="000000" w:themeColor="text1"/>
          <w14:textFill>
            <w14:solidFill>
              <w14:schemeClr w14:val="tx1"/>
            </w14:solidFill>
          </w14:textFill>
        </w:rPr>
        <w:t>现状大部分</w:t>
      </w:r>
      <w:r>
        <w:rPr>
          <w:color w:val="000000" w:themeColor="text1"/>
          <w14:textFill>
            <w14:solidFill>
              <w14:schemeClr w14:val="tx1"/>
            </w14:solidFill>
          </w14:textFill>
        </w:rPr>
        <w:t>充电桩</w:t>
      </w:r>
      <w:r>
        <w:rPr>
          <w:rFonts w:hint="eastAsia"/>
          <w:color w:val="000000" w:themeColor="text1"/>
          <w14:textFill>
            <w14:solidFill>
              <w14:schemeClr w14:val="tx1"/>
            </w14:solidFill>
          </w14:textFill>
        </w:rPr>
        <w:t>已建</w:t>
      </w:r>
      <w:r>
        <w:rPr>
          <w:color w:val="000000" w:themeColor="text1"/>
          <w14:textFill>
            <w14:solidFill>
              <w14:schemeClr w14:val="tx1"/>
            </w14:solidFill>
          </w14:textFill>
        </w:rPr>
        <w:t>区域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在使用</w:t>
      </w:r>
      <w:r>
        <w:rPr>
          <w:rFonts w:hint="eastAsia"/>
          <w:color w:val="000000" w:themeColor="text1"/>
          <w14:textFill>
            <w14:solidFill>
              <w14:schemeClr w14:val="tx1"/>
            </w14:solidFill>
          </w14:textFill>
        </w:rPr>
        <w:t>上无</w:t>
      </w:r>
      <w:r>
        <w:rPr>
          <w:color w:val="000000" w:themeColor="text1"/>
          <w14:textFill>
            <w14:solidFill>
              <w14:schemeClr w14:val="tx1"/>
            </w14:solidFill>
          </w14:textFill>
        </w:rPr>
        <w:t>明显忙碌状态。</w:t>
      </w:r>
      <w:r>
        <w:rPr>
          <w:rFonts w:hint="eastAsia"/>
          <w:color w:val="000000" w:themeColor="text1"/>
          <w14:textFill>
            <w14:solidFill>
              <w14:schemeClr w14:val="tx1"/>
            </w14:solidFill>
          </w14:textFill>
        </w:rPr>
        <w:t>其中</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休闲</w:t>
      </w:r>
      <w:r>
        <w:rPr>
          <w:color w:val="000000" w:themeColor="text1"/>
          <w14:textFill>
            <w14:solidFill>
              <w14:schemeClr w14:val="tx1"/>
            </w14:solidFill>
          </w14:textFill>
        </w:rPr>
        <w:t>中心及商业区域充电桩使用人</w:t>
      </w:r>
      <w:r>
        <w:rPr>
          <w:rFonts w:hint="eastAsia"/>
          <w:color w:val="000000" w:themeColor="text1"/>
          <w14:textFill>
            <w14:solidFill>
              <w14:schemeClr w14:val="tx1"/>
            </w14:solidFill>
          </w14:textFill>
        </w:rPr>
        <w:t>数、</w:t>
      </w:r>
      <w:r>
        <w:rPr>
          <w:color w:val="000000" w:themeColor="text1"/>
          <w14:textFill>
            <w14:solidFill>
              <w14:schemeClr w14:val="tx1"/>
            </w14:solidFill>
          </w14:textFill>
        </w:rPr>
        <w:t>使用桩数较多，</w:t>
      </w:r>
      <w:r>
        <w:rPr>
          <w:rFonts w:hint="eastAsia"/>
          <w:color w:val="000000" w:themeColor="text1"/>
          <w14:textFill>
            <w14:solidFill>
              <w14:schemeClr w14:val="tx1"/>
            </w14:solidFill>
          </w14:textFill>
        </w:rPr>
        <w:t>使用时段无明显</w:t>
      </w:r>
      <w:r>
        <w:rPr>
          <w:color w:val="000000" w:themeColor="text1"/>
          <w14:textFill>
            <w14:solidFill>
              <w14:schemeClr w14:val="tx1"/>
            </w14:solidFill>
          </w14:textFill>
        </w:rPr>
        <w:t>高峰平峰，</w:t>
      </w:r>
      <w:r>
        <w:rPr>
          <w:rFonts w:hint="eastAsia"/>
          <w:color w:val="000000" w:themeColor="text1"/>
          <w14:textFill>
            <w14:solidFill>
              <w14:schemeClr w14:val="tx1"/>
            </w14:solidFill>
          </w14:textFill>
        </w:rPr>
        <w:t>而办公区</w:t>
      </w:r>
      <w:r>
        <w:rPr>
          <w:color w:val="000000" w:themeColor="text1"/>
          <w14:textFill>
            <w14:solidFill>
              <w14:schemeClr w14:val="tx1"/>
            </w14:solidFill>
          </w14:textFill>
        </w:rPr>
        <w:t>及居住区</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使用时段</w:t>
      </w:r>
      <w:r>
        <w:rPr>
          <w:rFonts w:hint="eastAsia"/>
          <w:color w:val="000000" w:themeColor="text1"/>
          <w14:textFill>
            <w14:solidFill>
              <w14:schemeClr w14:val="tx1"/>
            </w14:solidFill>
          </w14:textFill>
        </w:rPr>
        <w:t>上则</w:t>
      </w:r>
      <w:r>
        <w:rPr>
          <w:color w:val="000000" w:themeColor="text1"/>
          <w14:textFill>
            <w14:solidFill>
              <w14:schemeClr w14:val="tx1"/>
            </w14:solidFill>
          </w14:textFill>
        </w:rPr>
        <w:t>具有</w:t>
      </w:r>
      <w:r>
        <w:rPr>
          <w:rFonts w:hint="eastAsia"/>
          <w:color w:val="000000" w:themeColor="text1"/>
          <w14:textFill>
            <w14:solidFill>
              <w14:schemeClr w14:val="tx1"/>
            </w14:solidFill>
          </w14:textFill>
        </w:rPr>
        <w:t>明显</w:t>
      </w:r>
      <w:r>
        <w:rPr>
          <w:color w:val="000000" w:themeColor="text1"/>
          <w14:textFill>
            <w14:solidFill>
              <w14:schemeClr w14:val="tx1"/>
            </w14:solidFill>
          </w14:textFill>
        </w:rPr>
        <w:t>高峰平峰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居住区使用时段主要集中在</w:t>
      </w:r>
      <w:r>
        <w:rPr>
          <w:rFonts w:hint="eastAsia"/>
          <w:color w:val="000000" w:themeColor="text1"/>
          <w14:textFill>
            <w14:solidFill>
              <w14:schemeClr w14:val="tx1"/>
            </w14:solidFill>
          </w14:textFill>
        </w:rPr>
        <w:t>0-7点及9-23点，办公区使用时段则主要集中在12-14点。具体情况</w:t>
      </w:r>
      <w:r>
        <w:rPr>
          <w:color w:val="000000" w:themeColor="text1"/>
          <w14:textFill>
            <w14:solidFill>
              <w14:schemeClr w14:val="tx1"/>
            </w14:solidFill>
          </w14:textFill>
        </w:rPr>
        <w:t>如下表所示。</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表3</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镇海区现状城市</w:t>
      </w:r>
      <w:r>
        <w:rPr>
          <w:color w:val="000000" w:themeColor="text1"/>
          <w:sz w:val="24"/>
          <w14:textFill>
            <w14:solidFill>
              <w14:schemeClr w14:val="tx1"/>
            </w14:solidFill>
          </w14:textFill>
        </w:rPr>
        <w:t>地区分</w:t>
      </w:r>
      <w:r>
        <w:rPr>
          <w:rFonts w:hint="eastAsia"/>
          <w:color w:val="000000" w:themeColor="text1"/>
          <w:sz w:val="24"/>
          <w14:textFill>
            <w14:solidFill>
              <w14:schemeClr w14:val="tx1"/>
            </w14:solidFill>
          </w14:textFill>
        </w:rPr>
        <w:t>区域</w:t>
      </w:r>
      <w:r>
        <w:rPr>
          <w:color w:val="000000" w:themeColor="text1"/>
          <w:sz w:val="24"/>
          <w14:textFill>
            <w14:solidFill>
              <w14:schemeClr w14:val="tx1"/>
            </w14:solidFill>
          </w14:textFill>
        </w:rPr>
        <w:t>类型</w:t>
      </w:r>
      <w:r>
        <w:rPr>
          <w:rFonts w:hint="eastAsia"/>
          <w:color w:val="000000" w:themeColor="text1"/>
          <w:sz w:val="24"/>
          <w14:textFill>
            <w14:solidFill>
              <w14:schemeClr w14:val="tx1"/>
            </w14:solidFill>
          </w14:textFill>
        </w:rPr>
        <w:t>充电桩利用情况分析表</w:t>
      </w:r>
    </w:p>
    <w:tbl>
      <w:tblPr>
        <w:tblStyle w:val="3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210"/>
        <w:gridCol w:w="992"/>
        <w:gridCol w:w="709"/>
        <w:gridCol w:w="694"/>
        <w:gridCol w:w="724"/>
        <w:gridCol w:w="776"/>
        <w:gridCol w:w="2202"/>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58" w:type="dxa"/>
            <w:vAlign w:val="center"/>
          </w:tcPr>
          <w:p>
            <w:pPr>
              <w:pStyle w:val="69"/>
              <w:spacing w:line="240" w:lineRule="auto"/>
              <w:ind w:firstLine="0"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序号</w:t>
            </w:r>
          </w:p>
        </w:tc>
        <w:tc>
          <w:tcPr>
            <w:tcW w:w="1210" w:type="dxa"/>
            <w:vAlign w:val="center"/>
          </w:tcPr>
          <w:p>
            <w:pPr>
              <w:pStyle w:val="69"/>
              <w:spacing w:line="240" w:lineRule="auto"/>
              <w:ind w:firstLine="0"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站点</w:t>
            </w:r>
          </w:p>
        </w:tc>
        <w:tc>
          <w:tcPr>
            <w:tcW w:w="992" w:type="dxa"/>
            <w:vAlign w:val="center"/>
          </w:tcPr>
          <w:p>
            <w:pPr>
              <w:pStyle w:val="69"/>
              <w:spacing w:line="240" w:lineRule="auto"/>
              <w:ind w:firstLine="0"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类型</w:t>
            </w:r>
          </w:p>
        </w:tc>
        <w:tc>
          <w:tcPr>
            <w:tcW w:w="709" w:type="dxa"/>
            <w:vAlign w:val="center"/>
          </w:tcPr>
          <w:p>
            <w:pPr>
              <w:pStyle w:val="69"/>
              <w:spacing w:line="240" w:lineRule="auto"/>
              <w:ind w:firstLine="0"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街道</w:t>
            </w:r>
          </w:p>
        </w:tc>
        <w:tc>
          <w:tcPr>
            <w:tcW w:w="694" w:type="dxa"/>
            <w:vAlign w:val="center"/>
          </w:tcPr>
          <w:p>
            <w:pPr>
              <w:pStyle w:val="69"/>
              <w:spacing w:line="240" w:lineRule="auto"/>
              <w:ind w:firstLine="0"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充电桩</w:t>
            </w:r>
            <w:r>
              <w:rPr>
                <w:b/>
                <w:color w:val="000000" w:themeColor="text1"/>
                <w:sz w:val="24"/>
                <w:szCs w:val="24"/>
                <w14:textFill>
                  <w14:solidFill>
                    <w14:schemeClr w14:val="tx1"/>
                  </w14:solidFill>
                </w14:textFill>
              </w:rPr>
              <w:t>数/</w:t>
            </w:r>
            <w:r>
              <w:rPr>
                <w:rFonts w:hint="eastAsia"/>
                <w:b/>
                <w:color w:val="000000" w:themeColor="text1"/>
                <w:sz w:val="24"/>
                <w:szCs w:val="24"/>
                <w14:textFill>
                  <w14:solidFill>
                    <w14:schemeClr w14:val="tx1"/>
                  </w14:solidFill>
                </w14:textFill>
              </w:rPr>
              <w:t>个</w:t>
            </w:r>
          </w:p>
        </w:tc>
        <w:tc>
          <w:tcPr>
            <w:tcW w:w="724" w:type="dxa"/>
            <w:vAlign w:val="center"/>
          </w:tcPr>
          <w:p>
            <w:pPr>
              <w:pStyle w:val="69"/>
              <w:spacing w:line="240" w:lineRule="auto"/>
              <w:ind w:firstLine="0"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充电桩</w:t>
            </w:r>
            <w:r>
              <w:rPr>
                <w:b/>
                <w:color w:val="000000" w:themeColor="text1"/>
                <w:sz w:val="24"/>
                <w:szCs w:val="24"/>
                <w14:textFill>
                  <w14:solidFill>
                    <w14:schemeClr w14:val="tx1"/>
                  </w14:solidFill>
                </w14:textFill>
              </w:rPr>
              <w:t>类型</w:t>
            </w:r>
          </w:p>
        </w:tc>
        <w:tc>
          <w:tcPr>
            <w:tcW w:w="776" w:type="dxa"/>
            <w:vAlign w:val="center"/>
          </w:tcPr>
          <w:p>
            <w:pPr>
              <w:pStyle w:val="69"/>
              <w:spacing w:line="240" w:lineRule="auto"/>
              <w:ind w:firstLine="0"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充电</w:t>
            </w:r>
            <w:r>
              <w:rPr>
                <w:b/>
                <w:color w:val="000000" w:themeColor="text1"/>
                <w:sz w:val="24"/>
                <w:szCs w:val="24"/>
                <w14:textFill>
                  <w14:solidFill>
                    <w14:schemeClr w14:val="tx1"/>
                  </w14:solidFill>
                </w14:textFill>
              </w:rPr>
              <w:t>桩功率</w:t>
            </w:r>
            <w:r>
              <w:rPr>
                <w:rFonts w:hint="eastAsia"/>
                <w:b/>
                <w:color w:val="000000" w:themeColor="text1"/>
                <w:sz w:val="24"/>
                <w:szCs w:val="24"/>
                <w14:textFill>
                  <w14:solidFill>
                    <w14:schemeClr w14:val="tx1"/>
                  </w14:solidFill>
                </w14:textFill>
              </w:rPr>
              <w:t>/</w:t>
            </w:r>
            <w:r>
              <w:rPr>
                <w:b/>
                <w:color w:val="000000" w:themeColor="text1"/>
                <w:sz w:val="24"/>
                <w:szCs w:val="24"/>
                <w14:textFill>
                  <w14:solidFill>
                    <w14:schemeClr w14:val="tx1"/>
                  </w14:solidFill>
                </w14:textFill>
              </w:rPr>
              <w:t>KW</w:t>
            </w:r>
          </w:p>
        </w:tc>
        <w:tc>
          <w:tcPr>
            <w:tcW w:w="2202" w:type="dxa"/>
            <w:vAlign w:val="center"/>
          </w:tcPr>
          <w:p>
            <w:pPr>
              <w:pStyle w:val="69"/>
              <w:spacing w:line="240" w:lineRule="auto"/>
              <w:ind w:firstLine="0"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一天</w:t>
            </w:r>
            <w:r>
              <w:rPr>
                <w:b/>
                <w:color w:val="000000" w:themeColor="text1"/>
                <w:sz w:val="24"/>
                <w:szCs w:val="24"/>
                <w14:textFill>
                  <w14:solidFill>
                    <w14:schemeClr w14:val="tx1"/>
                  </w14:solidFill>
                </w14:textFill>
              </w:rPr>
              <w:t>使用时长</w:t>
            </w:r>
          </w:p>
        </w:tc>
        <w:tc>
          <w:tcPr>
            <w:tcW w:w="757" w:type="dxa"/>
            <w:vAlign w:val="center"/>
          </w:tcPr>
          <w:p>
            <w:pPr>
              <w:pStyle w:val="69"/>
              <w:spacing w:line="240" w:lineRule="auto"/>
              <w:ind w:firstLine="0"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月利用率/次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p>
        </w:tc>
        <w:tc>
          <w:tcPr>
            <w:tcW w:w="1210"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茗莲春晓</w:t>
            </w:r>
          </w:p>
        </w:tc>
        <w:tc>
          <w:tcPr>
            <w:tcW w:w="992"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居住区</w:t>
            </w:r>
          </w:p>
        </w:tc>
        <w:tc>
          <w:tcPr>
            <w:tcW w:w="709"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骆驼</w:t>
            </w:r>
          </w:p>
        </w:tc>
        <w:tc>
          <w:tcPr>
            <w:tcW w:w="694"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14</w:t>
            </w:r>
          </w:p>
        </w:tc>
        <w:tc>
          <w:tcPr>
            <w:tcW w:w="724"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交流</w:t>
            </w:r>
          </w:p>
        </w:tc>
        <w:tc>
          <w:tcPr>
            <w:tcW w:w="77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5-6</w:t>
            </w:r>
          </w:p>
        </w:tc>
        <w:tc>
          <w:tcPr>
            <w:tcW w:w="2202" w:type="dxa"/>
            <w:vAlign w:val="center"/>
          </w:tcPr>
          <w:p>
            <w:pPr>
              <w:pStyle w:val="69"/>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0-7点</w:t>
            </w:r>
            <w:r>
              <w:rPr>
                <w:color w:val="000000" w:themeColor="text1"/>
                <w:sz w:val="24"/>
                <w:szCs w:val="24"/>
                <w14:textFill>
                  <w14:solidFill>
                    <w14:schemeClr w14:val="tx1"/>
                  </w14:solidFill>
                </w14:textFill>
              </w:rPr>
              <w:t>及9-23</w:t>
            </w:r>
            <w:r>
              <w:rPr>
                <w:rFonts w:hint="eastAsia"/>
                <w:color w:val="000000" w:themeColor="text1"/>
                <w:sz w:val="24"/>
                <w:szCs w:val="24"/>
                <w14:textFill>
                  <w14:solidFill>
                    <w14:schemeClr w14:val="tx1"/>
                  </w14:solidFill>
                </w14:textFill>
              </w:rPr>
              <w:t>点</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使用</w:t>
            </w:r>
            <w:r>
              <w:rPr>
                <w:color w:val="000000" w:themeColor="text1"/>
                <w:sz w:val="24"/>
                <w:szCs w:val="24"/>
                <w14:textFill>
                  <w14:solidFill>
                    <w14:schemeClr w14:val="tx1"/>
                  </w14:solidFill>
                </w14:textFill>
              </w:rPr>
              <w:t>2-3</w:t>
            </w:r>
            <w:r>
              <w:rPr>
                <w:rFonts w:hint="eastAsia"/>
                <w:color w:val="000000" w:themeColor="text1"/>
                <w:sz w:val="24"/>
                <w:szCs w:val="24"/>
                <w14:textFill>
                  <w14:solidFill>
                    <w14:schemeClr w14:val="tx1"/>
                  </w14:solidFill>
                </w14:textFill>
              </w:rPr>
              <w:t>个</w:t>
            </w:r>
          </w:p>
        </w:tc>
        <w:tc>
          <w:tcPr>
            <w:tcW w:w="757"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p>
        </w:tc>
        <w:tc>
          <w:tcPr>
            <w:tcW w:w="1210"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清风雅苑</w:t>
            </w:r>
          </w:p>
        </w:tc>
        <w:tc>
          <w:tcPr>
            <w:tcW w:w="992"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居住区</w:t>
            </w:r>
          </w:p>
        </w:tc>
        <w:tc>
          <w:tcPr>
            <w:tcW w:w="709"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蛟川</w:t>
            </w:r>
          </w:p>
        </w:tc>
        <w:tc>
          <w:tcPr>
            <w:tcW w:w="694"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12</w:t>
            </w:r>
          </w:p>
        </w:tc>
        <w:tc>
          <w:tcPr>
            <w:tcW w:w="724"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交流</w:t>
            </w:r>
          </w:p>
        </w:tc>
        <w:tc>
          <w:tcPr>
            <w:tcW w:w="77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t>-7</w:t>
            </w:r>
          </w:p>
        </w:tc>
        <w:tc>
          <w:tcPr>
            <w:tcW w:w="2202" w:type="dxa"/>
            <w:vAlign w:val="center"/>
          </w:tcPr>
          <w:p>
            <w:pPr>
              <w:pStyle w:val="69"/>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0</w:t>
            </w:r>
            <w:r>
              <w:rPr>
                <w:color w:val="000000" w:themeColor="text1"/>
                <w:sz w:val="24"/>
                <w:szCs w:val="24"/>
                <w14:textFill>
                  <w14:solidFill>
                    <w14:schemeClr w14:val="tx1"/>
                  </w14:solidFill>
                </w14:textFill>
              </w:rPr>
              <w:t>-7</w:t>
            </w:r>
            <w:r>
              <w:rPr>
                <w:rFonts w:hint="eastAsia"/>
                <w:color w:val="000000" w:themeColor="text1"/>
                <w:sz w:val="24"/>
                <w:szCs w:val="24"/>
                <w14:textFill>
                  <w14:solidFill>
                    <w14:schemeClr w14:val="tx1"/>
                  </w14:solidFill>
                </w14:textFill>
              </w:rPr>
              <w:t>点及17-23点，使用10个</w:t>
            </w:r>
          </w:p>
        </w:tc>
        <w:tc>
          <w:tcPr>
            <w:tcW w:w="757"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p>
        </w:tc>
        <w:tc>
          <w:tcPr>
            <w:tcW w:w="1210"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城投大厦</w:t>
            </w:r>
          </w:p>
        </w:tc>
        <w:tc>
          <w:tcPr>
            <w:tcW w:w="992"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办公区</w:t>
            </w:r>
          </w:p>
        </w:tc>
        <w:tc>
          <w:tcPr>
            <w:tcW w:w="709"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骆驼</w:t>
            </w:r>
          </w:p>
        </w:tc>
        <w:tc>
          <w:tcPr>
            <w:tcW w:w="694"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w:t>
            </w:r>
          </w:p>
        </w:tc>
        <w:tc>
          <w:tcPr>
            <w:tcW w:w="724" w:type="dxa"/>
            <w:vAlign w:val="center"/>
          </w:tcPr>
          <w:p>
            <w:pPr>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直流</w:t>
            </w:r>
          </w:p>
        </w:tc>
        <w:tc>
          <w:tcPr>
            <w:tcW w:w="77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22</w:t>
            </w:r>
            <w:r>
              <w:rPr>
                <w:color w:val="000000" w:themeColor="text1"/>
                <w:sz w:val="24"/>
                <w:szCs w:val="24"/>
                <w14:textFill>
                  <w14:solidFill>
                    <w14:schemeClr w14:val="tx1"/>
                  </w14:solidFill>
                </w14:textFill>
              </w:rPr>
              <w:t>-70</w:t>
            </w:r>
          </w:p>
        </w:tc>
        <w:tc>
          <w:tcPr>
            <w:tcW w:w="2202" w:type="dxa"/>
            <w:vAlign w:val="center"/>
          </w:tcPr>
          <w:p>
            <w:pPr>
              <w:pStyle w:val="69"/>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12</w:t>
            </w:r>
            <w:r>
              <w:rPr>
                <w:color w:val="000000" w:themeColor="text1"/>
                <w:sz w:val="24"/>
                <w:szCs w:val="24"/>
                <w14:textFill>
                  <w14:solidFill>
                    <w14:schemeClr w14:val="tx1"/>
                  </w14:solidFill>
                </w14:textFill>
              </w:rPr>
              <w:t>-14</w:t>
            </w:r>
            <w:r>
              <w:rPr>
                <w:rFonts w:hint="eastAsia"/>
                <w:color w:val="000000" w:themeColor="text1"/>
                <w:sz w:val="24"/>
                <w:szCs w:val="24"/>
                <w14:textFill>
                  <w14:solidFill>
                    <w14:schemeClr w14:val="tx1"/>
                  </w14:solidFill>
                </w14:textFill>
              </w:rPr>
              <w:t>点</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使用1</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个</w:t>
            </w:r>
          </w:p>
        </w:tc>
        <w:tc>
          <w:tcPr>
            <w:tcW w:w="757"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w:t>
            </w:r>
          </w:p>
        </w:tc>
        <w:tc>
          <w:tcPr>
            <w:tcW w:w="1210"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赛思学术会堂</w:t>
            </w:r>
          </w:p>
        </w:tc>
        <w:tc>
          <w:tcPr>
            <w:tcW w:w="992"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办公区</w:t>
            </w:r>
          </w:p>
        </w:tc>
        <w:tc>
          <w:tcPr>
            <w:tcW w:w="709"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庄市</w:t>
            </w:r>
          </w:p>
        </w:tc>
        <w:tc>
          <w:tcPr>
            <w:tcW w:w="694"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p>
        </w:tc>
        <w:tc>
          <w:tcPr>
            <w:tcW w:w="724" w:type="dxa"/>
            <w:vAlign w:val="center"/>
          </w:tcPr>
          <w:p>
            <w:pPr>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直流</w:t>
            </w:r>
          </w:p>
        </w:tc>
        <w:tc>
          <w:tcPr>
            <w:tcW w:w="77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7</w:t>
            </w:r>
            <w:r>
              <w:rPr>
                <w:color w:val="000000" w:themeColor="text1"/>
                <w:sz w:val="24"/>
                <w:szCs w:val="24"/>
                <w14:textFill>
                  <w14:solidFill>
                    <w14:schemeClr w14:val="tx1"/>
                  </w14:solidFill>
                </w14:textFill>
              </w:rPr>
              <w:t>-28</w:t>
            </w:r>
          </w:p>
        </w:tc>
        <w:tc>
          <w:tcPr>
            <w:tcW w:w="2202"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c>
          <w:tcPr>
            <w:tcW w:w="757"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w:t>
            </w:r>
          </w:p>
        </w:tc>
        <w:tc>
          <w:tcPr>
            <w:tcW w:w="1210"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银泰</w:t>
            </w:r>
          </w:p>
        </w:tc>
        <w:tc>
          <w:tcPr>
            <w:tcW w:w="992"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商业区</w:t>
            </w:r>
          </w:p>
        </w:tc>
        <w:tc>
          <w:tcPr>
            <w:tcW w:w="709"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骆驼</w:t>
            </w:r>
          </w:p>
        </w:tc>
        <w:tc>
          <w:tcPr>
            <w:tcW w:w="694"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18</w:t>
            </w:r>
          </w:p>
        </w:tc>
        <w:tc>
          <w:tcPr>
            <w:tcW w:w="724" w:type="dxa"/>
            <w:vAlign w:val="center"/>
          </w:tcPr>
          <w:p>
            <w:pPr>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直流</w:t>
            </w:r>
          </w:p>
        </w:tc>
        <w:tc>
          <w:tcPr>
            <w:tcW w:w="77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29</w:t>
            </w:r>
            <w:r>
              <w:rPr>
                <w:color w:val="000000" w:themeColor="text1"/>
                <w:sz w:val="24"/>
                <w:szCs w:val="24"/>
                <w14:textFill>
                  <w14:solidFill>
                    <w14:schemeClr w14:val="tx1"/>
                  </w14:solidFill>
                </w14:textFill>
              </w:rPr>
              <w:t>-67</w:t>
            </w:r>
          </w:p>
        </w:tc>
        <w:tc>
          <w:tcPr>
            <w:tcW w:w="2202" w:type="dxa"/>
            <w:vAlign w:val="center"/>
          </w:tcPr>
          <w:p>
            <w:pPr>
              <w:pStyle w:val="69"/>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0</w:t>
            </w:r>
            <w:r>
              <w:rPr>
                <w:color w:val="000000" w:themeColor="text1"/>
                <w:sz w:val="24"/>
                <w:szCs w:val="24"/>
                <w14:textFill>
                  <w14:solidFill>
                    <w14:schemeClr w14:val="tx1"/>
                  </w14:solidFill>
                </w14:textFill>
              </w:rPr>
              <w:t>-24</w:t>
            </w:r>
            <w:r>
              <w:rPr>
                <w:rFonts w:hint="eastAsia"/>
                <w:color w:val="000000" w:themeColor="text1"/>
                <w:sz w:val="24"/>
                <w:szCs w:val="24"/>
                <w14:textFill>
                  <w14:solidFill>
                    <w14:schemeClr w14:val="tx1"/>
                  </w14:solidFill>
                </w14:textFill>
              </w:rPr>
              <w:t>点</w:t>
            </w:r>
            <w:r>
              <w:rPr>
                <w:color w:val="000000" w:themeColor="text1"/>
                <w:sz w:val="24"/>
                <w:szCs w:val="24"/>
                <w14:textFill>
                  <w14:solidFill>
                    <w14:schemeClr w14:val="tx1"/>
                  </w14:solidFill>
                </w14:textFill>
              </w:rPr>
              <w:t>，使用</w:t>
            </w: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个</w:t>
            </w:r>
          </w:p>
        </w:tc>
        <w:tc>
          <w:tcPr>
            <w:tcW w:w="757"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w:t>
            </w:r>
          </w:p>
        </w:tc>
        <w:tc>
          <w:tcPr>
            <w:tcW w:w="1210"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开元广场</w:t>
            </w:r>
          </w:p>
        </w:tc>
        <w:tc>
          <w:tcPr>
            <w:tcW w:w="992"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商业区</w:t>
            </w:r>
          </w:p>
        </w:tc>
        <w:tc>
          <w:tcPr>
            <w:tcW w:w="709"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庄市</w:t>
            </w:r>
          </w:p>
        </w:tc>
        <w:tc>
          <w:tcPr>
            <w:tcW w:w="694"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19</w:t>
            </w:r>
          </w:p>
        </w:tc>
        <w:tc>
          <w:tcPr>
            <w:tcW w:w="724" w:type="dxa"/>
            <w:vAlign w:val="center"/>
          </w:tcPr>
          <w:p>
            <w:pPr>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直流</w:t>
            </w:r>
          </w:p>
        </w:tc>
        <w:tc>
          <w:tcPr>
            <w:tcW w:w="77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42</w:t>
            </w:r>
            <w:r>
              <w:rPr>
                <w:color w:val="000000" w:themeColor="text1"/>
                <w:sz w:val="24"/>
                <w:szCs w:val="24"/>
                <w14:textFill>
                  <w14:solidFill>
                    <w14:schemeClr w14:val="tx1"/>
                  </w14:solidFill>
                </w14:textFill>
              </w:rPr>
              <w:t>-68</w:t>
            </w:r>
          </w:p>
        </w:tc>
        <w:tc>
          <w:tcPr>
            <w:tcW w:w="2202" w:type="dxa"/>
            <w:vAlign w:val="center"/>
          </w:tcPr>
          <w:p>
            <w:pPr>
              <w:pStyle w:val="69"/>
              <w:spacing w:line="240" w:lineRule="auto"/>
              <w:ind w:firstLine="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0-12</w:t>
            </w:r>
            <w:r>
              <w:rPr>
                <w:rFonts w:hint="eastAsia"/>
                <w:color w:val="000000" w:themeColor="text1"/>
                <w:sz w:val="24"/>
                <w:szCs w:val="24"/>
                <w14:textFill>
                  <w14:solidFill>
                    <w14:schemeClr w14:val="tx1"/>
                  </w14:solidFill>
                </w14:textFill>
              </w:rPr>
              <w:t>点</w:t>
            </w:r>
            <w:r>
              <w:rPr>
                <w:color w:val="000000" w:themeColor="text1"/>
                <w:sz w:val="24"/>
                <w:szCs w:val="24"/>
                <w14:textFill>
                  <w14:solidFill>
                    <w14:schemeClr w14:val="tx1"/>
                  </w14:solidFill>
                </w14:textFill>
              </w:rPr>
              <w:t>及</w:t>
            </w:r>
            <w:r>
              <w:rPr>
                <w:rFonts w:hint="eastAsia"/>
                <w:color w:val="000000" w:themeColor="text1"/>
                <w:sz w:val="24"/>
                <w:szCs w:val="24"/>
                <w14:textFill>
                  <w14:solidFill>
                    <w14:schemeClr w14:val="tx1"/>
                  </w14:solidFill>
                </w14:textFill>
              </w:rPr>
              <w:t>8</w:t>
            </w:r>
            <w:r>
              <w:rPr>
                <w:color w:val="000000" w:themeColor="text1"/>
                <w:sz w:val="24"/>
                <w:szCs w:val="24"/>
                <w14:textFill>
                  <w14:solidFill>
                    <w14:schemeClr w14:val="tx1"/>
                  </w14:solidFill>
                </w14:textFill>
              </w:rPr>
              <w:t>-24</w:t>
            </w:r>
            <w:r>
              <w:rPr>
                <w:rFonts w:hint="eastAsia"/>
                <w:color w:val="000000" w:themeColor="text1"/>
                <w:sz w:val="24"/>
                <w:szCs w:val="24"/>
                <w14:textFill>
                  <w14:solidFill>
                    <w14:schemeClr w14:val="tx1"/>
                  </w14:solidFill>
                </w14:textFill>
              </w:rPr>
              <w:t>点</w:t>
            </w:r>
            <w:r>
              <w:rPr>
                <w:color w:val="000000" w:themeColor="text1"/>
                <w:sz w:val="24"/>
                <w:szCs w:val="24"/>
                <w14:textFill>
                  <w14:solidFill>
                    <w14:schemeClr w14:val="tx1"/>
                  </w14:solidFill>
                </w14:textFill>
              </w:rPr>
              <w:t>，使用</w:t>
            </w: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个；12</w:t>
            </w:r>
            <w:r>
              <w:rPr>
                <w:color w:val="000000" w:themeColor="text1"/>
                <w:sz w:val="24"/>
                <w:szCs w:val="24"/>
                <w14:textFill>
                  <w14:solidFill>
                    <w14:schemeClr w14:val="tx1"/>
                  </w14:solidFill>
                </w14:textFill>
              </w:rPr>
              <w:t>-19</w:t>
            </w:r>
            <w:r>
              <w:rPr>
                <w:rFonts w:hint="eastAsia"/>
                <w:color w:val="000000" w:themeColor="text1"/>
                <w:sz w:val="24"/>
                <w:szCs w:val="24"/>
                <w14:textFill>
                  <w14:solidFill>
                    <w14:schemeClr w14:val="tx1"/>
                  </w14:solidFill>
                </w14:textFill>
              </w:rPr>
              <w:t>点</w:t>
            </w:r>
            <w:r>
              <w:rPr>
                <w:color w:val="000000" w:themeColor="text1"/>
                <w:sz w:val="24"/>
                <w:szCs w:val="24"/>
                <w14:textFill>
                  <w14:solidFill>
                    <w14:schemeClr w14:val="tx1"/>
                  </w14:solidFill>
                </w14:textFill>
              </w:rPr>
              <w:t>，使用</w:t>
            </w:r>
            <w:r>
              <w:rPr>
                <w:rFonts w:hint="eastAsia"/>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t>-11</w:t>
            </w:r>
            <w:r>
              <w:rPr>
                <w:rFonts w:hint="eastAsia"/>
                <w:color w:val="000000" w:themeColor="text1"/>
                <w:sz w:val="24"/>
                <w:szCs w:val="24"/>
                <w14:textFill>
                  <w14:solidFill>
                    <w14:schemeClr w14:val="tx1"/>
                  </w14:solidFill>
                </w14:textFill>
              </w:rPr>
              <w:t>个</w:t>
            </w:r>
          </w:p>
        </w:tc>
        <w:tc>
          <w:tcPr>
            <w:tcW w:w="757"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7</w:t>
            </w:r>
          </w:p>
        </w:tc>
        <w:tc>
          <w:tcPr>
            <w:tcW w:w="1210"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维科招宝广场</w:t>
            </w:r>
          </w:p>
        </w:tc>
        <w:tc>
          <w:tcPr>
            <w:tcW w:w="992"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商业区</w:t>
            </w:r>
          </w:p>
        </w:tc>
        <w:tc>
          <w:tcPr>
            <w:tcW w:w="709"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招宝山</w:t>
            </w:r>
          </w:p>
        </w:tc>
        <w:tc>
          <w:tcPr>
            <w:tcW w:w="694"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9</w:t>
            </w:r>
          </w:p>
        </w:tc>
        <w:tc>
          <w:tcPr>
            <w:tcW w:w="724" w:type="dxa"/>
            <w:vAlign w:val="center"/>
          </w:tcPr>
          <w:p>
            <w:pPr>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直流</w:t>
            </w:r>
          </w:p>
        </w:tc>
        <w:tc>
          <w:tcPr>
            <w:tcW w:w="77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29</w:t>
            </w:r>
            <w:r>
              <w:rPr>
                <w:color w:val="000000" w:themeColor="text1"/>
                <w:sz w:val="24"/>
                <w:szCs w:val="24"/>
                <w14:textFill>
                  <w14:solidFill>
                    <w14:schemeClr w14:val="tx1"/>
                  </w14:solidFill>
                </w14:textFill>
              </w:rPr>
              <w:t>-62</w:t>
            </w:r>
          </w:p>
        </w:tc>
        <w:tc>
          <w:tcPr>
            <w:tcW w:w="2202" w:type="dxa"/>
            <w:vAlign w:val="center"/>
          </w:tcPr>
          <w:p>
            <w:pPr>
              <w:pStyle w:val="69"/>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0</w:t>
            </w:r>
            <w:r>
              <w:rPr>
                <w:color w:val="000000" w:themeColor="text1"/>
                <w:sz w:val="24"/>
                <w:szCs w:val="24"/>
                <w14:textFill>
                  <w14:solidFill>
                    <w14:schemeClr w14:val="tx1"/>
                  </w14:solidFill>
                </w14:textFill>
              </w:rPr>
              <w:t>-24</w:t>
            </w:r>
            <w:r>
              <w:rPr>
                <w:rFonts w:hint="eastAsia"/>
                <w:color w:val="000000" w:themeColor="text1"/>
                <w:sz w:val="24"/>
                <w:szCs w:val="24"/>
                <w14:textFill>
                  <w14:solidFill>
                    <w14:schemeClr w14:val="tx1"/>
                  </w14:solidFill>
                </w14:textFill>
              </w:rPr>
              <w:t>点</w:t>
            </w:r>
            <w:r>
              <w:rPr>
                <w:color w:val="000000" w:themeColor="text1"/>
                <w:sz w:val="24"/>
                <w:szCs w:val="24"/>
                <w14:textFill>
                  <w14:solidFill>
                    <w14:schemeClr w14:val="tx1"/>
                  </w14:solidFill>
                </w14:textFill>
              </w:rPr>
              <w:t>，使用2-6</w:t>
            </w:r>
            <w:r>
              <w:rPr>
                <w:rFonts w:hint="eastAsia"/>
                <w:color w:val="000000" w:themeColor="text1"/>
                <w:sz w:val="24"/>
                <w:szCs w:val="24"/>
                <w14:textFill>
                  <w14:solidFill>
                    <w14:schemeClr w14:val="tx1"/>
                  </w14:solidFill>
                </w14:textFill>
              </w:rPr>
              <w:t>个</w:t>
            </w:r>
          </w:p>
        </w:tc>
        <w:tc>
          <w:tcPr>
            <w:tcW w:w="757"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8</w:t>
            </w:r>
          </w:p>
        </w:tc>
        <w:tc>
          <w:tcPr>
            <w:tcW w:w="1210"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宁波商贸城市公共物流配送中心</w:t>
            </w:r>
          </w:p>
        </w:tc>
        <w:tc>
          <w:tcPr>
            <w:tcW w:w="992"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工业区</w:t>
            </w:r>
          </w:p>
        </w:tc>
        <w:tc>
          <w:tcPr>
            <w:tcW w:w="709"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蛟川</w:t>
            </w:r>
          </w:p>
        </w:tc>
        <w:tc>
          <w:tcPr>
            <w:tcW w:w="694"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8</w:t>
            </w:r>
          </w:p>
        </w:tc>
        <w:tc>
          <w:tcPr>
            <w:tcW w:w="724" w:type="dxa"/>
            <w:vAlign w:val="center"/>
          </w:tcPr>
          <w:p>
            <w:pPr>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直流</w:t>
            </w:r>
          </w:p>
        </w:tc>
        <w:tc>
          <w:tcPr>
            <w:tcW w:w="77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31</w:t>
            </w:r>
            <w:r>
              <w:rPr>
                <w:color w:val="000000" w:themeColor="text1"/>
                <w:sz w:val="24"/>
                <w:szCs w:val="24"/>
                <w14:textFill>
                  <w14:solidFill>
                    <w14:schemeClr w14:val="tx1"/>
                  </w14:solidFill>
                </w14:textFill>
              </w:rPr>
              <w:t>-58</w:t>
            </w:r>
          </w:p>
        </w:tc>
        <w:tc>
          <w:tcPr>
            <w:tcW w:w="2202" w:type="dxa"/>
            <w:vAlign w:val="center"/>
          </w:tcPr>
          <w:p>
            <w:pPr>
              <w:pStyle w:val="69"/>
              <w:spacing w:line="240" w:lineRule="auto"/>
              <w:ind w:firstLine="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0-24点</w:t>
            </w:r>
            <w:r>
              <w:rPr>
                <w:rFonts w:hint="eastAsia"/>
                <w:color w:val="000000" w:themeColor="text1"/>
                <w:sz w:val="24"/>
                <w:szCs w:val="24"/>
                <w14:textFill>
                  <w14:solidFill>
                    <w14:schemeClr w14:val="tx1"/>
                  </w14:solidFill>
                </w14:textFill>
              </w:rPr>
              <w:t>，使用1</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个</w:t>
            </w:r>
            <w:r>
              <w:rPr>
                <w:color w:val="000000" w:themeColor="text1"/>
                <w:sz w:val="24"/>
                <w:szCs w:val="24"/>
                <w14:textFill>
                  <w14:solidFill>
                    <w14:schemeClr w14:val="tx1"/>
                  </w14:solidFill>
                </w14:textFill>
              </w:rPr>
              <w:t>，个别时</w:t>
            </w:r>
            <w:r>
              <w:rPr>
                <w:rFonts w:hint="eastAsia"/>
                <w:color w:val="000000" w:themeColor="text1"/>
                <w:sz w:val="24"/>
                <w:szCs w:val="24"/>
                <w14:textFill>
                  <w14:solidFill>
                    <w14:schemeClr w14:val="tx1"/>
                  </w14:solidFill>
                </w14:textFill>
              </w:rPr>
              <w:t>段3</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个</w:t>
            </w:r>
          </w:p>
        </w:tc>
        <w:tc>
          <w:tcPr>
            <w:tcW w:w="757"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9</w:t>
            </w:r>
          </w:p>
        </w:tc>
        <w:tc>
          <w:tcPr>
            <w:tcW w:w="1210"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物流枢纽港</w:t>
            </w:r>
          </w:p>
        </w:tc>
        <w:tc>
          <w:tcPr>
            <w:tcW w:w="992"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工业区</w:t>
            </w:r>
          </w:p>
        </w:tc>
        <w:tc>
          <w:tcPr>
            <w:tcW w:w="709"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招宝山</w:t>
            </w:r>
          </w:p>
        </w:tc>
        <w:tc>
          <w:tcPr>
            <w:tcW w:w="694"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w:t>
            </w:r>
          </w:p>
        </w:tc>
        <w:tc>
          <w:tcPr>
            <w:tcW w:w="724"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直流</w:t>
            </w:r>
          </w:p>
        </w:tc>
        <w:tc>
          <w:tcPr>
            <w:tcW w:w="77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38</w:t>
            </w:r>
            <w:r>
              <w:rPr>
                <w:color w:val="000000" w:themeColor="text1"/>
                <w:sz w:val="24"/>
                <w:szCs w:val="24"/>
                <w14:textFill>
                  <w14:solidFill>
                    <w14:schemeClr w14:val="tx1"/>
                  </w14:solidFill>
                </w14:textFill>
              </w:rPr>
              <w:t>-69</w:t>
            </w:r>
          </w:p>
        </w:tc>
        <w:tc>
          <w:tcPr>
            <w:tcW w:w="2202"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p>
        </w:tc>
        <w:tc>
          <w:tcPr>
            <w:tcW w:w="757"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10</w:t>
            </w:r>
          </w:p>
        </w:tc>
        <w:tc>
          <w:tcPr>
            <w:tcW w:w="1210"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植物园</w:t>
            </w:r>
          </w:p>
        </w:tc>
        <w:tc>
          <w:tcPr>
            <w:tcW w:w="992"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休闲中心</w:t>
            </w:r>
          </w:p>
        </w:tc>
        <w:tc>
          <w:tcPr>
            <w:tcW w:w="709"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骆驼</w:t>
            </w:r>
          </w:p>
        </w:tc>
        <w:tc>
          <w:tcPr>
            <w:tcW w:w="694"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15</w:t>
            </w:r>
          </w:p>
        </w:tc>
        <w:tc>
          <w:tcPr>
            <w:tcW w:w="724"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直流</w:t>
            </w:r>
          </w:p>
        </w:tc>
        <w:tc>
          <w:tcPr>
            <w:tcW w:w="77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30</w:t>
            </w:r>
            <w:r>
              <w:rPr>
                <w:color w:val="000000" w:themeColor="text1"/>
                <w:sz w:val="24"/>
                <w:szCs w:val="24"/>
                <w14:textFill>
                  <w14:solidFill>
                    <w14:schemeClr w14:val="tx1"/>
                  </w14:solidFill>
                </w14:textFill>
              </w:rPr>
              <w:t>-50</w:t>
            </w:r>
          </w:p>
        </w:tc>
        <w:tc>
          <w:tcPr>
            <w:tcW w:w="2202"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4-6</w:t>
            </w:r>
            <w:r>
              <w:rPr>
                <w:rFonts w:hint="eastAsia"/>
                <w:color w:val="000000" w:themeColor="text1"/>
                <w:sz w:val="24"/>
                <w:szCs w:val="24"/>
                <w14:textFill>
                  <w14:solidFill>
                    <w14:schemeClr w14:val="tx1"/>
                  </w14:solidFill>
                </w14:textFill>
              </w:rPr>
              <w:t>使用10个；</w:t>
            </w:r>
          </w:p>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9-12</w:t>
            </w:r>
            <w:r>
              <w:rPr>
                <w:rFonts w:hint="eastAsia"/>
                <w:color w:val="000000" w:themeColor="text1"/>
                <w:sz w:val="24"/>
                <w:szCs w:val="24"/>
                <w14:textFill>
                  <w14:solidFill>
                    <w14:schemeClr w14:val="tx1"/>
                  </w14:solidFill>
                </w14:textFill>
              </w:rPr>
              <w:t>使用7</w:t>
            </w:r>
            <w:r>
              <w:rPr>
                <w:color w:val="000000" w:themeColor="text1"/>
                <w:sz w:val="24"/>
                <w:szCs w:val="24"/>
                <w14:textFill>
                  <w14:solidFill>
                    <w14:schemeClr w14:val="tx1"/>
                  </w14:solidFill>
                </w14:textFill>
              </w:rPr>
              <w:t>-14</w:t>
            </w:r>
            <w:r>
              <w:rPr>
                <w:rFonts w:hint="eastAsia"/>
                <w:color w:val="000000" w:themeColor="text1"/>
                <w:sz w:val="24"/>
                <w:szCs w:val="24"/>
                <w14:textFill>
                  <w14:solidFill>
                    <w14:schemeClr w14:val="tx1"/>
                  </w14:solidFill>
                </w14:textFill>
              </w:rPr>
              <w:t>个</w:t>
            </w:r>
          </w:p>
        </w:tc>
        <w:tc>
          <w:tcPr>
            <w:tcW w:w="757"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3127</w:t>
            </w:r>
          </w:p>
        </w:tc>
      </w:tr>
    </w:tbl>
    <w:p>
      <w:pPr>
        <w:pStyle w:val="69"/>
        <w:ind w:firstLine="48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注：</w:t>
      </w:r>
      <w:r>
        <w:rPr>
          <w:color w:val="000000" w:themeColor="text1"/>
          <w:sz w:val="24"/>
          <w14:textFill>
            <w14:solidFill>
              <w14:schemeClr w14:val="tx1"/>
            </w14:solidFill>
          </w14:textFill>
        </w:rPr>
        <w:t>数据来</w:t>
      </w:r>
      <w:r>
        <w:rPr>
          <w:rFonts w:hint="eastAsia"/>
          <w:color w:val="000000" w:themeColor="text1"/>
          <w:sz w:val="24"/>
          <w14:textFill>
            <w14:solidFill>
              <w14:schemeClr w14:val="tx1"/>
            </w14:solidFill>
          </w14:textFill>
        </w:rPr>
        <w:t>自</w:t>
      </w:r>
      <w:r>
        <w:rPr>
          <w:color w:val="000000" w:themeColor="text1"/>
          <w:sz w:val="24"/>
          <w14:textFill>
            <w14:solidFill>
              <w14:schemeClr w14:val="tx1"/>
            </w14:solidFill>
          </w14:textFill>
        </w:rPr>
        <w:t>百度地图</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（2）乡村地区</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目前九龙湖镇、</w:t>
      </w:r>
      <w:r>
        <w:rPr>
          <w:rFonts w:hint="eastAsia" w:ascii="微软雅黑" w:hAnsi="微软雅黑" w:eastAsia="微软雅黑" w:cs="微软雅黑"/>
          <w:color w:val="000000" w:themeColor="text1"/>
          <w14:textFill>
            <w14:solidFill>
              <w14:schemeClr w14:val="tx1"/>
            </w14:solidFill>
          </w14:textFill>
        </w:rPr>
        <w:t>澥</w:t>
      </w:r>
      <w:r>
        <w:rPr>
          <w:rFonts w:hint="eastAsia" w:ascii="仿宋_GB2312" w:hAnsi="仿宋_GB2312" w:cs="仿宋_GB2312"/>
          <w:color w:val="000000" w:themeColor="text1"/>
          <w14:textFill>
            <w14:solidFill>
              <w14:schemeClr w14:val="tx1"/>
            </w14:solidFill>
          </w14:textFill>
        </w:rPr>
        <w:t>浦镇公共充电桩安装站点不多，且均位于镇区范围，农村区域无覆盖。从现状使用情况来看，居住区公共充电桩使用主要集中在</w:t>
      </w:r>
      <w:r>
        <w:rPr>
          <w:rFonts w:hint="eastAsia"/>
          <w:color w:val="000000" w:themeColor="text1"/>
          <w14:textFill>
            <w14:solidFill>
              <w14:schemeClr w14:val="tx1"/>
            </w14:solidFill>
          </w14:textFill>
        </w:rPr>
        <w:t>0-7点及8-23点，而景区使用时段则属于全天段，且使用个数及频次较高。</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表3</w:t>
      </w: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镇海区现状</w:t>
      </w:r>
      <w:r>
        <w:rPr>
          <w:color w:val="000000" w:themeColor="text1"/>
          <w:sz w:val="24"/>
          <w14:textFill>
            <w14:solidFill>
              <w14:schemeClr w14:val="tx1"/>
            </w14:solidFill>
          </w14:textFill>
        </w:rPr>
        <w:t>乡村地区</w:t>
      </w:r>
      <w:r>
        <w:rPr>
          <w:rFonts w:hint="eastAsia"/>
          <w:color w:val="000000" w:themeColor="text1"/>
          <w:sz w:val="24"/>
          <w14:textFill>
            <w14:solidFill>
              <w14:schemeClr w14:val="tx1"/>
            </w14:solidFill>
          </w14:textFill>
        </w:rPr>
        <w:t>分区域类型充电桩利用情况分析表</w:t>
      </w:r>
    </w:p>
    <w:tbl>
      <w:tblPr>
        <w:tblStyle w:val="19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690"/>
        <w:gridCol w:w="1080"/>
        <w:gridCol w:w="709"/>
        <w:gridCol w:w="793"/>
        <w:gridCol w:w="854"/>
        <w:gridCol w:w="2083"/>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dxa"/>
            <w:vAlign w:val="center"/>
          </w:tcPr>
          <w:p>
            <w:pPr>
              <w:widowControl/>
              <w:adjustRightInd w:val="0"/>
              <w:snapToGrid w:val="0"/>
              <w:jc w:val="center"/>
              <w:rPr>
                <w:rFonts w:ascii="Times New Roman" w:hAnsi="Times New Roman" w:eastAsia="仿宋_GB2312" w:cs="Times New Roman"/>
                <w:b/>
                <w:bCs/>
                <w:color w:val="000000" w:themeColor="text1"/>
                <w:sz w:val="24"/>
                <w:szCs w:val="28"/>
                <w14:textFill>
                  <w14:solidFill>
                    <w14:schemeClr w14:val="tx1"/>
                  </w14:solidFill>
                </w14:textFill>
              </w:rPr>
            </w:pPr>
            <w:r>
              <w:rPr>
                <w:rFonts w:hint="eastAsia" w:ascii="Times New Roman" w:hAnsi="Times New Roman" w:eastAsia="仿宋_GB2312" w:cs="Times New Roman"/>
                <w:b/>
                <w:bCs/>
                <w:color w:val="000000" w:themeColor="text1"/>
                <w:sz w:val="24"/>
                <w:szCs w:val="28"/>
                <w14:textFill>
                  <w14:solidFill>
                    <w14:schemeClr w14:val="tx1"/>
                  </w14:solidFill>
                </w14:textFill>
              </w:rPr>
              <w:t>序号</w:t>
            </w:r>
          </w:p>
        </w:tc>
        <w:tc>
          <w:tcPr>
            <w:tcW w:w="1690" w:type="dxa"/>
            <w:vAlign w:val="center"/>
          </w:tcPr>
          <w:p>
            <w:pPr>
              <w:widowControl/>
              <w:adjustRightInd w:val="0"/>
              <w:snapToGrid w:val="0"/>
              <w:jc w:val="center"/>
              <w:rPr>
                <w:rFonts w:ascii="Times New Roman" w:hAnsi="Times New Roman" w:eastAsia="仿宋_GB2312" w:cs="Times New Roman"/>
                <w:b/>
                <w:bCs/>
                <w:color w:val="000000" w:themeColor="text1"/>
                <w:sz w:val="24"/>
                <w:szCs w:val="28"/>
                <w14:textFill>
                  <w14:solidFill>
                    <w14:schemeClr w14:val="tx1"/>
                  </w14:solidFill>
                </w14:textFill>
              </w:rPr>
            </w:pPr>
            <w:r>
              <w:rPr>
                <w:rFonts w:hint="eastAsia" w:ascii="Times New Roman" w:hAnsi="Times New Roman" w:eastAsia="仿宋_GB2312" w:cs="Times New Roman"/>
                <w:b/>
                <w:bCs/>
                <w:color w:val="000000" w:themeColor="text1"/>
                <w:sz w:val="24"/>
                <w:szCs w:val="28"/>
                <w14:textFill>
                  <w14:solidFill>
                    <w14:schemeClr w14:val="tx1"/>
                  </w14:solidFill>
                </w14:textFill>
              </w:rPr>
              <w:t>站点</w:t>
            </w:r>
          </w:p>
        </w:tc>
        <w:tc>
          <w:tcPr>
            <w:tcW w:w="1080" w:type="dxa"/>
            <w:vAlign w:val="center"/>
          </w:tcPr>
          <w:p>
            <w:pPr>
              <w:widowControl/>
              <w:adjustRightInd w:val="0"/>
              <w:snapToGrid w:val="0"/>
              <w:jc w:val="center"/>
              <w:rPr>
                <w:rFonts w:ascii="Times New Roman" w:hAnsi="Times New Roman" w:eastAsia="仿宋_GB2312" w:cs="Times New Roman"/>
                <w:b/>
                <w:bCs/>
                <w:color w:val="000000" w:themeColor="text1"/>
                <w:sz w:val="24"/>
                <w:szCs w:val="28"/>
                <w14:textFill>
                  <w14:solidFill>
                    <w14:schemeClr w14:val="tx1"/>
                  </w14:solidFill>
                </w14:textFill>
              </w:rPr>
            </w:pPr>
            <w:r>
              <w:rPr>
                <w:rFonts w:hint="eastAsia" w:ascii="Times New Roman" w:hAnsi="Times New Roman" w:eastAsia="仿宋_GB2312" w:cs="Times New Roman"/>
                <w:b/>
                <w:bCs/>
                <w:color w:val="000000" w:themeColor="text1"/>
                <w:sz w:val="24"/>
                <w:szCs w:val="28"/>
                <w14:textFill>
                  <w14:solidFill>
                    <w14:schemeClr w14:val="tx1"/>
                  </w14:solidFill>
                </w14:textFill>
              </w:rPr>
              <w:t>村镇</w:t>
            </w:r>
          </w:p>
        </w:tc>
        <w:tc>
          <w:tcPr>
            <w:tcW w:w="709" w:type="dxa"/>
            <w:vAlign w:val="center"/>
          </w:tcPr>
          <w:p>
            <w:pPr>
              <w:widowControl/>
              <w:adjustRightInd w:val="0"/>
              <w:snapToGrid w:val="0"/>
              <w:jc w:val="center"/>
              <w:rPr>
                <w:rFonts w:ascii="Times New Roman" w:hAnsi="Times New Roman" w:eastAsia="仿宋_GB2312" w:cs="Times New Roman"/>
                <w:b/>
                <w:bCs/>
                <w:color w:val="000000" w:themeColor="text1"/>
                <w:sz w:val="24"/>
                <w:szCs w:val="28"/>
                <w14:textFill>
                  <w14:solidFill>
                    <w14:schemeClr w14:val="tx1"/>
                  </w14:solidFill>
                </w14:textFill>
              </w:rPr>
            </w:pPr>
            <w:r>
              <w:rPr>
                <w:rFonts w:hint="eastAsia" w:ascii="Times New Roman" w:hAnsi="Times New Roman" w:eastAsia="仿宋_GB2312" w:cs="Times New Roman"/>
                <w:b/>
                <w:bCs/>
                <w:color w:val="000000" w:themeColor="text1"/>
                <w:sz w:val="24"/>
                <w:szCs w:val="28"/>
                <w14:textFill>
                  <w14:solidFill>
                    <w14:schemeClr w14:val="tx1"/>
                  </w14:solidFill>
                </w14:textFill>
              </w:rPr>
              <w:t>充电桩</w:t>
            </w:r>
            <w:r>
              <w:rPr>
                <w:rFonts w:ascii="Times New Roman" w:hAnsi="Times New Roman" w:eastAsia="仿宋_GB2312" w:cs="Times New Roman"/>
                <w:b/>
                <w:bCs/>
                <w:color w:val="000000" w:themeColor="text1"/>
                <w:sz w:val="24"/>
                <w:szCs w:val="28"/>
                <w14:textFill>
                  <w14:solidFill>
                    <w14:schemeClr w14:val="tx1"/>
                  </w14:solidFill>
                </w14:textFill>
              </w:rPr>
              <w:t>数量</w:t>
            </w:r>
            <w:r>
              <w:rPr>
                <w:rFonts w:hint="eastAsia" w:ascii="Times New Roman" w:hAnsi="Times New Roman" w:eastAsia="仿宋_GB2312" w:cs="Times New Roman"/>
                <w:b/>
                <w:bCs/>
                <w:color w:val="000000" w:themeColor="text1"/>
                <w:sz w:val="24"/>
                <w:szCs w:val="28"/>
                <w14:textFill>
                  <w14:solidFill>
                    <w14:schemeClr w14:val="tx1"/>
                  </w14:solidFill>
                </w14:textFill>
              </w:rPr>
              <w:t>/个</w:t>
            </w:r>
          </w:p>
        </w:tc>
        <w:tc>
          <w:tcPr>
            <w:tcW w:w="793" w:type="dxa"/>
            <w:vAlign w:val="center"/>
          </w:tcPr>
          <w:p>
            <w:pPr>
              <w:widowControl/>
              <w:adjustRightInd w:val="0"/>
              <w:snapToGrid w:val="0"/>
              <w:jc w:val="center"/>
              <w:rPr>
                <w:rFonts w:ascii="Times New Roman" w:hAnsi="Times New Roman" w:eastAsia="仿宋_GB2312" w:cs="Times New Roman"/>
                <w:b/>
                <w:bCs/>
                <w:color w:val="000000" w:themeColor="text1"/>
                <w:sz w:val="24"/>
                <w:szCs w:val="28"/>
                <w14:textFill>
                  <w14:solidFill>
                    <w14:schemeClr w14:val="tx1"/>
                  </w14:solidFill>
                </w14:textFill>
              </w:rPr>
            </w:pPr>
            <w:r>
              <w:rPr>
                <w:rFonts w:hint="eastAsia" w:ascii="Times New Roman" w:hAnsi="Times New Roman" w:eastAsia="仿宋_GB2312" w:cs="Times New Roman"/>
                <w:b/>
                <w:bCs/>
                <w:color w:val="000000" w:themeColor="text1"/>
                <w:sz w:val="24"/>
                <w:szCs w:val="28"/>
                <w14:textFill>
                  <w14:solidFill>
                    <w14:schemeClr w14:val="tx1"/>
                  </w14:solidFill>
                </w14:textFill>
              </w:rPr>
              <w:t>充电桩</w:t>
            </w:r>
            <w:r>
              <w:rPr>
                <w:rFonts w:ascii="Times New Roman" w:hAnsi="Times New Roman" w:eastAsia="仿宋_GB2312" w:cs="Times New Roman"/>
                <w:b/>
                <w:bCs/>
                <w:color w:val="000000" w:themeColor="text1"/>
                <w:sz w:val="24"/>
                <w:szCs w:val="28"/>
                <w14:textFill>
                  <w14:solidFill>
                    <w14:schemeClr w14:val="tx1"/>
                  </w14:solidFill>
                </w14:textFill>
              </w:rPr>
              <w:t>类型</w:t>
            </w:r>
          </w:p>
        </w:tc>
        <w:tc>
          <w:tcPr>
            <w:tcW w:w="854" w:type="dxa"/>
            <w:vAlign w:val="center"/>
          </w:tcPr>
          <w:p>
            <w:pPr>
              <w:widowControl/>
              <w:adjustRightInd w:val="0"/>
              <w:snapToGrid w:val="0"/>
              <w:jc w:val="center"/>
              <w:rPr>
                <w:rFonts w:ascii="Times New Roman" w:hAnsi="Times New Roman" w:eastAsia="仿宋_GB2312" w:cs="Times New Roman"/>
                <w:b/>
                <w:bCs/>
                <w:color w:val="000000" w:themeColor="text1"/>
                <w:sz w:val="24"/>
                <w:szCs w:val="28"/>
                <w14:textFill>
                  <w14:solidFill>
                    <w14:schemeClr w14:val="tx1"/>
                  </w14:solidFill>
                </w14:textFill>
              </w:rPr>
            </w:pPr>
            <w:r>
              <w:rPr>
                <w:rFonts w:hint="eastAsia" w:ascii="Times New Roman" w:hAnsi="Times New Roman" w:eastAsia="仿宋_GB2312" w:cs="Times New Roman"/>
                <w:b/>
                <w:bCs/>
                <w:color w:val="000000" w:themeColor="text1"/>
                <w:sz w:val="24"/>
                <w:szCs w:val="28"/>
                <w14:textFill>
                  <w14:solidFill>
                    <w14:schemeClr w14:val="tx1"/>
                  </w14:solidFill>
                </w14:textFill>
              </w:rPr>
              <w:t>充电</w:t>
            </w:r>
            <w:r>
              <w:rPr>
                <w:rFonts w:ascii="Times New Roman" w:hAnsi="Times New Roman" w:eastAsia="仿宋_GB2312" w:cs="Times New Roman"/>
                <w:b/>
                <w:bCs/>
                <w:color w:val="000000" w:themeColor="text1"/>
                <w:sz w:val="24"/>
                <w:szCs w:val="28"/>
                <w14:textFill>
                  <w14:solidFill>
                    <w14:schemeClr w14:val="tx1"/>
                  </w14:solidFill>
                </w14:textFill>
              </w:rPr>
              <w:t>桩功率/KW</w:t>
            </w:r>
          </w:p>
        </w:tc>
        <w:tc>
          <w:tcPr>
            <w:tcW w:w="2083" w:type="dxa"/>
            <w:vAlign w:val="center"/>
          </w:tcPr>
          <w:p>
            <w:pPr>
              <w:widowControl/>
              <w:adjustRightInd w:val="0"/>
              <w:snapToGrid w:val="0"/>
              <w:jc w:val="center"/>
              <w:rPr>
                <w:rFonts w:ascii="Times New Roman" w:hAnsi="Times New Roman" w:eastAsia="仿宋_GB2312" w:cs="Times New Roman"/>
                <w:b/>
                <w:bCs/>
                <w:color w:val="000000" w:themeColor="text1"/>
                <w:sz w:val="24"/>
                <w:szCs w:val="28"/>
                <w14:textFill>
                  <w14:solidFill>
                    <w14:schemeClr w14:val="tx1"/>
                  </w14:solidFill>
                </w14:textFill>
              </w:rPr>
            </w:pPr>
            <w:r>
              <w:rPr>
                <w:rFonts w:hint="eastAsia" w:ascii="Times New Roman" w:hAnsi="Times New Roman" w:eastAsia="仿宋_GB2312" w:cs="Times New Roman"/>
                <w:b/>
                <w:bCs/>
                <w:color w:val="000000" w:themeColor="text1"/>
                <w:sz w:val="24"/>
                <w:szCs w:val="28"/>
                <w14:textFill>
                  <w14:solidFill>
                    <w14:schemeClr w14:val="tx1"/>
                  </w14:solidFill>
                </w14:textFill>
              </w:rPr>
              <w:t>一天</w:t>
            </w:r>
            <w:r>
              <w:rPr>
                <w:rFonts w:ascii="Times New Roman" w:hAnsi="Times New Roman" w:eastAsia="仿宋_GB2312" w:cs="Times New Roman"/>
                <w:b/>
                <w:bCs/>
                <w:color w:val="000000" w:themeColor="text1"/>
                <w:sz w:val="24"/>
                <w:szCs w:val="28"/>
                <w14:textFill>
                  <w14:solidFill>
                    <w14:schemeClr w14:val="tx1"/>
                  </w14:solidFill>
                </w14:textFill>
              </w:rPr>
              <w:t>使用时长</w:t>
            </w:r>
          </w:p>
        </w:tc>
        <w:tc>
          <w:tcPr>
            <w:tcW w:w="856" w:type="dxa"/>
            <w:vAlign w:val="center"/>
          </w:tcPr>
          <w:p>
            <w:pPr>
              <w:widowControl/>
              <w:adjustRightInd w:val="0"/>
              <w:snapToGrid w:val="0"/>
              <w:jc w:val="center"/>
              <w:rPr>
                <w:rFonts w:ascii="Times New Roman" w:hAnsi="Times New Roman" w:eastAsia="仿宋_GB2312" w:cs="Times New Roman"/>
                <w:b/>
                <w:bCs/>
                <w:color w:val="000000" w:themeColor="text1"/>
                <w:sz w:val="24"/>
                <w:szCs w:val="28"/>
                <w14:textFill>
                  <w14:solidFill>
                    <w14:schemeClr w14:val="tx1"/>
                  </w14:solidFill>
                </w14:textFill>
              </w:rPr>
            </w:pPr>
            <w:r>
              <w:rPr>
                <w:rFonts w:hint="eastAsia" w:ascii="Times New Roman" w:hAnsi="Times New Roman" w:eastAsia="仿宋_GB2312" w:cs="Times New Roman"/>
                <w:b/>
                <w:bCs/>
                <w:color w:val="000000" w:themeColor="text1"/>
                <w:sz w:val="24"/>
                <w:szCs w:val="28"/>
                <w14:textFill>
                  <w14:solidFill>
                    <w14:schemeClr w14:val="tx1"/>
                  </w14:solidFill>
                </w14:textFill>
              </w:rPr>
              <w:t>月利用率</w:t>
            </w:r>
            <w:r>
              <w:rPr>
                <w:rFonts w:ascii="Times New Roman" w:hAnsi="Times New Roman" w:eastAsia="仿宋_GB2312" w:cs="Times New Roman"/>
                <w:b/>
                <w:bCs/>
                <w:color w:val="000000" w:themeColor="text1"/>
                <w:sz w:val="24"/>
                <w:szCs w:val="28"/>
                <w14:textFill>
                  <w14:solidFill>
                    <w14:schemeClr w14:val="tx1"/>
                  </w14:solidFill>
                </w14:textFill>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dxa"/>
            <w:vAlign w:val="center"/>
          </w:tcPr>
          <w:p>
            <w:pPr>
              <w:widowControl/>
              <w:adjustRightInd w:val="0"/>
              <w:snapToGrid w:val="0"/>
              <w:jc w:val="center"/>
              <w:rPr>
                <w:rFonts w:ascii="Times New Roman" w:hAnsi="Times New Roman" w:eastAsia="仿宋_GB2312" w:cs="Times New Roman"/>
                <w:b/>
                <w:bCs/>
                <w:color w:val="000000" w:themeColor="text1"/>
                <w:sz w:val="24"/>
                <w:szCs w:val="28"/>
                <w14:textFill>
                  <w14:solidFill>
                    <w14:schemeClr w14:val="tx1"/>
                  </w14:solidFill>
                </w14:textFill>
              </w:rPr>
            </w:pPr>
            <w:r>
              <w:rPr>
                <w:rFonts w:hint="eastAsia" w:ascii="Times New Roman" w:hAnsi="Times New Roman" w:eastAsia="仿宋_GB2312" w:cs="Times New Roman"/>
                <w:b/>
                <w:bCs/>
                <w:color w:val="000000" w:themeColor="text1"/>
                <w:sz w:val="24"/>
                <w:szCs w:val="28"/>
                <w14:textFill>
                  <w14:solidFill>
                    <w14:schemeClr w14:val="tx1"/>
                  </w14:solidFill>
                </w14:textFill>
              </w:rPr>
              <w:t>1</w:t>
            </w:r>
          </w:p>
        </w:tc>
        <w:tc>
          <w:tcPr>
            <w:tcW w:w="1690"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九龙家苑三期</w:t>
            </w:r>
          </w:p>
        </w:tc>
        <w:tc>
          <w:tcPr>
            <w:tcW w:w="1080"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九龙湖</w:t>
            </w:r>
          </w:p>
        </w:tc>
        <w:tc>
          <w:tcPr>
            <w:tcW w:w="709"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5</w:t>
            </w:r>
          </w:p>
        </w:tc>
        <w:tc>
          <w:tcPr>
            <w:tcW w:w="793" w:type="dxa"/>
            <w:vAlign w:val="center"/>
          </w:tcPr>
          <w:p>
            <w:pPr>
              <w:jc w:val="center"/>
            </w:pPr>
            <w:r>
              <w:rPr>
                <w:rFonts w:hint="eastAsia" w:ascii="Times New Roman" w:hAnsi="Times New Roman" w:eastAsia="仿宋_GB2312" w:cs="Times New Roman"/>
                <w:color w:val="000000" w:themeColor="text1"/>
                <w:sz w:val="24"/>
                <w:szCs w:val="28"/>
                <w14:textFill>
                  <w14:solidFill>
                    <w14:schemeClr w14:val="tx1"/>
                  </w14:solidFill>
                </w14:textFill>
              </w:rPr>
              <w:t>交流</w:t>
            </w:r>
          </w:p>
        </w:tc>
        <w:tc>
          <w:tcPr>
            <w:tcW w:w="854"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7</w:t>
            </w:r>
          </w:p>
        </w:tc>
        <w:tc>
          <w:tcPr>
            <w:tcW w:w="2083" w:type="dxa"/>
            <w:vAlign w:val="center"/>
          </w:tcPr>
          <w:p>
            <w:pPr>
              <w:widowControl/>
              <w:adjustRightInd w:val="0"/>
              <w:snapToGrid w:val="0"/>
              <w:jc w:val="left"/>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0-24</w:t>
            </w:r>
            <w:r>
              <w:rPr>
                <w:rFonts w:hint="eastAsia" w:ascii="Times New Roman" w:hAnsi="Times New Roman" w:eastAsia="仿宋_GB2312" w:cs="Times New Roman"/>
                <w:color w:val="000000" w:themeColor="text1"/>
                <w:sz w:val="24"/>
                <w:szCs w:val="28"/>
                <w14:textFill>
                  <w14:solidFill>
                    <w14:schemeClr w14:val="tx1"/>
                  </w14:solidFill>
                </w14:textFill>
              </w:rPr>
              <w:t>点</w:t>
            </w:r>
            <w:r>
              <w:rPr>
                <w:rFonts w:ascii="Times New Roman" w:hAnsi="Times New Roman" w:eastAsia="仿宋_GB2312" w:cs="Times New Roman"/>
                <w:color w:val="000000" w:themeColor="text1"/>
                <w:sz w:val="24"/>
                <w:szCs w:val="28"/>
                <w14:textFill>
                  <w14:solidFill>
                    <w14:schemeClr w14:val="tx1"/>
                  </w14:solidFill>
                </w14:textFill>
              </w:rPr>
              <w:t>，</w:t>
            </w:r>
            <w:r>
              <w:rPr>
                <w:rFonts w:hint="eastAsia" w:ascii="Times New Roman" w:hAnsi="Times New Roman" w:eastAsia="仿宋_GB2312" w:cs="Times New Roman"/>
                <w:color w:val="000000" w:themeColor="text1"/>
                <w:sz w:val="24"/>
                <w:szCs w:val="28"/>
                <w14:textFill>
                  <w14:solidFill>
                    <w14:schemeClr w14:val="tx1"/>
                  </w14:solidFill>
                </w14:textFill>
              </w:rPr>
              <w:t>1</w:t>
            </w:r>
            <w:r>
              <w:rPr>
                <w:rFonts w:ascii="Times New Roman" w:hAnsi="Times New Roman" w:eastAsia="仿宋_GB2312" w:cs="Times New Roman"/>
                <w:color w:val="000000" w:themeColor="text1"/>
                <w:sz w:val="24"/>
                <w:szCs w:val="28"/>
                <w14:textFill>
                  <w14:solidFill>
                    <w14:schemeClr w14:val="tx1"/>
                  </w14:solidFill>
                </w14:textFill>
              </w:rPr>
              <w:t>-2</w:t>
            </w:r>
            <w:r>
              <w:rPr>
                <w:rFonts w:hint="eastAsia" w:ascii="Times New Roman" w:hAnsi="Times New Roman" w:eastAsia="仿宋_GB2312" w:cs="Times New Roman"/>
                <w:color w:val="000000" w:themeColor="text1"/>
                <w:sz w:val="24"/>
                <w:szCs w:val="28"/>
                <w14:textFill>
                  <w14:solidFill>
                    <w14:schemeClr w14:val="tx1"/>
                  </w14:solidFill>
                </w14:textFill>
              </w:rPr>
              <w:t>个</w:t>
            </w:r>
          </w:p>
        </w:tc>
        <w:tc>
          <w:tcPr>
            <w:tcW w:w="856"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dxa"/>
            <w:vAlign w:val="center"/>
          </w:tcPr>
          <w:p>
            <w:pPr>
              <w:widowControl/>
              <w:adjustRightInd w:val="0"/>
              <w:snapToGrid w:val="0"/>
              <w:jc w:val="center"/>
              <w:rPr>
                <w:rFonts w:ascii="Times New Roman" w:hAnsi="Times New Roman" w:eastAsia="仿宋_GB2312" w:cs="Times New Roman"/>
                <w:b/>
                <w:bCs/>
                <w:color w:val="000000" w:themeColor="text1"/>
                <w:sz w:val="24"/>
                <w:szCs w:val="28"/>
                <w14:textFill>
                  <w14:solidFill>
                    <w14:schemeClr w14:val="tx1"/>
                  </w14:solidFill>
                </w14:textFill>
              </w:rPr>
            </w:pPr>
            <w:r>
              <w:rPr>
                <w:rFonts w:hint="eastAsia" w:ascii="Times New Roman" w:hAnsi="Times New Roman" w:eastAsia="仿宋_GB2312" w:cs="Times New Roman"/>
                <w:b/>
                <w:bCs/>
                <w:color w:val="000000" w:themeColor="text1"/>
                <w:sz w:val="24"/>
                <w:szCs w:val="28"/>
                <w14:textFill>
                  <w14:solidFill>
                    <w14:schemeClr w14:val="tx1"/>
                  </w14:solidFill>
                </w14:textFill>
              </w:rPr>
              <w:t>2</w:t>
            </w:r>
          </w:p>
        </w:tc>
        <w:tc>
          <w:tcPr>
            <w:tcW w:w="1690"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九龙家苑一期</w:t>
            </w:r>
          </w:p>
        </w:tc>
        <w:tc>
          <w:tcPr>
            <w:tcW w:w="1080"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九龙湖</w:t>
            </w:r>
          </w:p>
        </w:tc>
        <w:tc>
          <w:tcPr>
            <w:tcW w:w="709"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6</w:t>
            </w:r>
          </w:p>
        </w:tc>
        <w:tc>
          <w:tcPr>
            <w:tcW w:w="793" w:type="dxa"/>
            <w:vAlign w:val="center"/>
          </w:tcPr>
          <w:p>
            <w:pPr>
              <w:jc w:val="center"/>
            </w:pPr>
            <w:r>
              <w:rPr>
                <w:rFonts w:hint="eastAsia" w:ascii="Times New Roman" w:hAnsi="Times New Roman" w:eastAsia="仿宋_GB2312" w:cs="Times New Roman"/>
                <w:color w:val="000000" w:themeColor="text1"/>
                <w:sz w:val="24"/>
                <w:szCs w:val="28"/>
                <w14:textFill>
                  <w14:solidFill>
                    <w14:schemeClr w14:val="tx1"/>
                  </w14:solidFill>
                </w14:textFill>
              </w:rPr>
              <w:t>交流</w:t>
            </w:r>
          </w:p>
        </w:tc>
        <w:tc>
          <w:tcPr>
            <w:tcW w:w="854"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7</w:t>
            </w:r>
          </w:p>
        </w:tc>
        <w:tc>
          <w:tcPr>
            <w:tcW w:w="2083" w:type="dxa"/>
            <w:vAlign w:val="center"/>
          </w:tcPr>
          <w:p>
            <w:pPr>
              <w:widowControl/>
              <w:adjustRightInd w:val="0"/>
              <w:snapToGrid w:val="0"/>
              <w:jc w:val="left"/>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0</w:t>
            </w:r>
            <w:r>
              <w:rPr>
                <w:rFonts w:ascii="Times New Roman" w:hAnsi="Times New Roman" w:eastAsia="仿宋_GB2312" w:cs="Times New Roman"/>
                <w:color w:val="000000" w:themeColor="text1"/>
                <w:sz w:val="24"/>
                <w:szCs w:val="28"/>
                <w14:textFill>
                  <w14:solidFill>
                    <w14:schemeClr w14:val="tx1"/>
                  </w14:solidFill>
                </w14:textFill>
              </w:rPr>
              <w:t>-7</w:t>
            </w:r>
            <w:r>
              <w:rPr>
                <w:rFonts w:hint="eastAsia" w:ascii="Times New Roman" w:hAnsi="Times New Roman" w:eastAsia="仿宋_GB2312" w:cs="Times New Roman"/>
                <w:color w:val="000000" w:themeColor="text1"/>
                <w:sz w:val="24"/>
                <w:szCs w:val="28"/>
                <w14:textFill>
                  <w14:solidFill>
                    <w14:schemeClr w14:val="tx1"/>
                  </w14:solidFill>
                </w14:textFill>
              </w:rPr>
              <w:t>点及18</w:t>
            </w:r>
            <w:r>
              <w:rPr>
                <w:rFonts w:ascii="Times New Roman" w:hAnsi="Times New Roman" w:eastAsia="仿宋_GB2312" w:cs="Times New Roman"/>
                <w:color w:val="000000" w:themeColor="text1"/>
                <w:sz w:val="24"/>
                <w:szCs w:val="28"/>
                <w14:textFill>
                  <w14:solidFill>
                    <w14:schemeClr w14:val="tx1"/>
                  </w14:solidFill>
                </w14:textFill>
              </w:rPr>
              <w:t>-23</w:t>
            </w:r>
            <w:r>
              <w:rPr>
                <w:rFonts w:hint="eastAsia" w:ascii="Times New Roman" w:hAnsi="Times New Roman" w:eastAsia="仿宋_GB2312" w:cs="Times New Roman"/>
                <w:color w:val="000000" w:themeColor="text1"/>
                <w:sz w:val="24"/>
                <w:szCs w:val="28"/>
                <w14:textFill>
                  <w14:solidFill>
                    <w14:schemeClr w14:val="tx1"/>
                  </w14:solidFill>
                </w14:textFill>
              </w:rPr>
              <w:t>点，</w:t>
            </w:r>
            <w:r>
              <w:rPr>
                <w:rFonts w:ascii="Times New Roman" w:hAnsi="Times New Roman" w:eastAsia="仿宋_GB2312" w:cs="Times New Roman"/>
                <w:color w:val="000000" w:themeColor="text1"/>
                <w:sz w:val="24"/>
                <w:szCs w:val="28"/>
                <w14:textFill>
                  <w14:solidFill>
                    <w14:schemeClr w14:val="tx1"/>
                  </w14:solidFill>
                </w14:textFill>
              </w:rPr>
              <w:t>使用</w:t>
            </w:r>
            <w:r>
              <w:rPr>
                <w:rFonts w:hint="eastAsia" w:ascii="Times New Roman" w:hAnsi="Times New Roman" w:eastAsia="仿宋_GB2312" w:cs="Times New Roman"/>
                <w:color w:val="000000" w:themeColor="text1"/>
                <w:sz w:val="24"/>
                <w:szCs w:val="28"/>
                <w14:textFill>
                  <w14:solidFill>
                    <w14:schemeClr w14:val="tx1"/>
                  </w14:solidFill>
                </w14:textFill>
              </w:rPr>
              <w:t>3个，</w:t>
            </w:r>
          </w:p>
        </w:tc>
        <w:tc>
          <w:tcPr>
            <w:tcW w:w="856"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dxa"/>
            <w:vAlign w:val="center"/>
          </w:tcPr>
          <w:p>
            <w:pPr>
              <w:widowControl/>
              <w:adjustRightInd w:val="0"/>
              <w:snapToGrid w:val="0"/>
              <w:jc w:val="center"/>
              <w:rPr>
                <w:rFonts w:ascii="Times New Roman" w:hAnsi="Times New Roman" w:eastAsia="仿宋_GB2312" w:cs="Times New Roman"/>
                <w:b/>
                <w:bCs/>
                <w:color w:val="000000" w:themeColor="text1"/>
                <w:sz w:val="24"/>
                <w:szCs w:val="28"/>
                <w14:textFill>
                  <w14:solidFill>
                    <w14:schemeClr w14:val="tx1"/>
                  </w14:solidFill>
                </w14:textFill>
              </w:rPr>
            </w:pPr>
            <w:r>
              <w:rPr>
                <w:rFonts w:hint="eastAsia" w:ascii="Times New Roman" w:hAnsi="Times New Roman" w:eastAsia="仿宋_GB2312" w:cs="Times New Roman"/>
                <w:b/>
                <w:bCs/>
                <w:color w:val="000000" w:themeColor="text1"/>
                <w:sz w:val="24"/>
                <w:szCs w:val="28"/>
                <w14:textFill>
                  <w14:solidFill>
                    <w14:schemeClr w14:val="tx1"/>
                  </w14:solidFill>
                </w14:textFill>
              </w:rPr>
              <w:t>3</w:t>
            </w:r>
          </w:p>
        </w:tc>
        <w:tc>
          <w:tcPr>
            <w:tcW w:w="1690"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九龙家苑二期</w:t>
            </w:r>
          </w:p>
        </w:tc>
        <w:tc>
          <w:tcPr>
            <w:tcW w:w="1080"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九龙湖</w:t>
            </w:r>
          </w:p>
        </w:tc>
        <w:tc>
          <w:tcPr>
            <w:tcW w:w="709"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4</w:t>
            </w:r>
          </w:p>
        </w:tc>
        <w:tc>
          <w:tcPr>
            <w:tcW w:w="793" w:type="dxa"/>
            <w:vAlign w:val="center"/>
          </w:tcPr>
          <w:p>
            <w:pPr>
              <w:jc w:val="center"/>
            </w:pPr>
            <w:r>
              <w:rPr>
                <w:rFonts w:hint="eastAsia" w:ascii="Times New Roman" w:hAnsi="Times New Roman" w:eastAsia="仿宋_GB2312" w:cs="Times New Roman"/>
                <w:color w:val="000000" w:themeColor="text1"/>
                <w:sz w:val="24"/>
                <w:szCs w:val="28"/>
                <w14:textFill>
                  <w14:solidFill>
                    <w14:schemeClr w14:val="tx1"/>
                  </w14:solidFill>
                </w14:textFill>
              </w:rPr>
              <w:t>交流</w:t>
            </w:r>
          </w:p>
        </w:tc>
        <w:tc>
          <w:tcPr>
            <w:tcW w:w="854"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7</w:t>
            </w:r>
          </w:p>
        </w:tc>
        <w:tc>
          <w:tcPr>
            <w:tcW w:w="2083" w:type="dxa"/>
            <w:vAlign w:val="center"/>
          </w:tcPr>
          <w:p>
            <w:pPr>
              <w:widowControl/>
              <w:adjustRightInd w:val="0"/>
              <w:snapToGrid w:val="0"/>
              <w:jc w:val="left"/>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0</w:t>
            </w:r>
            <w:r>
              <w:rPr>
                <w:rFonts w:ascii="Times New Roman" w:hAnsi="Times New Roman" w:eastAsia="仿宋_GB2312" w:cs="Times New Roman"/>
                <w:color w:val="000000" w:themeColor="text1"/>
                <w:sz w:val="24"/>
                <w:szCs w:val="28"/>
                <w14:textFill>
                  <w14:solidFill>
                    <w14:schemeClr w14:val="tx1"/>
                  </w14:solidFill>
                </w14:textFill>
              </w:rPr>
              <w:t>-7</w:t>
            </w:r>
            <w:r>
              <w:rPr>
                <w:rFonts w:hint="eastAsia" w:ascii="Times New Roman" w:hAnsi="Times New Roman" w:eastAsia="仿宋_GB2312" w:cs="Times New Roman"/>
                <w:color w:val="000000" w:themeColor="text1"/>
                <w:sz w:val="24"/>
                <w:szCs w:val="28"/>
                <w14:textFill>
                  <w14:solidFill>
                    <w14:schemeClr w14:val="tx1"/>
                  </w14:solidFill>
                </w14:textFill>
              </w:rPr>
              <w:t>点及18</w:t>
            </w:r>
            <w:r>
              <w:rPr>
                <w:rFonts w:ascii="Times New Roman" w:hAnsi="Times New Roman" w:eastAsia="仿宋_GB2312" w:cs="Times New Roman"/>
                <w:color w:val="000000" w:themeColor="text1"/>
                <w:sz w:val="24"/>
                <w:szCs w:val="28"/>
                <w14:textFill>
                  <w14:solidFill>
                    <w14:schemeClr w14:val="tx1"/>
                  </w14:solidFill>
                </w14:textFill>
              </w:rPr>
              <w:t>-23</w:t>
            </w:r>
            <w:r>
              <w:rPr>
                <w:rFonts w:hint="eastAsia" w:ascii="Times New Roman" w:hAnsi="Times New Roman" w:eastAsia="仿宋_GB2312" w:cs="Times New Roman"/>
                <w:color w:val="000000" w:themeColor="text1"/>
                <w:sz w:val="24"/>
                <w:szCs w:val="28"/>
                <w14:textFill>
                  <w14:solidFill>
                    <w14:schemeClr w14:val="tx1"/>
                  </w14:solidFill>
                </w14:textFill>
              </w:rPr>
              <w:t>点，</w:t>
            </w:r>
            <w:r>
              <w:rPr>
                <w:rFonts w:ascii="Times New Roman" w:hAnsi="Times New Roman" w:eastAsia="仿宋_GB2312" w:cs="Times New Roman"/>
                <w:color w:val="000000" w:themeColor="text1"/>
                <w:sz w:val="24"/>
                <w:szCs w:val="28"/>
                <w14:textFill>
                  <w14:solidFill>
                    <w14:schemeClr w14:val="tx1"/>
                  </w14:solidFill>
                </w14:textFill>
              </w:rPr>
              <w:t>使用2</w:t>
            </w:r>
            <w:r>
              <w:rPr>
                <w:rFonts w:hint="eastAsia" w:ascii="Times New Roman" w:hAnsi="Times New Roman" w:eastAsia="仿宋_GB2312" w:cs="Times New Roman"/>
                <w:color w:val="000000" w:themeColor="text1"/>
                <w:sz w:val="24"/>
                <w:szCs w:val="28"/>
                <w14:textFill>
                  <w14:solidFill>
                    <w14:schemeClr w14:val="tx1"/>
                  </w14:solidFill>
                </w14:textFill>
              </w:rPr>
              <w:t>个</w:t>
            </w:r>
          </w:p>
        </w:tc>
        <w:tc>
          <w:tcPr>
            <w:tcW w:w="856"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dxa"/>
            <w:vAlign w:val="center"/>
          </w:tcPr>
          <w:p>
            <w:pPr>
              <w:widowControl/>
              <w:adjustRightInd w:val="0"/>
              <w:snapToGrid w:val="0"/>
              <w:jc w:val="center"/>
              <w:rPr>
                <w:rFonts w:ascii="Times New Roman" w:hAnsi="Times New Roman" w:eastAsia="仿宋_GB2312" w:cs="Times New Roman"/>
                <w:b/>
                <w:bCs/>
                <w:color w:val="000000" w:themeColor="text1"/>
                <w:sz w:val="24"/>
                <w:szCs w:val="28"/>
                <w14:textFill>
                  <w14:solidFill>
                    <w14:schemeClr w14:val="tx1"/>
                  </w14:solidFill>
                </w14:textFill>
              </w:rPr>
            </w:pPr>
            <w:r>
              <w:rPr>
                <w:rFonts w:hint="eastAsia" w:ascii="Times New Roman" w:hAnsi="Times New Roman" w:eastAsia="仿宋_GB2312" w:cs="Times New Roman"/>
                <w:b/>
                <w:bCs/>
                <w:color w:val="000000" w:themeColor="text1"/>
                <w:sz w:val="24"/>
                <w:szCs w:val="28"/>
                <w14:textFill>
                  <w14:solidFill>
                    <w14:schemeClr w14:val="tx1"/>
                  </w14:solidFill>
                </w14:textFill>
              </w:rPr>
              <w:t>4</w:t>
            </w:r>
          </w:p>
        </w:tc>
        <w:tc>
          <w:tcPr>
            <w:tcW w:w="1690"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九龙家苑四期</w:t>
            </w:r>
          </w:p>
        </w:tc>
        <w:tc>
          <w:tcPr>
            <w:tcW w:w="1080"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九龙湖</w:t>
            </w:r>
          </w:p>
        </w:tc>
        <w:tc>
          <w:tcPr>
            <w:tcW w:w="709"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4</w:t>
            </w:r>
          </w:p>
        </w:tc>
        <w:tc>
          <w:tcPr>
            <w:tcW w:w="793"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交流</w:t>
            </w:r>
          </w:p>
        </w:tc>
        <w:tc>
          <w:tcPr>
            <w:tcW w:w="854"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7</w:t>
            </w:r>
          </w:p>
        </w:tc>
        <w:tc>
          <w:tcPr>
            <w:tcW w:w="2083" w:type="dxa"/>
            <w:vAlign w:val="center"/>
          </w:tcPr>
          <w:p>
            <w:pPr>
              <w:widowControl/>
              <w:adjustRightInd w:val="0"/>
              <w:snapToGrid w:val="0"/>
              <w:jc w:val="left"/>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0</w:t>
            </w:r>
            <w:r>
              <w:rPr>
                <w:rFonts w:ascii="Times New Roman" w:hAnsi="Times New Roman" w:eastAsia="仿宋_GB2312" w:cs="Times New Roman"/>
                <w:color w:val="000000" w:themeColor="text1"/>
                <w:sz w:val="24"/>
                <w:szCs w:val="28"/>
                <w14:textFill>
                  <w14:solidFill>
                    <w14:schemeClr w14:val="tx1"/>
                  </w14:solidFill>
                </w14:textFill>
              </w:rPr>
              <w:t>-7</w:t>
            </w:r>
            <w:r>
              <w:rPr>
                <w:rFonts w:hint="eastAsia" w:ascii="Times New Roman" w:hAnsi="Times New Roman" w:eastAsia="仿宋_GB2312" w:cs="Times New Roman"/>
                <w:color w:val="000000" w:themeColor="text1"/>
                <w:sz w:val="24"/>
                <w:szCs w:val="28"/>
                <w14:textFill>
                  <w14:solidFill>
                    <w14:schemeClr w14:val="tx1"/>
                  </w14:solidFill>
                </w14:textFill>
              </w:rPr>
              <w:t>点及18</w:t>
            </w:r>
            <w:r>
              <w:rPr>
                <w:rFonts w:ascii="Times New Roman" w:hAnsi="Times New Roman" w:eastAsia="仿宋_GB2312" w:cs="Times New Roman"/>
                <w:color w:val="000000" w:themeColor="text1"/>
                <w:sz w:val="24"/>
                <w:szCs w:val="28"/>
                <w14:textFill>
                  <w14:solidFill>
                    <w14:schemeClr w14:val="tx1"/>
                  </w14:solidFill>
                </w14:textFill>
              </w:rPr>
              <w:t>-23</w:t>
            </w:r>
            <w:r>
              <w:rPr>
                <w:rFonts w:hint="eastAsia" w:ascii="Times New Roman" w:hAnsi="Times New Roman" w:eastAsia="仿宋_GB2312" w:cs="Times New Roman"/>
                <w:color w:val="000000" w:themeColor="text1"/>
                <w:sz w:val="24"/>
                <w:szCs w:val="28"/>
                <w14:textFill>
                  <w14:solidFill>
                    <w14:schemeClr w14:val="tx1"/>
                  </w14:solidFill>
                </w14:textFill>
              </w:rPr>
              <w:t>点，使用3个</w:t>
            </w:r>
          </w:p>
        </w:tc>
        <w:tc>
          <w:tcPr>
            <w:tcW w:w="856"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dxa"/>
            <w:vAlign w:val="center"/>
          </w:tcPr>
          <w:p>
            <w:pPr>
              <w:widowControl/>
              <w:adjustRightInd w:val="0"/>
              <w:snapToGrid w:val="0"/>
              <w:jc w:val="center"/>
              <w:rPr>
                <w:rFonts w:ascii="Times New Roman" w:hAnsi="Times New Roman" w:eastAsia="仿宋_GB2312" w:cs="Times New Roman"/>
                <w:b/>
                <w:bCs/>
                <w:color w:val="000000" w:themeColor="text1"/>
                <w:sz w:val="24"/>
                <w:szCs w:val="28"/>
                <w14:textFill>
                  <w14:solidFill>
                    <w14:schemeClr w14:val="tx1"/>
                  </w14:solidFill>
                </w14:textFill>
              </w:rPr>
            </w:pPr>
            <w:r>
              <w:rPr>
                <w:rFonts w:hint="eastAsia" w:ascii="Times New Roman" w:hAnsi="Times New Roman" w:eastAsia="仿宋_GB2312" w:cs="Times New Roman"/>
                <w:b/>
                <w:bCs/>
                <w:color w:val="000000" w:themeColor="text1"/>
                <w:sz w:val="24"/>
                <w:szCs w:val="28"/>
                <w14:textFill>
                  <w14:solidFill>
                    <w14:schemeClr w14:val="tx1"/>
                  </w14:solidFill>
                </w14:textFill>
              </w:rPr>
              <w:t>5</w:t>
            </w:r>
          </w:p>
        </w:tc>
        <w:tc>
          <w:tcPr>
            <w:tcW w:w="1690"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澥</w:t>
            </w:r>
            <w:r>
              <w:rPr>
                <w:rFonts w:hint="eastAsia" w:ascii="仿宋_GB2312" w:hAnsi="仿宋_GB2312" w:eastAsia="仿宋_GB2312" w:cs="仿宋_GB2312"/>
                <w:color w:val="000000" w:themeColor="text1"/>
                <w:sz w:val="24"/>
                <w:szCs w:val="28"/>
                <w14:textFill>
                  <w14:solidFill>
                    <w14:schemeClr w14:val="tx1"/>
                  </w14:solidFill>
                </w14:textFill>
              </w:rPr>
              <w:t>浦</w:t>
            </w:r>
            <w:r>
              <w:rPr>
                <w:rFonts w:ascii="Times New Roman" w:hAnsi="Times New Roman" w:eastAsia="仿宋_GB2312" w:cs="Times New Roman"/>
                <w:color w:val="000000" w:themeColor="text1"/>
                <w:sz w:val="24"/>
                <w:szCs w:val="28"/>
                <w14:textFill>
                  <w14:solidFill>
                    <w14:schemeClr w14:val="tx1"/>
                  </w14:solidFill>
                </w14:textFill>
              </w:rPr>
              <w:t>十七房景区</w:t>
            </w:r>
          </w:p>
        </w:tc>
        <w:tc>
          <w:tcPr>
            <w:tcW w:w="1080"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澥</w:t>
            </w:r>
            <w:r>
              <w:rPr>
                <w:rFonts w:hint="eastAsia" w:ascii="仿宋_GB2312" w:hAnsi="仿宋_GB2312" w:eastAsia="仿宋_GB2312" w:cs="仿宋_GB2312"/>
                <w:color w:val="000000" w:themeColor="text1"/>
                <w:sz w:val="24"/>
                <w:szCs w:val="28"/>
                <w14:textFill>
                  <w14:solidFill>
                    <w14:schemeClr w14:val="tx1"/>
                  </w14:solidFill>
                </w14:textFill>
              </w:rPr>
              <w:t>浦</w:t>
            </w:r>
          </w:p>
        </w:tc>
        <w:tc>
          <w:tcPr>
            <w:tcW w:w="709"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8</w:t>
            </w:r>
          </w:p>
        </w:tc>
        <w:tc>
          <w:tcPr>
            <w:tcW w:w="793"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直流</w:t>
            </w:r>
          </w:p>
        </w:tc>
        <w:tc>
          <w:tcPr>
            <w:tcW w:w="854"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21</w:t>
            </w:r>
            <w:r>
              <w:rPr>
                <w:rFonts w:ascii="Times New Roman" w:hAnsi="Times New Roman" w:eastAsia="仿宋_GB2312" w:cs="Times New Roman"/>
                <w:color w:val="000000" w:themeColor="text1"/>
                <w:sz w:val="24"/>
                <w:szCs w:val="28"/>
                <w14:textFill>
                  <w14:solidFill>
                    <w14:schemeClr w14:val="tx1"/>
                  </w14:solidFill>
                </w14:textFill>
              </w:rPr>
              <w:t>-47</w:t>
            </w:r>
          </w:p>
        </w:tc>
        <w:tc>
          <w:tcPr>
            <w:tcW w:w="2083" w:type="dxa"/>
            <w:vAlign w:val="center"/>
          </w:tcPr>
          <w:p>
            <w:pPr>
              <w:widowControl/>
              <w:adjustRightInd w:val="0"/>
              <w:snapToGrid w:val="0"/>
              <w:jc w:val="left"/>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0</w:t>
            </w:r>
            <w:r>
              <w:rPr>
                <w:rFonts w:ascii="Times New Roman" w:hAnsi="Times New Roman" w:eastAsia="仿宋_GB2312" w:cs="Times New Roman"/>
                <w:color w:val="000000" w:themeColor="text1"/>
                <w:sz w:val="24"/>
                <w:szCs w:val="28"/>
                <w14:textFill>
                  <w14:solidFill>
                    <w14:schemeClr w14:val="tx1"/>
                  </w14:solidFill>
                </w14:textFill>
              </w:rPr>
              <w:t>-8</w:t>
            </w:r>
            <w:r>
              <w:rPr>
                <w:rFonts w:hint="eastAsia" w:ascii="Times New Roman" w:hAnsi="Times New Roman" w:eastAsia="仿宋_GB2312" w:cs="Times New Roman"/>
                <w:color w:val="000000" w:themeColor="text1"/>
                <w:sz w:val="24"/>
                <w:szCs w:val="28"/>
                <w14:textFill>
                  <w14:solidFill>
                    <w14:schemeClr w14:val="tx1"/>
                  </w14:solidFill>
                </w14:textFill>
              </w:rPr>
              <w:t>点及19</w:t>
            </w:r>
            <w:r>
              <w:rPr>
                <w:rFonts w:ascii="Times New Roman" w:hAnsi="Times New Roman" w:eastAsia="仿宋_GB2312" w:cs="Times New Roman"/>
                <w:color w:val="000000" w:themeColor="text1"/>
                <w:sz w:val="24"/>
                <w:szCs w:val="28"/>
                <w14:textFill>
                  <w14:solidFill>
                    <w14:schemeClr w14:val="tx1"/>
                  </w14:solidFill>
                </w14:textFill>
              </w:rPr>
              <w:t>-23</w:t>
            </w:r>
            <w:r>
              <w:rPr>
                <w:rFonts w:hint="eastAsia" w:ascii="Times New Roman" w:hAnsi="Times New Roman" w:eastAsia="仿宋_GB2312" w:cs="Times New Roman"/>
                <w:color w:val="000000" w:themeColor="text1"/>
                <w:sz w:val="24"/>
                <w:szCs w:val="28"/>
                <w14:textFill>
                  <w14:solidFill>
                    <w14:schemeClr w14:val="tx1"/>
                  </w14:solidFill>
                </w14:textFill>
              </w:rPr>
              <w:t>点</w:t>
            </w:r>
            <w:r>
              <w:rPr>
                <w:rFonts w:ascii="Times New Roman" w:hAnsi="Times New Roman" w:eastAsia="仿宋_GB2312" w:cs="Times New Roman"/>
                <w:color w:val="000000" w:themeColor="text1"/>
                <w:sz w:val="24"/>
                <w:szCs w:val="28"/>
                <w14:textFill>
                  <w14:solidFill>
                    <w14:schemeClr w14:val="tx1"/>
                  </w14:solidFill>
                </w14:textFill>
              </w:rPr>
              <w:t>，</w:t>
            </w:r>
            <w:r>
              <w:rPr>
                <w:rFonts w:hint="eastAsia" w:ascii="Times New Roman" w:hAnsi="Times New Roman" w:eastAsia="仿宋_GB2312" w:cs="Times New Roman"/>
                <w:color w:val="000000" w:themeColor="text1"/>
                <w:sz w:val="24"/>
                <w:szCs w:val="28"/>
                <w14:textFill>
                  <w14:solidFill>
                    <w14:schemeClr w14:val="tx1"/>
                  </w14:solidFill>
                </w14:textFill>
              </w:rPr>
              <w:t>使用5个；10</w:t>
            </w:r>
            <w:r>
              <w:rPr>
                <w:rFonts w:ascii="Times New Roman" w:hAnsi="Times New Roman" w:eastAsia="仿宋_GB2312" w:cs="Times New Roman"/>
                <w:color w:val="000000" w:themeColor="text1"/>
                <w:sz w:val="24"/>
                <w:szCs w:val="28"/>
                <w14:textFill>
                  <w14:solidFill>
                    <w14:schemeClr w14:val="tx1"/>
                  </w14:solidFill>
                </w14:textFill>
              </w:rPr>
              <w:t>-12</w:t>
            </w:r>
            <w:r>
              <w:rPr>
                <w:rFonts w:hint="eastAsia" w:ascii="Times New Roman" w:hAnsi="Times New Roman" w:eastAsia="仿宋_GB2312" w:cs="Times New Roman"/>
                <w:color w:val="000000" w:themeColor="text1"/>
                <w:sz w:val="24"/>
                <w:szCs w:val="28"/>
                <w14:textFill>
                  <w14:solidFill>
                    <w14:schemeClr w14:val="tx1"/>
                  </w14:solidFill>
                </w14:textFill>
              </w:rPr>
              <w:t>点</w:t>
            </w:r>
            <w:r>
              <w:rPr>
                <w:rFonts w:ascii="Times New Roman" w:hAnsi="Times New Roman" w:eastAsia="仿宋_GB2312" w:cs="Times New Roman"/>
                <w:color w:val="000000" w:themeColor="text1"/>
                <w:sz w:val="24"/>
                <w:szCs w:val="28"/>
                <w14:textFill>
                  <w14:solidFill>
                    <w14:schemeClr w14:val="tx1"/>
                  </w14:solidFill>
                </w14:textFill>
              </w:rPr>
              <w:t>，</w:t>
            </w:r>
            <w:r>
              <w:rPr>
                <w:rFonts w:hint="eastAsia" w:ascii="Times New Roman" w:hAnsi="Times New Roman" w:eastAsia="仿宋_GB2312" w:cs="Times New Roman"/>
                <w:color w:val="000000" w:themeColor="text1"/>
                <w:sz w:val="24"/>
                <w:szCs w:val="28"/>
                <w14:textFill>
                  <w14:solidFill>
                    <w14:schemeClr w14:val="tx1"/>
                  </w14:solidFill>
                </w14:textFill>
              </w:rPr>
              <w:t>使用8个</w:t>
            </w:r>
          </w:p>
        </w:tc>
        <w:tc>
          <w:tcPr>
            <w:tcW w:w="856"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2748</w:t>
            </w:r>
          </w:p>
        </w:tc>
      </w:tr>
    </w:tbl>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高、快速路区域</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镇海</w:t>
      </w:r>
      <w:r>
        <w:rPr>
          <w:color w:val="000000" w:themeColor="text1"/>
          <w14:textFill>
            <w14:solidFill>
              <w14:schemeClr w14:val="tx1"/>
            </w14:solidFill>
          </w14:textFill>
        </w:rPr>
        <w:t>区行政范围内高速服务区</w:t>
      </w:r>
      <w:r>
        <w:rPr>
          <w:rFonts w:hint="eastAsia"/>
          <w:color w:val="000000" w:themeColor="text1"/>
          <w14:textFill>
            <w14:solidFill>
              <w14:schemeClr w14:val="tx1"/>
            </w14:solidFill>
          </w14:textFill>
        </w:rPr>
        <w:t>已于2022年前完成布点工作</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故不作为本次规划重点。</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）结论</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综合以上应用场景的利用情况分析，居住区充电设施应用时段多在18：00至次日7:00、办公区充电设施应用时段多在12:00至14:00，商业区则为全天无固定高峰时段，且全天均较为繁忙。因此兼顾经济效益与使用效率，建议居民区以慢充为主，商业区以快充为主</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办公区则快慢相济。</w:t>
      </w:r>
    </w:p>
    <w:p>
      <w:pPr>
        <w:pStyle w:val="67"/>
        <w:rPr>
          <w:color w:val="000000" w:themeColor="text1"/>
          <w14:textFill>
            <w14:solidFill>
              <w14:schemeClr w14:val="tx1"/>
            </w14:solidFill>
          </w14:textFill>
        </w:rPr>
      </w:pPr>
      <w:r>
        <w:rPr>
          <w:color w:val="000000" w:themeColor="text1"/>
          <w14:textFill>
            <w14:solidFill>
              <w14:schemeClr w14:val="tx1"/>
            </w14:solidFill>
          </w14:textFill>
        </w:rPr>
        <w:t>3.2.4</w:t>
      </w:r>
      <w:bookmarkEnd w:id="15"/>
      <w:bookmarkEnd w:id="16"/>
      <w:bookmarkEnd w:id="17"/>
      <w:bookmarkEnd w:id="18"/>
      <w:r>
        <w:rPr>
          <w:rFonts w:hint="eastAsia"/>
          <w:color w:val="000000" w:themeColor="text1"/>
          <w14:textFill>
            <w14:solidFill>
              <w14:schemeClr w14:val="tx1"/>
            </w14:solidFill>
          </w14:textFill>
        </w:rPr>
        <w:t>运营</w:t>
      </w:r>
      <w:r>
        <w:rPr>
          <w:color w:val="000000" w:themeColor="text1"/>
          <w14:textFill>
            <w14:solidFill>
              <w14:schemeClr w14:val="tx1"/>
            </w14:solidFill>
          </w14:textFill>
        </w:rPr>
        <w:t>情况</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停车场</w:t>
      </w:r>
      <w:r>
        <w:rPr>
          <w:color w:val="000000" w:themeColor="text1"/>
          <w14:textFill>
            <w14:solidFill>
              <w14:schemeClr w14:val="tx1"/>
            </w14:solidFill>
          </w14:textFill>
        </w:rPr>
        <w:t>运营管理：充电桩建设一般都依托停车场、停车位进行，个人</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专用停车位</w:t>
      </w:r>
      <w:r>
        <w:rPr>
          <w:rFonts w:hint="eastAsia"/>
          <w:color w:val="000000" w:themeColor="text1"/>
          <w14:textFill>
            <w14:solidFill>
              <w14:schemeClr w14:val="tx1"/>
            </w14:solidFill>
          </w14:textFill>
        </w:rPr>
        <w:t>是</w:t>
      </w:r>
      <w:r>
        <w:rPr>
          <w:color w:val="000000" w:themeColor="text1"/>
          <w14:textFill>
            <w14:solidFill>
              <w14:schemeClr w14:val="tx1"/>
            </w14:solidFill>
          </w14:textFill>
        </w:rPr>
        <w:t>居民桩、专用桩</w:t>
      </w:r>
      <w:r>
        <w:rPr>
          <w:rFonts w:hint="eastAsia"/>
          <w:color w:val="000000" w:themeColor="text1"/>
          <w14:textFill>
            <w14:solidFill>
              <w14:schemeClr w14:val="tx1"/>
            </w14:solidFill>
          </w14:textFill>
        </w:rPr>
        <w:t>主要发展</w:t>
      </w:r>
      <w:r>
        <w:rPr>
          <w:color w:val="000000" w:themeColor="text1"/>
          <w14:textFill>
            <w14:solidFill>
              <w14:schemeClr w14:val="tx1"/>
            </w14:solidFill>
          </w14:textFill>
        </w:rPr>
        <w:t>媒介，</w:t>
      </w:r>
      <w:r>
        <w:rPr>
          <w:rFonts w:hint="eastAsia"/>
          <w:color w:val="000000" w:themeColor="text1"/>
          <w14:textFill>
            <w14:solidFill>
              <w14:schemeClr w14:val="tx1"/>
            </w14:solidFill>
          </w14:textFill>
        </w:rPr>
        <w:t>其</w:t>
      </w:r>
      <w:r>
        <w:rPr>
          <w:color w:val="000000" w:themeColor="text1"/>
          <w14:textFill>
            <w14:solidFill>
              <w14:schemeClr w14:val="tx1"/>
            </w14:solidFill>
          </w14:textFill>
        </w:rPr>
        <w:t>产权归个人或单位所有。公共停车场及配建可对外开放停车场</w:t>
      </w:r>
      <w:r>
        <w:rPr>
          <w:rFonts w:hint="eastAsia"/>
          <w:color w:val="000000" w:themeColor="text1"/>
          <w14:textFill>
            <w14:solidFill>
              <w14:schemeClr w14:val="tx1"/>
            </w14:solidFill>
          </w14:textFill>
        </w:rPr>
        <w:t>是</w:t>
      </w:r>
      <w:r>
        <w:rPr>
          <w:color w:val="000000" w:themeColor="text1"/>
          <w14:textFill>
            <w14:solidFill>
              <w14:schemeClr w14:val="tx1"/>
            </w14:solidFill>
          </w14:textFill>
        </w:rPr>
        <w:t>公共桩的主要</w:t>
      </w:r>
      <w:r>
        <w:rPr>
          <w:rFonts w:hint="eastAsia"/>
          <w:color w:val="000000" w:themeColor="text1"/>
          <w14:textFill>
            <w14:solidFill>
              <w14:schemeClr w14:val="tx1"/>
            </w14:solidFill>
          </w14:textFill>
        </w:rPr>
        <w:t>发展</w:t>
      </w:r>
      <w:r>
        <w:rPr>
          <w:color w:val="000000" w:themeColor="text1"/>
          <w14:textFill>
            <w14:solidFill>
              <w14:schemeClr w14:val="tx1"/>
            </w14:solidFill>
          </w14:textFill>
        </w:rPr>
        <w:t>区域，</w:t>
      </w:r>
      <w:r>
        <w:rPr>
          <w:rFonts w:hint="eastAsia"/>
          <w:color w:val="000000" w:themeColor="text1"/>
          <w14:textFill>
            <w14:solidFill>
              <w14:schemeClr w14:val="tx1"/>
            </w14:solidFill>
          </w14:textFill>
        </w:rPr>
        <w:t>其</w:t>
      </w:r>
      <w:r>
        <w:rPr>
          <w:color w:val="000000" w:themeColor="text1"/>
          <w14:textFill>
            <w14:solidFill>
              <w14:schemeClr w14:val="tx1"/>
            </w14:solidFill>
          </w14:textFill>
        </w:rPr>
        <w:t>产权一般</w:t>
      </w:r>
      <w:r>
        <w:rPr>
          <w:rFonts w:hint="eastAsia"/>
          <w:color w:val="000000" w:themeColor="text1"/>
          <w14:textFill>
            <w14:solidFill>
              <w14:schemeClr w14:val="tx1"/>
            </w14:solidFill>
          </w14:textFill>
        </w:rPr>
        <w:t>归</w:t>
      </w:r>
      <w:r>
        <w:rPr>
          <w:color w:val="000000" w:themeColor="text1"/>
          <w14:textFill>
            <w14:solidFill>
              <w14:schemeClr w14:val="tx1"/>
            </w14:solidFill>
          </w14:textFill>
        </w:rPr>
        <w:t>单位</w:t>
      </w:r>
      <w:r>
        <w:rPr>
          <w:rFonts w:hint="eastAsia"/>
          <w:color w:val="000000" w:themeColor="text1"/>
          <w14:textFill>
            <w14:solidFill>
              <w14:schemeClr w14:val="tx1"/>
            </w14:solidFill>
          </w14:textFill>
        </w:rPr>
        <w:t>或</w:t>
      </w:r>
      <w:r>
        <w:rPr>
          <w:color w:val="000000" w:themeColor="text1"/>
          <w14:textFill>
            <w14:solidFill>
              <w14:schemeClr w14:val="tx1"/>
            </w14:solidFill>
          </w14:textFill>
        </w:rPr>
        <w:t>国有</w:t>
      </w:r>
      <w:r>
        <w:rPr>
          <w:rFonts w:hint="eastAsia"/>
          <w:color w:val="000000" w:themeColor="text1"/>
          <w14:textFill>
            <w14:solidFill>
              <w14:schemeClr w14:val="tx1"/>
            </w14:solidFill>
          </w14:textFill>
        </w:rPr>
        <w:t>，在运营管理上，大部分公共收费停车场已由原建交、城管、街道管辖移交至文旅集团管理，仍有部分街道公共停车场由街道及物业管辖。</w:t>
      </w:r>
    </w:p>
    <w:p>
      <w:pPr>
        <w:pStyle w:val="69"/>
        <w:ind w:firstLine="640"/>
        <w:rPr>
          <w:color w:val="000000" w:themeColor="text1"/>
          <w14:textFill>
            <w14:solidFill>
              <w14:schemeClr w14:val="tx1"/>
            </w14:solidFill>
          </w14:textFill>
        </w:rPr>
      </w:pPr>
      <w:r>
        <w:rPr>
          <w:color w:val="000000" w:themeColor="text1"/>
          <w14:textFill>
            <w14:solidFill>
              <w14:schemeClr w14:val="tx1"/>
            </w14:solidFill>
          </w14:textFill>
        </w:rPr>
        <w:t>充电桩运营管理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根据部分已纳入市级平台的充电桩数据显示，现状镇海区公用充电桩运营商</w:t>
      </w:r>
      <w:r>
        <w:rPr>
          <w:rFonts w:hint="eastAsia"/>
          <w:color w:val="000000" w:themeColor="text1"/>
          <w14:textFill>
            <w14:solidFill>
              <w14:schemeClr w14:val="tx1"/>
            </w14:solidFill>
          </w14:textFill>
        </w:rPr>
        <w:t>近</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家</w:t>
      </w:r>
      <w:r>
        <w:rPr>
          <w:color w:val="000000" w:themeColor="text1"/>
          <w14:textFill>
            <w14:solidFill>
              <w14:schemeClr w14:val="tx1"/>
            </w14:solidFill>
          </w14:textFill>
        </w:rPr>
        <w:t>，市场份额占比</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是特来电、星星充电、国家电网。</w:t>
      </w:r>
    </w:p>
    <w:p>
      <w:pPr>
        <w:pStyle w:val="69"/>
        <w:spacing w:line="240" w:lineRule="auto"/>
        <w:ind w:firstLine="560"/>
        <w:jc w:val="center"/>
        <w:rPr>
          <w:color w:val="000000" w:themeColor="text1"/>
          <w:sz w:val="28"/>
          <w14:textFill>
            <w14:solidFill>
              <w14:schemeClr w14:val="tx1"/>
            </w14:solidFill>
          </w14:textFill>
        </w:rPr>
      </w:pPr>
      <w:r>
        <w:rPr>
          <w:color w:val="000000" w:themeColor="text1"/>
          <w:sz w:val="28"/>
          <w14:textFill>
            <w14:solidFill>
              <w14:schemeClr w14:val="tx1"/>
            </w14:solidFill>
          </w14:textFill>
        </w:rPr>
        <w:drawing>
          <wp:inline distT="0" distB="0" distL="0" distR="0">
            <wp:extent cx="3280410" cy="1974215"/>
            <wp:effectExtent l="0" t="0" r="0" b="0"/>
            <wp:docPr id="17" name="图片 1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80410" cy="1974215"/>
                    </a:xfrm>
                    <a:prstGeom prst="rect">
                      <a:avLst/>
                    </a:prstGeom>
                    <a:noFill/>
                    <a:ln>
                      <a:noFill/>
                    </a:ln>
                  </pic:spPr>
                </pic:pic>
              </a:graphicData>
            </a:graphic>
          </wp:inline>
        </w:drawing>
      </w:r>
    </w:p>
    <w:p>
      <w:pPr>
        <w:pStyle w:val="69"/>
        <w:spacing w:line="360" w:lineRule="auto"/>
        <w:ind w:firstLine="4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图3-</w:t>
      </w:r>
      <w:r>
        <w:rPr>
          <w:rFonts w:hint="eastAsia"/>
          <w:color w:val="000000" w:themeColor="text1"/>
          <w:sz w:val="24"/>
          <w14:textFill>
            <w14:solidFill>
              <w14:schemeClr w14:val="tx1"/>
            </w14:solidFill>
          </w14:textFill>
        </w:rPr>
        <w:t>3镇海区现状</w:t>
      </w:r>
      <w:r>
        <w:rPr>
          <w:color w:val="000000" w:themeColor="text1"/>
          <w:sz w:val="24"/>
          <w14:textFill>
            <w14:solidFill>
              <w14:schemeClr w14:val="tx1"/>
            </w14:solidFill>
          </w14:textFill>
        </w:rPr>
        <w:t>公用充电桩运营商份额占比图</w:t>
      </w:r>
    </w:p>
    <w:p>
      <w:pPr>
        <w:pStyle w:val="66"/>
        <w:numPr>
          <w:ilvl w:val="255"/>
          <w:numId w:val="0"/>
        </w:numPr>
        <w:ind w:right="210"/>
        <w:rPr>
          <w:color w:val="000000" w:themeColor="text1"/>
          <w14:textFill>
            <w14:solidFill>
              <w14:schemeClr w14:val="tx1"/>
            </w14:solidFill>
          </w14:textFill>
        </w:rPr>
      </w:pPr>
      <w:r>
        <w:rPr>
          <w:rFonts w:hint="eastAsia"/>
          <w:color w:val="000000" w:themeColor="text1"/>
          <w14:textFill>
            <w14:solidFill>
              <w14:schemeClr w14:val="tx1"/>
            </w14:solidFill>
          </w14:textFill>
        </w:rPr>
        <w:t>（三）现状问题分析</w:t>
      </w:r>
    </w:p>
    <w:p>
      <w:pPr>
        <w:pStyle w:val="69"/>
        <w:ind w:firstLine="643"/>
        <w:rPr>
          <w:rFonts w:ascii="仿宋_GB2312"/>
          <w:b/>
          <w:color w:val="000000" w:themeColor="text1"/>
          <w14:textFill>
            <w14:solidFill>
              <w14:schemeClr w14:val="tx1"/>
            </w14:solidFill>
          </w14:textFill>
        </w:rPr>
      </w:pPr>
      <w:r>
        <w:rPr>
          <w:rFonts w:hint="eastAsia" w:ascii="仿宋_GB2312"/>
          <w:b/>
          <w:color w:val="000000" w:themeColor="text1"/>
          <w14:textFill>
            <w14:solidFill>
              <w14:schemeClr w14:val="tx1"/>
            </w14:solidFill>
          </w14:textFill>
        </w:rPr>
        <w:t>1.城市</w:t>
      </w:r>
      <w:r>
        <w:rPr>
          <w:rFonts w:ascii="仿宋_GB2312"/>
          <w:b/>
          <w:color w:val="000000" w:themeColor="text1"/>
          <w14:textFill>
            <w14:solidFill>
              <w14:schemeClr w14:val="tx1"/>
            </w14:solidFill>
          </w14:textFill>
        </w:rPr>
        <w:t>地区与乡村地区差异较大</w:t>
      </w:r>
    </w:p>
    <w:p>
      <w:pPr>
        <w:pStyle w:val="69"/>
        <w:ind w:firstLine="64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截至</w:t>
      </w:r>
      <w:r>
        <w:rPr>
          <w:color w:val="000000" w:themeColor="text1"/>
          <w14:textFill>
            <w14:solidFill>
              <w14:schemeClr w14:val="tx1"/>
            </w14:solidFill>
          </w14:textFill>
        </w:rPr>
        <w:t>2022年，</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公共桩方面，镇海区城市地区</w:t>
      </w:r>
      <w:r>
        <w:rPr>
          <w:rFonts w:hint="eastAsia"/>
          <w:color w:val="000000" w:themeColor="text1"/>
          <w14:textFill>
            <w14:solidFill>
              <w14:schemeClr w14:val="tx1"/>
            </w14:solidFill>
          </w14:textFill>
        </w:rPr>
        <w:t>现状</w:t>
      </w:r>
      <w:r>
        <w:rPr>
          <w:color w:val="000000" w:themeColor="text1"/>
          <w14:textFill>
            <w14:solidFill>
              <w14:schemeClr w14:val="tx1"/>
            </w14:solidFill>
          </w14:textFill>
        </w:rPr>
        <w:t>共有885充电桩，</w:t>
      </w:r>
      <w:r>
        <w:rPr>
          <w:rFonts w:hint="eastAsia"/>
          <w:color w:val="000000" w:themeColor="text1"/>
          <w14:textFill>
            <w14:solidFill>
              <w14:schemeClr w14:val="tx1"/>
            </w14:solidFill>
          </w14:textFill>
        </w:rPr>
        <w:t>占比95</w:t>
      </w:r>
      <w:r>
        <w:rPr>
          <w:color w:val="000000" w:themeColor="text1"/>
          <w14:textFill>
            <w14:solidFill>
              <w14:schemeClr w14:val="tx1"/>
            </w14:solidFill>
          </w14:textFill>
        </w:rPr>
        <w:t>%，乡村地区现状共有4</w:t>
      </w:r>
      <w:r>
        <w:rPr>
          <w:rFonts w:hint="eastAsia"/>
          <w:color w:val="000000" w:themeColor="text1"/>
          <w14:textFill>
            <w14:solidFill>
              <w14:schemeClr w14:val="tx1"/>
            </w14:solidFill>
          </w14:textFill>
        </w:rPr>
        <w:t>6根</w:t>
      </w:r>
      <w:r>
        <w:rPr>
          <w:color w:val="000000" w:themeColor="text1"/>
          <w14:textFill>
            <w14:solidFill>
              <w14:schemeClr w14:val="tx1"/>
            </w14:solidFill>
          </w14:textFill>
        </w:rPr>
        <w:t>充电桩，</w:t>
      </w:r>
      <w:r>
        <w:rPr>
          <w:rFonts w:hint="eastAsia"/>
          <w:color w:val="000000" w:themeColor="text1"/>
          <w14:textFill>
            <w14:solidFill>
              <w14:schemeClr w14:val="tx1"/>
            </w14:solidFill>
          </w14:textFill>
        </w:rPr>
        <w:t>占比5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城乡布局</w:t>
      </w:r>
      <w:r>
        <w:rPr>
          <w:color w:val="000000" w:themeColor="text1"/>
          <w14:textFill>
            <w14:solidFill>
              <w14:schemeClr w14:val="tx1"/>
            </w14:solidFill>
          </w14:textFill>
        </w:rPr>
        <w:t>差异较大。</w:t>
      </w:r>
    </w:p>
    <w:p>
      <w:pPr>
        <w:pStyle w:val="69"/>
        <w:ind w:firstLine="643"/>
        <w:rPr>
          <w:rFonts w:ascii="仿宋_GB2312"/>
          <w:b/>
          <w:color w:val="000000" w:themeColor="text1"/>
          <w:lang w:eastAsia="zh-Hans"/>
          <w14:textFill>
            <w14:solidFill>
              <w14:schemeClr w14:val="tx1"/>
            </w14:solidFill>
          </w14:textFill>
        </w:rPr>
      </w:pPr>
      <w:r>
        <w:rPr>
          <w:rFonts w:ascii="仿宋_GB2312"/>
          <w:b/>
          <w:color w:val="000000" w:themeColor="text1"/>
          <w14:textFill>
            <w14:solidFill>
              <w14:schemeClr w14:val="tx1"/>
            </w14:solidFill>
          </w14:textFill>
        </w:rPr>
        <w:t>2.</w:t>
      </w:r>
      <w:r>
        <w:rPr>
          <w:rFonts w:hint="eastAsia" w:ascii="仿宋_GB2312"/>
          <w:b/>
          <w:color w:val="000000" w:themeColor="text1"/>
          <w14:textFill>
            <w14:solidFill>
              <w14:schemeClr w14:val="tx1"/>
            </w14:solidFill>
          </w14:textFill>
        </w:rPr>
        <w:t>与电动汽车的快速增长相比，充电桩建设速度相对滞后、总量不足、分布不均衡、覆盖范围不高</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总量不足</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截至</w:t>
      </w:r>
      <w:r>
        <w:rPr>
          <w:rFonts w:hint="eastAsia"/>
          <w:color w:val="000000" w:themeColor="text1"/>
          <w14:textFill>
            <w14:solidFill>
              <w14:schemeClr w14:val="tx1"/>
            </w14:solidFill>
          </w14:textFill>
        </w:rPr>
        <w:t>2022年，电动汽车保有量与公共桩比值为10.9:1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充电桩</w:t>
      </w:r>
      <w:r>
        <w:rPr>
          <w:color w:val="000000" w:themeColor="text1"/>
          <w14:textFill>
            <w14:solidFill>
              <w14:schemeClr w14:val="tx1"/>
            </w14:solidFill>
          </w14:textFill>
        </w:rPr>
        <w:t>总量</w:t>
      </w:r>
      <w:r>
        <w:rPr>
          <w:rFonts w:hint="eastAsia"/>
          <w:color w:val="000000" w:themeColor="text1"/>
          <w14:textFill>
            <w14:solidFill>
              <w14:schemeClr w14:val="tx1"/>
            </w14:solidFill>
          </w14:textFill>
        </w:rPr>
        <w:t>仍有较大</w:t>
      </w:r>
      <w:r>
        <w:rPr>
          <w:color w:val="000000" w:themeColor="text1"/>
          <w14:textFill>
            <w14:solidFill>
              <w14:schemeClr w14:val="tx1"/>
            </w14:solidFill>
          </w14:textFill>
        </w:rPr>
        <w:t>提升空间。</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分布不均：</w:t>
      </w:r>
      <w:r>
        <w:rPr>
          <w:color w:val="000000" w:themeColor="text1"/>
          <w14:textFill>
            <w14:solidFill>
              <w14:schemeClr w14:val="tx1"/>
            </w14:solidFill>
          </w14:textFill>
        </w:rPr>
        <w:t>街道</w:t>
      </w:r>
      <w:r>
        <w:rPr>
          <w:rFonts w:hint="eastAsia"/>
          <w:color w:val="000000" w:themeColor="text1"/>
          <w14:textFill>
            <w14:solidFill>
              <w14:schemeClr w14:val="tx1"/>
            </w14:solidFill>
          </w14:textFill>
        </w:rPr>
        <w:t>间</w:t>
      </w:r>
      <w:r>
        <w:rPr>
          <w:color w:val="000000" w:themeColor="text1"/>
          <w14:textFill>
            <w14:solidFill>
              <w14:schemeClr w14:val="tx1"/>
            </w14:solidFill>
          </w14:textFill>
        </w:rPr>
        <w:t>充电桩建设数量存在</w:t>
      </w:r>
      <w:r>
        <w:rPr>
          <w:rFonts w:hint="eastAsia"/>
          <w:color w:val="000000" w:themeColor="text1"/>
          <w14:textFill>
            <w14:solidFill>
              <w14:schemeClr w14:val="tx1"/>
            </w14:solidFill>
          </w14:textFill>
        </w:rPr>
        <w:t>一定不均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在公共桩方面</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庄市街道数量最多</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占全区公共桩总数</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6.7</w:t>
      </w:r>
      <w:r>
        <w:rPr>
          <w:color w:val="000000" w:themeColor="text1"/>
          <w14:textFill>
            <w14:solidFill>
              <w14:schemeClr w14:val="tx1"/>
            </w14:solidFill>
          </w14:textFill>
        </w:rPr>
        <w:t>%，</w:t>
      </w:r>
      <w:r>
        <w:rPr>
          <w:rFonts w:hint="eastAsia" w:ascii="微软雅黑" w:hAnsi="微软雅黑" w:eastAsia="微软雅黑" w:cs="微软雅黑"/>
          <w:color w:val="000000" w:themeColor="text1"/>
          <w14:textFill>
            <w14:solidFill>
              <w14:schemeClr w14:val="tx1"/>
            </w14:solidFill>
          </w14:textFill>
        </w:rPr>
        <w:t>澥</w:t>
      </w:r>
      <w:r>
        <w:rPr>
          <w:rFonts w:hint="eastAsia" w:ascii="仿宋_GB2312" w:hAnsi="仿宋_GB2312" w:cs="仿宋_GB2312"/>
          <w:color w:val="000000" w:themeColor="text1"/>
          <w14:textFill>
            <w14:solidFill>
              <w14:schemeClr w14:val="tx1"/>
            </w14:solidFill>
          </w14:textFill>
        </w:rPr>
        <w:t>浦镇、</w:t>
      </w:r>
      <w:r>
        <w:rPr>
          <w:rFonts w:hint="eastAsia"/>
          <w:color w:val="000000" w:themeColor="text1"/>
          <w14:textFill>
            <w14:solidFill>
              <w14:schemeClr w14:val="tx1"/>
            </w14:solidFill>
          </w14:textFill>
        </w:rPr>
        <w:t>招宝山街道则明显较少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在居民桩方面</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骆驼街道与庄市街道数量最多</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占全区</w:t>
      </w:r>
      <w:r>
        <w:rPr>
          <w:color w:val="000000" w:themeColor="text1"/>
          <w14:textFill>
            <w14:solidFill>
              <w14:schemeClr w14:val="tx1"/>
            </w14:solidFill>
          </w14:textFill>
        </w:rPr>
        <w:t>79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其余</w:t>
      </w:r>
      <w:r>
        <w:rPr>
          <w:rFonts w:hint="eastAsia" w:ascii="仿宋_GB2312" w:hAnsi="仿宋_GB2312" w:cs="仿宋_GB2312"/>
          <w:color w:val="000000" w:themeColor="text1"/>
          <w14:textFill>
            <w14:solidFill>
              <w14:schemeClr w14:val="tx1"/>
            </w14:solidFill>
          </w14:textFill>
        </w:rPr>
        <w:t>镇、街道</w:t>
      </w:r>
      <w:r>
        <w:rPr>
          <w:rFonts w:hint="eastAsia"/>
          <w:color w:val="000000" w:themeColor="text1"/>
          <w14:textFill>
            <w14:solidFill>
              <w14:schemeClr w14:val="tx1"/>
            </w14:solidFill>
          </w14:textFill>
        </w:rPr>
        <w:t>则明显较少</w:t>
      </w:r>
      <w:r>
        <w:rPr>
          <w:color w:val="000000" w:themeColor="text1"/>
          <w14:textFill>
            <w14:solidFill>
              <w14:schemeClr w14:val="tx1"/>
            </w14:solidFill>
          </w14:textFill>
        </w:rPr>
        <w:t>。</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覆盖不高</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现状充电设施社区覆盖率为51.92%，其中，庄市街道社区覆盖率最高，达81.82%，其次为骆驼街道66.67%，其余镇街道社区覆盖率均不足40%。现状充电设施乡村覆盖率为22.58%，其中，蛟川街道乡村覆盖率最高，达50%，其次为</w:t>
      </w:r>
      <w:r>
        <w:rPr>
          <w:rFonts w:hint="eastAsia" w:ascii="微软雅黑" w:hAnsi="微软雅黑" w:eastAsia="微软雅黑" w:cs="微软雅黑"/>
          <w:color w:val="000000" w:themeColor="text1"/>
          <w14:textFill>
            <w14:solidFill>
              <w14:schemeClr w14:val="tx1"/>
            </w14:solidFill>
          </w14:textFill>
        </w:rPr>
        <w:t>澥</w:t>
      </w:r>
      <w:r>
        <w:rPr>
          <w:rFonts w:hint="eastAsia" w:ascii="仿宋_GB2312" w:hAnsi="仿宋_GB2312" w:cs="仿宋_GB2312"/>
          <w:color w:val="000000" w:themeColor="text1"/>
          <w14:textFill>
            <w14:solidFill>
              <w14:schemeClr w14:val="tx1"/>
            </w14:solidFill>
          </w14:textFill>
        </w:rPr>
        <w:t>浦镇</w:t>
      </w:r>
      <w:r>
        <w:rPr>
          <w:rFonts w:hint="eastAsia"/>
          <w:color w:val="000000" w:themeColor="text1"/>
          <w14:textFill>
            <w14:solidFill>
              <w14:schemeClr w14:val="tx1"/>
            </w14:solidFill>
          </w14:textFill>
        </w:rPr>
        <w:t>33.33%，庄市街道与骆驼街道的乡村覆盖率均为0%，覆盖情况较差。</w:t>
      </w:r>
    </w:p>
    <w:p>
      <w:pPr>
        <w:pStyle w:val="69"/>
        <w:ind w:firstLine="643"/>
        <w:rPr>
          <w:b/>
          <w:color w:val="000000" w:themeColor="text1"/>
          <w14:textFill>
            <w14:solidFill>
              <w14:schemeClr w14:val="tx1"/>
            </w14:solidFill>
          </w14:textFill>
        </w:rPr>
      </w:pPr>
      <w:r>
        <w:rPr>
          <w:b/>
          <w:color w:val="000000" w:themeColor="text1"/>
          <w14:textFill>
            <w14:solidFill>
              <w14:schemeClr w14:val="tx1"/>
            </w14:solidFill>
          </w14:textFill>
        </w:rPr>
        <w:t>3.老旧小区充电桩建设空间不足，充电桩建设条件受限</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以招宝山街道为例，白龙社区、海港社区、西门社区等社区内的老旧小区建成年代大多在上世纪</w:t>
      </w:r>
      <w:r>
        <w:rPr>
          <w:color w:val="000000" w:themeColor="text1"/>
          <w14:textFill>
            <w14:solidFill>
              <w14:schemeClr w14:val="tx1"/>
            </w14:solidFill>
          </w14:textFill>
        </w:rPr>
        <w:t>70~80年代，小区内部停车空间紧张，</w:t>
      </w:r>
      <w:r>
        <w:rPr>
          <w:rFonts w:hint="eastAsia"/>
          <w:color w:val="000000" w:themeColor="text1"/>
          <w14:textFill>
            <w14:solidFill>
              <w14:schemeClr w14:val="tx1"/>
            </w14:solidFill>
          </w14:textFill>
        </w:rPr>
        <w:t>电网</w:t>
      </w:r>
      <w:r>
        <w:rPr>
          <w:color w:val="000000" w:themeColor="text1"/>
          <w14:textFill>
            <w14:solidFill>
              <w14:schemeClr w14:val="tx1"/>
            </w14:solidFill>
          </w14:textFill>
        </w:rPr>
        <w:t>条件有待优化，充电桩建设条件不足，存在一定的建设困难。</w:t>
      </w:r>
    </w:p>
    <w:p>
      <w:pPr>
        <w:pStyle w:val="69"/>
        <w:ind w:firstLine="643"/>
        <w:rPr>
          <w:b/>
          <w:color w:val="000000" w:themeColor="text1"/>
          <w14:textFill>
            <w14:solidFill>
              <w14:schemeClr w14:val="tx1"/>
            </w14:solidFill>
          </w14:textFill>
        </w:rPr>
      </w:pPr>
      <w:r>
        <w:rPr>
          <w:b/>
          <w:color w:val="000000" w:themeColor="text1"/>
          <w14:textFill>
            <w14:solidFill>
              <w14:schemeClr w14:val="tx1"/>
            </w14:solidFill>
          </w14:textFill>
        </w:rPr>
        <w:t>4.</w:t>
      </w:r>
      <w:r>
        <w:rPr>
          <w:rFonts w:hint="eastAsia"/>
          <w:b/>
          <w:color w:val="000000" w:themeColor="text1"/>
          <w14:textFill>
            <w14:solidFill>
              <w14:schemeClr w14:val="tx1"/>
            </w14:solidFill>
          </w14:textFill>
        </w:rPr>
        <w:t>拆迁安置小区及</w:t>
      </w:r>
      <w:r>
        <w:rPr>
          <w:b/>
          <w:color w:val="000000" w:themeColor="text1"/>
          <w14:textFill>
            <w14:solidFill>
              <w14:schemeClr w14:val="tx1"/>
            </w14:solidFill>
          </w14:textFill>
        </w:rPr>
        <w:t>部分停车场因用地产权等问题，充电桩建设存在一定难度</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拆迁安置小区停车位产权不归个人及物业所有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使用权限受限</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充电桩的安装及运营投用存在产权所有单位</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居民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物业多方诉求与利益分配问题的矛盾</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部分停车场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如</w:t>
      </w:r>
      <w:r>
        <w:rPr>
          <w:color w:val="000000" w:themeColor="text1"/>
          <w14:textFill>
            <w14:solidFill>
              <w14:schemeClr w14:val="tx1"/>
            </w14:solidFill>
          </w14:textFill>
        </w:rPr>
        <w:t>招宝山街道镇棉停车场、邬家弄停车场等，由于停车场用地为临时性质，充电桩建设存在一定难度。</w:t>
      </w:r>
    </w:p>
    <w:p>
      <w:pPr>
        <w:pStyle w:val="69"/>
        <w:ind w:firstLine="643"/>
        <w:rPr>
          <w:b/>
          <w:color w:val="000000" w:themeColor="text1"/>
          <w14:textFill>
            <w14:solidFill>
              <w14:schemeClr w14:val="tx1"/>
            </w14:solidFill>
          </w14:textFill>
        </w:rPr>
      </w:pPr>
      <w:r>
        <w:rPr>
          <w:b/>
          <w:color w:val="000000" w:themeColor="text1"/>
          <w14:textFill>
            <w14:solidFill>
              <w14:schemeClr w14:val="tx1"/>
            </w14:solidFill>
          </w14:textFill>
        </w:rPr>
        <w:t>5.充电桩品牌运营商品牌多样，数字化管理统一力度不足，用户体验感较差</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目前，参与镇海区充电桩运营商总数达到</w:t>
      </w:r>
      <w:r>
        <w:rPr>
          <w:color w:val="000000" w:themeColor="text1"/>
          <w14:textFill>
            <w14:solidFill>
              <w14:schemeClr w14:val="tx1"/>
            </w14:solidFill>
          </w14:textFill>
        </w:rPr>
        <w:t>20余家，各大品牌充电桩运营商为抢占市场份额，提前占有部分居住小区及配建地块停车位设置充电设施，充电桩运营市场秩序混乱。同时，多品牌运营商充电平台不一，导致用户充电需下载众多APP，用户体验差。</w:t>
      </w:r>
    </w:p>
    <w:p>
      <w:pPr>
        <w:widowControl/>
        <w:jc w:val="left"/>
        <w:rPr>
          <w:rFonts w:ascii="Times New Roman" w:hAnsi="Times New Roman" w:eastAsia="黑体" w:cs="Times New Roman"/>
          <w:b/>
          <w:bCs/>
          <w:color w:val="000000" w:themeColor="text1"/>
          <w:kern w:val="44"/>
          <w:sz w:val="32"/>
          <w:szCs w:val="36"/>
          <w14:textFill>
            <w14:solidFill>
              <w14:schemeClr w14:val="tx1"/>
            </w14:solidFill>
          </w14:textFill>
        </w:rPr>
      </w:pPr>
      <w:bookmarkStart w:id="19" w:name="_Toc27051"/>
      <w:r>
        <w:rPr>
          <w:color w:val="000000" w:themeColor="text1"/>
          <w14:textFill>
            <w14:solidFill>
              <w14:schemeClr w14:val="tx1"/>
            </w14:solidFill>
          </w14:textFill>
        </w:rPr>
        <w:br w:type="page"/>
      </w:r>
    </w:p>
    <w:p>
      <w:pPr>
        <w:pStyle w:val="65"/>
        <w:numPr>
          <w:ilvl w:val="255"/>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四、充电设施发展</w:t>
      </w:r>
      <w:bookmarkEnd w:id="19"/>
      <w:r>
        <w:rPr>
          <w:rFonts w:hint="eastAsia"/>
          <w:color w:val="000000" w:themeColor="text1"/>
          <w14:textFill>
            <w14:solidFill>
              <w14:schemeClr w14:val="tx1"/>
            </w14:solidFill>
          </w14:textFill>
        </w:rPr>
        <w:t>需求预测</w:t>
      </w:r>
    </w:p>
    <w:p>
      <w:pPr>
        <w:pStyle w:val="66"/>
        <w:numPr>
          <w:ilvl w:val="255"/>
          <w:numId w:val="0"/>
        </w:numPr>
        <w:ind w:right="210"/>
        <w:rPr>
          <w:color w:val="000000" w:themeColor="text1"/>
          <w14:textFill>
            <w14:solidFill>
              <w14:schemeClr w14:val="tx1"/>
            </w14:solidFill>
          </w14:textFill>
        </w:rPr>
      </w:pPr>
      <w:bookmarkStart w:id="20" w:name="_Toc30634"/>
      <w:r>
        <w:rPr>
          <w:rFonts w:hint="eastAsia"/>
          <w:color w:val="000000" w:themeColor="text1"/>
          <w14:textFill>
            <w14:solidFill>
              <w14:schemeClr w14:val="tx1"/>
            </w14:solidFill>
          </w14:textFill>
        </w:rPr>
        <w:t>（一）发展</w:t>
      </w:r>
      <w:r>
        <w:rPr>
          <w:color w:val="000000" w:themeColor="text1"/>
          <w14:textFill>
            <w14:solidFill>
              <w14:schemeClr w14:val="tx1"/>
            </w14:solidFill>
          </w14:textFill>
        </w:rPr>
        <w:t>趋势及政策</w:t>
      </w: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.1</w:t>
      </w:r>
      <w:bookmarkStart w:id="21" w:name="_Toc119056808"/>
      <w:bookmarkStart w:id="22" w:name="_Toc130548412"/>
      <w:bookmarkStart w:id="23" w:name="_Toc119069278"/>
      <w:bookmarkStart w:id="24" w:name="_Toc119070135"/>
      <w:r>
        <w:rPr>
          <w:rFonts w:hint="eastAsia"/>
          <w:color w:val="000000" w:themeColor="text1"/>
          <w14:textFill>
            <w14:solidFill>
              <w14:schemeClr w14:val="tx1"/>
            </w14:solidFill>
          </w14:textFill>
        </w:rPr>
        <w:t>充电</w:t>
      </w:r>
      <w:r>
        <w:rPr>
          <w:color w:val="000000" w:themeColor="text1"/>
          <w14:textFill>
            <w14:solidFill>
              <w14:schemeClr w14:val="tx1"/>
            </w14:solidFill>
          </w14:textFill>
        </w:rPr>
        <w:t>设施发展</w:t>
      </w:r>
      <w:r>
        <w:rPr>
          <w:rFonts w:hint="eastAsia"/>
          <w:color w:val="000000" w:themeColor="text1"/>
          <w14:textFill>
            <w14:solidFill>
              <w14:schemeClr w14:val="tx1"/>
            </w14:solidFill>
          </w14:textFill>
        </w:rPr>
        <w:t>趋势</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1</w:t>
      </w:r>
      <w:r>
        <w:rPr>
          <w:rFonts w:hint="eastAsia" w:ascii="Times New Roman" w:hAnsi="Times New Roman" w:eastAsia="仿宋_GB2312" w:cs="Times New Roman"/>
          <w:color w:val="000000" w:themeColor="text1"/>
          <w:sz w:val="32"/>
          <w:szCs w:val="28"/>
          <w14:textFill>
            <w14:solidFill>
              <w14:schemeClr w14:val="tx1"/>
            </w14:solidFill>
          </w14:textFill>
        </w:rPr>
        <w:t>.</w:t>
      </w:r>
      <w:r>
        <w:rPr>
          <w:rFonts w:ascii="Times New Roman" w:hAnsi="Times New Roman" w:eastAsia="仿宋_GB2312" w:cs="Times New Roman"/>
          <w:color w:val="000000" w:themeColor="text1"/>
          <w:sz w:val="32"/>
          <w:szCs w:val="28"/>
          <w14:textFill>
            <w14:solidFill>
              <w14:schemeClr w14:val="tx1"/>
            </w14:solidFill>
          </w14:textFill>
        </w:rPr>
        <w:t>电动汽车发展趋势</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发展电动汽车产业是加快汽车强国建设和破解能源环境约束的重要手段，具有重要战略意义。2009年国际电动化浪潮处于起步期，我国抓住战略机遇，将电动汽车列为战略性新兴产业，逐步建立了全面的政策支持体系。2009-2015年，我国逐步建立了从小规模试点到规模化推广的补贴政策体系，初步形成了完整的产业链。2016-2020年，通过“双积分”管理和税收优惠，从供需两端促进电动汽车发展，并通过提高关键技术指标门槛、建立健全监管体系等措施，形成了进一步扶优扶强的补贴机制，产品技术显著提升。电动汽车市场已经从政策推动向市场驱动转型，产业经过了萌芽期及初步探索期，从2021年开始，已经进入快速成长期。2021年底电动汽车产销突破350万辆，较2020年底同比实现1.6倍的大幅增长。未来，按照国务院印发的《2030年前碳达峰行动方案》，2030年当年新增新能源、清洁能源动力的交通工具比例达到40%左右，据中国电动汽车百人会预测，到2030年，电动汽车的渗透率将达到50%。《据新能源汽车产业发展规划（2021-2035年）》预测， 2025年</w:t>
      </w:r>
      <w:r>
        <w:rPr>
          <w:rFonts w:hint="eastAsia" w:ascii="Times New Roman" w:hAnsi="Times New Roman" w:eastAsia="仿宋_GB2312" w:cs="Times New Roman"/>
          <w:color w:val="000000" w:themeColor="text1"/>
          <w:sz w:val="32"/>
          <w:szCs w:val="28"/>
          <w14:textFill>
            <w14:solidFill>
              <w14:schemeClr w14:val="tx1"/>
            </w14:solidFill>
          </w14:textFill>
        </w:rPr>
        <w:t>电动汽</w:t>
      </w:r>
      <w:r>
        <w:rPr>
          <w:rFonts w:ascii="Times New Roman" w:hAnsi="Times New Roman" w:eastAsia="仿宋_GB2312" w:cs="Times New Roman"/>
          <w:color w:val="000000" w:themeColor="text1"/>
          <w:sz w:val="32"/>
          <w:szCs w:val="28"/>
          <w14:textFill>
            <w14:solidFill>
              <w14:schemeClr w14:val="tx1"/>
            </w14:solidFill>
          </w14:textFill>
        </w:rPr>
        <w:t>车渗透率达到20%，国内新能源保有量至少在2500万台以上。</w:t>
      </w:r>
    </w:p>
    <w:p>
      <w:pPr>
        <w:ind w:firstLine="420" w:firstLineChars="20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drawing>
          <wp:inline distT="0" distB="0" distL="0" distR="0">
            <wp:extent cx="4315460" cy="2794635"/>
            <wp:effectExtent l="0" t="0" r="8890" b="571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15460" cy="2794635"/>
                    </a:xfrm>
                    <a:prstGeom prst="rect">
                      <a:avLst/>
                    </a:prstGeom>
                    <a:noFill/>
                    <a:ln>
                      <a:noFill/>
                    </a:ln>
                  </pic:spPr>
                </pic:pic>
              </a:graphicData>
            </a:graphic>
          </wp:inline>
        </w:drawing>
      </w:r>
    </w:p>
    <w:p>
      <w:pPr>
        <w:pStyle w:val="69"/>
        <w:spacing w:line="360" w:lineRule="auto"/>
        <w:ind w:firstLine="4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图4-1电动汽车销量及渗透率现状和预测图（来源：中国汽车流通协会）</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2.</w:t>
      </w:r>
      <w:r>
        <w:rPr>
          <w:rFonts w:ascii="Times New Roman" w:hAnsi="Times New Roman" w:eastAsia="仿宋_GB2312" w:cs="Times New Roman"/>
          <w:color w:val="000000" w:themeColor="text1"/>
          <w:sz w:val="32"/>
          <w:szCs w:val="28"/>
          <w14:textFill>
            <w14:solidFill>
              <w14:schemeClr w14:val="tx1"/>
            </w14:solidFill>
          </w14:textFill>
        </w:rPr>
        <w:t>电动汽车基础设施发展趋势</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随着电动汽车产销量和保有量不断提升，作为重要基础设施的充电桩迎来发展机遇，在政策和市场的双重作用下，国内供电基础设施建设高歌猛进，建设规模持续扩大。根据中国电动汽车充电基础设施促进联盟公布数据，截至2021年底，全国电动汽车保有量为784万辆，较2020年底同比增长59.3%，全国充电基础设施保有量达261.7万台，较2020年底同比增长55.7%。</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现有新能源供电类型可分为充电与换电模式，其中充电模式又可分为快充及慢充，目前慢充仍是现在的主流。根据中国充电联盟数据，2021年我国交流</w:t>
      </w:r>
      <w:r>
        <w:rPr>
          <w:rFonts w:hint="eastAsia" w:ascii="Times New Roman" w:hAnsi="Times New Roman" w:eastAsia="仿宋_GB2312" w:cs="Times New Roman"/>
          <w:color w:val="000000" w:themeColor="text1"/>
          <w:sz w:val="32"/>
          <w:szCs w:val="28"/>
          <w14:textFill>
            <w14:solidFill>
              <w14:schemeClr w14:val="tx1"/>
            </w14:solidFill>
          </w14:textFill>
        </w:rPr>
        <w:t>枪</w:t>
      </w:r>
      <w:r>
        <w:rPr>
          <w:rFonts w:ascii="Times New Roman" w:hAnsi="Times New Roman" w:eastAsia="仿宋_GB2312" w:cs="Times New Roman"/>
          <w:color w:val="000000" w:themeColor="text1"/>
          <w:sz w:val="32"/>
          <w:szCs w:val="28"/>
          <w14:textFill>
            <w14:solidFill>
              <w14:schemeClr w14:val="tx1"/>
            </w14:solidFill>
          </w14:textFill>
        </w:rPr>
        <w:t>保有量为214.7万台，直流</w:t>
      </w:r>
      <w:r>
        <w:rPr>
          <w:rFonts w:hint="eastAsia" w:ascii="Times New Roman" w:hAnsi="Times New Roman" w:eastAsia="仿宋_GB2312" w:cs="Times New Roman"/>
          <w:color w:val="000000" w:themeColor="text1"/>
          <w:sz w:val="32"/>
          <w:szCs w:val="28"/>
          <w14:textFill>
            <w14:solidFill>
              <w14:schemeClr w14:val="tx1"/>
            </w14:solidFill>
          </w14:textFill>
        </w:rPr>
        <w:t>枪</w:t>
      </w:r>
      <w:r>
        <w:rPr>
          <w:rFonts w:ascii="Times New Roman" w:hAnsi="Times New Roman" w:eastAsia="仿宋_GB2312" w:cs="Times New Roman"/>
          <w:color w:val="000000" w:themeColor="text1"/>
          <w:sz w:val="32"/>
          <w:szCs w:val="28"/>
          <w14:textFill>
            <w14:solidFill>
              <w14:schemeClr w14:val="tx1"/>
            </w14:solidFill>
          </w14:textFill>
        </w:rPr>
        <w:t>保有量为47万台。按充电权属分类，自用桩以交流充电桩为主，交流</w:t>
      </w:r>
      <w:r>
        <w:rPr>
          <w:rFonts w:hint="eastAsia" w:ascii="Times New Roman" w:hAnsi="Times New Roman" w:eastAsia="仿宋_GB2312" w:cs="Times New Roman"/>
          <w:color w:val="000000" w:themeColor="text1"/>
          <w:sz w:val="32"/>
          <w:szCs w:val="28"/>
          <w14:textFill>
            <w14:solidFill>
              <w14:schemeClr w14:val="tx1"/>
            </w14:solidFill>
          </w14:textFill>
        </w:rPr>
        <w:t>枪</w:t>
      </w:r>
      <w:r>
        <w:rPr>
          <w:rFonts w:ascii="Times New Roman" w:hAnsi="Times New Roman" w:eastAsia="仿宋_GB2312" w:cs="Times New Roman"/>
          <w:color w:val="000000" w:themeColor="text1"/>
          <w:sz w:val="32"/>
          <w:szCs w:val="28"/>
          <w14:textFill>
            <w14:solidFill>
              <w14:schemeClr w14:val="tx1"/>
            </w14:solidFill>
          </w14:textFill>
        </w:rPr>
        <w:t>建设成本相对较低、对电池损耗较小、满足消费者利用汽车长时间闲置之余充电的需求。公共桩同时具备直流</w:t>
      </w:r>
      <w:r>
        <w:rPr>
          <w:rFonts w:hint="eastAsia" w:ascii="Times New Roman" w:hAnsi="Times New Roman" w:eastAsia="仿宋_GB2312" w:cs="Times New Roman"/>
          <w:color w:val="000000" w:themeColor="text1"/>
          <w:sz w:val="32"/>
          <w:szCs w:val="28"/>
          <w14:textFill>
            <w14:solidFill>
              <w14:schemeClr w14:val="tx1"/>
            </w14:solidFill>
          </w14:textFill>
        </w:rPr>
        <w:t>枪</w:t>
      </w:r>
      <w:r>
        <w:rPr>
          <w:rFonts w:ascii="Times New Roman" w:hAnsi="Times New Roman" w:eastAsia="仿宋_GB2312" w:cs="Times New Roman"/>
          <w:color w:val="000000" w:themeColor="text1"/>
          <w:sz w:val="32"/>
          <w:szCs w:val="28"/>
          <w14:textFill>
            <w14:solidFill>
              <w14:schemeClr w14:val="tx1"/>
            </w14:solidFill>
          </w14:textFill>
        </w:rPr>
        <w:t>与交流</w:t>
      </w:r>
      <w:r>
        <w:rPr>
          <w:rFonts w:hint="eastAsia" w:ascii="Times New Roman" w:hAnsi="Times New Roman" w:eastAsia="仿宋_GB2312" w:cs="Times New Roman"/>
          <w:color w:val="000000" w:themeColor="text1"/>
          <w:sz w:val="32"/>
          <w:szCs w:val="28"/>
          <w14:textFill>
            <w14:solidFill>
              <w14:schemeClr w14:val="tx1"/>
            </w14:solidFill>
          </w14:textFill>
        </w:rPr>
        <w:t>枪</w:t>
      </w:r>
      <w:r>
        <w:rPr>
          <w:rFonts w:ascii="Times New Roman" w:hAnsi="Times New Roman" w:eastAsia="仿宋_GB2312" w:cs="Times New Roman"/>
          <w:color w:val="000000" w:themeColor="text1"/>
          <w:sz w:val="32"/>
          <w:szCs w:val="28"/>
          <w14:textFill>
            <w14:solidFill>
              <w14:schemeClr w14:val="tx1"/>
            </w14:solidFill>
          </w14:textFill>
        </w:rPr>
        <w:t>，且公共交流</w:t>
      </w:r>
      <w:r>
        <w:rPr>
          <w:rFonts w:hint="eastAsia" w:ascii="Times New Roman" w:hAnsi="Times New Roman" w:eastAsia="仿宋_GB2312" w:cs="Times New Roman"/>
          <w:color w:val="000000" w:themeColor="text1"/>
          <w:sz w:val="32"/>
          <w:szCs w:val="28"/>
          <w14:textFill>
            <w14:solidFill>
              <w14:schemeClr w14:val="tx1"/>
            </w14:solidFill>
          </w14:textFill>
        </w:rPr>
        <w:t>枪</w:t>
      </w:r>
      <w:r>
        <w:rPr>
          <w:rFonts w:ascii="Times New Roman" w:hAnsi="Times New Roman" w:eastAsia="仿宋_GB2312" w:cs="Times New Roman"/>
          <w:color w:val="000000" w:themeColor="text1"/>
          <w:sz w:val="32"/>
          <w:szCs w:val="28"/>
          <w14:textFill>
            <w14:solidFill>
              <w14:schemeClr w14:val="tx1"/>
            </w14:solidFill>
          </w14:textFill>
        </w:rPr>
        <w:t>、直流</w:t>
      </w:r>
      <w:r>
        <w:rPr>
          <w:rFonts w:hint="eastAsia" w:ascii="Times New Roman" w:hAnsi="Times New Roman" w:eastAsia="仿宋_GB2312" w:cs="Times New Roman"/>
          <w:color w:val="000000" w:themeColor="text1"/>
          <w:sz w:val="32"/>
          <w:szCs w:val="28"/>
          <w14:textFill>
            <w14:solidFill>
              <w14:schemeClr w14:val="tx1"/>
            </w14:solidFill>
          </w14:textFill>
        </w:rPr>
        <w:t>枪</w:t>
      </w:r>
      <w:r>
        <w:rPr>
          <w:rFonts w:ascii="Times New Roman" w:hAnsi="Times New Roman" w:eastAsia="仿宋_GB2312" w:cs="Times New Roman"/>
          <w:color w:val="000000" w:themeColor="text1"/>
          <w:sz w:val="32"/>
          <w:szCs w:val="28"/>
          <w14:textFill>
            <w14:solidFill>
              <w14:schemeClr w14:val="tx1"/>
            </w14:solidFill>
          </w14:textFill>
        </w:rPr>
        <w:t>比例近几年保持在6:4左右。一方面直流</w:t>
      </w:r>
      <w:r>
        <w:rPr>
          <w:rFonts w:hint="eastAsia" w:ascii="Times New Roman" w:hAnsi="Times New Roman" w:eastAsia="仿宋_GB2312" w:cs="Times New Roman"/>
          <w:color w:val="000000" w:themeColor="text1"/>
          <w:sz w:val="32"/>
          <w:szCs w:val="28"/>
          <w14:textFill>
            <w14:solidFill>
              <w14:schemeClr w14:val="tx1"/>
            </w14:solidFill>
          </w14:textFill>
        </w:rPr>
        <w:t>枪</w:t>
      </w:r>
      <w:r>
        <w:rPr>
          <w:rFonts w:ascii="Times New Roman" w:hAnsi="Times New Roman" w:eastAsia="仿宋_GB2312" w:cs="Times New Roman"/>
          <w:color w:val="000000" w:themeColor="text1"/>
          <w:sz w:val="32"/>
          <w:szCs w:val="28"/>
          <w14:textFill>
            <w14:solidFill>
              <w14:schemeClr w14:val="tx1"/>
            </w14:solidFill>
          </w14:textFill>
        </w:rPr>
        <w:t>建设成本较高导致数量偏低，另一方面，目前的充电设备可基本满足用户有计划充电和应急充电需求。因此，6:4的比例符合目前市场的合理性，然而由于用户对快速充电需求的增加，直流快充</w:t>
      </w:r>
      <w:r>
        <w:rPr>
          <w:rFonts w:hint="eastAsia" w:ascii="Times New Roman" w:hAnsi="Times New Roman" w:eastAsia="仿宋_GB2312" w:cs="Times New Roman"/>
          <w:color w:val="000000" w:themeColor="text1"/>
          <w:sz w:val="32"/>
          <w:szCs w:val="28"/>
          <w14:textFill>
            <w14:solidFill>
              <w14:schemeClr w14:val="tx1"/>
            </w14:solidFill>
          </w14:textFill>
        </w:rPr>
        <w:t>枪</w:t>
      </w:r>
      <w:r>
        <w:rPr>
          <w:rFonts w:ascii="Times New Roman" w:hAnsi="Times New Roman" w:eastAsia="仿宋_GB2312" w:cs="Times New Roman"/>
          <w:color w:val="000000" w:themeColor="text1"/>
          <w:sz w:val="32"/>
          <w:szCs w:val="28"/>
          <w14:textFill>
            <w14:solidFill>
              <w14:schemeClr w14:val="tx1"/>
            </w14:solidFill>
          </w14:textFill>
        </w:rPr>
        <w:t>在未来的保有量占比将有所提升。</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换电模式通过集中型充电站对大量电池集中存储、充电、统一配送，并在换电站内对电动汽车进行电池更换服务，因而可在一定程度上解决充电模式耗时长、充电桩位不足等问题。“十二五”、“十三五”期间国家出台相关政策主要倾向充电模式，重点支持充电基础设施建设。2019年后，换电模式迎来发展契机，随着《电动汽车换电安全要求》等政策出台，进一步推动了中国电动汽车换电市场的标准化。</w:t>
      </w:r>
    </w:p>
    <w:p>
      <w:pPr>
        <w:spacing w:line="360" w:lineRule="auto"/>
        <w:ind w:firstLine="420" w:firstLineChars="20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drawing>
          <wp:inline distT="0" distB="0" distL="0" distR="0">
            <wp:extent cx="4766945" cy="2260600"/>
            <wp:effectExtent l="0" t="0" r="0" b="6350"/>
            <wp:docPr id="8" name="图片 8" descr="微信图片_2022081208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812085702"/>
                    <pic:cNvPicPr>
                      <a:picLocks noChangeAspect="1" noChangeArrowheads="1"/>
                    </pic:cNvPicPr>
                  </pic:nvPicPr>
                  <pic:blipFill>
                    <a:blip r:embed="rId16">
                      <a:extLst>
                        <a:ext uri="{28A0092B-C50C-407E-A947-70E740481C1C}">
                          <a14:useLocalDpi xmlns:a14="http://schemas.microsoft.com/office/drawing/2010/main" val="0"/>
                        </a:ext>
                      </a:extLst>
                    </a:blip>
                    <a:srcRect l="5757" t="17824" r="4872" b="50201"/>
                    <a:stretch>
                      <a:fillRect/>
                    </a:stretch>
                  </pic:blipFill>
                  <pic:spPr>
                    <a:xfrm>
                      <a:off x="0" y="0"/>
                      <a:ext cx="4766945" cy="2260600"/>
                    </a:xfrm>
                    <a:prstGeom prst="rect">
                      <a:avLst/>
                    </a:prstGeom>
                    <a:noFill/>
                    <a:ln>
                      <a:noFill/>
                    </a:ln>
                  </pic:spPr>
                </pic:pic>
              </a:graphicData>
            </a:graphic>
          </wp:inline>
        </w:drawing>
      </w:r>
    </w:p>
    <w:p>
      <w:pPr>
        <w:pStyle w:val="69"/>
        <w:spacing w:line="360" w:lineRule="auto"/>
        <w:ind w:firstLine="4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图4-2中国新能源充换电相关政策颁布历程</w:t>
      </w:r>
    </w:p>
    <w:p>
      <w:pPr>
        <w:pStyle w:val="67"/>
        <w:rPr>
          <w:color w:val="000000" w:themeColor="text1"/>
          <w14:textFill>
            <w14:solidFill>
              <w14:schemeClr w14:val="tx1"/>
            </w14:solidFill>
          </w14:textFill>
        </w:rPr>
      </w:pPr>
      <w:r>
        <w:rPr>
          <w:color w:val="000000" w:themeColor="text1"/>
          <w14:textFill>
            <w14:solidFill>
              <w14:schemeClr w14:val="tx1"/>
            </w14:solidFill>
          </w14:textFill>
        </w:rPr>
        <w:t>4.1.2充电设施政策解读</w:t>
      </w:r>
      <w:bookmarkEnd w:id="21"/>
      <w:bookmarkEnd w:id="22"/>
      <w:bookmarkEnd w:id="23"/>
      <w:bookmarkEnd w:id="24"/>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2022年我国充电基础设施数量达到520万台，同比增长近100%。其中，公共充电基础设施增长约65万台，累计数量达到180万台；私人充电基础设施增长约190万台，累计数量超过340万台。</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新能源充电设施建设已被列入多省的“十四五”规划和2035年的建设规划中，各省市也相继出台相关建设政策。</w:t>
      </w:r>
    </w:p>
    <w:p>
      <w:pPr>
        <w:pStyle w:val="31"/>
        <w:shd w:val="clear" w:color="auto" w:fill="FFFFFF"/>
        <w:spacing w:before="0" w:beforeAutospacing="0" w:after="0" w:afterAutospacing="0" w:line="360" w:lineRule="atLeast"/>
        <w:ind w:firstLine="843" w:firstLineChars="300"/>
        <w:rPr>
          <w:rFonts w:ascii="Times New Roman" w:hAnsi="Times New Roman" w:eastAsia="仿宋_GB2312" w:cs="Times New Roman"/>
          <w:color w:val="000000" w:themeColor="text1"/>
          <w:kern w:val="2"/>
          <w:sz w:val="28"/>
          <w:szCs w:val="28"/>
          <w14:textFill>
            <w14:solidFill>
              <w14:schemeClr w14:val="tx1"/>
            </w14:solidFill>
          </w14:textFill>
        </w:rPr>
      </w:pPr>
      <w:r>
        <w:rPr>
          <w:rFonts w:hint="eastAsia" w:ascii="Times New Roman" w:hAnsi="Times New Roman" w:eastAsia="仿宋_GB2312" w:cs="Times New Roman"/>
          <w:b/>
          <w:bCs/>
          <w:color w:val="000000" w:themeColor="text1"/>
          <w:kern w:val="2"/>
          <w:sz w:val="28"/>
          <w:szCs w:val="28"/>
          <w14:textFill>
            <w14:solidFill>
              <w14:schemeClr w14:val="tx1"/>
            </w14:solidFill>
          </w14:textFill>
        </w:rPr>
        <w:t>1.北京</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2019年度北京市单位内部公用充电设施建设补助资金申报指南》(京管发[2019]53号)：本市行政区域内各级政府机关、事业单位、社会团体、企业在单位内部停车场建设的主要供本单位及职工自有电动汽车使用的充电设施。在2018年1月1日(含)至2019年6月30日(含)之间投运的可以领取资金补助：补助标准为7k</w:t>
      </w:r>
      <w:r>
        <w:rPr>
          <w:rFonts w:ascii="Times New Roman" w:hAnsi="Times New Roman" w:eastAsia="仿宋_GB2312" w:cs="Times New Roman"/>
          <w:color w:val="000000" w:themeColor="text1"/>
          <w:sz w:val="32"/>
          <w:szCs w:val="28"/>
          <w14:textFill>
            <w14:solidFill>
              <w14:schemeClr w14:val="tx1"/>
            </w14:solidFill>
          </w14:textFill>
        </w:rPr>
        <w:t>W</w:t>
      </w:r>
      <w:r>
        <w:rPr>
          <w:rFonts w:hint="eastAsia" w:ascii="Times New Roman" w:hAnsi="Times New Roman" w:eastAsia="仿宋_GB2312" w:cs="Times New Roman"/>
          <w:color w:val="000000" w:themeColor="text1"/>
          <w:sz w:val="32"/>
          <w:szCs w:val="28"/>
          <w14:textFill>
            <w14:solidFill>
              <w14:schemeClr w14:val="tx1"/>
            </w14:solidFill>
          </w14:textFill>
        </w:rPr>
        <w:t>及以下的补助0.4元/w，7k</w:t>
      </w:r>
      <w:r>
        <w:rPr>
          <w:rFonts w:ascii="Times New Roman" w:hAnsi="Times New Roman" w:eastAsia="仿宋_GB2312" w:cs="Times New Roman"/>
          <w:color w:val="000000" w:themeColor="text1"/>
          <w:sz w:val="32"/>
          <w:szCs w:val="28"/>
          <w14:textFill>
            <w14:solidFill>
              <w14:schemeClr w14:val="tx1"/>
            </w14:solidFill>
          </w14:textFill>
        </w:rPr>
        <w:t>W</w:t>
      </w:r>
      <w:r>
        <w:rPr>
          <w:rFonts w:hint="eastAsia" w:ascii="Times New Roman" w:hAnsi="Times New Roman" w:eastAsia="仿宋_GB2312" w:cs="Times New Roman"/>
          <w:color w:val="000000" w:themeColor="text1"/>
          <w:sz w:val="32"/>
          <w:szCs w:val="28"/>
          <w14:textFill>
            <w14:solidFill>
              <w14:schemeClr w14:val="tx1"/>
            </w14:solidFill>
          </w14:textFill>
        </w:rPr>
        <w:t>以上的补助0.5元/</w:t>
      </w:r>
      <w:r>
        <w:rPr>
          <w:rFonts w:ascii="Times New Roman" w:hAnsi="Times New Roman" w:eastAsia="仿宋_GB2312" w:cs="Times New Roman"/>
          <w:color w:val="000000" w:themeColor="text1"/>
          <w:sz w:val="32"/>
          <w:szCs w:val="28"/>
          <w14:textFill>
            <w14:solidFill>
              <w14:schemeClr w14:val="tx1"/>
            </w14:solidFill>
          </w14:textFill>
        </w:rPr>
        <w:t>W</w:t>
      </w:r>
      <w:r>
        <w:rPr>
          <w:rFonts w:hint="eastAsia" w:ascii="Times New Roman" w:hAnsi="Times New Roman" w:eastAsia="仿宋_GB2312" w:cs="Times New Roman"/>
          <w:color w:val="000000" w:themeColor="text1"/>
          <w:sz w:val="32"/>
          <w:szCs w:val="28"/>
          <w14:textFill>
            <w14:solidFill>
              <w14:schemeClr w14:val="tx1"/>
            </w14:solidFill>
          </w14:textFill>
        </w:rPr>
        <w:t>。</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2.上海</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《上海市鼓励电动汽车充换电设施发展扶持办法》</w:t>
      </w:r>
      <w:r>
        <w:rPr>
          <w:rFonts w:ascii="Times New Roman" w:hAnsi="Times New Roman" w:eastAsia="仿宋_GB2312" w:cs="Times New Roman"/>
          <w:color w:val="000000" w:themeColor="text1"/>
          <w:sz w:val="32"/>
          <w:szCs w:val="28"/>
          <w14:textFill>
            <w14:solidFill>
              <w14:schemeClr w14:val="tx1"/>
            </w14:solidFill>
          </w14:textFill>
        </w:rPr>
        <w:t>（</w:t>
      </w:r>
      <w:r>
        <w:rPr>
          <w:rFonts w:hint="eastAsia" w:ascii="Times New Roman" w:hAnsi="Times New Roman" w:eastAsia="仿宋_GB2312" w:cs="Times New Roman"/>
          <w:color w:val="000000" w:themeColor="text1"/>
          <w:sz w:val="32"/>
          <w:szCs w:val="28"/>
          <w14:textFill>
            <w14:solidFill>
              <w14:schemeClr w14:val="tx1"/>
            </w14:solidFill>
          </w14:textFill>
        </w:rPr>
        <w:t>沪发改规范〔2022〕12号</w:t>
      </w:r>
      <w:r>
        <w:rPr>
          <w:rFonts w:ascii="Times New Roman" w:hAnsi="Times New Roman" w:eastAsia="仿宋_GB2312" w:cs="Times New Roman"/>
          <w:color w:val="000000" w:themeColor="text1"/>
          <w:sz w:val="32"/>
          <w:szCs w:val="28"/>
          <w14:textFill>
            <w14:solidFill>
              <w14:schemeClr w14:val="tx1"/>
            </w14:solidFill>
          </w14:textFill>
        </w:rPr>
        <w:t>）</w:t>
      </w:r>
      <w:r>
        <w:rPr>
          <w:rFonts w:hint="eastAsia" w:ascii="Times New Roman" w:hAnsi="Times New Roman" w:eastAsia="仿宋_GB2312" w:cs="Times New Roman"/>
          <w:color w:val="000000" w:themeColor="text1"/>
          <w:sz w:val="32"/>
          <w:szCs w:val="28"/>
          <w14:textFill>
            <w14:solidFill>
              <w14:schemeClr w14:val="tx1"/>
            </w14:solidFill>
          </w14:textFill>
        </w:rPr>
        <w:t>：自用、专用充电设施应按照“桩随车走、按需配置”原则有序建设：公用充电设施应按照“合建为主、单建为辅”原则适度超前建设：专用、公用换电设施应按照“需求支撑、重在示范”原则示范建设。对于符合要求的专用、公用充换电设备：光伏一体化储能充电、无线充电等新技术给予财政资金补贴。</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3.天津</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关于印发2022年新能源汽车充电基础设施工作要点的通知》：2022年重点在居民小区、高速公路服务区、国省干线和农村公路沿线以及物流园、产业园、大型商业购物中心、农贸批发市场等物流集散地和人员密集区配建充电基础设施，不断织密充电服务网络。</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4.江苏</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江苏省“十三五”新能源汽车推广应用实施方案》(苏政办发[2016]157号)：优先在大型商场、超市、文体场馆等建筑物配建停车场以及交通枢纽驻车换乘(P+R)等公共停车场建设公共充电设施。鼓励在具备条件的加油站配建公共快充设施：适当新建独立占地的公共快充站。</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5.广东</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《做好广东省新能源汽车推广应用地方财政补贴工作的通知》(粤发改产业函[2018]518号)：为2016-2018年建成并竣工验收的充换电设施按直流充电桩不高于550元/k</w:t>
      </w:r>
      <w:r>
        <w:rPr>
          <w:rFonts w:ascii="Times New Roman" w:hAnsi="Times New Roman" w:eastAsia="仿宋_GB2312" w:cs="Times New Roman"/>
          <w:color w:val="000000" w:themeColor="text1"/>
          <w:sz w:val="32"/>
          <w:szCs w:val="28"/>
          <w14:textFill>
            <w14:solidFill>
              <w14:schemeClr w14:val="tx1"/>
            </w14:solidFill>
          </w14:textFill>
        </w:rPr>
        <w:t>W</w:t>
      </w:r>
      <w:r>
        <w:rPr>
          <w:rFonts w:hint="eastAsia" w:ascii="Times New Roman" w:hAnsi="Times New Roman" w:eastAsia="仿宋_GB2312" w:cs="Times New Roman"/>
          <w:color w:val="000000" w:themeColor="text1"/>
          <w:sz w:val="32"/>
          <w:szCs w:val="28"/>
          <w14:textFill>
            <w14:solidFill>
              <w14:schemeClr w14:val="tx1"/>
            </w14:solidFill>
          </w14:textFill>
        </w:rPr>
        <w:t>、交流充电桩不高于100元/k</w:t>
      </w:r>
      <w:r>
        <w:rPr>
          <w:rFonts w:ascii="Times New Roman" w:hAnsi="Times New Roman" w:eastAsia="仿宋_GB2312" w:cs="Times New Roman"/>
          <w:color w:val="000000" w:themeColor="text1"/>
          <w:sz w:val="32"/>
          <w:szCs w:val="28"/>
          <w14:textFill>
            <w14:solidFill>
              <w14:schemeClr w14:val="tx1"/>
            </w14:solidFill>
          </w14:textFill>
        </w:rPr>
        <w:t>W</w:t>
      </w:r>
      <w:r>
        <w:rPr>
          <w:rFonts w:hint="eastAsia" w:ascii="Times New Roman" w:hAnsi="Times New Roman" w:eastAsia="仿宋_GB2312" w:cs="Times New Roman"/>
          <w:color w:val="000000" w:themeColor="text1"/>
          <w:sz w:val="32"/>
          <w:szCs w:val="28"/>
          <w14:textFill>
            <w14:solidFill>
              <w14:schemeClr w14:val="tx1"/>
            </w14:solidFill>
          </w14:textFill>
        </w:rPr>
        <w:t>、各市根据本地实际情况确定本地区具体补贴标准。2019-2020年建成并竣工验收的充电设施、按直流充电桩不高于300元/k</w:t>
      </w:r>
      <w:r>
        <w:rPr>
          <w:rFonts w:ascii="Times New Roman" w:hAnsi="Times New Roman" w:eastAsia="仿宋_GB2312" w:cs="Times New Roman"/>
          <w:color w:val="000000" w:themeColor="text1"/>
          <w:sz w:val="32"/>
          <w:szCs w:val="28"/>
          <w14:textFill>
            <w14:solidFill>
              <w14:schemeClr w14:val="tx1"/>
            </w14:solidFill>
          </w14:textFill>
        </w:rPr>
        <w:t>W</w:t>
      </w:r>
      <w:r>
        <w:rPr>
          <w:rFonts w:hint="eastAsia" w:ascii="Times New Roman" w:hAnsi="Times New Roman" w:eastAsia="仿宋_GB2312" w:cs="Times New Roman"/>
          <w:color w:val="000000" w:themeColor="text1"/>
          <w:sz w:val="32"/>
          <w:szCs w:val="28"/>
          <w14:textFill>
            <w14:solidFill>
              <w14:schemeClr w14:val="tx1"/>
            </w14:solidFill>
          </w14:textFill>
        </w:rPr>
        <w:t>、交流充电桩不高于60元/k</w:t>
      </w:r>
      <w:r>
        <w:rPr>
          <w:rFonts w:ascii="Times New Roman" w:hAnsi="Times New Roman" w:eastAsia="仿宋_GB2312" w:cs="Times New Roman"/>
          <w:color w:val="000000" w:themeColor="text1"/>
          <w:sz w:val="32"/>
          <w:szCs w:val="28"/>
          <w14:textFill>
            <w14:solidFill>
              <w14:schemeClr w14:val="tx1"/>
            </w14:solidFill>
          </w14:textFill>
        </w:rPr>
        <w:t>W</w:t>
      </w:r>
      <w:r>
        <w:rPr>
          <w:rFonts w:hint="eastAsia" w:ascii="Times New Roman" w:hAnsi="Times New Roman" w:eastAsia="仿宋_GB2312" w:cs="Times New Roman"/>
          <w:color w:val="000000" w:themeColor="text1"/>
          <w:sz w:val="32"/>
          <w:szCs w:val="28"/>
          <w14:textFill>
            <w14:solidFill>
              <w14:schemeClr w14:val="tx1"/>
            </w14:solidFill>
          </w14:textFill>
        </w:rPr>
        <w:t>予以补贴。对广东省电动汽车充电设施智能服务平台：2018年给予平合设备投资及相关研发费用补贴500万元：2019-2020年每年给予平台网络运营补贴100万元。</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6.</w:t>
      </w:r>
      <w:r>
        <w:rPr>
          <w:rFonts w:ascii="Times New Roman" w:hAnsi="Times New Roman" w:eastAsia="仿宋_GB2312" w:cs="Times New Roman"/>
          <w:color w:val="000000" w:themeColor="text1"/>
          <w:sz w:val="32"/>
          <w:szCs w:val="28"/>
          <w14:textFill>
            <w14:solidFill>
              <w14:schemeClr w14:val="tx1"/>
            </w14:solidFill>
          </w14:textFill>
        </w:rPr>
        <w:t>浙江省政策要求</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（1）总体目标</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根据《浙江充电基础设施发展“十四五”规划》，到2025年，全省建成公共领域充换电站6000座以上，公共领域充电桩8万个以上（其中智能公用充电桩5万个以上）、公共领域车桩比不超过3:1。规划要求，宁波作为浙江省率先发展地区，到2025年，城市核心区公共充电服务半径为0.5公里左右，城市郊区公共充电服务半径为1公里左右。至2025年，建成公共领域充电桩1300座。</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（2）配建要求</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根据《浙江充电基础设施发展“十四五”规划》，建设城市公共充换电基础设施。新建公共建筑配建停车场及社会公共停车场具有充电设施的停车位应不少于总停车位的10%，鼓励按照不低于总停车位20%的比例配建充电设施。既有大型公共建筑配建停车场和社会公共停车场，通过改造使具有充电设施的停车位逐步达到总停车位的10%以上。在满足加油站消防规范的前提下，加快配套充换电设施建设。</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建设乡镇充电基础设施。按照我省共同富裕示范区建设决策部署，结合电动汽车下乡活动，推动乡镇、农村充电设施建设。到2025年，全省建设不少于10个“示范乡镇”和30个“示范村”，基本建成乡镇农村充电设施保障网络。</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7.</w:t>
      </w:r>
      <w:r>
        <w:rPr>
          <w:rFonts w:ascii="Times New Roman" w:hAnsi="Times New Roman" w:eastAsia="仿宋_GB2312" w:cs="Times New Roman"/>
          <w:color w:val="000000" w:themeColor="text1"/>
          <w:sz w:val="32"/>
          <w:szCs w:val="28"/>
          <w14:textFill>
            <w14:solidFill>
              <w14:schemeClr w14:val="tx1"/>
            </w14:solidFill>
          </w14:textFill>
        </w:rPr>
        <w:t>宁波市政策要求</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（1）总体目标</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根据《宁波市交通领域碳达峰实施方案》（二次征求意见稿），到2025年，建成公共充（换）电桩1.26万个以上。到2030年，建成公共充（换）电桩1.5万个以上。</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（2）配建要求</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2017年7月《宁波市电动汽车充电基础设施建设实施方案》中提出，新建居住区配建停车位应100%建设充电设施或预留充电设施建设安装条件；新建单位办公场所按照不低于总停车位数量10%的比例建设电动汽车充电基础设施或预留建设安装条件；新建的大于2万平方米的商场、宾馆、医院、文体场馆、办公楼等大型公共建筑配建停车场和社会公共停车场，具有充电设施的停车位应不少于总停车位的10%；既有的大型公共建筑配建停车场和社会公共停车场,应通过改造使具有充电设施的停车位逐步达到总停车位的10%以上；合理利用路边临时停车位配建公用充电桩,城市中心区可按照总停车位数量10%的比例配建充电设施。</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8.</w:t>
      </w:r>
      <w:r>
        <w:rPr>
          <w:rFonts w:ascii="Times New Roman" w:hAnsi="Times New Roman" w:eastAsia="仿宋_GB2312" w:cs="Times New Roman"/>
          <w:color w:val="000000" w:themeColor="text1"/>
          <w:sz w:val="32"/>
          <w:szCs w:val="28"/>
          <w14:textFill>
            <w14:solidFill>
              <w14:schemeClr w14:val="tx1"/>
            </w14:solidFill>
          </w14:textFill>
        </w:rPr>
        <w:t>政策解读小结及启示</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1）根据政策文件，宁波作为浙江省率先发展地区，镇海区作为宁波非核心区域，公共充电服务半径推荐为1公里左右，同时，鼓励推动充电设施对乡镇、农村的覆盖建设。对此，鉴于镇海区现状充电设施建设水平尚佳，在适度超前的原则下，建议骆驼街道、庄市街道、招宝山街道、蛟川街道核心区以1公里作为服务半径标准评估，九龙湖镇、</w:t>
      </w:r>
      <w:r>
        <w:rPr>
          <w:rFonts w:hint="eastAsia" w:ascii="微软雅黑" w:hAnsi="微软雅黑" w:eastAsia="微软雅黑" w:cs="微软雅黑"/>
          <w:color w:val="000000" w:themeColor="text1"/>
          <w:sz w:val="32"/>
          <w:szCs w:val="28"/>
          <w14:textFill>
            <w14:solidFill>
              <w14:schemeClr w14:val="tx1"/>
            </w14:solidFill>
          </w14:textFill>
        </w:rPr>
        <w:t>澥</w:t>
      </w:r>
      <w:r>
        <w:rPr>
          <w:rFonts w:hint="eastAsia" w:ascii="Times New Roman" w:hAnsi="Times New Roman" w:eastAsia="仿宋_GB2312" w:cs="Times New Roman"/>
          <w:color w:val="000000" w:themeColor="text1"/>
          <w:sz w:val="32"/>
          <w:szCs w:val="28"/>
          <w14:textFill>
            <w14:solidFill>
              <w14:schemeClr w14:val="tx1"/>
            </w14:solidFill>
          </w14:textFill>
        </w:rPr>
        <w:t>浦镇则以有所覆盖的基础上均衡布局为标准建设。</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（2）根据政策文件，在公共桩领域对新建与既有建筑提出了不同的标准，其程度也略有不同：</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a.新建办公场所不低于总停车位数量10%的比例建设或预留建设安装条件，该标准具有一定弹性，即在留有建设安装条件的前提下可不尽数按比例完成建设；</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b.新建大型公共建筑配建停车场和社会公共停车场（即大于2万平方米的商场、宾馆、医院、文体场馆、办公楼等），具有充电设施的停车位应不少于总停车位的10%，该标准具有一定严苛性，但仅针对新建情况；</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c.既有的大型公共建筑配建停车场和社会公共停车场,应通过改造使具有充电设施的停车位逐步达到总停车位的10%以上，该标准具有一定弹性，可在一定时间范围内逐步达到要求；</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结合镇海区现状充电车位占总停车位比例的情况，建议针对既有大型公共建筑配建停车场和社会公共停车场，逐步提高充电车位占总停车位规模的比例。</w:t>
      </w:r>
    </w:p>
    <w:p>
      <w:pPr>
        <w:pStyle w:val="66"/>
        <w:numPr>
          <w:ilvl w:val="255"/>
          <w:numId w:val="0"/>
        </w:numPr>
        <w:ind w:right="210"/>
        <w:rPr>
          <w:color w:val="000000" w:themeColor="text1"/>
          <w14:textFill>
            <w14:solidFill>
              <w14:schemeClr w14:val="tx1"/>
            </w14:solidFill>
          </w14:textFill>
        </w:rPr>
      </w:pPr>
      <w:r>
        <w:rPr>
          <w:rFonts w:hint="eastAsia"/>
          <w:color w:val="000000" w:themeColor="text1"/>
          <w14:textFill>
            <w14:solidFill>
              <w14:schemeClr w14:val="tx1"/>
            </w14:solidFill>
          </w14:textFill>
        </w:rPr>
        <w:t>（二）车辆规模预测</w:t>
      </w:r>
      <w:bookmarkEnd w:id="20"/>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.1私家车</w:t>
      </w:r>
      <w:r>
        <w:rPr>
          <w:color w:val="000000" w:themeColor="text1"/>
          <w14:textFill>
            <w14:solidFill>
              <w14:schemeClr w14:val="tx1"/>
            </w14:solidFill>
          </w14:textFill>
        </w:rPr>
        <w:t>规模预测</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电动汽车仅近几年才出现增长，其保有量及增长率数据较不稳定，一方面受用户基数较小的影响，2019年电动</w:t>
      </w:r>
      <w:r>
        <w:rPr>
          <w:rFonts w:hint="eastAsia" w:ascii="Times New Roman" w:hAnsi="Times New Roman" w:eastAsia="仿宋_GB2312" w:cs="Times New Roman"/>
          <w:color w:val="000000" w:themeColor="text1"/>
          <w:sz w:val="32"/>
          <w:szCs w:val="28"/>
          <w14:textFill>
            <w14:solidFill>
              <w14:schemeClr w14:val="tx1"/>
            </w14:solidFill>
          </w14:textFill>
        </w:rPr>
        <w:t>汽</w:t>
      </w:r>
      <w:r>
        <w:rPr>
          <w:rFonts w:ascii="Times New Roman" w:hAnsi="Times New Roman" w:eastAsia="仿宋_GB2312" w:cs="Times New Roman"/>
          <w:color w:val="000000" w:themeColor="text1"/>
          <w:sz w:val="32"/>
          <w:szCs w:val="28"/>
          <w14:textFill>
            <w14:solidFill>
              <w14:schemeClr w14:val="tx1"/>
            </w14:solidFill>
          </w14:textFill>
        </w:rPr>
        <w:t>车增长率达213.75%，2020年即回落至54.35%，另一方面受补贴等政策影响波动大，2020年开启电动</w:t>
      </w:r>
      <w:r>
        <w:rPr>
          <w:rFonts w:hint="eastAsia" w:ascii="Times New Roman" w:hAnsi="Times New Roman" w:eastAsia="仿宋_GB2312" w:cs="Times New Roman"/>
          <w:color w:val="000000" w:themeColor="text1"/>
          <w:sz w:val="32"/>
          <w:szCs w:val="28"/>
          <w14:textFill>
            <w14:solidFill>
              <w14:schemeClr w14:val="tx1"/>
            </w14:solidFill>
          </w14:textFill>
        </w:rPr>
        <w:t>汽</w:t>
      </w:r>
      <w:r>
        <w:rPr>
          <w:rFonts w:ascii="Times New Roman" w:hAnsi="Times New Roman" w:eastAsia="仿宋_GB2312" w:cs="Times New Roman"/>
          <w:color w:val="000000" w:themeColor="text1"/>
          <w:sz w:val="32"/>
          <w:szCs w:val="28"/>
          <w14:textFill>
            <w14:solidFill>
              <w14:schemeClr w14:val="tx1"/>
            </w14:solidFill>
          </w14:textFill>
        </w:rPr>
        <w:t>车购买补贴以来，其增长率由54.35%升至70%左右。整体而言，未来自2023年起，随着电动汽车由政策驱动转向市场驱动，电动汽车继续发展的大趋势将不会改变。采用多种函数模型基于经济发展趋势对电动汽车保有量进行预测，结果如下：</w:t>
      </w:r>
    </w:p>
    <w:p>
      <w:pPr>
        <w:pStyle w:val="69"/>
        <w:spacing w:before="156" w:line="240" w:lineRule="auto"/>
        <w:ind w:firstLine="198"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表4-1镇海区2023-2025年GDP预测表</w:t>
      </w:r>
    </w:p>
    <w:tbl>
      <w:tblPr>
        <w:tblStyle w:val="3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1106"/>
        <w:gridCol w:w="1108"/>
        <w:gridCol w:w="1106"/>
        <w:gridCol w:w="428"/>
        <w:gridCol w:w="678"/>
        <w:gridCol w:w="738"/>
        <w:gridCol w:w="363"/>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89" w:type="dxa"/>
            <w:noWrap/>
            <w:vAlign w:val="center"/>
          </w:tcPr>
          <w:p>
            <w:pPr>
              <w:pStyle w:val="69"/>
              <w:spacing w:line="240" w:lineRule="auto"/>
              <w:ind w:firstLine="0" w:firstLineChars="0"/>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类别　</w:t>
            </w:r>
          </w:p>
        </w:tc>
        <w:tc>
          <w:tcPr>
            <w:tcW w:w="6633" w:type="dxa"/>
            <w:gridSpan w:val="8"/>
            <w:noWrap/>
            <w:vAlign w:val="center"/>
          </w:tcPr>
          <w:p>
            <w:pPr>
              <w:pStyle w:val="69"/>
              <w:spacing w:line="240" w:lineRule="auto"/>
              <w:ind w:firstLine="0" w:firstLineChars="0"/>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历史值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89" w:type="dxa"/>
            <w:noWrap/>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年份</w:t>
            </w:r>
          </w:p>
        </w:tc>
        <w:tc>
          <w:tcPr>
            <w:tcW w:w="110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2015</w:t>
            </w:r>
          </w:p>
        </w:tc>
        <w:tc>
          <w:tcPr>
            <w:tcW w:w="1108"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2016</w:t>
            </w:r>
          </w:p>
        </w:tc>
        <w:tc>
          <w:tcPr>
            <w:tcW w:w="110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2017</w:t>
            </w:r>
          </w:p>
        </w:tc>
        <w:tc>
          <w:tcPr>
            <w:tcW w:w="1106" w:type="dxa"/>
            <w:gridSpan w:val="2"/>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2018</w:t>
            </w:r>
          </w:p>
        </w:tc>
        <w:tc>
          <w:tcPr>
            <w:tcW w:w="1101" w:type="dxa"/>
            <w:gridSpan w:val="2"/>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2019</w:t>
            </w:r>
          </w:p>
        </w:tc>
        <w:tc>
          <w:tcPr>
            <w:tcW w:w="110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89" w:type="dxa"/>
            <w:noWrap/>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GDP(亿元）</w:t>
            </w:r>
          </w:p>
        </w:tc>
        <w:tc>
          <w:tcPr>
            <w:tcW w:w="110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626.8</w:t>
            </w:r>
          </w:p>
        </w:tc>
        <w:tc>
          <w:tcPr>
            <w:tcW w:w="1108"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745.7</w:t>
            </w:r>
          </w:p>
        </w:tc>
        <w:tc>
          <w:tcPr>
            <w:tcW w:w="110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864.6</w:t>
            </w:r>
          </w:p>
        </w:tc>
        <w:tc>
          <w:tcPr>
            <w:tcW w:w="1106" w:type="dxa"/>
            <w:gridSpan w:val="2"/>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983.6</w:t>
            </w:r>
          </w:p>
        </w:tc>
        <w:tc>
          <w:tcPr>
            <w:tcW w:w="1101" w:type="dxa"/>
            <w:gridSpan w:val="2"/>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1102.5</w:t>
            </w:r>
          </w:p>
        </w:tc>
        <w:tc>
          <w:tcPr>
            <w:tcW w:w="110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89" w:type="dxa"/>
            <w:noWrap/>
            <w:vAlign w:val="center"/>
          </w:tcPr>
          <w:p>
            <w:pPr>
              <w:pStyle w:val="69"/>
              <w:spacing w:line="240" w:lineRule="auto"/>
              <w:ind w:firstLine="0" w:firstLineChars="0"/>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类别　</w:t>
            </w:r>
          </w:p>
        </w:tc>
        <w:tc>
          <w:tcPr>
            <w:tcW w:w="2214" w:type="dxa"/>
            <w:gridSpan w:val="2"/>
            <w:vAlign w:val="center"/>
          </w:tcPr>
          <w:p>
            <w:pPr>
              <w:pStyle w:val="69"/>
              <w:spacing w:line="240" w:lineRule="auto"/>
              <w:ind w:firstLine="0"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历史值</w:t>
            </w:r>
          </w:p>
        </w:tc>
        <w:tc>
          <w:tcPr>
            <w:tcW w:w="4419" w:type="dxa"/>
            <w:gridSpan w:val="6"/>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89" w:type="dxa"/>
            <w:noWrap/>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年份</w:t>
            </w:r>
          </w:p>
        </w:tc>
        <w:tc>
          <w:tcPr>
            <w:tcW w:w="110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2021</w:t>
            </w:r>
          </w:p>
        </w:tc>
        <w:tc>
          <w:tcPr>
            <w:tcW w:w="1108"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2022</w:t>
            </w:r>
          </w:p>
        </w:tc>
        <w:tc>
          <w:tcPr>
            <w:tcW w:w="1534" w:type="dxa"/>
            <w:gridSpan w:val="2"/>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2023</w:t>
            </w:r>
          </w:p>
        </w:tc>
        <w:tc>
          <w:tcPr>
            <w:tcW w:w="1416" w:type="dxa"/>
            <w:gridSpan w:val="2"/>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2024</w:t>
            </w:r>
          </w:p>
        </w:tc>
        <w:tc>
          <w:tcPr>
            <w:tcW w:w="1469" w:type="dxa"/>
            <w:gridSpan w:val="2"/>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89" w:type="dxa"/>
            <w:noWrap/>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GDP(亿元）</w:t>
            </w:r>
          </w:p>
        </w:tc>
        <w:tc>
          <w:tcPr>
            <w:tcW w:w="1106"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1340.3</w:t>
            </w:r>
          </w:p>
        </w:tc>
        <w:tc>
          <w:tcPr>
            <w:tcW w:w="1108" w:type="dxa"/>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1459.2</w:t>
            </w:r>
          </w:p>
        </w:tc>
        <w:tc>
          <w:tcPr>
            <w:tcW w:w="1534" w:type="dxa"/>
            <w:gridSpan w:val="2"/>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1578.2</w:t>
            </w:r>
          </w:p>
        </w:tc>
        <w:tc>
          <w:tcPr>
            <w:tcW w:w="1416" w:type="dxa"/>
            <w:gridSpan w:val="2"/>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1697.1</w:t>
            </w:r>
          </w:p>
        </w:tc>
        <w:tc>
          <w:tcPr>
            <w:tcW w:w="1469" w:type="dxa"/>
            <w:gridSpan w:val="2"/>
            <w:vAlign w:val="center"/>
          </w:tcPr>
          <w:p>
            <w:pPr>
              <w:pStyle w:val="69"/>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1816</w:t>
            </w:r>
          </w:p>
        </w:tc>
      </w:tr>
    </w:tbl>
    <w:p>
      <w:pPr>
        <w:spacing w:line="360" w:lineRule="auto"/>
        <w:ind w:firstLine="520" w:firstLineChars="200"/>
        <w:jc w:val="center"/>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drawing>
          <wp:inline distT="0" distB="0" distL="0" distR="0">
            <wp:extent cx="4531995" cy="1788795"/>
            <wp:effectExtent l="0" t="0" r="1905" b="1905"/>
            <wp:docPr id="3" name="图片 3" descr="99933df96c204fcdb40769a71a24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9933df96c204fcdb40769a71a245440"/>
                    <pic:cNvPicPr>
                      <a:picLocks noChangeAspect="1" noChangeArrowheads="1"/>
                    </pic:cNvPicPr>
                  </pic:nvPicPr>
                  <pic:blipFill>
                    <a:blip r:embed="rId17">
                      <a:extLst>
                        <a:ext uri="{28A0092B-C50C-407E-A947-70E740481C1C}">
                          <a14:useLocalDpi xmlns:a14="http://schemas.microsoft.com/office/drawing/2010/main" val="0"/>
                        </a:ext>
                      </a:extLst>
                    </a:blip>
                    <a:srcRect t="13438"/>
                    <a:stretch>
                      <a:fillRect/>
                    </a:stretch>
                  </pic:blipFill>
                  <pic:spPr>
                    <a:xfrm>
                      <a:off x="0" y="0"/>
                      <a:ext cx="4531995" cy="1788795"/>
                    </a:xfrm>
                    <a:prstGeom prst="rect">
                      <a:avLst/>
                    </a:prstGeom>
                    <a:noFill/>
                    <a:ln>
                      <a:noFill/>
                    </a:ln>
                  </pic:spPr>
                </pic:pic>
              </a:graphicData>
            </a:graphic>
          </wp:inline>
        </w:drawing>
      </w:r>
    </w:p>
    <w:p>
      <w:pPr>
        <w:pStyle w:val="69"/>
        <w:spacing w:line="360" w:lineRule="auto"/>
        <w:ind w:firstLine="4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图4-3镇海区GDP总量预测趋势图</w:t>
      </w:r>
    </w:p>
    <w:p>
      <w:pPr>
        <w:pStyle w:val="69"/>
        <w:spacing w:before="156" w:line="240" w:lineRule="auto"/>
        <w:ind w:firstLine="198"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表4-2二元多项式拟合</w:t>
      </w:r>
      <w:r>
        <w:rPr>
          <w:rFonts w:hint="eastAsia"/>
          <w:color w:val="000000" w:themeColor="text1"/>
          <w:sz w:val="24"/>
          <w14:textFill>
            <w14:solidFill>
              <w14:schemeClr w14:val="tx1"/>
            </w14:solidFill>
          </w14:textFill>
        </w:rPr>
        <w:t>电动汽车</w:t>
      </w:r>
      <w:r>
        <w:rPr>
          <w:color w:val="000000" w:themeColor="text1"/>
          <w:sz w:val="24"/>
          <w14:textFill>
            <w14:solidFill>
              <w14:schemeClr w14:val="tx1"/>
            </w14:solidFill>
          </w14:textFill>
        </w:rPr>
        <w:t>保有量预测表</w:t>
      </w:r>
    </w:p>
    <w:tbl>
      <w:tblPr>
        <w:tblStyle w:val="34"/>
        <w:tblW w:w="8522" w:type="dxa"/>
        <w:jc w:val="center"/>
        <w:tblLayout w:type="fixed"/>
        <w:tblCellMar>
          <w:top w:w="0" w:type="dxa"/>
          <w:left w:w="108" w:type="dxa"/>
          <w:bottom w:w="0" w:type="dxa"/>
          <w:right w:w="108" w:type="dxa"/>
        </w:tblCellMar>
      </w:tblPr>
      <w:tblGrid>
        <w:gridCol w:w="1102"/>
        <w:gridCol w:w="850"/>
        <w:gridCol w:w="990"/>
        <w:gridCol w:w="707"/>
        <w:gridCol w:w="992"/>
        <w:gridCol w:w="995"/>
        <w:gridCol w:w="994"/>
        <w:gridCol w:w="992"/>
        <w:gridCol w:w="900"/>
      </w:tblGrid>
      <w:tr>
        <w:trPr>
          <w:trHeight w:val="454" w:hRule="atLeast"/>
          <w:jc w:val="center"/>
        </w:trPr>
        <w:tc>
          <w:tcPr>
            <w:tcW w:w="1102" w:type="dxa"/>
            <w:tcBorders>
              <w:top w:val="single" w:color="auto" w:sz="4" w:space="0"/>
              <w:left w:val="single" w:color="auto" w:sz="4" w:space="0"/>
              <w:bottom w:val="single" w:color="auto" w:sz="4" w:space="0"/>
              <w:right w:val="single" w:color="auto" w:sz="4" w:space="0"/>
            </w:tcBorders>
            <w:noWrap/>
            <w:vAlign w:val="bottom"/>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类别</w:t>
            </w:r>
          </w:p>
        </w:tc>
        <w:tc>
          <w:tcPr>
            <w:tcW w:w="4534" w:type="dxa"/>
            <w:gridSpan w:val="5"/>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历史值</w:t>
            </w:r>
          </w:p>
        </w:tc>
        <w:tc>
          <w:tcPr>
            <w:tcW w:w="2886" w:type="dxa"/>
            <w:gridSpan w:val="3"/>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预测值</w:t>
            </w:r>
          </w:p>
        </w:tc>
      </w:tr>
      <w:tr>
        <w:tblPrEx>
          <w:tblCellMar>
            <w:top w:w="0" w:type="dxa"/>
            <w:left w:w="108" w:type="dxa"/>
            <w:bottom w:w="0" w:type="dxa"/>
            <w:right w:w="108" w:type="dxa"/>
          </w:tblCellMar>
        </w:tblPrEx>
        <w:trPr>
          <w:trHeight w:val="454" w:hRule="atLeast"/>
          <w:jc w:val="center"/>
        </w:trPr>
        <w:tc>
          <w:tcPr>
            <w:tcW w:w="1102" w:type="dxa"/>
            <w:tcBorders>
              <w:top w:val="single" w:color="auto" w:sz="4" w:space="0"/>
              <w:left w:val="single" w:color="auto" w:sz="4" w:space="0"/>
              <w:bottom w:val="single" w:color="auto" w:sz="4" w:space="0"/>
              <w:right w:val="single" w:color="auto" w:sz="4" w:space="0"/>
            </w:tcBorders>
            <w:noWrap/>
            <w:vAlign w:val="bottom"/>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年份</w:t>
            </w:r>
          </w:p>
        </w:tc>
        <w:tc>
          <w:tcPr>
            <w:tcW w:w="850" w:type="dxa"/>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2018</w:t>
            </w:r>
          </w:p>
        </w:tc>
        <w:tc>
          <w:tcPr>
            <w:tcW w:w="990" w:type="dxa"/>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2019</w:t>
            </w:r>
          </w:p>
        </w:tc>
        <w:tc>
          <w:tcPr>
            <w:tcW w:w="707" w:type="dxa"/>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2020</w:t>
            </w:r>
          </w:p>
        </w:tc>
        <w:tc>
          <w:tcPr>
            <w:tcW w:w="992" w:type="dxa"/>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2021</w:t>
            </w:r>
          </w:p>
        </w:tc>
        <w:tc>
          <w:tcPr>
            <w:tcW w:w="995" w:type="dxa"/>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2022</w:t>
            </w:r>
          </w:p>
        </w:tc>
        <w:tc>
          <w:tcPr>
            <w:tcW w:w="994" w:type="dxa"/>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2023</w:t>
            </w:r>
          </w:p>
        </w:tc>
        <w:tc>
          <w:tcPr>
            <w:tcW w:w="992" w:type="dxa"/>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2024</w:t>
            </w:r>
          </w:p>
        </w:tc>
        <w:tc>
          <w:tcPr>
            <w:tcW w:w="900" w:type="dxa"/>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2025</w:t>
            </w:r>
          </w:p>
        </w:tc>
      </w:tr>
      <w:tr>
        <w:tblPrEx>
          <w:tblCellMar>
            <w:top w:w="0" w:type="dxa"/>
            <w:left w:w="108" w:type="dxa"/>
            <w:bottom w:w="0" w:type="dxa"/>
            <w:right w:w="108" w:type="dxa"/>
          </w:tblCellMar>
        </w:tblPrEx>
        <w:trPr>
          <w:trHeight w:val="454" w:hRule="atLeast"/>
          <w:jc w:val="center"/>
        </w:trPr>
        <w:tc>
          <w:tcPr>
            <w:tcW w:w="1102" w:type="dxa"/>
            <w:tcBorders>
              <w:top w:val="nil"/>
              <w:left w:val="single" w:color="auto" w:sz="4" w:space="0"/>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GDP总量/亿元</w:t>
            </w:r>
          </w:p>
        </w:tc>
        <w:tc>
          <w:tcPr>
            <w:tcW w:w="850" w:type="dxa"/>
            <w:tcBorders>
              <w:top w:val="nil"/>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989.2</w:t>
            </w:r>
          </w:p>
        </w:tc>
        <w:tc>
          <w:tcPr>
            <w:tcW w:w="990" w:type="dxa"/>
            <w:tcBorders>
              <w:top w:val="nil"/>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1021.6</w:t>
            </w:r>
          </w:p>
        </w:tc>
        <w:tc>
          <w:tcPr>
            <w:tcW w:w="707" w:type="dxa"/>
            <w:tcBorders>
              <w:top w:val="nil"/>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1030</w:t>
            </w:r>
          </w:p>
        </w:tc>
        <w:tc>
          <w:tcPr>
            <w:tcW w:w="992" w:type="dxa"/>
            <w:tcBorders>
              <w:top w:val="nil"/>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1252.4</w:t>
            </w:r>
          </w:p>
        </w:tc>
        <w:tc>
          <w:tcPr>
            <w:tcW w:w="995" w:type="dxa"/>
            <w:tcBorders>
              <w:top w:val="nil"/>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1374.3</w:t>
            </w:r>
          </w:p>
        </w:tc>
        <w:tc>
          <w:tcPr>
            <w:tcW w:w="994"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1578.2</w:t>
            </w:r>
          </w:p>
        </w:tc>
        <w:tc>
          <w:tcPr>
            <w:tcW w:w="992"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1697.1</w:t>
            </w:r>
          </w:p>
        </w:tc>
        <w:tc>
          <w:tcPr>
            <w:tcW w:w="900"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1816</w:t>
            </w:r>
          </w:p>
        </w:tc>
      </w:tr>
      <w:tr>
        <w:tblPrEx>
          <w:tblCellMar>
            <w:top w:w="0" w:type="dxa"/>
            <w:left w:w="108" w:type="dxa"/>
            <w:bottom w:w="0" w:type="dxa"/>
            <w:right w:w="108" w:type="dxa"/>
          </w:tblCellMar>
        </w:tblPrEx>
        <w:trPr>
          <w:trHeight w:val="454" w:hRule="atLeast"/>
          <w:jc w:val="center"/>
        </w:trPr>
        <w:tc>
          <w:tcPr>
            <w:tcW w:w="1102" w:type="dxa"/>
            <w:tcBorders>
              <w:top w:val="nil"/>
              <w:left w:val="single" w:color="auto" w:sz="4" w:space="0"/>
              <w:bottom w:val="single" w:color="auto" w:sz="4" w:space="0"/>
              <w:right w:val="single" w:color="auto" w:sz="4" w:space="0"/>
            </w:tcBorders>
            <w:noWrap/>
            <w:vAlign w:val="bottom"/>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电动汽车</w:t>
            </w:r>
            <w:r>
              <w:rPr>
                <w:color w:val="000000" w:themeColor="text1"/>
                <w:sz w:val="24"/>
                <w14:textFill>
                  <w14:solidFill>
                    <w14:schemeClr w14:val="tx1"/>
                  </w14:solidFill>
                </w14:textFill>
              </w:rPr>
              <w:t>保有量</w:t>
            </w:r>
            <w:r>
              <w:rPr>
                <w:rFonts w:hint="eastAsia"/>
                <w:color w:val="000000" w:themeColor="text1"/>
                <w:sz w:val="24"/>
                <w14:textFill>
                  <w14:solidFill>
                    <w14:schemeClr w14:val="tx1"/>
                  </w14:solidFill>
                </w14:textFill>
              </w:rPr>
              <w:t>/辆</w:t>
            </w:r>
          </w:p>
        </w:tc>
        <w:tc>
          <w:tcPr>
            <w:tcW w:w="850"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1316</w:t>
            </w:r>
          </w:p>
        </w:tc>
        <w:tc>
          <w:tcPr>
            <w:tcW w:w="990"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1407</w:t>
            </w:r>
          </w:p>
        </w:tc>
        <w:tc>
          <w:tcPr>
            <w:tcW w:w="707"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1445</w:t>
            </w:r>
          </w:p>
        </w:tc>
        <w:tc>
          <w:tcPr>
            <w:tcW w:w="992"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4567</w:t>
            </w:r>
          </w:p>
        </w:tc>
        <w:tc>
          <w:tcPr>
            <w:tcW w:w="995"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8012</w:t>
            </w:r>
          </w:p>
        </w:tc>
        <w:tc>
          <w:tcPr>
            <w:tcW w:w="994"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16515</w:t>
            </w:r>
          </w:p>
        </w:tc>
        <w:tc>
          <w:tcPr>
            <w:tcW w:w="992"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23061</w:t>
            </w:r>
          </w:p>
        </w:tc>
        <w:tc>
          <w:tcPr>
            <w:tcW w:w="900"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30774</w:t>
            </w:r>
          </w:p>
        </w:tc>
      </w:tr>
    </w:tbl>
    <w:p>
      <w:pPr>
        <w:spacing w:line="360" w:lineRule="auto"/>
        <w:ind w:firstLine="520" w:firstLineChars="200"/>
        <w:jc w:val="center"/>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drawing>
          <wp:inline distT="0" distB="0" distL="0" distR="0">
            <wp:extent cx="4441190" cy="1909445"/>
            <wp:effectExtent l="0" t="0" r="0" b="0"/>
            <wp:docPr id="2" name="图片 2" descr="6caace8ca4394517a8d626c9a57dd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caace8ca4394517a8d626c9a57dd812"/>
                    <pic:cNvPicPr>
                      <a:picLocks noChangeAspect="1" noChangeArrowheads="1"/>
                    </pic:cNvPicPr>
                  </pic:nvPicPr>
                  <pic:blipFill>
                    <a:blip r:embed="rId18">
                      <a:extLst>
                        <a:ext uri="{28A0092B-C50C-407E-A947-70E740481C1C}">
                          <a14:useLocalDpi xmlns:a14="http://schemas.microsoft.com/office/drawing/2010/main" val="0"/>
                        </a:ext>
                      </a:extLst>
                    </a:blip>
                    <a:srcRect t="10579"/>
                    <a:stretch>
                      <a:fillRect/>
                    </a:stretch>
                  </pic:blipFill>
                  <pic:spPr>
                    <a:xfrm>
                      <a:off x="0" y="0"/>
                      <a:ext cx="4441190" cy="1909445"/>
                    </a:xfrm>
                    <a:prstGeom prst="rect">
                      <a:avLst/>
                    </a:prstGeom>
                    <a:noFill/>
                    <a:ln>
                      <a:noFill/>
                    </a:ln>
                  </pic:spPr>
                </pic:pic>
              </a:graphicData>
            </a:graphic>
          </wp:inline>
        </w:drawing>
      </w:r>
    </w:p>
    <w:p>
      <w:pPr>
        <w:pStyle w:val="69"/>
        <w:spacing w:line="360" w:lineRule="auto"/>
        <w:ind w:firstLine="4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图4-4二元多项式拟合</w:t>
      </w:r>
      <w:r>
        <w:rPr>
          <w:rFonts w:hint="eastAsia"/>
          <w:color w:val="000000" w:themeColor="text1"/>
          <w:sz w:val="24"/>
          <w14:textFill>
            <w14:solidFill>
              <w14:schemeClr w14:val="tx1"/>
            </w14:solidFill>
          </w14:textFill>
        </w:rPr>
        <w:t>电动汽</w:t>
      </w:r>
      <w:r>
        <w:rPr>
          <w:color w:val="000000" w:themeColor="text1"/>
          <w:sz w:val="24"/>
          <w14:textFill>
            <w14:solidFill>
              <w14:schemeClr w14:val="tx1"/>
            </w14:solidFill>
          </w14:textFill>
        </w:rPr>
        <w:t>车保有量预测趋势图</w:t>
      </w:r>
    </w:p>
    <w:p>
      <w:pPr>
        <w:pStyle w:val="69"/>
        <w:spacing w:before="156" w:line="240" w:lineRule="auto"/>
        <w:ind w:firstLine="198"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表4-3对数拟合</w:t>
      </w:r>
      <w:r>
        <w:rPr>
          <w:rFonts w:hint="eastAsia"/>
          <w:color w:val="000000" w:themeColor="text1"/>
          <w:sz w:val="24"/>
          <w14:textFill>
            <w14:solidFill>
              <w14:schemeClr w14:val="tx1"/>
            </w14:solidFill>
          </w14:textFill>
        </w:rPr>
        <w:t>电动汽车</w:t>
      </w:r>
      <w:r>
        <w:rPr>
          <w:color w:val="000000" w:themeColor="text1"/>
          <w:sz w:val="24"/>
          <w14:textFill>
            <w14:solidFill>
              <w14:schemeClr w14:val="tx1"/>
            </w14:solidFill>
          </w14:textFill>
        </w:rPr>
        <w:t>保有量预测表</w:t>
      </w:r>
    </w:p>
    <w:tbl>
      <w:tblPr>
        <w:tblStyle w:val="34"/>
        <w:tblW w:w="8522" w:type="dxa"/>
        <w:jc w:val="center"/>
        <w:tblLayout w:type="fixed"/>
        <w:tblCellMar>
          <w:top w:w="0" w:type="dxa"/>
          <w:left w:w="108" w:type="dxa"/>
          <w:bottom w:w="0" w:type="dxa"/>
          <w:right w:w="108" w:type="dxa"/>
        </w:tblCellMar>
      </w:tblPr>
      <w:tblGrid>
        <w:gridCol w:w="1104"/>
        <w:gridCol w:w="850"/>
        <w:gridCol w:w="989"/>
        <w:gridCol w:w="707"/>
        <w:gridCol w:w="992"/>
        <w:gridCol w:w="994"/>
        <w:gridCol w:w="992"/>
        <w:gridCol w:w="992"/>
        <w:gridCol w:w="902"/>
      </w:tblGrid>
      <w:tr>
        <w:tblPrEx>
          <w:tblCellMar>
            <w:top w:w="0" w:type="dxa"/>
            <w:left w:w="108" w:type="dxa"/>
            <w:bottom w:w="0" w:type="dxa"/>
            <w:right w:w="108" w:type="dxa"/>
          </w:tblCellMar>
        </w:tblPrEx>
        <w:trPr>
          <w:trHeight w:val="454" w:hRule="atLeast"/>
          <w:jc w:val="center"/>
        </w:trPr>
        <w:tc>
          <w:tcPr>
            <w:tcW w:w="1104" w:type="dxa"/>
            <w:tcBorders>
              <w:top w:val="single" w:color="auto" w:sz="4" w:space="0"/>
              <w:left w:val="single" w:color="auto" w:sz="4" w:space="0"/>
              <w:bottom w:val="single" w:color="auto" w:sz="4" w:space="0"/>
              <w:right w:val="single" w:color="auto" w:sz="4" w:space="0"/>
            </w:tcBorders>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类别</w:t>
            </w:r>
          </w:p>
        </w:tc>
        <w:tc>
          <w:tcPr>
            <w:tcW w:w="4532" w:type="dxa"/>
            <w:gridSpan w:val="5"/>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历史值</w:t>
            </w:r>
          </w:p>
        </w:tc>
        <w:tc>
          <w:tcPr>
            <w:tcW w:w="2886" w:type="dxa"/>
            <w:gridSpan w:val="3"/>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预测值</w:t>
            </w:r>
          </w:p>
        </w:tc>
      </w:tr>
      <w:tr>
        <w:tblPrEx>
          <w:tblCellMar>
            <w:top w:w="0" w:type="dxa"/>
            <w:left w:w="108" w:type="dxa"/>
            <w:bottom w:w="0" w:type="dxa"/>
            <w:right w:w="108" w:type="dxa"/>
          </w:tblCellMar>
        </w:tblPrEx>
        <w:trPr>
          <w:trHeight w:val="454" w:hRule="atLeast"/>
          <w:jc w:val="center"/>
        </w:trPr>
        <w:tc>
          <w:tcPr>
            <w:tcW w:w="1104" w:type="dxa"/>
            <w:tcBorders>
              <w:top w:val="single" w:color="auto" w:sz="4" w:space="0"/>
              <w:left w:val="single" w:color="auto" w:sz="4" w:space="0"/>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年份</w:t>
            </w:r>
          </w:p>
        </w:tc>
        <w:tc>
          <w:tcPr>
            <w:tcW w:w="850" w:type="dxa"/>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2018</w:t>
            </w:r>
          </w:p>
        </w:tc>
        <w:tc>
          <w:tcPr>
            <w:tcW w:w="989" w:type="dxa"/>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2019</w:t>
            </w:r>
          </w:p>
        </w:tc>
        <w:tc>
          <w:tcPr>
            <w:tcW w:w="707" w:type="dxa"/>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2020</w:t>
            </w:r>
          </w:p>
        </w:tc>
        <w:tc>
          <w:tcPr>
            <w:tcW w:w="992" w:type="dxa"/>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2021</w:t>
            </w:r>
          </w:p>
        </w:tc>
        <w:tc>
          <w:tcPr>
            <w:tcW w:w="994" w:type="dxa"/>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2022</w:t>
            </w:r>
          </w:p>
        </w:tc>
        <w:tc>
          <w:tcPr>
            <w:tcW w:w="992" w:type="dxa"/>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2023</w:t>
            </w:r>
          </w:p>
        </w:tc>
        <w:tc>
          <w:tcPr>
            <w:tcW w:w="992" w:type="dxa"/>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2024</w:t>
            </w:r>
          </w:p>
        </w:tc>
        <w:tc>
          <w:tcPr>
            <w:tcW w:w="902" w:type="dxa"/>
            <w:tcBorders>
              <w:top w:val="single" w:color="auto" w:sz="4" w:space="0"/>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2025</w:t>
            </w:r>
          </w:p>
        </w:tc>
      </w:tr>
      <w:tr>
        <w:tblPrEx>
          <w:tblCellMar>
            <w:top w:w="0" w:type="dxa"/>
            <w:left w:w="108" w:type="dxa"/>
            <w:bottom w:w="0" w:type="dxa"/>
            <w:right w:w="108" w:type="dxa"/>
          </w:tblCellMar>
        </w:tblPrEx>
        <w:trPr>
          <w:trHeight w:val="454" w:hRule="atLeast"/>
          <w:jc w:val="center"/>
        </w:trPr>
        <w:tc>
          <w:tcPr>
            <w:tcW w:w="1104" w:type="dxa"/>
            <w:tcBorders>
              <w:top w:val="nil"/>
              <w:left w:val="single" w:color="auto" w:sz="4" w:space="0"/>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GDP总量/亿元</w:t>
            </w:r>
          </w:p>
        </w:tc>
        <w:tc>
          <w:tcPr>
            <w:tcW w:w="850" w:type="dxa"/>
            <w:tcBorders>
              <w:top w:val="nil"/>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989.2</w:t>
            </w:r>
          </w:p>
        </w:tc>
        <w:tc>
          <w:tcPr>
            <w:tcW w:w="989" w:type="dxa"/>
            <w:tcBorders>
              <w:top w:val="nil"/>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1021.6</w:t>
            </w:r>
          </w:p>
        </w:tc>
        <w:tc>
          <w:tcPr>
            <w:tcW w:w="707" w:type="dxa"/>
            <w:tcBorders>
              <w:top w:val="nil"/>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1030</w:t>
            </w:r>
          </w:p>
        </w:tc>
        <w:tc>
          <w:tcPr>
            <w:tcW w:w="992" w:type="dxa"/>
            <w:tcBorders>
              <w:top w:val="nil"/>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1252.4</w:t>
            </w:r>
          </w:p>
        </w:tc>
        <w:tc>
          <w:tcPr>
            <w:tcW w:w="994" w:type="dxa"/>
            <w:tcBorders>
              <w:top w:val="nil"/>
              <w:left w:val="nil"/>
              <w:bottom w:val="single" w:color="auto" w:sz="4" w:space="0"/>
              <w:right w:val="single" w:color="auto" w:sz="4" w:space="0"/>
            </w:tcBorders>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1374.3</w:t>
            </w:r>
          </w:p>
        </w:tc>
        <w:tc>
          <w:tcPr>
            <w:tcW w:w="992"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1578.2</w:t>
            </w:r>
          </w:p>
        </w:tc>
        <w:tc>
          <w:tcPr>
            <w:tcW w:w="992"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1697.1</w:t>
            </w:r>
          </w:p>
        </w:tc>
        <w:tc>
          <w:tcPr>
            <w:tcW w:w="902"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1816</w:t>
            </w:r>
          </w:p>
        </w:tc>
      </w:tr>
      <w:tr>
        <w:tblPrEx>
          <w:tblCellMar>
            <w:top w:w="0" w:type="dxa"/>
            <w:left w:w="108" w:type="dxa"/>
            <w:bottom w:w="0" w:type="dxa"/>
            <w:right w:w="108" w:type="dxa"/>
          </w:tblCellMar>
        </w:tblPrEx>
        <w:trPr>
          <w:trHeight w:val="454" w:hRule="atLeast"/>
          <w:jc w:val="center"/>
        </w:trPr>
        <w:tc>
          <w:tcPr>
            <w:tcW w:w="1104" w:type="dxa"/>
            <w:tcBorders>
              <w:top w:val="nil"/>
              <w:left w:val="single" w:color="auto" w:sz="4" w:space="0"/>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电动汽车</w:t>
            </w:r>
            <w:r>
              <w:rPr>
                <w:color w:val="000000" w:themeColor="text1"/>
                <w:sz w:val="24"/>
                <w14:textFill>
                  <w14:solidFill>
                    <w14:schemeClr w14:val="tx1"/>
                  </w14:solidFill>
                </w14:textFill>
              </w:rPr>
              <w:t>保有量</w:t>
            </w:r>
            <w:r>
              <w:rPr>
                <w:rFonts w:hint="eastAsia"/>
                <w:color w:val="000000" w:themeColor="text1"/>
                <w:sz w:val="24"/>
                <w14:textFill>
                  <w14:solidFill>
                    <w14:schemeClr w14:val="tx1"/>
                  </w14:solidFill>
                </w14:textFill>
              </w:rPr>
              <w:t>/辆</w:t>
            </w:r>
          </w:p>
        </w:tc>
        <w:tc>
          <w:tcPr>
            <w:tcW w:w="850"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856</w:t>
            </w:r>
          </w:p>
        </w:tc>
        <w:tc>
          <w:tcPr>
            <w:tcW w:w="989"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1494</w:t>
            </w:r>
          </w:p>
        </w:tc>
        <w:tc>
          <w:tcPr>
            <w:tcW w:w="707"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1656</w:t>
            </w:r>
          </w:p>
        </w:tc>
        <w:tc>
          <w:tcPr>
            <w:tcW w:w="992"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5528</w:t>
            </w:r>
          </w:p>
        </w:tc>
        <w:tc>
          <w:tcPr>
            <w:tcW w:w="994"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7367</w:t>
            </w:r>
          </w:p>
        </w:tc>
        <w:tc>
          <w:tcPr>
            <w:tcW w:w="992"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10107</w:t>
            </w:r>
          </w:p>
        </w:tc>
        <w:tc>
          <w:tcPr>
            <w:tcW w:w="992"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11546</w:t>
            </w:r>
          </w:p>
        </w:tc>
        <w:tc>
          <w:tcPr>
            <w:tcW w:w="902" w:type="dxa"/>
            <w:tcBorders>
              <w:top w:val="nil"/>
              <w:left w:val="nil"/>
              <w:bottom w:val="single" w:color="auto" w:sz="4" w:space="0"/>
              <w:right w:val="single" w:color="auto" w:sz="4" w:space="0"/>
            </w:tcBorders>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12887</w:t>
            </w:r>
          </w:p>
        </w:tc>
      </w:tr>
    </w:tbl>
    <w:p>
      <w:pPr>
        <w:spacing w:line="360" w:lineRule="auto"/>
        <w:ind w:firstLine="520" w:firstLineChars="200"/>
        <w:jc w:val="center"/>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drawing>
          <wp:inline distT="0" distB="0" distL="0" distR="0">
            <wp:extent cx="4421505" cy="1999615"/>
            <wp:effectExtent l="0" t="0" r="0" b="635"/>
            <wp:docPr id="1" name="图片 1" descr="934d13ad136d47ec919149ba38fe4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34d13ad136d47ec919149ba38fe42e8"/>
                    <pic:cNvPicPr>
                      <a:picLocks noChangeAspect="1" noChangeArrowheads="1"/>
                    </pic:cNvPicPr>
                  </pic:nvPicPr>
                  <pic:blipFill>
                    <a:blip r:embed="rId19">
                      <a:extLst>
                        <a:ext uri="{28A0092B-C50C-407E-A947-70E740481C1C}">
                          <a14:useLocalDpi xmlns:a14="http://schemas.microsoft.com/office/drawing/2010/main" val="0"/>
                        </a:ext>
                      </a:extLst>
                    </a:blip>
                    <a:srcRect t="11482"/>
                    <a:stretch>
                      <a:fillRect/>
                    </a:stretch>
                  </pic:blipFill>
                  <pic:spPr>
                    <a:xfrm>
                      <a:off x="0" y="0"/>
                      <a:ext cx="4421505" cy="1999615"/>
                    </a:xfrm>
                    <a:prstGeom prst="rect">
                      <a:avLst/>
                    </a:prstGeom>
                    <a:noFill/>
                    <a:ln>
                      <a:noFill/>
                    </a:ln>
                  </pic:spPr>
                </pic:pic>
              </a:graphicData>
            </a:graphic>
          </wp:inline>
        </w:drawing>
      </w:r>
    </w:p>
    <w:p>
      <w:pPr>
        <w:pStyle w:val="69"/>
        <w:spacing w:line="360" w:lineRule="auto"/>
        <w:ind w:firstLine="4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图4-5对数拟合</w:t>
      </w:r>
      <w:r>
        <w:rPr>
          <w:rFonts w:hint="eastAsia"/>
          <w:color w:val="000000" w:themeColor="text1"/>
          <w:sz w:val="24"/>
          <w14:textFill>
            <w14:solidFill>
              <w14:schemeClr w14:val="tx1"/>
            </w14:solidFill>
          </w14:textFill>
        </w:rPr>
        <w:t>电动汽车</w:t>
      </w:r>
      <w:r>
        <w:rPr>
          <w:color w:val="000000" w:themeColor="text1"/>
          <w:sz w:val="24"/>
          <w14:textFill>
            <w14:solidFill>
              <w14:schemeClr w14:val="tx1"/>
            </w14:solidFill>
          </w14:textFill>
        </w:rPr>
        <w:t>保有量预测趋势图</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综合上述模型预测结果，202</w:t>
      </w:r>
      <w:r>
        <w:rPr>
          <w:rFonts w:ascii="Times New Roman" w:hAnsi="Times New Roman" w:eastAsia="仿宋_GB2312" w:cs="Times New Roman"/>
          <w:color w:val="000000" w:themeColor="text1"/>
          <w:sz w:val="32"/>
          <w:szCs w:val="28"/>
          <w14:textFill>
            <w14:solidFill>
              <w14:schemeClr w14:val="tx1"/>
            </w14:solidFill>
          </w14:textFill>
        </w:rPr>
        <w:t>3</w:t>
      </w:r>
      <w:r>
        <w:rPr>
          <w:rFonts w:hint="eastAsia" w:ascii="Times New Roman" w:hAnsi="Times New Roman" w:eastAsia="仿宋_GB2312" w:cs="Times New Roman"/>
          <w:color w:val="000000" w:themeColor="text1"/>
          <w:sz w:val="32"/>
          <w:szCs w:val="28"/>
          <w14:textFill>
            <w14:solidFill>
              <w14:schemeClr w14:val="tx1"/>
            </w14:solidFill>
          </w14:textFill>
        </w:rPr>
        <w:t>年镇海区新能源</w:t>
      </w:r>
      <w:r>
        <w:rPr>
          <w:rFonts w:ascii="Times New Roman" w:hAnsi="Times New Roman" w:eastAsia="仿宋_GB2312" w:cs="Times New Roman"/>
          <w:color w:val="000000" w:themeColor="text1"/>
          <w:sz w:val="32"/>
          <w:szCs w:val="28"/>
          <w14:textFill>
            <w14:solidFill>
              <w14:schemeClr w14:val="tx1"/>
            </w14:solidFill>
          </w14:textFill>
        </w:rPr>
        <w:t>私家车</w:t>
      </w:r>
      <w:r>
        <w:rPr>
          <w:rFonts w:hint="eastAsia" w:ascii="Times New Roman" w:hAnsi="Times New Roman" w:eastAsia="仿宋_GB2312" w:cs="Times New Roman"/>
          <w:color w:val="000000" w:themeColor="text1"/>
          <w:sz w:val="32"/>
          <w:szCs w:val="28"/>
          <w14:textFill>
            <w14:solidFill>
              <w14:schemeClr w14:val="tx1"/>
            </w14:solidFill>
          </w14:textFill>
        </w:rPr>
        <w:t>保有量在1</w:t>
      </w:r>
      <w:r>
        <w:rPr>
          <w:rFonts w:ascii="Times New Roman" w:hAnsi="Times New Roman" w:eastAsia="仿宋_GB2312" w:cs="Times New Roman"/>
          <w:color w:val="000000" w:themeColor="text1"/>
          <w:sz w:val="32"/>
          <w:szCs w:val="28"/>
          <w14:textFill>
            <w14:solidFill>
              <w14:schemeClr w14:val="tx1"/>
            </w14:solidFill>
          </w14:textFill>
        </w:rPr>
        <w:t>.0-1.7</w:t>
      </w:r>
      <w:r>
        <w:rPr>
          <w:rFonts w:hint="eastAsia" w:ascii="Times New Roman" w:hAnsi="Times New Roman" w:eastAsia="仿宋_GB2312" w:cs="Times New Roman"/>
          <w:color w:val="000000" w:themeColor="text1"/>
          <w:sz w:val="32"/>
          <w:szCs w:val="28"/>
          <w14:textFill>
            <w14:solidFill>
              <w14:schemeClr w14:val="tx1"/>
            </w14:solidFill>
          </w14:textFill>
        </w:rPr>
        <w:t>万辆之间，</w:t>
      </w:r>
      <w:r>
        <w:rPr>
          <w:rFonts w:ascii="Times New Roman" w:hAnsi="Times New Roman" w:eastAsia="仿宋_GB2312" w:cs="Times New Roman"/>
          <w:color w:val="000000" w:themeColor="text1"/>
          <w:sz w:val="32"/>
          <w:szCs w:val="28"/>
          <w14:textFill>
            <w14:solidFill>
              <w14:schemeClr w14:val="tx1"/>
            </w14:solidFill>
          </w14:textFill>
        </w:rPr>
        <w:t>2024年镇海区新能源私家车保有量在</w:t>
      </w:r>
      <w:r>
        <w:rPr>
          <w:rFonts w:hint="eastAsia" w:ascii="Times New Roman" w:hAnsi="Times New Roman" w:eastAsia="仿宋_GB2312" w:cs="Times New Roman"/>
          <w:color w:val="000000" w:themeColor="text1"/>
          <w:sz w:val="32"/>
          <w:szCs w:val="28"/>
          <w14:textFill>
            <w14:solidFill>
              <w14:schemeClr w14:val="tx1"/>
            </w14:solidFill>
          </w14:textFill>
        </w:rPr>
        <w:t>1</w:t>
      </w:r>
      <w:r>
        <w:rPr>
          <w:rFonts w:ascii="Times New Roman" w:hAnsi="Times New Roman" w:eastAsia="仿宋_GB2312" w:cs="Times New Roman"/>
          <w:color w:val="000000" w:themeColor="text1"/>
          <w:sz w:val="32"/>
          <w:szCs w:val="28"/>
          <w14:textFill>
            <w14:solidFill>
              <w14:schemeClr w14:val="tx1"/>
            </w14:solidFill>
          </w14:textFill>
        </w:rPr>
        <w:t>.2-2.3万辆之间，2025年镇海区新能源私家车保有量在</w:t>
      </w:r>
      <w:r>
        <w:rPr>
          <w:rFonts w:hint="eastAsia" w:ascii="Times New Roman" w:hAnsi="Times New Roman" w:eastAsia="仿宋_GB2312" w:cs="Times New Roman"/>
          <w:color w:val="000000" w:themeColor="text1"/>
          <w:sz w:val="32"/>
          <w:szCs w:val="28"/>
          <w14:textFill>
            <w14:solidFill>
              <w14:schemeClr w14:val="tx1"/>
            </w14:solidFill>
          </w14:textFill>
        </w:rPr>
        <w:t>1</w:t>
      </w:r>
      <w:r>
        <w:rPr>
          <w:rFonts w:ascii="Times New Roman" w:hAnsi="Times New Roman" w:eastAsia="仿宋_GB2312" w:cs="Times New Roman"/>
          <w:color w:val="000000" w:themeColor="text1"/>
          <w:sz w:val="32"/>
          <w:szCs w:val="28"/>
          <w14:textFill>
            <w14:solidFill>
              <w14:schemeClr w14:val="tx1"/>
            </w14:solidFill>
          </w14:textFill>
        </w:rPr>
        <w:t>.3-3.1万辆之间</w:t>
      </w:r>
      <w:r>
        <w:rPr>
          <w:rFonts w:hint="eastAsia" w:ascii="Times New Roman" w:hAnsi="Times New Roman" w:eastAsia="仿宋_GB2312" w:cs="Times New Roman"/>
          <w:color w:val="000000" w:themeColor="text1"/>
          <w:sz w:val="32"/>
          <w:szCs w:val="28"/>
          <w14:textFill>
            <w14:solidFill>
              <w14:schemeClr w14:val="tx1"/>
            </w14:solidFill>
          </w14:textFill>
        </w:rPr>
        <w:t>。考虑到近几年经济发展较为稳定，因此汽车市场极端发展的可能性较小，推荐取近中值，20</w:t>
      </w:r>
      <w:r>
        <w:rPr>
          <w:rFonts w:ascii="Times New Roman" w:hAnsi="Times New Roman" w:eastAsia="仿宋_GB2312" w:cs="Times New Roman"/>
          <w:color w:val="000000" w:themeColor="text1"/>
          <w:sz w:val="32"/>
          <w:szCs w:val="28"/>
          <w14:textFill>
            <w14:solidFill>
              <w14:schemeClr w14:val="tx1"/>
            </w14:solidFill>
          </w14:textFill>
        </w:rPr>
        <w:t>23</w:t>
      </w:r>
      <w:r>
        <w:rPr>
          <w:rFonts w:hint="eastAsia" w:ascii="Times New Roman" w:hAnsi="Times New Roman" w:eastAsia="仿宋_GB2312" w:cs="Times New Roman"/>
          <w:color w:val="000000" w:themeColor="text1"/>
          <w:sz w:val="32"/>
          <w:szCs w:val="28"/>
          <w14:textFill>
            <w14:solidFill>
              <w14:schemeClr w14:val="tx1"/>
            </w14:solidFill>
          </w14:textFill>
        </w:rPr>
        <w:t>年镇海区新能源私家车保有量为</w:t>
      </w:r>
      <w:r>
        <w:rPr>
          <w:rFonts w:ascii="Times New Roman" w:hAnsi="Times New Roman" w:eastAsia="仿宋_GB2312" w:cs="Times New Roman"/>
          <w:color w:val="000000" w:themeColor="text1"/>
          <w:sz w:val="32"/>
          <w:szCs w:val="28"/>
          <w14:textFill>
            <w14:solidFill>
              <w14:schemeClr w14:val="tx1"/>
            </w14:solidFill>
          </w14:textFill>
        </w:rPr>
        <w:t>1.</w:t>
      </w:r>
      <w:r>
        <w:rPr>
          <w:rFonts w:hint="eastAsia" w:ascii="Times New Roman" w:hAnsi="Times New Roman" w:eastAsia="仿宋_GB2312" w:cs="Times New Roman"/>
          <w:color w:val="000000" w:themeColor="text1"/>
          <w:sz w:val="32"/>
          <w:szCs w:val="28"/>
          <w14:textFill>
            <w14:solidFill>
              <w14:schemeClr w14:val="tx1"/>
            </w14:solidFill>
          </w14:textFill>
        </w:rPr>
        <w:t>2万辆，</w:t>
      </w:r>
      <w:r>
        <w:rPr>
          <w:rFonts w:ascii="Times New Roman" w:hAnsi="Times New Roman" w:eastAsia="仿宋_GB2312" w:cs="Times New Roman"/>
          <w:color w:val="000000" w:themeColor="text1"/>
          <w:sz w:val="32"/>
          <w:szCs w:val="28"/>
          <w14:textFill>
            <w14:solidFill>
              <w14:schemeClr w14:val="tx1"/>
            </w14:solidFill>
          </w14:textFill>
        </w:rPr>
        <w:t>2024年将达到</w:t>
      </w:r>
      <w:r>
        <w:rPr>
          <w:rFonts w:hint="eastAsia" w:ascii="Times New Roman" w:hAnsi="Times New Roman" w:eastAsia="仿宋_GB2312" w:cs="Times New Roman"/>
          <w:color w:val="000000" w:themeColor="text1"/>
          <w:sz w:val="32"/>
          <w:szCs w:val="28"/>
          <w14:textFill>
            <w14:solidFill>
              <w14:schemeClr w14:val="tx1"/>
            </w14:solidFill>
          </w14:textFill>
        </w:rPr>
        <w:t>1.6</w:t>
      </w:r>
      <w:r>
        <w:rPr>
          <w:rFonts w:ascii="Times New Roman" w:hAnsi="Times New Roman" w:eastAsia="仿宋_GB2312" w:cs="Times New Roman"/>
          <w:color w:val="000000" w:themeColor="text1"/>
          <w:sz w:val="32"/>
          <w:szCs w:val="28"/>
          <w14:textFill>
            <w14:solidFill>
              <w14:schemeClr w14:val="tx1"/>
            </w14:solidFill>
          </w14:textFill>
        </w:rPr>
        <w:t>万辆</w:t>
      </w:r>
      <w:r>
        <w:rPr>
          <w:rFonts w:hint="eastAsia" w:ascii="Times New Roman" w:hAnsi="Times New Roman" w:eastAsia="仿宋_GB2312" w:cs="Times New Roman"/>
          <w:color w:val="000000" w:themeColor="text1"/>
          <w:sz w:val="32"/>
          <w:szCs w:val="28"/>
          <w14:textFill>
            <w14:solidFill>
              <w14:schemeClr w14:val="tx1"/>
            </w14:solidFill>
          </w14:textFill>
        </w:rPr>
        <w:t>，20</w:t>
      </w:r>
      <w:r>
        <w:rPr>
          <w:rFonts w:ascii="Times New Roman" w:hAnsi="Times New Roman" w:eastAsia="仿宋_GB2312" w:cs="Times New Roman"/>
          <w:color w:val="000000" w:themeColor="text1"/>
          <w:sz w:val="32"/>
          <w:szCs w:val="28"/>
          <w14:textFill>
            <w14:solidFill>
              <w14:schemeClr w14:val="tx1"/>
            </w14:solidFill>
          </w14:textFill>
        </w:rPr>
        <w:t>25</w:t>
      </w:r>
      <w:r>
        <w:rPr>
          <w:rFonts w:hint="eastAsia" w:ascii="Times New Roman" w:hAnsi="Times New Roman" w:eastAsia="仿宋_GB2312" w:cs="Times New Roman"/>
          <w:color w:val="000000" w:themeColor="text1"/>
          <w:sz w:val="32"/>
          <w:szCs w:val="28"/>
          <w14:textFill>
            <w14:solidFill>
              <w14:schemeClr w14:val="tx1"/>
            </w14:solidFill>
          </w14:textFill>
        </w:rPr>
        <w:t>年将达到2</w:t>
      </w:r>
      <w:r>
        <w:rPr>
          <w:rFonts w:ascii="Times New Roman" w:hAnsi="Times New Roman" w:eastAsia="仿宋_GB2312" w:cs="Times New Roman"/>
          <w:color w:val="000000" w:themeColor="text1"/>
          <w:sz w:val="32"/>
          <w:szCs w:val="28"/>
          <w14:textFill>
            <w14:solidFill>
              <w14:schemeClr w14:val="tx1"/>
            </w14:solidFill>
          </w14:textFill>
        </w:rPr>
        <w:t>.</w:t>
      </w:r>
      <w:r>
        <w:rPr>
          <w:rFonts w:hint="eastAsia" w:ascii="Times New Roman" w:hAnsi="Times New Roman" w:eastAsia="仿宋_GB2312" w:cs="Times New Roman"/>
          <w:color w:val="000000" w:themeColor="text1"/>
          <w:sz w:val="32"/>
          <w:szCs w:val="28"/>
          <w14:textFill>
            <w14:solidFill>
              <w14:schemeClr w14:val="tx1"/>
            </w14:solidFill>
          </w14:textFill>
        </w:rPr>
        <w:t>0万辆。</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镇海区汽车保有量预测值取值表</w:t>
      </w:r>
    </w:p>
    <w:tbl>
      <w:tblPr>
        <w:tblStyle w:val="34"/>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61"/>
        <w:gridCol w:w="1948"/>
        <w:gridCol w:w="1924"/>
        <w:gridCol w:w="19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61"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汽车保有量取值(万辆)</w:t>
            </w:r>
          </w:p>
        </w:tc>
        <w:tc>
          <w:tcPr>
            <w:tcW w:w="1948"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20</w:t>
            </w:r>
            <w:r>
              <w:rPr>
                <w:b/>
                <w:color w:val="000000" w:themeColor="text1"/>
                <w:sz w:val="24"/>
                <w14:textFill>
                  <w14:solidFill>
                    <w14:schemeClr w14:val="tx1"/>
                  </w14:solidFill>
                </w14:textFill>
              </w:rPr>
              <w:t>23</w:t>
            </w:r>
            <w:r>
              <w:rPr>
                <w:rFonts w:hint="eastAsia"/>
                <w:b/>
                <w:color w:val="000000" w:themeColor="text1"/>
                <w:sz w:val="24"/>
                <w14:textFill>
                  <w14:solidFill>
                    <w14:schemeClr w14:val="tx1"/>
                  </w14:solidFill>
                </w14:textFill>
              </w:rPr>
              <w:t>年</w:t>
            </w:r>
          </w:p>
        </w:tc>
        <w:tc>
          <w:tcPr>
            <w:tcW w:w="1924" w:type="dxa"/>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2024年</w:t>
            </w:r>
          </w:p>
        </w:tc>
        <w:tc>
          <w:tcPr>
            <w:tcW w:w="1989"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202</w:t>
            </w:r>
            <w:r>
              <w:rPr>
                <w:b/>
                <w:color w:val="000000" w:themeColor="text1"/>
                <w:sz w:val="24"/>
                <w14:textFill>
                  <w14:solidFill>
                    <w14:schemeClr w14:val="tx1"/>
                  </w14:solidFill>
                </w14:textFill>
              </w:rPr>
              <w:t>5</w:t>
            </w:r>
            <w:r>
              <w:rPr>
                <w:rFonts w:hint="eastAsia"/>
                <w:b/>
                <w:color w:val="000000" w:themeColor="text1"/>
                <w:sz w:val="24"/>
                <w14:textFill>
                  <w14:solidFill>
                    <w14:schemeClr w14:val="tx1"/>
                  </w14:solidFill>
                </w14:textFill>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61"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低值</w:t>
            </w:r>
          </w:p>
        </w:tc>
        <w:tc>
          <w:tcPr>
            <w:tcW w:w="1948"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w:t>
            </w:r>
          </w:p>
        </w:tc>
        <w:tc>
          <w:tcPr>
            <w:tcW w:w="1924"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w:t>
            </w:r>
          </w:p>
        </w:tc>
        <w:tc>
          <w:tcPr>
            <w:tcW w:w="1989"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61"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高值</w:t>
            </w:r>
          </w:p>
        </w:tc>
        <w:tc>
          <w:tcPr>
            <w:tcW w:w="1948"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1.7</w:t>
            </w:r>
          </w:p>
        </w:tc>
        <w:tc>
          <w:tcPr>
            <w:tcW w:w="1924"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2.3</w:t>
            </w:r>
          </w:p>
        </w:tc>
        <w:tc>
          <w:tcPr>
            <w:tcW w:w="1989"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61"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推荐值</w:t>
            </w:r>
          </w:p>
        </w:tc>
        <w:tc>
          <w:tcPr>
            <w:tcW w:w="1948"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w:t>
            </w:r>
          </w:p>
        </w:tc>
        <w:tc>
          <w:tcPr>
            <w:tcW w:w="1924" w:type="dxa"/>
            <w:shd w:val="clear" w:color="auto" w:fill="auto"/>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w:t>
            </w:r>
          </w:p>
        </w:tc>
        <w:tc>
          <w:tcPr>
            <w:tcW w:w="1989"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w:t>
            </w:r>
          </w:p>
        </w:tc>
      </w:tr>
    </w:tbl>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.2营运</w:t>
      </w:r>
      <w:r>
        <w:rPr>
          <w:color w:val="000000" w:themeColor="text1"/>
          <w14:textFill>
            <w14:solidFill>
              <w14:schemeClr w14:val="tx1"/>
            </w14:solidFill>
          </w14:textFill>
        </w:rPr>
        <w:t>车</w:t>
      </w:r>
      <w:r>
        <w:rPr>
          <w:rFonts w:hint="eastAsia"/>
          <w:color w:val="000000" w:themeColor="text1"/>
          <w14:textFill>
            <w14:solidFill>
              <w14:schemeClr w14:val="tx1"/>
            </w14:solidFill>
          </w14:textFill>
        </w:rPr>
        <w:t>规模</w:t>
      </w:r>
      <w:r>
        <w:rPr>
          <w:color w:val="000000" w:themeColor="text1"/>
          <w14:textFill>
            <w14:solidFill>
              <w14:schemeClr w14:val="tx1"/>
            </w14:solidFill>
          </w14:textFill>
        </w:rPr>
        <w:t>预测</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营运</w:t>
      </w:r>
      <w:r>
        <w:rPr>
          <w:rFonts w:ascii="Times New Roman" w:hAnsi="Times New Roman" w:eastAsia="仿宋_GB2312" w:cs="Times New Roman"/>
          <w:color w:val="000000" w:themeColor="text1"/>
          <w:sz w:val="32"/>
          <w:szCs w:val="28"/>
          <w14:textFill>
            <w14:solidFill>
              <w14:schemeClr w14:val="tx1"/>
            </w14:solidFill>
          </w14:textFill>
        </w:rPr>
        <w:t>车辆主要分为两类，出租车与网约车，随着经济的发展，近年来网约车市场不断扩大，越来越多的人出行以网约车为主</w:t>
      </w:r>
      <w:r>
        <w:rPr>
          <w:rFonts w:hint="eastAsia" w:ascii="Times New Roman" w:hAnsi="Times New Roman" w:eastAsia="仿宋_GB2312" w:cs="Times New Roman"/>
          <w:color w:val="000000" w:themeColor="text1"/>
          <w:sz w:val="32"/>
          <w:szCs w:val="28"/>
          <w14:textFill>
            <w14:solidFill>
              <w14:schemeClr w14:val="tx1"/>
            </w14:solidFill>
          </w14:textFill>
        </w:rPr>
        <w:t>，</w:t>
      </w:r>
      <w:r>
        <w:rPr>
          <w:rFonts w:ascii="Times New Roman" w:hAnsi="Times New Roman" w:eastAsia="仿宋_GB2312" w:cs="Times New Roman"/>
          <w:color w:val="000000" w:themeColor="text1"/>
          <w:sz w:val="32"/>
          <w:szCs w:val="28"/>
          <w14:textFill>
            <w14:solidFill>
              <w14:schemeClr w14:val="tx1"/>
            </w14:solidFill>
          </w14:textFill>
        </w:rPr>
        <w:t>出租车比例</w:t>
      </w:r>
      <w:r>
        <w:rPr>
          <w:rFonts w:hint="eastAsia" w:ascii="Times New Roman" w:hAnsi="Times New Roman" w:eastAsia="仿宋_GB2312" w:cs="Times New Roman"/>
          <w:color w:val="000000" w:themeColor="text1"/>
          <w:sz w:val="32"/>
          <w:szCs w:val="28"/>
          <w14:textFill>
            <w14:solidFill>
              <w14:schemeClr w14:val="tx1"/>
            </w14:solidFill>
          </w14:textFill>
        </w:rPr>
        <w:t>正在</w:t>
      </w:r>
      <w:r>
        <w:rPr>
          <w:rFonts w:ascii="Times New Roman" w:hAnsi="Times New Roman" w:eastAsia="仿宋_GB2312" w:cs="Times New Roman"/>
          <w:color w:val="000000" w:themeColor="text1"/>
          <w:sz w:val="32"/>
          <w:szCs w:val="28"/>
          <w14:textFill>
            <w14:solidFill>
              <w14:schemeClr w14:val="tx1"/>
            </w14:solidFill>
          </w14:textFill>
        </w:rPr>
        <w:t>逐步减少</w:t>
      </w:r>
      <w:r>
        <w:rPr>
          <w:rFonts w:hint="eastAsia" w:ascii="Times New Roman" w:hAnsi="Times New Roman" w:eastAsia="仿宋_GB2312" w:cs="Times New Roman"/>
          <w:color w:val="000000" w:themeColor="text1"/>
          <w:sz w:val="32"/>
          <w:szCs w:val="28"/>
          <w14:textFill>
            <w14:solidFill>
              <w14:schemeClr w14:val="tx1"/>
            </w14:solidFill>
          </w14:textFill>
        </w:rPr>
        <w:t>。由于</w:t>
      </w:r>
      <w:r>
        <w:rPr>
          <w:rFonts w:ascii="Times New Roman" w:hAnsi="Times New Roman" w:eastAsia="仿宋_GB2312" w:cs="Times New Roman"/>
          <w:color w:val="000000" w:themeColor="text1"/>
          <w:sz w:val="32"/>
          <w:szCs w:val="28"/>
          <w14:textFill>
            <w14:solidFill>
              <w14:schemeClr w14:val="tx1"/>
            </w14:solidFill>
          </w14:textFill>
        </w:rPr>
        <w:t>营运车辆具有很强的流动性，需要基于全市范围</w:t>
      </w:r>
      <w:r>
        <w:rPr>
          <w:rFonts w:hint="eastAsia" w:ascii="Times New Roman" w:hAnsi="Times New Roman" w:eastAsia="仿宋_GB2312" w:cs="Times New Roman"/>
          <w:color w:val="000000" w:themeColor="text1"/>
          <w:sz w:val="32"/>
          <w:szCs w:val="28"/>
          <w14:textFill>
            <w14:solidFill>
              <w14:schemeClr w14:val="tx1"/>
            </w14:solidFill>
          </w14:textFill>
        </w:rPr>
        <w:t>统筹</w:t>
      </w:r>
      <w:r>
        <w:rPr>
          <w:rFonts w:ascii="Times New Roman" w:hAnsi="Times New Roman" w:eastAsia="仿宋_GB2312" w:cs="Times New Roman"/>
          <w:color w:val="000000" w:themeColor="text1"/>
          <w:sz w:val="32"/>
          <w:szCs w:val="28"/>
          <w14:textFill>
            <w14:solidFill>
              <w14:schemeClr w14:val="tx1"/>
            </w14:solidFill>
          </w14:textFill>
        </w:rPr>
        <w:t>考虑，参考在镇海属地</w:t>
      </w:r>
      <w:r>
        <w:rPr>
          <w:rFonts w:hint="eastAsia" w:ascii="Times New Roman" w:hAnsi="Times New Roman" w:eastAsia="仿宋_GB2312" w:cs="Times New Roman"/>
          <w:color w:val="000000" w:themeColor="text1"/>
          <w:sz w:val="32"/>
          <w:szCs w:val="28"/>
          <w14:textFill>
            <w14:solidFill>
              <w14:schemeClr w14:val="tx1"/>
            </w14:solidFill>
          </w14:textFill>
        </w:rPr>
        <w:t>登记</w:t>
      </w:r>
      <w:r>
        <w:rPr>
          <w:rFonts w:ascii="Times New Roman" w:hAnsi="Times New Roman" w:eastAsia="仿宋_GB2312" w:cs="Times New Roman"/>
          <w:color w:val="000000" w:themeColor="text1"/>
          <w:sz w:val="32"/>
          <w:szCs w:val="28"/>
          <w14:textFill>
            <w14:solidFill>
              <w14:schemeClr w14:val="tx1"/>
            </w14:solidFill>
          </w14:textFill>
        </w:rPr>
        <w:t>的出租车数量</w:t>
      </w:r>
      <w:r>
        <w:rPr>
          <w:rFonts w:hint="eastAsia" w:ascii="Times New Roman" w:hAnsi="Times New Roman" w:eastAsia="仿宋_GB2312" w:cs="Times New Roman"/>
          <w:color w:val="000000" w:themeColor="text1"/>
          <w:sz w:val="32"/>
          <w:szCs w:val="28"/>
          <w14:textFill>
            <w14:solidFill>
              <w14:schemeClr w14:val="tx1"/>
            </w14:solidFill>
          </w14:textFill>
        </w:rPr>
        <w:t>占</w:t>
      </w:r>
      <w:r>
        <w:rPr>
          <w:rFonts w:ascii="Times New Roman" w:hAnsi="Times New Roman" w:eastAsia="仿宋_GB2312" w:cs="Times New Roman"/>
          <w:color w:val="000000" w:themeColor="text1"/>
          <w:sz w:val="32"/>
          <w:szCs w:val="28"/>
          <w14:textFill>
            <w14:solidFill>
              <w14:schemeClr w14:val="tx1"/>
            </w14:solidFill>
          </w14:textFill>
        </w:rPr>
        <w:t>全市出租车数量比例</w:t>
      </w:r>
      <w:r>
        <w:rPr>
          <w:rFonts w:hint="eastAsia" w:ascii="Times New Roman" w:hAnsi="Times New Roman" w:eastAsia="仿宋_GB2312" w:cs="Times New Roman"/>
          <w:color w:val="000000" w:themeColor="text1"/>
          <w:sz w:val="32"/>
          <w:szCs w:val="28"/>
          <w14:textFill>
            <w14:solidFill>
              <w14:schemeClr w14:val="tx1"/>
            </w14:solidFill>
          </w14:textFill>
        </w:rPr>
        <w:t>以及</w:t>
      </w:r>
      <w:r>
        <w:rPr>
          <w:rFonts w:ascii="Times New Roman" w:hAnsi="Times New Roman" w:eastAsia="仿宋_GB2312" w:cs="Times New Roman"/>
          <w:color w:val="000000" w:themeColor="text1"/>
          <w:sz w:val="32"/>
          <w:szCs w:val="28"/>
          <w14:textFill>
            <w14:solidFill>
              <w14:schemeClr w14:val="tx1"/>
            </w14:solidFill>
          </w14:textFill>
        </w:rPr>
        <w:t>全市网约车</w:t>
      </w:r>
      <w:r>
        <w:rPr>
          <w:rFonts w:hint="eastAsia" w:ascii="Times New Roman" w:hAnsi="Times New Roman" w:eastAsia="仿宋_GB2312" w:cs="Times New Roman"/>
          <w:color w:val="000000" w:themeColor="text1"/>
          <w:sz w:val="32"/>
          <w:szCs w:val="28"/>
          <w14:textFill>
            <w14:solidFill>
              <w14:schemeClr w14:val="tx1"/>
            </w14:solidFill>
          </w14:textFill>
        </w:rPr>
        <w:t>总量，来推算镇海区</w:t>
      </w:r>
      <w:r>
        <w:rPr>
          <w:rFonts w:ascii="Times New Roman" w:hAnsi="Times New Roman" w:eastAsia="仿宋_GB2312" w:cs="Times New Roman"/>
          <w:color w:val="000000" w:themeColor="text1"/>
          <w:sz w:val="32"/>
          <w:szCs w:val="28"/>
          <w14:textFill>
            <w14:solidFill>
              <w14:schemeClr w14:val="tx1"/>
            </w14:solidFill>
          </w14:textFill>
        </w:rPr>
        <w:t>运行</w:t>
      </w:r>
      <w:r>
        <w:rPr>
          <w:rFonts w:hint="eastAsia" w:ascii="Times New Roman" w:hAnsi="Times New Roman" w:eastAsia="仿宋_GB2312" w:cs="Times New Roman"/>
          <w:color w:val="000000" w:themeColor="text1"/>
          <w:sz w:val="32"/>
          <w:szCs w:val="28"/>
          <w14:textFill>
            <w14:solidFill>
              <w14:schemeClr w14:val="tx1"/>
            </w14:solidFill>
          </w14:textFill>
        </w:rPr>
        <w:t>的</w:t>
      </w:r>
      <w:r>
        <w:rPr>
          <w:rFonts w:ascii="Times New Roman" w:hAnsi="Times New Roman" w:eastAsia="仿宋_GB2312" w:cs="Times New Roman"/>
          <w:color w:val="000000" w:themeColor="text1"/>
          <w:sz w:val="32"/>
          <w:szCs w:val="28"/>
          <w14:textFill>
            <w14:solidFill>
              <w14:schemeClr w14:val="tx1"/>
            </w14:solidFill>
          </w14:textFill>
        </w:rPr>
        <w:t>营运车辆</w:t>
      </w:r>
      <w:r>
        <w:rPr>
          <w:rFonts w:hint="eastAsia" w:ascii="Times New Roman" w:hAnsi="Times New Roman" w:eastAsia="仿宋_GB2312" w:cs="Times New Roman"/>
          <w:color w:val="000000" w:themeColor="text1"/>
          <w:sz w:val="32"/>
          <w:szCs w:val="28"/>
          <w14:textFill>
            <w14:solidFill>
              <w14:schemeClr w14:val="tx1"/>
            </w14:solidFill>
          </w14:textFill>
        </w:rPr>
        <w:t>。</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现状宁波市出租车总量维持在</w:t>
      </w:r>
      <w:r>
        <w:rPr>
          <w:rFonts w:ascii="Times New Roman" w:hAnsi="Times New Roman" w:eastAsia="仿宋_GB2312" w:cs="Times New Roman"/>
          <w:color w:val="000000" w:themeColor="text1"/>
          <w:sz w:val="32"/>
          <w:szCs w:val="28"/>
          <w14:textFill>
            <w14:solidFill>
              <w14:schemeClr w14:val="tx1"/>
            </w14:solidFill>
          </w14:textFill>
        </w:rPr>
        <w:t>6192辆，</w:t>
      </w:r>
      <w:r>
        <w:rPr>
          <w:rFonts w:hint="eastAsia" w:ascii="Times New Roman" w:hAnsi="Times New Roman" w:eastAsia="仿宋_GB2312" w:cs="Times New Roman"/>
          <w:color w:val="000000" w:themeColor="text1"/>
          <w:sz w:val="32"/>
          <w:szCs w:val="28"/>
          <w14:textFill>
            <w14:solidFill>
              <w14:schemeClr w14:val="tx1"/>
            </w14:solidFill>
          </w14:textFill>
        </w:rPr>
        <w:t>根据</w:t>
      </w:r>
      <w:r>
        <w:rPr>
          <w:rFonts w:ascii="Times New Roman" w:hAnsi="Times New Roman" w:eastAsia="仿宋_GB2312" w:cs="Times New Roman"/>
          <w:color w:val="000000" w:themeColor="text1"/>
          <w:sz w:val="32"/>
          <w:szCs w:val="28"/>
          <w14:textFill>
            <w14:solidFill>
              <w14:schemeClr w14:val="tx1"/>
            </w14:solidFill>
          </w14:textFill>
        </w:rPr>
        <w:t>《</w:t>
      </w:r>
      <w:r>
        <w:rPr>
          <w:rFonts w:hint="eastAsia" w:ascii="Times New Roman" w:hAnsi="Times New Roman" w:eastAsia="仿宋_GB2312" w:cs="Times New Roman"/>
          <w:color w:val="000000" w:themeColor="text1"/>
          <w:sz w:val="32"/>
          <w:szCs w:val="28"/>
          <w14:textFill>
            <w14:solidFill>
              <w14:schemeClr w14:val="tx1"/>
            </w14:solidFill>
          </w14:textFill>
        </w:rPr>
        <w:t>2022年</w:t>
      </w:r>
      <w:r>
        <w:rPr>
          <w:rFonts w:ascii="Times New Roman" w:hAnsi="Times New Roman" w:eastAsia="仿宋_GB2312" w:cs="Times New Roman"/>
          <w:color w:val="000000" w:themeColor="text1"/>
          <w:sz w:val="32"/>
          <w:szCs w:val="28"/>
          <w14:textFill>
            <w14:solidFill>
              <w14:schemeClr w14:val="tx1"/>
            </w14:solidFill>
          </w14:textFill>
        </w:rPr>
        <w:t>宁波市出租汽车行业发展白皮书》</w:t>
      </w:r>
      <w:r>
        <w:rPr>
          <w:rFonts w:hint="eastAsia" w:ascii="Times New Roman" w:hAnsi="Times New Roman" w:eastAsia="仿宋_GB2312" w:cs="Times New Roman"/>
          <w:color w:val="000000" w:themeColor="text1"/>
          <w:sz w:val="32"/>
          <w:szCs w:val="28"/>
          <w14:textFill>
            <w14:solidFill>
              <w14:schemeClr w14:val="tx1"/>
            </w14:solidFill>
          </w14:textFill>
        </w:rPr>
        <w:t>，</w:t>
      </w:r>
      <w:r>
        <w:rPr>
          <w:rFonts w:hint="eastAsia" w:ascii="Times New Roman" w:hAnsi="Times New Roman" w:eastAsia="仿宋_GB2312" w:cs="Times New Roman"/>
          <w:color w:val="000000" w:themeColor="text1"/>
          <w:sz w:val="32"/>
          <w:szCs w:val="28"/>
          <w:lang w:eastAsia="zh-CN"/>
          <w14:textFill>
            <w14:solidFill>
              <w14:schemeClr w14:val="tx1"/>
            </w14:solidFill>
          </w14:textFill>
        </w:rPr>
        <w:t>截至</w:t>
      </w:r>
      <w:r>
        <w:rPr>
          <w:rFonts w:hint="eastAsia" w:ascii="Times New Roman" w:hAnsi="Times New Roman" w:eastAsia="仿宋_GB2312" w:cs="Times New Roman"/>
          <w:color w:val="000000" w:themeColor="text1"/>
          <w:sz w:val="32"/>
          <w:szCs w:val="28"/>
          <w14:textFill>
            <w14:solidFill>
              <w14:schemeClr w14:val="tx1"/>
            </w14:solidFill>
          </w14:textFill>
        </w:rPr>
        <w:t>2022年</w:t>
      </w:r>
      <w:r>
        <w:rPr>
          <w:rFonts w:ascii="Times New Roman" w:hAnsi="Times New Roman" w:eastAsia="仿宋_GB2312" w:cs="Times New Roman"/>
          <w:color w:val="000000" w:themeColor="text1"/>
          <w:sz w:val="32"/>
          <w:szCs w:val="28"/>
          <w14:textFill>
            <w14:solidFill>
              <w14:schemeClr w14:val="tx1"/>
            </w14:solidFill>
          </w14:textFill>
        </w:rPr>
        <w:t>底，宁波网约车总量达23632</w:t>
      </w:r>
      <w:r>
        <w:rPr>
          <w:rFonts w:hint="eastAsia" w:ascii="Times New Roman" w:hAnsi="Times New Roman" w:eastAsia="仿宋_GB2312" w:cs="Times New Roman"/>
          <w:color w:val="000000" w:themeColor="text1"/>
          <w:sz w:val="32"/>
          <w:szCs w:val="28"/>
          <w14:textFill>
            <w14:solidFill>
              <w14:schemeClr w14:val="tx1"/>
            </w14:solidFill>
          </w14:textFill>
        </w:rPr>
        <w:t>辆</w:t>
      </w:r>
      <w:r>
        <w:rPr>
          <w:rFonts w:ascii="Times New Roman" w:hAnsi="Times New Roman" w:eastAsia="仿宋_GB2312" w:cs="Times New Roman"/>
          <w:color w:val="000000" w:themeColor="text1"/>
          <w:sz w:val="32"/>
          <w:szCs w:val="28"/>
          <w14:textFill>
            <w14:solidFill>
              <w14:schemeClr w14:val="tx1"/>
            </w14:solidFill>
          </w14:textFill>
        </w:rPr>
        <w:t>，</w:t>
      </w:r>
      <w:r>
        <w:rPr>
          <w:rFonts w:hint="eastAsia" w:ascii="Times New Roman" w:hAnsi="Times New Roman" w:eastAsia="仿宋_GB2312" w:cs="Times New Roman"/>
          <w:color w:val="000000" w:themeColor="text1"/>
          <w:sz w:val="32"/>
          <w:szCs w:val="28"/>
          <w14:textFill>
            <w14:solidFill>
              <w14:schemeClr w14:val="tx1"/>
            </w14:solidFill>
          </w14:textFill>
        </w:rPr>
        <w:t>较2021年</w:t>
      </w:r>
      <w:r>
        <w:rPr>
          <w:rFonts w:ascii="Times New Roman" w:hAnsi="Times New Roman" w:eastAsia="仿宋_GB2312" w:cs="Times New Roman"/>
          <w:color w:val="000000" w:themeColor="text1"/>
          <w:sz w:val="32"/>
          <w:szCs w:val="28"/>
          <w14:textFill>
            <w14:solidFill>
              <w14:schemeClr w14:val="tx1"/>
            </w14:solidFill>
          </w14:textFill>
        </w:rPr>
        <w:t>增长10%</w:t>
      </w:r>
      <w:r>
        <w:rPr>
          <w:rFonts w:hint="eastAsia" w:ascii="Times New Roman" w:hAnsi="Times New Roman" w:eastAsia="仿宋_GB2312" w:cs="Times New Roman"/>
          <w:color w:val="000000" w:themeColor="text1"/>
          <w:sz w:val="32"/>
          <w:szCs w:val="28"/>
          <w14:textFill>
            <w14:solidFill>
              <w14:schemeClr w14:val="tx1"/>
            </w14:solidFill>
          </w14:textFill>
        </w:rPr>
        <w:t>以上，</w:t>
      </w:r>
      <w:r>
        <w:rPr>
          <w:rFonts w:ascii="Times New Roman" w:hAnsi="Times New Roman" w:eastAsia="仿宋_GB2312" w:cs="Times New Roman"/>
          <w:color w:val="000000" w:themeColor="text1"/>
          <w:sz w:val="32"/>
          <w:szCs w:val="28"/>
          <w14:textFill>
            <w14:solidFill>
              <w14:schemeClr w14:val="tx1"/>
            </w14:solidFill>
          </w14:textFill>
        </w:rPr>
        <w:t>其中，</w:t>
      </w:r>
      <w:r>
        <w:rPr>
          <w:rFonts w:hint="eastAsia" w:ascii="Times New Roman" w:hAnsi="Times New Roman" w:eastAsia="仿宋_GB2312" w:cs="Times New Roman"/>
          <w:color w:val="000000" w:themeColor="text1"/>
          <w:sz w:val="32"/>
          <w:szCs w:val="28"/>
          <w14:textFill>
            <w14:solidFill>
              <w14:schemeClr w14:val="tx1"/>
            </w14:solidFill>
          </w14:textFill>
        </w:rPr>
        <w:t>电动汽车</w:t>
      </w:r>
      <w:r>
        <w:rPr>
          <w:rFonts w:ascii="Times New Roman" w:hAnsi="Times New Roman" w:eastAsia="仿宋_GB2312" w:cs="Times New Roman"/>
          <w:color w:val="000000" w:themeColor="text1"/>
          <w:sz w:val="32"/>
          <w:szCs w:val="28"/>
          <w14:textFill>
            <w14:solidFill>
              <w14:schemeClr w14:val="tx1"/>
            </w14:solidFill>
          </w14:textFill>
        </w:rPr>
        <w:t>占比超71%。</w:t>
      </w:r>
      <w:r>
        <w:rPr>
          <w:rFonts w:hint="eastAsia" w:ascii="Times New Roman" w:hAnsi="Times New Roman" w:eastAsia="仿宋_GB2312" w:cs="Times New Roman"/>
          <w:color w:val="000000" w:themeColor="text1"/>
          <w:sz w:val="32"/>
          <w:szCs w:val="28"/>
          <w14:textFill>
            <w14:solidFill>
              <w14:schemeClr w14:val="tx1"/>
            </w14:solidFill>
          </w14:textFill>
        </w:rPr>
        <w:t>按照</w:t>
      </w:r>
      <w:r>
        <w:rPr>
          <w:rFonts w:ascii="Times New Roman" w:hAnsi="Times New Roman" w:eastAsia="仿宋_GB2312" w:cs="Times New Roman"/>
          <w:color w:val="000000" w:themeColor="text1"/>
          <w:sz w:val="32"/>
          <w:szCs w:val="28"/>
          <w14:textFill>
            <w14:solidFill>
              <w14:schemeClr w14:val="tx1"/>
            </w14:solidFill>
          </w14:textFill>
        </w:rPr>
        <w:t>年均</w:t>
      </w:r>
      <w:r>
        <w:rPr>
          <w:rFonts w:hint="eastAsia" w:ascii="Times New Roman" w:hAnsi="Times New Roman" w:eastAsia="仿宋_GB2312" w:cs="Times New Roman"/>
          <w:color w:val="000000" w:themeColor="text1"/>
          <w:sz w:val="32"/>
          <w:szCs w:val="28"/>
          <w14:textFill>
            <w14:solidFill>
              <w14:schemeClr w14:val="tx1"/>
            </w14:solidFill>
          </w14:textFill>
        </w:rPr>
        <w:t>10</w:t>
      </w:r>
      <w:r>
        <w:rPr>
          <w:rFonts w:ascii="Times New Roman" w:hAnsi="Times New Roman" w:eastAsia="仿宋_GB2312" w:cs="Times New Roman"/>
          <w:color w:val="000000" w:themeColor="text1"/>
          <w:sz w:val="32"/>
          <w:szCs w:val="28"/>
          <w14:textFill>
            <w14:solidFill>
              <w14:schemeClr w14:val="tx1"/>
            </w14:solidFill>
          </w14:textFill>
        </w:rPr>
        <w:t>%的增长率</w:t>
      </w:r>
      <w:r>
        <w:rPr>
          <w:rFonts w:hint="eastAsia" w:ascii="Times New Roman" w:hAnsi="Times New Roman" w:eastAsia="仿宋_GB2312" w:cs="Times New Roman"/>
          <w:color w:val="000000" w:themeColor="text1"/>
          <w:sz w:val="32"/>
          <w:szCs w:val="28"/>
          <w14:textFill>
            <w14:solidFill>
              <w14:schemeClr w14:val="tx1"/>
            </w14:solidFill>
          </w14:textFill>
        </w:rPr>
        <w:t>、10</w:t>
      </w:r>
      <w:r>
        <w:rPr>
          <w:rFonts w:ascii="Times New Roman" w:hAnsi="Times New Roman" w:eastAsia="仿宋_GB2312" w:cs="Times New Roman"/>
          <w:color w:val="000000" w:themeColor="text1"/>
          <w:sz w:val="32"/>
          <w:szCs w:val="28"/>
          <w14:textFill>
            <w14:solidFill>
              <w14:schemeClr w14:val="tx1"/>
            </w14:solidFill>
          </w14:textFill>
        </w:rPr>
        <w:t>%的全市营运车数量份额占比</w:t>
      </w:r>
      <w:r>
        <w:rPr>
          <w:rFonts w:hint="eastAsia" w:ascii="Times New Roman" w:hAnsi="Times New Roman" w:eastAsia="仿宋_GB2312" w:cs="Times New Roman"/>
          <w:color w:val="000000" w:themeColor="text1"/>
          <w:sz w:val="32"/>
          <w:szCs w:val="28"/>
          <w14:textFill>
            <w14:solidFill>
              <w14:schemeClr w14:val="tx1"/>
            </w14:solidFill>
          </w14:textFill>
        </w:rPr>
        <w:t>以及</w:t>
      </w:r>
      <w:r>
        <w:rPr>
          <w:rFonts w:ascii="Times New Roman" w:hAnsi="Times New Roman" w:eastAsia="仿宋_GB2312" w:cs="Times New Roman"/>
          <w:color w:val="000000" w:themeColor="text1"/>
          <w:sz w:val="32"/>
          <w:szCs w:val="28"/>
          <w14:textFill>
            <w14:solidFill>
              <w14:schemeClr w14:val="tx1"/>
            </w14:solidFill>
          </w14:textFill>
        </w:rPr>
        <w:t>燃油车</w:t>
      </w:r>
      <w:r>
        <w:rPr>
          <w:rFonts w:hint="eastAsia" w:ascii="Times New Roman" w:hAnsi="Times New Roman" w:eastAsia="仿宋_GB2312" w:cs="Times New Roman"/>
          <w:color w:val="000000" w:themeColor="text1"/>
          <w:sz w:val="32"/>
          <w:szCs w:val="28"/>
          <w14:textFill>
            <w14:solidFill>
              <w14:schemeClr w14:val="tx1"/>
            </w14:solidFill>
          </w14:textFill>
        </w:rPr>
        <w:t>报废与更换情况，</w:t>
      </w:r>
      <w:r>
        <w:rPr>
          <w:rFonts w:ascii="Times New Roman" w:hAnsi="Times New Roman" w:eastAsia="仿宋_GB2312" w:cs="Times New Roman"/>
          <w:color w:val="000000" w:themeColor="text1"/>
          <w:sz w:val="32"/>
          <w:szCs w:val="28"/>
          <w14:textFill>
            <w14:solidFill>
              <w14:schemeClr w14:val="tx1"/>
            </w14:solidFill>
          </w14:textFill>
        </w:rPr>
        <w:t>得到以下营运车规模预测结果</w:t>
      </w:r>
      <w:r>
        <w:rPr>
          <w:rFonts w:hint="eastAsia" w:ascii="Times New Roman" w:hAnsi="Times New Roman" w:eastAsia="仿宋_GB2312" w:cs="Times New Roman"/>
          <w:color w:val="000000" w:themeColor="text1"/>
          <w:sz w:val="32"/>
          <w:szCs w:val="28"/>
          <w14:textFill>
            <w14:solidFill>
              <w14:schemeClr w14:val="tx1"/>
            </w14:solidFill>
          </w14:textFill>
        </w:rPr>
        <w:t>。</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镇海区营运车</w:t>
      </w:r>
      <w:r>
        <w:rPr>
          <w:color w:val="000000" w:themeColor="text1"/>
          <w:sz w:val="24"/>
          <w14:textFill>
            <w14:solidFill>
              <w14:schemeClr w14:val="tx1"/>
            </w14:solidFill>
          </w14:textFill>
        </w:rPr>
        <w:t>辆规模预测</w:t>
      </w:r>
      <w:r>
        <w:rPr>
          <w:rFonts w:hint="eastAsia"/>
          <w:color w:val="000000" w:themeColor="text1"/>
          <w:sz w:val="24"/>
          <w14:textFill>
            <w14:solidFill>
              <w14:schemeClr w14:val="tx1"/>
            </w14:solidFill>
          </w14:textFill>
        </w:rPr>
        <w:t>表</w:t>
      </w:r>
    </w:p>
    <w:tbl>
      <w:tblPr>
        <w:tblStyle w:val="34"/>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61"/>
        <w:gridCol w:w="1948"/>
        <w:gridCol w:w="1924"/>
        <w:gridCol w:w="19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61" w:type="dxa"/>
            <w:shd w:val="clear" w:color="auto" w:fill="auto"/>
            <w:noWrap/>
            <w:vAlign w:val="center"/>
          </w:tcPr>
          <w:p>
            <w:pPr>
              <w:widowControl/>
              <w:adjustRightInd w:val="0"/>
              <w:snapToGrid w:val="0"/>
              <w:jc w:val="center"/>
              <w:rPr>
                <w:rFonts w:ascii="Times New Roman" w:hAnsi="Times New Roman" w:eastAsia="仿宋_GB2312" w:cs="Times New Roman"/>
                <w:b/>
                <w:color w:val="000000" w:themeColor="text1"/>
                <w:sz w:val="24"/>
                <w:szCs w:val="28"/>
                <w14:textFill>
                  <w14:solidFill>
                    <w14:schemeClr w14:val="tx1"/>
                  </w14:solidFill>
                </w14:textFill>
              </w:rPr>
            </w:pPr>
            <w:r>
              <w:rPr>
                <w:rFonts w:hint="eastAsia" w:ascii="Times New Roman" w:hAnsi="Times New Roman" w:eastAsia="仿宋_GB2312" w:cs="Times New Roman"/>
                <w:b/>
                <w:color w:val="000000" w:themeColor="text1"/>
                <w:sz w:val="24"/>
                <w:szCs w:val="28"/>
                <w14:textFill>
                  <w14:solidFill>
                    <w14:schemeClr w14:val="tx1"/>
                  </w14:solidFill>
                </w14:textFill>
              </w:rPr>
              <w:t>营运车保有量/</w:t>
            </w:r>
            <w:r>
              <w:rPr>
                <w:rFonts w:ascii="Times New Roman" w:hAnsi="Times New Roman" w:eastAsia="仿宋_GB2312" w:cs="Times New Roman"/>
                <w:b/>
                <w:color w:val="000000" w:themeColor="text1"/>
                <w:sz w:val="24"/>
                <w:szCs w:val="28"/>
                <w14:textFill>
                  <w14:solidFill>
                    <w14:schemeClr w14:val="tx1"/>
                  </w14:solidFill>
                </w14:textFill>
              </w:rPr>
              <w:t>辆</w:t>
            </w:r>
          </w:p>
        </w:tc>
        <w:tc>
          <w:tcPr>
            <w:tcW w:w="1948" w:type="dxa"/>
            <w:shd w:val="clear" w:color="auto" w:fill="auto"/>
            <w:noWrap/>
            <w:vAlign w:val="center"/>
          </w:tcPr>
          <w:p>
            <w:pPr>
              <w:widowControl/>
              <w:adjustRightInd w:val="0"/>
              <w:snapToGrid w:val="0"/>
              <w:jc w:val="center"/>
              <w:rPr>
                <w:rFonts w:ascii="Times New Roman" w:hAnsi="Times New Roman" w:eastAsia="仿宋_GB2312" w:cs="Times New Roman"/>
                <w:b/>
                <w:color w:val="000000" w:themeColor="text1"/>
                <w:sz w:val="24"/>
                <w:szCs w:val="28"/>
                <w14:textFill>
                  <w14:solidFill>
                    <w14:schemeClr w14:val="tx1"/>
                  </w14:solidFill>
                </w14:textFill>
              </w:rPr>
            </w:pPr>
            <w:r>
              <w:rPr>
                <w:rFonts w:hint="eastAsia" w:ascii="Times New Roman" w:hAnsi="Times New Roman" w:eastAsia="仿宋_GB2312" w:cs="Times New Roman"/>
                <w:b/>
                <w:color w:val="000000" w:themeColor="text1"/>
                <w:sz w:val="24"/>
                <w:szCs w:val="28"/>
                <w14:textFill>
                  <w14:solidFill>
                    <w14:schemeClr w14:val="tx1"/>
                  </w14:solidFill>
                </w14:textFill>
              </w:rPr>
              <w:t>20</w:t>
            </w:r>
            <w:r>
              <w:rPr>
                <w:rFonts w:ascii="Times New Roman" w:hAnsi="Times New Roman" w:eastAsia="仿宋_GB2312" w:cs="Times New Roman"/>
                <w:b/>
                <w:color w:val="000000" w:themeColor="text1"/>
                <w:sz w:val="24"/>
                <w:szCs w:val="28"/>
                <w14:textFill>
                  <w14:solidFill>
                    <w14:schemeClr w14:val="tx1"/>
                  </w14:solidFill>
                </w14:textFill>
              </w:rPr>
              <w:t>23</w:t>
            </w:r>
            <w:r>
              <w:rPr>
                <w:rFonts w:hint="eastAsia" w:ascii="Times New Roman" w:hAnsi="Times New Roman" w:eastAsia="仿宋_GB2312" w:cs="Times New Roman"/>
                <w:b/>
                <w:color w:val="000000" w:themeColor="text1"/>
                <w:sz w:val="24"/>
                <w:szCs w:val="28"/>
                <w14:textFill>
                  <w14:solidFill>
                    <w14:schemeClr w14:val="tx1"/>
                  </w14:solidFill>
                </w14:textFill>
              </w:rPr>
              <w:t>年</w:t>
            </w:r>
          </w:p>
        </w:tc>
        <w:tc>
          <w:tcPr>
            <w:tcW w:w="1924" w:type="dxa"/>
            <w:vAlign w:val="center"/>
          </w:tcPr>
          <w:p>
            <w:pPr>
              <w:widowControl/>
              <w:adjustRightInd w:val="0"/>
              <w:snapToGrid w:val="0"/>
              <w:jc w:val="center"/>
              <w:rPr>
                <w:rFonts w:ascii="Times New Roman" w:hAnsi="Times New Roman" w:eastAsia="仿宋_GB2312" w:cs="Times New Roman"/>
                <w:b/>
                <w:color w:val="000000" w:themeColor="text1"/>
                <w:sz w:val="24"/>
                <w:szCs w:val="28"/>
                <w14:textFill>
                  <w14:solidFill>
                    <w14:schemeClr w14:val="tx1"/>
                  </w14:solidFill>
                </w14:textFill>
              </w:rPr>
            </w:pPr>
            <w:r>
              <w:rPr>
                <w:rFonts w:hint="eastAsia" w:ascii="Times New Roman" w:hAnsi="Times New Roman" w:eastAsia="仿宋_GB2312" w:cs="Times New Roman"/>
                <w:b/>
                <w:color w:val="000000" w:themeColor="text1"/>
                <w:sz w:val="24"/>
                <w:szCs w:val="28"/>
                <w14:textFill>
                  <w14:solidFill>
                    <w14:schemeClr w14:val="tx1"/>
                  </w14:solidFill>
                </w14:textFill>
              </w:rPr>
              <w:t>2024年</w:t>
            </w:r>
          </w:p>
        </w:tc>
        <w:tc>
          <w:tcPr>
            <w:tcW w:w="1989" w:type="dxa"/>
            <w:shd w:val="clear" w:color="auto" w:fill="auto"/>
            <w:noWrap/>
            <w:vAlign w:val="center"/>
          </w:tcPr>
          <w:p>
            <w:pPr>
              <w:widowControl/>
              <w:adjustRightInd w:val="0"/>
              <w:snapToGrid w:val="0"/>
              <w:jc w:val="center"/>
              <w:rPr>
                <w:rFonts w:ascii="Times New Roman" w:hAnsi="Times New Roman" w:eastAsia="仿宋_GB2312" w:cs="Times New Roman"/>
                <w:b/>
                <w:color w:val="000000" w:themeColor="text1"/>
                <w:sz w:val="24"/>
                <w:szCs w:val="28"/>
                <w14:textFill>
                  <w14:solidFill>
                    <w14:schemeClr w14:val="tx1"/>
                  </w14:solidFill>
                </w14:textFill>
              </w:rPr>
            </w:pPr>
            <w:r>
              <w:rPr>
                <w:rFonts w:hint="eastAsia" w:ascii="Times New Roman" w:hAnsi="Times New Roman" w:eastAsia="仿宋_GB2312" w:cs="Times New Roman"/>
                <w:b/>
                <w:color w:val="000000" w:themeColor="text1"/>
                <w:sz w:val="24"/>
                <w:szCs w:val="28"/>
                <w14:textFill>
                  <w14:solidFill>
                    <w14:schemeClr w14:val="tx1"/>
                  </w14:solidFill>
                </w14:textFill>
              </w:rPr>
              <w:t>202</w:t>
            </w:r>
            <w:r>
              <w:rPr>
                <w:rFonts w:ascii="Times New Roman" w:hAnsi="Times New Roman" w:eastAsia="仿宋_GB2312" w:cs="Times New Roman"/>
                <w:b/>
                <w:color w:val="000000" w:themeColor="text1"/>
                <w:sz w:val="24"/>
                <w:szCs w:val="28"/>
                <w14:textFill>
                  <w14:solidFill>
                    <w14:schemeClr w14:val="tx1"/>
                  </w14:solidFill>
                </w14:textFill>
              </w:rPr>
              <w:t>5</w:t>
            </w:r>
            <w:r>
              <w:rPr>
                <w:rFonts w:hint="eastAsia" w:ascii="Times New Roman" w:hAnsi="Times New Roman" w:eastAsia="仿宋_GB2312" w:cs="Times New Roman"/>
                <w:b/>
                <w:color w:val="000000" w:themeColor="text1"/>
                <w:sz w:val="24"/>
                <w:szCs w:val="28"/>
                <w14:textFill>
                  <w14:solidFill>
                    <w14:schemeClr w14:val="tx1"/>
                  </w14:solidFill>
                </w14:textFill>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61" w:type="dxa"/>
            <w:shd w:val="clear" w:color="auto" w:fill="auto"/>
            <w:noWrap/>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总量</w:t>
            </w:r>
          </w:p>
        </w:tc>
        <w:tc>
          <w:tcPr>
            <w:tcW w:w="1948" w:type="dxa"/>
            <w:shd w:val="clear" w:color="auto" w:fill="auto"/>
            <w:noWrap/>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2599</w:t>
            </w:r>
          </w:p>
        </w:tc>
        <w:tc>
          <w:tcPr>
            <w:tcW w:w="1924"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2859</w:t>
            </w:r>
          </w:p>
        </w:tc>
        <w:tc>
          <w:tcPr>
            <w:tcW w:w="1989" w:type="dxa"/>
            <w:shd w:val="clear" w:color="auto" w:fill="auto"/>
            <w:noWrap/>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3145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61" w:type="dxa"/>
            <w:shd w:val="clear" w:color="auto" w:fill="auto"/>
            <w:noWrap/>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新能源</w:t>
            </w:r>
          </w:p>
        </w:tc>
        <w:tc>
          <w:tcPr>
            <w:tcW w:w="1948" w:type="dxa"/>
            <w:shd w:val="clear" w:color="auto" w:fill="auto"/>
            <w:noWrap/>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2079</w:t>
            </w:r>
          </w:p>
        </w:tc>
        <w:tc>
          <w:tcPr>
            <w:tcW w:w="1924" w:type="dxa"/>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2430</w:t>
            </w:r>
          </w:p>
        </w:tc>
        <w:tc>
          <w:tcPr>
            <w:tcW w:w="1989" w:type="dxa"/>
            <w:shd w:val="clear" w:color="auto" w:fill="auto"/>
            <w:noWrap/>
            <w:vAlign w:val="center"/>
          </w:tcPr>
          <w:p>
            <w:pPr>
              <w:widowControl/>
              <w:adjustRightInd w:val="0"/>
              <w:snapToGrid w:val="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2831</w:t>
            </w:r>
          </w:p>
        </w:tc>
      </w:tr>
    </w:tbl>
    <w:p>
      <w:pPr>
        <w:pStyle w:val="66"/>
        <w:numPr>
          <w:ilvl w:val="255"/>
          <w:numId w:val="0"/>
        </w:numPr>
        <w:ind w:right="210"/>
        <w:rPr>
          <w:color w:val="000000" w:themeColor="text1"/>
          <w14:textFill>
            <w14:solidFill>
              <w14:schemeClr w14:val="tx1"/>
            </w14:solidFill>
          </w14:textFill>
        </w:rPr>
      </w:pPr>
      <w:bookmarkStart w:id="25" w:name="_Toc20170"/>
      <w:r>
        <w:rPr>
          <w:rFonts w:hint="eastAsia"/>
          <w:color w:val="000000" w:themeColor="text1"/>
          <w14:textFill>
            <w14:solidFill>
              <w14:schemeClr w14:val="tx1"/>
            </w14:solidFill>
          </w14:textFill>
        </w:rPr>
        <w:t>（三）公共充电设施规模预测</w:t>
      </w:r>
      <w:bookmarkEnd w:id="25"/>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电动</w:t>
      </w:r>
      <w:r>
        <w:rPr>
          <w:color w:val="000000" w:themeColor="text1"/>
          <w14:textFill>
            <w14:solidFill>
              <w14:schemeClr w14:val="tx1"/>
            </w14:solidFill>
          </w14:textFill>
        </w:rPr>
        <w:t>汽车出行特性</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充电特性</w:t>
      </w:r>
      <w:r>
        <w:rPr>
          <w:rFonts w:hint="eastAsia"/>
          <w:color w:val="000000" w:themeColor="text1"/>
          <w14:textFill>
            <w14:solidFill>
              <w14:schemeClr w14:val="tx1"/>
            </w14:solidFill>
          </w14:textFill>
        </w:rPr>
        <w:t>分析</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1.不同车辆耗电需求计算</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私家车一般行驶于市区与县区，每天没有相对固定的行驶路线和里程，不具备专用停车场，在公共停车场和小区充电站充电，需要在司机休息时间进行充电。经过对市场主流</w:t>
      </w:r>
      <w:r>
        <w:rPr>
          <w:rFonts w:ascii="Times New Roman" w:hAnsi="Times New Roman" w:eastAsia="仿宋_GB2312" w:cs="Times New Roman"/>
          <w:color w:val="000000" w:themeColor="text1"/>
          <w:sz w:val="32"/>
          <w:szCs w:val="28"/>
          <w14:textFill>
            <w14:solidFill>
              <w14:schemeClr w14:val="tx1"/>
            </w14:solidFill>
          </w14:textFill>
        </w:rPr>
        <w:t>车型</w:t>
      </w:r>
      <w:r>
        <w:rPr>
          <w:rFonts w:hint="eastAsia" w:ascii="Times New Roman" w:hAnsi="Times New Roman" w:eastAsia="仿宋_GB2312" w:cs="Times New Roman"/>
          <w:color w:val="000000" w:themeColor="text1"/>
          <w:sz w:val="32"/>
          <w:szCs w:val="28"/>
          <w14:textFill>
            <w14:solidFill>
              <w14:schemeClr w14:val="tx1"/>
            </w14:solidFill>
          </w14:textFill>
        </w:rPr>
        <w:t>调研，电动私人乘用车每百公里平均耗电量约15</w:t>
      </w:r>
      <w:r>
        <w:rPr>
          <w:rFonts w:ascii="Times New Roman" w:hAnsi="Times New Roman" w:eastAsia="仿宋_GB2312" w:cs="Times New Roman"/>
          <w:color w:val="000000" w:themeColor="text1"/>
          <w:sz w:val="32"/>
          <w:szCs w:val="28"/>
          <w14:textFill>
            <w14:solidFill>
              <w14:schemeClr w14:val="tx1"/>
            </w14:solidFill>
          </w14:textFill>
        </w:rPr>
        <w:t>-</w:t>
      </w:r>
      <w:r>
        <w:rPr>
          <w:rFonts w:hint="eastAsia" w:ascii="Times New Roman" w:hAnsi="Times New Roman" w:eastAsia="仿宋_GB2312" w:cs="Times New Roman"/>
          <w:color w:val="000000" w:themeColor="text1"/>
          <w:sz w:val="32"/>
          <w:szCs w:val="28"/>
          <w14:textFill>
            <w14:solidFill>
              <w14:schemeClr w14:val="tx1"/>
            </w14:solidFill>
          </w14:textFill>
        </w:rPr>
        <w:t>20kWh，平均每天行驶里程约30</w:t>
      </w:r>
      <w:r>
        <w:rPr>
          <w:rFonts w:ascii="Times New Roman" w:hAnsi="Times New Roman" w:eastAsia="仿宋_GB2312" w:cs="Times New Roman"/>
          <w:color w:val="000000" w:themeColor="text1"/>
          <w:sz w:val="32"/>
          <w:szCs w:val="28"/>
          <w14:textFill>
            <w14:solidFill>
              <w14:schemeClr w14:val="tx1"/>
            </w14:solidFill>
          </w14:textFill>
        </w:rPr>
        <w:t>-</w:t>
      </w:r>
      <w:r>
        <w:rPr>
          <w:rFonts w:hint="eastAsia" w:ascii="Times New Roman" w:hAnsi="Times New Roman" w:eastAsia="仿宋_GB2312" w:cs="Times New Roman"/>
          <w:color w:val="000000" w:themeColor="text1"/>
          <w:sz w:val="32"/>
          <w:szCs w:val="28"/>
          <w14:textFill>
            <w14:solidFill>
              <w14:schemeClr w14:val="tx1"/>
            </w14:solidFill>
          </w14:textFill>
        </w:rPr>
        <w:t>40公里。</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营运车辆通常行驶于市区与县区，每天没有相对固定的行驶路线和里程，不具备专用停车场，大多数在公共停车场充电，需要在司机休息时间进行快速充电。经过对市场主流</w:t>
      </w:r>
      <w:r>
        <w:rPr>
          <w:rFonts w:ascii="Times New Roman" w:hAnsi="Times New Roman" w:eastAsia="仿宋_GB2312" w:cs="Times New Roman"/>
          <w:color w:val="000000" w:themeColor="text1"/>
          <w:sz w:val="32"/>
          <w:szCs w:val="28"/>
          <w14:textFill>
            <w14:solidFill>
              <w14:schemeClr w14:val="tx1"/>
            </w14:solidFill>
          </w14:textFill>
        </w:rPr>
        <w:t>车型</w:t>
      </w:r>
      <w:r>
        <w:rPr>
          <w:rFonts w:hint="eastAsia" w:ascii="Times New Roman" w:hAnsi="Times New Roman" w:eastAsia="仿宋_GB2312" w:cs="Times New Roman"/>
          <w:color w:val="000000" w:themeColor="text1"/>
          <w:sz w:val="32"/>
          <w:szCs w:val="28"/>
          <w14:textFill>
            <w14:solidFill>
              <w14:schemeClr w14:val="tx1"/>
            </w14:solidFill>
          </w14:textFill>
        </w:rPr>
        <w:t>调研，电动出租车每百公里平均耗电量约15</w:t>
      </w:r>
      <w:r>
        <w:rPr>
          <w:rFonts w:ascii="Times New Roman" w:hAnsi="Times New Roman" w:eastAsia="仿宋_GB2312" w:cs="Times New Roman"/>
          <w:color w:val="000000" w:themeColor="text1"/>
          <w:sz w:val="32"/>
          <w:szCs w:val="28"/>
          <w14:textFill>
            <w14:solidFill>
              <w14:schemeClr w14:val="tx1"/>
            </w14:solidFill>
          </w14:textFill>
        </w:rPr>
        <w:t>-</w:t>
      </w:r>
      <w:r>
        <w:rPr>
          <w:rFonts w:hint="eastAsia" w:ascii="Times New Roman" w:hAnsi="Times New Roman" w:eastAsia="仿宋_GB2312" w:cs="Times New Roman"/>
          <w:color w:val="000000" w:themeColor="text1"/>
          <w:sz w:val="32"/>
          <w:szCs w:val="28"/>
          <w14:textFill>
            <w14:solidFill>
              <w14:schemeClr w14:val="tx1"/>
            </w14:solidFill>
          </w14:textFill>
        </w:rPr>
        <w:t>20kWh，平均每天行驶里程约150</w:t>
      </w:r>
      <w:r>
        <w:rPr>
          <w:rFonts w:ascii="Times New Roman" w:hAnsi="Times New Roman" w:eastAsia="仿宋_GB2312" w:cs="Times New Roman"/>
          <w:color w:val="000000" w:themeColor="text1"/>
          <w:sz w:val="32"/>
          <w:szCs w:val="28"/>
          <w14:textFill>
            <w14:solidFill>
              <w14:schemeClr w14:val="tx1"/>
            </w14:solidFill>
          </w14:textFill>
        </w:rPr>
        <w:t>-</w:t>
      </w:r>
      <w:r>
        <w:rPr>
          <w:rFonts w:hint="eastAsia" w:ascii="Times New Roman" w:hAnsi="Times New Roman" w:eastAsia="仿宋_GB2312" w:cs="Times New Roman"/>
          <w:color w:val="000000" w:themeColor="text1"/>
          <w:sz w:val="32"/>
          <w:szCs w:val="28"/>
          <w14:textFill>
            <w14:solidFill>
              <w14:schemeClr w14:val="tx1"/>
            </w14:solidFill>
          </w14:textFill>
        </w:rPr>
        <w:t>400公里。</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根据主流电动汽车的实际耗电量和宁波市各种交通工具的出行距离数据（均</w:t>
      </w:r>
      <w:r>
        <w:rPr>
          <w:rFonts w:ascii="Times New Roman" w:hAnsi="Times New Roman" w:eastAsia="仿宋_GB2312" w:cs="Times New Roman"/>
          <w:color w:val="000000" w:themeColor="text1"/>
          <w:sz w:val="32"/>
          <w:szCs w:val="28"/>
          <w14:textFill>
            <w14:solidFill>
              <w14:schemeClr w14:val="tx1"/>
            </w14:solidFill>
          </w14:textFill>
        </w:rPr>
        <w:t>取最大值</w:t>
      </w:r>
      <w:r>
        <w:rPr>
          <w:rFonts w:hint="eastAsia" w:ascii="Times New Roman" w:hAnsi="Times New Roman" w:eastAsia="仿宋_GB2312" w:cs="Times New Roman"/>
          <w:color w:val="000000" w:themeColor="text1"/>
          <w:sz w:val="32"/>
          <w:szCs w:val="28"/>
          <w14:textFill>
            <w14:solidFill>
              <w14:schemeClr w14:val="tx1"/>
            </w14:solidFill>
          </w14:textFill>
        </w:rPr>
        <w:t>），可以计算不同车辆的日耗电量。</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6 </w:t>
      </w:r>
      <w:r>
        <w:rPr>
          <w:rFonts w:hint="eastAsia"/>
          <w:color w:val="000000" w:themeColor="text1"/>
          <w:sz w:val="24"/>
          <w14:textFill>
            <w14:solidFill>
              <w14:schemeClr w14:val="tx1"/>
            </w14:solidFill>
          </w14:textFill>
        </w:rPr>
        <w:t>不同车辆的用电特征情况表</w:t>
      </w:r>
    </w:p>
    <w:tbl>
      <w:tblPr>
        <w:tblStyle w:val="3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8"/>
        <w:gridCol w:w="1991"/>
        <w:gridCol w:w="2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8"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项目</w:t>
            </w:r>
          </w:p>
        </w:tc>
        <w:tc>
          <w:tcPr>
            <w:tcW w:w="1991"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私家车</w:t>
            </w:r>
          </w:p>
        </w:tc>
        <w:tc>
          <w:tcPr>
            <w:tcW w:w="2753"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营运车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8" w:type="dxa"/>
            <w:shd w:val="clear" w:color="000000" w:fill="FFFFFF"/>
            <w:noWrap/>
            <w:vAlign w:val="center"/>
          </w:tcPr>
          <w:p>
            <w:pPr>
              <w:pStyle w:val="69"/>
              <w:spacing w:line="240" w:lineRule="auto"/>
              <w:ind w:firstLine="0"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工况百公里耗电量（k</w:t>
            </w:r>
            <w:r>
              <w:rPr>
                <w:color w:val="000000" w:themeColor="text1"/>
                <w:sz w:val="24"/>
                <w14:textFill>
                  <w14:solidFill>
                    <w14:schemeClr w14:val="tx1"/>
                  </w14:solidFill>
                </w14:textFill>
              </w:rPr>
              <w:t>W</w:t>
            </w:r>
            <w:r>
              <w:rPr>
                <w:rFonts w:hint="eastAsia"/>
                <w:color w:val="000000" w:themeColor="text1"/>
                <w:sz w:val="24"/>
                <w14:textFill>
                  <w14:solidFill>
                    <w14:schemeClr w14:val="tx1"/>
                  </w14:solidFill>
                </w14:textFill>
              </w:rPr>
              <w:t>.h）</w:t>
            </w:r>
          </w:p>
        </w:tc>
        <w:tc>
          <w:tcPr>
            <w:tcW w:w="1991"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w:t>
            </w:r>
          </w:p>
        </w:tc>
        <w:tc>
          <w:tcPr>
            <w:tcW w:w="275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8" w:type="dxa"/>
            <w:shd w:val="clear" w:color="auto" w:fill="auto"/>
            <w:noWrap/>
            <w:vAlign w:val="center"/>
          </w:tcPr>
          <w:p>
            <w:pPr>
              <w:pStyle w:val="69"/>
              <w:spacing w:line="240" w:lineRule="auto"/>
              <w:ind w:firstLine="0"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日行驶里程（km）</w:t>
            </w:r>
          </w:p>
        </w:tc>
        <w:tc>
          <w:tcPr>
            <w:tcW w:w="1991"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40</w:t>
            </w:r>
          </w:p>
        </w:tc>
        <w:tc>
          <w:tcPr>
            <w:tcW w:w="275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8" w:type="dxa"/>
            <w:shd w:val="clear" w:color="auto" w:fill="auto"/>
            <w:noWrap/>
            <w:vAlign w:val="center"/>
          </w:tcPr>
          <w:p>
            <w:pPr>
              <w:pStyle w:val="69"/>
              <w:spacing w:line="240" w:lineRule="auto"/>
              <w:ind w:firstLine="0"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公共</w:t>
            </w:r>
            <w:r>
              <w:rPr>
                <w:color w:val="000000" w:themeColor="text1"/>
                <w:sz w:val="24"/>
                <w14:textFill>
                  <w14:solidFill>
                    <w14:schemeClr w14:val="tx1"/>
                  </w14:solidFill>
                </w14:textFill>
              </w:rPr>
              <w:t>充电比例</w:t>
            </w:r>
          </w:p>
        </w:tc>
        <w:tc>
          <w:tcPr>
            <w:tcW w:w="1991"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w:t>
            </w:r>
            <w:r>
              <w:rPr>
                <w:color w:val="000000" w:themeColor="text1"/>
                <w:sz w:val="24"/>
                <w14:textFill>
                  <w14:solidFill>
                    <w14:schemeClr w14:val="tx1"/>
                  </w14:solidFill>
                </w14:textFill>
              </w:rPr>
              <w:t>%</w:t>
            </w:r>
          </w:p>
        </w:tc>
        <w:tc>
          <w:tcPr>
            <w:tcW w:w="275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80</w:t>
            </w:r>
            <w:r>
              <w:rPr>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8" w:type="dxa"/>
            <w:shd w:val="clear" w:color="auto" w:fill="auto"/>
            <w:noWrap/>
            <w:vAlign w:val="center"/>
          </w:tcPr>
          <w:p>
            <w:pPr>
              <w:pStyle w:val="69"/>
              <w:spacing w:line="240" w:lineRule="auto"/>
              <w:ind w:firstLine="0" w:firstLine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每日</w:t>
            </w:r>
            <w:r>
              <w:rPr>
                <w:rFonts w:hint="eastAsia"/>
                <w:color w:val="000000" w:themeColor="text1"/>
                <w:sz w:val="24"/>
                <w14:textFill>
                  <w14:solidFill>
                    <w14:schemeClr w14:val="tx1"/>
                  </w14:solidFill>
                </w14:textFill>
              </w:rPr>
              <w:t>公共</w:t>
            </w:r>
            <w:r>
              <w:rPr>
                <w:color w:val="000000" w:themeColor="text1"/>
                <w:sz w:val="24"/>
                <w14:textFill>
                  <w14:solidFill>
                    <w14:schemeClr w14:val="tx1"/>
                  </w14:solidFill>
                </w14:textFill>
              </w:rPr>
              <w:t>充电需求（</w:t>
            </w:r>
            <w:r>
              <w:rPr>
                <w:rFonts w:hint="eastAsia"/>
                <w:color w:val="000000" w:themeColor="text1"/>
                <w:sz w:val="24"/>
                <w14:textFill>
                  <w14:solidFill>
                    <w14:schemeClr w14:val="tx1"/>
                  </w14:solidFill>
                </w14:textFill>
              </w:rPr>
              <w:t>k</w:t>
            </w:r>
            <w:r>
              <w:rPr>
                <w:color w:val="000000" w:themeColor="text1"/>
                <w:sz w:val="24"/>
                <w14:textFill>
                  <w14:solidFill>
                    <w14:schemeClr w14:val="tx1"/>
                  </w14:solidFill>
                </w14:textFill>
              </w:rPr>
              <w:t>W</w:t>
            </w:r>
            <w:r>
              <w:rPr>
                <w:rFonts w:hint="eastAsia"/>
                <w:color w:val="000000" w:themeColor="text1"/>
                <w:sz w:val="24"/>
                <w14:textFill>
                  <w14:solidFill>
                    <w14:schemeClr w14:val="tx1"/>
                  </w14:solidFill>
                </w14:textFill>
              </w:rPr>
              <w:t>.h</w:t>
            </w:r>
            <w:r>
              <w:rPr>
                <w:color w:val="000000" w:themeColor="text1"/>
                <w:sz w:val="24"/>
                <w14:textFill>
                  <w14:solidFill>
                    <w14:schemeClr w14:val="tx1"/>
                  </w14:solidFill>
                </w14:textFill>
              </w:rPr>
              <w:t>）</w:t>
            </w:r>
          </w:p>
        </w:tc>
        <w:tc>
          <w:tcPr>
            <w:tcW w:w="1991"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w:t>
            </w:r>
          </w:p>
        </w:tc>
        <w:tc>
          <w:tcPr>
            <w:tcW w:w="275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64</w:t>
            </w:r>
          </w:p>
        </w:tc>
      </w:tr>
    </w:tbl>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2.充电桩供给能力计算</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利用主流公共充电桩的特征参数可以计算其有效供电能力。</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现在</w:t>
      </w:r>
      <w:r>
        <w:rPr>
          <w:rFonts w:ascii="Times New Roman" w:hAnsi="Times New Roman" w:eastAsia="仿宋_GB2312" w:cs="Times New Roman"/>
          <w:color w:val="000000" w:themeColor="text1"/>
          <w:sz w:val="32"/>
          <w:szCs w:val="28"/>
          <w14:textFill>
            <w14:solidFill>
              <w14:schemeClr w14:val="tx1"/>
            </w14:solidFill>
          </w14:textFill>
        </w:rPr>
        <w:t>主流</w:t>
      </w:r>
      <w:r>
        <w:rPr>
          <w:rFonts w:hint="eastAsia" w:ascii="Times New Roman" w:hAnsi="Times New Roman" w:eastAsia="仿宋_GB2312" w:cs="Times New Roman"/>
          <w:color w:val="000000" w:themeColor="text1"/>
          <w:sz w:val="32"/>
          <w:szCs w:val="28"/>
          <w14:textFill>
            <w14:solidFill>
              <w14:schemeClr w14:val="tx1"/>
            </w14:solidFill>
          </w14:textFill>
        </w:rPr>
        <w:t>直流</w:t>
      </w:r>
      <w:r>
        <w:rPr>
          <w:rFonts w:ascii="Times New Roman" w:hAnsi="Times New Roman" w:eastAsia="仿宋_GB2312" w:cs="Times New Roman"/>
          <w:color w:val="000000" w:themeColor="text1"/>
          <w:sz w:val="32"/>
          <w:szCs w:val="28"/>
          <w14:textFill>
            <w14:solidFill>
              <w14:schemeClr w14:val="tx1"/>
            </w14:solidFill>
          </w14:textFill>
        </w:rPr>
        <w:t>快充</w:t>
      </w:r>
      <w:r>
        <w:rPr>
          <w:rFonts w:hint="eastAsia" w:ascii="Times New Roman" w:hAnsi="Times New Roman" w:eastAsia="仿宋_GB2312" w:cs="Times New Roman"/>
          <w:color w:val="000000" w:themeColor="text1"/>
          <w:sz w:val="32"/>
          <w:szCs w:val="28"/>
          <w14:textFill>
            <w14:solidFill>
              <w14:schemeClr w14:val="tx1"/>
            </w14:solidFill>
          </w14:textFill>
        </w:rPr>
        <w:t>枪单桩功率</w:t>
      </w:r>
      <w:r>
        <w:rPr>
          <w:rFonts w:ascii="Times New Roman" w:hAnsi="Times New Roman" w:eastAsia="仿宋_GB2312" w:cs="Times New Roman"/>
          <w:color w:val="000000" w:themeColor="text1"/>
          <w:sz w:val="32"/>
          <w:szCs w:val="28"/>
          <w14:textFill>
            <w14:solidFill>
              <w14:schemeClr w14:val="tx1"/>
            </w14:solidFill>
          </w14:textFill>
        </w:rPr>
        <w:t>为</w:t>
      </w:r>
      <w:r>
        <w:rPr>
          <w:rFonts w:hint="eastAsia" w:ascii="Times New Roman" w:hAnsi="Times New Roman" w:eastAsia="仿宋_GB2312" w:cs="Times New Roman"/>
          <w:color w:val="000000" w:themeColor="text1"/>
          <w:sz w:val="32"/>
          <w:szCs w:val="28"/>
          <w14:textFill>
            <w14:solidFill>
              <w14:schemeClr w14:val="tx1"/>
            </w14:solidFill>
          </w14:textFill>
        </w:rPr>
        <w:t>60</w:t>
      </w:r>
      <w:r>
        <w:rPr>
          <w:rFonts w:ascii="Times New Roman" w:hAnsi="Times New Roman" w:eastAsia="仿宋_GB2312" w:cs="Times New Roman"/>
          <w:color w:val="000000" w:themeColor="text1"/>
          <w:sz w:val="32"/>
          <w:szCs w:val="28"/>
          <w14:textFill>
            <w14:solidFill>
              <w14:schemeClr w14:val="tx1"/>
            </w14:solidFill>
          </w14:textFill>
        </w:rPr>
        <w:t>kW</w:t>
      </w:r>
      <w:r>
        <w:rPr>
          <w:rFonts w:hint="eastAsia" w:ascii="Times New Roman" w:hAnsi="Times New Roman" w:eastAsia="仿宋_GB2312" w:cs="Times New Roman"/>
          <w:color w:val="000000" w:themeColor="text1"/>
          <w:sz w:val="32"/>
          <w:szCs w:val="28"/>
          <w14:textFill>
            <w14:solidFill>
              <w14:schemeClr w14:val="tx1"/>
            </w14:solidFill>
          </w14:textFill>
        </w:rPr>
        <w:t>，按照平均每天使用时间2小时、充电倍率0.7C计算，单个直流枪每日充电量为84kWh。</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现在</w:t>
      </w:r>
      <w:r>
        <w:rPr>
          <w:rFonts w:ascii="Times New Roman" w:hAnsi="Times New Roman" w:eastAsia="仿宋_GB2312" w:cs="Times New Roman"/>
          <w:color w:val="000000" w:themeColor="text1"/>
          <w:sz w:val="32"/>
          <w:szCs w:val="28"/>
          <w14:textFill>
            <w14:solidFill>
              <w14:schemeClr w14:val="tx1"/>
            </w14:solidFill>
          </w14:textFill>
        </w:rPr>
        <w:t>主流</w:t>
      </w:r>
      <w:r>
        <w:rPr>
          <w:rFonts w:hint="eastAsia" w:ascii="Times New Roman" w:hAnsi="Times New Roman" w:eastAsia="仿宋_GB2312" w:cs="Times New Roman"/>
          <w:color w:val="000000" w:themeColor="text1"/>
          <w:sz w:val="32"/>
          <w:szCs w:val="28"/>
          <w14:textFill>
            <w14:solidFill>
              <w14:schemeClr w14:val="tx1"/>
            </w14:solidFill>
          </w14:textFill>
        </w:rPr>
        <w:t>交流慢充枪单桩功率</w:t>
      </w:r>
      <w:r>
        <w:rPr>
          <w:rFonts w:ascii="Times New Roman" w:hAnsi="Times New Roman" w:eastAsia="仿宋_GB2312" w:cs="Times New Roman"/>
          <w:color w:val="000000" w:themeColor="text1"/>
          <w:sz w:val="32"/>
          <w:szCs w:val="28"/>
          <w14:textFill>
            <w14:solidFill>
              <w14:schemeClr w14:val="tx1"/>
            </w14:solidFill>
          </w14:textFill>
        </w:rPr>
        <w:t>为7kW</w:t>
      </w:r>
      <w:r>
        <w:rPr>
          <w:rFonts w:hint="eastAsia" w:ascii="Times New Roman" w:hAnsi="Times New Roman" w:eastAsia="仿宋_GB2312" w:cs="Times New Roman"/>
          <w:color w:val="000000" w:themeColor="text1"/>
          <w:sz w:val="32"/>
          <w:szCs w:val="28"/>
          <w14:textFill>
            <w14:solidFill>
              <w14:schemeClr w14:val="tx1"/>
            </w14:solidFill>
          </w14:textFill>
        </w:rPr>
        <w:t>，按照平均每天使用时间8小时、充电倍率0.</w:t>
      </w:r>
      <w:r>
        <w:rPr>
          <w:rFonts w:ascii="Times New Roman" w:hAnsi="Times New Roman" w:eastAsia="仿宋_GB2312" w:cs="Times New Roman"/>
          <w:color w:val="000000" w:themeColor="text1"/>
          <w:sz w:val="32"/>
          <w:szCs w:val="28"/>
          <w14:textFill>
            <w14:solidFill>
              <w14:schemeClr w14:val="tx1"/>
            </w14:solidFill>
          </w14:textFill>
        </w:rPr>
        <w:t>5</w:t>
      </w:r>
      <w:r>
        <w:rPr>
          <w:rFonts w:hint="eastAsia" w:ascii="Times New Roman" w:hAnsi="Times New Roman" w:eastAsia="仿宋_GB2312" w:cs="Times New Roman"/>
          <w:color w:val="000000" w:themeColor="text1"/>
          <w:sz w:val="32"/>
          <w:szCs w:val="28"/>
          <w14:textFill>
            <w14:solidFill>
              <w14:schemeClr w14:val="tx1"/>
            </w14:solidFill>
          </w14:textFill>
        </w:rPr>
        <w:t>C计算，单个交流枪每日充电量为</w:t>
      </w:r>
      <w:r>
        <w:rPr>
          <w:rFonts w:ascii="Times New Roman" w:hAnsi="Times New Roman" w:eastAsia="仿宋_GB2312" w:cs="Times New Roman"/>
          <w:color w:val="000000" w:themeColor="text1"/>
          <w:sz w:val="32"/>
          <w:szCs w:val="28"/>
          <w14:textFill>
            <w14:solidFill>
              <w14:schemeClr w14:val="tx1"/>
            </w14:solidFill>
          </w14:textFill>
        </w:rPr>
        <w:t>28</w:t>
      </w:r>
      <w:r>
        <w:rPr>
          <w:rFonts w:hint="eastAsia" w:ascii="Times New Roman" w:hAnsi="Times New Roman" w:eastAsia="仿宋_GB2312" w:cs="Times New Roman"/>
          <w:color w:val="000000" w:themeColor="text1"/>
          <w:sz w:val="32"/>
          <w:szCs w:val="28"/>
          <w14:textFill>
            <w14:solidFill>
              <w14:schemeClr w14:val="tx1"/>
            </w14:solidFill>
          </w14:textFill>
        </w:rPr>
        <w:t>kWh。</w:t>
      </w:r>
    </w:p>
    <w:p>
      <w:pPr>
        <w:pStyle w:val="67"/>
        <w:rPr>
          <w:color w:val="000000" w:themeColor="text1"/>
          <w14:textFill>
            <w14:solidFill>
              <w14:schemeClr w14:val="tx1"/>
            </w14:solidFill>
          </w14:textFill>
        </w:rPr>
      </w:pPr>
      <w:r>
        <w:rPr>
          <w:color w:val="000000" w:themeColor="text1"/>
          <w14:textFill>
            <w14:solidFill>
              <w14:schemeClr w14:val="tx1"/>
            </w14:solidFill>
          </w14:textFill>
        </w:rPr>
        <w:t>4.3.2充电设施建设需求预测</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根据</w:t>
      </w:r>
      <w:r>
        <w:rPr>
          <w:rFonts w:ascii="Times New Roman" w:hAnsi="Times New Roman" w:eastAsia="仿宋_GB2312" w:cs="Times New Roman"/>
          <w:color w:val="000000" w:themeColor="text1"/>
          <w:sz w:val="32"/>
          <w:szCs w:val="28"/>
          <w14:textFill>
            <w14:solidFill>
              <w14:schemeClr w14:val="tx1"/>
            </w14:solidFill>
          </w14:textFill>
        </w:rPr>
        <w:t>对镇海区私家车、营运车辆的规模预测，选取</w:t>
      </w:r>
      <w:r>
        <w:rPr>
          <w:rFonts w:hint="eastAsia" w:ascii="Times New Roman" w:hAnsi="Times New Roman" w:eastAsia="仿宋_GB2312" w:cs="Times New Roman"/>
          <w:color w:val="000000" w:themeColor="text1"/>
          <w:sz w:val="32"/>
          <w:szCs w:val="28"/>
          <w14:textFill>
            <w14:solidFill>
              <w14:schemeClr w14:val="tx1"/>
            </w14:solidFill>
          </w14:textFill>
        </w:rPr>
        <w:t>私家车规模</w:t>
      </w:r>
      <w:r>
        <w:rPr>
          <w:rFonts w:ascii="Times New Roman" w:hAnsi="Times New Roman" w:eastAsia="仿宋_GB2312" w:cs="Times New Roman"/>
          <w:color w:val="000000" w:themeColor="text1"/>
          <w:sz w:val="32"/>
          <w:szCs w:val="28"/>
          <w14:textFill>
            <w14:solidFill>
              <w14:schemeClr w14:val="tx1"/>
            </w14:solidFill>
          </w14:textFill>
        </w:rPr>
        <w:t>预测中</w:t>
      </w:r>
      <w:r>
        <w:rPr>
          <w:rFonts w:hint="eastAsia" w:ascii="Times New Roman" w:hAnsi="Times New Roman" w:eastAsia="仿宋_GB2312" w:cs="Times New Roman"/>
          <w:color w:val="000000" w:themeColor="text1"/>
          <w:sz w:val="32"/>
          <w:szCs w:val="28"/>
          <w14:textFill>
            <w14:solidFill>
              <w14:schemeClr w14:val="tx1"/>
            </w14:solidFill>
          </w14:textFill>
        </w:rPr>
        <w:t>值至2025年2万</w:t>
      </w:r>
      <w:r>
        <w:rPr>
          <w:rFonts w:ascii="Times New Roman" w:hAnsi="Times New Roman" w:eastAsia="仿宋_GB2312" w:cs="Times New Roman"/>
          <w:color w:val="000000" w:themeColor="text1"/>
          <w:sz w:val="32"/>
          <w:szCs w:val="28"/>
          <w14:textFill>
            <w14:solidFill>
              <w14:schemeClr w14:val="tx1"/>
            </w14:solidFill>
          </w14:textFill>
        </w:rPr>
        <w:t>辆，营运车</w:t>
      </w:r>
      <w:r>
        <w:rPr>
          <w:rFonts w:hint="eastAsia" w:ascii="Times New Roman" w:hAnsi="Times New Roman" w:eastAsia="仿宋_GB2312" w:cs="Times New Roman"/>
          <w:color w:val="000000" w:themeColor="text1"/>
          <w:sz w:val="32"/>
          <w:szCs w:val="28"/>
          <w14:textFill>
            <w14:solidFill>
              <w14:schemeClr w14:val="tx1"/>
            </w14:solidFill>
          </w14:textFill>
        </w:rPr>
        <w:t>至</w:t>
      </w:r>
      <w:r>
        <w:rPr>
          <w:rFonts w:ascii="Times New Roman" w:hAnsi="Times New Roman" w:eastAsia="仿宋_GB2312" w:cs="Times New Roman"/>
          <w:color w:val="000000" w:themeColor="text1"/>
          <w:sz w:val="32"/>
          <w:szCs w:val="28"/>
          <w14:textFill>
            <w14:solidFill>
              <w14:schemeClr w14:val="tx1"/>
            </w14:solidFill>
          </w14:textFill>
        </w:rPr>
        <w:t>2025年</w:t>
      </w:r>
      <w:r>
        <w:rPr>
          <w:rFonts w:hint="eastAsia" w:ascii="Times New Roman" w:hAnsi="Times New Roman" w:eastAsia="仿宋_GB2312" w:cs="Times New Roman"/>
          <w:color w:val="000000" w:themeColor="text1"/>
          <w:sz w:val="32"/>
          <w:szCs w:val="28"/>
          <w14:textFill>
            <w14:solidFill>
              <w14:schemeClr w14:val="tx1"/>
            </w14:solidFill>
          </w14:textFill>
        </w:rPr>
        <w:t>2</w:t>
      </w:r>
      <w:r>
        <w:rPr>
          <w:rFonts w:ascii="Times New Roman" w:hAnsi="Times New Roman" w:eastAsia="仿宋_GB2312" w:cs="Times New Roman"/>
          <w:color w:val="000000" w:themeColor="text1"/>
          <w:sz w:val="32"/>
          <w:szCs w:val="28"/>
          <w14:textFill>
            <w14:solidFill>
              <w14:schemeClr w14:val="tx1"/>
            </w14:solidFill>
          </w14:textFill>
        </w:rPr>
        <w:t>831辆，</w:t>
      </w:r>
      <w:r>
        <w:rPr>
          <w:rFonts w:hint="eastAsia" w:ascii="Times New Roman" w:hAnsi="Times New Roman" w:eastAsia="仿宋_GB2312" w:cs="Times New Roman"/>
          <w:color w:val="000000" w:themeColor="text1"/>
          <w:sz w:val="32"/>
          <w:szCs w:val="28"/>
          <w14:textFill>
            <w14:solidFill>
              <w14:schemeClr w14:val="tx1"/>
            </w14:solidFill>
          </w14:textFill>
        </w:rPr>
        <w:t>合计至2025</w:t>
      </w:r>
      <w:r>
        <w:rPr>
          <w:rFonts w:ascii="Times New Roman" w:hAnsi="Times New Roman" w:eastAsia="仿宋_GB2312" w:cs="Times New Roman"/>
          <w:color w:val="000000" w:themeColor="text1"/>
          <w:sz w:val="32"/>
          <w:szCs w:val="28"/>
          <w14:textFill>
            <w14:solidFill>
              <w14:schemeClr w14:val="tx1"/>
            </w14:solidFill>
          </w14:textFill>
        </w:rPr>
        <w:t>年</w:t>
      </w:r>
      <w:r>
        <w:rPr>
          <w:rFonts w:hint="eastAsia" w:ascii="Times New Roman" w:hAnsi="Times New Roman" w:eastAsia="仿宋_GB2312" w:cs="Times New Roman"/>
          <w:color w:val="000000" w:themeColor="text1"/>
          <w:sz w:val="32"/>
          <w:szCs w:val="28"/>
          <w14:textFill>
            <w14:solidFill>
              <w14:schemeClr w14:val="tx1"/>
            </w14:solidFill>
          </w14:textFill>
        </w:rPr>
        <w:t>达22831</w:t>
      </w:r>
      <w:r>
        <w:rPr>
          <w:rFonts w:ascii="Times New Roman" w:hAnsi="Times New Roman" w:eastAsia="仿宋_GB2312" w:cs="Times New Roman"/>
          <w:color w:val="000000" w:themeColor="text1"/>
          <w:sz w:val="32"/>
          <w:szCs w:val="28"/>
          <w14:textFill>
            <w14:solidFill>
              <w14:schemeClr w14:val="tx1"/>
            </w14:solidFill>
          </w14:textFill>
        </w:rPr>
        <w:t>辆</w:t>
      </w:r>
      <w:r>
        <w:rPr>
          <w:rFonts w:hint="eastAsia" w:ascii="Times New Roman" w:hAnsi="Times New Roman" w:eastAsia="仿宋_GB2312" w:cs="Times New Roman"/>
          <w:color w:val="000000" w:themeColor="text1"/>
          <w:sz w:val="32"/>
          <w:szCs w:val="28"/>
          <w14:textFill>
            <w14:solidFill>
              <w14:schemeClr w14:val="tx1"/>
            </w14:solidFill>
          </w14:textFill>
        </w:rPr>
        <w:t>。</w:t>
      </w:r>
      <w:r>
        <w:rPr>
          <w:rFonts w:ascii="Times New Roman" w:hAnsi="Times New Roman" w:eastAsia="仿宋_GB2312" w:cs="Times New Roman"/>
          <w:color w:val="000000" w:themeColor="text1"/>
          <w:sz w:val="32"/>
          <w:szCs w:val="28"/>
          <w14:textFill>
            <w14:solidFill>
              <w14:schemeClr w14:val="tx1"/>
            </w14:solidFill>
          </w14:textFill>
        </w:rPr>
        <w:t>按照车桩比及充</w:t>
      </w:r>
      <w:r>
        <w:rPr>
          <w:rFonts w:hint="eastAsia" w:ascii="Times New Roman" w:hAnsi="Times New Roman" w:eastAsia="仿宋_GB2312" w:cs="Times New Roman"/>
          <w:color w:val="000000" w:themeColor="text1"/>
          <w:sz w:val="32"/>
          <w:szCs w:val="28"/>
          <w14:textFill>
            <w14:solidFill>
              <w14:schemeClr w14:val="tx1"/>
            </w14:solidFill>
          </w14:textFill>
        </w:rPr>
        <w:t>电</w:t>
      </w:r>
      <w:r>
        <w:rPr>
          <w:rFonts w:ascii="Times New Roman" w:hAnsi="Times New Roman" w:eastAsia="仿宋_GB2312" w:cs="Times New Roman"/>
          <w:color w:val="000000" w:themeColor="text1"/>
          <w:sz w:val="32"/>
          <w:szCs w:val="28"/>
          <w14:textFill>
            <w14:solidFill>
              <w14:schemeClr w14:val="tx1"/>
            </w14:solidFill>
          </w14:textFill>
        </w:rPr>
        <w:t>需求两张测算方式对充电设施建设</w:t>
      </w:r>
      <w:r>
        <w:rPr>
          <w:rFonts w:hint="eastAsia" w:ascii="Times New Roman" w:hAnsi="Times New Roman" w:eastAsia="仿宋_GB2312" w:cs="Times New Roman"/>
          <w:color w:val="000000" w:themeColor="text1"/>
          <w:sz w:val="32"/>
          <w:szCs w:val="28"/>
          <w14:textFill>
            <w14:solidFill>
              <w14:schemeClr w14:val="tx1"/>
            </w14:solidFill>
          </w14:textFill>
        </w:rPr>
        <w:t>需求</w:t>
      </w:r>
      <w:r>
        <w:rPr>
          <w:rFonts w:ascii="Times New Roman" w:hAnsi="Times New Roman" w:eastAsia="仿宋_GB2312" w:cs="Times New Roman"/>
          <w:color w:val="000000" w:themeColor="text1"/>
          <w:sz w:val="32"/>
          <w:szCs w:val="28"/>
          <w14:textFill>
            <w14:solidFill>
              <w14:schemeClr w14:val="tx1"/>
            </w14:solidFill>
          </w14:textFill>
        </w:rPr>
        <w:t>进行预测。</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1.按车桩</w:t>
      </w:r>
      <w:r>
        <w:rPr>
          <w:rFonts w:ascii="Times New Roman" w:hAnsi="Times New Roman" w:eastAsia="仿宋_GB2312" w:cs="Times New Roman"/>
          <w:color w:val="000000" w:themeColor="text1"/>
          <w:sz w:val="32"/>
          <w:szCs w:val="28"/>
          <w14:textFill>
            <w14:solidFill>
              <w14:schemeClr w14:val="tx1"/>
            </w14:solidFill>
          </w14:textFill>
        </w:rPr>
        <w:t>比</w:t>
      </w:r>
      <w:r>
        <w:rPr>
          <w:rFonts w:hint="eastAsia" w:ascii="Times New Roman" w:hAnsi="Times New Roman" w:eastAsia="仿宋_GB2312" w:cs="Times New Roman"/>
          <w:color w:val="000000" w:themeColor="text1"/>
          <w:sz w:val="32"/>
          <w:szCs w:val="28"/>
          <w14:textFill>
            <w14:solidFill>
              <w14:schemeClr w14:val="tx1"/>
            </w14:solidFill>
          </w14:textFill>
        </w:rPr>
        <w:t>测算</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车桩比</w:t>
      </w:r>
      <w:r>
        <w:rPr>
          <w:rFonts w:ascii="Times New Roman" w:hAnsi="Times New Roman" w:eastAsia="仿宋_GB2312" w:cs="Times New Roman"/>
          <w:color w:val="000000" w:themeColor="text1"/>
          <w:sz w:val="32"/>
          <w:szCs w:val="28"/>
          <w14:textFill>
            <w14:solidFill>
              <w14:schemeClr w14:val="tx1"/>
            </w14:solidFill>
          </w14:textFill>
        </w:rPr>
        <w:t>是</w:t>
      </w:r>
      <w:r>
        <w:rPr>
          <w:rFonts w:hint="eastAsia" w:ascii="Times New Roman" w:hAnsi="Times New Roman" w:eastAsia="仿宋_GB2312" w:cs="Times New Roman"/>
          <w:color w:val="000000" w:themeColor="text1"/>
          <w:sz w:val="32"/>
          <w:szCs w:val="28"/>
          <w14:textFill>
            <w14:solidFill>
              <w14:schemeClr w14:val="tx1"/>
            </w14:solidFill>
          </w14:textFill>
        </w:rPr>
        <w:t>衡量</w:t>
      </w:r>
      <w:r>
        <w:rPr>
          <w:rFonts w:ascii="Times New Roman" w:hAnsi="Times New Roman" w:eastAsia="仿宋_GB2312" w:cs="Times New Roman"/>
          <w:color w:val="000000" w:themeColor="text1"/>
          <w:sz w:val="32"/>
          <w:szCs w:val="28"/>
          <w14:textFill>
            <w14:solidFill>
              <w14:schemeClr w14:val="tx1"/>
            </w14:solidFill>
          </w14:textFill>
        </w:rPr>
        <w:t>能否满足电动汽车</w:t>
      </w:r>
      <w:r>
        <w:rPr>
          <w:rFonts w:hint="eastAsia" w:ascii="Times New Roman" w:hAnsi="Times New Roman" w:eastAsia="仿宋_GB2312" w:cs="Times New Roman"/>
          <w:color w:val="000000" w:themeColor="text1"/>
          <w:sz w:val="32"/>
          <w:szCs w:val="28"/>
          <w14:textFill>
            <w14:solidFill>
              <w14:schemeClr w14:val="tx1"/>
            </w14:solidFill>
          </w14:textFill>
        </w:rPr>
        <w:t>充电</w:t>
      </w:r>
      <w:r>
        <w:rPr>
          <w:rFonts w:ascii="Times New Roman" w:hAnsi="Times New Roman" w:eastAsia="仿宋_GB2312" w:cs="Times New Roman"/>
          <w:color w:val="000000" w:themeColor="text1"/>
          <w:sz w:val="32"/>
          <w:szCs w:val="28"/>
          <w14:textFill>
            <w14:solidFill>
              <w14:schemeClr w14:val="tx1"/>
            </w14:solidFill>
          </w14:textFill>
        </w:rPr>
        <w:t>需求的重要指标。比值越低，意味着充电</w:t>
      </w:r>
      <w:r>
        <w:rPr>
          <w:rFonts w:hint="eastAsia" w:ascii="Times New Roman" w:hAnsi="Times New Roman" w:eastAsia="仿宋_GB2312" w:cs="Times New Roman"/>
          <w:color w:val="000000" w:themeColor="text1"/>
          <w:sz w:val="32"/>
          <w:szCs w:val="28"/>
          <w14:textFill>
            <w14:solidFill>
              <w14:schemeClr w14:val="tx1"/>
            </w14:solidFill>
          </w14:textFill>
        </w:rPr>
        <w:t>桩</w:t>
      </w:r>
      <w:r>
        <w:rPr>
          <w:rFonts w:ascii="Times New Roman" w:hAnsi="Times New Roman" w:eastAsia="仿宋_GB2312" w:cs="Times New Roman"/>
          <w:color w:val="000000" w:themeColor="text1"/>
          <w:sz w:val="32"/>
          <w:szCs w:val="28"/>
          <w14:textFill>
            <w14:solidFill>
              <w14:schemeClr w14:val="tx1"/>
            </w14:solidFill>
          </w14:textFill>
        </w:rPr>
        <w:t>的供给越充分，充电更加便利。</w:t>
      </w:r>
      <w:r>
        <w:rPr>
          <w:rFonts w:hint="eastAsia" w:ascii="Times New Roman" w:hAnsi="Times New Roman" w:eastAsia="仿宋_GB2312" w:cs="Times New Roman"/>
          <w:color w:val="000000" w:themeColor="text1"/>
          <w:sz w:val="32"/>
          <w:szCs w:val="28"/>
          <w14:textFill>
            <w14:solidFill>
              <w14:schemeClr w14:val="tx1"/>
            </w14:solidFill>
          </w14:textFill>
        </w:rPr>
        <w:t>电动汽车</w:t>
      </w:r>
      <w:r>
        <w:rPr>
          <w:rFonts w:ascii="Times New Roman" w:hAnsi="Times New Roman" w:eastAsia="仿宋_GB2312" w:cs="Times New Roman"/>
          <w:color w:val="000000" w:themeColor="text1"/>
          <w:sz w:val="32"/>
          <w:szCs w:val="28"/>
          <w14:textFill>
            <w14:solidFill>
              <w14:schemeClr w14:val="tx1"/>
            </w14:solidFill>
          </w14:textFill>
        </w:rPr>
        <w:t>充电桩供给侧重点在个人</w:t>
      </w:r>
      <w:r>
        <w:rPr>
          <w:rFonts w:hint="eastAsia" w:ascii="Times New Roman" w:hAnsi="Times New Roman" w:eastAsia="仿宋_GB2312" w:cs="Times New Roman"/>
          <w:color w:val="000000" w:themeColor="text1"/>
          <w:sz w:val="32"/>
          <w:szCs w:val="28"/>
          <w14:textFill>
            <w14:solidFill>
              <w14:schemeClr w14:val="tx1"/>
            </w14:solidFill>
          </w14:textFill>
        </w:rPr>
        <w:t>桩</w:t>
      </w:r>
      <w:r>
        <w:rPr>
          <w:rFonts w:ascii="Times New Roman" w:hAnsi="Times New Roman" w:eastAsia="仿宋_GB2312" w:cs="Times New Roman"/>
          <w:color w:val="000000" w:themeColor="text1"/>
          <w:sz w:val="32"/>
          <w:szCs w:val="28"/>
          <w14:textFill>
            <w14:solidFill>
              <w14:schemeClr w14:val="tx1"/>
            </w14:solidFill>
          </w14:textFill>
        </w:rPr>
        <w:t>的普及上，</w:t>
      </w:r>
      <w:r>
        <w:rPr>
          <w:rFonts w:hint="eastAsia" w:ascii="Times New Roman" w:hAnsi="Times New Roman" w:eastAsia="仿宋_GB2312" w:cs="Times New Roman"/>
          <w:color w:val="000000" w:themeColor="text1"/>
          <w:sz w:val="32"/>
          <w:szCs w:val="28"/>
          <w14:textFill>
            <w14:solidFill>
              <w14:schemeClr w14:val="tx1"/>
            </w14:solidFill>
          </w14:textFill>
        </w:rPr>
        <w:t>公共</w:t>
      </w:r>
      <w:r>
        <w:rPr>
          <w:rFonts w:ascii="Times New Roman" w:hAnsi="Times New Roman" w:eastAsia="仿宋_GB2312" w:cs="Times New Roman"/>
          <w:color w:val="000000" w:themeColor="text1"/>
          <w:sz w:val="32"/>
          <w:szCs w:val="28"/>
          <w14:textFill>
            <w14:solidFill>
              <w14:schemeClr w14:val="tx1"/>
            </w14:solidFill>
          </w14:textFill>
        </w:rPr>
        <w:t>桩作为</w:t>
      </w:r>
      <w:r>
        <w:rPr>
          <w:rFonts w:hint="eastAsia" w:ascii="Times New Roman" w:hAnsi="Times New Roman" w:eastAsia="仿宋_GB2312" w:cs="Times New Roman"/>
          <w:color w:val="000000" w:themeColor="text1"/>
          <w:sz w:val="32"/>
          <w:szCs w:val="28"/>
          <w14:textFill>
            <w14:solidFill>
              <w14:schemeClr w14:val="tx1"/>
            </w14:solidFill>
          </w14:textFill>
        </w:rPr>
        <w:t>公共</w:t>
      </w:r>
      <w:r>
        <w:rPr>
          <w:rFonts w:ascii="Times New Roman" w:hAnsi="Times New Roman" w:eastAsia="仿宋_GB2312" w:cs="Times New Roman"/>
          <w:color w:val="000000" w:themeColor="text1"/>
          <w:sz w:val="32"/>
          <w:szCs w:val="28"/>
          <w14:textFill>
            <w14:solidFill>
              <w14:schemeClr w14:val="tx1"/>
            </w14:solidFill>
          </w14:textFill>
        </w:rPr>
        <w:t>领域的保障，其车桩比需控制在一个合理的</w:t>
      </w:r>
      <w:r>
        <w:rPr>
          <w:rFonts w:hint="eastAsia" w:ascii="Times New Roman" w:hAnsi="Times New Roman" w:eastAsia="仿宋_GB2312" w:cs="Times New Roman"/>
          <w:color w:val="000000" w:themeColor="text1"/>
          <w:sz w:val="32"/>
          <w:szCs w:val="28"/>
          <w14:textFill>
            <w14:solidFill>
              <w14:schemeClr w14:val="tx1"/>
            </w14:solidFill>
          </w14:textFill>
        </w:rPr>
        <w:t>范围</w:t>
      </w:r>
      <w:r>
        <w:rPr>
          <w:rFonts w:ascii="Times New Roman" w:hAnsi="Times New Roman" w:eastAsia="仿宋_GB2312" w:cs="Times New Roman"/>
          <w:color w:val="000000" w:themeColor="text1"/>
          <w:sz w:val="32"/>
          <w:szCs w:val="28"/>
          <w14:textFill>
            <w14:solidFill>
              <w14:schemeClr w14:val="tx1"/>
            </w14:solidFill>
          </w14:textFill>
        </w:rPr>
        <w:t>，</w:t>
      </w:r>
      <w:r>
        <w:rPr>
          <w:rFonts w:hint="eastAsia" w:ascii="Times New Roman" w:hAnsi="Times New Roman" w:eastAsia="仿宋_GB2312" w:cs="Times New Roman"/>
          <w:color w:val="000000" w:themeColor="text1"/>
          <w:sz w:val="32"/>
          <w:szCs w:val="28"/>
          <w14:textFill>
            <w14:solidFill>
              <w14:schemeClr w14:val="tx1"/>
            </w14:solidFill>
          </w14:textFill>
        </w:rPr>
        <w:t>既满足公共</w:t>
      </w:r>
      <w:r>
        <w:rPr>
          <w:rFonts w:ascii="Times New Roman" w:hAnsi="Times New Roman" w:eastAsia="仿宋_GB2312" w:cs="Times New Roman"/>
          <w:color w:val="000000" w:themeColor="text1"/>
          <w:sz w:val="32"/>
          <w:szCs w:val="28"/>
          <w14:textFill>
            <w14:solidFill>
              <w14:schemeClr w14:val="tx1"/>
            </w14:solidFill>
          </w14:textFill>
        </w:rPr>
        <w:t>领域充电需求，又不造成公共资源的过渡浪费。</w:t>
      </w:r>
      <w:r>
        <w:rPr>
          <w:rFonts w:hint="eastAsia" w:ascii="Times New Roman" w:hAnsi="Times New Roman" w:eastAsia="仿宋_GB2312" w:cs="Times New Roman"/>
          <w:color w:val="000000" w:themeColor="text1"/>
          <w:sz w:val="32"/>
          <w:szCs w:val="28"/>
          <w14:textFill>
            <w14:solidFill>
              <w14:schemeClr w14:val="tx1"/>
            </w14:solidFill>
          </w14:textFill>
        </w:rPr>
        <w:t>现在</w:t>
      </w:r>
      <w:r>
        <w:rPr>
          <w:rFonts w:ascii="Times New Roman" w:hAnsi="Times New Roman" w:eastAsia="仿宋_GB2312" w:cs="Times New Roman"/>
          <w:color w:val="000000" w:themeColor="text1"/>
          <w:sz w:val="32"/>
          <w:szCs w:val="28"/>
          <w14:textFill>
            <w14:solidFill>
              <w14:schemeClr w14:val="tx1"/>
            </w14:solidFill>
          </w14:textFill>
        </w:rPr>
        <w:t>对</w:t>
      </w:r>
      <w:r>
        <w:rPr>
          <w:rFonts w:hint="eastAsia" w:ascii="Times New Roman" w:hAnsi="Times New Roman" w:eastAsia="仿宋_GB2312" w:cs="Times New Roman"/>
          <w:color w:val="000000" w:themeColor="text1"/>
          <w:sz w:val="32"/>
          <w:szCs w:val="28"/>
          <w14:textFill>
            <w14:solidFill>
              <w14:schemeClr w14:val="tx1"/>
            </w14:solidFill>
          </w14:textFill>
        </w:rPr>
        <w:t>7:1</w:t>
      </w:r>
      <w:r>
        <w:rPr>
          <w:rFonts w:ascii="Times New Roman" w:hAnsi="Times New Roman" w:eastAsia="仿宋_GB2312" w:cs="Times New Roman"/>
          <w:color w:val="000000" w:themeColor="text1"/>
          <w:sz w:val="32"/>
          <w:szCs w:val="28"/>
          <w14:textFill>
            <w14:solidFill>
              <w14:schemeClr w14:val="tx1"/>
            </w14:solidFill>
          </w14:textFill>
        </w:rPr>
        <w:t>-10</w:t>
      </w:r>
      <w:r>
        <w:rPr>
          <w:rFonts w:hint="eastAsia" w:ascii="Times New Roman" w:hAnsi="Times New Roman" w:eastAsia="仿宋_GB2312" w:cs="Times New Roman"/>
          <w:color w:val="000000" w:themeColor="text1"/>
          <w:sz w:val="32"/>
          <w:szCs w:val="28"/>
          <w14:textFill>
            <w14:solidFill>
              <w14:schemeClr w14:val="tx1"/>
            </w14:solidFill>
          </w14:textFill>
        </w:rPr>
        <w:t>:1多种车桩比</w:t>
      </w:r>
      <w:r>
        <w:rPr>
          <w:rFonts w:ascii="Times New Roman" w:hAnsi="Times New Roman" w:eastAsia="仿宋_GB2312" w:cs="Times New Roman"/>
          <w:color w:val="000000" w:themeColor="text1"/>
          <w:sz w:val="32"/>
          <w:szCs w:val="28"/>
          <w14:textFill>
            <w14:solidFill>
              <w14:schemeClr w14:val="tx1"/>
            </w14:solidFill>
          </w14:textFill>
        </w:rPr>
        <w:t>情况下的充电设施需求进行预测，</w:t>
      </w:r>
      <w:r>
        <w:rPr>
          <w:rFonts w:hint="eastAsia" w:ascii="Times New Roman" w:hAnsi="Times New Roman" w:eastAsia="仿宋_GB2312" w:cs="Times New Roman"/>
          <w:color w:val="000000" w:themeColor="text1"/>
          <w:sz w:val="32"/>
          <w:szCs w:val="28"/>
          <w14:textFill>
            <w14:solidFill>
              <w14:schemeClr w14:val="tx1"/>
            </w14:solidFill>
          </w14:textFill>
        </w:rPr>
        <w:t>具体</w:t>
      </w:r>
      <w:r>
        <w:rPr>
          <w:rFonts w:ascii="Times New Roman" w:hAnsi="Times New Roman" w:eastAsia="仿宋_GB2312" w:cs="Times New Roman"/>
          <w:color w:val="000000" w:themeColor="text1"/>
          <w:sz w:val="32"/>
          <w:szCs w:val="28"/>
          <w14:textFill>
            <w14:solidFill>
              <w14:schemeClr w14:val="tx1"/>
            </w14:solidFill>
          </w14:textFill>
        </w:rPr>
        <w:t>如下所示。</w:t>
      </w:r>
    </w:p>
    <w:p>
      <w:pPr>
        <w:pStyle w:val="2"/>
        <w:ind w:firstLine="588"/>
      </w:pPr>
    </w:p>
    <w:p>
      <w:pPr>
        <w:pStyle w:val="2"/>
        <w:ind w:firstLine="588"/>
      </w:pP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w:t>
      </w:r>
      <w:r>
        <w:rPr>
          <w:color w:val="000000" w:themeColor="text1"/>
          <w:sz w:val="24"/>
          <w14:textFill>
            <w14:solidFill>
              <w14:schemeClr w14:val="tx1"/>
            </w14:solidFill>
          </w14:textFill>
        </w:rPr>
        <w:t>4-7</w:t>
      </w:r>
      <w:r>
        <w:rPr>
          <w:rFonts w:hint="eastAsia"/>
          <w:color w:val="000000" w:themeColor="text1"/>
          <w:sz w:val="24"/>
          <w14:textFill>
            <w14:solidFill>
              <w14:schemeClr w14:val="tx1"/>
            </w14:solidFill>
          </w14:textFill>
        </w:rPr>
        <w:t>不同</w:t>
      </w:r>
      <w:r>
        <w:rPr>
          <w:color w:val="000000" w:themeColor="text1"/>
          <w:sz w:val="24"/>
          <w14:textFill>
            <w14:solidFill>
              <w14:schemeClr w14:val="tx1"/>
            </w14:solidFill>
          </w14:textFill>
        </w:rPr>
        <w:t>车桩比情况下的</w:t>
      </w:r>
      <w:r>
        <w:rPr>
          <w:rFonts w:hint="eastAsia"/>
          <w:color w:val="000000" w:themeColor="text1"/>
          <w:sz w:val="24"/>
          <w14:textFill>
            <w14:solidFill>
              <w14:schemeClr w14:val="tx1"/>
            </w14:solidFill>
          </w14:textFill>
        </w:rPr>
        <w:t>公共</w:t>
      </w:r>
      <w:r>
        <w:rPr>
          <w:color w:val="000000" w:themeColor="text1"/>
          <w:sz w:val="24"/>
          <w14:textFill>
            <w14:solidFill>
              <w14:schemeClr w14:val="tx1"/>
            </w14:solidFill>
          </w14:textFill>
        </w:rPr>
        <w:t>桩规模预测</w:t>
      </w:r>
      <w:r>
        <w:rPr>
          <w:rFonts w:hint="eastAsia"/>
          <w:color w:val="000000" w:themeColor="text1"/>
          <w:sz w:val="24"/>
          <w14:textFill>
            <w14:solidFill>
              <w14:schemeClr w14:val="tx1"/>
            </w14:solidFill>
          </w14:textFill>
        </w:rPr>
        <w:t>表</w:t>
      </w:r>
    </w:p>
    <w:tbl>
      <w:tblPr>
        <w:tblStyle w:val="25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8"/>
        <w:gridCol w:w="1878"/>
        <w:gridCol w:w="1878"/>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8" w:type="dxa"/>
            <w:noWrap/>
            <w:vAlign w:val="center"/>
          </w:tcPr>
          <w:p>
            <w:pPr>
              <w:pStyle w:val="69"/>
              <w:widowControl w:val="0"/>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　车桩比</w:t>
            </w:r>
          </w:p>
        </w:tc>
        <w:tc>
          <w:tcPr>
            <w:tcW w:w="1878" w:type="dxa"/>
            <w:noWrap/>
            <w:vAlign w:val="center"/>
          </w:tcPr>
          <w:p>
            <w:pPr>
              <w:pStyle w:val="69"/>
              <w:widowControl w:val="0"/>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2023年</w:t>
            </w:r>
          </w:p>
        </w:tc>
        <w:tc>
          <w:tcPr>
            <w:tcW w:w="1878" w:type="dxa"/>
            <w:noWrap/>
            <w:vAlign w:val="center"/>
          </w:tcPr>
          <w:p>
            <w:pPr>
              <w:pStyle w:val="69"/>
              <w:widowControl w:val="0"/>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2024年</w:t>
            </w:r>
          </w:p>
        </w:tc>
        <w:tc>
          <w:tcPr>
            <w:tcW w:w="1878" w:type="dxa"/>
            <w:noWrap/>
            <w:vAlign w:val="center"/>
          </w:tcPr>
          <w:p>
            <w:pPr>
              <w:pStyle w:val="69"/>
              <w:widowControl w:val="0"/>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10：1</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1483</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1883</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9：1</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1648</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2092 </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8：1</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1854</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2354</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7：1</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2119</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2690</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3261</w:t>
            </w:r>
          </w:p>
        </w:tc>
      </w:tr>
    </w:tbl>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2.按充电</w:t>
      </w:r>
      <w:r>
        <w:rPr>
          <w:rFonts w:ascii="Times New Roman" w:hAnsi="Times New Roman" w:eastAsia="仿宋_GB2312" w:cs="Times New Roman"/>
          <w:color w:val="000000" w:themeColor="text1"/>
          <w:sz w:val="32"/>
          <w:szCs w:val="28"/>
          <w14:textFill>
            <w14:solidFill>
              <w14:schemeClr w14:val="tx1"/>
            </w14:solidFill>
          </w14:textFill>
        </w:rPr>
        <w:t>需求测算</w:t>
      </w:r>
    </w:p>
    <w:p>
      <w:pPr>
        <w:spacing w:line="360" w:lineRule="auto"/>
        <w:ind w:firstLine="540"/>
        <w:rPr>
          <w:rFonts w:ascii="Calibri" w:hAnsi="Calibri" w:eastAsia="仿宋_GB2312" w:cs="Times New Roman"/>
          <w:color w:val="000000" w:themeColor="text1"/>
          <w:sz w:val="32"/>
          <w:lang w:val="zh-CN"/>
          <w14:textFill>
            <w14:solidFill>
              <w14:schemeClr w14:val="tx1"/>
            </w14:solidFill>
          </w14:textFill>
        </w:rPr>
      </w:pPr>
      <w:r>
        <w:rPr>
          <w:rFonts w:hint="eastAsia" w:ascii="Calibri" w:hAnsi="Calibri" w:eastAsia="仿宋_GB2312" w:cs="Times New Roman"/>
          <w:color w:val="000000" w:themeColor="text1"/>
          <w:sz w:val="32"/>
          <w:lang w:val="zh-CN"/>
          <w14:textFill>
            <w14:solidFill>
              <w14:schemeClr w14:val="tx1"/>
            </w14:solidFill>
          </w14:textFill>
        </w:rPr>
        <w:t>根据居民区以慢充为主，商业区以快充为主，办公区则快慢相济的</w:t>
      </w:r>
      <w:r>
        <w:rPr>
          <w:rFonts w:ascii="Calibri" w:hAnsi="Calibri" w:eastAsia="仿宋_GB2312" w:cs="Times New Roman"/>
          <w:color w:val="000000" w:themeColor="text1"/>
          <w:sz w:val="32"/>
          <w:lang w:val="zh-CN"/>
          <w14:textFill>
            <w14:solidFill>
              <w14:schemeClr w14:val="tx1"/>
            </w14:solidFill>
          </w14:textFill>
        </w:rPr>
        <w:t>布局原则，考虑镇海区</w:t>
      </w:r>
      <w:r>
        <w:rPr>
          <w:rFonts w:hint="eastAsia" w:ascii="Calibri" w:hAnsi="Calibri" w:eastAsia="仿宋_GB2312" w:cs="Times New Roman"/>
          <w:color w:val="000000" w:themeColor="text1"/>
          <w:sz w:val="32"/>
          <w:lang w:val="zh-CN"/>
          <w14:textFill>
            <w14:solidFill>
              <w14:schemeClr w14:val="tx1"/>
            </w14:solidFill>
          </w14:textFill>
        </w:rPr>
        <w:t>为解决</w:t>
      </w:r>
      <w:r>
        <w:rPr>
          <w:rFonts w:ascii="Calibri" w:hAnsi="Calibri" w:eastAsia="仿宋_GB2312" w:cs="Times New Roman"/>
          <w:color w:val="000000" w:themeColor="text1"/>
          <w:sz w:val="32"/>
          <w:lang w:val="zh-CN"/>
          <w14:textFill>
            <w14:solidFill>
              <w14:schemeClr w14:val="tx1"/>
            </w14:solidFill>
          </w14:textFill>
        </w:rPr>
        <w:t>老旧、拆迁安置小区</w:t>
      </w:r>
      <w:r>
        <w:rPr>
          <w:rFonts w:hint="eastAsia" w:ascii="Calibri" w:hAnsi="Calibri" w:eastAsia="仿宋_GB2312" w:cs="Times New Roman"/>
          <w:color w:val="000000" w:themeColor="text1"/>
          <w:sz w:val="32"/>
          <w:lang w:val="zh-CN"/>
          <w14:textFill>
            <w14:solidFill>
              <w14:schemeClr w14:val="tx1"/>
            </w14:solidFill>
          </w14:textFill>
        </w:rPr>
        <w:t>充电</w:t>
      </w:r>
      <w:r>
        <w:rPr>
          <w:rFonts w:ascii="Calibri" w:hAnsi="Calibri" w:eastAsia="仿宋_GB2312" w:cs="Times New Roman"/>
          <w:color w:val="000000" w:themeColor="text1"/>
          <w:sz w:val="32"/>
          <w:lang w:val="zh-CN"/>
          <w14:textFill>
            <w14:solidFill>
              <w14:schemeClr w14:val="tx1"/>
            </w14:solidFill>
          </w14:textFill>
        </w:rPr>
        <w:t>难</w:t>
      </w:r>
      <w:r>
        <w:rPr>
          <w:rFonts w:hint="eastAsia" w:ascii="Calibri" w:hAnsi="Calibri" w:eastAsia="仿宋_GB2312" w:cs="Times New Roman"/>
          <w:color w:val="000000" w:themeColor="text1"/>
          <w:sz w:val="32"/>
          <w:lang w:val="zh-CN"/>
          <w14:textFill>
            <w14:solidFill>
              <w14:schemeClr w14:val="tx1"/>
            </w14:solidFill>
          </w14:textFill>
        </w:rPr>
        <w:t>的</w:t>
      </w:r>
      <w:r>
        <w:rPr>
          <w:rFonts w:ascii="Calibri" w:hAnsi="Calibri" w:eastAsia="仿宋_GB2312" w:cs="Times New Roman"/>
          <w:color w:val="000000" w:themeColor="text1"/>
          <w:sz w:val="32"/>
          <w:lang w:val="zh-CN"/>
          <w14:textFill>
            <w14:solidFill>
              <w14:schemeClr w14:val="tx1"/>
            </w14:solidFill>
          </w14:textFill>
        </w:rPr>
        <w:t>现实问题，布局</w:t>
      </w:r>
      <w:r>
        <w:rPr>
          <w:rFonts w:hint="eastAsia" w:ascii="Calibri" w:hAnsi="Calibri" w:eastAsia="仿宋_GB2312" w:cs="Times New Roman"/>
          <w:color w:val="000000" w:themeColor="text1"/>
          <w:sz w:val="32"/>
          <w:lang w:val="zh-CN"/>
          <w14:textFill>
            <w14:solidFill>
              <w14:schemeClr w14:val="tx1"/>
            </w14:solidFill>
          </w14:textFill>
        </w:rPr>
        <w:t>大量交流枪</w:t>
      </w:r>
      <w:r>
        <w:rPr>
          <w:rFonts w:ascii="Calibri" w:hAnsi="Calibri" w:eastAsia="仿宋_GB2312" w:cs="Times New Roman"/>
          <w:color w:val="000000" w:themeColor="text1"/>
          <w:sz w:val="32"/>
          <w:lang w:val="zh-CN"/>
          <w14:textFill>
            <w14:solidFill>
              <w14:schemeClr w14:val="tx1"/>
            </w14:solidFill>
          </w14:textFill>
        </w:rPr>
        <w:t>于周边商业、办公、停车场区域。因此</w:t>
      </w:r>
      <w:r>
        <w:rPr>
          <w:rFonts w:hint="eastAsia" w:ascii="Calibri" w:hAnsi="Calibri" w:eastAsia="仿宋_GB2312" w:cs="Times New Roman"/>
          <w:color w:val="000000" w:themeColor="text1"/>
          <w:sz w:val="32"/>
          <w:lang w:val="zh-CN"/>
          <w14:textFill>
            <w14:solidFill>
              <w14:schemeClr w14:val="tx1"/>
            </w14:solidFill>
          </w14:textFill>
        </w:rPr>
        <w:t>预计</w:t>
      </w:r>
      <w:r>
        <w:rPr>
          <w:rFonts w:ascii="Calibri" w:hAnsi="Calibri" w:eastAsia="仿宋_GB2312" w:cs="Times New Roman"/>
          <w:color w:val="000000" w:themeColor="text1"/>
          <w:sz w:val="32"/>
          <w:lang w:val="zh-CN"/>
          <w14:textFill>
            <w14:solidFill>
              <w14:schemeClr w14:val="tx1"/>
            </w14:solidFill>
          </w14:textFill>
        </w:rPr>
        <w:t>2025年镇海区公共充电桩直流快充与交流慢充比为4:6。</w:t>
      </w:r>
      <w:r>
        <w:rPr>
          <w:rFonts w:hint="eastAsia" w:ascii="Calibri" w:hAnsi="Calibri" w:eastAsia="仿宋_GB2312" w:cs="Times New Roman"/>
          <w:color w:val="000000" w:themeColor="text1"/>
          <w:sz w:val="32"/>
          <w:lang w:val="zh-CN"/>
          <w14:textFill>
            <w14:solidFill>
              <w14:schemeClr w14:val="tx1"/>
            </w14:solidFill>
          </w14:textFill>
        </w:rPr>
        <w:t>按充电桩日均利用率为</w:t>
      </w:r>
      <w:r>
        <w:rPr>
          <w:rFonts w:ascii="Calibri" w:hAnsi="Calibri" w:eastAsia="仿宋_GB2312" w:cs="Times New Roman"/>
          <w:color w:val="000000" w:themeColor="text1"/>
          <w:sz w:val="32"/>
          <w:lang w:val="zh-CN"/>
          <w14:textFill>
            <w14:solidFill>
              <w14:schemeClr w14:val="tx1"/>
            </w14:solidFill>
          </w14:textFill>
        </w:rPr>
        <w:t>0.6</w:t>
      </w:r>
      <w:r>
        <w:rPr>
          <w:rFonts w:hint="eastAsia" w:ascii="Calibri" w:hAnsi="Calibri" w:eastAsia="仿宋_GB2312" w:cs="Times New Roman"/>
          <w:color w:val="000000" w:themeColor="text1"/>
          <w:sz w:val="32"/>
          <w:lang w:val="zh-CN"/>
          <w14:textFill>
            <w14:solidFill>
              <w14:schemeClr w14:val="tx1"/>
            </w14:solidFill>
          </w14:textFill>
        </w:rPr>
        <w:t>，至2025年</w:t>
      </w:r>
      <w:r>
        <w:rPr>
          <w:rFonts w:hint="eastAsia" w:ascii="Calibri" w:hAnsi="Calibri" w:eastAsia="仿宋_GB2312" w:cs="Times New Roman"/>
          <w:color w:val="000000" w:themeColor="text1"/>
          <w:sz w:val="32"/>
          <w:lang w:eastAsia="zh-Hans"/>
          <w14:textFill>
            <w14:solidFill>
              <w14:schemeClr w14:val="tx1"/>
            </w14:solidFill>
          </w14:textFill>
        </w:rPr>
        <w:t>预计</w:t>
      </w:r>
      <w:r>
        <w:rPr>
          <w:rFonts w:hint="eastAsia" w:ascii="Calibri" w:hAnsi="Calibri" w:eastAsia="仿宋_GB2312" w:cs="Times New Roman"/>
          <w:color w:val="000000" w:themeColor="text1"/>
          <w:sz w:val="32"/>
          <w:lang w:val="zh-CN"/>
          <w14:textFill>
            <w14:solidFill>
              <w14:schemeClr w14:val="tx1"/>
            </w14:solidFill>
          </w14:textFill>
        </w:rPr>
        <w:t>公共充电桩</w:t>
      </w:r>
      <w:r>
        <w:rPr>
          <w:rFonts w:hint="eastAsia" w:ascii="Calibri" w:hAnsi="Calibri" w:eastAsia="仿宋_GB2312" w:cs="Times New Roman"/>
          <w:color w:val="000000" w:themeColor="text1"/>
          <w:sz w:val="32"/>
          <w:lang w:eastAsia="zh-Hans"/>
          <w14:textFill>
            <w14:solidFill>
              <w14:schemeClr w14:val="tx1"/>
            </w14:solidFill>
          </w14:textFill>
        </w:rPr>
        <w:t>需求量约</w:t>
      </w:r>
      <w:r>
        <w:rPr>
          <w:rFonts w:hint="eastAsia" w:ascii="Calibri" w:hAnsi="Calibri" w:eastAsia="仿宋_GB2312" w:cs="Times New Roman"/>
          <w:color w:val="000000" w:themeColor="text1"/>
          <w:sz w:val="32"/>
          <w:lang w:val="zh-CN"/>
          <w14:textFill>
            <w14:solidFill>
              <w14:schemeClr w14:val="tx1"/>
            </w14:solidFill>
          </w14:textFill>
        </w:rPr>
        <w:t>3463个。</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8</w:t>
      </w:r>
      <w:r>
        <w:rPr>
          <w:rFonts w:hint="eastAsia"/>
          <w:color w:val="000000" w:themeColor="text1"/>
          <w:sz w:val="24"/>
          <w14:textFill>
            <w14:solidFill>
              <w14:schemeClr w14:val="tx1"/>
            </w14:solidFill>
          </w14:textFill>
        </w:rPr>
        <w:t xml:space="preserve"> 按</w:t>
      </w:r>
      <w:r>
        <w:rPr>
          <w:color w:val="000000" w:themeColor="text1"/>
          <w:sz w:val="24"/>
          <w14:textFill>
            <w14:solidFill>
              <w14:schemeClr w14:val="tx1"/>
            </w14:solidFill>
          </w14:textFill>
        </w:rPr>
        <w:t>充电需求测算的</w:t>
      </w:r>
      <w:r>
        <w:rPr>
          <w:rFonts w:hint="eastAsia"/>
          <w:color w:val="000000" w:themeColor="text1"/>
          <w:sz w:val="24"/>
          <w14:textFill>
            <w14:solidFill>
              <w14:schemeClr w14:val="tx1"/>
            </w14:solidFill>
          </w14:textFill>
        </w:rPr>
        <w:t>公共桩规模预测表</w:t>
      </w:r>
    </w:p>
    <w:tbl>
      <w:tblPr>
        <w:tblStyle w:val="25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8"/>
        <w:gridCol w:w="1878"/>
        <w:gridCol w:w="1878"/>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8" w:type="dxa"/>
            <w:noWrap/>
            <w:vAlign w:val="center"/>
          </w:tcPr>
          <w:p>
            <w:pPr>
              <w:pStyle w:val="69"/>
              <w:widowControl w:val="0"/>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分类</w:t>
            </w:r>
          </w:p>
        </w:tc>
        <w:tc>
          <w:tcPr>
            <w:tcW w:w="1878" w:type="dxa"/>
            <w:noWrap/>
            <w:vAlign w:val="center"/>
          </w:tcPr>
          <w:p>
            <w:pPr>
              <w:pStyle w:val="69"/>
              <w:widowControl w:val="0"/>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2023年</w:t>
            </w:r>
          </w:p>
        </w:tc>
        <w:tc>
          <w:tcPr>
            <w:tcW w:w="1878" w:type="dxa"/>
            <w:noWrap/>
            <w:vAlign w:val="center"/>
          </w:tcPr>
          <w:p>
            <w:pPr>
              <w:pStyle w:val="69"/>
              <w:widowControl w:val="0"/>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2024年</w:t>
            </w:r>
          </w:p>
        </w:tc>
        <w:tc>
          <w:tcPr>
            <w:tcW w:w="1878" w:type="dxa"/>
            <w:noWrap/>
            <w:vAlign w:val="center"/>
          </w:tcPr>
          <w:p>
            <w:pPr>
              <w:pStyle w:val="69"/>
              <w:widowControl w:val="0"/>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直流枪（个）</w:t>
            </w:r>
          </w:p>
        </w:tc>
        <w:tc>
          <w:tcPr>
            <w:tcW w:w="1878" w:type="dxa"/>
            <w:noWrap/>
            <w:vAlign w:val="bottom"/>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990</w:t>
            </w:r>
          </w:p>
        </w:tc>
        <w:tc>
          <w:tcPr>
            <w:tcW w:w="1878" w:type="dxa"/>
            <w:noWrap/>
            <w:vAlign w:val="bottom"/>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1175</w:t>
            </w:r>
          </w:p>
        </w:tc>
        <w:tc>
          <w:tcPr>
            <w:tcW w:w="1878" w:type="dxa"/>
            <w:noWrap/>
            <w:vAlign w:val="bottom"/>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1385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交流枪</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个</w:t>
            </w:r>
            <w:r>
              <w:rPr>
                <w:color w:val="000000" w:themeColor="text1"/>
                <w:sz w:val="24"/>
                <w14:textFill>
                  <w14:solidFill>
                    <w14:schemeClr w14:val="tx1"/>
                  </w14:solidFill>
                </w14:textFill>
              </w:rPr>
              <w:t>）</w:t>
            </w:r>
          </w:p>
        </w:tc>
        <w:tc>
          <w:tcPr>
            <w:tcW w:w="1878" w:type="dxa"/>
            <w:noWrap/>
            <w:vAlign w:val="bottom"/>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848</w:t>
            </w:r>
          </w:p>
        </w:tc>
        <w:tc>
          <w:tcPr>
            <w:tcW w:w="1878" w:type="dxa"/>
            <w:noWrap/>
            <w:vAlign w:val="bottom"/>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1007</w:t>
            </w:r>
          </w:p>
        </w:tc>
        <w:tc>
          <w:tcPr>
            <w:tcW w:w="1878" w:type="dxa"/>
            <w:noWrap/>
            <w:vAlign w:val="bottom"/>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2078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总</w:t>
            </w:r>
            <w:r>
              <w:rPr>
                <w:color w:val="000000" w:themeColor="text1"/>
                <w:sz w:val="24"/>
                <w14:textFill>
                  <w14:solidFill>
                    <w14:schemeClr w14:val="tx1"/>
                  </w14:solidFill>
                </w14:textFill>
              </w:rPr>
              <w:t>桩数（</w:t>
            </w:r>
            <w:r>
              <w:rPr>
                <w:rFonts w:hint="eastAsia"/>
                <w:color w:val="000000" w:themeColor="text1"/>
                <w:sz w:val="24"/>
                <w14:textFill>
                  <w14:solidFill>
                    <w14:schemeClr w14:val="tx1"/>
                  </w14:solidFill>
                </w14:textFill>
              </w:rPr>
              <w:t>个</w:t>
            </w:r>
            <w:r>
              <w:rPr>
                <w:color w:val="000000" w:themeColor="text1"/>
                <w:sz w:val="24"/>
                <w14:textFill>
                  <w14:solidFill>
                    <w14:schemeClr w14:val="tx1"/>
                  </w14:solidFill>
                </w14:textFill>
              </w:rPr>
              <w:t>）</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1838</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2182</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3463</w:t>
            </w:r>
          </w:p>
        </w:tc>
      </w:tr>
    </w:tbl>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3.公共</w:t>
      </w:r>
      <w:r>
        <w:rPr>
          <w:rFonts w:ascii="Times New Roman" w:hAnsi="Times New Roman" w:eastAsia="仿宋_GB2312" w:cs="Times New Roman"/>
          <w:color w:val="000000" w:themeColor="text1"/>
          <w:sz w:val="32"/>
          <w:szCs w:val="28"/>
          <w14:textFill>
            <w14:solidFill>
              <w14:schemeClr w14:val="tx1"/>
            </w14:solidFill>
          </w14:textFill>
        </w:rPr>
        <w:t>桩预测</w:t>
      </w:r>
      <w:r>
        <w:rPr>
          <w:rFonts w:hint="eastAsia" w:ascii="Times New Roman" w:hAnsi="Times New Roman" w:eastAsia="仿宋_GB2312" w:cs="Times New Roman"/>
          <w:color w:val="000000" w:themeColor="text1"/>
          <w:sz w:val="32"/>
          <w:szCs w:val="28"/>
          <w14:textFill>
            <w14:solidFill>
              <w14:schemeClr w14:val="tx1"/>
            </w14:solidFill>
          </w14:textFill>
        </w:rPr>
        <w:t>取</w:t>
      </w:r>
      <w:r>
        <w:rPr>
          <w:rFonts w:ascii="Times New Roman" w:hAnsi="Times New Roman" w:eastAsia="仿宋_GB2312" w:cs="Times New Roman"/>
          <w:color w:val="000000" w:themeColor="text1"/>
          <w:sz w:val="32"/>
          <w:szCs w:val="28"/>
          <w14:textFill>
            <w14:solidFill>
              <w14:schemeClr w14:val="tx1"/>
            </w14:solidFill>
          </w14:textFill>
        </w:rPr>
        <w:t>值</w:t>
      </w:r>
      <w:r>
        <w:rPr>
          <w:rFonts w:hint="eastAsia" w:ascii="Times New Roman" w:hAnsi="Times New Roman" w:eastAsia="仿宋_GB2312" w:cs="Times New Roman"/>
          <w:color w:val="000000" w:themeColor="text1"/>
          <w:sz w:val="32"/>
          <w:szCs w:val="28"/>
          <w14:textFill>
            <w14:solidFill>
              <w14:schemeClr w14:val="tx1"/>
            </w14:solidFill>
          </w14:textFill>
        </w:rPr>
        <w:t>范围</w:t>
      </w:r>
    </w:p>
    <w:p>
      <w:pPr>
        <w:pStyle w:val="2"/>
        <w:ind w:firstLine="640"/>
        <w:rPr>
          <w:rFonts w:ascii="Calibri" w:hAnsi="Calibri" w:eastAsia="仿宋_GB2312"/>
          <w:color w:val="000000" w:themeColor="text1"/>
          <w:sz w:val="32"/>
          <w:szCs w:val="22"/>
          <w:lang w:val="zh-CN"/>
          <w14:textFill>
            <w14:solidFill>
              <w14:schemeClr w14:val="tx1"/>
            </w14:solidFill>
          </w14:textFill>
        </w:rPr>
      </w:pPr>
      <w:r>
        <w:rPr>
          <w:rFonts w:hint="eastAsia" w:ascii="Calibri" w:hAnsi="Calibri" w:eastAsia="仿宋_GB2312"/>
          <w:color w:val="000000" w:themeColor="text1"/>
          <w:sz w:val="32"/>
          <w:szCs w:val="22"/>
          <w:lang w:val="zh-CN"/>
          <w14:textFill>
            <w14:solidFill>
              <w14:schemeClr w14:val="tx1"/>
            </w14:solidFill>
          </w14:textFill>
        </w:rPr>
        <w:t>结合基于车桩</w:t>
      </w:r>
      <w:r>
        <w:rPr>
          <w:rFonts w:ascii="Calibri" w:hAnsi="Calibri" w:eastAsia="仿宋_GB2312"/>
          <w:color w:val="000000" w:themeColor="text1"/>
          <w:sz w:val="32"/>
          <w:szCs w:val="22"/>
          <w:lang w:val="zh-CN"/>
          <w14:textFill>
            <w14:solidFill>
              <w14:schemeClr w14:val="tx1"/>
            </w14:solidFill>
          </w14:textFill>
        </w:rPr>
        <w:t>比</w:t>
      </w:r>
      <w:r>
        <w:rPr>
          <w:rFonts w:hint="eastAsia" w:ascii="Calibri" w:hAnsi="Calibri" w:eastAsia="仿宋_GB2312"/>
          <w:color w:val="000000" w:themeColor="text1"/>
          <w:sz w:val="32"/>
          <w:szCs w:val="22"/>
          <w:lang w:val="zh-CN"/>
          <w14:textFill>
            <w14:solidFill>
              <w14:schemeClr w14:val="tx1"/>
            </w14:solidFill>
          </w14:textFill>
        </w:rPr>
        <w:t>的</w:t>
      </w:r>
      <w:r>
        <w:rPr>
          <w:rFonts w:ascii="Calibri" w:hAnsi="Calibri" w:eastAsia="仿宋_GB2312"/>
          <w:color w:val="000000" w:themeColor="text1"/>
          <w:sz w:val="32"/>
          <w:szCs w:val="22"/>
          <w:lang w:val="zh-CN"/>
          <w14:textFill>
            <w14:solidFill>
              <w14:schemeClr w14:val="tx1"/>
            </w14:solidFill>
          </w14:textFill>
        </w:rPr>
        <w:t>需求</w:t>
      </w:r>
      <w:r>
        <w:rPr>
          <w:rFonts w:hint="eastAsia" w:ascii="Calibri" w:hAnsi="Calibri" w:eastAsia="仿宋_GB2312"/>
          <w:color w:val="000000" w:themeColor="text1"/>
          <w:sz w:val="32"/>
          <w:szCs w:val="22"/>
          <w:lang w:val="zh-CN"/>
          <w14:textFill>
            <w14:solidFill>
              <w14:schemeClr w14:val="tx1"/>
            </w14:solidFill>
          </w14:textFill>
        </w:rPr>
        <w:t>测算结果</w:t>
      </w:r>
      <w:r>
        <w:rPr>
          <w:rFonts w:ascii="Calibri" w:hAnsi="Calibri" w:eastAsia="仿宋_GB2312"/>
          <w:color w:val="000000" w:themeColor="text1"/>
          <w:sz w:val="32"/>
          <w:szCs w:val="22"/>
          <w:lang w:val="zh-CN"/>
          <w14:textFill>
            <w14:solidFill>
              <w14:schemeClr w14:val="tx1"/>
            </w14:solidFill>
          </w14:textFill>
        </w:rPr>
        <w:t>以及基于充电需求的测算结果</w:t>
      </w:r>
      <w:r>
        <w:rPr>
          <w:rFonts w:hint="eastAsia" w:ascii="Calibri" w:hAnsi="Calibri" w:eastAsia="仿宋_GB2312"/>
          <w:color w:val="000000" w:themeColor="text1"/>
          <w:sz w:val="32"/>
          <w:szCs w:val="22"/>
          <w:lang w:val="zh-CN"/>
          <w14:textFill>
            <w14:solidFill>
              <w14:schemeClr w14:val="tx1"/>
            </w14:solidFill>
          </w14:textFill>
        </w:rPr>
        <w:t>，得到镇海区2023-</w:t>
      </w:r>
      <w:r>
        <w:rPr>
          <w:rFonts w:ascii="Calibri" w:hAnsi="Calibri" w:eastAsia="仿宋_GB2312"/>
          <w:color w:val="000000" w:themeColor="text1"/>
          <w:sz w:val="32"/>
          <w:szCs w:val="22"/>
          <w:lang w:val="zh-CN"/>
          <w14:textFill>
            <w14:solidFill>
              <w14:schemeClr w14:val="tx1"/>
            </w14:solidFill>
          </w14:textFill>
        </w:rPr>
        <w:t>2025</w:t>
      </w:r>
      <w:r>
        <w:rPr>
          <w:rFonts w:hint="eastAsia" w:ascii="Calibri" w:hAnsi="Calibri" w:eastAsia="仿宋_GB2312"/>
          <w:color w:val="000000" w:themeColor="text1"/>
          <w:sz w:val="32"/>
          <w:szCs w:val="22"/>
          <w:lang w:val="zh-CN"/>
          <w14:textFill>
            <w14:solidFill>
              <w14:schemeClr w14:val="tx1"/>
            </w14:solidFill>
          </w14:textFill>
        </w:rPr>
        <w:t>年公共</w:t>
      </w:r>
      <w:r>
        <w:rPr>
          <w:rFonts w:ascii="Calibri" w:hAnsi="Calibri" w:eastAsia="仿宋_GB2312"/>
          <w:color w:val="000000" w:themeColor="text1"/>
          <w:sz w:val="32"/>
          <w:szCs w:val="22"/>
          <w:lang w:val="zh-CN"/>
          <w14:textFill>
            <w14:solidFill>
              <w14:schemeClr w14:val="tx1"/>
            </w14:solidFill>
          </w14:textFill>
        </w:rPr>
        <w:t>桩数量预测高低值</w:t>
      </w:r>
      <w:r>
        <w:rPr>
          <w:rFonts w:hint="eastAsia" w:ascii="Calibri" w:hAnsi="Calibri" w:eastAsia="仿宋_GB2312"/>
          <w:color w:val="000000" w:themeColor="text1"/>
          <w:sz w:val="32"/>
          <w:szCs w:val="22"/>
          <w:lang w:val="zh-CN"/>
          <w14:textFill>
            <w14:solidFill>
              <w14:schemeClr w14:val="tx1"/>
            </w14:solidFill>
          </w14:textFill>
        </w:rPr>
        <w:t>如下</w:t>
      </w:r>
      <w:r>
        <w:rPr>
          <w:rFonts w:ascii="Calibri" w:hAnsi="Calibri" w:eastAsia="仿宋_GB2312"/>
          <w:color w:val="000000" w:themeColor="text1"/>
          <w:sz w:val="32"/>
          <w:szCs w:val="22"/>
          <w:lang w:val="zh-CN"/>
          <w14:textFill>
            <w14:solidFill>
              <w14:schemeClr w14:val="tx1"/>
            </w14:solidFill>
          </w14:textFill>
        </w:rPr>
        <w:t>。</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w:t>
      </w:r>
      <w:r>
        <w:rPr>
          <w:color w:val="000000" w:themeColor="text1"/>
          <w:sz w:val="24"/>
          <w14:textFill>
            <w14:solidFill>
              <w14:schemeClr w14:val="tx1"/>
            </w14:solidFill>
          </w14:textFill>
        </w:rPr>
        <w:t>4-9</w:t>
      </w:r>
      <w:r>
        <w:rPr>
          <w:rFonts w:hint="eastAsia"/>
          <w:color w:val="000000" w:themeColor="text1"/>
          <w:sz w:val="24"/>
          <w14:textFill>
            <w14:solidFill>
              <w14:schemeClr w14:val="tx1"/>
            </w14:solidFill>
          </w14:textFill>
        </w:rPr>
        <w:t>镇海区2</w:t>
      </w:r>
      <w:r>
        <w:rPr>
          <w:color w:val="000000" w:themeColor="text1"/>
          <w:sz w:val="24"/>
          <w14:textFill>
            <w14:solidFill>
              <w14:schemeClr w14:val="tx1"/>
            </w14:solidFill>
          </w14:textFill>
        </w:rPr>
        <w:t>023-2025</w:t>
      </w:r>
      <w:r>
        <w:rPr>
          <w:rFonts w:hint="eastAsia"/>
          <w:color w:val="000000" w:themeColor="text1"/>
          <w:sz w:val="24"/>
          <w14:textFill>
            <w14:solidFill>
              <w14:schemeClr w14:val="tx1"/>
            </w14:solidFill>
          </w14:textFill>
        </w:rPr>
        <w:t>年公共</w:t>
      </w:r>
      <w:r>
        <w:rPr>
          <w:color w:val="000000" w:themeColor="text1"/>
          <w:sz w:val="24"/>
          <w14:textFill>
            <w14:solidFill>
              <w14:schemeClr w14:val="tx1"/>
            </w14:solidFill>
          </w14:textFill>
        </w:rPr>
        <w:t>充电桩数量预测表</w:t>
      </w:r>
    </w:p>
    <w:tbl>
      <w:tblPr>
        <w:tblStyle w:val="25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6"/>
        <w:gridCol w:w="1878"/>
        <w:gridCol w:w="1878"/>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6" w:type="dxa"/>
            <w:noWrap/>
            <w:vAlign w:val="center"/>
          </w:tcPr>
          <w:p>
            <w:pPr>
              <w:pStyle w:val="69"/>
              <w:widowControl w:val="0"/>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分类</w:t>
            </w:r>
            <w:bookmarkStart w:id="38" w:name="_GoBack"/>
            <w:bookmarkEnd w:id="38"/>
          </w:p>
        </w:tc>
        <w:tc>
          <w:tcPr>
            <w:tcW w:w="1878" w:type="dxa"/>
            <w:noWrap/>
            <w:vAlign w:val="center"/>
          </w:tcPr>
          <w:p>
            <w:pPr>
              <w:pStyle w:val="69"/>
              <w:widowControl w:val="0"/>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2023年</w:t>
            </w:r>
          </w:p>
        </w:tc>
        <w:tc>
          <w:tcPr>
            <w:tcW w:w="1878" w:type="dxa"/>
            <w:noWrap/>
            <w:vAlign w:val="center"/>
          </w:tcPr>
          <w:p>
            <w:pPr>
              <w:pStyle w:val="69"/>
              <w:widowControl w:val="0"/>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2024年</w:t>
            </w:r>
          </w:p>
        </w:tc>
        <w:tc>
          <w:tcPr>
            <w:tcW w:w="1880" w:type="dxa"/>
            <w:noWrap/>
            <w:vAlign w:val="center"/>
          </w:tcPr>
          <w:p>
            <w:pPr>
              <w:pStyle w:val="69"/>
              <w:widowControl w:val="0"/>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6"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低值（个）</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1483</w:t>
            </w:r>
          </w:p>
        </w:tc>
        <w:tc>
          <w:tcPr>
            <w:tcW w:w="1878"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1883 </w:t>
            </w:r>
          </w:p>
        </w:tc>
        <w:tc>
          <w:tcPr>
            <w:tcW w:w="1880"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6" w:type="dxa"/>
            <w:noWrap/>
            <w:vAlign w:val="center"/>
          </w:tcPr>
          <w:p>
            <w:pPr>
              <w:pStyle w:val="69"/>
              <w:widowControl w:val="0"/>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高值</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个</w:t>
            </w:r>
            <w:r>
              <w:rPr>
                <w:color w:val="000000" w:themeColor="text1"/>
                <w:sz w:val="24"/>
                <w14:textFill>
                  <w14:solidFill>
                    <w14:schemeClr w14:val="tx1"/>
                  </w14:solidFill>
                </w14:textFill>
              </w:rPr>
              <w:t>）</w:t>
            </w:r>
          </w:p>
        </w:tc>
        <w:tc>
          <w:tcPr>
            <w:tcW w:w="1878" w:type="dxa"/>
            <w:noWrap/>
            <w:vAlign w:val="center"/>
          </w:tcPr>
          <w:p>
            <w:pPr>
              <w:widowControl/>
              <w:spacing w:line="240" w:lineRule="auto"/>
              <w:ind w:firstLine="0" w:firstLineChars="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1838</w:t>
            </w:r>
          </w:p>
        </w:tc>
        <w:tc>
          <w:tcPr>
            <w:tcW w:w="1878" w:type="dxa"/>
            <w:noWrap/>
            <w:vAlign w:val="center"/>
          </w:tcPr>
          <w:p>
            <w:pPr>
              <w:spacing w:line="240" w:lineRule="auto"/>
              <w:ind w:firstLine="0" w:firstLineChars="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2182</w:t>
            </w:r>
          </w:p>
        </w:tc>
        <w:tc>
          <w:tcPr>
            <w:tcW w:w="1880" w:type="dxa"/>
            <w:noWrap/>
            <w:vAlign w:val="center"/>
          </w:tcPr>
          <w:p>
            <w:pPr>
              <w:spacing w:line="240" w:lineRule="auto"/>
              <w:ind w:firstLine="0" w:firstLineChars="0"/>
              <w:jc w:val="center"/>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color w:val="000000" w:themeColor="text1"/>
                <w:sz w:val="24"/>
                <w:szCs w:val="28"/>
                <w14:textFill>
                  <w14:solidFill>
                    <w14:schemeClr w14:val="tx1"/>
                  </w14:solidFill>
                </w14:textFill>
              </w:rPr>
              <w:t>3463</w:t>
            </w:r>
          </w:p>
        </w:tc>
      </w:tr>
    </w:tbl>
    <w:p>
      <w:pPr>
        <w:pStyle w:val="2"/>
        <w:ind w:firstLine="588"/>
        <w:rPr>
          <w:rFonts w:eastAsia="黑体"/>
          <w:kern w:val="44"/>
          <w:sz w:val="32"/>
          <w:szCs w:val="36"/>
        </w:rPr>
      </w:pPr>
      <w:bookmarkStart w:id="26" w:name="_Toc19083"/>
      <w:r>
        <w:br w:type="page"/>
      </w:r>
    </w:p>
    <w:p>
      <w:pPr>
        <w:pStyle w:val="65"/>
        <w:numPr>
          <w:ilvl w:val="255"/>
          <w:numId w:val="0"/>
        </w:numPr>
        <w:rPr>
          <w:color w:val="000000" w:themeColor="text1"/>
          <w:lang w:eastAsia="zh-Hans"/>
          <w14:textFill>
            <w14:solidFill>
              <w14:schemeClr w14:val="tx1"/>
            </w14:solidFill>
          </w14:textFill>
        </w:rPr>
      </w:pPr>
      <w:r>
        <w:rPr>
          <w:rFonts w:hint="eastAsia"/>
          <w:color w:val="000000" w:themeColor="text1"/>
          <w14:textFill>
            <w14:solidFill>
              <w14:schemeClr w14:val="tx1"/>
            </w14:solidFill>
          </w14:textFill>
        </w:rPr>
        <w:t>五、规划目标与规划原则</w:t>
      </w:r>
      <w:bookmarkEnd w:id="26"/>
    </w:p>
    <w:p>
      <w:pPr>
        <w:pStyle w:val="66"/>
        <w:numPr>
          <w:ilvl w:val="255"/>
          <w:numId w:val="0"/>
        </w:numPr>
        <w:ind w:right="210"/>
        <w:rPr>
          <w:color w:val="000000" w:themeColor="text1"/>
          <w14:textFill>
            <w14:solidFill>
              <w14:schemeClr w14:val="tx1"/>
            </w14:solidFill>
          </w14:textFill>
        </w:rPr>
      </w:pPr>
      <w:bookmarkStart w:id="27" w:name="_Toc20121"/>
      <w:r>
        <w:rPr>
          <w:rFonts w:hint="eastAsia"/>
          <w:color w:val="000000" w:themeColor="text1"/>
          <w14:textFill>
            <w14:solidFill>
              <w14:schemeClr w14:val="tx1"/>
            </w14:solidFill>
          </w14:textFill>
        </w:rPr>
        <w:t>（一）目标策略</w:t>
      </w:r>
      <w:bookmarkEnd w:id="27"/>
    </w:p>
    <w:p>
      <w:pPr>
        <w:pStyle w:val="69"/>
        <w:ind w:firstLine="643"/>
        <w:rPr>
          <w:b/>
          <w:color w:val="000000" w:themeColor="text1"/>
          <w14:textFill>
            <w14:solidFill>
              <w14:schemeClr w14:val="tx1"/>
            </w14:solidFill>
          </w14:textFill>
        </w:rPr>
      </w:pPr>
      <w:r>
        <w:rPr>
          <w:rFonts w:hint="eastAsia"/>
          <w:b/>
          <w:color w:val="000000" w:themeColor="text1"/>
          <w14:textFill>
            <w14:solidFill>
              <w14:schemeClr w14:val="tx1"/>
            </w14:solidFill>
          </w14:textFill>
        </w:rPr>
        <w:t>指导</w:t>
      </w:r>
      <w:r>
        <w:rPr>
          <w:b/>
          <w:color w:val="000000" w:themeColor="text1"/>
          <w14:textFill>
            <w14:solidFill>
              <w14:schemeClr w14:val="tx1"/>
            </w14:solidFill>
          </w14:textFill>
        </w:rPr>
        <w:t>思想：</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坚持以习近平新时代中国特色社会主义思想为指导，深入贯彻党的二十大</w:t>
      </w:r>
      <w:r>
        <w:rPr>
          <w:rFonts w:ascii="Times New Roman" w:hAnsi="Times New Roman" w:eastAsia="仿宋_GB2312" w:cs="Times New Roman"/>
          <w:color w:val="000000" w:themeColor="text1"/>
          <w:sz w:val="32"/>
          <w:szCs w:val="28"/>
          <w14:textFill>
            <w14:solidFill>
              <w14:schemeClr w14:val="tx1"/>
            </w14:solidFill>
          </w14:textFill>
        </w:rPr>
        <w:t>精神</w:t>
      </w:r>
      <w:r>
        <w:rPr>
          <w:rFonts w:hint="eastAsia" w:ascii="Times New Roman" w:hAnsi="Times New Roman" w:eastAsia="仿宋_GB2312" w:cs="Times New Roman"/>
          <w:color w:val="000000" w:themeColor="text1"/>
          <w:sz w:val="32"/>
          <w:szCs w:val="28"/>
          <w14:textFill>
            <w14:solidFill>
              <w14:schemeClr w14:val="tx1"/>
            </w14:solidFill>
          </w14:textFill>
        </w:rPr>
        <w:t>，坚持贯彻新发展理念，遵循能源“四个革命、一个合作”的总方针，忠实践行“八八战略”，奋力打造“重要窗口”，积极落实碳达峰、碳中和决策部署，推动电动汽车发展和充电基础设施建设。</w:t>
      </w:r>
    </w:p>
    <w:p>
      <w:pPr>
        <w:pStyle w:val="69"/>
        <w:ind w:firstLine="643"/>
        <w:rPr>
          <w:b/>
          <w:color w:val="000000" w:themeColor="text1"/>
          <w14:textFill>
            <w14:solidFill>
              <w14:schemeClr w14:val="tx1"/>
            </w14:solidFill>
          </w14:textFill>
        </w:rPr>
      </w:pPr>
      <w:r>
        <w:rPr>
          <w:rFonts w:hint="eastAsia"/>
          <w:b/>
          <w:color w:val="000000" w:themeColor="text1"/>
          <w14:textFill>
            <w14:solidFill>
              <w14:schemeClr w14:val="tx1"/>
            </w14:solidFill>
          </w14:textFill>
        </w:rPr>
        <w:t>发展</w:t>
      </w:r>
      <w:r>
        <w:rPr>
          <w:b/>
          <w:color w:val="000000" w:themeColor="text1"/>
          <w14:textFill>
            <w14:solidFill>
              <w14:schemeClr w14:val="tx1"/>
            </w14:solidFill>
          </w14:textFill>
        </w:rPr>
        <w:t>目标：</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到2025年</w:t>
      </w:r>
      <w:r>
        <w:rPr>
          <w:rFonts w:ascii="Times New Roman" w:hAnsi="Times New Roman" w:eastAsia="仿宋_GB2312" w:cs="Times New Roman"/>
          <w:color w:val="000000" w:themeColor="text1"/>
          <w:sz w:val="32"/>
          <w:szCs w:val="28"/>
          <w14:textFill>
            <w14:solidFill>
              <w14:schemeClr w14:val="tx1"/>
            </w14:solidFill>
          </w14:textFill>
        </w:rPr>
        <w:t>，</w:t>
      </w:r>
      <w:r>
        <w:rPr>
          <w:rFonts w:hint="eastAsia" w:ascii="Times New Roman" w:hAnsi="Times New Roman" w:eastAsia="仿宋_GB2312" w:cs="Times New Roman"/>
          <w:color w:val="000000" w:themeColor="text1"/>
          <w:sz w:val="32"/>
          <w:szCs w:val="28"/>
          <w14:textFill>
            <w14:solidFill>
              <w14:schemeClr w14:val="tx1"/>
            </w14:solidFill>
          </w14:textFill>
        </w:rPr>
        <w:t>按照</w:t>
      </w:r>
      <w:r>
        <w:rPr>
          <w:rFonts w:ascii="Times New Roman" w:hAnsi="Times New Roman" w:eastAsia="仿宋_GB2312" w:cs="Times New Roman"/>
          <w:color w:val="000000" w:themeColor="text1"/>
          <w:sz w:val="32"/>
          <w:szCs w:val="28"/>
          <w14:textFill>
            <w14:solidFill>
              <w14:schemeClr w14:val="tx1"/>
            </w14:solidFill>
          </w14:textFill>
        </w:rPr>
        <w:t>“</w:t>
      </w:r>
      <w:r>
        <w:rPr>
          <w:rFonts w:hint="eastAsia" w:ascii="Times New Roman" w:hAnsi="Times New Roman" w:eastAsia="仿宋_GB2312" w:cs="Times New Roman"/>
          <w:color w:val="000000" w:themeColor="text1"/>
          <w:sz w:val="32"/>
          <w:szCs w:val="28"/>
          <w14:textFill>
            <w14:solidFill>
              <w14:schemeClr w14:val="tx1"/>
            </w14:solidFill>
          </w14:textFill>
        </w:rPr>
        <w:t>有人</w:t>
      </w:r>
      <w:r>
        <w:rPr>
          <w:rFonts w:ascii="Times New Roman" w:hAnsi="Times New Roman" w:eastAsia="仿宋_GB2312" w:cs="Times New Roman"/>
          <w:color w:val="000000" w:themeColor="text1"/>
          <w:sz w:val="32"/>
          <w:szCs w:val="28"/>
          <w14:textFill>
            <w14:solidFill>
              <w14:schemeClr w14:val="tx1"/>
            </w14:solidFill>
          </w14:textFill>
        </w:rPr>
        <w:t>建、有人管、能持续”</w:t>
      </w:r>
      <w:r>
        <w:rPr>
          <w:rFonts w:hint="eastAsia" w:ascii="Times New Roman" w:hAnsi="Times New Roman" w:eastAsia="仿宋_GB2312" w:cs="Times New Roman"/>
          <w:color w:val="000000" w:themeColor="text1"/>
          <w:sz w:val="32"/>
          <w:szCs w:val="28"/>
          <w14:textFill>
            <w14:solidFill>
              <w14:schemeClr w14:val="tx1"/>
            </w14:solidFill>
          </w14:textFill>
        </w:rPr>
        <w:t>要求</w:t>
      </w:r>
      <w:r>
        <w:rPr>
          <w:rFonts w:ascii="Times New Roman" w:hAnsi="Times New Roman" w:eastAsia="仿宋_GB2312" w:cs="Times New Roman"/>
          <w:color w:val="000000" w:themeColor="text1"/>
          <w:sz w:val="32"/>
          <w:szCs w:val="28"/>
          <w14:textFill>
            <w14:solidFill>
              <w14:schemeClr w14:val="tx1"/>
            </w14:solidFill>
          </w14:textFill>
        </w:rPr>
        <w:t>，构建布局科学、智能开放、快慢互补、经济便捷的充电基础设施网络体系，全区累计建成充电桩</w:t>
      </w:r>
      <w:r>
        <w:rPr>
          <w:rFonts w:hint="eastAsia" w:ascii="Times New Roman" w:hAnsi="Times New Roman" w:eastAsia="仿宋_GB2312" w:cs="Times New Roman"/>
          <w:color w:val="000000" w:themeColor="text1"/>
          <w:sz w:val="32"/>
          <w:szCs w:val="28"/>
          <w14:textFill>
            <w14:solidFill>
              <w14:schemeClr w14:val="tx1"/>
            </w14:solidFill>
          </w14:textFill>
        </w:rPr>
        <w:t>2万</w:t>
      </w:r>
      <w:r>
        <w:rPr>
          <w:rFonts w:ascii="Times New Roman" w:hAnsi="Times New Roman" w:eastAsia="仿宋_GB2312" w:cs="Times New Roman"/>
          <w:color w:val="000000" w:themeColor="text1"/>
          <w:sz w:val="32"/>
          <w:szCs w:val="28"/>
          <w14:textFill>
            <w14:solidFill>
              <w14:schemeClr w14:val="tx1"/>
            </w14:solidFill>
          </w14:textFill>
        </w:rPr>
        <w:t>个</w:t>
      </w:r>
      <w:r>
        <w:rPr>
          <w:rFonts w:hint="eastAsia" w:ascii="Times New Roman" w:hAnsi="Times New Roman" w:eastAsia="仿宋_GB2312" w:cs="Times New Roman"/>
          <w:color w:val="000000" w:themeColor="text1"/>
          <w:sz w:val="32"/>
          <w:szCs w:val="28"/>
          <w14:textFill>
            <w14:solidFill>
              <w14:schemeClr w14:val="tx1"/>
            </w14:solidFill>
          </w14:textFill>
        </w:rPr>
        <w:t>以上</w:t>
      </w:r>
      <w:r>
        <w:rPr>
          <w:rFonts w:ascii="Times New Roman" w:hAnsi="Times New Roman" w:eastAsia="仿宋_GB2312" w:cs="Times New Roman"/>
          <w:color w:val="000000" w:themeColor="text1"/>
          <w:sz w:val="32"/>
          <w:szCs w:val="28"/>
          <w14:textFill>
            <w14:solidFill>
              <w14:schemeClr w14:val="tx1"/>
            </w14:solidFill>
          </w14:textFill>
        </w:rPr>
        <w:t>，其中，建成公共充电桩</w:t>
      </w:r>
      <w:r>
        <w:rPr>
          <w:rFonts w:hint="eastAsia" w:ascii="Times New Roman" w:hAnsi="Times New Roman" w:eastAsia="仿宋_GB2312" w:cs="Times New Roman"/>
          <w:color w:val="000000" w:themeColor="text1"/>
          <w:sz w:val="32"/>
          <w:szCs w:val="28"/>
          <w14:textFill>
            <w14:solidFill>
              <w14:schemeClr w14:val="tx1"/>
            </w14:solidFill>
          </w14:textFill>
        </w:rPr>
        <w:t>2500</w:t>
      </w:r>
      <w:r>
        <w:rPr>
          <w:rFonts w:ascii="Times New Roman" w:hAnsi="Times New Roman" w:eastAsia="仿宋_GB2312" w:cs="Times New Roman"/>
          <w:color w:val="000000" w:themeColor="text1"/>
          <w:sz w:val="32"/>
          <w:szCs w:val="28"/>
          <w14:textFill>
            <w14:solidFill>
              <w14:schemeClr w14:val="tx1"/>
            </w14:solidFill>
          </w14:textFill>
        </w:rPr>
        <w:t>个</w:t>
      </w:r>
      <w:r>
        <w:rPr>
          <w:rFonts w:hint="eastAsia" w:ascii="Times New Roman" w:hAnsi="Times New Roman" w:eastAsia="仿宋_GB2312" w:cs="Times New Roman"/>
          <w:color w:val="000000" w:themeColor="text1"/>
          <w:sz w:val="32"/>
          <w:szCs w:val="28"/>
          <w14:textFill>
            <w14:solidFill>
              <w14:schemeClr w14:val="tx1"/>
            </w14:solidFill>
          </w14:textFill>
        </w:rPr>
        <w:t>以上，</w:t>
      </w:r>
      <w:r>
        <w:rPr>
          <w:rFonts w:ascii="Times New Roman" w:hAnsi="Times New Roman" w:eastAsia="仿宋_GB2312" w:cs="Times New Roman"/>
          <w:color w:val="000000" w:themeColor="text1"/>
          <w:sz w:val="32"/>
          <w:szCs w:val="28"/>
          <w14:textFill>
            <w14:solidFill>
              <w14:schemeClr w14:val="tx1"/>
            </w14:solidFill>
          </w14:textFill>
        </w:rPr>
        <w:t>乡村不少于</w:t>
      </w:r>
      <w:r>
        <w:rPr>
          <w:rFonts w:hint="eastAsia" w:ascii="Times New Roman" w:hAnsi="Times New Roman" w:eastAsia="仿宋_GB2312" w:cs="Times New Roman"/>
          <w:color w:val="000000" w:themeColor="text1"/>
          <w:sz w:val="32"/>
          <w:szCs w:val="28"/>
          <w14:textFill>
            <w14:solidFill>
              <w14:schemeClr w14:val="tx1"/>
            </w14:solidFill>
          </w14:textFill>
        </w:rPr>
        <w:t>250</w:t>
      </w:r>
      <w:r>
        <w:rPr>
          <w:rFonts w:ascii="Times New Roman" w:hAnsi="Times New Roman" w:eastAsia="仿宋_GB2312" w:cs="Times New Roman"/>
          <w:color w:val="000000" w:themeColor="text1"/>
          <w:sz w:val="32"/>
          <w:szCs w:val="28"/>
          <w14:textFill>
            <w14:solidFill>
              <w14:schemeClr w14:val="tx1"/>
            </w14:solidFill>
          </w14:textFill>
        </w:rPr>
        <w:t>个，满足</w:t>
      </w:r>
      <w:r>
        <w:rPr>
          <w:rFonts w:hint="eastAsia" w:ascii="Times New Roman" w:hAnsi="Times New Roman" w:eastAsia="仿宋_GB2312" w:cs="Times New Roman"/>
          <w:color w:val="000000" w:themeColor="text1"/>
          <w:sz w:val="32"/>
          <w:szCs w:val="28"/>
          <w14:textFill>
            <w14:solidFill>
              <w14:schemeClr w14:val="tx1"/>
            </w14:solidFill>
          </w14:textFill>
        </w:rPr>
        <w:t>2万</w:t>
      </w:r>
      <w:r>
        <w:rPr>
          <w:rFonts w:ascii="Times New Roman" w:hAnsi="Times New Roman" w:eastAsia="仿宋_GB2312" w:cs="Times New Roman"/>
          <w:color w:val="000000" w:themeColor="text1"/>
          <w:sz w:val="32"/>
          <w:szCs w:val="28"/>
          <w14:textFill>
            <w14:solidFill>
              <w14:schemeClr w14:val="tx1"/>
            </w14:solidFill>
          </w14:textFill>
        </w:rPr>
        <w:t>辆以上电动汽车充电需求</w:t>
      </w:r>
      <w:r>
        <w:rPr>
          <w:rFonts w:hint="eastAsia" w:ascii="Times New Roman" w:hAnsi="Times New Roman" w:eastAsia="仿宋_GB2312" w:cs="Times New Roman"/>
          <w:color w:val="000000" w:themeColor="text1"/>
          <w:sz w:val="32"/>
          <w:szCs w:val="28"/>
          <w14:textFill>
            <w14:solidFill>
              <w14:schemeClr w14:val="tx1"/>
            </w14:solidFill>
          </w14:textFill>
        </w:rPr>
        <w:t>。</w:t>
      </w:r>
    </w:p>
    <w:p>
      <w:pPr>
        <w:pStyle w:val="66"/>
        <w:numPr>
          <w:ilvl w:val="255"/>
          <w:numId w:val="0"/>
        </w:numPr>
        <w:ind w:right="210"/>
        <w:rPr>
          <w:color w:val="000000" w:themeColor="text1"/>
          <w14:textFill>
            <w14:solidFill>
              <w14:schemeClr w14:val="tx1"/>
            </w14:solidFill>
          </w14:textFill>
        </w:rPr>
      </w:pPr>
      <w:bookmarkStart w:id="28" w:name="_Toc25537"/>
      <w:r>
        <w:rPr>
          <w:rFonts w:hint="eastAsia"/>
          <w:color w:val="000000" w:themeColor="text1"/>
          <w14:textFill>
            <w14:solidFill>
              <w14:schemeClr w14:val="tx1"/>
            </w14:solidFill>
          </w14:textFill>
        </w:rPr>
        <w:t>（二）规划原则</w:t>
      </w:r>
      <w:bookmarkEnd w:id="28"/>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以“布局科学、适度超前、创新融合、安全便捷”为总原则，针对“两区、三中心”</w:t>
      </w:r>
      <w:r>
        <w:rPr>
          <w:rFonts w:ascii="Times New Roman" w:hAnsi="Times New Roman" w:eastAsia="仿宋_GB2312" w:cs="Times New Roman"/>
          <w:color w:val="000000" w:themeColor="text1"/>
          <w:sz w:val="32"/>
          <w:szCs w:val="28"/>
          <w14:textFill>
            <w14:solidFill>
              <w14:schemeClr w14:val="tx1"/>
            </w14:solidFill>
          </w14:textFill>
        </w:rPr>
        <w:t>、景区</w:t>
      </w:r>
      <w:r>
        <w:rPr>
          <w:rFonts w:hint="eastAsia" w:ascii="Times New Roman" w:hAnsi="Times New Roman" w:eastAsia="仿宋_GB2312" w:cs="Times New Roman"/>
          <w:color w:val="000000" w:themeColor="text1"/>
          <w:sz w:val="32"/>
          <w:szCs w:val="28"/>
          <w:lang w:eastAsia="zh-CN"/>
          <w14:textFill>
            <w14:solidFill>
              <w14:schemeClr w14:val="tx1"/>
            </w14:solidFill>
          </w14:textFill>
        </w:rPr>
        <w:t>以及</w:t>
      </w:r>
      <w:r>
        <w:rPr>
          <w:rFonts w:ascii="Times New Roman" w:hAnsi="Times New Roman" w:eastAsia="仿宋_GB2312" w:cs="Times New Roman"/>
          <w:color w:val="000000" w:themeColor="text1"/>
          <w:sz w:val="32"/>
          <w:szCs w:val="28"/>
          <w14:textFill>
            <w14:solidFill>
              <w14:schemeClr w14:val="tx1"/>
            </w14:solidFill>
          </w14:textFill>
        </w:rPr>
        <w:t>国</w:t>
      </w:r>
      <w:r>
        <w:rPr>
          <w:rFonts w:hint="eastAsia" w:ascii="Times New Roman" w:hAnsi="Times New Roman" w:eastAsia="仿宋_GB2312" w:cs="Times New Roman"/>
          <w:color w:val="000000" w:themeColor="text1"/>
          <w:sz w:val="32"/>
          <w:szCs w:val="28"/>
          <w14:textFill>
            <w14:solidFill>
              <w14:schemeClr w14:val="tx1"/>
            </w14:solidFill>
          </w14:textFill>
        </w:rPr>
        <w:t>省</w:t>
      </w:r>
      <w:r>
        <w:rPr>
          <w:rFonts w:ascii="Times New Roman" w:hAnsi="Times New Roman" w:eastAsia="仿宋_GB2312" w:cs="Times New Roman"/>
          <w:color w:val="000000" w:themeColor="text1"/>
          <w:sz w:val="32"/>
          <w:szCs w:val="28"/>
          <w14:textFill>
            <w14:solidFill>
              <w14:schemeClr w14:val="tx1"/>
            </w14:solidFill>
          </w14:textFill>
        </w:rPr>
        <w:t>道</w:t>
      </w:r>
      <w:r>
        <w:rPr>
          <w:rFonts w:hint="eastAsia" w:ascii="Times New Roman" w:hAnsi="Times New Roman" w:eastAsia="仿宋_GB2312" w:cs="Times New Roman"/>
          <w:color w:val="000000" w:themeColor="text1"/>
          <w:sz w:val="32"/>
          <w:szCs w:val="28"/>
          <w14:textFill>
            <w14:solidFill>
              <w14:schemeClr w14:val="tx1"/>
            </w14:solidFill>
          </w14:textFill>
        </w:rPr>
        <w:t>加强</w:t>
      </w:r>
      <w:r>
        <w:rPr>
          <w:rFonts w:ascii="Times New Roman" w:hAnsi="Times New Roman" w:eastAsia="仿宋_GB2312" w:cs="Times New Roman"/>
          <w:color w:val="000000" w:themeColor="text1"/>
          <w:sz w:val="32"/>
          <w:szCs w:val="28"/>
          <w14:textFill>
            <w14:solidFill>
              <w14:schemeClr w14:val="tx1"/>
            </w14:solidFill>
          </w14:textFill>
        </w:rPr>
        <w:t>建设标准统筹、提升</w:t>
      </w:r>
      <w:r>
        <w:rPr>
          <w:rFonts w:hint="eastAsia" w:ascii="Times New Roman" w:hAnsi="Times New Roman" w:eastAsia="仿宋_GB2312" w:cs="Times New Roman"/>
          <w:color w:val="000000" w:themeColor="text1"/>
          <w:sz w:val="32"/>
          <w:szCs w:val="28"/>
          <w14:textFill>
            <w14:solidFill>
              <w14:schemeClr w14:val="tx1"/>
            </w14:solidFill>
          </w14:textFill>
        </w:rPr>
        <w:t>覆盖</w:t>
      </w:r>
      <w:r>
        <w:rPr>
          <w:rFonts w:ascii="Times New Roman" w:hAnsi="Times New Roman" w:eastAsia="仿宋_GB2312" w:cs="Times New Roman"/>
          <w:color w:val="000000" w:themeColor="text1"/>
          <w:sz w:val="32"/>
          <w:szCs w:val="28"/>
          <w14:textFill>
            <w14:solidFill>
              <w14:schemeClr w14:val="tx1"/>
            </w14:solidFill>
          </w14:textFill>
        </w:rPr>
        <w:t>率</w:t>
      </w:r>
      <w:r>
        <w:rPr>
          <w:rFonts w:hint="eastAsia" w:ascii="Times New Roman" w:hAnsi="Times New Roman" w:eastAsia="仿宋_GB2312" w:cs="Times New Roman"/>
          <w:color w:val="000000" w:themeColor="text1"/>
          <w:sz w:val="32"/>
          <w:szCs w:val="28"/>
          <w14:textFill>
            <w14:solidFill>
              <w14:schemeClr w14:val="tx1"/>
            </w14:solidFill>
          </w14:textFill>
        </w:rPr>
        <w:t>。</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针对非</w:t>
      </w:r>
      <w:r>
        <w:rPr>
          <w:rFonts w:ascii="Times New Roman" w:hAnsi="Times New Roman" w:eastAsia="仿宋_GB2312" w:cs="Times New Roman"/>
          <w:color w:val="000000" w:themeColor="text1"/>
          <w:sz w:val="32"/>
          <w:szCs w:val="28"/>
          <w14:textFill>
            <w14:solidFill>
              <w14:schemeClr w14:val="tx1"/>
            </w14:solidFill>
          </w14:textFill>
        </w:rPr>
        <w:t>中心人流密集镇、加油站、规</w:t>
      </w:r>
      <w:r>
        <w:rPr>
          <w:rFonts w:hint="eastAsia" w:ascii="Times New Roman" w:hAnsi="Times New Roman" w:eastAsia="仿宋_GB2312" w:cs="Times New Roman"/>
          <w:color w:val="000000" w:themeColor="text1"/>
          <w:sz w:val="32"/>
          <w:szCs w:val="28"/>
          <w14:textFill>
            <w14:solidFill>
              <w14:schemeClr w14:val="tx1"/>
            </w14:solidFill>
          </w14:textFill>
        </w:rPr>
        <w:t>上</w:t>
      </w:r>
      <w:r>
        <w:rPr>
          <w:rFonts w:ascii="Times New Roman" w:hAnsi="Times New Roman" w:eastAsia="仿宋_GB2312" w:cs="Times New Roman"/>
          <w:color w:val="000000" w:themeColor="text1"/>
          <w:sz w:val="32"/>
          <w:szCs w:val="28"/>
          <w14:textFill>
            <w14:solidFill>
              <w14:schemeClr w14:val="tx1"/>
            </w14:solidFill>
          </w14:textFill>
        </w:rPr>
        <w:t>企业、美丽乡村精品线、历史文化村</w:t>
      </w:r>
      <w:r>
        <w:rPr>
          <w:rFonts w:hint="eastAsia" w:ascii="Times New Roman" w:hAnsi="Times New Roman" w:eastAsia="仿宋_GB2312" w:cs="Times New Roman"/>
          <w:color w:val="000000" w:themeColor="text1"/>
          <w:sz w:val="32"/>
          <w:szCs w:val="28"/>
          <w14:textFill>
            <w14:solidFill>
              <w14:schemeClr w14:val="tx1"/>
            </w14:solidFill>
          </w14:textFill>
        </w:rPr>
        <w:t>，选取优先</w:t>
      </w:r>
      <w:r>
        <w:rPr>
          <w:rFonts w:ascii="Times New Roman" w:hAnsi="Times New Roman" w:eastAsia="仿宋_GB2312" w:cs="Times New Roman"/>
          <w:color w:val="000000" w:themeColor="text1"/>
          <w:sz w:val="32"/>
          <w:szCs w:val="28"/>
          <w14:textFill>
            <w14:solidFill>
              <w14:schemeClr w14:val="tx1"/>
            </w14:solidFill>
          </w14:textFill>
        </w:rPr>
        <w:t>区域、特色区域为引领，</w:t>
      </w:r>
      <w:r>
        <w:rPr>
          <w:rFonts w:hint="eastAsia" w:ascii="Times New Roman" w:hAnsi="Times New Roman" w:eastAsia="仿宋_GB2312" w:cs="Times New Roman"/>
          <w:color w:val="000000" w:themeColor="text1"/>
          <w:sz w:val="32"/>
          <w:szCs w:val="28"/>
          <w14:textFill>
            <w14:solidFill>
              <w14:schemeClr w14:val="tx1"/>
            </w14:solidFill>
          </w14:textFill>
        </w:rPr>
        <w:t>推动</w:t>
      </w:r>
      <w:r>
        <w:rPr>
          <w:rFonts w:ascii="Times New Roman" w:hAnsi="Times New Roman" w:eastAsia="仿宋_GB2312" w:cs="Times New Roman"/>
          <w:color w:val="000000" w:themeColor="text1"/>
          <w:sz w:val="32"/>
          <w:szCs w:val="28"/>
          <w14:textFill>
            <w14:solidFill>
              <w14:schemeClr w14:val="tx1"/>
            </w14:solidFill>
          </w14:textFill>
        </w:rPr>
        <w:t>充电网络</w:t>
      </w:r>
      <w:r>
        <w:rPr>
          <w:rFonts w:hint="eastAsia" w:ascii="Times New Roman" w:hAnsi="Times New Roman" w:eastAsia="仿宋_GB2312" w:cs="Times New Roman"/>
          <w:color w:val="000000" w:themeColor="text1"/>
          <w:sz w:val="32"/>
          <w:szCs w:val="28"/>
          <w14:textFill>
            <w14:solidFill>
              <w14:schemeClr w14:val="tx1"/>
            </w14:solidFill>
          </w14:textFill>
        </w:rPr>
        <w:t>从</w:t>
      </w:r>
      <w:r>
        <w:rPr>
          <w:rFonts w:ascii="Times New Roman" w:hAnsi="Times New Roman" w:eastAsia="仿宋_GB2312" w:cs="Times New Roman"/>
          <w:color w:val="000000" w:themeColor="text1"/>
          <w:sz w:val="32"/>
          <w:szCs w:val="28"/>
          <w14:textFill>
            <w14:solidFill>
              <w14:schemeClr w14:val="tx1"/>
            </w14:solidFill>
          </w14:textFill>
        </w:rPr>
        <w:t>中心城区向城区边缘</w:t>
      </w:r>
      <w:r>
        <w:rPr>
          <w:rFonts w:hint="eastAsia" w:ascii="Times New Roman" w:hAnsi="Times New Roman" w:eastAsia="仿宋_GB2312" w:cs="Times New Roman"/>
          <w:color w:val="000000" w:themeColor="text1"/>
          <w:sz w:val="32"/>
          <w:szCs w:val="28"/>
          <w14:textFill>
            <w14:solidFill>
              <w14:schemeClr w14:val="tx1"/>
            </w14:solidFill>
          </w14:textFill>
        </w:rPr>
        <w:t>、从</w:t>
      </w:r>
      <w:r>
        <w:rPr>
          <w:rFonts w:ascii="Times New Roman" w:hAnsi="Times New Roman" w:eastAsia="仿宋_GB2312" w:cs="Times New Roman"/>
          <w:color w:val="000000" w:themeColor="text1"/>
          <w:sz w:val="32"/>
          <w:szCs w:val="28"/>
          <w14:textFill>
            <w14:solidFill>
              <w14:schemeClr w14:val="tx1"/>
            </w14:solidFill>
          </w14:textFill>
        </w:rPr>
        <w:t>优先发展区域</w:t>
      </w:r>
      <w:r>
        <w:rPr>
          <w:rFonts w:hint="eastAsia" w:ascii="Times New Roman" w:hAnsi="Times New Roman" w:eastAsia="仿宋_GB2312" w:cs="Times New Roman"/>
          <w:color w:val="000000" w:themeColor="text1"/>
          <w:sz w:val="32"/>
          <w:szCs w:val="28"/>
          <w14:textFill>
            <w14:solidFill>
              <w14:schemeClr w14:val="tx1"/>
            </w14:solidFill>
          </w14:textFill>
        </w:rPr>
        <w:t>向</w:t>
      </w:r>
      <w:r>
        <w:rPr>
          <w:rFonts w:ascii="Times New Roman" w:hAnsi="Times New Roman" w:eastAsia="仿宋_GB2312" w:cs="Times New Roman"/>
          <w:color w:val="000000" w:themeColor="text1"/>
          <w:sz w:val="32"/>
          <w:szCs w:val="28"/>
          <w14:textFill>
            <w14:solidFill>
              <w14:schemeClr w14:val="tx1"/>
            </w14:solidFill>
          </w14:textFill>
        </w:rPr>
        <w:t>其他区域有序延伸。</w:t>
      </w:r>
    </w:p>
    <w:p>
      <w:pPr>
        <w:pStyle w:val="66"/>
        <w:numPr>
          <w:ilvl w:val="255"/>
          <w:numId w:val="0"/>
        </w:numPr>
        <w:ind w:right="210"/>
        <w:rPr>
          <w:color w:val="000000" w:themeColor="text1"/>
          <w14:textFill>
            <w14:solidFill>
              <w14:schemeClr w14:val="tx1"/>
            </w14:solidFill>
          </w14:textFill>
        </w:rPr>
      </w:pPr>
      <w:r>
        <w:rPr>
          <w:rFonts w:hint="eastAsia"/>
          <w:color w:val="000000" w:themeColor="text1"/>
          <w14:textFill>
            <w14:solidFill>
              <w14:schemeClr w14:val="tx1"/>
            </w14:solidFill>
          </w14:textFill>
        </w:rPr>
        <w:t>（三）规划重点</w:t>
      </w:r>
    </w:p>
    <w:p>
      <w:pPr>
        <w:pStyle w:val="69"/>
        <w:ind w:firstLine="643"/>
        <w:rPr>
          <w:color w:val="000000" w:themeColor="text1"/>
          <w14:textFill>
            <w14:solidFill>
              <w14:schemeClr w14:val="tx1"/>
            </w14:solidFill>
          </w14:textFill>
        </w:rPr>
      </w:pPr>
      <w:r>
        <w:rPr>
          <w:rFonts w:hint="eastAsia"/>
          <w:b/>
          <w:color w:val="000000" w:themeColor="text1"/>
          <w14:textFill>
            <w14:solidFill>
              <w14:schemeClr w14:val="tx1"/>
            </w14:solidFill>
          </w14:textFill>
        </w:rPr>
        <w:t>重点方向：</w:t>
      </w:r>
      <w:r>
        <w:rPr>
          <w:color w:val="000000" w:themeColor="text1"/>
          <w14:textFill>
            <w14:solidFill>
              <w14:schemeClr w14:val="tx1"/>
            </w14:solidFill>
          </w14:textFill>
        </w:rPr>
        <w:t xml:space="preserve"> </w:t>
      </w:r>
    </w:p>
    <w:p>
      <w:pPr>
        <w:spacing w:line="360" w:lineRule="auto"/>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城市重点覆盖“两区”（居住区、办公区）、“三中心”（商业中心、工业中心、休闲中心）。着重</w:t>
      </w:r>
      <w:r>
        <w:rPr>
          <w:rFonts w:ascii="Times New Roman" w:hAnsi="Times New Roman" w:eastAsia="仿宋_GB2312" w:cs="Times New Roman"/>
          <w:color w:val="000000" w:themeColor="text1"/>
          <w:sz w:val="32"/>
          <w:szCs w:val="28"/>
          <w14:textFill>
            <w14:solidFill>
              <w14:schemeClr w14:val="tx1"/>
            </w14:solidFill>
          </w14:textFill>
        </w:rPr>
        <w:t>解决老旧小区、拆迁安置小区等</w:t>
      </w:r>
      <w:r>
        <w:rPr>
          <w:rFonts w:hint="eastAsia" w:ascii="Times New Roman" w:hAnsi="Times New Roman" w:eastAsia="仿宋_GB2312" w:cs="Times New Roman"/>
          <w:color w:val="000000" w:themeColor="text1"/>
          <w:sz w:val="32"/>
          <w:szCs w:val="28"/>
          <w14:textFill>
            <w14:solidFill>
              <w14:schemeClr w14:val="tx1"/>
            </w14:solidFill>
          </w14:textFill>
        </w:rPr>
        <w:t>建设</w:t>
      </w:r>
      <w:r>
        <w:rPr>
          <w:rFonts w:ascii="Times New Roman" w:hAnsi="Times New Roman" w:eastAsia="仿宋_GB2312" w:cs="Times New Roman"/>
          <w:color w:val="000000" w:themeColor="text1"/>
          <w:sz w:val="32"/>
          <w:szCs w:val="28"/>
          <w14:textFill>
            <w14:solidFill>
              <w14:schemeClr w14:val="tx1"/>
            </w14:solidFill>
          </w14:textFill>
        </w:rPr>
        <w:t>困难居住</w:t>
      </w:r>
      <w:r>
        <w:rPr>
          <w:rFonts w:hint="eastAsia" w:ascii="Times New Roman" w:hAnsi="Times New Roman" w:eastAsia="仿宋_GB2312" w:cs="Times New Roman"/>
          <w:color w:val="000000" w:themeColor="text1"/>
          <w:sz w:val="32"/>
          <w:szCs w:val="28"/>
          <w14:textFill>
            <w14:solidFill>
              <w14:schemeClr w14:val="tx1"/>
            </w14:solidFill>
          </w14:textFill>
        </w:rPr>
        <w:t>区</w:t>
      </w:r>
      <w:r>
        <w:rPr>
          <w:rFonts w:ascii="Times New Roman" w:hAnsi="Times New Roman" w:eastAsia="仿宋_GB2312" w:cs="Times New Roman"/>
          <w:color w:val="000000" w:themeColor="text1"/>
          <w:sz w:val="32"/>
          <w:szCs w:val="28"/>
          <w14:textFill>
            <w14:solidFill>
              <w14:schemeClr w14:val="tx1"/>
            </w14:solidFill>
          </w14:textFill>
        </w:rPr>
        <w:t>。</w:t>
      </w:r>
      <w:r>
        <w:rPr>
          <w:rFonts w:hint="eastAsia" w:ascii="Times New Roman" w:hAnsi="Times New Roman" w:eastAsia="仿宋_GB2312" w:cs="Times New Roman"/>
          <w:color w:val="000000" w:themeColor="text1"/>
          <w:sz w:val="32"/>
          <w:szCs w:val="28"/>
          <w14:textFill>
            <w14:solidFill>
              <w14:schemeClr w14:val="tx1"/>
            </w14:solidFill>
          </w14:textFill>
        </w:rPr>
        <w:t>办公区和“三中心”等城市专用和公用区域因地制宜布局建设快慢结合的公共充电基础设施。</w:t>
      </w:r>
    </w:p>
    <w:p>
      <w:pPr>
        <w:pStyle w:val="69"/>
        <w:ind w:firstLine="640"/>
        <w:rPr>
          <w:color w:val="000000" w:themeColor="text1"/>
          <w:lang w:eastAsia="zh-Hans"/>
          <w14:textFill>
            <w14:solidFill>
              <w14:schemeClr w14:val="tx1"/>
            </w14:solidFill>
          </w14:textFill>
        </w:rPr>
      </w:pPr>
      <w:r>
        <w:rPr>
          <w:rFonts w:hint="eastAsia"/>
          <w:color w:val="000000" w:themeColor="text1"/>
          <w14:textFill>
            <w14:solidFill>
              <w14:schemeClr w14:val="tx1"/>
            </w14:solidFill>
          </w14:textFill>
        </w:rPr>
        <w:t>实现公共充电桩“村村全覆盖”，形成城市五分钟、城乡半小时充电圈。结合乡村级充电网络建设和输配电网发展，加快在行政村、集中安置区、景区及周边等规划布局充电网络。</w:t>
      </w:r>
    </w:p>
    <w:p>
      <w:pPr>
        <w:pStyle w:val="69"/>
        <w:ind w:firstLine="643"/>
        <w:rPr>
          <w:b/>
          <w:color w:val="000000" w:themeColor="text1"/>
          <w14:textFill>
            <w14:solidFill>
              <w14:schemeClr w14:val="tx1"/>
            </w14:solidFill>
          </w14:textFill>
        </w:rPr>
      </w:pPr>
      <w:r>
        <w:rPr>
          <w:rFonts w:hint="eastAsia"/>
          <w:b/>
          <w:color w:val="000000" w:themeColor="text1"/>
          <w14:textFill>
            <w14:solidFill>
              <w14:schemeClr w14:val="tx1"/>
            </w14:solidFill>
          </w14:textFill>
        </w:rPr>
        <w:t>主要任务：</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以镇（街道）域为基本单元，紧密衔接国土空间规划、电网规划及乡村建设、村庄布局等专项规划，合理利用空间等存量资源，引导充电桩站有序布点，避免城乡建设数量倒挂。</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以需求为导向，以适度超前为原则，既解决现状充电服务空白区域，又耦合电动汽车充电需求增长趋势，实现充电桩覆盖率的整体提升。</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结合城市建设发展，合理利用土地，因地制宜布局方式，结合各分区特点提出针对性策略，分析各区域合理的车桩比及各类型对外开放停车场充电桩配建数量。</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确定合适的布点站点，发挥充电桩使用的最大效能，确定合理的服务半径，满足用户对充电桩便捷使用。统筹镇海区各街道现有充电数量及利用情况，结合城市发展建设时序，分期、分量落实充电桩建设计划。</w:t>
      </w:r>
    </w:p>
    <w:p>
      <w:pPr>
        <w:pStyle w:val="65"/>
        <w:numPr>
          <w:ilvl w:val="255"/>
          <w:numId w:val="0"/>
        </w:numPr>
        <w:rPr>
          <w:color w:val="FF0000"/>
        </w:rPr>
        <w:sectPr>
          <w:pgSz w:w="11906" w:h="16838"/>
          <w:pgMar w:top="1440" w:right="1800" w:bottom="1440" w:left="1800" w:header="851" w:footer="992" w:gutter="0"/>
          <w:cols w:space="425" w:num="1"/>
          <w:docGrid w:type="lines" w:linePitch="312" w:charSpace="0"/>
        </w:sectPr>
      </w:pPr>
      <w:bookmarkStart w:id="29" w:name="_Toc32199"/>
    </w:p>
    <w:p>
      <w:pPr>
        <w:pStyle w:val="65"/>
        <w:numPr>
          <w:ilvl w:val="255"/>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六</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充电设施布局规划</w:t>
      </w:r>
      <w:bookmarkEnd w:id="29"/>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根据行政区划特点，将招宝山街道、蛟川街道、骆驼街道、庄市街道作为城市地区，将澥浦镇、九龙湖镇作为乡村地区开展规划。2023</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镇海区</w:t>
      </w:r>
      <w:r>
        <w:rPr>
          <w:color w:val="000000" w:themeColor="text1"/>
          <w14:textFill>
            <w14:solidFill>
              <w14:schemeClr w14:val="tx1"/>
            </w14:solidFill>
          </w14:textFill>
        </w:rPr>
        <w:t>城市及乡村地区社区、行政村充电设施</w:t>
      </w:r>
      <w:r>
        <w:rPr>
          <w:rFonts w:hint="eastAsia"/>
          <w:color w:val="000000" w:themeColor="text1"/>
          <w14:textFill>
            <w14:solidFill>
              <w14:schemeClr w14:val="tx1"/>
            </w14:solidFill>
          </w14:textFill>
        </w:rPr>
        <w:t>规划情况如下：</w:t>
      </w:r>
    </w:p>
    <w:p>
      <w:pPr>
        <w:pStyle w:val="66"/>
        <w:numPr>
          <w:ilvl w:val="1"/>
          <w:numId w:val="0"/>
        </w:numPr>
        <w:rPr>
          <w:color w:val="000000" w:themeColor="text1"/>
          <w14:textFill>
            <w14:solidFill>
              <w14:schemeClr w14:val="tx1"/>
            </w14:solidFill>
          </w14:textFill>
        </w:rPr>
      </w:pPr>
      <w:bookmarkStart w:id="30" w:name="_Toc23247"/>
      <w:r>
        <w:rPr>
          <w:rFonts w:hint="eastAsia"/>
          <w:color w:val="000000" w:themeColor="text1"/>
          <w14:textFill>
            <w14:solidFill>
              <w14:schemeClr w14:val="tx1"/>
            </w14:solidFill>
          </w14:textFill>
        </w:rPr>
        <w:t>（一）城市地区充电设施布局规划</w:t>
      </w:r>
      <w:bookmarkEnd w:id="30"/>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6.1.1城市地区总体布局</w:t>
      </w:r>
    </w:p>
    <w:p>
      <w:pPr>
        <w:pStyle w:val="69"/>
        <w:ind w:firstLine="640"/>
        <w:rPr>
          <w:color w:val="000000" w:themeColor="text1"/>
          <w14:textFill>
            <w14:solidFill>
              <w14:schemeClr w14:val="tx1"/>
            </w14:solidFill>
          </w14:textFill>
        </w:rPr>
        <w:sectPr>
          <w:pgSz w:w="11907" w:h="16840"/>
          <w:pgMar w:top="1440" w:right="1587" w:bottom="1440" w:left="1587" w:header="851" w:footer="992" w:gutter="0"/>
          <w:cols w:space="720" w:num="1"/>
          <w:docGrid w:type="lines" w:linePitch="312" w:charSpace="0"/>
        </w:sectPr>
      </w:pPr>
      <w:r>
        <w:rPr>
          <w:rFonts w:hint="eastAsia"/>
          <w:color w:val="000000" w:themeColor="text1"/>
          <w14:textFill>
            <w14:solidFill>
              <w14:schemeClr w14:val="tx1"/>
            </w14:solidFill>
          </w14:textFill>
        </w:rPr>
        <w:t>2023</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年，城市地区拟新增1</w:t>
      </w:r>
      <w:r>
        <w:rPr>
          <w:color w:val="000000" w:themeColor="text1"/>
          <w14:textFill>
            <w14:solidFill>
              <w14:schemeClr w14:val="tx1"/>
            </w14:solidFill>
          </w14:textFill>
        </w:rPr>
        <w:t>19</w:t>
      </w:r>
      <w:r>
        <w:rPr>
          <w:rFonts w:hint="eastAsia"/>
          <w:color w:val="000000" w:themeColor="text1"/>
          <w14:textFill>
            <w14:solidFill>
              <w14:schemeClr w14:val="tx1"/>
            </w14:solidFill>
          </w14:textFill>
        </w:rPr>
        <w:t>处站点，预计新增</w:t>
      </w:r>
      <w:r>
        <w:rPr>
          <w:color w:val="000000" w:themeColor="text1"/>
          <w14:textFill>
            <w14:solidFill>
              <w14:schemeClr w14:val="tx1"/>
            </w14:solidFill>
          </w14:textFill>
        </w:rPr>
        <w:t>974</w:t>
      </w:r>
      <w:r>
        <w:rPr>
          <w:rFonts w:hint="eastAsia"/>
          <w:color w:val="000000" w:themeColor="text1"/>
          <w14:textFill>
            <w14:solidFill>
              <w14:schemeClr w14:val="tx1"/>
            </w14:solidFill>
          </w14:textFill>
        </w:rPr>
        <w:t>根充电枪，涉及67个社区及行政村。2023年、2024年、2025年分别拟新增</w:t>
      </w:r>
      <w:r>
        <w:rPr>
          <w:color w:val="000000" w:themeColor="text1"/>
          <w14:textFill>
            <w14:solidFill>
              <w14:schemeClr w14:val="tx1"/>
            </w14:solidFill>
          </w14:textFill>
        </w:rPr>
        <w:t>349</w:t>
      </w:r>
      <w:r>
        <w:rPr>
          <w:rFonts w:hint="eastAsia"/>
          <w:color w:val="000000" w:themeColor="text1"/>
          <w14:textFill>
            <w14:solidFill>
              <w14:schemeClr w14:val="tx1"/>
            </w14:solidFill>
          </w14:textFill>
        </w:rPr>
        <w:t>根、</w:t>
      </w:r>
      <w:r>
        <w:rPr>
          <w:color w:val="000000" w:themeColor="text1"/>
          <w14:textFill>
            <w14:solidFill>
              <w14:schemeClr w14:val="tx1"/>
            </w14:solidFill>
          </w14:textFill>
        </w:rPr>
        <w:t>278</w:t>
      </w:r>
      <w:r>
        <w:rPr>
          <w:rFonts w:hint="eastAsia"/>
          <w:color w:val="000000" w:themeColor="text1"/>
          <w14:textFill>
            <w14:solidFill>
              <w14:schemeClr w14:val="tx1"/>
            </w14:solidFill>
          </w14:textFill>
        </w:rPr>
        <w:t>根、</w:t>
      </w:r>
      <w:r>
        <w:rPr>
          <w:color w:val="000000" w:themeColor="text1"/>
          <w14:textFill>
            <w14:solidFill>
              <w14:schemeClr w14:val="tx1"/>
            </w14:solidFill>
          </w14:textFill>
        </w:rPr>
        <w:t>347</w:t>
      </w:r>
      <w:r>
        <w:rPr>
          <w:rFonts w:hint="eastAsia"/>
          <w:color w:val="000000" w:themeColor="text1"/>
          <w14:textFill>
            <w14:solidFill>
              <w14:schemeClr w14:val="tx1"/>
            </w14:solidFill>
          </w14:textFill>
        </w:rPr>
        <w:t>根。其中，招宝山街道新建</w:t>
      </w:r>
      <w:r>
        <w:rPr>
          <w:color w:val="000000" w:themeColor="text1"/>
          <w14:textFill>
            <w14:solidFill>
              <w14:schemeClr w14:val="tx1"/>
            </w14:solidFill>
          </w14:textFill>
        </w:rPr>
        <w:t>270</w:t>
      </w:r>
      <w:r>
        <w:rPr>
          <w:rFonts w:hint="eastAsia"/>
          <w:color w:val="000000" w:themeColor="text1"/>
          <w14:textFill>
            <w14:solidFill>
              <w14:schemeClr w14:val="tx1"/>
            </w14:solidFill>
          </w14:textFill>
        </w:rPr>
        <w:t>根，蛟川街道新建</w:t>
      </w:r>
      <w:r>
        <w:rPr>
          <w:color w:val="000000" w:themeColor="text1"/>
          <w14:textFill>
            <w14:solidFill>
              <w14:schemeClr w14:val="tx1"/>
            </w14:solidFill>
          </w14:textFill>
        </w:rPr>
        <w:t>210</w:t>
      </w:r>
      <w:r>
        <w:rPr>
          <w:rFonts w:hint="eastAsia"/>
          <w:color w:val="000000" w:themeColor="text1"/>
          <w14:textFill>
            <w14:solidFill>
              <w14:schemeClr w14:val="tx1"/>
            </w14:solidFill>
          </w14:textFill>
        </w:rPr>
        <w:t>根，骆驼街道新建</w:t>
      </w:r>
      <w:r>
        <w:rPr>
          <w:color w:val="000000" w:themeColor="text1"/>
          <w14:textFill>
            <w14:solidFill>
              <w14:schemeClr w14:val="tx1"/>
            </w14:solidFill>
          </w14:textFill>
        </w:rPr>
        <w:t>293</w:t>
      </w:r>
      <w:r>
        <w:rPr>
          <w:rFonts w:hint="eastAsia"/>
          <w:color w:val="000000" w:themeColor="text1"/>
          <w14:textFill>
            <w14:solidFill>
              <w14:schemeClr w14:val="tx1"/>
            </w14:solidFill>
          </w14:textFill>
        </w:rPr>
        <w:t>根，庄市街道新建</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根</w:t>
      </w:r>
      <w:r>
        <w:rPr>
          <w:color w:val="000000" w:themeColor="text1"/>
          <w14:textFill>
            <w14:solidFill>
              <w14:schemeClr w14:val="tx1"/>
            </w14:solidFill>
          </w14:textFill>
        </w:rPr>
        <w:t>。</w:t>
      </w:r>
    </w:p>
    <w:p>
      <w:pPr>
        <w:pStyle w:val="69"/>
        <w:spacing w:before="156" w:line="240" w:lineRule="auto"/>
        <w:ind w:firstLine="198" w:firstLineChars="0"/>
        <w:jc w:val="center"/>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表6-1镇海区城市</w:t>
      </w:r>
      <w:r>
        <w:rPr>
          <w:color w:val="000000" w:themeColor="text1"/>
          <w:sz w:val="24"/>
          <w14:textFill>
            <w14:solidFill>
              <w14:schemeClr w14:val="tx1"/>
            </w14:solidFill>
          </w14:textFill>
        </w:rPr>
        <w:t>地区</w:t>
      </w:r>
      <w:r>
        <w:rPr>
          <w:rFonts w:hint="eastAsia"/>
          <w:color w:val="000000" w:themeColor="text1"/>
          <w:sz w:val="24"/>
          <w14:textFill>
            <w14:solidFill>
              <w14:schemeClr w14:val="tx1"/>
            </w14:solidFill>
          </w14:textFill>
        </w:rPr>
        <w:t>充电设施</w:t>
      </w:r>
      <w:r>
        <w:rPr>
          <w:color w:val="000000" w:themeColor="text1"/>
          <w:sz w:val="24"/>
          <w14:textFill>
            <w14:solidFill>
              <w14:schemeClr w14:val="tx1"/>
            </w14:solidFill>
          </w14:textFill>
        </w:rPr>
        <w:t>布局</w:t>
      </w:r>
      <w:r>
        <w:rPr>
          <w:rFonts w:hint="eastAsia"/>
          <w:color w:val="000000" w:themeColor="text1"/>
          <w:sz w:val="24"/>
          <w14:textFill>
            <w14:solidFill>
              <w14:schemeClr w14:val="tx1"/>
            </w14:solidFill>
          </w14:textFill>
        </w:rPr>
        <w:t>规划总表</w:t>
      </w:r>
    </w:p>
    <w:tbl>
      <w:tblPr>
        <w:tblStyle w:val="34"/>
        <w:tblW w:w="14793" w:type="dxa"/>
        <w:tblInd w:w="91" w:type="dxa"/>
        <w:tblLayout w:type="fixed"/>
        <w:tblCellMar>
          <w:top w:w="0" w:type="dxa"/>
          <w:left w:w="108" w:type="dxa"/>
          <w:bottom w:w="0" w:type="dxa"/>
          <w:right w:w="108" w:type="dxa"/>
        </w:tblCellMar>
      </w:tblPr>
      <w:tblGrid>
        <w:gridCol w:w="696"/>
        <w:gridCol w:w="1416"/>
        <w:gridCol w:w="1416"/>
        <w:gridCol w:w="696"/>
        <w:gridCol w:w="5504"/>
        <w:gridCol w:w="1070"/>
        <w:gridCol w:w="992"/>
        <w:gridCol w:w="1000"/>
        <w:gridCol w:w="987"/>
        <w:gridCol w:w="1016"/>
      </w:tblGrid>
      <w:tr>
        <w:tblPrEx>
          <w:tblCellMar>
            <w:top w:w="0" w:type="dxa"/>
            <w:left w:w="108" w:type="dxa"/>
            <w:bottom w:w="0" w:type="dxa"/>
            <w:right w:w="108" w:type="dxa"/>
          </w:tblCellMar>
        </w:tblPrEx>
        <w:trPr>
          <w:trHeight w:val="454" w:hRule="atLeast"/>
        </w:trPr>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序号</w:t>
            </w:r>
          </w:p>
        </w:tc>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镇（街道）</w:t>
            </w:r>
          </w:p>
        </w:tc>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村（社区）</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数量</w:t>
            </w:r>
          </w:p>
        </w:tc>
        <w:tc>
          <w:tcPr>
            <w:tcW w:w="55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具体情况</w:t>
            </w:r>
          </w:p>
        </w:tc>
        <w:tc>
          <w:tcPr>
            <w:tcW w:w="10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站点计划数</w:t>
            </w:r>
          </w:p>
        </w:tc>
        <w:tc>
          <w:tcPr>
            <w:tcW w:w="39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充电枪计划数</w:t>
            </w:r>
          </w:p>
        </w:tc>
      </w:tr>
      <w:tr>
        <w:tblPrEx>
          <w:tblCellMar>
            <w:top w:w="0" w:type="dxa"/>
            <w:left w:w="108" w:type="dxa"/>
            <w:bottom w:w="0" w:type="dxa"/>
            <w:right w:w="108" w:type="dxa"/>
          </w:tblCellMar>
        </w:tblPrEx>
        <w:trPr>
          <w:trHeight w:val="454" w:hRule="atLeast"/>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55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10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2023年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2024年</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2025年</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小计</w:t>
            </w:r>
          </w:p>
        </w:tc>
      </w:tr>
      <w:tr>
        <w:tblPrEx>
          <w:tblCellMar>
            <w:top w:w="0" w:type="dxa"/>
            <w:left w:w="108" w:type="dxa"/>
            <w:bottom w:w="0" w:type="dxa"/>
            <w:right w:w="108" w:type="dxa"/>
          </w:tblCellMar>
        </w:tblPrEx>
        <w:trPr>
          <w:trHeight w:val="454"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招宝山街道</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社区</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5504" w:type="dxa"/>
            <w:tcBorders>
              <w:top w:val="single" w:color="000000" w:sz="4" w:space="0"/>
              <w:left w:val="single" w:color="000000" w:sz="4" w:space="0"/>
              <w:bottom w:val="single" w:color="000000" w:sz="4" w:space="0"/>
              <w:right w:val="nil"/>
            </w:tcBorders>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城东社区、胜利路社区、总浦桥社区、后大街社区、顺隆社区、车站路社区、西门社区、白龙社区、张鑑碶社区、海港社区、后海塘企业社区</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29</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69</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84</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270</w:t>
            </w:r>
          </w:p>
        </w:tc>
      </w:tr>
      <w:tr>
        <w:tblPrEx>
          <w:tblCellMar>
            <w:top w:w="0" w:type="dxa"/>
            <w:left w:w="108" w:type="dxa"/>
            <w:bottom w:w="0" w:type="dxa"/>
            <w:right w:w="108" w:type="dxa"/>
          </w:tblCellMar>
        </w:tblPrEx>
        <w:trPr>
          <w:trHeight w:val="454" w:hRule="atLeast"/>
        </w:trPr>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蛟川街道</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社区</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13</w:t>
            </w:r>
          </w:p>
        </w:tc>
        <w:tc>
          <w:tcPr>
            <w:tcW w:w="5504" w:type="dxa"/>
            <w:tcBorders>
              <w:top w:val="single" w:color="000000" w:sz="4" w:space="0"/>
              <w:left w:val="single" w:color="000000" w:sz="4" w:space="0"/>
              <w:bottom w:val="single" w:color="000000" w:sz="4" w:space="0"/>
              <w:right w:val="nil"/>
            </w:tcBorders>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三建社区、镇电社区、炼化社区、中一社区、石塘下社区、五里牌社区、虹桥社区、后施社区、临江社区、银凤社区、俞范社区、青枫社区、东信路社区</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43</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65</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182</w:t>
            </w:r>
          </w:p>
        </w:tc>
      </w:tr>
      <w:tr>
        <w:tblPrEx>
          <w:tblCellMar>
            <w:top w:w="0" w:type="dxa"/>
            <w:left w:w="108" w:type="dxa"/>
            <w:bottom w:w="0" w:type="dxa"/>
            <w:right w:w="108" w:type="dxa"/>
          </w:tblCellMar>
        </w:tblPrEx>
        <w:trPr>
          <w:trHeight w:val="454" w:hRule="atLeast"/>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行政村</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5504" w:type="dxa"/>
            <w:tcBorders>
              <w:top w:val="single" w:color="000000" w:sz="4" w:space="0"/>
              <w:left w:val="single" w:color="000000" w:sz="4" w:space="0"/>
              <w:bottom w:val="single" w:color="000000" w:sz="4" w:space="0"/>
              <w:right w:val="nil"/>
            </w:tcBorders>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俞范村、沿江村、迎周村、渡驾桥村、陈家村、清水浦村</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28</w:t>
            </w:r>
          </w:p>
        </w:tc>
      </w:tr>
      <w:tr>
        <w:tblPrEx>
          <w:tblCellMar>
            <w:top w:w="0" w:type="dxa"/>
            <w:left w:w="108" w:type="dxa"/>
            <w:bottom w:w="0" w:type="dxa"/>
            <w:right w:w="108" w:type="dxa"/>
          </w:tblCellMar>
        </w:tblPrEx>
        <w:trPr>
          <w:trHeight w:val="454" w:hRule="atLeast"/>
        </w:trPr>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骆驼街道</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社区</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5504" w:type="dxa"/>
            <w:tcBorders>
              <w:top w:val="single" w:color="000000" w:sz="4" w:space="0"/>
              <w:left w:val="single" w:color="000000" w:sz="4" w:space="0"/>
              <w:bottom w:val="single" w:color="000000" w:sz="4" w:space="0"/>
              <w:right w:val="nil"/>
            </w:tcBorders>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中街社区、盛家社区、南一社区、静远社区、莲晴社区、金东社区、金邑社区、金华社区、箭港湖社区、桕墅方社区、新晨社区、镇海新城楼宇社区</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73</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93</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246</w:t>
            </w:r>
          </w:p>
        </w:tc>
      </w:tr>
      <w:tr>
        <w:tblPrEx>
          <w:tblCellMar>
            <w:top w:w="0" w:type="dxa"/>
            <w:left w:w="108" w:type="dxa"/>
            <w:bottom w:w="0" w:type="dxa"/>
            <w:right w:w="108" w:type="dxa"/>
          </w:tblCellMar>
        </w:tblPrEx>
        <w:trPr>
          <w:trHeight w:val="454" w:hRule="atLeast"/>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行政村</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w:t>
            </w:r>
          </w:p>
        </w:tc>
        <w:tc>
          <w:tcPr>
            <w:tcW w:w="5504" w:type="dxa"/>
            <w:tcBorders>
              <w:top w:val="single" w:color="000000" w:sz="4" w:space="0"/>
              <w:left w:val="single" w:color="000000" w:sz="4" w:space="0"/>
              <w:bottom w:val="single" w:color="000000" w:sz="4" w:space="0"/>
              <w:right w:val="nil"/>
            </w:tcBorders>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骆驼村、余三村、董家畈村、朝阳村、团桥村、尚志村、骆兴村、清水湖村、敬德村</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19</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21</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47</w:t>
            </w:r>
          </w:p>
        </w:tc>
      </w:tr>
      <w:tr>
        <w:tblPrEx>
          <w:tblCellMar>
            <w:top w:w="0" w:type="dxa"/>
            <w:left w:w="108" w:type="dxa"/>
            <w:bottom w:w="0" w:type="dxa"/>
            <w:right w:w="108" w:type="dxa"/>
          </w:tblCellMar>
        </w:tblPrEx>
        <w:trPr>
          <w:trHeight w:val="454" w:hRule="atLeast"/>
        </w:trPr>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庄市街道</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社区</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5504" w:type="dxa"/>
            <w:tcBorders>
              <w:top w:val="single" w:color="000000" w:sz="4" w:space="0"/>
              <w:left w:val="single" w:color="000000" w:sz="4" w:space="0"/>
              <w:bottom w:val="single" w:color="000000" w:sz="4" w:space="0"/>
              <w:right w:val="nil"/>
            </w:tcBorders>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陈倪路社区、锦绣社区、中兴社区、同心湖社区、湖滨社区、兴庄路社区、高教社区、汉郡社区、庄一社区、庄市社区、联兴社区</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39</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62</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90</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191</w:t>
            </w:r>
          </w:p>
        </w:tc>
      </w:tr>
      <w:tr>
        <w:tblPrEx>
          <w:tblCellMar>
            <w:top w:w="0" w:type="dxa"/>
            <w:left w:w="108" w:type="dxa"/>
            <w:bottom w:w="0" w:type="dxa"/>
            <w:right w:w="108" w:type="dxa"/>
          </w:tblCellMar>
        </w:tblPrEx>
        <w:trPr>
          <w:trHeight w:val="454" w:hRule="atLeast"/>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行政村</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5504" w:type="dxa"/>
            <w:tcBorders>
              <w:top w:val="single" w:color="000000" w:sz="4" w:space="0"/>
              <w:left w:val="single" w:color="000000" w:sz="4" w:space="0"/>
              <w:bottom w:val="single" w:color="000000" w:sz="4" w:space="0"/>
              <w:right w:val="nil"/>
            </w:tcBorders>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万市徐村、勤勇村、永旺村、光明村、钟包村</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r>
      <w:tr>
        <w:tblPrEx>
          <w:tblCellMar>
            <w:top w:w="0" w:type="dxa"/>
            <w:left w:w="108" w:type="dxa"/>
            <w:bottom w:w="0" w:type="dxa"/>
            <w:right w:w="108" w:type="dxa"/>
          </w:tblCellMar>
        </w:tblPrEx>
        <w:trPr>
          <w:trHeight w:val="454" w:hRule="atLeast"/>
        </w:trPr>
        <w:tc>
          <w:tcPr>
            <w:tcW w:w="352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合计</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67</w:t>
            </w:r>
          </w:p>
        </w:tc>
        <w:tc>
          <w:tcPr>
            <w:tcW w:w="5504" w:type="dxa"/>
            <w:tcBorders>
              <w:top w:val="single" w:color="000000" w:sz="4" w:space="0"/>
              <w:left w:val="single" w:color="000000" w:sz="4" w:space="0"/>
              <w:bottom w:val="single" w:color="000000" w:sz="4" w:space="0"/>
              <w:right w:val="nil"/>
            </w:tcBorders>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119</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349</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278</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347</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974</w:t>
            </w:r>
          </w:p>
        </w:tc>
      </w:tr>
    </w:tbl>
    <w:p>
      <w:pPr>
        <w:sectPr>
          <w:pgSz w:w="16840" w:h="11907" w:orient="landscape"/>
          <w:pgMar w:top="1587" w:right="1440" w:bottom="1587" w:left="1440" w:header="851" w:footer="992" w:gutter="0"/>
          <w:cols w:space="720" w:num="1"/>
          <w:docGrid w:type="lines" w:linePitch="312" w:charSpace="0"/>
        </w:sectPr>
      </w:pP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6.1.2招宝山街道</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招宝山街道预计新增充电枪</w:t>
      </w:r>
      <w:r>
        <w:rPr>
          <w:color w:val="000000" w:themeColor="text1"/>
          <w14:textFill>
            <w14:solidFill>
              <w14:schemeClr w14:val="tx1"/>
            </w14:solidFill>
          </w14:textFill>
        </w:rPr>
        <w:t>270</w:t>
      </w:r>
      <w:r>
        <w:rPr>
          <w:rFonts w:hint="eastAsia"/>
          <w:color w:val="000000" w:themeColor="text1"/>
          <w14:textFill>
            <w14:solidFill>
              <w14:schemeClr w14:val="tx1"/>
            </w14:solidFill>
          </w14:textFill>
        </w:rPr>
        <w:t>根，其中，直流枪1</w:t>
      </w:r>
      <w:r>
        <w:rPr>
          <w:color w:val="000000" w:themeColor="text1"/>
          <w14:textFill>
            <w14:solidFill>
              <w14:schemeClr w14:val="tx1"/>
            </w14:solidFill>
          </w14:textFill>
        </w:rPr>
        <w:t>14</w:t>
      </w:r>
      <w:r>
        <w:rPr>
          <w:rFonts w:hint="eastAsia"/>
          <w:color w:val="000000" w:themeColor="text1"/>
          <w14:textFill>
            <w14:solidFill>
              <w14:schemeClr w14:val="tx1"/>
            </w14:solidFill>
          </w14:textFill>
        </w:rPr>
        <w:t>根，交流枪</w:t>
      </w:r>
      <w:r>
        <w:rPr>
          <w:color w:val="000000" w:themeColor="text1"/>
          <w14:textFill>
            <w14:solidFill>
              <w14:schemeClr w14:val="tx1"/>
            </w14:solidFill>
          </w14:textFill>
        </w:rPr>
        <w:t>156</w:t>
      </w:r>
      <w:r>
        <w:rPr>
          <w:rFonts w:hint="eastAsia"/>
          <w:color w:val="000000" w:themeColor="text1"/>
          <w14:textFill>
            <w14:solidFill>
              <w14:schemeClr w14:val="tx1"/>
            </w14:solidFill>
          </w14:textFill>
        </w:rPr>
        <w:t>根，分别于2023年完成1</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根，2024年完成</w:t>
      </w:r>
      <w:r>
        <w:rPr>
          <w:color w:val="000000" w:themeColor="text1"/>
          <w14:textFill>
            <w14:solidFill>
              <w14:schemeClr w14:val="tx1"/>
            </w14:solidFill>
          </w14:textFill>
        </w:rPr>
        <w:t>69</w:t>
      </w:r>
      <w:r>
        <w:rPr>
          <w:rFonts w:hint="eastAsia"/>
          <w:color w:val="000000" w:themeColor="text1"/>
          <w14:textFill>
            <w14:solidFill>
              <w14:schemeClr w14:val="tx1"/>
            </w14:solidFill>
          </w14:textFill>
        </w:rPr>
        <w:t>根，2025年完成</w:t>
      </w:r>
      <w:r>
        <w:rPr>
          <w:color w:val="000000" w:themeColor="text1"/>
          <w14:textFill>
            <w14:solidFill>
              <w14:schemeClr w14:val="tx1"/>
            </w14:solidFill>
          </w14:textFill>
        </w:rPr>
        <w:t>84</w:t>
      </w:r>
      <w:r>
        <w:rPr>
          <w:rFonts w:hint="eastAsia"/>
          <w:color w:val="000000" w:themeColor="text1"/>
          <w14:textFill>
            <w14:solidFill>
              <w14:schemeClr w14:val="tx1"/>
            </w14:solidFill>
          </w14:textFill>
        </w:rPr>
        <w:t>根。</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表6-2镇海区</w:t>
      </w:r>
      <w:r>
        <w:rPr>
          <w:color w:val="000000" w:themeColor="text1"/>
          <w:sz w:val="24"/>
          <w14:textFill>
            <w14:solidFill>
              <w14:schemeClr w14:val="tx1"/>
            </w14:solidFill>
          </w14:textFill>
        </w:rPr>
        <w:t>城市地区</w:t>
      </w:r>
      <w:r>
        <w:rPr>
          <w:rFonts w:hint="eastAsia"/>
          <w:color w:val="000000" w:themeColor="text1"/>
          <w:sz w:val="24"/>
          <w14:textFill>
            <w14:solidFill>
              <w14:schemeClr w14:val="tx1"/>
            </w14:solidFill>
          </w14:textFill>
        </w:rPr>
        <w:t>招宝山街道各社区</w:t>
      </w:r>
      <w:r>
        <w:rPr>
          <w:color w:val="000000" w:themeColor="text1"/>
          <w:sz w:val="24"/>
          <w14:textFill>
            <w14:solidFill>
              <w14:schemeClr w14:val="tx1"/>
            </w14:solidFill>
          </w14:textFill>
        </w:rPr>
        <w:t>充电设施布局</w:t>
      </w:r>
      <w:r>
        <w:rPr>
          <w:rFonts w:hint="eastAsia"/>
          <w:color w:val="000000" w:themeColor="text1"/>
          <w:sz w:val="24"/>
          <w14:textFill>
            <w14:solidFill>
              <w14:schemeClr w14:val="tx1"/>
            </w14:solidFill>
          </w14:textFill>
        </w:rPr>
        <w:t>规划</w:t>
      </w:r>
      <w:r>
        <w:rPr>
          <w:color w:val="000000" w:themeColor="text1"/>
          <w:sz w:val="24"/>
          <w14:textFill>
            <w14:solidFill>
              <w14:schemeClr w14:val="tx1"/>
            </w14:solidFill>
          </w14:textFill>
        </w:rPr>
        <w:t>统计表</w:t>
      </w:r>
    </w:p>
    <w:tbl>
      <w:tblPr>
        <w:tblStyle w:val="34"/>
        <w:tblW w:w="8990" w:type="dxa"/>
        <w:tblInd w:w="91" w:type="dxa"/>
        <w:tblLayout w:type="fixed"/>
        <w:tblCellMar>
          <w:top w:w="0" w:type="dxa"/>
          <w:left w:w="108" w:type="dxa"/>
          <w:bottom w:w="0" w:type="dxa"/>
          <w:right w:w="108" w:type="dxa"/>
        </w:tblCellMar>
      </w:tblPr>
      <w:tblGrid>
        <w:gridCol w:w="558"/>
        <w:gridCol w:w="1069"/>
        <w:gridCol w:w="2608"/>
        <w:gridCol w:w="960"/>
        <w:gridCol w:w="860"/>
        <w:gridCol w:w="639"/>
        <w:gridCol w:w="740"/>
        <w:gridCol w:w="800"/>
        <w:gridCol w:w="756"/>
      </w:tblGrid>
      <w:tr>
        <w:tblPrEx>
          <w:tblCellMar>
            <w:top w:w="0" w:type="dxa"/>
            <w:left w:w="108" w:type="dxa"/>
            <w:bottom w:w="0" w:type="dxa"/>
            <w:right w:w="108" w:type="dxa"/>
          </w:tblCellMar>
        </w:tblPrEx>
        <w:trPr>
          <w:trHeight w:val="454" w:hRule="atLeast"/>
          <w:tblHeader/>
        </w:trPr>
        <w:tc>
          <w:tcPr>
            <w:tcW w:w="5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序号</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村/社区</w:t>
            </w:r>
          </w:p>
        </w:tc>
        <w:tc>
          <w:tcPr>
            <w:tcW w:w="26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站点名称</w:t>
            </w:r>
          </w:p>
        </w:tc>
        <w:tc>
          <w:tcPr>
            <w:tcW w:w="24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lang w:eastAsia="zh-Hans"/>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建议充电设施类型及数量</w:t>
            </w:r>
            <w:r>
              <w:rPr>
                <w:rFonts w:ascii="仿宋_GB2312" w:hAnsi="宋体" w:eastAsia="仿宋_GB2312" w:cs="宋体"/>
                <w:b/>
                <w:bCs/>
                <w:color w:val="000000" w:themeColor="text1"/>
                <w:kern w:val="0"/>
                <w:szCs w:val="21"/>
                <w14:textFill>
                  <w14:solidFill>
                    <w14:schemeClr w14:val="tx1"/>
                  </w14:solidFill>
                </w14:textFill>
              </w:rPr>
              <w:t>/</w:t>
            </w:r>
            <w:r>
              <w:rPr>
                <w:rFonts w:hint="eastAsia" w:ascii="仿宋_GB2312" w:hAnsi="宋体" w:eastAsia="仿宋_GB2312" w:cs="宋体"/>
                <w:b/>
                <w:bCs/>
                <w:color w:val="000000" w:themeColor="text1"/>
                <w:kern w:val="0"/>
                <w:szCs w:val="21"/>
                <w:lang w:eastAsia="zh-Hans"/>
                <w14:textFill>
                  <w14:solidFill>
                    <w14:schemeClr w14:val="tx1"/>
                  </w14:solidFill>
                </w14:textFill>
              </w:rPr>
              <w:t>根</w:t>
            </w:r>
          </w:p>
        </w:tc>
        <w:tc>
          <w:tcPr>
            <w:tcW w:w="22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宋体" w:eastAsia="仿宋_GB2312" w:cs="宋体"/>
                <w:b/>
                <w:bCs/>
                <w:color w:val="000000" w:themeColor="text1"/>
                <w:kern w:val="0"/>
                <w:szCs w:val="21"/>
                <w:lang w:eastAsia="zh-Hans"/>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实施时间</w:t>
            </w:r>
            <w:r>
              <w:rPr>
                <w:rFonts w:ascii="仿宋_GB2312" w:hAnsi="宋体" w:eastAsia="仿宋_GB2312" w:cs="宋体"/>
                <w:b/>
                <w:bCs/>
                <w:color w:val="000000" w:themeColor="text1"/>
                <w:kern w:val="0"/>
                <w:szCs w:val="21"/>
                <w14:textFill>
                  <w14:solidFill>
                    <w14:schemeClr w14:val="tx1"/>
                  </w14:solidFill>
                </w14:textFill>
              </w:rPr>
              <w:t>/</w:t>
            </w:r>
            <w:r>
              <w:rPr>
                <w:rFonts w:hint="eastAsia" w:ascii="仿宋_GB2312" w:hAnsi="宋体" w:eastAsia="仿宋_GB2312" w:cs="宋体"/>
                <w:b/>
                <w:bCs/>
                <w:color w:val="000000" w:themeColor="text1"/>
                <w:kern w:val="0"/>
                <w:szCs w:val="21"/>
                <w:lang w:eastAsia="zh-Hans"/>
                <w14:textFill>
                  <w14:solidFill>
                    <w14:schemeClr w14:val="tx1"/>
                  </w14:solidFill>
                </w14:textFill>
              </w:rPr>
              <w:t>年</w:t>
            </w:r>
          </w:p>
        </w:tc>
      </w:tr>
      <w:tr>
        <w:tblPrEx>
          <w:tblCellMar>
            <w:top w:w="0" w:type="dxa"/>
            <w:left w:w="108" w:type="dxa"/>
            <w:bottom w:w="0" w:type="dxa"/>
            <w:right w:w="108" w:type="dxa"/>
          </w:tblCellMar>
        </w:tblPrEx>
        <w:trPr>
          <w:trHeight w:val="454" w:hRule="atLeast"/>
          <w:tblHeader/>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p>
        </w:tc>
        <w:tc>
          <w:tcPr>
            <w:tcW w:w="26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直流枪</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交流枪</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小计</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2023</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2024</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2025</w:t>
            </w:r>
          </w:p>
        </w:tc>
      </w:tr>
      <w:tr>
        <w:tblPrEx>
          <w:tblCellMar>
            <w:top w:w="0" w:type="dxa"/>
            <w:left w:w="108" w:type="dxa"/>
            <w:bottom w:w="0" w:type="dxa"/>
            <w:right w:w="108" w:type="dxa"/>
          </w:tblCellMar>
        </w:tblPrEx>
        <w:trPr>
          <w:trHeight w:val="454" w:hRule="atLeast"/>
        </w:trPr>
        <w:tc>
          <w:tcPr>
            <w:tcW w:w="5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白龙社区</w:t>
            </w: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海苑小区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茗园路甬城泊车充电站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宁波市镇海区中医医院</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福龙路甬城泊车充电站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环城西路甬城泊车充电站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招宝山街道西门公园地下停车场充电站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17</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25</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总浦桥社区</w:t>
            </w: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镇海区龙赛医院停车场充电站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镇海文化广场地下停车场充电站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13</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25</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镇海文化广场南停车场充电站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鼓楼广场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镇海区南大街停车场充电站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后海塘社区</w:t>
            </w: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招宝山保洁服务中心站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招宝山智造谷充电站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68</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传化宁波供应链中心充电站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宁波镇海宝湾物流停车场充电站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中海油销售公司镇海招宝山加油站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车站路社区</w:t>
            </w: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镇海供电公司内部充电站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书香园</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招宝山供电所（新址）充电站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张鑑碶社区</w:t>
            </w: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沿江公园停车场充电站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张鑑碶菜场停车场充电站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海港社区</w:t>
            </w: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公交招宝山站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镇海招宝山景区西侧停车场充电站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胜利路社区</w:t>
            </w: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怡江华庭</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镇海客运中心停车场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顺隆社区</w:t>
            </w: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镇海区海尚国际华永充电站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招宝山街道办事处北广场停车场充电站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后大街社区</w:t>
            </w: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聪园路甬城泊车充电站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西门社区</w:t>
            </w:r>
          </w:p>
        </w:tc>
        <w:tc>
          <w:tcPr>
            <w:tcW w:w="2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皇家御都</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423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合计</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156</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270</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117</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84</w:t>
            </w:r>
          </w:p>
        </w:tc>
      </w:tr>
    </w:tbl>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6.1.3蛟川街道</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蛟川街道预计新增充电枪</w:t>
      </w:r>
      <w:r>
        <w:rPr>
          <w:color w:val="000000" w:themeColor="text1"/>
          <w14:textFill>
            <w14:solidFill>
              <w14:schemeClr w14:val="tx1"/>
            </w14:solidFill>
          </w14:textFill>
        </w:rPr>
        <w:t>210</w:t>
      </w:r>
      <w:r>
        <w:rPr>
          <w:rFonts w:hint="eastAsia"/>
          <w:color w:val="000000" w:themeColor="text1"/>
          <w14:textFill>
            <w14:solidFill>
              <w14:schemeClr w14:val="tx1"/>
            </w14:solidFill>
          </w14:textFill>
        </w:rPr>
        <w:t>根，其中，直流枪</w:t>
      </w:r>
      <w:r>
        <w:rPr>
          <w:color w:val="000000" w:themeColor="text1"/>
          <w14:textFill>
            <w14:solidFill>
              <w14:schemeClr w14:val="tx1"/>
            </w14:solidFill>
          </w14:textFill>
        </w:rPr>
        <w:t>77</w:t>
      </w:r>
      <w:r>
        <w:rPr>
          <w:rFonts w:hint="eastAsia"/>
          <w:color w:val="000000" w:themeColor="text1"/>
          <w14:textFill>
            <w14:solidFill>
              <w14:schemeClr w14:val="tx1"/>
            </w14:solidFill>
          </w14:textFill>
        </w:rPr>
        <w:t>根，交流枪</w:t>
      </w:r>
      <w:r>
        <w:rPr>
          <w:color w:val="000000" w:themeColor="text1"/>
          <w14:textFill>
            <w14:solidFill>
              <w14:schemeClr w14:val="tx1"/>
            </w14:solidFill>
          </w14:textFill>
        </w:rPr>
        <w:t>133</w:t>
      </w:r>
      <w:r>
        <w:rPr>
          <w:rFonts w:hint="eastAsia"/>
          <w:color w:val="000000" w:themeColor="text1"/>
          <w14:textFill>
            <w14:solidFill>
              <w14:schemeClr w14:val="tx1"/>
            </w14:solidFill>
          </w14:textFill>
        </w:rPr>
        <w:t>根，分别于2023年完成</w:t>
      </w:r>
      <w:r>
        <w:rPr>
          <w:color w:val="000000" w:themeColor="text1"/>
          <w14:textFill>
            <w14:solidFill>
              <w14:schemeClr w14:val="tx1"/>
            </w14:solidFill>
          </w14:textFill>
        </w:rPr>
        <w:t>88</w:t>
      </w:r>
      <w:r>
        <w:rPr>
          <w:rFonts w:hint="eastAsia"/>
          <w:color w:val="000000" w:themeColor="text1"/>
          <w14:textFill>
            <w14:solidFill>
              <w14:schemeClr w14:val="tx1"/>
            </w14:solidFill>
          </w14:textFill>
        </w:rPr>
        <w:t>根，2024年完成</w:t>
      </w:r>
      <w:r>
        <w:rPr>
          <w:color w:val="000000" w:themeColor="text1"/>
          <w14:textFill>
            <w14:solidFill>
              <w14:schemeClr w14:val="tx1"/>
            </w14:solidFill>
          </w14:textFill>
        </w:rPr>
        <w:t>49</w:t>
      </w:r>
      <w:r>
        <w:rPr>
          <w:rFonts w:hint="eastAsia"/>
          <w:color w:val="000000" w:themeColor="text1"/>
          <w14:textFill>
            <w14:solidFill>
              <w14:schemeClr w14:val="tx1"/>
            </w14:solidFill>
          </w14:textFill>
        </w:rPr>
        <w:t>根，2025年完成</w:t>
      </w:r>
      <w:r>
        <w:rPr>
          <w:color w:val="000000" w:themeColor="text1"/>
          <w14:textFill>
            <w14:solidFill>
              <w14:schemeClr w14:val="tx1"/>
            </w14:solidFill>
          </w14:textFill>
        </w:rPr>
        <w:t>73</w:t>
      </w:r>
      <w:r>
        <w:rPr>
          <w:rFonts w:hint="eastAsia"/>
          <w:color w:val="000000" w:themeColor="text1"/>
          <w14:textFill>
            <w14:solidFill>
              <w14:schemeClr w14:val="tx1"/>
            </w14:solidFill>
          </w14:textFill>
        </w:rPr>
        <w:t>根。</w:t>
      </w:r>
    </w:p>
    <w:p>
      <w:pPr>
        <w:pStyle w:val="69"/>
        <w:spacing w:before="156" w:line="240" w:lineRule="auto"/>
        <w:ind w:firstLine="0" w:firstLineChars="0"/>
        <w:jc w:val="center"/>
        <w:rPr>
          <w:color w:val="000000" w:themeColor="text1"/>
          <w:highlight w:val="yellow"/>
          <w14:textFill>
            <w14:solidFill>
              <w14:schemeClr w14:val="tx1"/>
            </w14:solidFill>
          </w14:textFill>
        </w:rPr>
      </w:pPr>
      <w:r>
        <w:rPr>
          <w:rFonts w:hint="eastAsia"/>
          <w:color w:val="000000" w:themeColor="text1"/>
          <w:sz w:val="24"/>
          <w14:textFill>
            <w14:solidFill>
              <w14:schemeClr w14:val="tx1"/>
            </w14:solidFill>
          </w14:textFill>
        </w:rPr>
        <w:t>表6-3镇海区</w:t>
      </w:r>
      <w:r>
        <w:rPr>
          <w:color w:val="000000" w:themeColor="text1"/>
          <w:sz w:val="24"/>
          <w14:textFill>
            <w14:solidFill>
              <w14:schemeClr w14:val="tx1"/>
            </w14:solidFill>
          </w14:textFill>
        </w:rPr>
        <w:t>城市地区</w:t>
      </w:r>
      <w:r>
        <w:rPr>
          <w:rFonts w:hint="eastAsia"/>
          <w:color w:val="000000" w:themeColor="text1"/>
          <w:sz w:val="24"/>
          <w14:textFill>
            <w14:solidFill>
              <w14:schemeClr w14:val="tx1"/>
            </w14:solidFill>
          </w14:textFill>
        </w:rPr>
        <w:t>蛟川街道各社区</w:t>
      </w:r>
      <w:r>
        <w:rPr>
          <w:color w:val="000000" w:themeColor="text1"/>
          <w:sz w:val="24"/>
          <w14:textFill>
            <w14:solidFill>
              <w14:schemeClr w14:val="tx1"/>
            </w14:solidFill>
          </w14:textFill>
        </w:rPr>
        <w:t>充电设施布局</w:t>
      </w:r>
      <w:r>
        <w:rPr>
          <w:rFonts w:hint="eastAsia"/>
          <w:color w:val="000000" w:themeColor="text1"/>
          <w:sz w:val="24"/>
          <w14:textFill>
            <w14:solidFill>
              <w14:schemeClr w14:val="tx1"/>
            </w14:solidFill>
          </w14:textFill>
        </w:rPr>
        <w:t>规划</w:t>
      </w:r>
      <w:r>
        <w:rPr>
          <w:color w:val="000000" w:themeColor="text1"/>
          <w:sz w:val="24"/>
          <w14:textFill>
            <w14:solidFill>
              <w14:schemeClr w14:val="tx1"/>
            </w14:solidFill>
          </w14:textFill>
        </w:rPr>
        <w:t>统计表</w:t>
      </w:r>
    </w:p>
    <w:tbl>
      <w:tblPr>
        <w:tblStyle w:val="34"/>
        <w:tblW w:w="9573" w:type="dxa"/>
        <w:jc w:val="center"/>
        <w:tblLayout w:type="fixed"/>
        <w:tblCellMar>
          <w:top w:w="0" w:type="dxa"/>
          <w:left w:w="108" w:type="dxa"/>
          <w:bottom w:w="0" w:type="dxa"/>
          <w:right w:w="108" w:type="dxa"/>
        </w:tblCellMar>
      </w:tblPr>
      <w:tblGrid>
        <w:gridCol w:w="613"/>
        <w:gridCol w:w="1205"/>
        <w:gridCol w:w="2840"/>
        <w:gridCol w:w="900"/>
        <w:gridCol w:w="916"/>
        <w:gridCol w:w="700"/>
        <w:gridCol w:w="820"/>
        <w:gridCol w:w="820"/>
        <w:gridCol w:w="759"/>
      </w:tblGrid>
      <w:tr>
        <w:tblPrEx>
          <w:tblCellMar>
            <w:top w:w="0" w:type="dxa"/>
            <w:left w:w="108" w:type="dxa"/>
            <w:bottom w:w="0" w:type="dxa"/>
            <w:right w:w="108" w:type="dxa"/>
          </w:tblCellMar>
        </w:tblPrEx>
        <w:trPr>
          <w:trHeight w:val="454" w:hRule="atLeast"/>
          <w:tblHeader/>
          <w:jc w:val="center"/>
        </w:trPr>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序号</w:t>
            </w:r>
          </w:p>
        </w:tc>
        <w:tc>
          <w:tcPr>
            <w:tcW w:w="12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村/社区</w:t>
            </w:r>
          </w:p>
        </w:tc>
        <w:tc>
          <w:tcPr>
            <w:tcW w:w="28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站点名称</w:t>
            </w:r>
          </w:p>
        </w:tc>
        <w:tc>
          <w:tcPr>
            <w:tcW w:w="25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建议充电设施类型及数量/根</w:t>
            </w:r>
          </w:p>
        </w:tc>
        <w:tc>
          <w:tcPr>
            <w:tcW w:w="23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实施时间/年</w:t>
            </w:r>
          </w:p>
        </w:tc>
      </w:tr>
      <w:tr>
        <w:tblPrEx>
          <w:tblCellMar>
            <w:top w:w="0" w:type="dxa"/>
            <w:left w:w="108" w:type="dxa"/>
            <w:bottom w:w="0" w:type="dxa"/>
            <w:right w:w="108" w:type="dxa"/>
          </w:tblCellMar>
        </w:tblPrEx>
        <w:trPr>
          <w:trHeight w:val="454" w:hRule="atLeast"/>
          <w:tblHeader/>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p>
        </w:tc>
        <w:tc>
          <w:tcPr>
            <w:tcW w:w="28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直流枪</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交流枪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小计</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2023</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2024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2025</w:t>
            </w:r>
          </w:p>
        </w:tc>
      </w:tr>
      <w:tr>
        <w:tblPrEx>
          <w:tblCellMar>
            <w:top w:w="0" w:type="dxa"/>
            <w:left w:w="108" w:type="dxa"/>
            <w:bottom w:w="0" w:type="dxa"/>
            <w:right w:w="108" w:type="dxa"/>
          </w:tblCellMar>
        </w:tblPrEx>
        <w:trPr>
          <w:trHeight w:val="454" w:hRule="atLeast"/>
          <w:jc w:val="center"/>
        </w:trPr>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12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镇电社区</w:t>
            </w: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世贸广场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世贸广场公寓</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世贸广场写字楼</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镇海区镇电小区充电群</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浙江省宁波市镇海区镇电小区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12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炼化社区</w:t>
            </w: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镇海炼化13号门岗私家车停车场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沿河路甬城泊车</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镇海炼化厂前办公区域</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27</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41</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公交临俞站</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jc w:val="center"/>
        </w:trPr>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12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临江社区</w:t>
            </w: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临江星苑</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临江路甬城泊车</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临江小区中心圆停车场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12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陈家村</w:t>
            </w: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宁波成套厂充电站</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中石化碧辟（浙江）石油有限公司宁波镇海城北加油站</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超限运输检测站充电站</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12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东信路社区</w:t>
            </w: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三江购物（蛟川商场）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金锚路甬城泊车</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绕城高速下方宁镇路以北</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jc w:val="center"/>
        </w:trPr>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12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石塘下社区</w:t>
            </w: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古塘丽景</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镇海海景停车场充电桩项目</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古塘广场停车场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jc w:val="center"/>
        </w:trPr>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12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银凤社区</w:t>
            </w: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金丰紫园</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中官路菜场充电站</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12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俞范社区</w:t>
            </w: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后施菜场充电站</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宁波镇海东海后施加油站</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jc w:val="center"/>
        </w:trPr>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w:t>
            </w:r>
          </w:p>
        </w:tc>
        <w:tc>
          <w:tcPr>
            <w:tcW w:w="12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中一社区</w:t>
            </w: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红墅湾</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银凤晓月绿苑</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青枫社区</w:t>
            </w: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枫园地铁站停车场充电站</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jc w:val="center"/>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清水浦村</w:t>
            </w: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宁波商贸城市公共物流配送中心充电站</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沿江村</w:t>
            </w: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绕城高速下方宁镇路以南</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jc w:val="center"/>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13</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迎周村</w:t>
            </w: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宁波市镇海区迎周村老周充电站</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jc w:val="center"/>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14</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俞范村</w:t>
            </w:r>
          </w:p>
        </w:tc>
        <w:tc>
          <w:tcPr>
            <w:tcW w:w="2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宁波镇海石化物流特微网充电站</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jc w:val="center"/>
        </w:trPr>
        <w:tc>
          <w:tcPr>
            <w:tcW w:w="46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合计</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77</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133</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210</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88</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49</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73</w:t>
            </w:r>
          </w:p>
        </w:tc>
      </w:tr>
    </w:tbl>
    <w:p>
      <w:pPr>
        <w:pStyle w:val="69"/>
        <w:ind w:firstLine="640"/>
        <w:rPr>
          <w:color w:val="000000" w:themeColor="text1"/>
          <w:highlight w:val="yellow"/>
          <w14:textFill>
            <w14:solidFill>
              <w14:schemeClr w14:val="tx1"/>
            </w14:solidFill>
          </w14:textFill>
        </w:rPr>
        <w:sectPr>
          <w:pgSz w:w="11907" w:h="16840"/>
          <w:pgMar w:top="1440" w:right="1587" w:bottom="1440" w:left="1587" w:header="851" w:footer="992" w:gutter="0"/>
          <w:cols w:space="720" w:num="1"/>
          <w:docGrid w:type="lines" w:linePitch="312" w:charSpace="0"/>
        </w:sectPr>
      </w:pP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6.1.4骆驼街道</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骆驼街道预计新增充电枪</w:t>
      </w:r>
      <w:r>
        <w:rPr>
          <w:color w:val="000000" w:themeColor="text1"/>
          <w14:textFill>
            <w14:solidFill>
              <w14:schemeClr w14:val="tx1"/>
            </w14:solidFill>
          </w14:textFill>
        </w:rPr>
        <w:t>293</w:t>
      </w:r>
      <w:r>
        <w:rPr>
          <w:rFonts w:hint="eastAsia"/>
          <w:color w:val="000000" w:themeColor="text1"/>
          <w14:textFill>
            <w14:solidFill>
              <w14:schemeClr w14:val="tx1"/>
            </w14:solidFill>
          </w14:textFill>
        </w:rPr>
        <w:t>根，其中，直流枪</w:t>
      </w:r>
      <w:r>
        <w:rPr>
          <w:color w:val="000000" w:themeColor="text1"/>
          <w14:textFill>
            <w14:solidFill>
              <w14:schemeClr w14:val="tx1"/>
            </w14:solidFill>
          </w14:textFill>
        </w:rPr>
        <w:t>190</w:t>
      </w:r>
      <w:r>
        <w:rPr>
          <w:rFonts w:hint="eastAsia"/>
          <w:color w:val="000000" w:themeColor="text1"/>
          <w14:textFill>
            <w14:solidFill>
              <w14:schemeClr w14:val="tx1"/>
            </w14:solidFill>
          </w14:textFill>
        </w:rPr>
        <w:t>根，交流枪</w:t>
      </w:r>
      <w:r>
        <w:rPr>
          <w:color w:val="000000" w:themeColor="text1"/>
          <w14:textFill>
            <w14:solidFill>
              <w14:schemeClr w14:val="tx1"/>
            </w14:solidFill>
          </w14:textFill>
        </w:rPr>
        <w:t>103</w:t>
      </w:r>
      <w:r>
        <w:rPr>
          <w:rFonts w:hint="eastAsia"/>
          <w:color w:val="000000" w:themeColor="text1"/>
          <w14:textFill>
            <w14:solidFill>
              <w14:schemeClr w14:val="tx1"/>
            </w14:solidFill>
          </w14:textFill>
        </w:rPr>
        <w:t>根，分别于2023年完成</w:t>
      </w:r>
      <w:r>
        <w:rPr>
          <w:color w:val="000000" w:themeColor="text1"/>
          <w14:textFill>
            <w14:solidFill>
              <w14:schemeClr w14:val="tx1"/>
            </w14:solidFill>
          </w14:textFill>
        </w:rPr>
        <w:t>99</w:t>
      </w:r>
      <w:r>
        <w:rPr>
          <w:rFonts w:hint="eastAsia"/>
          <w:color w:val="000000" w:themeColor="text1"/>
          <w14:textFill>
            <w14:solidFill>
              <w14:schemeClr w14:val="tx1"/>
            </w14:solidFill>
          </w14:textFill>
        </w:rPr>
        <w:t>根，2024年完成</w:t>
      </w:r>
      <w:r>
        <w:rPr>
          <w:color w:val="000000" w:themeColor="text1"/>
          <w14:textFill>
            <w14:solidFill>
              <w14:schemeClr w14:val="tx1"/>
            </w14:solidFill>
          </w14:textFill>
        </w:rPr>
        <w:t>94</w:t>
      </w:r>
      <w:r>
        <w:rPr>
          <w:rFonts w:hint="eastAsia"/>
          <w:color w:val="000000" w:themeColor="text1"/>
          <w14:textFill>
            <w14:solidFill>
              <w14:schemeClr w14:val="tx1"/>
            </w14:solidFill>
          </w14:textFill>
        </w:rPr>
        <w:t>根，2025年完成1</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根。</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表6-4镇海区</w:t>
      </w:r>
      <w:r>
        <w:rPr>
          <w:color w:val="000000" w:themeColor="text1"/>
          <w:sz w:val="24"/>
          <w14:textFill>
            <w14:solidFill>
              <w14:schemeClr w14:val="tx1"/>
            </w14:solidFill>
          </w14:textFill>
        </w:rPr>
        <w:t>城市地区</w:t>
      </w:r>
      <w:r>
        <w:rPr>
          <w:rFonts w:hint="eastAsia"/>
          <w:color w:val="000000" w:themeColor="text1"/>
          <w:sz w:val="24"/>
          <w14:textFill>
            <w14:solidFill>
              <w14:schemeClr w14:val="tx1"/>
            </w14:solidFill>
          </w14:textFill>
        </w:rPr>
        <w:t>骆驼街道各社区</w:t>
      </w:r>
      <w:r>
        <w:rPr>
          <w:color w:val="000000" w:themeColor="text1"/>
          <w:sz w:val="24"/>
          <w14:textFill>
            <w14:solidFill>
              <w14:schemeClr w14:val="tx1"/>
            </w14:solidFill>
          </w14:textFill>
        </w:rPr>
        <w:t>充电设施布局</w:t>
      </w:r>
      <w:r>
        <w:rPr>
          <w:rFonts w:hint="eastAsia"/>
          <w:color w:val="000000" w:themeColor="text1"/>
          <w:sz w:val="24"/>
          <w14:textFill>
            <w14:solidFill>
              <w14:schemeClr w14:val="tx1"/>
            </w14:solidFill>
          </w14:textFill>
        </w:rPr>
        <w:t>规划</w:t>
      </w:r>
      <w:r>
        <w:rPr>
          <w:color w:val="000000" w:themeColor="text1"/>
          <w:sz w:val="24"/>
          <w14:textFill>
            <w14:solidFill>
              <w14:schemeClr w14:val="tx1"/>
            </w14:solidFill>
          </w14:textFill>
        </w:rPr>
        <w:t>统计表</w:t>
      </w:r>
    </w:p>
    <w:tbl>
      <w:tblPr>
        <w:tblStyle w:val="34"/>
        <w:tblW w:w="8858" w:type="dxa"/>
        <w:tblInd w:w="91" w:type="dxa"/>
        <w:tblLayout w:type="fixed"/>
        <w:tblCellMar>
          <w:top w:w="0" w:type="dxa"/>
          <w:left w:w="108" w:type="dxa"/>
          <w:bottom w:w="0" w:type="dxa"/>
          <w:right w:w="108" w:type="dxa"/>
        </w:tblCellMar>
      </w:tblPr>
      <w:tblGrid>
        <w:gridCol w:w="547"/>
        <w:gridCol w:w="1041"/>
        <w:gridCol w:w="2527"/>
        <w:gridCol w:w="880"/>
        <w:gridCol w:w="899"/>
        <w:gridCol w:w="678"/>
        <w:gridCol w:w="763"/>
        <w:gridCol w:w="780"/>
        <w:gridCol w:w="743"/>
      </w:tblGrid>
      <w:tr>
        <w:tblPrEx>
          <w:tblCellMar>
            <w:top w:w="0" w:type="dxa"/>
            <w:left w:w="108" w:type="dxa"/>
            <w:bottom w:w="0" w:type="dxa"/>
            <w:right w:w="108" w:type="dxa"/>
          </w:tblCellMar>
        </w:tblPrEx>
        <w:trPr>
          <w:trHeight w:val="454" w:hRule="atLeast"/>
          <w:tblHeader/>
        </w:trPr>
        <w:tc>
          <w:tcPr>
            <w:tcW w:w="5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序号</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村/社区</w:t>
            </w:r>
          </w:p>
        </w:tc>
        <w:tc>
          <w:tcPr>
            <w:tcW w:w="25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站点名称</w:t>
            </w:r>
          </w:p>
        </w:tc>
        <w:tc>
          <w:tcPr>
            <w:tcW w:w="245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建议充电设施类型及数量/根</w:t>
            </w:r>
          </w:p>
        </w:tc>
        <w:tc>
          <w:tcPr>
            <w:tcW w:w="22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实施时间/年</w:t>
            </w:r>
          </w:p>
        </w:tc>
      </w:tr>
      <w:tr>
        <w:tblPrEx>
          <w:tblCellMar>
            <w:top w:w="0" w:type="dxa"/>
            <w:left w:w="108" w:type="dxa"/>
            <w:bottom w:w="0" w:type="dxa"/>
            <w:right w:w="108" w:type="dxa"/>
          </w:tblCellMar>
        </w:tblPrEx>
        <w:trPr>
          <w:trHeight w:val="448" w:hRule="atLeast"/>
          <w:tblHeader/>
        </w:trPr>
        <w:tc>
          <w:tcPr>
            <w:tcW w:w="5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p>
        </w:tc>
        <w:tc>
          <w:tcPr>
            <w:tcW w:w="25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直流枪</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交流枪</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小计</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2023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2024</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2025</w:t>
            </w:r>
          </w:p>
        </w:tc>
      </w:tr>
      <w:tr>
        <w:tblPrEx>
          <w:tblCellMar>
            <w:top w:w="0" w:type="dxa"/>
            <w:left w:w="108" w:type="dxa"/>
            <w:bottom w:w="0" w:type="dxa"/>
            <w:right w:w="108" w:type="dxa"/>
          </w:tblCellMar>
        </w:tblPrEx>
        <w:trPr>
          <w:trHeight w:val="454" w:hRule="atLeast"/>
        </w:trPr>
        <w:tc>
          <w:tcPr>
            <w:tcW w:w="5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骆兴村</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329创业社区</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汇芯小微园区充电站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镇海别克4S店充电桩项目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日月大厦停车场充电站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镇海四季青藤酒店充电桩项目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金东社区</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东洲建材批发市场</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骆驼蔬果市场停车场充电站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13</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宁波瑞丰商博城停车场充电站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宁波市镇海区爱琴海购物公园充电站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17</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47"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1041"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静远社区</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银亿海尚广场</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vMerge w:val="continue"/>
            <w:tcBorders>
              <w:top w:val="single" w:color="000000" w:sz="4" w:space="0"/>
              <w:left w:val="single" w:color="000000" w:sz="4" w:space="0"/>
              <w:bottom w:val="nil"/>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41" w:type="dxa"/>
            <w:vMerge w:val="continue"/>
            <w:tcBorders>
              <w:top w:val="single" w:color="000000" w:sz="4" w:space="0"/>
              <w:left w:val="single" w:color="000000" w:sz="4" w:space="0"/>
              <w:bottom w:val="nil"/>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镇海海尚大酒店停车场充电站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vMerge w:val="continue"/>
            <w:tcBorders>
              <w:top w:val="single" w:color="000000" w:sz="4" w:space="0"/>
              <w:left w:val="single" w:color="000000" w:sz="4" w:space="0"/>
              <w:bottom w:val="nil"/>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41" w:type="dxa"/>
            <w:vMerge w:val="continue"/>
            <w:tcBorders>
              <w:top w:val="single" w:color="000000" w:sz="4" w:space="0"/>
              <w:left w:val="single" w:color="000000" w:sz="4" w:space="0"/>
              <w:bottom w:val="nil"/>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欧尚超市宁波镇海店停车场充电站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镇海新城楼宇社区</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宁波镇海大剧院特微网充电站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镇海区市民广场充电站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镇海区市民广场充电站慢充群</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14</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14</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镇海文化中心停车场充电站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14</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新晨社区</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东渡玺悦充电站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西大河体育二期公园停车场（北）充电站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13</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35</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西大河体育二期公园停车场（南）充电站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19</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朝阳村</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宁波市镇海区朝阳村充电站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骆驼公路服务站充电站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箭港湖社区</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宁波迪赛邻里中心充电站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宁波镇海保利商业广场充电站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16</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16</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金华社区</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镇海区人民医院停车场充电站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金邑社区</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镇海区东邑阳光充电站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敬德村</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宁波市镇海区敬德村充电站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桕墅方社区</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万科海上都会商业体充电站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骆驼村</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曙光丽亭酒店院内停车场充电站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13</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南一社区</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三五路甬城泊车充电站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18</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18</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14</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清水湖村</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宁波市镇海区清水湖村充电站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15</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尚志村</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宁波市镇海区尚志村充电站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16</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盛家社区</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永易充骆驼实验学校充电站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17</w:t>
            </w:r>
          </w:p>
        </w:tc>
        <w:tc>
          <w:tcPr>
            <w:tcW w:w="1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余三村</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宁波市镇海区余三村充电站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41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合计</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190</w:t>
            </w:r>
          </w:p>
        </w:tc>
        <w:tc>
          <w:tcPr>
            <w:tcW w:w="899"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103</w:t>
            </w:r>
          </w:p>
        </w:tc>
        <w:tc>
          <w:tcPr>
            <w:tcW w:w="67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293</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99</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94</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100</w:t>
            </w:r>
          </w:p>
        </w:tc>
      </w:tr>
    </w:tbl>
    <w:p>
      <w:pPr>
        <w:pStyle w:val="69"/>
        <w:spacing w:before="156" w:line="240" w:lineRule="auto"/>
        <w:ind w:firstLine="198" w:firstLineChars="0"/>
        <w:jc w:val="center"/>
        <w:rPr>
          <w:color w:val="000000" w:themeColor="text1"/>
          <w:sz w:val="24"/>
          <w14:textFill>
            <w14:solidFill>
              <w14:schemeClr w14:val="tx1"/>
            </w14:solidFill>
          </w14:textFill>
        </w:rPr>
      </w:pP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6.1.5庄市街道</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庄市街道预计新增充电枪</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根，其中，直流枪</w:t>
      </w:r>
      <w:r>
        <w:rPr>
          <w:color w:val="000000" w:themeColor="text1"/>
          <w14:textFill>
            <w14:solidFill>
              <w14:schemeClr w14:val="tx1"/>
            </w14:solidFill>
          </w14:textFill>
        </w:rPr>
        <w:t>125</w:t>
      </w:r>
      <w:r>
        <w:rPr>
          <w:rFonts w:hint="eastAsia"/>
          <w:color w:val="000000" w:themeColor="text1"/>
          <w14:textFill>
            <w14:solidFill>
              <w14:schemeClr w14:val="tx1"/>
            </w14:solidFill>
          </w14:textFill>
        </w:rPr>
        <w:t>根，交流枪</w:t>
      </w:r>
      <w:r>
        <w:rPr>
          <w:color w:val="000000" w:themeColor="text1"/>
          <w14:textFill>
            <w14:solidFill>
              <w14:schemeClr w14:val="tx1"/>
            </w14:solidFill>
          </w14:textFill>
        </w:rPr>
        <w:t>76</w:t>
      </w:r>
      <w:r>
        <w:rPr>
          <w:rFonts w:hint="eastAsia"/>
          <w:color w:val="000000" w:themeColor="text1"/>
          <w14:textFill>
            <w14:solidFill>
              <w14:schemeClr w14:val="tx1"/>
            </w14:solidFill>
          </w14:textFill>
        </w:rPr>
        <w:t>根，分别于2023年完成</w:t>
      </w:r>
      <w:r>
        <w:rPr>
          <w:color w:val="000000" w:themeColor="text1"/>
          <w14:textFill>
            <w14:solidFill>
              <w14:schemeClr w14:val="tx1"/>
            </w14:solidFill>
          </w14:textFill>
        </w:rPr>
        <w:t>45</w:t>
      </w:r>
      <w:r>
        <w:rPr>
          <w:rFonts w:hint="eastAsia"/>
          <w:color w:val="000000" w:themeColor="text1"/>
          <w14:textFill>
            <w14:solidFill>
              <w14:schemeClr w14:val="tx1"/>
            </w14:solidFill>
          </w14:textFill>
        </w:rPr>
        <w:t>根，2024年完成</w:t>
      </w:r>
      <w:r>
        <w:rPr>
          <w:color w:val="000000" w:themeColor="text1"/>
          <w14:textFill>
            <w14:solidFill>
              <w14:schemeClr w14:val="tx1"/>
            </w14:solidFill>
          </w14:textFill>
        </w:rPr>
        <w:t>66</w:t>
      </w:r>
      <w:r>
        <w:rPr>
          <w:rFonts w:hint="eastAsia"/>
          <w:color w:val="000000" w:themeColor="text1"/>
          <w14:textFill>
            <w14:solidFill>
              <w14:schemeClr w14:val="tx1"/>
            </w14:solidFill>
          </w14:textFill>
        </w:rPr>
        <w:t>根，2025年完成</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0根。</w:t>
      </w:r>
    </w:p>
    <w:p>
      <w:pPr>
        <w:pStyle w:val="69"/>
        <w:spacing w:before="156" w:line="240" w:lineRule="auto"/>
        <w:ind w:firstLine="198" w:firstLineChars="0"/>
        <w:jc w:val="center"/>
        <w:rPr>
          <w:color w:val="000000" w:themeColor="text1"/>
          <w:highlight w:val="yellow"/>
          <w14:textFill>
            <w14:solidFill>
              <w14:schemeClr w14:val="tx1"/>
            </w14:solidFill>
          </w14:textFill>
        </w:rPr>
      </w:pPr>
      <w:r>
        <w:rPr>
          <w:rFonts w:hint="eastAsia"/>
          <w:color w:val="000000" w:themeColor="text1"/>
          <w:sz w:val="24"/>
          <w14:textFill>
            <w14:solidFill>
              <w14:schemeClr w14:val="tx1"/>
            </w14:solidFill>
          </w14:textFill>
        </w:rPr>
        <w:t>表6-5镇海区</w:t>
      </w:r>
      <w:r>
        <w:rPr>
          <w:color w:val="000000" w:themeColor="text1"/>
          <w:sz w:val="24"/>
          <w14:textFill>
            <w14:solidFill>
              <w14:schemeClr w14:val="tx1"/>
            </w14:solidFill>
          </w14:textFill>
        </w:rPr>
        <w:t>城市地区</w:t>
      </w:r>
      <w:r>
        <w:rPr>
          <w:rFonts w:hint="eastAsia"/>
          <w:color w:val="000000" w:themeColor="text1"/>
          <w:sz w:val="24"/>
          <w14:textFill>
            <w14:solidFill>
              <w14:schemeClr w14:val="tx1"/>
            </w14:solidFill>
          </w14:textFill>
        </w:rPr>
        <w:t>庄市街道各社区</w:t>
      </w:r>
      <w:r>
        <w:rPr>
          <w:color w:val="000000" w:themeColor="text1"/>
          <w:sz w:val="24"/>
          <w14:textFill>
            <w14:solidFill>
              <w14:schemeClr w14:val="tx1"/>
            </w14:solidFill>
          </w14:textFill>
        </w:rPr>
        <w:t>充电设施布局</w:t>
      </w:r>
      <w:r>
        <w:rPr>
          <w:rFonts w:hint="eastAsia"/>
          <w:color w:val="000000" w:themeColor="text1"/>
          <w:sz w:val="24"/>
          <w14:textFill>
            <w14:solidFill>
              <w14:schemeClr w14:val="tx1"/>
            </w14:solidFill>
          </w14:textFill>
        </w:rPr>
        <w:t>规划</w:t>
      </w:r>
      <w:r>
        <w:rPr>
          <w:color w:val="000000" w:themeColor="text1"/>
          <w:sz w:val="24"/>
          <w14:textFill>
            <w14:solidFill>
              <w14:schemeClr w14:val="tx1"/>
            </w14:solidFill>
          </w14:textFill>
        </w:rPr>
        <w:t>统计表</w:t>
      </w:r>
    </w:p>
    <w:tbl>
      <w:tblPr>
        <w:tblStyle w:val="34"/>
        <w:tblW w:w="8899" w:type="dxa"/>
        <w:tblInd w:w="91" w:type="dxa"/>
        <w:tblLayout w:type="fixed"/>
        <w:tblCellMar>
          <w:top w:w="0" w:type="dxa"/>
          <w:left w:w="108" w:type="dxa"/>
          <w:bottom w:w="0" w:type="dxa"/>
          <w:right w:w="108" w:type="dxa"/>
        </w:tblCellMar>
      </w:tblPr>
      <w:tblGrid>
        <w:gridCol w:w="553"/>
        <w:gridCol w:w="1175"/>
        <w:gridCol w:w="2506"/>
        <w:gridCol w:w="960"/>
        <w:gridCol w:w="1000"/>
        <w:gridCol w:w="640"/>
        <w:gridCol w:w="640"/>
        <w:gridCol w:w="720"/>
        <w:gridCol w:w="705"/>
      </w:tblGrid>
      <w:tr>
        <w:tblPrEx>
          <w:tblCellMar>
            <w:top w:w="0" w:type="dxa"/>
            <w:left w:w="108" w:type="dxa"/>
            <w:bottom w:w="0" w:type="dxa"/>
            <w:right w:w="108" w:type="dxa"/>
          </w:tblCellMar>
        </w:tblPrEx>
        <w:trPr>
          <w:trHeight w:val="454" w:hRule="atLeast"/>
          <w:tblHeader/>
        </w:trPr>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序号</w:t>
            </w:r>
          </w:p>
        </w:tc>
        <w:tc>
          <w:tcPr>
            <w:tcW w:w="11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村/社区</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站点名称</w:t>
            </w:r>
          </w:p>
        </w:tc>
        <w:tc>
          <w:tcPr>
            <w:tcW w:w="2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建议充电设施类型及数量/根</w:t>
            </w:r>
          </w:p>
        </w:tc>
        <w:tc>
          <w:tcPr>
            <w:tcW w:w="20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实施时间/年</w:t>
            </w:r>
          </w:p>
        </w:tc>
      </w:tr>
      <w:tr>
        <w:tblPrEx>
          <w:tblCellMar>
            <w:top w:w="0" w:type="dxa"/>
            <w:left w:w="108" w:type="dxa"/>
            <w:bottom w:w="0" w:type="dxa"/>
            <w:right w:w="108" w:type="dxa"/>
          </w:tblCellMar>
        </w:tblPrEx>
        <w:trPr>
          <w:trHeight w:val="454" w:hRule="atLeast"/>
          <w:tblHeader/>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直流枪</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交流枪</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小计</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2023</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2024</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Cs w:val="21"/>
                <w14:textFill>
                  <w14:solidFill>
                    <w14:schemeClr w14:val="tx1"/>
                  </w14:solidFill>
                </w14:textFill>
              </w:rPr>
            </w:pPr>
            <w:r>
              <w:rPr>
                <w:rFonts w:hint="eastAsia" w:ascii="仿宋_GB2312" w:hAnsi="宋体" w:eastAsia="仿宋_GB2312" w:cs="宋体"/>
                <w:b/>
                <w:bCs/>
                <w:color w:val="000000" w:themeColor="text1"/>
                <w:kern w:val="0"/>
                <w:szCs w:val="21"/>
                <w14:textFill>
                  <w14:solidFill>
                    <w14:schemeClr w14:val="tx1"/>
                  </w14:solidFill>
                </w14:textFill>
              </w:rPr>
              <w:t>2025</w:t>
            </w:r>
          </w:p>
        </w:tc>
      </w:tr>
      <w:tr>
        <w:tblPrEx>
          <w:tblCellMar>
            <w:top w:w="0" w:type="dxa"/>
            <w:left w:w="108" w:type="dxa"/>
            <w:bottom w:w="0" w:type="dxa"/>
            <w:right w:w="108" w:type="dxa"/>
          </w:tblCellMar>
        </w:tblPrEx>
        <w:trPr>
          <w:trHeight w:val="454" w:hRule="atLeast"/>
        </w:trPr>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11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锦绣社区</w:t>
            </w: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宁波市镇海区锦绣曙光充电站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锦绣曙光北门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聚兴路甬城泊车充电站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金色广场停车场充电站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11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陈倪路社区</w:t>
            </w: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镇海区书香丽景（西商铺）充电站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庄市陈倪路菜场停车场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柳岸晨韵西门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11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高教社区</w:t>
            </w: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赛思学术会堂</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庄市财富广场停车场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萌恒大厦镇海庄市停车场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11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兴庄路社区</w:t>
            </w: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庄市菜场停车场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清泉口袋停车场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兴庄路西陆小区周边甬城泊车</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11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汉郡社区</w:t>
            </w: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宁波启迪驿停车停车场充电站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公交汉塘站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11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湖滨社区</w:t>
            </w: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镇海国际人才公园地面停车场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同心湖公园地下停车场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11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联兴社区</w:t>
            </w: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创维双智双创产业园</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甬江实验室B区一期充电站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11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中兴社区</w:t>
            </w: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浙江省宁波市镇海区中兴充电站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兴庄路中兴小区周边甬城泊车</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勤勇村</w:t>
            </w: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宁波市镇海区勤勇村充电站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万市徐村</w:t>
            </w: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宁波市镇海区万市徐村充电站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光明村</w:t>
            </w: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宁波市镇海区光明村充电站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永旺村</w:t>
            </w: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永易充永旺村新村充电站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423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合计</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201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45</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66</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90</w:t>
            </w:r>
          </w:p>
        </w:tc>
      </w:tr>
    </w:tbl>
    <w:p>
      <w:pPr>
        <w:pStyle w:val="69"/>
        <w:ind w:firstLine="640"/>
        <w:rPr>
          <w:color w:val="000000" w:themeColor="text1"/>
          <w:highlight w:val="yellow"/>
          <w14:textFill>
            <w14:solidFill>
              <w14:schemeClr w14:val="tx1"/>
            </w14:solidFill>
          </w14:textFill>
        </w:rPr>
        <w:sectPr>
          <w:pgSz w:w="11907" w:h="16840"/>
          <w:pgMar w:top="1440" w:right="1587" w:bottom="1440" w:left="1587" w:header="851" w:footer="992" w:gutter="0"/>
          <w:cols w:space="720" w:num="1"/>
          <w:docGrid w:type="lines" w:linePitch="312" w:charSpace="0"/>
        </w:sectPr>
      </w:pPr>
    </w:p>
    <w:p>
      <w:pPr>
        <w:pStyle w:val="69"/>
        <w:spacing w:before="156" w:line="240" w:lineRule="auto"/>
        <w:ind w:firstLine="198" w:firstLineChars="0"/>
        <w:jc w:val="center"/>
        <w:rPr>
          <w:color w:val="000000" w:themeColor="text1"/>
          <w:sz w:val="24"/>
          <w14:textFill>
            <w14:solidFill>
              <w14:schemeClr w14:val="tx1"/>
            </w14:solidFill>
          </w14:textFill>
        </w:rPr>
      </w:pPr>
    </w:p>
    <w:p>
      <w:pPr>
        <w:pStyle w:val="66"/>
        <w:numPr>
          <w:ilvl w:val="1"/>
          <w:numId w:val="0"/>
        </w:numPr>
        <w:rPr>
          <w:color w:val="000000" w:themeColor="text1"/>
          <w14:textFill>
            <w14:solidFill>
              <w14:schemeClr w14:val="tx1"/>
            </w14:solidFill>
          </w14:textFill>
        </w:rPr>
      </w:pPr>
      <w:bookmarkStart w:id="31" w:name="_Toc27234"/>
      <w:r>
        <w:rPr>
          <w:rFonts w:hint="eastAsia"/>
          <w:color w:val="000000" w:themeColor="text1"/>
          <w14:textFill>
            <w14:solidFill>
              <w14:schemeClr w14:val="tx1"/>
            </w14:solidFill>
          </w14:textFill>
        </w:rPr>
        <w:t>（二）乡村地区充电设施布局规划</w:t>
      </w:r>
      <w:bookmarkEnd w:id="31"/>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6.2.1乡村地区总体布局</w:t>
      </w:r>
    </w:p>
    <w:p>
      <w:pPr>
        <w:pStyle w:val="69"/>
        <w:ind w:firstLine="640"/>
        <w:rPr>
          <w:color w:val="000000" w:themeColor="text1"/>
          <w14:textFill>
            <w14:solidFill>
              <w14:schemeClr w14:val="tx1"/>
            </w14:solidFill>
          </w14:textFill>
        </w:rPr>
        <w:sectPr>
          <w:pgSz w:w="11907" w:h="16840"/>
          <w:pgMar w:top="1440" w:right="1587" w:bottom="1440" w:left="1587" w:header="851" w:footer="992" w:gutter="0"/>
          <w:cols w:space="720" w:num="1"/>
          <w:docGrid w:type="lines" w:linePitch="312" w:charSpace="0"/>
        </w:sectPr>
      </w:pPr>
      <w:r>
        <w:rPr>
          <w:rFonts w:hint="eastAsia"/>
          <w:color w:val="000000" w:themeColor="text1"/>
          <w14:textFill>
            <w14:solidFill>
              <w14:schemeClr w14:val="tx1"/>
            </w14:solidFill>
          </w14:textFill>
        </w:rPr>
        <w:t>2023</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年，规划乡村地区拟新增5</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处站点，预计新增</w:t>
      </w:r>
      <w:r>
        <w:rPr>
          <w:color w:val="000000" w:themeColor="text1"/>
          <w14:textFill>
            <w14:solidFill>
              <w14:schemeClr w14:val="tx1"/>
            </w14:solidFill>
          </w14:textFill>
        </w:rPr>
        <w:t>743</w:t>
      </w:r>
      <w:r>
        <w:rPr>
          <w:rFonts w:hint="eastAsia"/>
          <w:color w:val="000000" w:themeColor="text1"/>
          <w14:textFill>
            <w14:solidFill>
              <w14:schemeClr w14:val="tx1"/>
            </w14:solidFill>
          </w14:textFill>
        </w:rPr>
        <w:t>根充电枪，涉及24个社区及行政村。2023年、2024年、2025年分别预计建设5</w:t>
      </w:r>
      <w:r>
        <w:rPr>
          <w:color w:val="000000" w:themeColor="text1"/>
          <w14:textFill>
            <w14:solidFill>
              <w14:schemeClr w14:val="tx1"/>
            </w14:solidFill>
          </w14:textFill>
        </w:rPr>
        <w:t>07</w:t>
      </w:r>
      <w:r>
        <w:rPr>
          <w:rFonts w:hint="eastAsia"/>
          <w:color w:val="000000" w:themeColor="text1"/>
          <w14:textFill>
            <w14:solidFill>
              <w14:schemeClr w14:val="tx1"/>
            </w14:solidFill>
          </w14:textFill>
        </w:rPr>
        <w:t>根、</w:t>
      </w:r>
      <w:r>
        <w:rPr>
          <w:color w:val="000000" w:themeColor="text1"/>
          <w14:textFill>
            <w14:solidFill>
              <w14:schemeClr w14:val="tx1"/>
            </w14:solidFill>
          </w14:textFill>
        </w:rPr>
        <w:t>121</w:t>
      </w:r>
      <w:r>
        <w:rPr>
          <w:rFonts w:hint="eastAsia"/>
          <w:color w:val="000000" w:themeColor="text1"/>
          <w14:textFill>
            <w14:solidFill>
              <w14:schemeClr w14:val="tx1"/>
            </w14:solidFill>
          </w14:textFill>
        </w:rPr>
        <w:t>根、1</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根。其中，澥浦镇新建合</w:t>
      </w:r>
      <w:r>
        <w:rPr>
          <w:color w:val="000000" w:themeColor="text1"/>
          <w14:textFill>
            <w14:solidFill>
              <w14:schemeClr w14:val="tx1"/>
            </w14:solidFill>
          </w14:textFill>
        </w:rPr>
        <w:t>619</w:t>
      </w:r>
      <w:r>
        <w:rPr>
          <w:rFonts w:hint="eastAsia"/>
          <w:color w:val="000000" w:themeColor="text1"/>
          <w14:textFill>
            <w14:solidFill>
              <w14:schemeClr w14:val="tx1"/>
            </w14:solidFill>
          </w14:textFill>
        </w:rPr>
        <w:t>根（董家畈</w:t>
      </w:r>
      <w:r>
        <w:rPr>
          <w:color w:val="000000" w:themeColor="text1"/>
          <w14:textFill>
            <w14:solidFill>
              <w14:schemeClr w14:val="tx1"/>
            </w14:solidFill>
          </w14:textFill>
        </w:rPr>
        <w:t>A1</w:t>
      </w:r>
      <w:r>
        <w:rPr>
          <w:rFonts w:hint="eastAsia"/>
          <w:color w:val="000000" w:themeColor="text1"/>
          <w14:textFill>
            <w14:solidFill>
              <w14:schemeClr w14:val="tx1"/>
            </w14:solidFill>
          </w14:textFill>
        </w:rPr>
        <w:t>、A2及新兴岚湾</w:t>
      </w:r>
      <w:r>
        <w:rPr>
          <w:color w:val="000000" w:themeColor="text1"/>
          <w14:textFill>
            <w14:solidFill>
              <w14:schemeClr w14:val="tx1"/>
            </w14:solidFill>
          </w14:textFill>
        </w:rPr>
        <w:t>A3区块住宅配建集中建设493根</w:t>
      </w:r>
      <w:r>
        <w:rPr>
          <w:rFonts w:hint="eastAsia"/>
          <w:color w:val="000000" w:themeColor="text1"/>
          <w14:textFill>
            <w14:solidFill>
              <w14:schemeClr w14:val="tx1"/>
            </w14:solidFill>
          </w14:textFill>
        </w:rPr>
        <w:t>），九龙湖镇新建1</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根。</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表6-6镇海区乡村地区充电设施布局规划总表</w:t>
      </w:r>
    </w:p>
    <w:tbl>
      <w:tblPr>
        <w:tblStyle w:val="34"/>
        <w:tblW w:w="14794" w:type="dxa"/>
        <w:tblInd w:w="91" w:type="dxa"/>
        <w:tblLayout w:type="fixed"/>
        <w:tblCellMar>
          <w:top w:w="0" w:type="dxa"/>
          <w:left w:w="108" w:type="dxa"/>
          <w:bottom w:w="0" w:type="dxa"/>
          <w:right w:w="108" w:type="dxa"/>
        </w:tblCellMar>
      </w:tblPr>
      <w:tblGrid>
        <w:gridCol w:w="697"/>
        <w:gridCol w:w="1418"/>
        <w:gridCol w:w="1418"/>
        <w:gridCol w:w="954"/>
        <w:gridCol w:w="4780"/>
        <w:gridCol w:w="1506"/>
        <w:gridCol w:w="998"/>
        <w:gridCol w:w="998"/>
        <w:gridCol w:w="998"/>
        <w:gridCol w:w="1027"/>
      </w:tblGrid>
      <w:tr>
        <w:tblPrEx>
          <w:tblCellMar>
            <w:top w:w="0" w:type="dxa"/>
            <w:left w:w="108" w:type="dxa"/>
            <w:bottom w:w="0" w:type="dxa"/>
            <w:right w:w="108" w:type="dxa"/>
          </w:tblCellMar>
        </w:tblPrEx>
        <w:trPr>
          <w:trHeight w:val="454" w:hRule="atLeast"/>
        </w:trPr>
        <w:tc>
          <w:tcPr>
            <w:tcW w:w="6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r>
              <w:rPr>
                <w:rFonts w:hint="eastAsia" w:ascii="仿宋_GB2312" w:hAnsi="宋体" w:eastAsia="仿宋_GB2312" w:cs="宋体"/>
                <w:b/>
                <w:bCs/>
                <w:color w:val="000000" w:themeColor="text1"/>
                <w:kern w:val="0"/>
                <w:sz w:val="24"/>
                <w:szCs w:val="24"/>
                <w14:textFill>
                  <w14:solidFill>
                    <w14:schemeClr w14:val="tx1"/>
                  </w14:solidFill>
                </w14:textFill>
              </w:rPr>
              <w:t>序号</w:t>
            </w:r>
          </w:p>
        </w:tc>
        <w:tc>
          <w:tcPr>
            <w:tcW w:w="14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r>
              <w:rPr>
                <w:rFonts w:hint="eastAsia" w:ascii="仿宋_GB2312" w:hAnsi="宋体" w:eastAsia="仿宋_GB2312" w:cs="宋体"/>
                <w:b/>
                <w:bCs/>
                <w:color w:val="000000" w:themeColor="text1"/>
                <w:kern w:val="0"/>
                <w:sz w:val="24"/>
                <w:szCs w:val="24"/>
                <w14:textFill>
                  <w14:solidFill>
                    <w14:schemeClr w14:val="tx1"/>
                  </w14:solidFill>
                </w14:textFill>
              </w:rPr>
              <w:t>镇（街道）</w:t>
            </w:r>
          </w:p>
        </w:tc>
        <w:tc>
          <w:tcPr>
            <w:tcW w:w="14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r>
              <w:rPr>
                <w:rFonts w:hint="eastAsia" w:ascii="仿宋_GB2312" w:hAnsi="宋体" w:eastAsia="仿宋_GB2312" w:cs="宋体"/>
                <w:b/>
                <w:bCs/>
                <w:color w:val="000000" w:themeColor="text1"/>
                <w:kern w:val="0"/>
                <w:sz w:val="24"/>
                <w:szCs w:val="24"/>
                <w14:textFill>
                  <w14:solidFill>
                    <w14:schemeClr w14:val="tx1"/>
                  </w14:solidFill>
                </w14:textFill>
              </w:rPr>
              <w:t>村（社区）</w:t>
            </w:r>
          </w:p>
        </w:tc>
        <w:tc>
          <w:tcPr>
            <w:tcW w:w="95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r>
              <w:rPr>
                <w:rFonts w:hint="eastAsia" w:ascii="仿宋_GB2312" w:hAnsi="宋体" w:eastAsia="仿宋_GB2312" w:cs="宋体"/>
                <w:b/>
                <w:bCs/>
                <w:color w:val="000000" w:themeColor="text1"/>
                <w:kern w:val="0"/>
                <w:sz w:val="24"/>
                <w:szCs w:val="24"/>
                <w14:textFill>
                  <w14:solidFill>
                    <w14:schemeClr w14:val="tx1"/>
                  </w14:solidFill>
                </w14:textFill>
              </w:rPr>
              <w:t>数量</w:t>
            </w:r>
          </w:p>
        </w:tc>
        <w:tc>
          <w:tcPr>
            <w:tcW w:w="47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r>
              <w:rPr>
                <w:rFonts w:hint="eastAsia" w:ascii="仿宋_GB2312" w:hAnsi="宋体" w:eastAsia="仿宋_GB2312" w:cs="宋体"/>
                <w:b/>
                <w:bCs/>
                <w:color w:val="000000" w:themeColor="text1"/>
                <w:kern w:val="0"/>
                <w:sz w:val="24"/>
                <w:szCs w:val="24"/>
                <w14:textFill>
                  <w14:solidFill>
                    <w14:schemeClr w14:val="tx1"/>
                  </w14:solidFill>
                </w14:textFill>
              </w:rPr>
              <w:t>具体情况</w:t>
            </w:r>
          </w:p>
        </w:tc>
        <w:tc>
          <w:tcPr>
            <w:tcW w:w="15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r>
              <w:rPr>
                <w:rFonts w:hint="eastAsia" w:ascii="仿宋_GB2312" w:hAnsi="宋体" w:eastAsia="仿宋_GB2312" w:cs="宋体"/>
                <w:b/>
                <w:bCs/>
                <w:color w:val="000000" w:themeColor="text1"/>
                <w:kern w:val="0"/>
                <w:sz w:val="24"/>
                <w:szCs w:val="24"/>
                <w14:textFill>
                  <w14:solidFill>
                    <w14:schemeClr w14:val="tx1"/>
                  </w14:solidFill>
                </w14:textFill>
              </w:rPr>
              <w:t>站点计划数</w:t>
            </w:r>
          </w:p>
        </w:tc>
        <w:tc>
          <w:tcPr>
            <w:tcW w:w="40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r>
              <w:rPr>
                <w:rFonts w:hint="eastAsia" w:ascii="仿宋_GB2312" w:hAnsi="宋体" w:eastAsia="仿宋_GB2312" w:cs="宋体"/>
                <w:b/>
                <w:bCs/>
                <w:color w:val="000000" w:themeColor="text1"/>
                <w:kern w:val="0"/>
                <w:sz w:val="24"/>
                <w:szCs w:val="24"/>
                <w14:textFill>
                  <w14:solidFill>
                    <w14:schemeClr w14:val="tx1"/>
                  </w14:solidFill>
                </w14:textFill>
              </w:rPr>
              <w:t>充电枪计划数</w:t>
            </w:r>
          </w:p>
        </w:tc>
      </w:tr>
      <w:tr>
        <w:tblPrEx>
          <w:tblCellMar>
            <w:top w:w="0" w:type="dxa"/>
            <w:left w:w="108" w:type="dxa"/>
            <w:bottom w:w="0" w:type="dxa"/>
            <w:right w:w="108" w:type="dxa"/>
          </w:tblCellMar>
        </w:tblPrEx>
        <w:trPr>
          <w:trHeight w:val="454" w:hRule="atLeast"/>
        </w:trPr>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p>
        </w:tc>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p>
        </w:tc>
        <w:tc>
          <w:tcPr>
            <w:tcW w:w="47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p>
        </w:tc>
        <w:tc>
          <w:tcPr>
            <w:tcW w:w="15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r>
              <w:rPr>
                <w:rFonts w:hint="eastAsia" w:ascii="仿宋_GB2312" w:hAnsi="宋体" w:eastAsia="仿宋_GB2312" w:cs="宋体"/>
                <w:b/>
                <w:bCs/>
                <w:color w:val="000000" w:themeColor="text1"/>
                <w:kern w:val="0"/>
                <w:sz w:val="24"/>
                <w:szCs w:val="24"/>
                <w14:textFill>
                  <w14:solidFill>
                    <w14:schemeClr w14:val="tx1"/>
                  </w14:solidFill>
                </w14:textFill>
              </w:rPr>
              <w:t>2023年</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r>
              <w:rPr>
                <w:rFonts w:hint="eastAsia" w:ascii="仿宋_GB2312" w:hAnsi="宋体" w:eastAsia="仿宋_GB2312" w:cs="宋体"/>
                <w:b/>
                <w:bCs/>
                <w:color w:val="000000" w:themeColor="text1"/>
                <w:kern w:val="0"/>
                <w:sz w:val="24"/>
                <w:szCs w:val="24"/>
                <w14:textFill>
                  <w14:solidFill>
                    <w14:schemeClr w14:val="tx1"/>
                  </w14:solidFill>
                </w14:textFill>
              </w:rPr>
              <w:t>2024年</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r>
              <w:rPr>
                <w:rFonts w:hint="eastAsia" w:ascii="仿宋_GB2312" w:hAnsi="宋体" w:eastAsia="仿宋_GB2312" w:cs="宋体"/>
                <w:b/>
                <w:bCs/>
                <w:color w:val="000000" w:themeColor="text1"/>
                <w:kern w:val="0"/>
                <w:sz w:val="24"/>
                <w:szCs w:val="24"/>
                <w14:textFill>
                  <w14:solidFill>
                    <w14:schemeClr w14:val="tx1"/>
                  </w14:solidFill>
                </w14:textFill>
              </w:rPr>
              <w:t>2025年</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4"/>
                <w:szCs w:val="24"/>
                <w14:textFill>
                  <w14:solidFill>
                    <w14:schemeClr w14:val="tx1"/>
                  </w14:solidFill>
                </w14:textFill>
              </w:rPr>
            </w:pPr>
            <w:r>
              <w:rPr>
                <w:rFonts w:hint="eastAsia" w:ascii="仿宋_GB2312" w:hAnsi="宋体" w:eastAsia="仿宋_GB2312" w:cs="宋体"/>
                <w:b/>
                <w:bCs/>
                <w:color w:val="000000" w:themeColor="text1"/>
                <w:kern w:val="0"/>
                <w:sz w:val="24"/>
                <w:szCs w:val="24"/>
                <w14:textFill>
                  <w14:solidFill>
                    <w14:schemeClr w14:val="tx1"/>
                  </w14:solidFill>
                </w14:textFill>
              </w:rPr>
              <w:t>小计</w:t>
            </w:r>
          </w:p>
        </w:tc>
      </w:tr>
      <w:tr>
        <w:tblPrEx>
          <w:tblCellMar>
            <w:top w:w="0" w:type="dxa"/>
            <w:left w:w="108" w:type="dxa"/>
            <w:bottom w:w="0" w:type="dxa"/>
            <w:right w:w="108" w:type="dxa"/>
          </w:tblCellMar>
        </w:tblPrEx>
        <w:trPr>
          <w:trHeight w:val="454" w:hRule="atLeast"/>
        </w:trPr>
        <w:tc>
          <w:tcPr>
            <w:tcW w:w="697" w:type="dxa"/>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1418" w:type="dxa"/>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澥浦镇</w:t>
            </w:r>
          </w:p>
        </w:tc>
        <w:tc>
          <w:tcPr>
            <w:tcW w:w="1418"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社区</w:t>
            </w:r>
          </w:p>
        </w:tc>
        <w:tc>
          <w:tcPr>
            <w:tcW w:w="954"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4780" w:type="dxa"/>
            <w:tcBorders>
              <w:top w:val="nil"/>
              <w:left w:val="single" w:color="000000" w:sz="4" w:space="0"/>
              <w:bottom w:val="single" w:color="000000" w:sz="4" w:space="0"/>
              <w:right w:val="nil"/>
            </w:tcBorders>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广源社区、汇源社区、岚湾社区、兴骆社区</w:t>
            </w:r>
          </w:p>
        </w:tc>
        <w:tc>
          <w:tcPr>
            <w:tcW w:w="1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459</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44</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36</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539</w:t>
            </w:r>
          </w:p>
        </w:tc>
      </w:tr>
      <w:tr>
        <w:tblPrEx>
          <w:tblCellMar>
            <w:top w:w="0" w:type="dxa"/>
            <w:left w:w="108" w:type="dxa"/>
            <w:bottom w:w="0" w:type="dxa"/>
            <w:right w:w="108" w:type="dxa"/>
          </w:tblCellMar>
        </w:tblPrEx>
        <w:trPr>
          <w:trHeight w:val="454" w:hRule="atLeast"/>
        </w:trPr>
        <w:tc>
          <w:tcPr>
            <w:tcW w:w="697"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418"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行政村</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4780" w:type="dxa"/>
            <w:tcBorders>
              <w:top w:val="single" w:color="000000" w:sz="4" w:space="0"/>
              <w:left w:val="single" w:color="000000" w:sz="4" w:space="0"/>
              <w:bottom w:val="single" w:color="000000" w:sz="4" w:space="0"/>
              <w:right w:val="nil"/>
            </w:tcBorders>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十七房村、沿山村、庙戴村、觉渡村、岚山村、湾塘村</w:t>
            </w:r>
          </w:p>
        </w:tc>
        <w:tc>
          <w:tcPr>
            <w:tcW w:w="1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13</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32</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24</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24</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80</w:t>
            </w:r>
          </w:p>
        </w:tc>
      </w:tr>
      <w:tr>
        <w:tblPrEx>
          <w:tblCellMar>
            <w:top w:w="0" w:type="dxa"/>
            <w:left w:w="108" w:type="dxa"/>
            <w:bottom w:w="0" w:type="dxa"/>
            <w:right w:w="108" w:type="dxa"/>
          </w:tblCellMar>
        </w:tblPrEx>
        <w:trPr>
          <w:trHeight w:val="454" w:hRule="atLeast"/>
        </w:trPr>
        <w:tc>
          <w:tcPr>
            <w:tcW w:w="6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14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九龙湖镇</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社区</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4780" w:type="dxa"/>
            <w:tcBorders>
              <w:top w:val="single" w:color="000000" w:sz="4" w:space="0"/>
              <w:left w:val="single" w:color="000000" w:sz="4" w:space="0"/>
              <w:bottom w:val="single" w:color="000000" w:sz="4" w:space="0"/>
              <w:right w:val="nil"/>
            </w:tcBorders>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龙源社区、思源社区、河源社区</w:t>
            </w:r>
          </w:p>
        </w:tc>
        <w:tc>
          <w:tcPr>
            <w:tcW w:w="1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20</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30</w:t>
            </w:r>
          </w:p>
        </w:tc>
      </w:tr>
      <w:tr>
        <w:tblPrEx>
          <w:tblCellMar>
            <w:top w:w="0" w:type="dxa"/>
            <w:left w:w="108" w:type="dxa"/>
            <w:bottom w:w="0" w:type="dxa"/>
            <w:right w:w="108" w:type="dxa"/>
          </w:tblCellMar>
        </w:tblPrEx>
        <w:trPr>
          <w:trHeight w:val="454" w:hRule="atLeast"/>
        </w:trPr>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行政村</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4780" w:type="dxa"/>
            <w:tcBorders>
              <w:top w:val="single" w:color="000000" w:sz="4" w:space="0"/>
              <w:left w:val="single" w:color="000000" w:sz="4" w:space="0"/>
              <w:bottom w:val="single" w:color="000000" w:sz="4" w:space="0"/>
              <w:right w:val="nil"/>
            </w:tcBorders>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河头村、九龙湖村、长石村、长宏村、汶溪村、中心村、西河村、西经堂村、田顾村、田杨陈村、杜夹岙村</w:t>
            </w:r>
          </w:p>
        </w:tc>
        <w:tc>
          <w:tcPr>
            <w:tcW w:w="1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25</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16</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43</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35</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94</w:t>
            </w:r>
          </w:p>
        </w:tc>
      </w:tr>
      <w:tr>
        <w:tblPrEx>
          <w:tblCellMar>
            <w:top w:w="0" w:type="dxa"/>
            <w:left w:w="108" w:type="dxa"/>
            <w:bottom w:w="0" w:type="dxa"/>
            <w:right w:w="108" w:type="dxa"/>
          </w:tblCellMar>
        </w:tblPrEx>
        <w:trPr>
          <w:trHeight w:val="454" w:hRule="atLeast"/>
        </w:trPr>
        <w:tc>
          <w:tcPr>
            <w:tcW w:w="35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合计</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24</w:t>
            </w:r>
          </w:p>
        </w:tc>
        <w:tc>
          <w:tcPr>
            <w:tcW w:w="4780" w:type="dxa"/>
            <w:tcBorders>
              <w:top w:val="single" w:color="000000" w:sz="4" w:space="0"/>
              <w:left w:val="single" w:color="000000" w:sz="4" w:space="0"/>
              <w:bottom w:val="single" w:color="000000" w:sz="4" w:space="0"/>
              <w:right w:val="nil"/>
            </w:tcBorders>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1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51</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507</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121</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115</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743</w:t>
            </w:r>
          </w:p>
        </w:tc>
      </w:tr>
    </w:tbl>
    <w:p>
      <w:pPr>
        <w:pStyle w:val="69"/>
        <w:spacing w:before="156" w:line="240" w:lineRule="auto"/>
        <w:ind w:firstLine="198" w:firstLineChars="0"/>
        <w:jc w:val="center"/>
        <w:rPr>
          <w:color w:val="000000" w:themeColor="text1"/>
          <w:sz w:val="24"/>
          <w14:textFill>
            <w14:solidFill>
              <w14:schemeClr w14:val="tx1"/>
            </w14:solidFill>
          </w14:textFill>
        </w:rPr>
      </w:pPr>
    </w:p>
    <w:p>
      <w:pPr>
        <w:pStyle w:val="69"/>
        <w:spacing w:before="156" w:line="240" w:lineRule="auto"/>
        <w:ind w:firstLine="198" w:firstLineChars="0"/>
        <w:jc w:val="center"/>
        <w:rPr>
          <w:color w:val="000000" w:themeColor="text1"/>
          <w:szCs w:val="32"/>
          <w14:textFill>
            <w14:solidFill>
              <w14:schemeClr w14:val="tx1"/>
            </w14:solidFill>
          </w14:textFill>
        </w:rPr>
      </w:pPr>
    </w:p>
    <w:p>
      <w:pPr>
        <w:pStyle w:val="67"/>
        <w:rPr>
          <w:color w:val="000000" w:themeColor="text1"/>
          <w:szCs w:val="32"/>
          <w14:textFill>
            <w14:solidFill>
              <w14:schemeClr w14:val="tx1"/>
            </w14:solidFill>
          </w14:textFill>
        </w:rPr>
        <w:sectPr>
          <w:pgSz w:w="16840" w:h="11907" w:orient="landscape"/>
          <w:pgMar w:top="1587" w:right="1440" w:bottom="1587" w:left="1440" w:header="851" w:footer="992" w:gutter="0"/>
          <w:cols w:space="720" w:num="1"/>
          <w:docGrid w:type="lines" w:linePitch="312" w:charSpace="0"/>
        </w:sectPr>
      </w:pPr>
    </w:p>
    <w:p>
      <w:pPr>
        <w:pStyle w:val="67"/>
        <w:rPr>
          <w:color w:val="000000" w:themeColor="text1"/>
          <w14:textFill>
            <w14:solidFill>
              <w14:schemeClr w14:val="tx1"/>
            </w14:solidFill>
          </w14:textFill>
        </w:rPr>
      </w:pPr>
      <w:bookmarkStart w:id="32" w:name="_Toc20053"/>
      <w:r>
        <w:rPr>
          <w:rFonts w:hint="eastAsia"/>
          <w:color w:val="000000" w:themeColor="text1"/>
          <w14:textFill>
            <w14:solidFill>
              <w14:schemeClr w14:val="tx1"/>
            </w14:solidFill>
          </w14:textFill>
        </w:rPr>
        <w:t>6.2.3九龙湖镇</w:t>
      </w:r>
    </w:p>
    <w:p>
      <w:pPr>
        <w:pStyle w:val="69"/>
        <w:ind w:firstLine="640"/>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九龙湖</w:t>
      </w:r>
      <w:r>
        <w:rPr>
          <w:rFonts w:hint="eastAsia"/>
          <w:color w:val="000000" w:themeColor="text1"/>
          <w14:textFill>
            <w14:solidFill>
              <w14:schemeClr w14:val="tx1"/>
            </w14:solidFill>
          </w14:textFill>
        </w:rPr>
        <w:t>镇预计新增充电枪1</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根，其中，直流枪82根，交流枪</w:t>
      </w:r>
      <w:r>
        <w:rPr>
          <w:color w:val="000000" w:themeColor="text1"/>
          <w14:textFill>
            <w14:solidFill>
              <w14:schemeClr w14:val="tx1"/>
            </w14:solidFill>
          </w14:textFill>
        </w:rPr>
        <w:t>42</w:t>
      </w:r>
      <w:r>
        <w:rPr>
          <w:rFonts w:hint="eastAsia"/>
          <w:color w:val="000000" w:themeColor="text1"/>
          <w14:textFill>
            <w14:solidFill>
              <w14:schemeClr w14:val="tx1"/>
            </w14:solidFill>
          </w14:textFill>
        </w:rPr>
        <w:t>根，分别于2023年完成</w:t>
      </w:r>
      <w:r>
        <w:rPr>
          <w:color w:val="000000" w:themeColor="text1"/>
          <w14:textFill>
            <w14:solidFill>
              <w14:schemeClr w14:val="tx1"/>
            </w14:solidFill>
          </w14:textFill>
        </w:rPr>
        <w:t>16</w:t>
      </w:r>
      <w:r>
        <w:rPr>
          <w:rFonts w:hint="eastAsia"/>
          <w:color w:val="000000" w:themeColor="text1"/>
          <w14:textFill>
            <w14:solidFill>
              <w14:schemeClr w14:val="tx1"/>
            </w14:solidFill>
          </w14:textFill>
        </w:rPr>
        <w:t>根，2024年完成</w:t>
      </w:r>
      <w:r>
        <w:rPr>
          <w:color w:val="000000" w:themeColor="text1"/>
          <w14:textFill>
            <w14:solidFill>
              <w14:schemeClr w14:val="tx1"/>
            </w14:solidFill>
          </w14:textFill>
        </w:rPr>
        <w:t>53</w:t>
      </w:r>
      <w:r>
        <w:rPr>
          <w:rFonts w:hint="eastAsia"/>
          <w:color w:val="000000" w:themeColor="text1"/>
          <w14:textFill>
            <w14:solidFill>
              <w14:schemeClr w14:val="tx1"/>
            </w14:solidFill>
          </w14:textFill>
        </w:rPr>
        <w:t>根，2025年完成5</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根。</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表6-8镇海区乡村地区九龙湖镇各社区充电设施布局规划统计表</w:t>
      </w:r>
    </w:p>
    <w:tbl>
      <w:tblPr>
        <w:tblStyle w:val="34"/>
        <w:tblW w:w="9026" w:type="dxa"/>
        <w:tblInd w:w="91" w:type="dxa"/>
        <w:tblLayout w:type="fixed"/>
        <w:tblCellMar>
          <w:top w:w="0" w:type="dxa"/>
          <w:left w:w="108" w:type="dxa"/>
          <w:bottom w:w="0" w:type="dxa"/>
          <w:right w:w="108" w:type="dxa"/>
        </w:tblCellMar>
      </w:tblPr>
      <w:tblGrid>
        <w:gridCol w:w="505"/>
        <w:gridCol w:w="793"/>
        <w:gridCol w:w="3076"/>
        <w:gridCol w:w="828"/>
        <w:gridCol w:w="872"/>
        <w:gridCol w:w="760"/>
        <w:gridCol w:w="760"/>
        <w:gridCol w:w="720"/>
        <w:gridCol w:w="712"/>
      </w:tblGrid>
      <w:tr>
        <w:tblPrEx>
          <w:tblCellMar>
            <w:top w:w="0" w:type="dxa"/>
            <w:left w:w="108" w:type="dxa"/>
            <w:bottom w:w="0" w:type="dxa"/>
            <w:right w:w="108" w:type="dxa"/>
          </w:tblCellMar>
        </w:tblPrEx>
        <w:trPr>
          <w:trHeight w:val="454" w:hRule="atLeast"/>
          <w:tblHeader/>
        </w:trPr>
        <w:tc>
          <w:tcPr>
            <w:tcW w:w="5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0"/>
                <w:szCs w:val="20"/>
                <w14:textFill>
                  <w14:solidFill>
                    <w14:schemeClr w14:val="tx1"/>
                  </w14:solidFill>
                </w14:textFill>
              </w:rPr>
            </w:pPr>
            <w:r>
              <w:rPr>
                <w:rFonts w:hint="eastAsia" w:ascii="仿宋_GB2312" w:hAnsi="宋体" w:eastAsia="仿宋_GB2312" w:cs="宋体"/>
                <w:b/>
                <w:bCs/>
                <w:color w:val="000000" w:themeColor="text1"/>
                <w:kern w:val="0"/>
                <w:sz w:val="20"/>
                <w:szCs w:val="20"/>
                <w14:textFill>
                  <w14:solidFill>
                    <w14:schemeClr w14:val="tx1"/>
                  </w14:solidFill>
                </w14:textFill>
              </w:rPr>
              <w:t>序号</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0"/>
                <w:szCs w:val="20"/>
                <w14:textFill>
                  <w14:solidFill>
                    <w14:schemeClr w14:val="tx1"/>
                  </w14:solidFill>
                </w14:textFill>
              </w:rPr>
            </w:pPr>
            <w:r>
              <w:rPr>
                <w:rFonts w:hint="eastAsia" w:ascii="仿宋_GB2312" w:hAnsi="宋体" w:eastAsia="仿宋_GB2312" w:cs="宋体"/>
                <w:b/>
                <w:bCs/>
                <w:color w:val="000000" w:themeColor="text1"/>
                <w:kern w:val="0"/>
                <w:sz w:val="20"/>
                <w:szCs w:val="20"/>
                <w14:textFill>
                  <w14:solidFill>
                    <w14:schemeClr w14:val="tx1"/>
                  </w14:solidFill>
                </w14:textFill>
              </w:rPr>
              <w:t>村/社区</w:t>
            </w:r>
          </w:p>
        </w:tc>
        <w:tc>
          <w:tcPr>
            <w:tcW w:w="30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0"/>
                <w:szCs w:val="20"/>
                <w14:textFill>
                  <w14:solidFill>
                    <w14:schemeClr w14:val="tx1"/>
                  </w14:solidFill>
                </w14:textFill>
              </w:rPr>
            </w:pPr>
            <w:r>
              <w:rPr>
                <w:rFonts w:hint="eastAsia" w:ascii="仿宋_GB2312" w:hAnsi="宋体" w:eastAsia="仿宋_GB2312" w:cs="宋体"/>
                <w:b/>
                <w:bCs/>
                <w:color w:val="000000" w:themeColor="text1"/>
                <w:kern w:val="0"/>
                <w:sz w:val="20"/>
                <w:szCs w:val="20"/>
                <w14:textFill>
                  <w14:solidFill>
                    <w14:schemeClr w14:val="tx1"/>
                  </w14:solidFill>
                </w14:textFill>
              </w:rPr>
              <w:t>站点名称</w:t>
            </w:r>
          </w:p>
        </w:tc>
        <w:tc>
          <w:tcPr>
            <w:tcW w:w="24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0"/>
                <w:szCs w:val="20"/>
                <w14:textFill>
                  <w14:solidFill>
                    <w14:schemeClr w14:val="tx1"/>
                  </w14:solidFill>
                </w14:textFill>
              </w:rPr>
            </w:pPr>
            <w:r>
              <w:rPr>
                <w:rFonts w:hint="eastAsia" w:ascii="仿宋_GB2312" w:hAnsi="宋体" w:eastAsia="仿宋_GB2312" w:cs="宋体"/>
                <w:b/>
                <w:bCs/>
                <w:color w:val="000000" w:themeColor="text1"/>
                <w:kern w:val="0"/>
                <w:sz w:val="20"/>
                <w:szCs w:val="20"/>
                <w14:textFill>
                  <w14:solidFill>
                    <w14:schemeClr w14:val="tx1"/>
                  </w14:solidFill>
                </w14:textFill>
              </w:rPr>
              <w:t>建议充电设施类型及数量/根</w:t>
            </w:r>
          </w:p>
        </w:tc>
        <w:tc>
          <w:tcPr>
            <w:tcW w:w="219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宋体" w:eastAsia="仿宋_GB2312" w:cs="宋体"/>
                <w:b/>
                <w:bCs/>
                <w:color w:val="000000" w:themeColor="text1"/>
                <w:kern w:val="0"/>
                <w:sz w:val="20"/>
                <w:szCs w:val="20"/>
                <w14:textFill>
                  <w14:solidFill>
                    <w14:schemeClr w14:val="tx1"/>
                  </w14:solidFill>
                </w14:textFill>
              </w:rPr>
            </w:pPr>
            <w:r>
              <w:rPr>
                <w:rFonts w:hint="eastAsia" w:ascii="仿宋_GB2312" w:hAnsi="宋体" w:eastAsia="仿宋_GB2312" w:cs="宋体"/>
                <w:b/>
                <w:bCs/>
                <w:color w:val="000000" w:themeColor="text1"/>
                <w:kern w:val="0"/>
                <w:sz w:val="20"/>
                <w:szCs w:val="20"/>
                <w14:textFill>
                  <w14:solidFill>
                    <w14:schemeClr w14:val="tx1"/>
                  </w14:solidFill>
                </w14:textFill>
              </w:rPr>
              <w:t>实施时间/年</w:t>
            </w:r>
          </w:p>
        </w:tc>
      </w:tr>
      <w:tr>
        <w:tblPrEx>
          <w:tblCellMar>
            <w:top w:w="0" w:type="dxa"/>
            <w:left w:w="108" w:type="dxa"/>
            <w:bottom w:w="0" w:type="dxa"/>
            <w:right w:w="108" w:type="dxa"/>
          </w:tblCellMar>
        </w:tblPrEx>
        <w:trPr>
          <w:trHeight w:val="454" w:hRule="atLeast"/>
          <w:tblHeader/>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0"/>
                <w:szCs w:val="20"/>
                <w14:textFill>
                  <w14:solidFill>
                    <w14:schemeClr w14:val="tx1"/>
                  </w14:solidFill>
                </w14:textFill>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0"/>
                <w:szCs w:val="20"/>
                <w14:textFill>
                  <w14:solidFill>
                    <w14:schemeClr w14:val="tx1"/>
                  </w14:solidFill>
                </w14:textFill>
              </w:rPr>
            </w:pPr>
          </w:p>
        </w:tc>
        <w:tc>
          <w:tcPr>
            <w:tcW w:w="30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0"/>
                <w:szCs w:val="20"/>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0"/>
                <w:szCs w:val="20"/>
                <w14:textFill>
                  <w14:solidFill>
                    <w14:schemeClr w14:val="tx1"/>
                  </w14:solidFill>
                </w14:textFill>
              </w:rPr>
            </w:pPr>
            <w:r>
              <w:rPr>
                <w:rFonts w:hint="eastAsia" w:ascii="仿宋_GB2312" w:hAnsi="宋体" w:eastAsia="仿宋_GB2312" w:cs="宋体"/>
                <w:b/>
                <w:bCs/>
                <w:color w:val="000000" w:themeColor="text1"/>
                <w:kern w:val="0"/>
                <w:sz w:val="20"/>
                <w:szCs w:val="20"/>
                <w14:textFill>
                  <w14:solidFill>
                    <w14:schemeClr w14:val="tx1"/>
                  </w14:solidFill>
                </w14:textFill>
              </w:rPr>
              <w:t>直流枪</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0"/>
                <w:szCs w:val="20"/>
                <w14:textFill>
                  <w14:solidFill>
                    <w14:schemeClr w14:val="tx1"/>
                  </w14:solidFill>
                </w14:textFill>
              </w:rPr>
            </w:pPr>
            <w:r>
              <w:rPr>
                <w:rFonts w:hint="eastAsia" w:ascii="仿宋_GB2312" w:hAnsi="宋体" w:eastAsia="仿宋_GB2312" w:cs="宋体"/>
                <w:b/>
                <w:bCs/>
                <w:color w:val="000000" w:themeColor="text1"/>
                <w:kern w:val="0"/>
                <w:sz w:val="20"/>
                <w:szCs w:val="20"/>
                <w14:textFill>
                  <w14:solidFill>
                    <w14:schemeClr w14:val="tx1"/>
                  </w14:solidFill>
                </w14:textFill>
              </w:rPr>
              <w:t>交流枪</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0"/>
                <w:szCs w:val="20"/>
                <w14:textFill>
                  <w14:solidFill>
                    <w14:schemeClr w14:val="tx1"/>
                  </w14:solidFill>
                </w14:textFill>
              </w:rPr>
            </w:pPr>
            <w:r>
              <w:rPr>
                <w:rFonts w:hint="eastAsia" w:ascii="仿宋_GB2312" w:hAnsi="宋体" w:eastAsia="仿宋_GB2312" w:cs="宋体"/>
                <w:b/>
                <w:bCs/>
                <w:color w:val="000000" w:themeColor="text1"/>
                <w:kern w:val="0"/>
                <w:sz w:val="20"/>
                <w:szCs w:val="20"/>
                <w14:textFill>
                  <w14:solidFill>
                    <w14:schemeClr w14:val="tx1"/>
                  </w14:solidFill>
                </w14:textFill>
              </w:rPr>
              <w:t>小计</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0"/>
                <w:szCs w:val="20"/>
                <w14:textFill>
                  <w14:solidFill>
                    <w14:schemeClr w14:val="tx1"/>
                  </w14:solidFill>
                </w14:textFill>
              </w:rPr>
            </w:pPr>
            <w:r>
              <w:rPr>
                <w:rFonts w:hint="eastAsia" w:ascii="仿宋_GB2312" w:hAnsi="宋体" w:eastAsia="仿宋_GB2312" w:cs="宋体"/>
                <w:b/>
                <w:bCs/>
                <w:color w:val="000000" w:themeColor="text1"/>
                <w:kern w:val="0"/>
                <w:sz w:val="20"/>
                <w:szCs w:val="20"/>
                <w14:textFill>
                  <w14:solidFill>
                    <w14:schemeClr w14:val="tx1"/>
                  </w14:solidFill>
                </w14:textFill>
              </w:rPr>
              <w:t>2023</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0"/>
                <w:szCs w:val="20"/>
                <w14:textFill>
                  <w14:solidFill>
                    <w14:schemeClr w14:val="tx1"/>
                  </w14:solidFill>
                </w14:textFill>
              </w:rPr>
            </w:pPr>
            <w:r>
              <w:rPr>
                <w:rFonts w:hint="eastAsia" w:ascii="仿宋_GB2312" w:hAnsi="宋体" w:eastAsia="仿宋_GB2312" w:cs="宋体"/>
                <w:b/>
                <w:bCs/>
                <w:color w:val="000000" w:themeColor="text1"/>
                <w:kern w:val="0"/>
                <w:sz w:val="20"/>
                <w:szCs w:val="20"/>
                <w14:textFill>
                  <w14:solidFill>
                    <w14:schemeClr w14:val="tx1"/>
                  </w14:solidFill>
                </w14:textFill>
              </w:rPr>
              <w:t>2024</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b/>
                <w:bCs/>
                <w:color w:val="000000" w:themeColor="text1"/>
                <w:kern w:val="0"/>
                <w:sz w:val="20"/>
                <w:szCs w:val="20"/>
                <w14:textFill>
                  <w14:solidFill>
                    <w14:schemeClr w14:val="tx1"/>
                  </w14:solidFill>
                </w14:textFill>
              </w:rPr>
            </w:pPr>
            <w:r>
              <w:rPr>
                <w:rFonts w:hint="eastAsia" w:ascii="仿宋_GB2312" w:hAnsi="宋体" w:eastAsia="仿宋_GB2312" w:cs="宋体"/>
                <w:b/>
                <w:bCs/>
                <w:color w:val="000000" w:themeColor="text1"/>
                <w:kern w:val="0"/>
                <w:sz w:val="20"/>
                <w:szCs w:val="20"/>
                <w14:textFill>
                  <w14:solidFill>
                    <w14:schemeClr w14:val="tx1"/>
                  </w14:solidFill>
                </w14:textFill>
              </w:rPr>
              <w:t>2025</w:t>
            </w:r>
          </w:p>
        </w:tc>
      </w:tr>
      <w:tr>
        <w:tblPrEx>
          <w:tblCellMar>
            <w:top w:w="0" w:type="dxa"/>
            <w:left w:w="108" w:type="dxa"/>
            <w:bottom w:w="0" w:type="dxa"/>
            <w:right w:w="108" w:type="dxa"/>
          </w:tblCellMar>
        </w:tblPrEx>
        <w:trPr>
          <w:trHeight w:val="454" w:hRule="atLeast"/>
        </w:trPr>
        <w:tc>
          <w:tcPr>
            <w:tcW w:w="5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九龙湖村</w:t>
            </w: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宁波市九龙湖开元度假村交直流站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九龙湖香山寺停车场充电站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宁波市镇海区九龙湖村充电站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九龙湖横溪村停车场充电站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西经堂村</w:t>
            </w: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宁波市镇海区西经堂村菜场充电站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九龙湖供电所充电站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760" w:type="dxa"/>
            <w:tcBorders>
              <w:top w:val="nil"/>
              <w:left w:val="nil"/>
              <w:bottom w:val="nil"/>
              <w:right w:val="nil"/>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九龙湖西经堂村充电站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宁波市镇海区西径名苑充电站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杜夹岙村</w:t>
            </w: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宁波市镇海区杜夹岙村充电站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宁波市镇海区杜夹岙村杜郭充电站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宁波市镇海区杜家岙村吴夹岙充电站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田杨陈村</w:t>
            </w: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宁波市镇海区田杨陈村充电站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宁波市镇海区田杨陈村钱家充电站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宁波市镇海区田杨陈村西沈充电站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汶溪村</w:t>
            </w: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宁波市镇海区秦山停车场充电站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宁波市镇海区九龙湖精灵谷停车场谷充电站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宁波市镇海区汶溪村充电站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河头村</w:t>
            </w: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九龙安泰养老院充电站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宁波市镇海区河头村充电站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龙源社区</w:t>
            </w: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九龙湖九龙汇充电站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宁波市镇海区九龙湖卫生院新院区地下室充电桩</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田顾村</w:t>
            </w: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宁波市镇海区田顾村上畦充电站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宁波市镇海区田顾村下畦充电站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河源社区</w:t>
            </w: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九龙湖镇桂语风荷幼儿园地面接送系统充电站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西河村</w:t>
            </w: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宁波市镇海区西河村充电站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长宏村</w:t>
            </w: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宁波市镇海区长宏村西严充电站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长石村</w:t>
            </w: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睿晶公司充电桩</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13</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中心村</w:t>
            </w:r>
          </w:p>
        </w:tc>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宁波市镇海区中心村充电站</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437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合计</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124</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16</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53</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55</w:t>
            </w:r>
          </w:p>
        </w:tc>
      </w:tr>
    </w:tbl>
    <w:p>
      <w:pPr>
        <w:pStyle w:val="69"/>
        <w:ind w:firstLine="640"/>
        <w:rPr>
          <w:color w:val="000000" w:themeColor="text1"/>
          <w:highlight w:val="yellow"/>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66"/>
        <w:numPr>
          <w:ilvl w:val="1"/>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（三）其他场景规划方案</w:t>
      </w:r>
      <w:bookmarkEnd w:id="32"/>
    </w:p>
    <w:p>
      <w:pPr>
        <w:pStyle w:val="69"/>
        <w:ind w:firstLine="64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除城市地区与乡村地区外，着重针对特殊场景进行具体规划。以提高本次规划对于薄弱区域的充电设施规划覆盖。</w:t>
      </w: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6.3.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老旧小区充电规划</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通过《镇海区老旧小区（拆迁安置小区）充电难问题排摸调研》（详见附件3）发现，招宝山街道老旧小区、拆迁安置小区充电设施布置困难问题突出，停车供给矛盾突出，因此针对招宝山街道老旧小区充电难问题，对老旧小区周边停车场增设充电设施缓解充电矛盾。通过10处站点增加149根充电枪，</w:t>
      </w:r>
      <w:r>
        <w:rPr>
          <w:rFonts w:hint="eastAsia"/>
          <w:color w:val="000000" w:themeColor="text1"/>
          <w:lang w:eastAsia="zh-Hans"/>
          <w14:textFill>
            <w14:solidFill>
              <w14:schemeClr w14:val="tx1"/>
            </w14:solidFill>
          </w14:textFill>
        </w:rPr>
        <w:t>缓解</w:t>
      </w:r>
      <w:r>
        <w:rPr>
          <w:rFonts w:hint="eastAsia"/>
          <w:color w:val="000000" w:themeColor="text1"/>
          <w14:textFill>
            <w14:solidFill>
              <w14:schemeClr w14:val="tx1"/>
            </w14:solidFill>
          </w14:textFill>
        </w:rPr>
        <w:t>21个老旧小区充电难问题，具体规划建设情况如下表所示。</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表6-</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招宝山街道充电设施规划解决老旧小区充电难点对点情况表</w:t>
      </w:r>
    </w:p>
    <w:tbl>
      <w:tblPr>
        <w:tblStyle w:val="34"/>
        <w:tblW w:w="8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2429"/>
        <w:gridCol w:w="993"/>
        <w:gridCol w:w="992"/>
        <w:gridCol w:w="993"/>
        <w:gridCol w:w="850"/>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14" w:type="dxa"/>
            <w:shd w:val="clear" w:color="auto" w:fill="auto"/>
            <w:vAlign w:val="center"/>
          </w:tcPr>
          <w:p>
            <w:pPr>
              <w:widowControl/>
              <w:jc w:val="center"/>
              <w:rPr>
                <w:rFonts w:ascii="仿宋_GB2312" w:hAnsi="宋体" w:eastAsia="仿宋_GB2312" w:cs="宋体"/>
                <w:b/>
                <w:color w:val="000000" w:themeColor="text1"/>
                <w:kern w:val="0"/>
                <w:sz w:val="22"/>
                <w:szCs w:val="24"/>
                <w14:textFill>
                  <w14:solidFill>
                    <w14:schemeClr w14:val="tx1"/>
                  </w14:solidFill>
                </w14:textFill>
              </w:rPr>
            </w:pPr>
            <w:r>
              <w:rPr>
                <w:rFonts w:hint="eastAsia" w:ascii="仿宋_GB2312" w:hAnsi="宋体" w:eastAsia="仿宋_GB2312" w:cs="宋体"/>
                <w:b/>
                <w:color w:val="000000" w:themeColor="text1"/>
                <w:kern w:val="0"/>
                <w:sz w:val="22"/>
                <w:szCs w:val="24"/>
                <w14:textFill>
                  <w14:solidFill>
                    <w14:schemeClr w14:val="tx1"/>
                  </w14:solidFill>
                </w14:textFill>
              </w:rPr>
              <w:t>序号</w:t>
            </w:r>
          </w:p>
        </w:tc>
        <w:tc>
          <w:tcPr>
            <w:tcW w:w="2429" w:type="dxa"/>
            <w:shd w:val="clear" w:color="auto" w:fill="auto"/>
            <w:vAlign w:val="center"/>
          </w:tcPr>
          <w:p>
            <w:pPr>
              <w:widowControl/>
              <w:jc w:val="center"/>
              <w:rPr>
                <w:rFonts w:ascii="仿宋_GB2312" w:hAnsi="宋体" w:eastAsia="仿宋_GB2312" w:cs="宋体"/>
                <w:b/>
                <w:color w:val="000000" w:themeColor="text1"/>
                <w:kern w:val="0"/>
                <w:sz w:val="22"/>
                <w:szCs w:val="24"/>
                <w14:textFill>
                  <w14:solidFill>
                    <w14:schemeClr w14:val="tx1"/>
                  </w14:solidFill>
                </w14:textFill>
              </w:rPr>
            </w:pPr>
            <w:r>
              <w:fldChar w:fldCharType="begin"/>
            </w:r>
            <w:r>
              <w:instrText xml:space="preserve"> HYPERLINK "file:///C:\\Users\\Administrator\\Desktop\\3、调整后文本使用数据\\★★总表（复核后）.xls" </w:instrText>
            </w:r>
            <w:r>
              <w:fldChar w:fldCharType="separate"/>
            </w:r>
            <w:r>
              <w:rPr>
                <w:rFonts w:hint="eastAsia" w:ascii="仿宋_GB2312" w:hAnsi="宋体" w:eastAsia="仿宋_GB2312" w:cs="宋体"/>
                <w:b/>
                <w:color w:val="000000" w:themeColor="text1"/>
                <w:kern w:val="0"/>
                <w:sz w:val="22"/>
                <w:szCs w:val="24"/>
                <w14:textFill>
                  <w14:solidFill>
                    <w14:schemeClr w14:val="tx1"/>
                  </w14:solidFill>
                </w14:textFill>
              </w:rPr>
              <w:t>站点名称</w:t>
            </w:r>
            <w:r>
              <w:rPr>
                <w:rFonts w:hint="eastAsia" w:ascii="仿宋_GB2312" w:hAnsi="宋体" w:eastAsia="仿宋_GB2312" w:cs="宋体"/>
                <w:b/>
                <w:color w:val="000000" w:themeColor="text1"/>
                <w:kern w:val="0"/>
                <w:sz w:val="22"/>
                <w:szCs w:val="24"/>
                <w14:textFill>
                  <w14:solidFill>
                    <w14:schemeClr w14:val="tx1"/>
                  </w14:solidFill>
                </w14:textFill>
              </w:rPr>
              <w:fldChar w:fldCharType="end"/>
            </w:r>
          </w:p>
        </w:tc>
        <w:tc>
          <w:tcPr>
            <w:tcW w:w="993" w:type="dxa"/>
            <w:shd w:val="clear" w:color="auto" w:fill="auto"/>
            <w:vAlign w:val="center"/>
          </w:tcPr>
          <w:p>
            <w:pPr>
              <w:widowControl/>
              <w:jc w:val="center"/>
              <w:rPr>
                <w:rFonts w:ascii="仿宋_GB2312" w:hAnsi="宋体" w:eastAsia="仿宋_GB2312" w:cs="宋体"/>
                <w:b/>
                <w:color w:val="000000" w:themeColor="text1"/>
                <w:kern w:val="0"/>
                <w:sz w:val="22"/>
                <w:szCs w:val="24"/>
                <w14:textFill>
                  <w14:solidFill>
                    <w14:schemeClr w14:val="tx1"/>
                  </w14:solidFill>
                </w14:textFill>
              </w:rPr>
            </w:pPr>
            <w:r>
              <w:rPr>
                <w:rFonts w:hint="eastAsia" w:ascii="仿宋_GB2312" w:hAnsi="宋体" w:eastAsia="仿宋_GB2312" w:cs="宋体"/>
                <w:b/>
                <w:color w:val="000000" w:themeColor="text1"/>
                <w:kern w:val="0"/>
                <w:sz w:val="22"/>
                <w:szCs w:val="24"/>
                <w14:textFill>
                  <w14:solidFill>
                    <w14:schemeClr w14:val="tx1"/>
                  </w14:solidFill>
                </w14:textFill>
              </w:rPr>
              <w:t>村（社区）</w:t>
            </w:r>
          </w:p>
        </w:tc>
        <w:tc>
          <w:tcPr>
            <w:tcW w:w="992" w:type="dxa"/>
            <w:shd w:val="clear" w:color="auto" w:fill="auto"/>
            <w:vAlign w:val="center"/>
          </w:tcPr>
          <w:p>
            <w:pPr>
              <w:widowControl/>
              <w:jc w:val="center"/>
              <w:rPr>
                <w:rFonts w:ascii="仿宋_GB2312" w:hAnsi="宋体" w:eastAsia="仿宋_GB2312" w:cs="宋体"/>
                <w:b/>
                <w:color w:val="000000" w:themeColor="text1"/>
                <w:kern w:val="0"/>
                <w:sz w:val="22"/>
                <w:szCs w:val="24"/>
                <w14:textFill>
                  <w14:solidFill>
                    <w14:schemeClr w14:val="tx1"/>
                  </w14:solidFill>
                </w14:textFill>
              </w:rPr>
            </w:pPr>
            <w:r>
              <w:rPr>
                <w:rFonts w:hint="eastAsia" w:ascii="仿宋_GB2312" w:hAnsi="宋体" w:eastAsia="仿宋_GB2312" w:cs="宋体"/>
                <w:b/>
                <w:color w:val="000000" w:themeColor="text1"/>
                <w:kern w:val="0"/>
                <w:sz w:val="22"/>
                <w:szCs w:val="24"/>
                <w14:textFill>
                  <w14:solidFill>
                    <w14:schemeClr w14:val="tx1"/>
                  </w14:solidFill>
                </w14:textFill>
              </w:rPr>
              <w:t>直流枪数量/根</w:t>
            </w:r>
          </w:p>
        </w:tc>
        <w:tc>
          <w:tcPr>
            <w:tcW w:w="993" w:type="dxa"/>
            <w:shd w:val="clear" w:color="auto" w:fill="auto"/>
            <w:vAlign w:val="center"/>
          </w:tcPr>
          <w:p>
            <w:pPr>
              <w:widowControl/>
              <w:jc w:val="center"/>
              <w:rPr>
                <w:rFonts w:ascii="仿宋_GB2312" w:hAnsi="宋体" w:eastAsia="仿宋_GB2312" w:cs="宋体"/>
                <w:b/>
                <w:color w:val="000000" w:themeColor="text1"/>
                <w:kern w:val="0"/>
                <w:sz w:val="22"/>
                <w:szCs w:val="24"/>
                <w14:textFill>
                  <w14:solidFill>
                    <w14:schemeClr w14:val="tx1"/>
                  </w14:solidFill>
                </w14:textFill>
              </w:rPr>
            </w:pPr>
            <w:r>
              <w:rPr>
                <w:rFonts w:hint="eastAsia" w:ascii="仿宋_GB2312" w:hAnsi="宋体" w:eastAsia="仿宋_GB2312" w:cs="宋体"/>
                <w:b/>
                <w:color w:val="000000" w:themeColor="text1"/>
                <w:kern w:val="0"/>
                <w:sz w:val="22"/>
                <w:szCs w:val="24"/>
                <w14:textFill>
                  <w14:solidFill>
                    <w14:schemeClr w14:val="tx1"/>
                  </w14:solidFill>
                </w14:textFill>
              </w:rPr>
              <w:t>交流枪数量</w:t>
            </w:r>
            <w:r>
              <w:rPr>
                <w:rFonts w:ascii="仿宋_GB2312" w:hAnsi="宋体" w:eastAsia="仿宋_GB2312" w:cs="宋体"/>
                <w:b/>
                <w:color w:val="000000" w:themeColor="text1"/>
                <w:kern w:val="0"/>
                <w:sz w:val="22"/>
                <w:szCs w:val="24"/>
                <w14:textFill>
                  <w14:solidFill>
                    <w14:schemeClr w14:val="tx1"/>
                  </w14:solidFill>
                </w14:textFill>
              </w:rPr>
              <w:t>/</w:t>
            </w:r>
            <w:r>
              <w:rPr>
                <w:rFonts w:hint="eastAsia" w:ascii="仿宋_GB2312" w:hAnsi="宋体" w:eastAsia="仿宋_GB2312" w:cs="宋体"/>
                <w:b/>
                <w:color w:val="000000" w:themeColor="text1"/>
                <w:kern w:val="0"/>
                <w:sz w:val="22"/>
                <w:szCs w:val="24"/>
                <w14:textFill>
                  <w14:solidFill>
                    <w14:schemeClr w14:val="tx1"/>
                  </w14:solidFill>
                </w14:textFill>
              </w:rPr>
              <w:t>根</w:t>
            </w:r>
          </w:p>
        </w:tc>
        <w:tc>
          <w:tcPr>
            <w:tcW w:w="850" w:type="dxa"/>
            <w:shd w:val="clear" w:color="auto" w:fill="auto"/>
            <w:vAlign w:val="center"/>
          </w:tcPr>
          <w:p>
            <w:pPr>
              <w:widowControl/>
              <w:jc w:val="center"/>
              <w:rPr>
                <w:rFonts w:ascii="仿宋_GB2312" w:hAnsi="宋体" w:eastAsia="仿宋_GB2312" w:cs="宋体"/>
                <w:b/>
                <w:color w:val="000000" w:themeColor="text1"/>
                <w:kern w:val="0"/>
                <w:sz w:val="22"/>
                <w:szCs w:val="24"/>
                <w14:textFill>
                  <w14:solidFill>
                    <w14:schemeClr w14:val="tx1"/>
                  </w14:solidFill>
                </w14:textFill>
              </w:rPr>
            </w:pPr>
            <w:r>
              <w:rPr>
                <w:rFonts w:hint="eastAsia" w:ascii="仿宋_GB2312" w:hAnsi="宋体" w:eastAsia="仿宋_GB2312" w:cs="宋体"/>
                <w:b/>
                <w:color w:val="000000" w:themeColor="text1"/>
                <w:kern w:val="0"/>
                <w:sz w:val="22"/>
                <w:szCs w:val="24"/>
                <w14:textFill>
                  <w14:solidFill>
                    <w14:schemeClr w14:val="tx1"/>
                  </w14:solidFill>
                </w14:textFill>
              </w:rPr>
              <w:t>总枪/根</w:t>
            </w:r>
          </w:p>
        </w:tc>
        <w:tc>
          <w:tcPr>
            <w:tcW w:w="2178" w:type="dxa"/>
            <w:shd w:val="clear" w:color="auto" w:fill="auto"/>
            <w:vAlign w:val="center"/>
          </w:tcPr>
          <w:p>
            <w:pPr>
              <w:widowControl/>
              <w:jc w:val="center"/>
              <w:rPr>
                <w:rFonts w:ascii="仿宋_GB2312" w:hAnsi="宋体" w:eastAsia="仿宋_GB2312" w:cs="宋体"/>
                <w:b/>
                <w:color w:val="000000" w:themeColor="text1"/>
                <w:kern w:val="0"/>
                <w:sz w:val="22"/>
                <w:szCs w:val="24"/>
                <w14:textFill>
                  <w14:solidFill>
                    <w14:schemeClr w14:val="tx1"/>
                  </w14:solidFill>
                </w14:textFill>
              </w:rPr>
            </w:pPr>
            <w:r>
              <w:rPr>
                <w:rFonts w:hint="eastAsia" w:ascii="仿宋_GB2312" w:hAnsi="宋体" w:eastAsia="仿宋_GB2312" w:cs="宋体"/>
                <w:b/>
                <w:color w:val="000000" w:themeColor="text1"/>
                <w:kern w:val="0"/>
                <w:sz w:val="22"/>
                <w:szCs w:val="24"/>
                <w14:textFill>
                  <w14:solidFill>
                    <w14:schemeClr w14:val="tx1"/>
                  </w14:solidFill>
                </w14:textFill>
              </w:rPr>
              <w:t>服务老旧、拆迁小区名称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2429"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招宝山街道西门公园地下停车场充电站</w:t>
            </w:r>
          </w:p>
        </w:tc>
        <w:tc>
          <w:tcPr>
            <w:tcW w:w="993"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白龙社区</w:t>
            </w:r>
          </w:p>
        </w:tc>
        <w:tc>
          <w:tcPr>
            <w:tcW w:w="992"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993"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37</w:t>
            </w:r>
          </w:p>
        </w:tc>
        <w:tc>
          <w:tcPr>
            <w:tcW w:w="850"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45</w:t>
            </w:r>
          </w:p>
        </w:tc>
        <w:tc>
          <w:tcPr>
            <w:tcW w:w="2178"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西门小区、白龙小区、茗园一区、茗园二区、安居小区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2429"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镇海文化广场地下停车场充电站</w:t>
            </w:r>
          </w:p>
        </w:tc>
        <w:tc>
          <w:tcPr>
            <w:tcW w:w="993" w:type="dxa"/>
            <w:vMerge w:val="restart"/>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总浦桥社区</w:t>
            </w:r>
          </w:p>
        </w:tc>
        <w:tc>
          <w:tcPr>
            <w:tcW w:w="992"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22</w:t>
            </w:r>
          </w:p>
        </w:tc>
        <w:tc>
          <w:tcPr>
            <w:tcW w:w="993"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23</w:t>
            </w:r>
          </w:p>
        </w:tc>
        <w:tc>
          <w:tcPr>
            <w:tcW w:w="850"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45</w:t>
            </w:r>
          </w:p>
        </w:tc>
        <w:tc>
          <w:tcPr>
            <w:tcW w:w="2178"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朝宗坊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2429"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镇海区龙赛医院停车场充电站</w:t>
            </w:r>
          </w:p>
        </w:tc>
        <w:tc>
          <w:tcPr>
            <w:tcW w:w="993"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992"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993"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13</w:t>
            </w:r>
          </w:p>
        </w:tc>
        <w:tc>
          <w:tcPr>
            <w:tcW w:w="850"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17</w:t>
            </w:r>
          </w:p>
        </w:tc>
        <w:tc>
          <w:tcPr>
            <w:tcW w:w="2178"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大校场小区、鼓西小区、鼓东小区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2429"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镇海区南大街停车场充电站</w:t>
            </w:r>
          </w:p>
        </w:tc>
        <w:tc>
          <w:tcPr>
            <w:tcW w:w="993"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992"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993"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850"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2178"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东河小区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2429"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镇海文化广场南停车场充电站</w:t>
            </w:r>
          </w:p>
        </w:tc>
        <w:tc>
          <w:tcPr>
            <w:tcW w:w="993"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992"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993"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850"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2178"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中山校区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2429"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镇海区新闻中心职工内部停车场充电站</w:t>
            </w:r>
          </w:p>
        </w:tc>
        <w:tc>
          <w:tcPr>
            <w:tcW w:w="993"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城东社区</w:t>
            </w:r>
          </w:p>
        </w:tc>
        <w:tc>
          <w:tcPr>
            <w:tcW w:w="992"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993"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850"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2178"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荣盛花园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2429"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招宝山街道办事处北广场停车场充电站</w:t>
            </w:r>
          </w:p>
        </w:tc>
        <w:tc>
          <w:tcPr>
            <w:tcW w:w="993"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顺隆社区</w:t>
            </w:r>
          </w:p>
        </w:tc>
        <w:tc>
          <w:tcPr>
            <w:tcW w:w="992"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993"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850"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2178"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聪园小区、武宁桥、繁景小区、聪园锦里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2429"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沿江公园停车场充电站</w:t>
            </w:r>
          </w:p>
        </w:tc>
        <w:tc>
          <w:tcPr>
            <w:tcW w:w="993" w:type="dxa"/>
            <w:vMerge w:val="restart"/>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张鑑碶社区</w:t>
            </w:r>
          </w:p>
        </w:tc>
        <w:tc>
          <w:tcPr>
            <w:tcW w:w="992"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993"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0</w:t>
            </w:r>
          </w:p>
        </w:tc>
        <w:tc>
          <w:tcPr>
            <w:tcW w:w="850"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2178"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江口小区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w:t>
            </w:r>
          </w:p>
        </w:tc>
        <w:tc>
          <w:tcPr>
            <w:tcW w:w="2429"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郁金香中心商铺停车场充电站</w:t>
            </w:r>
          </w:p>
        </w:tc>
        <w:tc>
          <w:tcPr>
            <w:tcW w:w="993"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992"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993"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850"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2178"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张监碶小区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2429"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镇海招宝山景区西侧停车场充电站</w:t>
            </w:r>
          </w:p>
        </w:tc>
        <w:tc>
          <w:tcPr>
            <w:tcW w:w="993"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海港社区</w:t>
            </w:r>
          </w:p>
        </w:tc>
        <w:tc>
          <w:tcPr>
            <w:tcW w:w="992"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993"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850"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2178"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航务新村、招宝小区、港务新村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6" w:type="dxa"/>
            <w:gridSpan w:val="3"/>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合计</w:t>
            </w:r>
          </w:p>
        </w:tc>
        <w:tc>
          <w:tcPr>
            <w:tcW w:w="992"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61</w:t>
            </w:r>
          </w:p>
        </w:tc>
        <w:tc>
          <w:tcPr>
            <w:tcW w:w="993"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88</w:t>
            </w:r>
          </w:p>
        </w:tc>
        <w:tc>
          <w:tcPr>
            <w:tcW w:w="850"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149</w:t>
            </w:r>
          </w:p>
        </w:tc>
        <w:tc>
          <w:tcPr>
            <w:tcW w:w="2178"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21</w:t>
            </w:r>
          </w:p>
        </w:tc>
      </w:tr>
    </w:tbl>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6.3.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甬城泊车位充电规划</w:t>
      </w:r>
    </w:p>
    <w:p>
      <w:pPr>
        <w:pStyle w:val="69"/>
        <w:ind w:firstLine="64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甬城泊车路侧泊车位指</w:t>
      </w:r>
      <w:r>
        <w:rPr>
          <w:color w:val="000000" w:themeColor="text1"/>
          <w:kern w:val="0"/>
          <w14:textFill>
            <w14:solidFill>
              <w14:schemeClr w14:val="tx1"/>
            </w14:solidFill>
          </w14:textFill>
        </w:rPr>
        <w:t>使用路边停车泊位停放车辆的行为</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是路外停车的一种有效的补充，能够起到调节城市</w:t>
      </w:r>
      <w:r>
        <w:fldChar w:fldCharType="begin"/>
      </w:r>
      <w:r>
        <w:instrText xml:space="preserve"> HYPERLINK "https://baike.baidu.com/item/%E5%81%9C%E8%BD%A6%E5%9C%BA/5297627?fromModule=lemma_inlink" \t "_blank" </w:instrText>
      </w:r>
      <w:r>
        <w:fldChar w:fldCharType="separate"/>
      </w:r>
      <w:r>
        <w:rPr>
          <w:color w:val="000000" w:themeColor="text1"/>
          <w:kern w:val="0"/>
          <w14:textFill>
            <w14:solidFill>
              <w14:schemeClr w14:val="tx1"/>
            </w14:solidFill>
          </w14:textFill>
        </w:rPr>
        <w:t>停车场</w:t>
      </w:r>
      <w:r>
        <w:rPr>
          <w:color w:val="000000" w:themeColor="text1"/>
          <w:kern w:val="0"/>
          <w14:textFill>
            <w14:solidFill>
              <w14:schemeClr w14:val="tx1"/>
            </w14:solidFill>
          </w14:textFill>
        </w:rPr>
        <w:fldChar w:fldCharType="end"/>
      </w:r>
      <w:r>
        <w:rPr>
          <w:color w:val="000000" w:themeColor="text1"/>
          <w:kern w:val="0"/>
          <w14:textFill>
            <w14:solidFill>
              <w14:schemeClr w14:val="tx1"/>
            </w14:solidFill>
          </w14:textFill>
        </w:rPr>
        <w:t>布局的作用，可以弥补现有停车设施的不足。路侧停车在发挥</w:t>
      </w:r>
      <w:r>
        <w:fldChar w:fldCharType="begin"/>
      </w:r>
      <w:r>
        <w:instrText xml:space="preserve"> HYPERLINK "https://baike.baidu.com/item/%E5%9F%8E%E5%B8%82%E9%81%93%E8%B7%AF/2264297?fromModule=lemma_inlink" \t "_blank" </w:instrText>
      </w:r>
      <w:r>
        <w:fldChar w:fldCharType="separate"/>
      </w:r>
      <w:r>
        <w:rPr>
          <w:color w:val="000000" w:themeColor="text1"/>
          <w:kern w:val="0"/>
          <w14:textFill>
            <w14:solidFill>
              <w14:schemeClr w14:val="tx1"/>
            </w14:solidFill>
          </w14:textFill>
        </w:rPr>
        <w:t>城市道路</w:t>
      </w:r>
      <w:r>
        <w:rPr>
          <w:color w:val="000000" w:themeColor="text1"/>
          <w:kern w:val="0"/>
          <w14:textFill>
            <w14:solidFill>
              <w14:schemeClr w14:val="tx1"/>
            </w14:solidFill>
          </w14:textFill>
        </w:rPr>
        <w:fldChar w:fldCharType="end"/>
      </w:r>
      <w:r>
        <w:rPr>
          <w:color w:val="000000" w:themeColor="text1"/>
          <w:kern w:val="0"/>
          <w14:textFill>
            <w14:solidFill>
              <w14:schemeClr w14:val="tx1"/>
            </w14:solidFill>
          </w14:textFill>
        </w:rPr>
        <w:t>剩余空间作用的同时，又起到了将停车位弹性化的作用。将充电设施覆盖入路侧泊车位</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不仅方便市民使用</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也是解决周边充电设施布局难的有效思路</w:t>
      </w:r>
      <w:r>
        <w:rPr>
          <w:rFonts w:hint="eastAsia"/>
          <w:color w:val="000000" w:themeColor="text1"/>
          <w:kern w:val="0"/>
          <w14:textFill>
            <w14:solidFill>
              <w14:schemeClr w14:val="tx1"/>
            </w14:solidFill>
          </w14:textFill>
        </w:rPr>
        <w:t>。考虑</w:t>
      </w:r>
      <w:r>
        <w:rPr>
          <w:color w:val="000000" w:themeColor="text1"/>
          <w:kern w:val="0"/>
          <w14:textFill>
            <w14:solidFill>
              <w14:schemeClr w14:val="tx1"/>
            </w14:solidFill>
          </w14:textFill>
        </w:rPr>
        <w:t>甬城泊车位周边电网</w:t>
      </w:r>
      <w:r>
        <w:rPr>
          <w:rFonts w:hint="eastAsia"/>
          <w:color w:val="000000" w:themeColor="text1"/>
          <w:kern w:val="0"/>
          <w14:textFill>
            <w14:solidFill>
              <w14:schemeClr w14:val="tx1"/>
            </w14:solidFill>
          </w14:textFill>
        </w:rPr>
        <w:t>压力</w:t>
      </w:r>
      <w:r>
        <w:rPr>
          <w:color w:val="000000" w:themeColor="text1"/>
          <w:kern w:val="0"/>
          <w14:textFill>
            <w14:solidFill>
              <w14:schemeClr w14:val="tx1"/>
            </w14:solidFill>
          </w14:textFill>
        </w:rPr>
        <w:t>、用电安全</w:t>
      </w:r>
      <w:r>
        <w:rPr>
          <w:rFonts w:hint="eastAsia"/>
          <w:color w:val="000000" w:themeColor="text1"/>
          <w:kern w:val="0"/>
          <w:lang w:eastAsia="zh-CN"/>
          <w14:textFill>
            <w14:solidFill>
              <w14:schemeClr w14:val="tx1"/>
            </w14:solidFill>
          </w14:textFill>
        </w:rPr>
        <w:t>以及</w:t>
      </w:r>
      <w:r>
        <w:rPr>
          <w:color w:val="000000" w:themeColor="text1"/>
          <w:kern w:val="0"/>
          <w14:textFill>
            <w14:solidFill>
              <w14:schemeClr w14:val="tx1"/>
            </w14:solidFill>
          </w14:textFill>
        </w:rPr>
        <w:t>服务</w:t>
      </w:r>
      <w:r>
        <w:rPr>
          <w:rFonts w:hint="eastAsia"/>
          <w:color w:val="000000" w:themeColor="text1"/>
          <w:kern w:val="0"/>
          <w14:textFill>
            <w14:solidFill>
              <w14:schemeClr w14:val="tx1"/>
            </w14:solidFill>
          </w14:textFill>
        </w:rPr>
        <w:t>老旧</w:t>
      </w:r>
      <w:r>
        <w:rPr>
          <w:color w:val="000000" w:themeColor="text1"/>
          <w:kern w:val="0"/>
          <w14:textFill>
            <w14:solidFill>
              <w14:schemeClr w14:val="tx1"/>
            </w14:solidFill>
          </w14:textFill>
        </w:rPr>
        <w:t>小区为主的主要目的，建议以交流枪形式布设。</w:t>
      </w:r>
    </w:p>
    <w:p>
      <w:pPr>
        <w:pStyle w:val="69"/>
        <w:ind w:firstLine="640"/>
        <w:rPr>
          <w:color w:val="000000" w:themeColor="text1"/>
          <w:kern w:val="0"/>
          <w14:textFill>
            <w14:solidFill>
              <w14:schemeClr w14:val="tx1"/>
            </w14:solidFill>
          </w14:textFill>
        </w:rPr>
      </w:pPr>
      <w:r>
        <w:rPr>
          <w:rFonts w:hint="eastAsia"/>
          <w:color w:val="000000" w:themeColor="text1"/>
          <w:kern w:val="0"/>
          <w:lang w:eastAsia="zh-Hans"/>
          <w14:textFill>
            <w14:solidFill>
              <w14:schemeClr w14:val="tx1"/>
            </w14:solidFill>
          </w14:textFill>
        </w:rPr>
        <w:t>为缓解招宝山街道</w:t>
      </w:r>
      <w:r>
        <w:rPr>
          <w:color w:val="000000" w:themeColor="text1"/>
          <w:kern w:val="0"/>
          <w:lang w:eastAsia="zh-Hans"/>
          <w14:textFill>
            <w14:solidFill>
              <w14:schemeClr w14:val="tx1"/>
            </w14:solidFill>
          </w14:textFill>
        </w:rPr>
        <w:t>、</w:t>
      </w:r>
      <w:r>
        <w:rPr>
          <w:rFonts w:hint="eastAsia"/>
          <w:color w:val="000000" w:themeColor="text1"/>
          <w:kern w:val="0"/>
          <w:lang w:eastAsia="zh-Hans"/>
          <w14:textFill>
            <w14:solidFill>
              <w14:schemeClr w14:val="tx1"/>
            </w14:solidFill>
          </w14:textFill>
        </w:rPr>
        <w:t>蛟川街道</w:t>
      </w:r>
      <w:r>
        <w:rPr>
          <w:color w:val="000000" w:themeColor="text1"/>
          <w:kern w:val="0"/>
          <w:lang w:eastAsia="zh-Hans"/>
          <w14:textFill>
            <w14:solidFill>
              <w14:schemeClr w14:val="tx1"/>
            </w14:solidFill>
          </w14:textFill>
        </w:rPr>
        <w:t>、</w:t>
      </w:r>
      <w:r>
        <w:rPr>
          <w:rFonts w:hint="eastAsia"/>
          <w:color w:val="000000" w:themeColor="text1"/>
          <w:kern w:val="0"/>
          <w:lang w:eastAsia="zh-Hans"/>
          <w14:textFill>
            <w14:solidFill>
              <w14:schemeClr w14:val="tx1"/>
            </w14:solidFill>
          </w14:textFill>
        </w:rPr>
        <w:t>骆驼街道</w:t>
      </w:r>
      <w:r>
        <w:rPr>
          <w:color w:val="000000" w:themeColor="text1"/>
          <w:kern w:val="0"/>
          <w:lang w:eastAsia="zh-Hans"/>
          <w14:textFill>
            <w14:solidFill>
              <w14:schemeClr w14:val="tx1"/>
            </w14:solidFill>
          </w14:textFill>
        </w:rPr>
        <w:t>、</w:t>
      </w:r>
      <w:r>
        <w:rPr>
          <w:rFonts w:hint="eastAsia"/>
          <w:color w:val="000000" w:themeColor="text1"/>
          <w:kern w:val="0"/>
          <w:lang w:eastAsia="zh-Hans"/>
          <w14:textFill>
            <w14:solidFill>
              <w14:schemeClr w14:val="tx1"/>
            </w14:solidFill>
          </w14:textFill>
        </w:rPr>
        <w:t>庄市街道老旧小区</w:t>
      </w:r>
      <w:r>
        <w:rPr>
          <w:color w:val="000000" w:themeColor="text1"/>
          <w:kern w:val="0"/>
          <w:lang w:eastAsia="zh-Hans"/>
          <w14:textFill>
            <w14:solidFill>
              <w14:schemeClr w14:val="tx1"/>
            </w14:solidFill>
          </w14:textFill>
        </w:rPr>
        <w:t>（</w:t>
      </w:r>
      <w:r>
        <w:rPr>
          <w:rFonts w:hint="eastAsia"/>
          <w:color w:val="000000" w:themeColor="text1"/>
          <w:kern w:val="0"/>
          <w:lang w:eastAsia="zh-Hans"/>
          <w14:textFill>
            <w14:solidFill>
              <w14:schemeClr w14:val="tx1"/>
            </w14:solidFill>
          </w14:textFill>
        </w:rPr>
        <w:t>拆迁安置小区</w:t>
      </w:r>
      <w:r>
        <w:rPr>
          <w:color w:val="000000" w:themeColor="text1"/>
          <w:kern w:val="0"/>
          <w:lang w:eastAsia="zh-Hans"/>
          <w14:textFill>
            <w14:solidFill>
              <w14:schemeClr w14:val="tx1"/>
            </w14:solidFill>
          </w14:textFill>
        </w:rPr>
        <w:t>）</w:t>
      </w:r>
      <w:r>
        <w:rPr>
          <w:rFonts w:hint="eastAsia"/>
          <w:color w:val="000000" w:themeColor="text1"/>
          <w:kern w:val="0"/>
          <w:lang w:eastAsia="zh-Hans"/>
          <w14:textFill>
            <w14:solidFill>
              <w14:schemeClr w14:val="tx1"/>
            </w14:solidFill>
          </w14:textFill>
        </w:rPr>
        <w:t>充电压力</w:t>
      </w:r>
      <w:r>
        <w:rPr>
          <w:color w:val="000000" w:themeColor="text1"/>
          <w:kern w:val="0"/>
          <w:lang w:eastAsia="zh-Hans"/>
          <w14:textFill>
            <w14:solidFill>
              <w14:schemeClr w14:val="tx1"/>
            </w14:solidFill>
          </w14:textFill>
        </w:rPr>
        <w:t>，</w:t>
      </w:r>
      <w:r>
        <w:rPr>
          <w:rFonts w:hint="eastAsia"/>
          <w:color w:val="000000" w:themeColor="text1"/>
          <w:kern w:val="0"/>
          <w:lang w:eastAsia="zh-Hans"/>
          <w14:textFill>
            <w14:solidFill>
              <w14:schemeClr w14:val="tx1"/>
            </w14:solidFill>
          </w14:textFill>
        </w:rPr>
        <w:t>本次利用甬城泊车进行规划站点补充</w:t>
      </w:r>
      <w:r>
        <w:rPr>
          <w:color w:val="000000" w:themeColor="text1"/>
          <w:kern w:val="0"/>
          <w:lang w:eastAsia="zh-Hans"/>
          <w14:textFill>
            <w14:solidFill>
              <w14:schemeClr w14:val="tx1"/>
            </w14:solidFill>
          </w14:textFill>
        </w:rPr>
        <w:t>，</w:t>
      </w:r>
      <w:r>
        <w:rPr>
          <w:rFonts w:hint="eastAsia"/>
          <w:color w:val="000000" w:themeColor="text1"/>
          <w:kern w:val="0"/>
          <w14:textFill>
            <w14:solidFill>
              <w14:schemeClr w14:val="tx1"/>
            </w14:solidFill>
          </w14:textFill>
        </w:rPr>
        <w:t>共计规划</w:t>
      </w:r>
      <w:r>
        <w:rPr>
          <w:color w:val="000000" w:themeColor="text1"/>
          <w:kern w:val="0"/>
          <w14:textFill>
            <w14:solidFill>
              <w14:schemeClr w14:val="tx1"/>
            </w14:solidFill>
          </w14:textFill>
        </w:rPr>
        <w:t>80</w:t>
      </w:r>
      <w:r>
        <w:rPr>
          <w:rFonts w:hint="eastAsia"/>
          <w:color w:val="000000" w:themeColor="text1"/>
          <w:kern w:val="0"/>
          <w14:textFill>
            <w14:solidFill>
              <w14:schemeClr w14:val="tx1"/>
            </w14:solidFill>
          </w14:textFill>
        </w:rPr>
        <w:t>根甬城泊车位交流充电枪，</w:t>
      </w:r>
      <w:r>
        <w:rPr>
          <w:rFonts w:hint="eastAsia"/>
          <w:color w:val="000000" w:themeColor="text1"/>
          <w:kern w:val="0"/>
          <w:lang w:eastAsia="zh-Hans"/>
          <w14:textFill>
            <w14:solidFill>
              <w14:schemeClr w14:val="tx1"/>
            </w14:solidFill>
          </w14:textFill>
        </w:rPr>
        <w:t>其中</w:t>
      </w:r>
      <w:r>
        <w:rPr>
          <w:color w:val="000000" w:themeColor="text1"/>
          <w:kern w:val="0"/>
          <w:lang w:eastAsia="zh-Hans"/>
          <w14:textFill>
            <w14:solidFill>
              <w14:schemeClr w14:val="tx1"/>
            </w14:solidFill>
          </w14:textFill>
        </w:rPr>
        <w:t>，</w:t>
      </w:r>
      <w:r>
        <w:rPr>
          <w:rFonts w:hint="eastAsia"/>
          <w:color w:val="000000" w:themeColor="text1"/>
          <w:kern w:val="0"/>
          <w14:textFill>
            <w14:solidFill>
              <w14:schemeClr w14:val="tx1"/>
            </w14:solidFill>
          </w14:textFill>
        </w:rPr>
        <w:t>招宝山街道</w:t>
      </w:r>
      <w:r>
        <w:rPr>
          <w:rFonts w:hint="eastAsia"/>
          <w:color w:val="000000" w:themeColor="text1"/>
          <w:kern w:val="0"/>
          <w:lang w:eastAsia="zh-Hans"/>
          <w14:textFill>
            <w14:solidFill>
              <w14:schemeClr w14:val="tx1"/>
            </w14:solidFill>
          </w14:textFill>
        </w:rPr>
        <w:t>规划</w:t>
      </w:r>
      <w:r>
        <w:rPr>
          <w:color w:val="000000" w:themeColor="text1"/>
          <w:kern w:val="0"/>
          <w14:textFill>
            <w14:solidFill>
              <w14:schemeClr w14:val="tx1"/>
            </w14:solidFill>
          </w14:textFill>
        </w:rPr>
        <w:t>4</w:t>
      </w:r>
      <w:r>
        <w:rPr>
          <w:rFonts w:hint="eastAsia"/>
          <w:color w:val="000000" w:themeColor="text1"/>
          <w:kern w:val="0"/>
          <w14:textFill>
            <w14:solidFill>
              <w14:schemeClr w14:val="tx1"/>
            </w14:solidFill>
          </w14:textFill>
        </w:rPr>
        <w:t>处甬城泊车</w:t>
      </w:r>
      <w:r>
        <w:rPr>
          <w:rFonts w:hint="eastAsia"/>
          <w:color w:val="000000" w:themeColor="text1"/>
          <w:kern w:val="0"/>
          <w:lang w:eastAsia="zh-Hans"/>
          <w14:textFill>
            <w14:solidFill>
              <w14:schemeClr w14:val="tx1"/>
            </w14:solidFill>
          </w14:textFill>
        </w:rPr>
        <w:t>站点，</w:t>
      </w:r>
      <w:r>
        <w:rPr>
          <w:rFonts w:hint="eastAsia"/>
          <w:color w:val="000000" w:themeColor="text1"/>
          <w:kern w:val="0"/>
          <w14:textFill>
            <w14:solidFill>
              <w14:schemeClr w14:val="tx1"/>
            </w14:solidFill>
          </w14:textFill>
        </w:rPr>
        <w:t>蛟川街道规划3处甬城泊车站点，骆驼街道规划1处甬城泊车站点，庄市街道规划3处甬城泊车站点。</w:t>
      </w:r>
      <w:r>
        <w:rPr>
          <w:rFonts w:hint="eastAsia"/>
          <w:color w:val="000000" w:themeColor="text1"/>
          <w:kern w:val="0"/>
          <w14:textFill>
            <w14:solidFill>
              <w14:schemeClr w14:val="tx1"/>
            </w14:solidFill>
          </w14:textFill>
        </w:rPr>
        <w:br w:type="page"/>
      </w:r>
    </w:p>
    <w:p>
      <w:pPr>
        <w:pStyle w:val="69"/>
        <w:spacing w:before="156" w:line="240" w:lineRule="auto"/>
        <w:ind w:firstLine="198"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表</w:t>
      </w:r>
      <w:r>
        <w:rPr>
          <w:rFonts w:hint="eastAsia"/>
          <w:color w:val="000000" w:themeColor="text1"/>
          <w:sz w:val="24"/>
          <w14:textFill>
            <w14:solidFill>
              <w14:schemeClr w14:val="tx1"/>
            </w14:solidFill>
          </w14:textFill>
        </w:rPr>
        <w:t>6-10甬城泊车位充电规划表</w:t>
      </w:r>
    </w:p>
    <w:tbl>
      <w:tblPr>
        <w:tblStyle w:val="34"/>
        <w:tblW w:w="8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398"/>
        <w:gridCol w:w="1559"/>
        <w:gridCol w:w="2694"/>
        <w:gridCol w:w="1836"/>
        <w:gridCol w:w="7"/>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dxa"/>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序号</w:t>
            </w:r>
          </w:p>
        </w:tc>
        <w:tc>
          <w:tcPr>
            <w:tcW w:w="1398" w:type="dxa"/>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镇(街道)</w:t>
            </w:r>
          </w:p>
        </w:tc>
        <w:tc>
          <w:tcPr>
            <w:tcW w:w="1559" w:type="dxa"/>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村（社区）</w:t>
            </w:r>
          </w:p>
        </w:tc>
        <w:tc>
          <w:tcPr>
            <w:tcW w:w="2694" w:type="dxa"/>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站点名称</w:t>
            </w:r>
          </w:p>
        </w:tc>
        <w:tc>
          <w:tcPr>
            <w:tcW w:w="1843" w:type="dxa"/>
            <w:gridSpan w:val="2"/>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交流枪数量/根</w:t>
            </w:r>
          </w:p>
        </w:tc>
        <w:tc>
          <w:tcPr>
            <w:tcW w:w="761" w:type="dxa"/>
            <w:shd w:val="clear" w:color="auto" w:fill="auto"/>
            <w:vAlign w:val="center"/>
          </w:tcPr>
          <w:p>
            <w:pPr>
              <w:widowControl/>
              <w:jc w:val="center"/>
              <w:rPr>
                <w:rFonts w:ascii="仿宋_GB2312" w:hAnsi="宋体" w:eastAsia="仿宋_GB2312" w:cs="宋体"/>
                <w:b/>
                <w:color w:val="000000" w:themeColor="text1"/>
                <w:kern w:val="0"/>
                <w:sz w:val="24"/>
                <w:szCs w:val="24"/>
                <w:lang w:eastAsia="zh-Hans"/>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1</w:t>
            </w:r>
          </w:p>
        </w:tc>
        <w:tc>
          <w:tcPr>
            <w:tcW w:w="1398" w:type="dxa"/>
            <w:vMerge w:val="restart"/>
            <w:shd w:val="clear" w:color="auto" w:fill="auto"/>
            <w:vAlign w:val="center"/>
          </w:tcPr>
          <w:p>
            <w:pPr>
              <w:jc w:val="center"/>
              <w:rPr>
                <w:rFonts w:ascii="仿宋_GB2312" w:hAnsi="宋体" w:eastAsia="仿宋_GB2312" w:cs="宋体"/>
                <w:color w:val="000000" w:themeColor="text1"/>
                <w:kern w:val="0"/>
                <w:sz w:val="24"/>
                <w:szCs w:val="24"/>
                <w:lang w:eastAsia="zh-Hans"/>
                <w14:textFill>
                  <w14:solidFill>
                    <w14:schemeClr w14:val="tx1"/>
                  </w14:solidFill>
                </w14:textFill>
              </w:rPr>
            </w:pPr>
            <w:r>
              <w:rPr>
                <w:rFonts w:hint="eastAsia" w:ascii="仿宋_GB2312" w:hAnsi="宋体" w:eastAsia="仿宋_GB2312" w:cs="宋体"/>
                <w:color w:val="000000" w:themeColor="text1"/>
                <w:kern w:val="0"/>
                <w:sz w:val="24"/>
                <w:szCs w:val="24"/>
                <w:lang w:eastAsia="zh-Hans"/>
                <w14:textFill>
                  <w14:solidFill>
                    <w14:schemeClr w14:val="tx1"/>
                  </w14:solidFill>
                </w14:textFill>
              </w:rPr>
              <w:t>招宝山街道</w:t>
            </w:r>
          </w:p>
        </w:tc>
        <w:tc>
          <w:tcPr>
            <w:tcW w:w="1559"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后大街社区</w:t>
            </w:r>
          </w:p>
        </w:tc>
        <w:tc>
          <w:tcPr>
            <w:tcW w:w="2694"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聪园路甬城泊车充电站</w:t>
            </w:r>
          </w:p>
        </w:tc>
        <w:tc>
          <w:tcPr>
            <w:tcW w:w="1843"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61" w:type="dxa"/>
            <w:vMerge w:val="restart"/>
            <w:shd w:val="clear" w:color="auto" w:fill="auto"/>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2</w:t>
            </w:r>
          </w:p>
        </w:tc>
        <w:tc>
          <w:tcPr>
            <w:tcW w:w="1398" w:type="dxa"/>
            <w:vMerge w:val="continue"/>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559" w:type="dxa"/>
            <w:vMerge w:val="restart"/>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白龙社区</w:t>
            </w:r>
          </w:p>
        </w:tc>
        <w:tc>
          <w:tcPr>
            <w:tcW w:w="2694"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环城西路甬城泊车充电站</w:t>
            </w:r>
          </w:p>
        </w:tc>
        <w:tc>
          <w:tcPr>
            <w:tcW w:w="1843"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61" w:type="dxa"/>
            <w:vMerge w:val="continue"/>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3</w:t>
            </w:r>
          </w:p>
        </w:tc>
        <w:tc>
          <w:tcPr>
            <w:tcW w:w="1398"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1559"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694"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茗园路甬城泊车充电站</w:t>
            </w:r>
          </w:p>
        </w:tc>
        <w:tc>
          <w:tcPr>
            <w:tcW w:w="1843"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761"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4</w:t>
            </w:r>
          </w:p>
        </w:tc>
        <w:tc>
          <w:tcPr>
            <w:tcW w:w="1398"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1559"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694"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福龙路甬城泊车充电站</w:t>
            </w:r>
          </w:p>
        </w:tc>
        <w:tc>
          <w:tcPr>
            <w:tcW w:w="1843"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761"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5</w:t>
            </w:r>
          </w:p>
        </w:tc>
        <w:tc>
          <w:tcPr>
            <w:tcW w:w="1398" w:type="dxa"/>
            <w:vMerge w:val="restart"/>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蛟川街道</w:t>
            </w:r>
          </w:p>
        </w:tc>
        <w:tc>
          <w:tcPr>
            <w:tcW w:w="1559"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炼化社区</w:t>
            </w:r>
          </w:p>
        </w:tc>
        <w:tc>
          <w:tcPr>
            <w:tcW w:w="2694"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沿河路甬城泊车</w:t>
            </w:r>
          </w:p>
        </w:tc>
        <w:tc>
          <w:tcPr>
            <w:tcW w:w="1843"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61" w:type="dxa"/>
            <w:vMerge w:val="restart"/>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6</w:t>
            </w:r>
          </w:p>
        </w:tc>
        <w:tc>
          <w:tcPr>
            <w:tcW w:w="1398"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1559"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东信路社区</w:t>
            </w:r>
          </w:p>
        </w:tc>
        <w:tc>
          <w:tcPr>
            <w:tcW w:w="2694"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金锚路甬城泊车</w:t>
            </w:r>
          </w:p>
        </w:tc>
        <w:tc>
          <w:tcPr>
            <w:tcW w:w="1843"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61"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7</w:t>
            </w:r>
          </w:p>
        </w:tc>
        <w:tc>
          <w:tcPr>
            <w:tcW w:w="1398"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1559"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临江社区</w:t>
            </w:r>
          </w:p>
        </w:tc>
        <w:tc>
          <w:tcPr>
            <w:tcW w:w="2694"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临江路甬城泊车</w:t>
            </w:r>
          </w:p>
        </w:tc>
        <w:tc>
          <w:tcPr>
            <w:tcW w:w="1843"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761"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8</w:t>
            </w:r>
          </w:p>
        </w:tc>
        <w:tc>
          <w:tcPr>
            <w:tcW w:w="1398"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骆驼街道</w:t>
            </w:r>
          </w:p>
        </w:tc>
        <w:tc>
          <w:tcPr>
            <w:tcW w:w="1559"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南一社区</w:t>
            </w:r>
          </w:p>
        </w:tc>
        <w:tc>
          <w:tcPr>
            <w:tcW w:w="2694"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三五路甬城泊车充电站</w:t>
            </w:r>
          </w:p>
        </w:tc>
        <w:tc>
          <w:tcPr>
            <w:tcW w:w="1843"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18</w:t>
            </w:r>
          </w:p>
        </w:tc>
        <w:tc>
          <w:tcPr>
            <w:tcW w:w="761"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9</w:t>
            </w:r>
          </w:p>
        </w:tc>
        <w:tc>
          <w:tcPr>
            <w:tcW w:w="1398" w:type="dxa"/>
            <w:vMerge w:val="restart"/>
            <w:shd w:val="clear" w:color="auto" w:fill="auto"/>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庄市街道</w:t>
            </w:r>
          </w:p>
        </w:tc>
        <w:tc>
          <w:tcPr>
            <w:tcW w:w="1559"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锦绣社区</w:t>
            </w:r>
          </w:p>
        </w:tc>
        <w:tc>
          <w:tcPr>
            <w:tcW w:w="2694"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聚兴路甬城泊车充电站</w:t>
            </w:r>
          </w:p>
        </w:tc>
        <w:tc>
          <w:tcPr>
            <w:tcW w:w="1843"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761" w:type="dxa"/>
            <w:vMerge w:val="restart"/>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r>
              <w:rPr>
                <w:rFonts w:ascii="仿宋_GB2312" w:hAnsi="宋体" w:eastAsia="仿宋_GB2312" w:cs="宋体"/>
                <w:color w:val="000000" w:themeColor="text1"/>
                <w:kern w:val="0"/>
                <w:sz w:val="24"/>
                <w:szCs w:val="24"/>
                <w14:textFill>
                  <w14:solidFill>
                    <w14:schemeClr w14:val="tx1"/>
                  </w14:solidFill>
                </w14:textFill>
              </w:rPr>
              <w:t>0</w:t>
            </w:r>
          </w:p>
        </w:tc>
        <w:tc>
          <w:tcPr>
            <w:tcW w:w="1398" w:type="dxa"/>
            <w:vMerge w:val="continue"/>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c>
          <w:tcPr>
            <w:tcW w:w="1559"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中兴社区</w:t>
            </w:r>
          </w:p>
        </w:tc>
        <w:tc>
          <w:tcPr>
            <w:tcW w:w="2694"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兴庄路中兴小区周边甬城泊车</w:t>
            </w:r>
          </w:p>
        </w:tc>
        <w:tc>
          <w:tcPr>
            <w:tcW w:w="1843"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761" w:type="dxa"/>
            <w:vMerge w:val="continue"/>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r>
              <w:rPr>
                <w:rFonts w:ascii="仿宋_GB2312" w:hAnsi="宋体" w:eastAsia="仿宋_GB2312" w:cs="宋体"/>
                <w:color w:val="000000" w:themeColor="text1"/>
                <w:kern w:val="0"/>
                <w:sz w:val="24"/>
                <w:szCs w:val="24"/>
                <w14:textFill>
                  <w14:solidFill>
                    <w14:schemeClr w14:val="tx1"/>
                  </w14:solidFill>
                </w14:textFill>
              </w:rPr>
              <w:t>1</w:t>
            </w:r>
          </w:p>
        </w:tc>
        <w:tc>
          <w:tcPr>
            <w:tcW w:w="1398"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1559"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兴庄路社区</w:t>
            </w:r>
          </w:p>
        </w:tc>
        <w:tc>
          <w:tcPr>
            <w:tcW w:w="2694" w:type="dxa"/>
            <w:shd w:val="clear" w:color="auto" w:fill="auto"/>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兴庄路西陆小区周边甬城泊车</w:t>
            </w:r>
          </w:p>
        </w:tc>
        <w:tc>
          <w:tcPr>
            <w:tcW w:w="1843"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761"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1" w:type="dxa"/>
            <w:gridSpan w:val="5"/>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合计</w:t>
            </w:r>
          </w:p>
        </w:tc>
        <w:tc>
          <w:tcPr>
            <w:tcW w:w="768"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80</w:t>
            </w:r>
          </w:p>
        </w:tc>
      </w:tr>
    </w:tbl>
    <w:p>
      <w:pPr>
        <w:pStyle w:val="67"/>
        <w:rPr>
          <w:color w:val="000000" w:themeColor="text1"/>
          <w:lang w:eastAsia="zh-Hans"/>
          <w14:textFill>
            <w14:solidFill>
              <w14:schemeClr w14:val="tx1"/>
            </w14:solidFill>
          </w14:textFill>
        </w:rPr>
      </w:pPr>
      <w:bookmarkStart w:id="33" w:name="_Toc22824"/>
      <w:r>
        <w:rPr>
          <w:color w:val="000000" w:themeColor="text1"/>
          <w14:textFill>
            <w14:solidFill>
              <w14:schemeClr w14:val="tx1"/>
            </w14:solidFill>
          </w14:textFill>
        </w:rPr>
        <w:t>6</w:t>
      </w:r>
      <w:r>
        <w:rPr>
          <w:rFonts w:hint="eastAsia"/>
          <w:color w:val="000000" w:themeColor="text1"/>
          <w:lang w:eastAsia="zh-Hans"/>
          <w14:textFill>
            <w14:solidFill>
              <w14:schemeClr w14:val="tx1"/>
            </w14:solidFill>
          </w14:textFill>
        </w:rPr>
        <w:t>.</w:t>
      </w:r>
      <w:r>
        <w:rPr>
          <w:color w:val="000000" w:themeColor="text1"/>
          <w:lang w:eastAsia="zh-Hans"/>
          <w14:textFill>
            <w14:solidFill>
              <w14:schemeClr w14:val="tx1"/>
            </w14:solidFill>
          </w14:textFill>
        </w:rPr>
        <w:t>3</w:t>
      </w:r>
      <w:r>
        <w:rPr>
          <w:rFonts w:hint="eastAsia"/>
          <w:color w:val="000000" w:themeColor="text1"/>
          <w:lang w:eastAsia="zh-Hans"/>
          <w14:textFill>
            <w14:solidFill>
              <w14:schemeClr w14:val="tx1"/>
            </w14:solidFill>
          </w14:textFill>
        </w:rPr>
        <w:t>.</w:t>
      </w:r>
      <w:r>
        <w:rPr>
          <w:color w:val="000000" w:themeColor="text1"/>
          <w:lang w:eastAsia="zh-Hans"/>
          <w14:textFill>
            <w14:solidFill>
              <w14:schemeClr w14:val="tx1"/>
            </w14:solidFill>
          </w14:textFill>
        </w:rPr>
        <w:t>3</w:t>
      </w:r>
      <w:r>
        <w:rPr>
          <w:rFonts w:hint="eastAsia"/>
          <w:color w:val="000000" w:themeColor="text1"/>
          <w:lang w:eastAsia="zh-Hans"/>
          <w14:textFill>
            <w14:solidFill>
              <w14:schemeClr w14:val="tx1"/>
            </w14:solidFill>
          </w14:textFill>
        </w:rPr>
        <w:t>国省道充电规划</w:t>
      </w:r>
    </w:p>
    <w:p>
      <w:pPr>
        <w:ind w:firstLine="640" w:firstLineChars="200"/>
        <w:rPr>
          <w:rFonts w:ascii="Times New Roman" w:hAnsi="Times New Roman" w:eastAsia="仿宋_GB2312" w:cs="Times New Roman"/>
          <w:color w:val="000000" w:themeColor="text1"/>
          <w:kern w:val="0"/>
          <w:sz w:val="32"/>
          <w:szCs w:val="28"/>
          <w:lang w:eastAsia="zh-Hans"/>
          <w14:textFill>
            <w14:solidFill>
              <w14:schemeClr w14:val="tx1"/>
            </w14:solidFill>
          </w14:textFill>
        </w:rPr>
      </w:pPr>
      <w:r>
        <w:rPr>
          <w:rFonts w:hint="eastAsia" w:ascii="Times New Roman" w:hAnsi="Times New Roman" w:eastAsia="仿宋_GB2312" w:cs="Times New Roman"/>
          <w:color w:val="000000" w:themeColor="text1"/>
          <w:kern w:val="0"/>
          <w:sz w:val="32"/>
          <w:szCs w:val="28"/>
          <w:lang w:eastAsia="zh-Hans"/>
          <w14:textFill>
            <w14:solidFill>
              <w14:schemeClr w14:val="tx1"/>
            </w14:solidFill>
          </w14:textFill>
        </w:rPr>
        <w:t>为提高镇海区国省道周边充电设施覆盖</w:t>
      </w:r>
      <w:r>
        <w:rPr>
          <w:rFonts w:ascii="Times New Roman" w:hAnsi="Times New Roman" w:eastAsia="仿宋_GB2312" w:cs="Times New Roman"/>
          <w:color w:val="000000" w:themeColor="text1"/>
          <w:kern w:val="0"/>
          <w:sz w:val="32"/>
          <w:szCs w:val="28"/>
          <w:lang w:eastAsia="zh-Hans"/>
          <w14:textFill>
            <w14:solidFill>
              <w14:schemeClr w14:val="tx1"/>
            </w14:solidFill>
          </w14:textFill>
        </w:rPr>
        <w:t>，</w:t>
      </w:r>
      <w:r>
        <w:rPr>
          <w:rFonts w:hint="eastAsia" w:ascii="Times New Roman" w:hAnsi="Times New Roman" w:eastAsia="仿宋_GB2312" w:cs="Times New Roman"/>
          <w:color w:val="000000" w:themeColor="text1"/>
          <w:kern w:val="0"/>
          <w:sz w:val="32"/>
          <w:szCs w:val="28"/>
          <w:lang w:eastAsia="zh-Hans"/>
          <w14:textFill>
            <w14:solidFill>
              <w14:schemeClr w14:val="tx1"/>
            </w14:solidFill>
          </w14:textFill>
        </w:rPr>
        <w:t>于庄俞北路超限运输检测站拟建直流枪</w:t>
      </w:r>
      <w:r>
        <w:rPr>
          <w:rFonts w:ascii="Times New Roman" w:hAnsi="Times New Roman" w:eastAsia="仿宋_GB2312" w:cs="Times New Roman"/>
          <w:color w:val="000000" w:themeColor="text1"/>
          <w:kern w:val="0"/>
          <w:sz w:val="32"/>
          <w:szCs w:val="28"/>
          <w:lang w:eastAsia="zh-Hans"/>
          <w14:textFill>
            <w14:solidFill>
              <w14:schemeClr w14:val="tx1"/>
            </w14:solidFill>
          </w14:textFill>
        </w:rPr>
        <w:t>4</w:t>
      </w:r>
      <w:r>
        <w:rPr>
          <w:rFonts w:hint="eastAsia" w:ascii="Times New Roman" w:hAnsi="Times New Roman" w:eastAsia="仿宋_GB2312" w:cs="Times New Roman"/>
          <w:color w:val="000000" w:themeColor="text1"/>
          <w:kern w:val="0"/>
          <w:sz w:val="32"/>
          <w:szCs w:val="28"/>
          <w:lang w:eastAsia="zh-Hans"/>
          <w14:textFill>
            <w14:solidFill>
              <w14:schemeClr w14:val="tx1"/>
            </w14:solidFill>
          </w14:textFill>
        </w:rPr>
        <w:t>根</w:t>
      </w:r>
      <w:r>
        <w:rPr>
          <w:rFonts w:ascii="Times New Roman" w:hAnsi="Times New Roman" w:eastAsia="仿宋_GB2312" w:cs="Times New Roman"/>
          <w:color w:val="000000" w:themeColor="text1"/>
          <w:kern w:val="0"/>
          <w:sz w:val="32"/>
          <w:szCs w:val="28"/>
          <w:lang w:eastAsia="zh-Hans"/>
          <w14:textFill>
            <w14:solidFill>
              <w14:schemeClr w14:val="tx1"/>
            </w14:solidFill>
          </w14:textFill>
        </w:rPr>
        <w:t>，</w:t>
      </w:r>
      <w:r>
        <w:rPr>
          <w:rFonts w:hint="eastAsia" w:ascii="Times New Roman" w:hAnsi="Times New Roman" w:eastAsia="仿宋_GB2312" w:cs="Times New Roman"/>
          <w:color w:val="000000" w:themeColor="text1"/>
          <w:kern w:val="0"/>
          <w:sz w:val="32"/>
          <w:szCs w:val="28"/>
          <w:lang w:eastAsia="zh-Hans"/>
          <w14:textFill>
            <w14:solidFill>
              <w14:schemeClr w14:val="tx1"/>
            </w14:solidFill>
          </w14:textFill>
        </w:rPr>
        <w:t>于慈海北路骆驼服务站拟建直流枪</w:t>
      </w:r>
      <w:r>
        <w:rPr>
          <w:rFonts w:ascii="Times New Roman" w:hAnsi="Times New Roman" w:eastAsia="仿宋_GB2312" w:cs="Times New Roman"/>
          <w:color w:val="000000" w:themeColor="text1"/>
          <w:kern w:val="0"/>
          <w:sz w:val="32"/>
          <w:szCs w:val="28"/>
          <w:lang w:eastAsia="zh-Hans"/>
          <w14:textFill>
            <w14:solidFill>
              <w14:schemeClr w14:val="tx1"/>
            </w14:solidFill>
          </w14:textFill>
        </w:rPr>
        <w:t>3</w:t>
      </w:r>
      <w:r>
        <w:rPr>
          <w:rFonts w:hint="eastAsia" w:ascii="Times New Roman" w:hAnsi="Times New Roman" w:eastAsia="仿宋_GB2312" w:cs="Times New Roman"/>
          <w:color w:val="000000" w:themeColor="text1"/>
          <w:kern w:val="0"/>
          <w:sz w:val="32"/>
          <w:szCs w:val="28"/>
          <w:lang w:eastAsia="zh-Hans"/>
          <w14:textFill>
            <w14:solidFill>
              <w14:schemeClr w14:val="tx1"/>
            </w14:solidFill>
          </w14:textFill>
        </w:rPr>
        <w:t>根</w:t>
      </w:r>
      <w:r>
        <w:rPr>
          <w:rFonts w:ascii="Times New Roman" w:hAnsi="Times New Roman" w:eastAsia="仿宋_GB2312" w:cs="Times New Roman"/>
          <w:color w:val="000000" w:themeColor="text1"/>
          <w:kern w:val="0"/>
          <w:sz w:val="32"/>
          <w:szCs w:val="28"/>
          <w:lang w:eastAsia="zh-Hans"/>
          <w14:textFill>
            <w14:solidFill>
              <w14:schemeClr w14:val="tx1"/>
            </w14:solidFill>
          </w14:textFill>
        </w:rPr>
        <w:t>。</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lang w:eastAsia="zh-Hans"/>
          <w14:textFill>
            <w14:solidFill>
              <w14:schemeClr w14:val="tx1"/>
            </w14:solidFill>
          </w14:textFill>
        </w:rPr>
        <w:t>表</w:t>
      </w:r>
      <w:r>
        <w:rPr>
          <w:color w:val="000000" w:themeColor="text1"/>
          <w:sz w:val="24"/>
          <w:lang w:eastAsia="zh-Hans"/>
          <w14:textFill>
            <w14:solidFill>
              <w14:schemeClr w14:val="tx1"/>
            </w14:solidFill>
          </w14:textFill>
        </w:rPr>
        <w:t>6-11</w:t>
      </w:r>
      <w:r>
        <w:rPr>
          <w:rFonts w:hint="eastAsia"/>
          <w:color w:val="000000" w:themeColor="text1"/>
          <w:sz w:val="24"/>
          <w:lang w:eastAsia="zh-Hans"/>
          <w14:textFill>
            <w14:solidFill>
              <w14:schemeClr w14:val="tx1"/>
            </w14:solidFill>
          </w14:textFill>
        </w:rPr>
        <w:t>国省道充电规划表</w:t>
      </w:r>
    </w:p>
    <w:tbl>
      <w:tblPr>
        <w:tblStyle w:val="34"/>
        <w:tblW w:w="8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398"/>
        <w:gridCol w:w="1559"/>
        <w:gridCol w:w="2694"/>
        <w:gridCol w:w="1836"/>
        <w:gridCol w:w="7"/>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94" w:type="dxa"/>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序号</w:t>
            </w:r>
          </w:p>
        </w:tc>
        <w:tc>
          <w:tcPr>
            <w:tcW w:w="1398" w:type="dxa"/>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镇(街道)</w:t>
            </w:r>
          </w:p>
        </w:tc>
        <w:tc>
          <w:tcPr>
            <w:tcW w:w="1559" w:type="dxa"/>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村（社区）</w:t>
            </w:r>
          </w:p>
        </w:tc>
        <w:tc>
          <w:tcPr>
            <w:tcW w:w="2694" w:type="dxa"/>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站点名称</w:t>
            </w:r>
          </w:p>
        </w:tc>
        <w:tc>
          <w:tcPr>
            <w:tcW w:w="1843" w:type="dxa"/>
            <w:gridSpan w:val="2"/>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lang w:eastAsia="zh-Hans"/>
                <w14:textFill>
                  <w14:solidFill>
                    <w14:schemeClr w14:val="tx1"/>
                  </w14:solidFill>
                </w14:textFill>
              </w:rPr>
              <w:t>直</w:t>
            </w:r>
            <w:r>
              <w:rPr>
                <w:rFonts w:hint="eastAsia" w:ascii="仿宋_GB2312" w:hAnsi="宋体" w:eastAsia="仿宋_GB2312" w:cs="宋体"/>
                <w:b/>
                <w:color w:val="000000" w:themeColor="text1"/>
                <w:kern w:val="0"/>
                <w:sz w:val="24"/>
                <w:szCs w:val="24"/>
                <w14:textFill>
                  <w14:solidFill>
                    <w14:schemeClr w14:val="tx1"/>
                  </w14:solidFill>
                </w14:textFill>
              </w:rPr>
              <w:t>流枪数量/根</w:t>
            </w:r>
          </w:p>
        </w:tc>
        <w:tc>
          <w:tcPr>
            <w:tcW w:w="761" w:type="dxa"/>
            <w:shd w:val="clear" w:color="auto" w:fill="auto"/>
            <w:vAlign w:val="center"/>
          </w:tcPr>
          <w:p>
            <w:pPr>
              <w:widowControl/>
              <w:jc w:val="center"/>
              <w:rPr>
                <w:rFonts w:ascii="仿宋_GB2312" w:hAnsi="宋体" w:eastAsia="仿宋_GB2312" w:cs="宋体"/>
                <w:b/>
                <w:color w:val="000000" w:themeColor="text1"/>
                <w:kern w:val="0"/>
                <w:sz w:val="24"/>
                <w:szCs w:val="24"/>
                <w:lang w:eastAsia="zh-Hans"/>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1398" w:type="dxa"/>
            <w:shd w:val="clear" w:color="auto" w:fill="auto"/>
            <w:vAlign w:val="center"/>
          </w:tcPr>
          <w:p>
            <w:pPr>
              <w:jc w:val="center"/>
              <w:rPr>
                <w:rFonts w:ascii="仿宋_GB2312" w:hAnsi="宋体" w:eastAsia="仿宋_GB2312" w:cs="宋体"/>
                <w:color w:val="000000" w:themeColor="text1"/>
                <w:kern w:val="0"/>
                <w:sz w:val="24"/>
                <w:szCs w:val="24"/>
                <w:lang w:eastAsia="zh-Hans"/>
                <w14:textFill>
                  <w14:solidFill>
                    <w14:schemeClr w14:val="tx1"/>
                  </w14:solidFill>
                </w14:textFill>
              </w:rPr>
            </w:pPr>
            <w:r>
              <w:rPr>
                <w:rFonts w:hint="eastAsia" w:ascii="仿宋_GB2312" w:hAnsi="宋体" w:eastAsia="仿宋_GB2312" w:cs="宋体"/>
                <w:color w:val="000000" w:themeColor="text1"/>
                <w:kern w:val="0"/>
                <w:sz w:val="24"/>
                <w:szCs w:val="24"/>
                <w:lang w:eastAsia="zh-Hans"/>
                <w14:textFill>
                  <w14:solidFill>
                    <w14:schemeClr w14:val="tx1"/>
                  </w14:solidFill>
                </w14:textFill>
              </w:rPr>
              <w:t>蛟川街道</w:t>
            </w:r>
          </w:p>
        </w:tc>
        <w:tc>
          <w:tcPr>
            <w:tcW w:w="1559" w:type="dxa"/>
            <w:shd w:val="clear" w:color="auto" w:fill="auto"/>
            <w:vAlign w:val="center"/>
          </w:tcPr>
          <w:p>
            <w:pPr>
              <w:widowControl/>
              <w:jc w:val="center"/>
              <w:rPr>
                <w:rFonts w:ascii="仿宋_GB2312" w:hAnsi="宋体" w:eastAsia="仿宋_GB2312" w:cs="宋体"/>
                <w:color w:val="000000" w:themeColor="text1"/>
                <w:kern w:val="0"/>
                <w:sz w:val="24"/>
                <w:szCs w:val="24"/>
                <w:lang w:eastAsia="zh-Hans"/>
                <w14:textFill>
                  <w14:solidFill>
                    <w14:schemeClr w14:val="tx1"/>
                  </w14:solidFill>
                </w14:textFill>
              </w:rPr>
            </w:pPr>
            <w:r>
              <w:rPr>
                <w:rFonts w:hint="eastAsia" w:ascii="仿宋_GB2312" w:hAnsi="宋体" w:eastAsia="仿宋_GB2312" w:cs="宋体"/>
                <w:color w:val="000000" w:themeColor="text1"/>
                <w:kern w:val="0"/>
                <w:sz w:val="24"/>
                <w:szCs w:val="24"/>
                <w:lang w:eastAsia="zh-Hans"/>
                <w14:textFill>
                  <w14:solidFill>
                    <w14:schemeClr w14:val="tx1"/>
                  </w14:solidFill>
                </w14:textFill>
              </w:rPr>
              <w:t>陈家村</w:t>
            </w:r>
          </w:p>
        </w:tc>
        <w:tc>
          <w:tcPr>
            <w:tcW w:w="2694" w:type="dxa"/>
            <w:shd w:val="clear" w:color="auto" w:fill="auto"/>
            <w:vAlign w:val="center"/>
          </w:tcPr>
          <w:p>
            <w:pPr>
              <w:widowControl/>
              <w:jc w:val="left"/>
              <w:rPr>
                <w:rFonts w:ascii="仿宋_GB2312" w:hAnsi="宋体" w:eastAsia="仿宋_GB2312" w:cs="宋体"/>
                <w:color w:val="000000" w:themeColor="text1"/>
                <w:kern w:val="0"/>
                <w:sz w:val="24"/>
                <w:szCs w:val="24"/>
                <w:lang w:eastAsia="zh-Hans"/>
                <w14:textFill>
                  <w14:solidFill>
                    <w14:schemeClr w14:val="tx1"/>
                  </w14:solidFill>
                </w14:textFill>
              </w:rPr>
            </w:pPr>
            <w:r>
              <w:rPr>
                <w:rFonts w:hint="eastAsia" w:ascii="仿宋_GB2312" w:hAnsi="宋体" w:eastAsia="仿宋_GB2312" w:cs="宋体"/>
                <w:color w:val="000000" w:themeColor="text1"/>
                <w:kern w:val="0"/>
                <w:sz w:val="24"/>
                <w:szCs w:val="24"/>
                <w:lang w:eastAsia="zh-Hans"/>
                <w14:textFill>
                  <w14:solidFill>
                    <w14:schemeClr w14:val="tx1"/>
                  </w14:solidFill>
                </w14:textFill>
              </w:rPr>
              <w:t>超限运输检测站</w:t>
            </w:r>
          </w:p>
        </w:tc>
        <w:tc>
          <w:tcPr>
            <w:tcW w:w="1843"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4</w:t>
            </w:r>
          </w:p>
        </w:tc>
        <w:tc>
          <w:tcPr>
            <w:tcW w:w="761" w:type="dxa"/>
            <w:shd w:val="clear" w:color="auto" w:fill="auto"/>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9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2</w:t>
            </w:r>
          </w:p>
        </w:tc>
        <w:tc>
          <w:tcPr>
            <w:tcW w:w="1398" w:type="dxa"/>
            <w:shd w:val="clear" w:color="auto" w:fill="auto"/>
            <w:vAlign w:val="center"/>
          </w:tcPr>
          <w:p>
            <w:pPr>
              <w:widowControl/>
              <w:jc w:val="center"/>
              <w:rPr>
                <w:rFonts w:ascii="仿宋_GB2312" w:hAnsi="宋体" w:eastAsia="仿宋_GB2312" w:cs="宋体"/>
                <w:color w:val="000000" w:themeColor="text1"/>
                <w:kern w:val="0"/>
                <w:sz w:val="24"/>
                <w:szCs w:val="24"/>
                <w:lang w:eastAsia="zh-Hans"/>
                <w14:textFill>
                  <w14:solidFill>
                    <w14:schemeClr w14:val="tx1"/>
                  </w14:solidFill>
                </w14:textFill>
              </w:rPr>
            </w:pPr>
            <w:r>
              <w:rPr>
                <w:rFonts w:hint="eastAsia" w:ascii="仿宋_GB2312" w:hAnsi="宋体" w:eastAsia="仿宋_GB2312" w:cs="宋体"/>
                <w:color w:val="000000" w:themeColor="text1"/>
                <w:kern w:val="0"/>
                <w:sz w:val="24"/>
                <w:szCs w:val="24"/>
                <w:lang w:eastAsia="zh-Hans"/>
                <w14:textFill>
                  <w14:solidFill>
                    <w14:schemeClr w14:val="tx1"/>
                  </w14:solidFill>
                </w14:textFill>
              </w:rPr>
              <w:t>骆驼街道</w:t>
            </w:r>
          </w:p>
        </w:tc>
        <w:tc>
          <w:tcPr>
            <w:tcW w:w="1559" w:type="dxa"/>
            <w:shd w:val="clear" w:color="auto" w:fill="auto"/>
            <w:vAlign w:val="center"/>
          </w:tcPr>
          <w:p>
            <w:pPr>
              <w:widowControl/>
              <w:jc w:val="center"/>
              <w:rPr>
                <w:rFonts w:ascii="仿宋_GB2312" w:hAnsi="宋体" w:eastAsia="仿宋_GB2312" w:cs="宋体"/>
                <w:color w:val="000000" w:themeColor="text1"/>
                <w:kern w:val="0"/>
                <w:sz w:val="24"/>
                <w:szCs w:val="24"/>
                <w:lang w:eastAsia="zh-Hans"/>
                <w14:textFill>
                  <w14:solidFill>
                    <w14:schemeClr w14:val="tx1"/>
                  </w14:solidFill>
                </w14:textFill>
              </w:rPr>
            </w:pPr>
            <w:r>
              <w:rPr>
                <w:rFonts w:hint="eastAsia" w:ascii="仿宋_GB2312" w:hAnsi="宋体" w:eastAsia="仿宋_GB2312" w:cs="宋体"/>
                <w:color w:val="000000" w:themeColor="text1"/>
                <w:kern w:val="0"/>
                <w:sz w:val="24"/>
                <w:szCs w:val="24"/>
                <w:lang w:eastAsia="zh-Hans"/>
                <w14:textFill>
                  <w14:solidFill>
                    <w14:schemeClr w14:val="tx1"/>
                  </w14:solidFill>
                </w14:textFill>
              </w:rPr>
              <w:t>朝阳村</w:t>
            </w:r>
          </w:p>
        </w:tc>
        <w:tc>
          <w:tcPr>
            <w:tcW w:w="2694" w:type="dxa"/>
            <w:shd w:val="clear" w:color="auto" w:fill="auto"/>
            <w:vAlign w:val="center"/>
          </w:tcPr>
          <w:p>
            <w:pPr>
              <w:widowControl/>
              <w:jc w:val="left"/>
              <w:rPr>
                <w:rFonts w:ascii="仿宋_GB2312" w:hAnsi="宋体" w:eastAsia="仿宋_GB2312" w:cs="宋体"/>
                <w:color w:val="000000" w:themeColor="text1"/>
                <w:kern w:val="0"/>
                <w:sz w:val="24"/>
                <w:szCs w:val="24"/>
                <w:lang w:eastAsia="zh-Hans"/>
                <w14:textFill>
                  <w14:solidFill>
                    <w14:schemeClr w14:val="tx1"/>
                  </w14:solidFill>
                </w14:textFill>
              </w:rPr>
            </w:pPr>
            <w:r>
              <w:rPr>
                <w:rFonts w:hint="eastAsia" w:ascii="仿宋_GB2312" w:hAnsi="宋体" w:eastAsia="仿宋_GB2312" w:cs="宋体"/>
                <w:color w:val="000000" w:themeColor="text1"/>
                <w:kern w:val="0"/>
                <w:sz w:val="24"/>
                <w:szCs w:val="24"/>
                <w:lang w:eastAsia="zh-Hans"/>
                <w14:textFill>
                  <w14:solidFill>
                    <w14:schemeClr w14:val="tx1"/>
                  </w14:solidFill>
                </w14:textFill>
              </w:rPr>
              <w:t>骆驼服务站</w:t>
            </w:r>
          </w:p>
        </w:tc>
        <w:tc>
          <w:tcPr>
            <w:tcW w:w="1843"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3</w:t>
            </w:r>
          </w:p>
        </w:tc>
        <w:tc>
          <w:tcPr>
            <w:tcW w:w="761"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181" w:type="dxa"/>
            <w:gridSpan w:val="5"/>
            <w:shd w:val="clear" w:color="auto" w:fill="auto"/>
            <w:noWrap/>
            <w:vAlign w:val="center"/>
          </w:tcPr>
          <w:p>
            <w:pPr>
              <w:widowControl/>
              <w:jc w:val="center"/>
              <w:rPr>
                <w:rFonts w:ascii="仿宋_GB2312" w:hAnsi="宋体" w:eastAsia="仿宋_GB2312" w:cs="宋体"/>
                <w:color w:val="000000" w:themeColor="text1"/>
                <w:kern w:val="0"/>
                <w:sz w:val="24"/>
                <w:szCs w:val="24"/>
                <w:lang w:eastAsia="zh-Hans"/>
                <w14:textFill>
                  <w14:solidFill>
                    <w14:schemeClr w14:val="tx1"/>
                  </w14:solidFill>
                </w14:textFill>
              </w:rPr>
            </w:pPr>
            <w:r>
              <w:rPr>
                <w:rFonts w:hint="eastAsia" w:ascii="仿宋_GB2312" w:hAnsi="宋体" w:eastAsia="仿宋_GB2312" w:cs="宋体"/>
                <w:color w:val="000000" w:themeColor="text1"/>
                <w:kern w:val="0"/>
                <w:sz w:val="24"/>
                <w:szCs w:val="24"/>
                <w:lang w:eastAsia="zh-Hans"/>
                <w14:textFill>
                  <w14:solidFill>
                    <w14:schemeClr w14:val="tx1"/>
                  </w14:solidFill>
                </w14:textFill>
              </w:rPr>
              <w:t>合计</w:t>
            </w:r>
          </w:p>
        </w:tc>
        <w:tc>
          <w:tcPr>
            <w:tcW w:w="768"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7</w:t>
            </w:r>
          </w:p>
        </w:tc>
      </w:tr>
    </w:tbl>
    <w:p>
      <w:pPr>
        <w:pStyle w:val="2"/>
        <w:ind w:firstLine="588"/>
        <w:rPr>
          <w:lang w:eastAsia="zh-Hans"/>
        </w:rPr>
        <w:sectPr>
          <w:pgSz w:w="11907" w:h="16840"/>
          <w:pgMar w:top="1440" w:right="1587" w:bottom="1440" w:left="1587" w:header="851" w:footer="992" w:gutter="0"/>
          <w:cols w:space="720" w:num="1"/>
          <w:docGrid w:type="lines" w:linePitch="312" w:charSpace="0"/>
        </w:sectPr>
      </w:pPr>
    </w:p>
    <w:p>
      <w:pPr>
        <w:pStyle w:val="66"/>
        <w:numPr>
          <w:ilvl w:val="1"/>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（四）</w:t>
      </w:r>
      <w:r>
        <w:rPr>
          <w:rFonts w:hint="eastAsia"/>
          <w:color w:val="000000" w:themeColor="text1"/>
          <w:lang w:eastAsia="zh-Hans"/>
          <w14:textFill>
            <w14:solidFill>
              <w14:schemeClr w14:val="tx1"/>
            </w14:solidFill>
          </w14:textFill>
        </w:rPr>
        <w:t>“</w:t>
      </w:r>
      <w:r>
        <w:rPr>
          <w:rFonts w:hint="eastAsia"/>
          <w:color w:val="000000" w:themeColor="text1"/>
          <w14:textFill>
            <w14:solidFill>
              <w14:schemeClr w14:val="tx1"/>
            </w14:solidFill>
          </w14:textFill>
        </w:rPr>
        <w:t>十四五</w:t>
      </w:r>
      <w:r>
        <w:rPr>
          <w:rFonts w:hint="eastAsia"/>
          <w:color w:val="000000" w:themeColor="text1"/>
          <w:lang w:eastAsia="zh-Hans"/>
          <w14:textFill>
            <w14:solidFill>
              <w14:schemeClr w14:val="tx1"/>
            </w14:solidFill>
          </w14:textFill>
        </w:rPr>
        <w:t>”末镇海区公共充电设施建设规模预测</w:t>
      </w:r>
    </w:p>
    <w:p>
      <w:pPr>
        <w:pStyle w:val="69"/>
        <w:ind w:firstLine="640"/>
        <w:rPr>
          <w:color w:val="000000" w:themeColor="text1"/>
          <w:kern w:val="0"/>
          <w14:textFill>
            <w14:solidFill>
              <w14:schemeClr w14:val="tx1"/>
            </w14:solidFill>
          </w14:textFill>
        </w:rPr>
      </w:pPr>
      <w:r>
        <w:rPr>
          <w:color w:val="000000" w:themeColor="text1"/>
          <w:kern w:val="0"/>
          <w14:textFill>
            <w14:solidFill>
              <w14:schemeClr w14:val="tx1"/>
            </w14:solidFill>
          </w14:textFill>
        </w:rPr>
        <w:t>至</w:t>
      </w:r>
      <w:r>
        <w:rPr>
          <w:rFonts w:hint="eastAsia"/>
          <w:color w:val="000000" w:themeColor="text1"/>
          <w:kern w:val="0"/>
          <w14:textFill>
            <w14:solidFill>
              <w14:schemeClr w14:val="tx1"/>
            </w14:solidFill>
          </w14:textFill>
        </w:rPr>
        <w:t>“十四五”</w:t>
      </w:r>
      <w:r>
        <w:rPr>
          <w:color w:val="000000" w:themeColor="text1"/>
          <w:kern w:val="0"/>
          <w14:textFill>
            <w14:solidFill>
              <w14:schemeClr w14:val="tx1"/>
            </w14:solidFill>
          </w14:textFill>
        </w:rPr>
        <w:t>末</w:t>
      </w:r>
      <w:r>
        <w:rPr>
          <w:rFonts w:hint="eastAsia"/>
          <w:color w:val="000000" w:themeColor="text1"/>
          <w:kern w:val="0"/>
          <w14:textFill>
            <w14:solidFill>
              <w14:schemeClr w14:val="tx1"/>
            </w14:solidFill>
          </w14:textFill>
        </w:rPr>
        <w:t>，</w:t>
      </w:r>
      <w:r>
        <w:rPr>
          <w:rFonts w:hint="eastAsia"/>
          <w:color w:val="000000" w:themeColor="text1"/>
          <w:kern w:val="0"/>
          <w:lang w:eastAsia="zh-Hans"/>
          <w14:textFill>
            <w14:solidFill>
              <w14:schemeClr w14:val="tx1"/>
            </w14:solidFill>
          </w14:textFill>
        </w:rPr>
        <w:t>预计</w:t>
      </w:r>
      <w:r>
        <w:rPr>
          <w:color w:val="000000" w:themeColor="text1"/>
          <w:kern w:val="0"/>
          <w14:textFill>
            <w14:solidFill>
              <w14:schemeClr w14:val="tx1"/>
            </w14:solidFill>
          </w14:textFill>
        </w:rPr>
        <w:t>全区建成</w:t>
      </w:r>
      <w:r>
        <w:rPr>
          <w:rFonts w:hint="eastAsia"/>
          <w:color w:val="000000" w:themeColor="text1"/>
          <w:kern w:val="0"/>
          <w:lang w:eastAsia="zh-Hans"/>
          <w14:textFill>
            <w14:solidFill>
              <w14:schemeClr w14:val="tx1"/>
            </w14:solidFill>
          </w14:textFill>
        </w:rPr>
        <w:t>公共</w:t>
      </w:r>
      <w:r>
        <w:rPr>
          <w:color w:val="000000" w:themeColor="text1"/>
          <w:kern w:val="0"/>
          <w14:textFill>
            <w14:solidFill>
              <w14:schemeClr w14:val="tx1"/>
            </w14:solidFill>
          </w14:textFill>
        </w:rPr>
        <w:t>充电</w:t>
      </w:r>
      <w:r>
        <w:rPr>
          <w:rFonts w:hint="eastAsia"/>
          <w:color w:val="000000" w:themeColor="text1"/>
          <w:kern w:val="0"/>
          <w14:textFill>
            <w14:solidFill>
              <w14:schemeClr w14:val="tx1"/>
            </w14:solidFill>
          </w14:textFill>
        </w:rPr>
        <w:t>枪</w:t>
      </w:r>
      <w:r>
        <w:rPr>
          <w:color w:val="000000" w:themeColor="text1"/>
          <w:kern w:val="0"/>
          <w14:textFill>
            <w14:solidFill>
              <w14:schemeClr w14:val="tx1"/>
            </w14:solidFill>
          </w14:textFill>
        </w:rPr>
        <w:t>2648</w:t>
      </w:r>
      <w:r>
        <w:rPr>
          <w:rFonts w:hint="eastAsia"/>
          <w:color w:val="000000" w:themeColor="text1"/>
          <w:kern w:val="0"/>
          <w14:textFill>
            <w14:solidFill>
              <w14:schemeClr w14:val="tx1"/>
            </w14:solidFill>
          </w14:textFill>
        </w:rPr>
        <w:t>根，拟建成</w:t>
      </w:r>
      <w:r>
        <w:rPr>
          <w:color w:val="000000" w:themeColor="text1"/>
          <w:kern w:val="0"/>
          <w14:textFill>
            <w14:solidFill>
              <w14:schemeClr w14:val="tx1"/>
            </w14:solidFill>
          </w14:textFill>
        </w:rPr>
        <w:t>交流枪1395</w:t>
      </w:r>
      <w:r>
        <w:rPr>
          <w:rFonts w:hint="eastAsia"/>
          <w:color w:val="000000" w:themeColor="text1"/>
          <w:kern w:val="0"/>
          <w14:textFill>
            <w14:solidFill>
              <w14:schemeClr w14:val="tx1"/>
            </w14:solidFill>
          </w14:textFill>
        </w:rPr>
        <w:t>根</w:t>
      </w:r>
      <w:r>
        <w:rPr>
          <w:color w:val="000000" w:themeColor="text1"/>
          <w:kern w:val="0"/>
          <w14:textFill>
            <w14:solidFill>
              <w14:schemeClr w14:val="tx1"/>
            </w14:solidFill>
          </w14:textFill>
        </w:rPr>
        <w:t>、直流枪1253</w:t>
      </w:r>
      <w:r>
        <w:rPr>
          <w:rFonts w:hint="eastAsia"/>
          <w:color w:val="000000" w:themeColor="text1"/>
          <w:kern w:val="0"/>
          <w14:textFill>
            <w14:solidFill>
              <w14:schemeClr w14:val="tx1"/>
            </w14:solidFill>
          </w14:textFill>
        </w:rPr>
        <w:t>根</w:t>
      </w:r>
      <w:r>
        <w:rPr>
          <w:color w:val="000000" w:themeColor="text1"/>
          <w:kern w:val="0"/>
          <w14:textFill>
            <w14:solidFill>
              <w14:schemeClr w14:val="tx1"/>
            </w14:solidFill>
          </w14:textFill>
        </w:rPr>
        <w:t>，交流枪：</w:t>
      </w:r>
      <w:r>
        <w:rPr>
          <w:rFonts w:hint="eastAsia"/>
          <w:color w:val="000000" w:themeColor="text1"/>
          <w:kern w:val="0"/>
          <w14:textFill>
            <w14:solidFill>
              <w14:schemeClr w14:val="tx1"/>
            </w14:solidFill>
          </w14:textFill>
        </w:rPr>
        <w:t>直流</w:t>
      </w:r>
      <w:r>
        <w:rPr>
          <w:color w:val="000000" w:themeColor="text1"/>
          <w:kern w:val="0"/>
          <w14:textFill>
            <w14:solidFill>
              <w14:schemeClr w14:val="tx1"/>
            </w14:solidFill>
          </w14:textFill>
        </w:rPr>
        <w:t>枪比例约</w:t>
      </w:r>
      <w:r>
        <w:rPr>
          <w:rFonts w:hint="eastAsia"/>
          <w:color w:val="000000" w:themeColor="text1"/>
          <w:kern w:val="0"/>
          <w14:textFill>
            <w14:solidFill>
              <w14:schemeClr w14:val="tx1"/>
            </w14:solidFill>
          </w14:textFill>
        </w:rPr>
        <w:t>1.1</w:t>
      </w:r>
      <w:r>
        <w:rPr>
          <w:rFonts w:hint="eastAsia"/>
          <w:color w:val="000000" w:themeColor="text1"/>
          <w:kern w:val="0"/>
          <w:lang w:eastAsia="zh-Hans"/>
          <w14:textFill>
            <w14:solidFill>
              <w14:schemeClr w14:val="tx1"/>
            </w14:solidFill>
          </w14:textFill>
        </w:rPr>
        <w:t>:</w:t>
      </w:r>
      <w:r>
        <w:rPr>
          <w:rFonts w:hint="eastAsia"/>
          <w:color w:val="000000" w:themeColor="text1"/>
          <w:kern w:val="0"/>
          <w14:textFill>
            <w14:solidFill>
              <w14:schemeClr w14:val="tx1"/>
            </w14:solidFill>
          </w14:textFill>
        </w:rPr>
        <w:t>1。由于2023-</w:t>
      </w:r>
      <w:r>
        <w:rPr>
          <w:color w:val="000000" w:themeColor="text1"/>
          <w:kern w:val="0"/>
          <w14:textFill>
            <w14:solidFill>
              <w14:schemeClr w14:val="tx1"/>
            </w14:solidFill>
          </w14:textFill>
        </w:rPr>
        <w:t>2025</w:t>
      </w:r>
      <w:r>
        <w:rPr>
          <w:rFonts w:hint="eastAsia"/>
          <w:color w:val="000000" w:themeColor="text1"/>
          <w:kern w:val="0"/>
          <w14:textFill>
            <w14:solidFill>
              <w14:schemeClr w14:val="tx1"/>
            </w14:solidFill>
          </w14:textFill>
        </w:rPr>
        <w:t>年</w:t>
      </w:r>
      <w:r>
        <w:rPr>
          <w:color w:val="000000" w:themeColor="text1"/>
          <w:kern w:val="0"/>
          <w14:textFill>
            <w14:solidFill>
              <w14:schemeClr w14:val="tx1"/>
            </w14:solidFill>
          </w14:textFill>
        </w:rPr>
        <w:t>，将有</w:t>
      </w:r>
      <w:r>
        <w:rPr>
          <w:rFonts w:hint="eastAsia"/>
          <w:color w:val="000000" w:themeColor="text1"/>
          <w:kern w:val="0"/>
          <w14:textFill>
            <w14:solidFill>
              <w14:schemeClr w14:val="tx1"/>
            </w14:solidFill>
          </w14:textFill>
        </w:rPr>
        <w:t>董家畈</w:t>
      </w:r>
      <w:r>
        <w:rPr>
          <w:color w:val="000000" w:themeColor="text1"/>
          <w:kern w:val="0"/>
          <w14:textFill>
            <w14:solidFill>
              <w14:schemeClr w14:val="tx1"/>
            </w14:solidFill>
          </w14:textFill>
        </w:rPr>
        <w:t>A1、A2，新兴岚湾</w:t>
      </w:r>
      <w:r>
        <w:rPr>
          <w:rFonts w:hint="eastAsia"/>
          <w:color w:val="000000" w:themeColor="text1"/>
          <w:kern w:val="0"/>
          <w14:textFill>
            <w14:solidFill>
              <w14:schemeClr w14:val="tx1"/>
            </w14:solidFill>
          </w14:textFill>
        </w:rPr>
        <w:t>拆迁</w:t>
      </w:r>
      <w:r>
        <w:rPr>
          <w:color w:val="000000" w:themeColor="text1"/>
          <w:kern w:val="0"/>
          <w14:textFill>
            <w14:solidFill>
              <w14:schemeClr w14:val="tx1"/>
            </w14:solidFill>
          </w14:textFill>
        </w:rPr>
        <w:t>安置小区共493</w:t>
      </w:r>
      <w:r>
        <w:rPr>
          <w:rFonts w:hint="eastAsia"/>
          <w:color w:val="000000" w:themeColor="text1"/>
          <w:kern w:val="0"/>
          <w14:textFill>
            <w14:solidFill>
              <w14:schemeClr w14:val="tx1"/>
            </w14:solidFill>
          </w14:textFill>
        </w:rPr>
        <w:t>根</w:t>
      </w:r>
      <w:r>
        <w:rPr>
          <w:color w:val="000000" w:themeColor="text1"/>
          <w:kern w:val="0"/>
          <w14:textFill>
            <w14:solidFill>
              <w14:schemeClr w14:val="tx1"/>
            </w14:solidFill>
          </w14:textFill>
        </w:rPr>
        <w:t>交流枪建成投用，在剔除这个数据的情况下，</w:t>
      </w:r>
      <w:r>
        <w:rPr>
          <w:rFonts w:hint="eastAsia"/>
          <w:color w:val="000000" w:themeColor="text1"/>
          <w:kern w:val="0"/>
          <w14:textFill>
            <w14:solidFill>
              <w14:schemeClr w14:val="tx1"/>
            </w14:solidFill>
          </w14:textFill>
        </w:rPr>
        <w:t>“十四五”</w:t>
      </w:r>
      <w:r>
        <w:rPr>
          <w:color w:val="000000" w:themeColor="text1"/>
          <w:kern w:val="0"/>
          <w14:textFill>
            <w14:solidFill>
              <w14:schemeClr w14:val="tx1"/>
            </w14:solidFill>
          </w14:textFill>
        </w:rPr>
        <w:t>末，镇海区其他站点拟完成交流枪902</w:t>
      </w:r>
      <w:r>
        <w:rPr>
          <w:rFonts w:hint="eastAsia"/>
          <w:color w:val="000000" w:themeColor="text1"/>
          <w:kern w:val="0"/>
          <w14:textFill>
            <w14:solidFill>
              <w14:schemeClr w14:val="tx1"/>
            </w14:solidFill>
          </w14:textFill>
        </w:rPr>
        <w:t>根、直流</w:t>
      </w:r>
      <w:r>
        <w:rPr>
          <w:color w:val="000000" w:themeColor="text1"/>
          <w:kern w:val="0"/>
          <w14:textFill>
            <w14:solidFill>
              <w14:schemeClr w14:val="tx1"/>
            </w14:solidFill>
          </w14:textFill>
        </w:rPr>
        <w:t>枪1253</w:t>
      </w:r>
      <w:r>
        <w:rPr>
          <w:rFonts w:hint="eastAsia"/>
          <w:color w:val="000000" w:themeColor="text1"/>
          <w:kern w:val="0"/>
          <w14:textFill>
            <w14:solidFill>
              <w14:schemeClr w14:val="tx1"/>
            </w14:solidFill>
          </w14:textFill>
        </w:rPr>
        <w:t>根</w:t>
      </w:r>
      <w:r>
        <w:rPr>
          <w:color w:val="000000" w:themeColor="text1"/>
          <w:kern w:val="0"/>
          <w14:textFill>
            <w14:solidFill>
              <w14:schemeClr w14:val="tx1"/>
            </w14:solidFill>
          </w14:textFill>
        </w:rPr>
        <w:t>，交流枪</w:t>
      </w:r>
      <w:r>
        <w:rPr>
          <w:rFonts w:hint="eastAsia"/>
          <w:color w:val="000000" w:themeColor="text1"/>
          <w:kern w:val="0"/>
          <w14:textFill>
            <w14:solidFill>
              <w14:schemeClr w14:val="tx1"/>
            </w14:solidFill>
          </w14:textFill>
        </w:rPr>
        <w:t>：直流枪比例约</w:t>
      </w:r>
      <w:r>
        <w:rPr>
          <w:color w:val="000000" w:themeColor="text1"/>
          <w:kern w:val="0"/>
          <w14:textFill>
            <w14:solidFill>
              <w14:schemeClr w14:val="tx1"/>
            </w14:solidFill>
          </w14:textFill>
        </w:rPr>
        <w:t>1:</w:t>
      </w:r>
      <w:r>
        <w:rPr>
          <w:rFonts w:hint="eastAsia"/>
          <w:color w:val="000000" w:themeColor="text1"/>
          <w:kern w:val="0"/>
          <w14:textFill>
            <w14:solidFill>
              <w14:schemeClr w14:val="tx1"/>
            </w14:solidFill>
          </w14:textFill>
        </w:rPr>
        <w:t>1.4</w:t>
      </w:r>
      <w:r>
        <w:rPr>
          <w:color w:val="000000" w:themeColor="text1"/>
          <w:kern w:val="0"/>
          <w14:textFill>
            <w14:solidFill>
              <w14:schemeClr w14:val="tx1"/>
            </w14:solidFill>
          </w14:textFill>
        </w:rPr>
        <w:t>。</w:t>
      </w:r>
    </w:p>
    <w:p>
      <w:pPr>
        <w:pStyle w:val="69"/>
        <w:ind w:firstLine="640"/>
        <w:rPr>
          <w:color w:val="000000" w:themeColor="text1"/>
          <w:kern w:val="0"/>
          <w14:textFill>
            <w14:solidFill>
              <w14:schemeClr w14:val="tx1"/>
            </w14:solidFill>
          </w14:textFill>
        </w:rPr>
      </w:pPr>
      <w:r>
        <w:rPr>
          <w:color w:val="000000" w:themeColor="text1"/>
          <w:kern w:val="0"/>
          <w14:textFill>
            <w14:solidFill>
              <w14:schemeClr w14:val="tx1"/>
            </w14:solidFill>
          </w14:textFill>
        </w:rPr>
        <w:t>2023-2025年，</w:t>
      </w:r>
      <w:r>
        <w:rPr>
          <w:rFonts w:hint="eastAsia"/>
          <w:color w:val="000000" w:themeColor="text1"/>
          <w:kern w:val="0"/>
          <w14:textFill>
            <w14:solidFill>
              <w14:schemeClr w14:val="tx1"/>
            </w14:solidFill>
          </w14:textFill>
        </w:rPr>
        <w:t>预计全区拟建公共充电枪</w:t>
      </w:r>
      <w:r>
        <w:rPr>
          <w:color w:val="000000" w:themeColor="text1"/>
          <w:kern w:val="0"/>
          <w14:textFill>
            <w14:solidFill>
              <w14:schemeClr w14:val="tx1"/>
            </w14:solidFill>
          </w14:textFill>
        </w:rPr>
        <w:t>1717根，拟建交流枪1075根、直流枪642根。剔除</w:t>
      </w:r>
      <w:r>
        <w:rPr>
          <w:rFonts w:hint="eastAsia"/>
          <w:color w:val="000000" w:themeColor="text1"/>
          <w:kern w:val="0"/>
          <w14:textFill>
            <w14:solidFill>
              <w14:schemeClr w14:val="tx1"/>
            </w14:solidFill>
          </w14:textFill>
        </w:rPr>
        <w:t>董家畈</w:t>
      </w:r>
      <w:r>
        <w:rPr>
          <w:color w:val="000000" w:themeColor="text1"/>
          <w:kern w:val="0"/>
          <w14:textFill>
            <w14:solidFill>
              <w14:schemeClr w14:val="tx1"/>
            </w14:solidFill>
          </w14:textFill>
        </w:rPr>
        <w:t>A1、A2，新兴岚湾拆迁安置小区共493根交流枪建成投用</w:t>
      </w:r>
      <w:r>
        <w:rPr>
          <w:rFonts w:hint="eastAsia"/>
          <w:color w:val="000000" w:themeColor="text1"/>
          <w:kern w:val="0"/>
          <w14:textFill>
            <w14:solidFill>
              <w14:schemeClr w14:val="tx1"/>
            </w14:solidFill>
          </w14:textFill>
        </w:rPr>
        <w:t>，拟建</w:t>
      </w:r>
      <w:r>
        <w:rPr>
          <w:color w:val="000000" w:themeColor="text1"/>
          <w:kern w:val="0"/>
          <w14:textFill>
            <w14:solidFill>
              <w14:schemeClr w14:val="tx1"/>
            </w14:solidFill>
          </w14:textFill>
        </w:rPr>
        <w:t>交流枪582根</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直流枪642根。</w:t>
      </w:r>
    </w:p>
    <w:p>
      <w:pPr>
        <w:pStyle w:val="69"/>
        <w:ind w:firstLine="640"/>
        <w:rPr>
          <w:color w:val="000000" w:themeColor="text1"/>
          <w14:textFill>
            <w14:solidFill>
              <w14:schemeClr w14:val="tx1"/>
            </w14:solidFill>
          </w14:textFill>
        </w:rPr>
      </w:pPr>
      <w:r>
        <w:rPr>
          <w:color w:val="000000" w:themeColor="text1"/>
          <w14:textFill>
            <w14:solidFill>
              <w14:schemeClr w14:val="tx1"/>
            </w14:solidFill>
          </w14:textFill>
        </w:rPr>
        <w:t>至</w:t>
      </w:r>
      <w:r>
        <w:rPr>
          <w:rFonts w:hint="eastAsia"/>
          <w:color w:val="000000" w:themeColor="text1"/>
          <w14:textFill>
            <w14:solidFill>
              <w14:schemeClr w14:val="tx1"/>
            </w14:solidFill>
          </w14:textFill>
        </w:rPr>
        <w:t>“十四五”</w:t>
      </w:r>
      <w:r>
        <w:rPr>
          <w:color w:val="000000" w:themeColor="text1"/>
          <w14:textFill>
            <w14:solidFill>
              <w14:schemeClr w14:val="tx1"/>
            </w14:solidFill>
          </w14:textFill>
        </w:rPr>
        <w:t>末</w:t>
      </w:r>
      <w:r>
        <w:rPr>
          <w:rFonts w:hint="eastAsia"/>
          <w:color w:val="000000" w:themeColor="text1"/>
          <w14:textFill>
            <w14:solidFill>
              <w14:schemeClr w14:val="tx1"/>
            </w14:solidFill>
          </w14:textFill>
        </w:rPr>
        <w:t>，预计</w:t>
      </w:r>
      <w:r>
        <w:rPr>
          <w:color w:val="000000" w:themeColor="text1"/>
          <w14:textFill>
            <w14:solidFill>
              <w14:schemeClr w14:val="tx1"/>
            </w14:solidFill>
          </w14:textFill>
        </w:rPr>
        <w:t>全区建成</w:t>
      </w:r>
      <w:r>
        <w:rPr>
          <w:rFonts w:hint="eastAsia"/>
          <w:color w:val="000000" w:themeColor="text1"/>
          <w14:textFill>
            <w14:solidFill>
              <w14:schemeClr w14:val="tx1"/>
            </w14:solidFill>
          </w14:textFill>
        </w:rPr>
        <w:t>公共</w:t>
      </w:r>
      <w:r>
        <w:rPr>
          <w:color w:val="000000" w:themeColor="text1"/>
          <w14:textFill>
            <w14:solidFill>
              <w14:schemeClr w14:val="tx1"/>
            </w14:solidFill>
          </w14:textFill>
        </w:rPr>
        <w:t>充电</w:t>
      </w:r>
      <w:r>
        <w:rPr>
          <w:rFonts w:hint="eastAsia"/>
          <w:color w:val="000000" w:themeColor="text1"/>
          <w14:textFill>
            <w14:solidFill>
              <w14:schemeClr w14:val="tx1"/>
            </w14:solidFill>
          </w14:textFill>
        </w:rPr>
        <w:t>站点布局情况如下，较2022年底，进一步提高了城市地区的覆盖密度，进一步提升了乡村地区覆盖广度。</w:t>
      </w:r>
    </w:p>
    <w:p>
      <w:pPr>
        <w:pStyle w:val="69"/>
        <w:spacing w:line="240" w:lineRule="auto"/>
        <w:ind w:firstLine="640"/>
        <w:rPr>
          <w:color w:val="000000" w:themeColor="text1"/>
          <w:kern w:val="0"/>
          <w14:textFill>
            <w14:solidFill>
              <w14:schemeClr w14:val="tx1"/>
            </w14:solidFill>
          </w14:textFill>
        </w:rPr>
      </w:pPr>
      <w:r>
        <w:drawing>
          <wp:inline distT="0" distB="0" distL="0" distR="0">
            <wp:extent cx="5177790" cy="3497580"/>
            <wp:effectExtent l="0" t="0" r="3810" b="7620"/>
            <wp:docPr id="4" name="图片 4" descr="C:\Users\ADMINI~1\AppData\Local\Temp\WeChat Files\372103040d8e68c74f7572cf6193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372103040d8e68c74f7572cf619326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82489" cy="3500687"/>
                    </a:xfrm>
                    <a:prstGeom prst="rect">
                      <a:avLst/>
                    </a:prstGeom>
                    <a:noFill/>
                    <a:ln>
                      <a:noFill/>
                    </a:ln>
                  </pic:spPr>
                </pic:pic>
              </a:graphicData>
            </a:graphic>
          </wp:inline>
        </w:drawing>
      </w:r>
    </w:p>
    <w:p>
      <w:pPr>
        <w:pStyle w:val="69"/>
        <w:spacing w:before="156" w:line="240" w:lineRule="auto"/>
        <w:ind w:firstLine="198" w:firstLineChars="0"/>
        <w:jc w:val="center"/>
        <w:rPr>
          <w:color w:val="000000" w:themeColor="text1"/>
          <w:sz w:val="24"/>
          <w14:textFill>
            <w14:solidFill>
              <w14:schemeClr w14:val="tx1"/>
            </w14:solidFill>
          </w14:textFill>
        </w:rPr>
        <w:sectPr>
          <w:pgSz w:w="11907" w:h="16840"/>
          <w:pgMar w:top="1440" w:right="1587" w:bottom="1440" w:left="1587" w:header="851" w:footer="992" w:gutter="0"/>
          <w:cols w:space="720" w:num="1"/>
          <w:docGrid w:type="lines" w:linePitch="312" w:charSpace="0"/>
        </w:sectPr>
      </w:pPr>
      <w:r>
        <w:rPr>
          <w:rFonts w:hint="eastAsia"/>
          <w:color w:val="000000" w:themeColor="text1"/>
          <w:sz w:val="24"/>
          <w14:textFill>
            <w14:solidFill>
              <w14:schemeClr w14:val="tx1"/>
            </w14:solidFill>
          </w14:textFill>
        </w:rPr>
        <w:t>图6-1“十四五”末镇海区公共充电设施建设布局图</w:t>
      </w:r>
    </w:p>
    <w:p>
      <w:pPr>
        <w:pStyle w:val="69"/>
        <w:spacing w:before="156" w:line="240" w:lineRule="auto"/>
        <w:ind w:firstLine="198"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表6-1</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 xml:space="preserve"> “十四五”末镇海区公共充电设施建设规模预测表</w:t>
      </w:r>
    </w:p>
    <w:tbl>
      <w:tblPr>
        <w:tblStyle w:val="34"/>
        <w:tblW w:w="14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960"/>
        <w:gridCol w:w="991"/>
        <w:gridCol w:w="848"/>
        <w:gridCol w:w="709"/>
        <w:gridCol w:w="851"/>
        <w:gridCol w:w="714"/>
        <w:gridCol w:w="706"/>
        <w:gridCol w:w="712"/>
        <w:gridCol w:w="851"/>
        <w:gridCol w:w="709"/>
        <w:gridCol w:w="709"/>
        <w:gridCol w:w="706"/>
        <w:gridCol w:w="712"/>
        <w:gridCol w:w="851"/>
        <w:gridCol w:w="851"/>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4" w:type="dxa"/>
            <w:vMerge w:val="restart"/>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辖区</w:t>
            </w:r>
          </w:p>
        </w:tc>
        <w:tc>
          <w:tcPr>
            <w:tcW w:w="960" w:type="dxa"/>
            <w:vMerge w:val="restart"/>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社区（村）数</w:t>
            </w:r>
          </w:p>
        </w:tc>
        <w:tc>
          <w:tcPr>
            <w:tcW w:w="2548" w:type="dxa"/>
            <w:gridSpan w:val="3"/>
            <w:shd w:val="clear" w:color="auto" w:fill="auto"/>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现状（2022年）</w:t>
            </w:r>
          </w:p>
        </w:tc>
        <w:tc>
          <w:tcPr>
            <w:tcW w:w="2271" w:type="dxa"/>
            <w:gridSpan w:val="3"/>
            <w:shd w:val="clear" w:color="auto" w:fill="auto"/>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2023年</w:t>
            </w:r>
          </w:p>
        </w:tc>
        <w:tc>
          <w:tcPr>
            <w:tcW w:w="2272" w:type="dxa"/>
            <w:gridSpan w:val="3"/>
            <w:shd w:val="clear" w:color="auto" w:fill="auto"/>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2024年</w:t>
            </w:r>
          </w:p>
        </w:tc>
        <w:tc>
          <w:tcPr>
            <w:tcW w:w="2127" w:type="dxa"/>
            <w:gridSpan w:val="3"/>
            <w:shd w:val="clear" w:color="auto" w:fill="auto"/>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2025年</w:t>
            </w:r>
          </w:p>
        </w:tc>
        <w:tc>
          <w:tcPr>
            <w:tcW w:w="2584" w:type="dxa"/>
            <w:gridSpan w:val="3"/>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十四五数据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4" w:type="dxa"/>
            <w:vMerge w:val="continue"/>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p>
        </w:tc>
        <w:tc>
          <w:tcPr>
            <w:tcW w:w="960" w:type="dxa"/>
            <w:vMerge w:val="continue"/>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p>
        </w:tc>
        <w:tc>
          <w:tcPr>
            <w:tcW w:w="991" w:type="dxa"/>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直流桩</w:t>
            </w:r>
          </w:p>
        </w:tc>
        <w:tc>
          <w:tcPr>
            <w:tcW w:w="848" w:type="dxa"/>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交流桩</w:t>
            </w:r>
          </w:p>
        </w:tc>
        <w:tc>
          <w:tcPr>
            <w:tcW w:w="709" w:type="dxa"/>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小计</w:t>
            </w:r>
          </w:p>
        </w:tc>
        <w:tc>
          <w:tcPr>
            <w:tcW w:w="851" w:type="dxa"/>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直流桩</w:t>
            </w:r>
          </w:p>
        </w:tc>
        <w:tc>
          <w:tcPr>
            <w:tcW w:w="714" w:type="dxa"/>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交流桩</w:t>
            </w:r>
          </w:p>
        </w:tc>
        <w:tc>
          <w:tcPr>
            <w:tcW w:w="706" w:type="dxa"/>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小计</w:t>
            </w:r>
          </w:p>
        </w:tc>
        <w:tc>
          <w:tcPr>
            <w:tcW w:w="712" w:type="dxa"/>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直流桩</w:t>
            </w:r>
          </w:p>
        </w:tc>
        <w:tc>
          <w:tcPr>
            <w:tcW w:w="851" w:type="dxa"/>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交流桩</w:t>
            </w:r>
          </w:p>
        </w:tc>
        <w:tc>
          <w:tcPr>
            <w:tcW w:w="709" w:type="dxa"/>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小计</w:t>
            </w:r>
          </w:p>
        </w:tc>
        <w:tc>
          <w:tcPr>
            <w:tcW w:w="709" w:type="dxa"/>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直流桩</w:t>
            </w:r>
          </w:p>
        </w:tc>
        <w:tc>
          <w:tcPr>
            <w:tcW w:w="706" w:type="dxa"/>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交流桩</w:t>
            </w:r>
          </w:p>
        </w:tc>
        <w:tc>
          <w:tcPr>
            <w:tcW w:w="712" w:type="dxa"/>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小计</w:t>
            </w:r>
          </w:p>
        </w:tc>
        <w:tc>
          <w:tcPr>
            <w:tcW w:w="851" w:type="dxa"/>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直流桩</w:t>
            </w:r>
          </w:p>
        </w:tc>
        <w:tc>
          <w:tcPr>
            <w:tcW w:w="851" w:type="dxa"/>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交流桩</w:t>
            </w:r>
          </w:p>
        </w:tc>
        <w:tc>
          <w:tcPr>
            <w:tcW w:w="882" w:type="dxa"/>
            <w:shd w:val="clear" w:color="auto" w:fill="auto"/>
            <w:noWrap/>
            <w:vAlign w:val="center"/>
          </w:tcPr>
          <w:p>
            <w:pPr>
              <w:widowControl/>
              <w:jc w:val="center"/>
              <w:rPr>
                <w:rFonts w:ascii="仿宋_GB2312" w:hAnsi="宋体" w:eastAsia="仿宋_GB2312" w:cs="宋体"/>
                <w:b/>
                <w:color w:val="000000" w:themeColor="text1"/>
                <w:kern w:val="0"/>
                <w:sz w:val="20"/>
                <w:szCs w:val="20"/>
                <w14:textFill>
                  <w14:solidFill>
                    <w14:schemeClr w14:val="tx1"/>
                  </w14:solidFill>
                </w14:textFill>
              </w:rPr>
            </w:pPr>
            <w:r>
              <w:rPr>
                <w:rFonts w:hint="eastAsia" w:ascii="仿宋_GB2312" w:hAnsi="宋体" w:eastAsia="仿宋_GB2312" w:cs="宋体"/>
                <w:b/>
                <w:color w:val="000000" w:themeColor="text1"/>
                <w:kern w:val="0"/>
                <w:sz w:val="20"/>
                <w:szCs w:val="20"/>
                <w14:textFill>
                  <w14:solidFill>
                    <w14:schemeClr w14:val="tx1"/>
                  </w14:solidFill>
                </w14:textFill>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4"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澥浦镇</w:t>
            </w:r>
          </w:p>
        </w:tc>
        <w:tc>
          <w:tcPr>
            <w:tcW w:w="960"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10</w:t>
            </w:r>
          </w:p>
        </w:tc>
        <w:tc>
          <w:tcPr>
            <w:tcW w:w="99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14</w:t>
            </w:r>
          </w:p>
        </w:tc>
        <w:tc>
          <w:tcPr>
            <w:tcW w:w="848"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8</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22</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10</w:t>
            </w:r>
          </w:p>
        </w:tc>
        <w:tc>
          <w:tcPr>
            <w:tcW w:w="714"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481</w:t>
            </w:r>
          </w:p>
        </w:tc>
        <w:tc>
          <w:tcPr>
            <w:tcW w:w="706"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491</w:t>
            </w:r>
          </w:p>
        </w:tc>
        <w:tc>
          <w:tcPr>
            <w:tcW w:w="71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18</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50</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68</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26</w:t>
            </w:r>
          </w:p>
        </w:tc>
        <w:tc>
          <w:tcPr>
            <w:tcW w:w="706"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34</w:t>
            </w:r>
          </w:p>
        </w:tc>
        <w:tc>
          <w:tcPr>
            <w:tcW w:w="71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60</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68</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573</w:t>
            </w:r>
          </w:p>
        </w:tc>
        <w:tc>
          <w:tcPr>
            <w:tcW w:w="88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4"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九龙湖镇</w:t>
            </w:r>
          </w:p>
        </w:tc>
        <w:tc>
          <w:tcPr>
            <w:tcW w:w="960"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14</w:t>
            </w:r>
          </w:p>
        </w:tc>
        <w:tc>
          <w:tcPr>
            <w:tcW w:w="99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15</w:t>
            </w:r>
          </w:p>
        </w:tc>
        <w:tc>
          <w:tcPr>
            <w:tcW w:w="848"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9</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24</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8</w:t>
            </w:r>
          </w:p>
        </w:tc>
        <w:tc>
          <w:tcPr>
            <w:tcW w:w="714"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8</w:t>
            </w:r>
          </w:p>
        </w:tc>
        <w:tc>
          <w:tcPr>
            <w:tcW w:w="706"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16</w:t>
            </w:r>
          </w:p>
        </w:tc>
        <w:tc>
          <w:tcPr>
            <w:tcW w:w="71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39</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14</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53</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35</w:t>
            </w:r>
          </w:p>
        </w:tc>
        <w:tc>
          <w:tcPr>
            <w:tcW w:w="706"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20</w:t>
            </w:r>
          </w:p>
        </w:tc>
        <w:tc>
          <w:tcPr>
            <w:tcW w:w="71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55</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97</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51</w:t>
            </w:r>
          </w:p>
        </w:tc>
        <w:tc>
          <w:tcPr>
            <w:tcW w:w="88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4"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招宝山街道</w:t>
            </w:r>
          </w:p>
        </w:tc>
        <w:tc>
          <w:tcPr>
            <w:tcW w:w="960"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11</w:t>
            </w:r>
          </w:p>
        </w:tc>
        <w:tc>
          <w:tcPr>
            <w:tcW w:w="99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24</w:t>
            </w:r>
          </w:p>
        </w:tc>
        <w:tc>
          <w:tcPr>
            <w:tcW w:w="848"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6</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30</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30</w:t>
            </w:r>
          </w:p>
        </w:tc>
        <w:tc>
          <w:tcPr>
            <w:tcW w:w="714"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87</w:t>
            </w:r>
          </w:p>
        </w:tc>
        <w:tc>
          <w:tcPr>
            <w:tcW w:w="706"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117</w:t>
            </w:r>
          </w:p>
        </w:tc>
        <w:tc>
          <w:tcPr>
            <w:tcW w:w="71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37</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32</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69</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47</w:t>
            </w:r>
          </w:p>
        </w:tc>
        <w:tc>
          <w:tcPr>
            <w:tcW w:w="706"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37</w:t>
            </w:r>
          </w:p>
        </w:tc>
        <w:tc>
          <w:tcPr>
            <w:tcW w:w="71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84</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138</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162</w:t>
            </w:r>
          </w:p>
        </w:tc>
        <w:tc>
          <w:tcPr>
            <w:tcW w:w="88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4"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蛟川街道</w:t>
            </w:r>
          </w:p>
        </w:tc>
        <w:tc>
          <w:tcPr>
            <w:tcW w:w="960"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19</w:t>
            </w:r>
          </w:p>
        </w:tc>
        <w:tc>
          <w:tcPr>
            <w:tcW w:w="99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51</w:t>
            </w:r>
          </w:p>
        </w:tc>
        <w:tc>
          <w:tcPr>
            <w:tcW w:w="848"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48</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99</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15</w:t>
            </w:r>
          </w:p>
        </w:tc>
        <w:tc>
          <w:tcPr>
            <w:tcW w:w="714"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73</w:t>
            </w:r>
          </w:p>
        </w:tc>
        <w:tc>
          <w:tcPr>
            <w:tcW w:w="706"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88</w:t>
            </w:r>
          </w:p>
        </w:tc>
        <w:tc>
          <w:tcPr>
            <w:tcW w:w="71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24</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25</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49</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38</w:t>
            </w:r>
          </w:p>
        </w:tc>
        <w:tc>
          <w:tcPr>
            <w:tcW w:w="706"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35</w:t>
            </w:r>
          </w:p>
        </w:tc>
        <w:tc>
          <w:tcPr>
            <w:tcW w:w="71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73</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128</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181</w:t>
            </w:r>
          </w:p>
        </w:tc>
        <w:tc>
          <w:tcPr>
            <w:tcW w:w="88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4"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骆驼街道</w:t>
            </w:r>
          </w:p>
        </w:tc>
        <w:tc>
          <w:tcPr>
            <w:tcW w:w="960"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21</w:t>
            </w:r>
          </w:p>
        </w:tc>
        <w:tc>
          <w:tcPr>
            <w:tcW w:w="99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225</w:t>
            </w:r>
          </w:p>
        </w:tc>
        <w:tc>
          <w:tcPr>
            <w:tcW w:w="848"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116</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341</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63</w:t>
            </w:r>
          </w:p>
        </w:tc>
        <w:tc>
          <w:tcPr>
            <w:tcW w:w="714"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36</w:t>
            </w:r>
          </w:p>
        </w:tc>
        <w:tc>
          <w:tcPr>
            <w:tcW w:w="706"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99</w:t>
            </w:r>
          </w:p>
        </w:tc>
        <w:tc>
          <w:tcPr>
            <w:tcW w:w="71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67</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27</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94</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60</w:t>
            </w:r>
          </w:p>
        </w:tc>
        <w:tc>
          <w:tcPr>
            <w:tcW w:w="706"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40</w:t>
            </w:r>
          </w:p>
        </w:tc>
        <w:tc>
          <w:tcPr>
            <w:tcW w:w="71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100</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415</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219</w:t>
            </w:r>
          </w:p>
        </w:tc>
        <w:tc>
          <w:tcPr>
            <w:tcW w:w="88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4"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庄市街道</w:t>
            </w:r>
          </w:p>
        </w:tc>
        <w:tc>
          <w:tcPr>
            <w:tcW w:w="960"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16</w:t>
            </w:r>
          </w:p>
        </w:tc>
        <w:tc>
          <w:tcPr>
            <w:tcW w:w="99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282</w:t>
            </w:r>
          </w:p>
        </w:tc>
        <w:tc>
          <w:tcPr>
            <w:tcW w:w="848"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133</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415</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30</w:t>
            </w:r>
          </w:p>
        </w:tc>
        <w:tc>
          <w:tcPr>
            <w:tcW w:w="714"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15</w:t>
            </w:r>
          </w:p>
        </w:tc>
        <w:tc>
          <w:tcPr>
            <w:tcW w:w="706"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45</w:t>
            </w:r>
          </w:p>
        </w:tc>
        <w:tc>
          <w:tcPr>
            <w:tcW w:w="71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40</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26</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66</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55</w:t>
            </w:r>
          </w:p>
        </w:tc>
        <w:tc>
          <w:tcPr>
            <w:tcW w:w="706"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35</w:t>
            </w:r>
          </w:p>
        </w:tc>
        <w:tc>
          <w:tcPr>
            <w:tcW w:w="71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90</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407</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209</w:t>
            </w:r>
          </w:p>
        </w:tc>
        <w:tc>
          <w:tcPr>
            <w:tcW w:w="88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4"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合计</w:t>
            </w:r>
          </w:p>
        </w:tc>
        <w:tc>
          <w:tcPr>
            <w:tcW w:w="960"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91</w:t>
            </w:r>
          </w:p>
        </w:tc>
        <w:tc>
          <w:tcPr>
            <w:tcW w:w="99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611</w:t>
            </w:r>
          </w:p>
        </w:tc>
        <w:tc>
          <w:tcPr>
            <w:tcW w:w="848"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320</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931</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156</w:t>
            </w:r>
          </w:p>
        </w:tc>
        <w:tc>
          <w:tcPr>
            <w:tcW w:w="714"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700</w:t>
            </w:r>
          </w:p>
        </w:tc>
        <w:tc>
          <w:tcPr>
            <w:tcW w:w="706"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856</w:t>
            </w:r>
          </w:p>
        </w:tc>
        <w:tc>
          <w:tcPr>
            <w:tcW w:w="71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225</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174</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399</w:t>
            </w:r>
          </w:p>
        </w:tc>
        <w:tc>
          <w:tcPr>
            <w:tcW w:w="709"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261</w:t>
            </w:r>
          </w:p>
        </w:tc>
        <w:tc>
          <w:tcPr>
            <w:tcW w:w="706"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201</w:t>
            </w:r>
          </w:p>
        </w:tc>
        <w:tc>
          <w:tcPr>
            <w:tcW w:w="71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462</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1253</w:t>
            </w:r>
          </w:p>
        </w:tc>
        <w:tc>
          <w:tcPr>
            <w:tcW w:w="851"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1395</w:t>
            </w:r>
          </w:p>
        </w:tc>
        <w:tc>
          <w:tcPr>
            <w:tcW w:w="882" w:type="dxa"/>
            <w:shd w:val="clear" w:color="auto" w:fill="auto"/>
            <w:noWrap/>
            <w:vAlign w:val="center"/>
          </w:tcPr>
          <w:p>
            <w:pPr>
              <w:widowControl/>
              <w:jc w:val="center"/>
              <w:rPr>
                <w:rFonts w:ascii="仿宋_GB2312" w:hAnsi="宋体" w:eastAsia="仿宋_GB2312" w:cs="宋体"/>
                <w:bCs/>
                <w:color w:val="000000" w:themeColor="text1"/>
                <w:kern w:val="0"/>
                <w:sz w:val="24"/>
                <w:szCs w:val="24"/>
                <w14:textFill>
                  <w14:solidFill>
                    <w14:schemeClr w14:val="tx1"/>
                  </w14:solidFill>
                </w14:textFill>
              </w:rPr>
            </w:pPr>
            <w:r>
              <w:rPr>
                <w:rFonts w:hint="eastAsia" w:ascii="仿宋_GB2312" w:hAnsi="宋体" w:eastAsia="仿宋_GB2312" w:cs="宋体"/>
                <w:bCs/>
                <w:color w:val="000000" w:themeColor="text1"/>
                <w:kern w:val="0"/>
                <w:sz w:val="24"/>
                <w:szCs w:val="24"/>
                <w14:textFill>
                  <w14:solidFill>
                    <w14:schemeClr w14:val="tx1"/>
                  </w14:solidFill>
                </w14:textFill>
              </w:rPr>
              <w:t>2648</w:t>
            </w:r>
          </w:p>
        </w:tc>
      </w:tr>
    </w:tbl>
    <w:p>
      <w:pPr>
        <w:pStyle w:val="69"/>
        <w:spacing w:before="156" w:line="240" w:lineRule="auto"/>
        <w:ind w:firstLine="198" w:firstLineChars="0"/>
        <w:jc w:val="center"/>
        <w:rPr>
          <w:color w:val="000000" w:themeColor="text1"/>
          <w:sz w:val="24"/>
          <w14:textFill>
            <w14:solidFill>
              <w14:schemeClr w14:val="tx1"/>
            </w14:solidFill>
          </w14:textFill>
        </w:rPr>
      </w:pPr>
    </w:p>
    <w:p>
      <w:pPr>
        <w:widowControl/>
        <w:jc w:val="left"/>
        <w:rPr>
          <w:rFonts w:ascii="Times New Roman" w:hAnsi="Times New Roman" w:eastAsia="黑体" w:cs="Times New Roman"/>
          <w:b/>
          <w:bCs/>
          <w:color w:val="000000" w:themeColor="text1"/>
          <w:kern w:val="44"/>
          <w:sz w:val="32"/>
          <w:szCs w:val="36"/>
          <w14:textFill>
            <w14:solidFill>
              <w14:schemeClr w14:val="tx1"/>
            </w14:solidFill>
          </w14:textFill>
        </w:rPr>
      </w:pPr>
    </w:p>
    <w:p>
      <w:pPr>
        <w:pStyle w:val="65"/>
        <w:numPr>
          <w:ilvl w:val="255"/>
          <w:numId w:val="0"/>
        </w:numPr>
        <w:rPr>
          <w:color w:val="000000" w:themeColor="text1"/>
          <w14:textFill>
            <w14:solidFill>
              <w14:schemeClr w14:val="tx1"/>
            </w14:solidFill>
          </w14:textFill>
        </w:rPr>
        <w:sectPr>
          <w:pgSz w:w="16840" w:h="11907" w:orient="landscape"/>
          <w:pgMar w:top="1587" w:right="1440" w:bottom="1587" w:left="1440" w:header="851" w:footer="992" w:gutter="0"/>
          <w:cols w:space="720" w:num="1"/>
          <w:docGrid w:type="lines" w:linePitch="312" w:charSpace="0"/>
        </w:sectPr>
      </w:pPr>
    </w:p>
    <w:p>
      <w:pPr>
        <w:pStyle w:val="65"/>
        <w:numPr>
          <w:ilvl w:val="255"/>
          <w:numId w:val="0"/>
        </w:numPr>
      </w:pPr>
      <w:r>
        <w:rPr>
          <w:rFonts w:hint="eastAsia"/>
        </w:rPr>
        <w:t>七、品牌项目</w:t>
      </w:r>
      <w:bookmarkEnd w:id="33"/>
    </w:p>
    <w:p>
      <w:pPr>
        <w:pStyle w:val="66"/>
        <w:numPr>
          <w:ilvl w:val="255"/>
          <w:numId w:val="0"/>
        </w:numPr>
        <w:ind w:right="210"/>
        <w:rPr>
          <w:color w:val="000000" w:themeColor="text1"/>
          <w14:textFill>
            <w14:solidFill>
              <w14:schemeClr w14:val="tx1"/>
            </w14:solidFill>
          </w14:textFill>
        </w:rPr>
      </w:pPr>
      <w:r>
        <w:rPr>
          <w:rFonts w:hint="eastAsia"/>
          <w:color w:val="000000" w:themeColor="text1"/>
          <w14:textFill>
            <w14:solidFill>
              <w14:schemeClr w14:val="tx1"/>
            </w14:solidFill>
          </w14:textFill>
        </w:rPr>
        <w:t>（一）品牌项目类型简介</w:t>
      </w: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7.1.1光储充</w:t>
      </w:r>
      <w:r>
        <w:rPr>
          <w:color w:val="000000" w:themeColor="text1"/>
          <w14:textFill>
            <w14:solidFill>
              <w14:schemeClr w14:val="tx1"/>
            </w14:solidFill>
          </w14:textFill>
        </w:rPr>
        <w:t>一体化</w:t>
      </w:r>
    </w:p>
    <w:p>
      <w:pPr>
        <w:pStyle w:val="69"/>
        <w:ind w:firstLine="643"/>
        <w:rPr>
          <w:color w:val="000000" w:themeColor="text1"/>
          <w14:textFill>
            <w14:solidFill>
              <w14:schemeClr w14:val="tx1"/>
            </w14:solidFill>
          </w14:textFill>
        </w:rPr>
      </w:pPr>
      <w:r>
        <w:rPr>
          <w:rFonts w:hint="eastAsia"/>
          <w:b/>
          <w:color w:val="000000" w:themeColor="text1"/>
          <w14:textFill>
            <w14:solidFill>
              <w14:schemeClr w14:val="tx1"/>
            </w14:solidFill>
          </w14:textFill>
        </w:rPr>
        <w:t>项目简介：</w:t>
      </w:r>
      <w:r>
        <w:rPr>
          <w:color w:val="000000" w:themeColor="text1"/>
          <w14:textFill>
            <w14:solidFill>
              <w14:schemeClr w14:val="tx1"/>
            </w14:solidFill>
          </w14:textFill>
        </w:rPr>
        <w:t>“光储充”一体化系统是指由分布式光伏、用电电荷、配电设施、监控和保护装置组成的小型自我供电系统，也可称为微电网。“光储充”一体化系统，不仅</w:t>
      </w:r>
      <w:r>
        <w:rPr>
          <w:rFonts w:hint="eastAsia"/>
          <w:color w:val="000000" w:themeColor="text1"/>
          <w14:textFill>
            <w14:solidFill>
              <w14:schemeClr w14:val="tx1"/>
            </w14:solidFill>
          </w14:textFill>
        </w:rPr>
        <w:t>可</w:t>
      </w:r>
      <w:r>
        <w:rPr>
          <w:color w:val="000000" w:themeColor="text1"/>
          <w14:textFill>
            <w14:solidFill>
              <w14:schemeClr w14:val="tx1"/>
            </w14:solidFill>
          </w14:textFill>
        </w:rPr>
        <w:t>解决有限的土地及电力容量资源里配电网的问题，还能通过能量存储和优化配置实现本地能源生产与用电负荷基本平衡。</w:t>
      </w:r>
    </w:p>
    <w:p>
      <w:pPr>
        <w:pStyle w:val="69"/>
        <w:ind w:firstLine="643"/>
        <w:rPr>
          <w:color w:val="000000" w:themeColor="text1"/>
          <w14:textFill>
            <w14:solidFill>
              <w14:schemeClr w14:val="tx1"/>
            </w14:solidFill>
          </w14:textFill>
        </w:rPr>
      </w:pPr>
      <w:r>
        <w:rPr>
          <w:rFonts w:hint="eastAsia"/>
          <w:b/>
          <w:color w:val="000000" w:themeColor="text1"/>
          <w14:textFill>
            <w14:solidFill>
              <w14:schemeClr w14:val="tx1"/>
            </w14:solidFill>
          </w14:textFill>
        </w:rPr>
        <w:t>案例简介：</w:t>
      </w:r>
      <w:r>
        <w:rPr>
          <w:rFonts w:hint="eastAsia"/>
          <w:color w:val="000000" w:themeColor="text1"/>
          <w14:textFill>
            <w14:solidFill>
              <w14:schemeClr w14:val="tx1"/>
            </w14:solidFill>
          </w14:textFill>
        </w:rPr>
        <w:t>深圳国际低碳城光储充一体化项目</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该场站位于低碳城内，建设6车位光储充放高度集成化智慧车棚，同时引用园区屋顶光伏，采用交直流混网系统，将绿色、低碳、环保、新能源概念深度融合，与低碳城主体完美呼应。</w:t>
      </w:r>
    </w:p>
    <w:p>
      <w:pPr>
        <w:pStyle w:val="69"/>
        <w:spacing w:line="36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37760" cy="2778125"/>
            <wp:effectExtent l="0" t="0" r="0" b="3175"/>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50873" cy="2785984"/>
                    </a:xfrm>
                    <a:prstGeom prst="rect">
                      <a:avLst/>
                    </a:prstGeom>
                  </pic:spPr>
                </pic:pic>
              </a:graphicData>
            </a:graphic>
          </wp:inline>
        </w:drawing>
      </w:r>
    </w:p>
    <w:p>
      <w:pPr>
        <w:pStyle w:val="69"/>
        <w:spacing w:line="36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图7</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深圳国际低碳城光储充一体化项目现场图</w:t>
      </w: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7.1.2多元综合能源站</w:t>
      </w:r>
    </w:p>
    <w:p>
      <w:pPr>
        <w:pStyle w:val="69"/>
        <w:ind w:firstLine="643"/>
        <w:rPr>
          <w:color w:val="000000" w:themeColor="text1"/>
          <w14:textFill>
            <w14:solidFill>
              <w14:schemeClr w14:val="tx1"/>
            </w14:solidFill>
          </w14:textFill>
        </w:rPr>
      </w:pPr>
      <w:r>
        <w:rPr>
          <w:rFonts w:hint="eastAsia"/>
          <w:b/>
          <w:color w:val="000000" w:themeColor="text1"/>
          <w14:textFill>
            <w14:solidFill>
              <w14:schemeClr w14:val="tx1"/>
            </w14:solidFill>
          </w14:textFill>
        </w:rPr>
        <w:t>项目简介：</w:t>
      </w:r>
      <w:r>
        <w:rPr>
          <w:color w:val="000000" w:themeColor="text1"/>
          <w14:textFill>
            <w14:solidFill>
              <w14:schemeClr w14:val="tx1"/>
            </w14:solidFill>
          </w14:textFill>
        </w:rPr>
        <w:t>综合能源站是一种新型的能源站，它结合了多种能源，如太阳能、风能、水能、地热能、生物质能等，以提供更加多样化和稳定的能源供应。综合能源站结合多种能源，互相补充，可以提供更加稳定的能源供应，可以提供更加环保的能源，还可以提高能源利用效率。</w:t>
      </w:r>
    </w:p>
    <w:p>
      <w:pPr>
        <w:pStyle w:val="69"/>
        <w:ind w:firstLine="643"/>
        <w:rPr>
          <w:color w:val="000000" w:themeColor="text1"/>
          <w14:textFill>
            <w14:solidFill>
              <w14:schemeClr w14:val="tx1"/>
            </w14:solidFill>
          </w14:textFill>
        </w:rPr>
      </w:pPr>
      <w:r>
        <w:rPr>
          <w:rFonts w:hint="eastAsia"/>
          <w:b/>
          <w:color w:val="000000" w:themeColor="text1"/>
          <w14:textFill>
            <w14:solidFill>
              <w14:schemeClr w14:val="tx1"/>
            </w14:solidFill>
          </w14:textFill>
        </w:rPr>
        <w:t>案例简介：</w:t>
      </w:r>
      <w:r>
        <w:rPr>
          <w:rFonts w:hint="eastAsia"/>
          <w:color w:val="000000" w:themeColor="text1"/>
          <w14:textFill>
            <w14:solidFill>
              <w14:schemeClr w14:val="tx1"/>
            </w14:solidFill>
          </w14:textFill>
        </w:rPr>
        <w:t>中石化高井能源综合站</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集加油、充电、光伏储能微网一体，提供综合能源服务。</w:t>
      </w:r>
    </w:p>
    <w:p>
      <w:pPr>
        <w:pStyle w:val="69"/>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859915" cy="2480310"/>
            <wp:effectExtent l="0" t="0" r="6985"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864376" cy="2485833"/>
                    </a:xfrm>
                    <a:prstGeom prst="rect">
                      <a:avLst/>
                    </a:prstGeom>
                  </pic:spPr>
                </pic:pic>
              </a:graphicData>
            </a:graphic>
          </wp:inline>
        </w:drawing>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3289300" cy="2466975"/>
            <wp:effectExtent l="0" t="0" r="6350" b="952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2826" cy="2477119"/>
                    </a:xfrm>
                    <a:prstGeom prst="rect">
                      <a:avLst/>
                    </a:prstGeom>
                  </pic:spPr>
                </pic:pic>
              </a:graphicData>
            </a:graphic>
          </wp:inline>
        </w:drawing>
      </w:r>
    </w:p>
    <w:p>
      <w:pPr>
        <w:pStyle w:val="69"/>
        <w:spacing w:line="36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图7</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中石化高井能源综合站现场图</w:t>
      </w: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7.1.3V</w:t>
      </w:r>
      <w:r>
        <w:rPr>
          <w:color w:val="000000" w:themeColor="text1"/>
          <w14:textFill>
            <w14:solidFill>
              <w14:schemeClr w14:val="tx1"/>
            </w14:solidFill>
          </w14:textFill>
        </w:rPr>
        <w:t>2G</w:t>
      </w:r>
      <w:r>
        <w:rPr>
          <w:rFonts w:hint="eastAsia"/>
          <w:color w:val="000000" w:themeColor="text1"/>
          <w14:textFill>
            <w14:solidFill>
              <w14:schemeClr w14:val="tx1"/>
            </w14:solidFill>
          </w14:textFill>
        </w:rPr>
        <w:t>项目</w:t>
      </w:r>
    </w:p>
    <w:p>
      <w:pPr>
        <w:shd w:val="clear" w:color="auto" w:fill="FFFFFF"/>
        <w:spacing w:line="360" w:lineRule="atLeast"/>
        <w:ind w:firstLine="480"/>
        <w:rPr>
          <w:rFonts w:ascii="Helvetica" w:hAnsi="Helvetica" w:eastAsia="宋体" w:cs="宋体"/>
          <w:color w:val="333333"/>
          <w:kern w:val="0"/>
          <w:szCs w:val="21"/>
        </w:rPr>
      </w:pPr>
      <w:r>
        <w:rPr>
          <w:rFonts w:hint="eastAsia" w:ascii="Times New Roman" w:hAnsi="Times New Roman" w:eastAsia="仿宋_GB2312" w:cs="Times New Roman"/>
          <w:b/>
          <w:color w:val="000000" w:themeColor="text1"/>
          <w:sz w:val="32"/>
          <w:szCs w:val="28"/>
          <w14:textFill>
            <w14:solidFill>
              <w14:schemeClr w14:val="tx1"/>
            </w14:solidFill>
          </w14:textFill>
        </w:rPr>
        <w:t>项目简介：</w:t>
      </w:r>
      <w:r>
        <w:rPr>
          <w:rFonts w:ascii="Times New Roman" w:hAnsi="Times New Roman" w:eastAsia="仿宋_GB2312" w:cs="Times New Roman"/>
          <w:color w:val="000000" w:themeColor="text1"/>
          <w:sz w:val="32"/>
          <w:szCs w:val="28"/>
          <w14:textFill>
            <w14:solidFill>
              <w14:schemeClr w14:val="tx1"/>
            </w14:solidFill>
          </w14:textFill>
        </w:rPr>
        <w:t xml:space="preserve"> V2G技术指电动汽车给电网送电的技术，其核心思想就是利用大量电动汽车的储能源作为电网和可再生能源的缓冲。通过V2G，电网效率低以及可再生能源波动的问题不仅可以得到很大程度的缓解，还可以为电动</w:t>
      </w:r>
      <w:r>
        <w:rPr>
          <w:rFonts w:hint="eastAsia" w:ascii="Times New Roman" w:hAnsi="Times New Roman" w:eastAsia="仿宋_GB2312" w:cs="Times New Roman"/>
          <w:color w:val="000000" w:themeColor="text1"/>
          <w:sz w:val="32"/>
          <w:szCs w:val="28"/>
          <w14:textFill>
            <w14:solidFill>
              <w14:schemeClr w14:val="tx1"/>
            </w14:solidFill>
          </w14:textFill>
        </w:rPr>
        <w:t>汽</w:t>
      </w:r>
      <w:r>
        <w:rPr>
          <w:rFonts w:ascii="Times New Roman" w:hAnsi="Times New Roman" w:eastAsia="仿宋_GB2312" w:cs="Times New Roman"/>
          <w:color w:val="000000" w:themeColor="text1"/>
          <w:sz w:val="32"/>
          <w:szCs w:val="28"/>
          <w14:textFill>
            <w14:solidFill>
              <w14:schemeClr w14:val="tx1"/>
            </w14:solidFill>
          </w14:textFill>
        </w:rPr>
        <w:t>车用户创造收益。</w:t>
      </w:r>
    </w:p>
    <w:p>
      <w:pPr>
        <w:pStyle w:val="69"/>
        <w:ind w:firstLine="643"/>
        <w:rPr>
          <w:b/>
          <w:color w:val="000000" w:themeColor="text1"/>
          <w14:textFill>
            <w14:solidFill>
              <w14:schemeClr w14:val="tx1"/>
            </w14:solidFill>
          </w14:textFill>
        </w:rPr>
      </w:pPr>
      <w:r>
        <w:rPr>
          <w:rFonts w:hint="eastAsia"/>
          <w:b/>
          <w:color w:val="000000" w:themeColor="text1"/>
          <w14:textFill>
            <w14:solidFill>
              <w14:schemeClr w14:val="tx1"/>
            </w14:solidFill>
          </w14:textFill>
        </w:rPr>
        <w:t>案例简介：</w:t>
      </w:r>
      <w:r>
        <w:rPr>
          <w:rFonts w:hint="eastAsia"/>
          <w:color w:val="000000" w:themeColor="text1"/>
          <w14:textFill>
            <w14:solidFill>
              <w14:schemeClr w14:val="tx1"/>
            </w14:solidFill>
          </w14:textFill>
        </w:rPr>
        <w:t>国电投总部大厦V2G项目</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该项目通过搭建“车-桩-网”综合管理平台，聚合电动汽车实现储能价值复用，探索实践充电网升级储能网的新型储能理念。</w:t>
      </w:r>
    </w:p>
    <w:p>
      <w:pPr>
        <w:pStyle w:val="69"/>
        <w:spacing w:line="360" w:lineRule="auto"/>
        <w:ind w:firstLine="64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711065" cy="3134995"/>
            <wp:effectExtent l="0" t="0" r="0" b="825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4" cstate="print">
                      <a:extLst>
                        <a:ext uri="{28A0092B-C50C-407E-A947-70E740481C1C}">
                          <a14:useLocalDpi xmlns:a14="http://schemas.microsoft.com/office/drawing/2010/main" val="0"/>
                        </a:ext>
                      </a:extLst>
                    </a:blip>
                    <a:srcRect r="15478"/>
                    <a:stretch>
                      <a:fillRect/>
                    </a:stretch>
                  </pic:blipFill>
                  <pic:spPr>
                    <a:xfrm>
                      <a:off x="0" y="0"/>
                      <a:ext cx="4711361" cy="3135441"/>
                    </a:xfrm>
                    <a:prstGeom prst="rect">
                      <a:avLst/>
                    </a:prstGeom>
                  </pic:spPr>
                </pic:pic>
              </a:graphicData>
            </a:graphic>
          </wp:inline>
        </w:drawing>
      </w:r>
    </w:p>
    <w:p>
      <w:pPr>
        <w:pStyle w:val="69"/>
        <w:spacing w:line="36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图7</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国电投总部大厦V2G项目</w:t>
      </w:r>
    </w:p>
    <w:p>
      <w:pPr>
        <w:pStyle w:val="66"/>
        <w:numPr>
          <w:ilvl w:val="255"/>
          <w:numId w:val="0"/>
        </w:numPr>
        <w:ind w:right="210"/>
        <w:rPr>
          <w:color w:val="000000" w:themeColor="text1"/>
          <w14:textFill>
            <w14:solidFill>
              <w14:schemeClr w14:val="tx1"/>
            </w14:solidFill>
          </w14:textFill>
        </w:rPr>
      </w:pPr>
      <w:r>
        <w:rPr>
          <w:rFonts w:hint="eastAsia"/>
          <w:color w:val="000000" w:themeColor="text1"/>
          <w14:textFill>
            <w14:solidFill>
              <w14:schemeClr w14:val="tx1"/>
            </w14:solidFill>
          </w14:textFill>
        </w:rPr>
        <w:t>（二）品牌项目建设适宜性分析</w:t>
      </w:r>
    </w:p>
    <w:p>
      <w:pPr>
        <w:pStyle w:val="69"/>
        <w:spacing w:line="24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表7</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品牌项目建设适宜性分析表</w:t>
      </w:r>
    </w:p>
    <w:tbl>
      <w:tblPr>
        <w:tblStyle w:val="34"/>
        <w:tblW w:w="8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6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212" w:type="dxa"/>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类型</w:t>
            </w:r>
          </w:p>
        </w:tc>
        <w:tc>
          <w:tcPr>
            <w:tcW w:w="6737" w:type="dxa"/>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建设适宜条件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2"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光储充一体化</w:t>
            </w:r>
          </w:p>
        </w:tc>
        <w:tc>
          <w:tcPr>
            <w:tcW w:w="673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具有较好光伏发电基础区域，条件允许，建议较大规模推广实施。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2"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多元综合能源</w:t>
            </w:r>
          </w:p>
        </w:tc>
        <w:tc>
          <w:tcPr>
            <w:tcW w:w="673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与现状或规划加油</w:t>
            </w:r>
            <w:r>
              <w:rPr>
                <w:rFonts w:ascii="仿宋_GB2312" w:hAnsi="宋体" w:eastAsia="仿宋_GB2312" w:cs="宋体"/>
                <w:color w:val="000000" w:themeColor="text1"/>
                <w:kern w:val="0"/>
                <w:sz w:val="24"/>
                <w:szCs w:val="24"/>
                <w14:textFill>
                  <w14:solidFill>
                    <w14:schemeClr w14:val="tx1"/>
                  </w14:solidFill>
                </w14:textFill>
              </w:rPr>
              <w:t>、</w:t>
            </w:r>
            <w:r>
              <w:rPr>
                <w:rFonts w:hint="eastAsia" w:ascii="仿宋_GB2312" w:hAnsi="宋体" w:eastAsia="仿宋_GB2312" w:cs="宋体"/>
                <w:color w:val="000000" w:themeColor="text1"/>
                <w:kern w:val="0"/>
                <w:sz w:val="24"/>
                <w:szCs w:val="24"/>
                <w14:textFill>
                  <w14:solidFill>
                    <w14:schemeClr w14:val="tx1"/>
                  </w14:solidFill>
                </w14:textFill>
              </w:rPr>
              <w:t>加气</w:t>
            </w:r>
            <w:r>
              <w:rPr>
                <w:rFonts w:ascii="仿宋_GB2312" w:hAnsi="宋体" w:eastAsia="仿宋_GB2312" w:cs="宋体"/>
                <w:color w:val="000000" w:themeColor="text1"/>
                <w:kern w:val="0"/>
                <w:sz w:val="24"/>
                <w:szCs w:val="24"/>
                <w14:textFill>
                  <w14:solidFill>
                    <w14:schemeClr w14:val="tx1"/>
                  </w14:solidFill>
                </w14:textFill>
              </w:rPr>
              <w:t>、</w:t>
            </w:r>
            <w:r>
              <w:rPr>
                <w:rFonts w:hint="eastAsia" w:ascii="仿宋_GB2312" w:hAnsi="宋体" w:eastAsia="仿宋_GB2312" w:cs="宋体"/>
                <w:color w:val="000000" w:themeColor="text1"/>
                <w:kern w:val="0"/>
                <w:sz w:val="24"/>
                <w:szCs w:val="24"/>
                <w14:textFill>
                  <w14:solidFill>
                    <w14:schemeClr w14:val="tx1"/>
                  </w14:solidFill>
                </w14:textFill>
              </w:rPr>
              <w:t>加氢等供能站结合建设。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212"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V</w:t>
            </w:r>
            <w:r>
              <w:rPr>
                <w:rFonts w:hint="eastAsia" w:ascii="仿宋_GB2312" w:hAnsi="宋体" w:eastAsia="仿宋_GB2312" w:cs="宋体"/>
                <w:color w:val="000000" w:themeColor="text1"/>
                <w:kern w:val="0"/>
                <w:sz w:val="24"/>
                <w:szCs w:val="24"/>
                <w14:textFill>
                  <w14:solidFill>
                    <w14:schemeClr w14:val="tx1"/>
                  </w14:solidFill>
                </w14:textFill>
              </w:rPr>
              <w:t>2G</w:t>
            </w:r>
          </w:p>
        </w:tc>
        <w:tc>
          <w:tcPr>
            <w:tcW w:w="673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由于</w:t>
            </w:r>
            <w:r>
              <w:rPr>
                <w:rFonts w:ascii="仿宋_GB2312" w:hAnsi="宋体" w:eastAsia="仿宋_GB2312" w:cs="宋体"/>
                <w:color w:val="000000" w:themeColor="text1"/>
                <w:kern w:val="0"/>
                <w:sz w:val="24"/>
                <w:szCs w:val="24"/>
                <w14:textFill>
                  <w14:solidFill>
                    <w14:schemeClr w14:val="tx1"/>
                  </w14:solidFill>
                </w14:textFill>
              </w:rPr>
              <w:t>V2G技术在国内的标准体系还不够完善，</w:t>
            </w:r>
            <w:r>
              <w:rPr>
                <w:rFonts w:hint="eastAsia" w:ascii="仿宋_GB2312" w:hAnsi="宋体" w:eastAsia="仿宋_GB2312" w:cs="宋体"/>
                <w:color w:val="000000" w:themeColor="text1"/>
                <w:kern w:val="0"/>
                <w:sz w:val="24"/>
                <w:szCs w:val="24"/>
                <w14:textFill>
                  <w14:solidFill>
                    <w14:schemeClr w14:val="tx1"/>
                  </w14:solidFill>
                </w14:textFill>
              </w:rPr>
              <w:t>建议先</w:t>
            </w:r>
            <w:r>
              <w:rPr>
                <w:rFonts w:ascii="仿宋_GB2312" w:hAnsi="宋体" w:eastAsia="仿宋_GB2312" w:cs="宋体"/>
                <w:color w:val="000000" w:themeColor="text1"/>
                <w:kern w:val="0"/>
                <w:sz w:val="24"/>
                <w:szCs w:val="24"/>
                <w14:textFill>
                  <w14:solidFill>
                    <w14:schemeClr w14:val="tx1"/>
                  </w14:solidFill>
                </w14:textFill>
              </w:rPr>
              <w:t>积极探索</w:t>
            </w:r>
            <w:r>
              <w:rPr>
                <w:rFonts w:hint="eastAsia" w:ascii="仿宋_GB2312" w:hAnsi="宋体" w:eastAsia="仿宋_GB2312" w:cs="宋体"/>
                <w:color w:val="000000" w:themeColor="text1"/>
                <w:kern w:val="0"/>
                <w:sz w:val="24"/>
                <w:szCs w:val="24"/>
                <w14:textFill>
                  <w14:solidFill>
                    <w14:schemeClr w14:val="tx1"/>
                  </w14:solidFill>
                </w14:textFill>
              </w:rPr>
              <w:t>相关</w:t>
            </w:r>
            <w:r>
              <w:rPr>
                <w:rFonts w:ascii="仿宋_GB2312" w:hAnsi="宋体" w:eastAsia="仿宋_GB2312" w:cs="宋体"/>
                <w:color w:val="000000" w:themeColor="text1"/>
                <w:kern w:val="0"/>
                <w:sz w:val="24"/>
                <w:szCs w:val="24"/>
                <w14:textFill>
                  <w14:solidFill>
                    <w14:schemeClr w14:val="tx1"/>
                  </w14:solidFill>
                </w14:textFill>
              </w:rPr>
              <w:t>试点</w:t>
            </w:r>
            <w:r>
              <w:rPr>
                <w:rFonts w:hint="eastAsia" w:ascii="仿宋_GB2312" w:hAnsi="宋体" w:eastAsia="仿宋_GB2312" w:cs="宋体"/>
                <w:color w:val="000000" w:themeColor="text1"/>
                <w:kern w:val="0"/>
                <w:sz w:val="24"/>
                <w:szCs w:val="24"/>
                <w14:textFill>
                  <w14:solidFill>
                    <w14:schemeClr w14:val="tx1"/>
                  </w14:solidFill>
                </w14:textFill>
              </w:rPr>
              <w:t>再做推广实施</w:t>
            </w:r>
            <w:r>
              <w:rPr>
                <w:rFonts w:ascii="仿宋_GB2312" w:hAnsi="宋体" w:eastAsia="仿宋_GB2312" w:cs="宋体"/>
                <w:color w:val="000000" w:themeColor="text1"/>
                <w:kern w:val="0"/>
                <w:sz w:val="24"/>
                <w:szCs w:val="24"/>
                <w14:textFill>
                  <w14:solidFill>
                    <w14:schemeClr w14:val="tx1"/>
                  </w14:solidFill>
                </w14:textFill>
              </w:rPr>
              <w:t>。</w:t>
            </w:r>
          </w:p>
        </w:tc>
      </w:tr>
    </w:tbl>
    <w:p>
      <w:pPr>
        <w:pStyle w:val="2"/>
        <w:ind w:firstLine="588"/>
        <w:rPr>
          <w:rFonts w:eastAsia="黑体"/>
          <w:kern w:val="44"/>
          <w:sz w:val="32"/>
          <w:szCs w:val="36"/>
        </w:rPr>
      </w:pPr>
      <w:bookmarkStart w:id="34" w:name="_Toc2201"/>
      <w:r>
        <w:br w:type="page"/>
      </w:r>
    </w:p>
    <w:p>
      <w:pPr>
        <w:pStyle w:val="65"/>
        <w:numPr>
          <w:ilvl w:val="255"/>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八、投资及成效评估</w:t>
      </w:r>
      <w:bookmarkEnd w:id="34"/>
    </w:p>
    <w:p>
      <w:pPr>
        <w:pStyle w:val="66"/>
        <w:numPr>
          <w:ilvl w:val="255"/>
          <w:numId w:val="0"/>
        </w:numPr>
        <w:rPr>
          <w:color w:val="000000" w:themeColor="text1"/>
          <w14:textFill>
            <w14:solidFill>
              <w14:schemeClr w14:val="tx1"/>
            </w14:solidFill>
          </w14:textFill>
        </w:rPr>
      </w:pPr>
      <w:bookmarkStart w:id="35" w:name="_Toc28341"/>
      <w:r>
        <w:rPr>
          <w:rFonts w:hint="eastAsia"/>
          <w:color w:val="000000" w:themeColor="text1"/>
          <w14:textFill>
            <w14:solidFill>
              <w14:schemeClr w14:val="tx1"/>
            </w14:solidFill>
          </w14:textFill>
        </w:rPr>
        <w:t>（一）建设和投资规模</w:t>
      </w:r>
      <w:bookmarkEnd w:id="35"/>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8.1.1建设</w:t>
      </w:r>
      <w:r>
        <w:rPr>
          <w:color w:val="000000" w:themeColor="text1"/>
          <w14:textFill>
            <w14:solidFill>
              <w14:schemeClr w14:val="tx1"/>
            </w14:solidFill>
          </w14:textFill>
        </w:rPr>
        <w:t>投资</w:t>
      </w:r>
      <w:r>
        <w:rPr>
          <w:rFonts w:hint="eastAsia"/>
          <w:color w:val="000000" w:themeColor="text1"/>
          <w14:textFill>
            <w14:solidFill>
              <w14:schemeClr w14:val="tx1"/>
            </w14:solidFill>
          </w14:textFill>
        </w:rPr>
        <w:t>引用</w:t>
      </w:r>
      <w:r>
        <w:rPr>
          <w:color w:val="000000" w:themeColor="text1"/>
          <w14:textFill>
            <w14:solidFill>
              <w14:schemeClr w14:val="tx1"/>
            </w14:solidFill>
          </w14:textFill>
        </w:rPr>
        <w:t>标准</w:t>
      </w:r>
    </w:p>
    <w:p>
      <w:pPr>
        <w:pStyle w:val="69"/>
        <w:ind w:firstLine="640"/>
        <w:rPr>
          <w:color w:val="000000" w:themeColor="text1"/>
          <w14:textFill>
            <w14:solidFill>
              <w14:schemeClr w14:val="tx1"/>
            </w14:solidFill>
          </w14:textFill>
        </w:rPr>
      </w:pPr>
      <w:r>
        <w:rPr>
          <w:color w:val="000000" w:themeColor="text1"/>
          <w14:textFill>
            <w14:solidFill>
              <w14:schemeClr w14:val="tx1"/>
            </w14:solidFill>
          </w14:textFill>
        </w:rPr>
        <w:t>根据以下取费原则</w:t>
      </w:r>
      <w:r>
        <w:rPr>
          <w:rFonts w:hint="eastAsia"/>
          <w:color w:val="000000" w:themeColor="text1"/>
          <w14:textFill>
            <w14:solidFill>
              <w14:schemeClr w14:val="tx1"/>
            </w14:solidFill>
          </w14:textFill>
        </w:rPr>
        <w:t>，接入点100米内的低压接入站费用在4-7万，接入点100米内的高压接入站费用在6-8万，建议快充站投资建设取值7万/台。</w:t>
      </w:r>
    </w:p>
    <w:p>
      <w:pPr>
        <w:pStyle w:val="69"/>
        <w:spacing w:line="24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w:t>
      </w:r>
      <w:r>
        <w:rPr>
          <w:color w:val="000000" w:themeColor="text1"/>
          <w:sz w:val="24"/>
          <w14:textFill>
            <w14:solidFill>
              <w14:schemeClr w14:val="tx1"/>
            </w14:solidFill>
          </w14:textFill>
        </w:rPr>
        <w:t>8-1</w:t>
      </w:r>
      <w:r>
        <w:rPr>
          <w:rFonts w:hint="eastAsia"/>
          <w:color w:val="000000" w:themeColor="text1"/>
          <w:sz w:val="24"/>
          <w14:textFill>
            <w14:solidFill>
              <w14:schemeClr w14:val="tx1"/>
            </w14:solidFill>
          </w14:textFill>
        </w:rPr>
        <w:t>快充站投资估算表</w:t>
      </w:r>
    </w:p>
    <w:tbl>
      <w:tblPr>
        <w:tblStyle w:val="34"/>
        <w:tblW w:w="8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86"/>
        <w:gridCol w:w="5335"/>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序号</w:t>
            </w:r>
          </w:p>
        </w:tc>
        <w:tc>
          <w:tcPr>
            <w:tcW w:w="1186" w:type="dxa"/>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内容</w:t>
            </w:r>
          </w:p>
        </w:tc>
        <w:tc>
          <w:tcPr>
            <w:tcW w:w="5335" w:type="dxa"/>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取费原则</w:t>
            </w:r>
          </w:p>
        </w:tc>
        <w:tc>
          <w:tcPr>
            <w:tcW w:w="1611" w:type="dxa"/>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计算方式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186"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低压施工</w:t>
            </w:r>
          </w:p>
        </w:tc>
        <w:tc>
          <w:tcPr>
            <w:tcW w:w="5335" w:type="dxa"/>
            <w:noWrap/>
            <w:vAlign w:val="center"/>
          </w:tcPr>
          <w:p>
            <w:pPr>
              <w:pStyle w:val="69"/>
              <w:spacing w:line="240" w:lineRule="auto"/>
              <w:ind w:firstLine="0"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根据充电桩数量计算（电源点到总控箱距离100米内，总控箱至终端平均30米内）</w:t>
            </w:r>
          </w:p>
        </w:tc>
        <w:tc>
          <w:tcPr>
            <w:tcW w:w="161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6000元/桩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restart"/>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p>
        </w:tc>
        <w:tc>
          <w:tcPr>
            <w:tcW w:w="1186"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低压电缆（铝线）</w:t>
            </w:r>
          </w:p>
        </w:tc>
        <w:tc>
          <w:tcPr>
            <w:tcW w:w="5335" w:type="dxa"/>
            <w:noWrap/>
            <w:vAlign w:val="center"/>
          </w:tcPr>
          <w:p>
            <w:pPr>
              <w:pStyle w:val="69"/>
              <w:spacing w:line="240" w:lineRule="auto"/>
              <w:ind w:firstLine="0"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根据充电桩数量计算（电源点到总控箱距离100米内，总控箱至终端平均30米内）</w:t>
            </w:r>
          </w:p>
        </w:tc>
        <w:tc>
          <w:tcPr>
            <w:tcW w:w="161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4500元/桩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pPr>
              <w:pStyle w:val="69"/>
              <w:spacing w:line="240" w:lineRule="auto"/>
              <w:ind w:firstLine="0" w:firstLineChars="0"/>
              <w:jc w:val="center"/>
              <w:rPr>
                <w:color w:val="000000" w:themeColor="text1"/>
                <w:sz w:val="24"/>
                <w14:textFill>
                  <w14:solidFill>
                    <w14:schemeClr w14:val="tx1"/>
                  </w14:solidFill>
                </w14:textFill>
              </w:rPr>
            </w:pPr>
          </w:p>
        </w:tc>
        <w:tc>
          <w:tcPr>
            <w:tcW w:w="1186"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低压电缆（铜线）</w:t>
            </w:r>
          </w:p>
        </w:tc>
        <w:tc>
          <w:tcPr>
            <w:tcW w:w="5335" w:type="dxa"/>
            <w:noWrap/>
            <w:vAlign w:val="center"/>
          </w:tcPr>
          <w:p>
            <w:pPr>
              <w:pStyle w:val="69"/>
              <w:spacing w:line="240" w:lineRule="auto"/>
              <w:ind w:firstLine="0"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根据充电桩数量计算（电源点到总控箱距离100米内，总控箱至终端平均30米内）</w:t>
            </w:r>
          </w:p>
        </w:tc>
        <w:tc>
          <w:tcPr>
            <w:tcW w:w="161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15000元/桩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p>
        </w:tc>
        <w:tc>
          <w:tcPr>
            <w:tcW w:w="1186"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高压施工</w:t>
            </w:r>
          </w:p>
        </w:tc>
        <w:tc>
          <w:tcPr>
            <w:tcW w:w="5335" w:type="dxa"/>
            <w:noWrap/>
            <w:vAlign w:val="center"/>
          </w:tcPr>
          <w:p>
            <w:pPr>
              <w:pStyle w:val="69"/>
              <w:spacing w:line="240" w:lineRule="auto"/>
              <w:ind w:firstLine="0"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根据高压接入点距离箱变安装位置距离计算，最低15万元起步</w:t>
            </w:r>
          </w:p>
        </w:tc>
        <w:tc>
          <w:tcPr>
            <w:tcW w:w="161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2000元/米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p>
        </w:tc>
        <w:tc>
          <w:tcPr>
            <w:tcW w:w="1186"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高压设备</w:t>
            </w:r>
          </w:p>
        </w:tc>
        <w:tc>
          <w:tcPr>
            <w:tcW w:w="5335" w:type="dxa"/>
            <w:vAlign w:val="center"/>
          </w:tcPr>
          <w:p>
            <w:pPr>
              <w:pStyle w:val="69"/>
              <w:spacing w:line="240" w:lineRule="auto"/>
              <w:ind w:firstLine="0"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根据变压器容量不同取费</w:t>
            </w:r>
          </w:p>
        </w:tc>
        <w:tc>
          <w:tcPr>
            <w:tcW w:w="1611"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37-60万不等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p>
        </w:tc>
        <w:tc>
          <w:tcPr>
            <w:tcW w:w="1186"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充电设备</w:t>
            </w:r>
          </w:p>
        </w:tc>
        <w:tc>
          <w:tcPr>
            <w:tcW w:w="5335" w:type="dxa"/>
            <w:noWrap/>
            <w:vAlign w:val="center"/>
          </w:tcPr>
          <w:p>
            <w:pPr>
              <w:pStyle w:val="69"/>
              <w:spacing w:line="240" w:lineRule="auto"/>
              <w:ind w:firstLine="0"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根据充电桩数量计算</w:t>
            </w:r>
          </w:p>
        </w:tc>
        <w:tc>
          <w:tcPr>
            <w:tcW w:w="161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30000元/桩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w:t>
            </w:r>
          </w:p>
        </w:tc>
        <w:tc>
          <w:tcPr>
            <w:tcW w:w="1186"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安防设备（道闸监控）+场站VI工程</w:t>
            </w:r>
          </w:p>
        </w:tc>
        <w:tc>
          <w:tcPr>
            <w:tcW w:w="5335" w:type="dxa"/>
            <w:vAlign w:val="center"/>
          </w:tcPr>
          <w:p>
            <w:pPr>
              <w:pStyle w:val="69"/>
              <w:spacing w:line="240" w:lineRule="auto"/>
              <w:ind w:firstLine="0"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按每个场站配1进1出道闸、6个监控、1套VI形象工程</w:t>
            </w:r>
          </w:p>
        </w:tc>
        <w:tc>
          <w:tcPr>
            <w:tcW w:w="161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70000/站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w:t>
            </w:r>
          </w:p>
        </w:tc>
        <w:tc>
          <w:tcPr>
            <w:tcW w:w="1186" w:type="dxa"/>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其他施工</w:t>
            </w:r>
          </w:p>
        </w:tc>
        <w:tc>
          <w:tcPr>
            <w:tcW w:w="5335" w:type="dxa"/>
            <w:vAlign w:val="center"/>
          </w:tcPr>
          <w:p>
            <w:pPr>
              <w:pStyle w:val="69"/>
              <w:spacing w:line="240" w:lineRule="auto"/>
              <w:ind w:firstLine="0"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场地硬化、休息室等</w:t>
            </w:r>
          </w:p>
        </w:tc>
        <w:tc>
          <w:tcPr>
            <w:tcW w:w="1611" w:type="dxa"/>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5-10万/站</w:t>
            </w:r>
          </w:p>
        </w:tc>
      </w:tr>
    </w:tbl>
    <w:p>
      <w:pPr>
        <w:pStyle w:val="69"/>
        <w:ind w:firstLine="640"/>
        <w:rPr>
          <w:color w:val="000000" w:themeColor="text1"/>
          <w14:textFill>
            <w14:solidFill>
              <w14:schemeClr w14:val="tx1"/>
            </w14:solidFill>
          </w14:textFill>
        </w:rPr>
      </w:pPr>
      <w:r>
        <w:rPr>
          <w:color w:val="000000" w:themeColor="text1"/>
          <w14:textFill>
            <w14:solidFill>
              <w14:schemeClr w14:val="tx1"/>
            </w14:solidFill>
          </w14:textFill>
        </w:rPr>
        <w:t>根据以下取费原则</w:t>
      </w:r>
      <w:r>
        <w:rPr>
          <w:rFonts w:hint="eastAsia"/>
          <w:color w:val="000000" w:themeColor="text1"/>
          <w14:textFill>
            <w14:solidFill>
              <w14:schemeClr w14:val="tx1"/>
            </w14:solidFill>
          </w14:textFill>
        </w:rPr>
        <w:t>，接入点100米内的低压接入站费用在0.8-1万，建议快充站投资建设取值0.9万/台。</w:t>
      </w:r>
    </w:p>
    <w:p>
      <w:pPr>
        <w:pStyle w:val="69"/>
        <w:spacing w:line="24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w:t>
      </w:r>
      <w:r>
        <w:rPr>
          <w:color w:val="000000" w:themeColor="text1"/>
          <w:sz w:val="24"/>
          <w14:textFill>
            <w14:solidFill>
              <w14:schemeClr w14:val="tx1"/>
            </w14:solidFill>
          </w14:textFill>
        </w:rPr>
        <w:t>8-2</w:t>
      </w:r>
      <w:r>
        <w:rPr>
          <w:rFonts w:hint="eastAsia"/>
          <w:color w:val="000000" w:themeColor="text1"/>
          <w:sz w:val="24"/>
          <w14:textFill>
            <w14:solidFill>
              <w14:schemeClr w14:val="tx1"/>
            </w14:solidFill>
          </w14:textFill>
        </w:rPr>
        <w:t>交流枪站投资估算表</w:t>
      </w:r>
    </w:p>
    <w:tbl>
      <w:tblPr>
        <w:tblStyle w:val="34"/>
        <w:tblW w:w="8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03"/>
        <w:gridCol w:w="5319"/>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6"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序号</w:t>
            </w:r>
          </w:p>
        </w:tc>
        <w:tc>
          <w:tcPr>
            <w:tcW w:w="1203"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内容</w:t>
            </w:r>
          </w:p>
        </w:tc>
        <w:tc>
          <w:tcPr>
            <w:tcW w:w="5319"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取费原则</w:t>
            </w:r>
          </w:p>
        </w:tc>
        <w:tc>
          <w:tcPr>
            <w:tcW w:w="1611" w:type="dxa"/>
            <w:shd w:val="clear" w:color="auto" w:fill="auto"/>
            <w:noWrap/>
            <w:vAlign w:val="center"/>
          </w:tcPr>
          <w:p>
            <w:pPr>
              <w:pStyle w:val="69"/>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计算方式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0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低压施工</w:t>
            </w:r>
          </w:p>
        </w:tc>
        <w:tc>
          <w:tcPr>
            <w:tcW w:w="5319" w:type="dxa"/>
            <w:shd w:val="clear" w:color="auto" w:fill="auto"/>
            <w:noWrap/>
            <w:vAlign w:val="center"/>
          </w:tcPr>
          <w:p>
            <w:pPr>
              <w:pStyle w:val="69"/>
              <w:spacing w:line="240" w:lineRule="auto"/>
              <w:ind w:firstLine="0"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根据充电桩数量计算（电源点到配电箱距离100米内，配电箱至终端平均30米内）</w:t>
            </w:r>
          </w:p>
        </w:tc>
        <w:tc>
          <w:tcPr>
            <w:tcW w:w="1611"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2500元/桩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　</w:t>
            </w:r>
          </w:p>
        </w:tc>
        <w:tc>
          <w:tcPr>
            <w:tcW w:w="120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低压电缆（铜线）</w:t>
            </w:r>
          </w:p>
        </w:tc>
        <w:tc>
          <w:tcPr>
            <w:tcW w:w="5319" w:type="dxa"/>
            <w:shd w:val="clear" w:color="auto" w:fill="auto"/>
            <w:noWrap/>
            <w:vAlign w:val="center"/>
          </w:tcPr>
          <w:p>
            <w:pPr>
              <w:pStyle w:val="69"/>
              <w:spacing w:line="240" w:lineRule="auto"/>
              <w:ind w:firstLine="0"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根据充电桩数量计算（电源点到配电箱距离100米内，配电箱至终端平均30米内）</w:t>
            </w:r>
          </w:p>
        </w:tc>
        <w:tc>
          <w:tcPr>
            <w:tcW w:w="1611"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3500元/桩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6"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p>
        </w:tc>
        <w:tc>
          <w:tcPr>
            <w:tcW w:w="1203"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充电设备</w:t>
            </w:r>
          </w:p>
        </w:tc>
        <w:tc>
          <w:tcPr>
            <w:tcW w:w="5319" w:type="dxa"/>
            <w:shd w:val="clear" w:color="auto" w:fill="auto"/>
            <w:noWrap/>
            <w:vAlign w:val="center"/>
          </w:tcPr>
          <w:p>
            <w:pPr>
              <w:pStyle w:val="69"/>
              <w:spacing w:line="240" w:lineRule="auto"/>
              <w:ind w:firstLine="0"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根据充电桩数量计算</w:t>
            </w:r>
          </w:p>
        </w:tc>
        <w:tc>
          <w:tcPr>
            <w:tcW w:w="1611" w:type="dxa"/>
            <w:shd w:val="clear" w:color="auto" w:fill="auto"/>
            <w:noWrap/>
            <w:vAlign w:val="center"/>
          </w:tcPr>
          <w:p>
            <w:pPr>
              <w:pStyle w:val="69"/>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2000元/桩</w:t>
            </w:r>
          </w:p>
        </w:tc>
      </w:tr>
    </w:tbl>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8.1.2总体</w:t>
      </w:r>
      <w:r>
        <w:rPr>
          <w:color w:val="000000" w:themeColor="text1"/>
          <w14:textFill>
            <w14:solidFill>
              <w14:schemeClr w14:val="tx1"/>
            </w14:solidFill>
          </w14:textFill>
        </w:rPr>
        <w:t>规模及</w:t>
      </w:r>
      <w:r>
        <w:rPr>
          <w:rFonts w:hint="eastAsia"/>
          <w:color w:val="000000" w:themeColor="text1"/>
          <w14:textFill>
            <w14:solidFill>
              <w14:schemeClr w14:val="tx1"/>
            </w14:solidFill>
          </w14:textFill>
        </w:rPr>
        <w:t>投资</w:t>
      </w:r>
      <w:r>
        <w:rPr>
          <w:color w:val="000000" w:themeColor="text1"/>
          <w14:textFill>
            <w14:solidFill>
              <w14:schemeClr w14:val="tx1"/>
            </w14:solidFill>
          </w14:textFill>
        </w:rPr>
        <w:t>估算</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据测算，2023-2025年，全区共需投资充电桩建设5461.5万元，其中2023年1722万元，2024年1731.6万元，2025年2007.9万元。</w:t>
      </w:r>
    </w:p>
    <w:p>
      <w:pPr>
        <w:pStyle w:val="69"/>
        <w:spacing w:line="24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表8</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镇海区</w:t>
      </w:r>
      <w:r>
        <w:rPr>
          <w:color w:val="000000" w:themeColor="text1"/>
          <w:sz w:val="24"/>
          <w14:textFill>
            <w14:solidFill>
              <w14:schemeClr w14:val="tx1"/>
            </w14:solidFill>
          </w14:textFill>
        </w:rPr>
        <w:t>充电设施规划总体投资估算表</w:t>
      </w:r>
    </w:p>
    <w:tbl>
      <w:tblPr>
        <w:tblStyle w:val="34"/>
        <w:tblW w:w="8949" w:type="dxa"/>
        <w:tblInd w:w="0" w:type="dxa"/>
        <w:tblLayout w:type="fixed"/>
        <w:tblCellMar>
          <w:top w:w="0" w:type="dxa"/>
          <w:left w:w="108" w:type="dxa"/>
          <w:bottom w:w="0" w:type="dxa"/>
          <w:right w:w="108" w:type="dxa"/>
        </w:tblCellMar>
      </w:tblPr>
      <w:tblGrid>
        <w:gridCol w:w="898"/>
        <w:gridCol w:w="1266"/>
        <w:gridCol w:w="955"/>
        <w:gridCol w:w="1166"/>
        <w:gridCol w:w="955"/>
        <w:gridCol w:w="1166"/>
        <w:gridCol w:w="1377"/>
        <w:gridCol w:w="1166"/>
      </w:tblGrid>
      <w:tr>
        <w:tblPrEx>
          <w:tblCellMar>
            <w:top w:w="0" w:type="dxa"/>
            <w:left w:w="108" w:type="dxa"/>
            <w:bottom w:w="0" w:type="dxa"/>
            <w:right w:w="108" w:type="dxa"/>
          </w:tblCellMar>
        </w:tblPrEx>
        <w:trPr>
          <w:trHeight w:val="454" w:hRule="atLeast"/>
        </w:trPr>
        <w:tc>
          <w:tcPr>
            <w:tcW w:w="89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年份</w:t>
            </w:r>
          </w:p>
        </w:tc>
        <w:tc>
          <w:tcPr>
            <w:tcW w:w="126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辖区</w:t>
            </w:r>
          </w:p>
        </w:tc>
        <w:tc>
          <w:tcPr>
            <w:tcW w:w="212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直流桩</w:t>
            </w:r>
          </w:p>
        </w:tc>
        <w:tc>
          <w:tcPr>
            <w:tcW w:w="212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交流桩</w:t>
            </w:r>
          </w:p>
        </w:tc>
        <w:tc>
          <w:tcPr>
            <w:tcW w:w="137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总投资/万元</w:t>
            </w:r>
          </w:p>
        </w:tc>
        <w:tc>
          <w:tcPr>
            <w:tcW w:w="116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合计/万元</w:t>
            </w:r>
          </w:p>
        </w:tc>
      </w:tr>
      <w:tr>
        <w:tblPrEx>
          <w:tblCellMar>
            <w:top w:w="0" w:type="dxa"/>
            <w:left w:w="108" w:type="dxa"/>
            <w:bottom w:w="0" w:type="dxa"/>
            <w:right w:w="108" w:type="dxa"/>
          </w:tblCellMar>
        </w:tblPrEx>
        <w:trPr>
          <w:trHeight w:val="454" w:hRule="atLeast"/>
        </w:trPr>
        <w:tc>
          <w:tcPr>
            <w:tcW w:w="89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22"/>
              </w:rPr>
            </w:pPr>
          </w:p>
        </w:tc>
        <w:tc>
          <w:tcPr>
            <w:tcW w:w="12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22"/>
              </w:rPr>
            </w:pP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数量/个</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投资/万元</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数量/个</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投资/万元</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22"/>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22"/>
              </w:rPr>
            </w:pPr>
          </w:p>
        </w:tc>
      </w:tr>
      <w:tr>
        <w:tblPrEx>
          <w:tblCellMar>
            <w:top w:w="0" w:type="dxa"/>
            <w:left w:w="108" w:type="dxa"/>
            <w:bottom w:w="0" w:type="dxa"/>
            <w:right w:w="108" w:type="dxa"/>
          </w:tblCellMar>
        </w:tblPrEx>
        <w:trPr>
          <w:trHeight w:val="454" w:hRule="atLeast"/>
        </w:trPr>
        <w:tc>
          <w:tcPr>
            <w:tcW w:w="898"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2023年</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澥</w:t>
            </w:r>
            <w:r>
              <w:rPr>
                <w:rFonts w:hint="eastAsia" w:ascii="等线" w:hAnsi="等线" w:eastAsia="等线" w:cs="宋体"/>
                <w:color w:val="000000"/>
                <w:kern w:val="0"/>
                <w:sz w:val="24"/>
                <w:szCs w:val="24"/>
              </w:rPr>
              <w:t>浦镇</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481</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502.9</w:t>
            </w:r>
          </w:p>
        </w:tc>
        <w:tc>
          <w:tcPr>
            <w:tcW w:w="116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1722</w:t>
            </w:r>
          </w:p>
        </w:tc>
      </w:tr>
      <w:tr>
        <w:tblPrEx>
          <w:tblCellMar>
            <w:top w:w="0" w:type="dxa"/>
            <w:left w:w="108" w:type="dxa"/>
            <w:bottom w:w="0" w:type="dxa"/>
            <w:right w:w="108" w:type="dxa"/>
          </w:tblCellMar>
        </w:tblPrEx>
        <w:trPr>
          <w:trHeight w:val="454" w:hRule="atLeast"/>
        </w:trPr>
        <w:tc>
          <w:tcPr>
            <w:tcW w:w="89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九龙湖镇</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63.2</w:t>
            </w:r>
          </w:p>
        </w:tc>
        <w:tc>
          <w:tcPr>
            <w:tcW w:w="11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4" w:hRule="atLeast"/>
        </w:trPr>
        <w:tc>
          <w:tcPr>
            <w:tcW w:w="89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招宝山街道</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87</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288.3</w:t>
            </w:r>
          </w:p>
        </w:tc>
        <w:tc>
          <w:tcPr>
            <w:tcW w:w="11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4" w:hRule="atLeast"/>
        </w:trPr>
        <w:tc>
          <w:tcPr>
            <w:tcW w:w="89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蛟川街道</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73</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170.7</w:t>
            </w:r>
          </w:p>
        </w:tc>
        <w:tc>
          <w:tcPr>
            <w:tcW w:w="11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4" w:hRule="atLeast"/>
        </w:trPr>
        <w:tc>
          <w:tcPr>
            <w:tcW w:w="89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骆驼街道</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63</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36</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473.4</w:t>
            </w:r>
          </w:p>
        </w:tc>
        <w:tc>
          <w:tcPr>
            <w:tcW w:w="11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4" w:hRule="atLeast"/>
        </w:trPr>
        <w:tc>
          <w:tcPr>
            <w:tcW w:w="89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庄市街道</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223.5</w:t>
            </w:r>
          </w:p>
        </w:tc>
        <w:tc>
          <w:tcPr>
            <w:tcW w:w="11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4" w:hRule="atLeast"/>
        </w:trPr>
        <w:tc>
          <w:tcPr>
            <w:tcW w:w="898"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2024年</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澥</w:t>
            </w:r>
            <w:r>
              <w:rPr>
                <w:rFonts w:hint="eastAsia" w:ascii="等线" w:hAnsi="等线" w:eastAsia="等线" w:cs="宋体"/>
                <w:color w:val="000000"/>
                <w:kern w:val="0"/>
                <w:sz w:val="24"/>
                <w:szCs w:val="24"/>
              </w:rPr>
              <w:t>浦镇</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50</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171</w:t>
            </w:r>
          </w:p>
        </w:tc>
        <w:tc>
          <w:tcPr>
            <w:tcW w:w="116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1731.6</w:t>
            </w:r>
          </w:p>
        </w:tc>
      </w:tr>
      <w:tr>
        <w:tblPrEx>
          <w:tblCellMar>
            <w:top w:w="0" w:type="dxa"/>
            <w:left w:w="108" w:type="dxa"/>
            <w:bottom w:w="0" w:type="dxa"/>
            <w:right w:w="108" w:type="dxa"/>
          </w:tblCellMar>
        </w:tblPrEx>
        <w:trPr>
          <w:trHeight w:val="454" w:hRule="atLeast"/>
        </w:trPr>
        <w:tc>
          <w:tcPr>
            <w:tcW w:w="89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九龙湖镇</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39</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285.6</w:t>
            </w:r>
          </w:p>
        </w:tc>
        <w:tc>
          <w:tcPr>
            <w:tcW w:w="11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4" w:hRule="atLeast"/>
        </w:trPr>
        <w:tc>
          <w:tcPr>
            <w:tcW w:w="89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招宝山街道</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37</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32</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287.8</w:t>
            </w:r>
          </w:p>
        </w:tc>
        <w:tc>
          <w:tcPr>
            <w:tcW w:w="11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4" w:hRule="atLeast"/>
        </w:trPr>
        <w:tc>
          <w:tcPr>
            <w:tcW w:w="89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蛟川街道</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24</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25</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190.5</w:t>
            </w:r>
          </w:p>
        </w:tc>
        <w:tc>
          <w:tcPr>
            <w:tcW w:w="11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4" w:hRule="atLeast"/>
        </w:trPr>
        <w:tc>
          <w:tcPr>
            <w:tcW w:w="89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骆驼街道</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67</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27</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493.3</w:t>
            </w:r>
          </w:p>
        </w:tc>
        <w:tc>
          <w:tcPr>
            <w:tcW w:w="11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4" w:hRule="atLeast"/>
        </w:trPr>
        <w:tc>
          <w:tcPr>
            <w:tcW w:w="89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庄市街道</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26</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303.4</w:t>
            </w:r>
          </w:p>
        </w:tc>
        <w:tc>
          <w:tcPr>
            <w:tcW w:w="11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4" w:hRule="atLeast"/>
        </w:trPr>
        <w:tc>
          <w:tcPr>
            <w:tcW w:w="898"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2025年</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澥</w:t>
            </w:r>
            <w:r>
              <w:rPr>
                <w:rFonts w:hint="eastAsia" w:ascii="等线" w:hAnsi="等线" w:eastAsia="等线" w:cs="宋体"/>
                <w:color w:val="000000"/>
                <w:kern w:val="0"/>
                <w:sz w:val="24"/>
                <w:szCs w:val="24"/>
              </w:rPr>
              <w:t>浦镇</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26</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34</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212.6</w:t>
            </w:r>
          </w:p>
        </w:tc>
        <w:tc>
          <w:tcPr>
            <w:tcW w:w="116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2007.9</w:t>
            </w:r>
          </w:p>
        </w:tc>
      </w:tr>
      <w:tr>
        <w:tblPrEx>
          <w:tblCellMar>
            <w:top w:w="0" w:type="dxa"/>
            <w:left w:w="108" w:type="dxa"/>
            <w:bottom w:w="0" w:type="dxa"/>
            <w:right w:w="108" w:type="dxa"/>
          </w:tblCellMar>
        </w:tblPrEx>
        <w:trPr>
          <w:trHeight w:val="454" w:hRule="atLeast"/>
        </w:trPr>
        <w:tc>
          <w:tcPr>
            <w:tcW w:w="89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九龙湖镇</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35</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263</w:t>
            </w:r>
          </w:p>
        </w:tc>
        <w:tc>
          <w:tcPr>
            <w:tcW w:w="11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4" w:hRule="atLeast"/>
        </w:trPr>
        <w:tc>
          <w:tcPr>
            <w:tcW w:w="89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招宝山街道</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47</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37</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362.3</w:t>
            </w:r>
          </w:p>
        </w:tc>
        <w:tc>
          <w:tcPr>
            <w:tcW w:w="11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4" w:hRule="atLeast"/>
        </w:trPr>
        <w:tc>
          <w:tcPr>
            <w:tcW w:w="89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蛟川街道</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38</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35</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297.5</w:t>
            </w:r>
          </w:p>
        </w:tc>
        <w:tc>
          <w:tcPr>
            <w:tcW w:w="11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4" w:hRule="atLeast"/>
        </w:trPr>
        <w:tc>
          <w:tcPr>
            <w:tcW w:w="89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骆驼街道</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60</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456</w:t>
            </w:r>
          </w:p>
        </w:tc>
        <w:tc>
          <w:tcPr>
            <w:tcW w:w="11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4" w:hRule="atLeast"/>
        </w:trPr>
        <w:tc>
          <w:tcPr>
            <w:tcW w:w="89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庄市街道</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55</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35</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0.9</w:t>
            </w:r>
          </w:p>
        </w:tc>
        <w:tc>
          <w:tcPr>
            <w:tcW w:w="13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416.5</w:t>
            </w:r>
          </w:p>
        </w:tc>
        <w:tc>
          <w:tcPr>
            <w:tcW w:w="116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4" w:hRule="atLeast"/>
        </w:trPr>
        <w:tc>
          <w:tcPr>
            <w:tcW w:w="7783"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合计</w:t>
            </w:r>
          </w:p>
        </w:tc>
        <w:tc>
          <w:tcPr>
            <w:tcW w:w="11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5461.5</w:t>
            </w:r>
          </w:p>
        </w:tc>
      </w:tr>
    </w:tbl>
    <w:p>
      <w:pPr>
        <w:pStyle w:val="69"/>
        <w:spacing w:line="240" w:lineRule="auto"/>
        <w:ind w:firstLine="480"/>
        <w:jc w:val="center"/>
        <w:rPr>
          <w:color w:val="000000" w:themeColor="text1"/>
          <w:sz w:val="24"/>
          <w14:textFill>
            <w14:solidFill>
              <w14:schemeClr w14:val="tx1"/>
            </w14:solidFill>
          </w14:textFill>
        </w:rPr>
      </w:pPr>
    </w:p>
    <w:p>
      <w:pPr>
        <w:pStyle w:val="66"/>
        <w:numPr>
          <w:ilvl w:val="255"/>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（二）</w:t>
      </w:r>
      <w:bookmarkStart w:id="36" w:name="_Toc29319"/>
      <w:r>
        <w:rPr>
          <w:rFonts w:hint="eastAsia"/>
          <w:color w:val="000000" w:themeColor="text1"/>
          <w14:textFill>
            <w14:solidFill>
              <w14:schemeClr w14:val="tx1"/>
            </w14:solidFill>
          </w14:textFill>
        </w:rPr>
        <w:t>规划方案评估</w:t>
      </w:r>
      <w:bookmarkEnd w:id="36"/>
    </w:p>
    <w:p>
      <w:pPr>
        <w:pStyle w:val="67"/>
        <w:rPr>
          <w:color w:val="000000" w:themeColor="text1"/>
          <w14:textFill>
            <w14:solidFill>
              <w14:schemeClr w14:val="tx1"/>
            </w14:solidFill>
          </w14:textFill>
        </w:rPr>
      </w:pPr>
      <w:r>
        <w:rPr>
          <w:color w:val="000000" w:themeColor="text1"/>
          <w14:textFill>
            <w14:solidFill>
              <w14:schemeClr w14:val="tx1"/>
            </w14:solidFill>
          </w14:textFill>
        </w:rPr>
        <w:t>8.2.1</w:t>
      </w:r>
      <w:r>
        <w:rPr>
          <w:rFonts w:hint="eastAsia"/>
          <w:color w:val="000000" w:themeColor="text1"/>
          <w14:textFill>
            <w14:solidFill>
              <w14:schemeClr w14:val="tx1"/>
            </w14:solidFill>
          </w14:textFill>
        </w:rPr>
        <w:t>城市</w:t>
      </w:r>
      <w:r>
        <w:rPr>
          <w:color w:val="000000" w:themeColor="text1"/>
          <w14:textFill>
            <w14:solidFill>
              <w14:schemeClr w14:val="tx1"/>
            </w14:solidFill>
          </w14:textFill>
        </w:rPr>
        <w:t>范围评估</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以针对各行政村为单位的覆盖率统计，城市地区覆盖率由46.27</w:t>
      </w:r>
      <w:r>
        <w:rPr>
          <w:color w:val="000000" w:themeColor="text1"/>
          <w14:textFill>
            <w14:solidFill>
              <w14:schemeClr w14:val="tx1"/>
            </w14:solidFill>
          </w14:textFill>
        </w:rPr>
        <w:t>%增加至100.00%</w:t>
      </w:r>
      <w:r>
        <w:rPr>
          <w:rFonts w:hint="eastAsia"/>
          <w:color w:val="000000" w:themeColor="text1"/>
          <w14:textFill>
            <w14:solidFill>
              <w14:schemeClr w14:val="tx1"/>
            </w14:solidFill>
          </w14:textFill>
        </w:rPr>
        <w:t>（其中董家畈村、团桥村、钟包村因列入拆迁计划而未布置站点）</w:t>
      </w:r>
      <w:r>
        <w:rPr>
          <w:color w:val="000000" w:themeColor="text1"/>
          <w14:textFill>
            <w14:solidFill>
              <w14:schemeClr w14:val="tx1"/>
            </w14:solidFill>
          </w14:textFill>
        </w:rPr>
        <w:t>。</w:t>
      </w:r>
    </w:p>
    <w:p>
      <w:pPr>
        <w:pStyle w:val="69"/>
        <w:spacing w:line="24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表8</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镇海区</w:t>
      </w:r>
      <w:r>
        <w:rPr>
          <w:color w:val="000000" w:themeColor="text1"/>
          <w:sz w:val="24"/>
          <w14:textFill>
            <w14:solidFill>
              <w14:schemeClr w14:val="tx1"/>
            </w14:solidFill>
          </w14:textFill>
        </w:rPr>
        <w:t>城市地区</w:t>
      </w:r>
      <w:r>
        <w:rPr>
          <w:rFonts w:hint="eastAsia"/>
          <w:color w:val="000000" w:themeColor="text1"/>
          <w:sz w:val="24"/>
          <w14:textFill>
            <w14:solidFill>
              <w14:schemeClr w14:val="tx1"/>
            </w14:solidFill>
          </w14:textFill>
        </w:rPr>
        <w:t>规划</w:t>
      </w:r>
      <w:r>
        <w:rPr>
          <w:color w:val="000000" w:themeColor="text1"/>
          <w:sz w:val="24"/>
          <w14:textFill>
            <w14:solidFill>
              <w14:schemeClr w14:val="tx1"/>
            </w14:solidFill>
          </w14:textFill>
        </w:rPr>
        <w:t>方案评估表</w:t>
      </w:r>
    </w:p>
    <w:tbl>
      <w:tblPr>
        <w:tblStyle w:val="34"/>
        <w:tblW w:w="87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982"/>
        <w:gridCol w:w="954"/>
        <w:gridCol w:w="965"/>
        <w:gridCol w:w="965"/>
        <w:gridCol w:w="1345"/>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996" w:type="dxa"/>
            <w:vMerge w:val="restart"/>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辖区</w:t>
            </w:r>
          </w:p>
        </w:tc>
        <w:tc>
          <w:tcPr>
            <w:tcW w:w="982" w:type="dxa"/>
            <w:vMerge w:val="restart"/>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村</w:t>
            </w:r>
            <w:r>
              <w:rPr>
                <w:rFonts w:ascii="仿宋_GB2312" w:hAnsi="宋体" w:eastAsia="仿宋_GB2312" w:cs="宋体"/>
                <w:b/>
                <w:color w:val="000000" w:themeColor="text1"/>
                <w:kern w:val="0"/>
                <w:sz w:val="24"/>
                <w:szCs w:val="24"/>
                <w14:textFill>
                  <w14:solidFill>
                    <w14:schemeClr w14:val="tx1"/>
                  </w14:solidFill>
                </w14:textFill>
              </w:rPr>
              <w:t>/</w:t>
            </w:r>
            <w:r>
              <w:rPr>
                <w:rFonts w:hint="eastAsia" w:ascii="仿宋_GB2312" w:hAnsi="宋体" w:eastAsia="仿宋_GB2312" w:cs="宋体"/>
                <w:b/>
                <w:color w:val="000000" w:themeColor="text1"/>
                <w:kern w:val="0"/>
                <w:sz w:val="24"/>
                <w:szCs w:val="24"/>
                <w14:textFill>
                  <w14:solidFill>
                    <w14:schemeClr w14:val="tx1"/>
                  </w14:solidFill>
                </w14:textFill>
              </w:rPr>
              <w:t>社区</w:t>
            </w:r>
          </w:p>
        </w:tc>
        <w:tc>
          <w:tcPr>
            <w:tcW w:w="954" w:type="dxa"/>
            <w:vMerge w:val="restart"/>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总村</w:t>
            </w:r>
            <w:r>
              <w:rPr>
                <w:rFonts w:ascii="仿宋_GB2312" w:hAnsi="宋体" w:eastAsia="仿宋_GB2312" w:cs="宋体"/>
                <w:b/>
                <w:color w:val="000000" w:themeColor="text1"/>
                <w:kern w:val="0"/>
                <w:sz w:val="24"/>
                <w:szCs w:val="24"/>
                <w14:textFill>
                  <w14:solidFill>
                    <w14:schemeClr w14:val="tx1"/>
                  </w14:solidFill>
                </w14:textFill>
              </w:rPr>
              <w:t>/</w:t>
            </w:r>
            <w:r>
              <w:rPr>
                <w:rFonts w:hint="eastAsia" w:ascii="仿宋_GB2312" w:hAnsi="宋体" w:eastAsia="仿宋_GB2312" w:cs="宋体"/>
                <w:b/>
                <w:color w:val="000000" w:themeColor="text1"/>
                <w:kern w:val="0"/>
                <w:sz w:val="24"/>
                <w:szCs w:val="24"/>
                <w14:textFill>
                  <w14:solidFill>
                    <w14:schemeClr w14:val="tx1"/>
                  </w14:solidFill>
                </w14:textFill>
              </w:rPr>
              <w:t>社区数</w:t>
            </w:r>
          </w:p>
        </w:tc>
        <w:tc>
          <w:tcPr>
            <w:tcW w:w="965" w:type="dxa"/>
            <w:vMerge w:val="restart"/>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现状村</w:t>
            </w:r>
            <w:r>
              <w:rPr>
                <w:rFonts w:ascii="仿宋_GB2312" w:hAnsi="宋体" w:eastAsia="仿宋_GB2312" w:cs="宋体"/>
                <w:b/>
                <w:color w:val="000000" w:themeColor="text1"/>
                <w:kern w:val="0"/>
                <w:sz w:val="24"/>
                <w:szCs w:val="24"/>
                <w14:textFill>
                  <w14:solidFill>
                    <w14:schemeClr w14:val="tx1"/>
                  </w14:solidFill>
                </w14:textFill>
              </w:rPr>
              <w:t>/社区</w:t>
            </w:r>
            <w:r>
              <w:rPr>
                <w:rFonts w:hint="eastAsia" w:ascii="仿宋_GB2312" w:hAnsi="宋体" w:eastAsia="仿宋_GB2312" w:cs="宋体"/>
                <w:b/>
                <w:color w:val="000000" w:themeColor="text1"/>
                <w:kern w:val="0"/>
                <w:sz w:val="24"/>
                <w:szCs w:val="24"/>
                <w14:textFill>
                  <w14:solidFill>
                    <w14:schemeClr w14:val="tx1"/>
                  </w14:solidFill>
                </w14:textFill>
              </w:rPr>
              <w:t>数</w:t>
            </w:r>
          </w:p>
        </w:tc>
        <w:tc>
          <w:tcPr>
            <w:tcW w:w="965" w:type="dxa"/>
            <w:vMerge w:val="restart"/>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规划后村</w:t>
            </w:r>
            <w:r>
              <w:rPr>
                <w:rFonts w:ascii="仿宋_GB2312" w:hAnsi="宋体" w:eastAsia="仿宋_GB2312" w:cs="宋体"/>
                <w:b/>
                <w:color w:val="000000" w:themeColor="text1"/>
                <w:kern w:val="0"/>
                <w:sz w:val="24"/>
                <w:szCs w:val="24"/>
                <w14:textFill>
                  <w14:solidFill>
                    <w14:schemeClr w14:val="tx1"/>
                  </w14:solidFill>
                </w14:textFill>
              </w:rPr>
              <w:t>/社区</w:t>
            </w:r>
            <w:r>
              <w:rPr>
                <w:rFonts w:hint="eastAsia" w:ascii="仿宋_GB2312" w:hAnsi="宋体" w:eastAsia="仿宋_GB2312" w:cs="宋体"/>
                <w:b/>
                <w:color w:val="000000" w:themeColor="text1"/>
                <w:kern w:val="0"/>
                <w:sz w:val="24"/>
                <w:szCs w:val="24"/>
                <w14:textFill>
                  <w14:solidFill>
                    <w14:schemeClr w14:val="tx1"/>
                  </w14:solidFill>
                </w14:textFill>
              </w:rPr>
              <w:t>数</w:t>
            </w:r>
          </w:p>
        </w:tc>
        <w:tc>
          <w:tcPr>
            <w:tcW w:w="2861" w:type="dxa"/>
            <w:gridSpan w:val="2"/>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覆盖率评估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996" w:type="dxa"/>
            <w:vMerge w:val="continue"/>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982" w:type="dxa"/>
            <w:vMerge w:val="continue"/>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954" w:type="dxa"/>
            <w:vMerge w:val="continue"/>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965" w:type="dxa"/>
            <w:vMerge w:val="continue"/>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965" w:type="dxa"/>
            <w:vMerge w:val="continue"/>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1345" w:type="dxa"/>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现状社区覆盖率</w:t>
            </w:r>
          </w:p>
        </w:tc>
        <w:tc>
          <w:tcPr>
            <w:tcW w:w="1516" w:type="dxa"/>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规划后社区覆盖率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996" w:type="dxa"/>
            <w:vMerge w:val="restart"/>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招宝山街道</w:t>
            </w:r>
          </w:p>
        </w:tc>
        <w:tc>
          <w:tcPr>
            <w:tcW w:w="982" w:type="dxa"/>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社区</w:t>
            </w:r>
          </w:p>
        </w:tc>
        <w:tc>
          <w:tcPr>
            <w:tcW w:w="954"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11</w:t>
            </w:r>
          </w:p>
        </w:tc>
        <w:tc>
          <w:tcPr>
            <w:tcW w:w="96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4</w:t>
            </w:r>
          </w:p>
        </w:tc>
        <w:tc>
          <w:tcPr>
            <w:tcW w:w="965"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11</w:t>
            </w:r>
          </w:p>
        </w:tc>
        <w:tc>
          <w:tcPr>
            <w:tcW w:w="134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36.36%</w:t>
            </w:r>
          </w:p>
        </w:tc>
        <w:tc>
          <w:tcPr>
            <w:tcW w:w="1516"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996"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982" w:type="dxa"/>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村镇</w:t>
            </w:r>
          </w:p>
        </w:tc>
        <w:tc>
          <w:tcPr>
            <w:tcW w:w="954"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w:t>
            </w:r>
          </w:p>
        </w:tc>
        <w:tc>
          <w:tcPr>
            <w:tcW w:w="96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w:t>
            </w:r>
          </w:p>
        </w:tc>
        <w:tc>
          <w:tcPr>
            <w:tcW w:w="965"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w:t>
            </w:r>
          </w:p>
        </w:tc>
        <w:tc>
          <w:tcPr>
            <w:tcW w:w="134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w:t>
            </w:r>
          </w:p>
        </w:tc>
        <w:tc>
          <w:tcPr>
            <w:tcW w:w="1516"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978"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小计</w:t>
            </w:r>
          </w:p>
        </w:tc>
        <w:tc>
          <w:tcPr>
            <w:tcW w:w="95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965"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965"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11</w:t>
            </w:r>
          </w:p>
        </w:tc>
        <w:tc>
          <w:tcPr>
            <w:tcW w:w="134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36.36%</w:t>
            </w:r>
          </w:p>
        </w:tc>
        <w:tc>
          <w:tcPr>
            <w:tcW w:w="1516"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996" w:type="dxa"/>
            <w:vMerge w:val="restart"/>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蛟川街道</w:t>
            </w:r>
          </w:p>
        </w:tc>
        <w:tc>
          <w:tcPr>
            <w:tcW w:w="982" w:type="dxa"/>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社区</w:t>
            </w:r>
          </w:p>
        </w:tc>
        <w:tc>
          <w:tcPr>
            <w:tcW w:w="954"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13</w:t>
            </w:r>
          </w:p>
        </w:tc>
        <w:tc>
          <w:tcPr>
            <w:tcW w:w="96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6</w:t>
            </w:r>
          </w:p>
        </w:tc>
        <w:tc>
          <w:tcPr>
            <w:tcW w:w="965"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w:t>
            </w:r>
            <w:r>
              <w:rPr>
                <w:rFonts w:hint="eastAsia" w:ascii="Times New Roman" w:hAnsi="Times New Roman" w:eastAsia="宋体" w:cs="Times New Roman"/>
                <w:color w:val="000000" w:themeColor="text1"/>
                <w:kern w:val="0"/>
                <w:sz w:val="24"/>
                <w:szCs w:val="24"/>
                <w14:textFill>
                  <w14:solidFill>
                    <w14:schemeClr w14:val="tx1"/>
                  </w14:solidFill>
                </w14:textFill>
              </w:rPr>
              <w:t>3</w:t>
            </w:r>
          </w:p>
        </w:tc>
        <w:tc>
          <w:tcPr>
            <w:tcW w:w="134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46.15%</w:t>
            </w:r>
          </w:p>
        </w:tc>
        <w:tc>
          <w:tcPr>
            <w:tcW w:w="1516"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996"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982" w:type="dxa"/>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村镇</w:t>
            </w:r>
          </w:p>
        </w:tc>
        <w:tc>
          <w:tcPr>
            <w:tcW w:w="954"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6</w:t>
            </w:r>
          </w:p>
        </w:tc>
        <w:tc>
          <w:tcPr>
            <w:tcW w:w="96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2</w:t>
            </w:r>
          </w:p>
        </w:tc>
        <w:tc>
          <w:tcPr>
            <w:tcW w:w="965"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6</w:t>
            </w:r>
          </w:p>
        </w:tc>
        <w:tc>
          <w:tcPr>
            <w:tcW w:w="134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33.33%</w:t>
            </w:r>
          </w:p>
        </w:tc>
        <w:tc>
          <w:tcPr>
            <w:tcW w:w="1516"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978"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小计</w:t>
            </w:r>
          </w:p>
        </w:tc>
        <w:tc>
          <w:tcPr>
            <w:tcW w:w="95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19</w:t>
            </w:r>
          </w:p>
        </w:tc>
        <w:tc>
          <w:tcPr>
            <w:tcW w:w="965"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965"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w:t>
            </w:r>
            <w:r>
              <w:rPr>
                <w:rFonts w:hint="eastAsia" w:ascii="Times New Roman" w:hAnsi="Times New Roman" w:eastAsia="宋体" w:cs="Times New Roman"/>
                <w:color w:val="000000" w:themeColor="text1"/>
                <w:kern w:val="0"/>
                <w:sz w:val="24"/>
                <w:szCs w:val="24"/>
                <w14:textFill>
                  <w14:solidFill>
                    <w14:schemeClr w14:val="tx1"/>
                  </w14:solidFill>
                </w14:textFill>
              </w:rPr>
              <w:t>9</w:t>
            </w:r>
          </w:p>
        </w:tc>
        <w:tc>
          <w:tcPr>
            <w:tcW w:w="134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42.11%</w:t>
            </w:r>
          </w:p>
        </w:tc>
        <w:tc>
          <w:tcPr>
            <w:tcW w:w="1516"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100.00</w:t>
            </w:r>
            <w:r>
              <w:rPr>
                <w:rFonts w:ascii="Times New Roman" w:hAnsi="Times New Roman" w:eastAsia="宋体" w:cs="Times New Roman"/>
                <w:color w:val="000000" w:themeColor="text1"/>
                <w:kern w:val="0"/>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996" w:type="dxa"/>
            <w:vMerge w:val="restart"/>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骆驼街道</w:t>
            </w:r>
          </w:p>
        </w:tc>
        <w:tc>
          <w:tcPr>
            <w:tcW w:w="982" w:type="dxa"/>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社区</w:t>
            </w:r>
          </w:p>
        </w:tc>
        <w:tc>
          <w:tcPr>
            <w:tcW w:w="954"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12</w:t>
            </w:r>
          </w:p>
        </w:tc>
        <w:tc>
          <w:tcPr>
            <w:tcW w:w="96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9</w:t>
            </w:r>
          </w:p>
        </w:tc>
        <w:tc>
          <w:tcPr>
            <w:tcW w:w="965"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12</w:t>
            </w:r>
          </w:p>
        </w:tc>
        <w:tc>
          <w:tcPr>
            <w:tcW w:w="134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75.00%</w:t>
            </w:r>
          </w:p>
        </w:tc>
        <w:tc>
          <w:tcPr>
            <w:tcW w:w="1516"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996"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982" w:type="dxa"/>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村镇</w:t>
            </w:r>
          </w:p>
        </w:tc>
        <w:tc>
          <w:tcPr>
            <w:tcW w:w="954"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9</w:t>
            </w:r>
          </w:p>
        </w:tc>
        <w:tc>
          <w:tcPr>
            <w:tcW w:w="96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w:t>
            </w:r>
          </w:p>
        </w:tc>
        <w:tc>
          <w:tcPr>
            <w:tcW w:w="965"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9</w:t>
            </w:r>
          </w:p>
        </w:tc>
        <w:tc>
          <w:tcPr>
            <w:tcW w:w="134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w:t>
            </w:r>
          </w:p>
        </w:tc>
        <w:tc>
          <w:tcPr>
            <w:tcW w:w="1516"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100.00</w:t>
            </w:r>
            <w:r>
              <w:rPr>
                <w:rFonts w:ascii="Times New Roman" w:hAnsi="Times New Roman" w:eastAsia="宋体" w:cs="Times New Roman"/>
                <w:color w:val="000000" w:themeColor="text1"/>
                <w:kern w:val="0"/>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978"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小计</w:t>
            </w:r>
          </w:p>
        </w:tc>
        <w:tc>
          <w:tcPr>
            <w:tcW w:w="95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21</w:t>
            </w:r>
          </w:p>
        </w:tc>
        <w:tc>
          <w:tcPr>
            <w:tcW w:w="965"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w:t>
            </w:r>
          </w:p>
        </w:tc>
        <w:tc>
          <w:tcPr>
            <w:tcW w:w="965"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21</w:t>
            </w:r>
          </w:p>
        </w:tc>
        <w:tc>
          <w:tcPr>
            <w:tcW w:w="134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42.86%</w:t>
            </w:r>
          </w:p>
        </w:tc>
        <w:tc>
          <w:tcPr>
            <w:tcW w:w="1516"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100.00</w:t>
            </w:r>
            <w:r>
              <w:rPr>
                <w:rFonts w:ascii="Times New Roman" w:hAnsi="Times New Roman" w:eastAsia="宋体" w:cs="Times New Roman"/>
                <w:color w:val="000000" w:themeColor="text1"/>
                <w:kern w:val="0"/>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996" w:type="dxa"/>
            <w:vMerge w:val="restart"/>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庄市街道</w:t>
            </w:r>
          </w:p>
        </w:tc>
        <w:tc>
          <w:tcPr>
            <w:tcW w:w="982" w:type="dxa"/>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社区</w:t>
            </w:r>
          </w:p>
        </w:tc>
        <w:tc>
          <w:tcPr>
            <w:tcW w:w="954"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11</w:t>
            </w:r>
          </w:p>
        </w:tc>
        <w:tc>
          <w:tcPr>
            <w:tcW w:w="96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10</w:t>
            </w:r>
          </w:p>
        </w:tc>
        <w:tc>
          <w:tcPr>
            <w:tcW w:w="965"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11</w:t>
            </w:r>
          </w:p>
        </w:tc>
        <w:tc>
          <w:tcPr>
            <w:tcW w:w="134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90.91%</w:t>
            </w:r>
          </w:p>
        </w:tc>
        <w:tc>
          <w:tcPr>
            <w:tcW w:w="1516"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996"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982" w:type="dxa"/>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村镇</w:t>
            </w:r>
          </w:p>
        </w:tc>
        <w:tc>
          <w:tcPr>
            <w:tcW w:w="954"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5</w:t>
            </w:r>
          </w:p>
        </w:tc>
        <w:tc>
          <w:tcPr>
            <w:tcW w:w="96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w:t>
            </w:r>
          </w:p>
        </w:tc>
        <w:tc>
          <w:tcPr>
            <w:tcW w:w="965"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5</w:t>
            </w:r>
          </w:p>
        </w:tc>
        <w:tc>
          <w:tcPr>
            <w:tcW w:w="134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w:t>
            </w:r>
          </w:p>
        </w:tc>
        <w:tc>
          <w:tcPr>
            <w:tcW w:w="1516"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100</w:t>
            </w:r>
            <w:r>
              <w:rPr>
                <w:rFonts w:ascii="Times New Roman" w:hAnsi="Times New Roman" w:eastAsia="宋体" w:cs="Times New Roman"/>
                <w:color w:val="000000" w:themeColor="text1"/>
                <w:kern w:val="0"/>
                <w:sz w:val="24"/>
                <w:szCs w:val="24"/>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978"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小计</w:t>
            </w:r>
          </w:p>
        </w:tc>
        <w:tc>
          <w:tcPr>
            <w:tcW w:w="95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16</w:t>
            </w:r>
          </w:p>
        </w:tc>
        <w:tc>
          <w:tcPr>
            <w:tcW w:w="965"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965"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w:t>
            </w:r>
            <w:r>
              <w:rPr>
                <w:rFonts w:hint="eastAsia" w:ascii="Times New Roman" w:hAnsi="Times New Roman" w:eastAsia="宋体" w:cs="Times New Roman"/>
                <w:color w:val="000000" w:themeColor="text1"/>
                <w:kern w:val="0"/>
                <w:sz w:val="24"/>
                <w:szCs w:val="24"/>
                <w14:textFill>
                  <w14:solidFill>
                    <w14:schemeClr w14:val="tx1"/>
                  </w14:solidFill>
                </w14:textFill>
              </w:rPr>
              <w:t>6</w:t>
            </w:r>
          </w:p>
        </w:tc>
        <w:tc>
          <w:tcPr>
            <w:tcW w:w="134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62.50%</w:t>
            </w:r>
          </w:p>
        </w:tc>
        <w:tc>
          <w:tcPr>
            <w:tcW w:w="1516"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100.00</w:t>
            </w:r>
            <w:r>
              <w:rPr>
                <w:rFonts w:ascii="Times New Roman" w:hAnsi="Times New Roman" w:eastAsia="宋体" w:cs="Times New Roman"/>
                <w:color w:val="000000" w:themeColor="text1"/>
                <w:kern w:val="0"/>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978"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合计</w:t>
            </w:r>
          </w:p>
        </w:tc>
        <w:tc>
          <w:tcPr>
            <w:tcW w:w="954"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67</w:t>
            </w:r>
          </w:p>
        </w:tc>
        <w:tc>
          <w:tcPr>
            <w:tcW w:w="965"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31</w:t>
            </w:r>
          </w:p>
        </w:tc>
        <w:tc>
          <w:tcPr>
            <w:tcW w:w="965"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6</w:t>
            </w:r>
            <w:r>
              <w:rPr>
                <w:rFonts w:ascii="Times New Roman" w:hAnsi="Times New Roman" w:eastAsia="宋体" w:cs="Times New Roman"/>
                <w:color w:val="000000" w:themeColor="text1"/>
                <w:kern w:val="0"/>
                <w:sz w:val="24"/>
                <w:szCs w:val="24"/>
                <w14:textFill>
                  <w14:solidFill>
                    <w14:schemeClr w14:val="tx1"/>
                  </w14:solidFill>
                </w14:textFill>
              </w:rPr>
              <w:t>7</w:t>
            </w:r>
          </w:p>
        </w:tc>
        <w:tc>
          <w:tcPr>
            <w:tcW w:w="134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46.27%</w:t>
            </w:r>
          </w:p>
        </w:tc>
        <w:tc>
          <w:tcPr>
            <w:tcW w:w="1516"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100.00%</w:t>
            </w:r>
          </w:p>
        </w:tc>
      </w:tr>
    </w:tbl>
    <w:p>
      <w:pPr>
        <w:pStyle w:val="67"/>
        <w:rPr>
          <w:color w:val="000000" w:themeColor="text1"/>
          <w14:textFill>
            <w14:solidFill>
              <w14:schemeClr w14:val="tx1"/>
            </w14:solidFill>
          </w14:textFill>
        </w:rPr>
      </w:pPr>
      <w:r>
        <w:rPr>
          <w:color w:val="000000" w:themeColor="text1"/>
          <w14:textFill>
            <w14:solidFill>
              <w14:schemeClr w14:val="tx1"/>
            </w14:solidFill>
          </w14:textFill>
        </w:rPr>
        <w:t>8.2.2乡</w:t>
      </w:r>
      <w:r>
        <w:rPr>
          <w:rFonts w:hint="eastAsia"/>
          <w:color w:val="000000" w:themeColor="text1"/>
          <w14:textFill>
            <w14:solidFill>
              <w14:schemeClr w14:val="tx1"/>
            </w14:solidFill>
          </w14:textFill>
        </w:rPr>
        <w:t>村</w:t>
      </w:r>
      <w:r>
        <w:rPr>
          <w:color w:val="000000" w:themeColor="text1"/>
          <w14:textFill>
            <w14:solidFill>
              <w14:schemeClr w14:val="tx1"/>
            </w14:solidFill>
          </w14:textFill>
        </w:rPr>
        <w:t>范围评估</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以针对各行政村为单位的覆盖率统计，</w:t>
      </w:r>
      <w:r>
        <w:rPr>
          <w:color w:val="000000" w:themeColor="text1"/>
          <w14:textFill>
            <w14:solidFill>
              <w14:schemeClr w14:val="tx1"/>
            </w14:solidFill>
          </w14:textFill>
        </w:rPr>
        <w:t>乡村地区覆盖率由2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%增加至100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（其中思源社区因列入拆迁计划而未布置站点）</w:t>
      </w:r>
      <w:r>
        <w:rPr>
          <w:color w:val="000000" w:themeColor="text1"/>
          <w14:textFill>
            <w14:solidFill>
              <w14:schemeClr w14:val="tx1"/>
            </w14:solidFill>
          </w14:textFill>
        </w:rPr>
        <w:t>。</w:t>
      </w:r>
    </w:p>
    <w:p>
      <w:pPr>
        <w:pStyle w:val="69"/>
        <w:spacing w:line="24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表8</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镇海区乡村地区规划方案评估表</w:t>
      </w:r>
    </w:p>
    <w:tbl>
      <w:tblPr>
        <w:tblStyle w:val="34"/>
        <w:tblW w:w="87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1029"/>
        <w:gridCol w:w="1029"/>
        <w:gridCol w:w="1029"/>
        <w:gridCol w:w="1029"/>
        <w:gridCol w:w="1375"/>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8" w:type="dxa"/>
            <w:vMerge w:val="restart"/>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辖区</w:t>
            </w:r>
          </w:p>
        </w:tc>
        <w:tc>
          <w:tcPr>
            <w:tcW w:w="1029" w:type="dxa"/>
            <w:vMerge w:val="restart"/>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社区</w:t>
            </w:r>
            <w:r>
              <w:rPr>
                <w:rFonts w:ascii="仿宋_GB2312" w:hAnsi="宋体" w:eastAsia="仿宋_GB2312" w:cs="宋体"/>
                <w:b/>
                <w:color w:val="000000" w:themeColor="text1"/>
                <w:kern w:val="0"/>
                <w:sz w:val="24"/>
                <w:szCs w:val="24"/>
                <w14:textFill>
                  <w14:solidFill>
                    <w14:schemeClr w14:val="tx1"/>
                  </w14:solidFill>
                </w14:textFill>
              </w:rPr>
              <w:t>/</w:t>
            </w:r>
            <w:r>
              <w:rPr>
                <w:rFonts w:hint="eastAsia" w:ascii="仿宋_GB2312" w:hAnsi="宋体" w:eastAsia="仿宋_GB2312" w:cs="宋体"/>
                <w:b/>
                <w:color w:val="000000" w:themeColor="text1"/>
                <w:kern w:val="0"/>
                <w:sz w:val="24"/>
                <w:szCs w:val="24"/>
                <w14:textFill>
                  <w14:solidFill>
                    <w14:schemeClr w14:val="tx1"/>
                  </w14:solidFill>
                </w14:textFill>
              </w:rPr>
              <w:t>村镇）</w:t>
            </w:r>
          </w:p>
        </w:tc>
        <w:tc>
          <w:tcPr>
            <w:tcW w:w="1029" w:type="dxa"/>
            <w:vMerge w:val="restart"/>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总社区</w:t>
            </w:r>
            <w:r>
              <w:rPr>
                <w:rFonts w:ascii="仿宋_GB2312" w:hAnsi="宋体" w:eastAsia="仿宋_GB2312" w:cs="宋体"/>
                <w:b/>
                <w:color w:val="000000" w:themeColor="text1"/>
                <w:kern w:val="0"/>
                <w:sz w:val="24"/>
                <w:szCs w:val="24"/>
                <w14:textFill>
                  <w14:solidFill>
                    <w14:schemeClr w14:val="tx1"/>
                  </w14:solidFill>
                </w14:textFill>
              </w:rPr>
              <w:t>/</w:t>
            </w:r>
            <w:r>
              <w:rPr>
                <w:rFonts w:hint="eastAsia" w:ascii="仿宋_GB2312" w:hAnsi="宋体" w:eastAsia="仿宋_GB2312" w:cs="宋体"/>
                <w:b/>
                <w:color w:val="000000" w:themeColor="text1"/>
                <w:kern w:val="0"/>
                <w:sz w:val="24"/>
                <w:szCs w:val="24"/>
                <w14:textFill>
                  <w14:solidFill>
                    <w14:schemeClr w14:val="tx1"/>
                  </w14:solidFill>
                </w14:textFill>
              </w:rPr>
              <w:t>村镇数</w:t>
            </w:r>
          </w:p>
        </w:tc>
        <w:tc>
          <w:tcPr>
            <w:tcW w:w="1029" w:type="dxa"/>
            <w:vMerge w:val="restart"/>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现状社区</w:t>
            </w:r>
            <w:r>
              <w:rPr>
                <w:rFonts w:ascii="仿宋_GB2312" w:hAnsi="宋体" w:eastAsia="仿宋_GB2312" w:cs="宋体"/>
                <w:b/>
                <w:color w:val="000000" w:themeColor="text1"/>
                <w:kern w:val="0"/>
                <w:sz w:val="24"/>
                <w:szCs w:val="24"/>
                <w14:textFill>
                  <w14:solidFill>
                    <w14:schemeClr w14:val="tx1"/>
                  </w14:solidFill>
                </w14:textFill>
              </w:rPr>
              <w:t>/</w:t>
            </w:r>
            <w:r>
              <w:rPr>
                <w:rFonts w:hint="eastAsia" w:ascii="仿宋_GB2312" w:hAnsi="宋体" w:eastAsia="仿宋_GB2312" w:cs="宋体"/>
                <w:b/>
                <w:color w:val="000000" w:themeColor="text1"/>
                <w:kern w:val="0"/>
                <w:sz w:val="24"/>
                <w:szCs w:val="24"/>
                <w14:textFill>
                  <w14:solidFill>
                    <w14:schemeClr w14:val="tx1"/>
                  </w14:solidFill>
                </w14:textFill>
              </w:rPr>
              <w:t>村镇数</w:t>
            </w:r>
          </w:p>
        </w:tc>
        <w:tc>
          <w:tcPr>
            <w:tcW w:w="1029" w:type="dxa"/>
            <w:vMerge w:val="restart"/>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规划后社区</w:t>
            </w:r>
            <w:r>
              <w:rPr>
                <w:rFonts w:ascii="仿宋_GB2312" w:hAnsi="宋体" w:eastAsia="仿宋_GB2312" w:cs="宋体"/>
                <w:b/>
                <w:color w:val="000000" w:themeColor="text1"/>
                <w:kern w:val="0"/>
                <w:sz w:val="24"/>
                <w:szCs w:val="24"/>
                <w14:textFill>
                  <w14:solidFill>
                    <w14:schemeClr w14:val="tx1"/>
                  </w14:solidFill>
                </w14:textFill>
              </w:rPr>
              <w:t>/</w:t>
            </w:r>
            <w:r>
              <w:rPr>
                <w:rFonts w:hint="eastAsia" w:ascii="仿宋_GB2312" w:hAnsi="宋体" w:eastAsia="仿宋_GB2312" w:cs="宋体"/>
                <w:b/>
                <w:color w:val="000000" w:themeColor="text1"/>
                <w:kern w:val="0"/>
                <w:sz w:val="24"/>
                <w:szCs w:val="24"/>
                <w14:textFill>
                  <w14:solidFill>
                    <w14:schemeClr w14:val="tx1"/>
                  </w14:solidFill>
                </w14:textFill>
              </w:rPr>
              <w:t>村镇数</w:t>
            </w:r>
          </w:p>
        </w:tc>
        <w:tc>
          <w:tcPr>
            <w:tcW w:w="2919" w:type="dxa"/>
            <w:gridSpan w:val="2"/>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覆盖率评估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8" w:type="dxa"/>
            <w:vMerge w:val="continue"/>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1029" w:type="dxa"/>
            <w:vMerge w:val="continue"/>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1029" w:type="dxa"/>
            <w:vMerge w:val="continue"/>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1029" w:type="dxa"/>
            <w:vMerge w:val="continue"/>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1029" w:type="dxa"/>
            <w:vMerge w:val="continue"/>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1375" w:type="dxa"/>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现状社区覆盖率</w:t>
            </w:r>
          </w:p>
        </w:tc>
        <w:tc>
          <w:tcPr>
            <w:tcW w:w="1544" w:type="dxa"/>
            <w:shd w:val="clear" w:color="auto" w:fill="auto"/>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规划后社区覆盖率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8" w:type="dxa"/>
            <w:vMerge w:val="restart"/>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澥浦镇</w:t>
            </w:r>
          </w:p>
        </w:tc>
        <w:tc>
          <w:tcPr>
            <w:tcW w:w="1029" w:type="dxa"/>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社区</w:t>
            </w:r>
          </w:p>
        </w:tc>
        <w:tc>
          <w:tcPr>
            <w:tcW w:w="1029"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4</w:t>
            </w:r>
          </w:p>
        </w:tc>
        <w:tc>
          <w:tcPr>
            <w:tcW w:w="1029"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w:t>
            </w:r>
          </w:p>
        </w:tc>
        <w:tc>
          <w:tcPr>
            <w:tcW w:w="1029"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4</w:t>
            </w:r>
          </w:p>
        </w:tc>
        <w:tc>
          <w:tcPr>
            <w:tcW w:w="137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25.00%</w:t>
            </w:r>
          </w:p>
        </w:tc>
        <w:tc>
          <w:tcPr>
            <w:tcW w:w="1544"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8"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1029" w:type="dxa"/>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村镇</w:t>
            </w:r>
          </w:p>
        </w:tc>
        <w:tc>
          <w:tcPr>
            <w:tcW w:w="1029"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6</w:t>
            </w:r>
          </w:p>
        </w:tc>
        <w:tc>
          <w:tcPr>
            <w:tcW w:w="1029"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2</w:t>
            </w:r>
          </w:p>
        </w:tc>
        <w:tc>
          <w:tcPr>
            <w:tcW w:w="1029"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6</w:t>
            </w:r>
          </w:p>
        </w:tc>
        <w:tc>
          <w:tcPr>
            <w:tcW w:w="137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33.33%</w:t>
            </w:r>
          </w:p>
        </w:tc>
        <w:tc>
          <w:tcPr>
            <w:tcW w:w="1544"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17"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小计</w:t>
            </w:r>
          </w:p>
        </w:tc>
        <w:tc>
          <w:tcPr>
            <w:tcW w:w="1029"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1029"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1029"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10</w:t>
            </w:r>
          </w:p>
        </w:tc>
        <w:tc>
          <w:tcPr>
            <w:tcW w:w="137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30.00%</w:t>
            </w:r>
          </w:p>
        </w:tc>
        <w:tc>
          <w:tcPr>
            <w:tcW w:w="1544"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8" w:type="dxa"/>
            <w:vMerge w:val="restart"/>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九龙湖镇</w:t>
            </w:r>
          </w:p>
        </w:tc>
        <w:tc>
          <w:tcPr>
            <w:tcW w:w="1029" w:type="dxa"/>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社区</w:t>
            </w:r>
          </w:p>
        </w:tc>
        <w:tc>
          <w:tcPr>
            <w:tcW w:w="1029"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3</w:t>
            </w:r>
          </w:p>
        </w:tc>
        <w:tc>
          <w:tcPr>
            <w:tcW w:w="1029"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w:t>
            </w:r>
          </w:p>
        </w:tc>
        <w:tc>
          <w:tcPr>
            <w:tcW w:w="1029"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3</w:t>
            </w:r>
          </w:p>
        </w:tc>
        <w:tc>
          <w:tcPr>
            <w:tcW w:w="137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33.33%</w:t>
            </w:r>
          </w:p>
        </w:tc>
        <w:tc>
          <w:tcPr>
            <w:tcW w:w="1544"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8" w:type="dxa"/>
            <w:vMerge w:val="continue"/>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1029" w:type="dxa"/>
            <w:shd w:val="clear" w:color="auto" w:fill="auto"/>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村镇</w:t>
            </w:r>
          </w:p>
        </w:tc>
        <w:tc>
          <w:tcPr>
            <w:tcW w:w="1029"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11</w:t>
            </w:r>
          </w:p>
        </w:tc>
        <w:tc>
          <w:tcPr>
            <w:tcW w:w="1029"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2</w:t>
            </w:r>
          </w:p>
        </w:tc>
        <w:tc>
          <w:tcPr>
            <w:tcW w:w="1029"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11</w:t>
            </w:r>
          </w:p>
        </w:tc>
        <w:tc>
          <w:tcPr>
            <w:tcW w:w="137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18.18%</w:t>
            </w:r>
          </w:p>
        </w:tc>
        <w:tc>
          <w:tcPr>
            <w:tcW w:w="1544"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17"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小计</w:t>
            </w:r>
          </w:p>
        </w:tc>
        <w:tc>
          <w:tcPr>
            <w:tcW w:w="1029"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14</w:t>
            </w:r>
          </w:p>
        </w:tc>
        <w:tc>
          <w:tcPr>
            <w:tcW w:w="1029"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1029"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14</w:t>
            </w:r>
          </w:p>
        </w:tc>
        <w:tc>
          <w:tcPr>
            <w:tcW w:w="137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21.43%</w:t>
            </w:r>
          </w:p>
        </w:tc>
        <w:tc>
          <w:tcPr>
            <w:tcW w:w="1544"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17" w:type="dxa"/>
            <w:gridSpan w:val="2"/>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合计</w:t>
            </w:r>
          </w:p>
        </w:tc>
        <w:tc>
          <w:tcPr>
            <w:tcW w:w="1029" w:type="dxa"/>
            <w:shd w:val="clear" w:color="auto" w:fill="auto"/>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24</w:t>
            </w:r>
          </w:p>
        </w:tc>
        <w:tc>
          <w:tcPr>
            <w:tcW w:w="1029"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6</w:t>
            </w:r>
          </w:p>
        </w:tc>
        <w:tc>
          <w:tcPr>
            <w:tcW w:w="1029" w:type="dxa"/>
            <w:shd w:val="clear" w:color="auto" w:fill="auto"/>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2</w:t>
            </w:r>
            <w:r>
              <w:rPr>
                <w:rFonts w:ascii="Times New Roman" w:hAnsi="Times New Roman" w:eastAsia="宋体" w:cs="Times New Roman"/>
                <w:color w:val="000000" w:themeColor="text1"/>
                <w:kern w:val="0"/>
                <w:sz w:val="24"/>
                <w:szCs w:val="24"/>
                <w14:textFill>
                  <w14:solidFill>
                    <w14:schemeClr w14:val="tx1"/>
                  </w14:solidFill>
                </w14:textFill>
              </w:rPr>
              <w:t>4</w:t>
            </w:r>
          </w:p>
        </w:tc>
        <w:tc>
          <w:tcPr>
            <w:tcW w:w="1375"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25.00%</w:t>
            </w:r>
          </w:p>
        </w:tc>
        <w:tc>
          <w:tcPr>
            <w:tcW w:w="1544" w:type="dxa"/>
            <w:shd w:val="clear" w:color="auto" w:fill="auto"/>
            <w:noWrap/>
            <w:vAlign w:val="center"/>
          </w:tcPr>
          <w:p>
            <w:pPr>
              <w:widowControl/>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100.00%</w:t>
            </w:r>
          </w:p>
        </w:tc>
      </w:tr>
    </w:tbl>
    <w:p>
      <w:pPr>
        <w:pStyle w:val="65"/>
        <w:numPr>
          <w:ilvl w:val="0"/>
          <w:numId w:val="11"/>
        </w:numPr>
        <w:rPr>
          <w:color w:val="000000" w:themeColor="text1"/>
          <w14:textFill>
            <w14:solidFill>
              <w14:schemeClr w14:val="tx1"/>
            </w14:solidFill>
          </w14:textFill>
        </w:rPr>
        <w:sectPr>
          <w:pgSz w:w="11907" w:h="16840"/>
          <w:pgMar w:top="1440" w:right="1587" w:bottom="1440" w:left="1587" w:header="851" w:footer="992" w:gutter="0"/>
          <w:cols w:space="720" w:num="1"/>
          <w:docGrid w:type="lines" w:linePitch="312" w:charSpace="0"/>
        </w:sectPr>
      </w:pPr>
      <w:bookmarkStart w:id="37" w:name="_Toc18468"/>
    </w:p>
    <w:p>
      <w:pPr>
        <w:pStyle w:val="65"/>
        <w:numPr>
          <w:ilvl w:val="0"/>
          <w:numId w:val="11"/>
        </w:numPr>
        <w:rPr>
          <w:color w:val="000000" w:themeColor="text1"/>
          <w:lang w:eastAsia="zh-Hans"/>
          <w14:textFill>
            <w14:solidFill>
              <w14:schemeClr w14:val="tx1"/>
            </w14:solidFill>
          </w14:textFill>
        </w:rPr>
      </w:pPr>
      <w:r>
        <w:rPr>
          <w:rFonts w:hint="eastAsia"/>
          <w:color w:val="000000" w:themeColor="text1"/>
          <w14:textFill>
            <w14:solidFill>
              <w14:schemeClr w14:val="tx1"/>
            </w14:solidFill>
          </w14:textFill>
        </w:rPr>
        <w:t>结论及建议</w:t>
      </w:r>
      <w:bookmarkEnd w:id="37"/>
    </w:p>
    <w:p>
      <w:pPr>
        <w:pStyle w:val="69"/>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（一）结论</w:t>
      </w:r>
    </w:p>
    <w:p>
      <w:pPr>
        <w:pStyle w:val="69"/>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1.站点规模方面</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通过2023-2025年集中建设，新增站点170个，城市地区119个，乡村地区51个，显著提升镇海区公共充电枪站点规模。至“十四五”末，计划公共充电设施站点达到243个，其中，城市地区</w:t>
      </w:r>
      <w:r>
        <w:rPr>
          <w:color w:val="000000" w:themeColor="text1"/>
          <w14:textFill>
            <w14:solidFill>
              <w14:schemeClr w14:val="tx1"/>
            </w14:solidFill>
          </w14:textFill>
        </w:rPr>
        <w:t>184</w:t>
      </w:r>
      <w:r>
        <w:rPr>
          <w:rFonts w:hint="eastAsia"/>
          <w:color w:val="000000" w:themeColor="text1"/>
          <w14:textFill>
            <w14:solidFill>
              <w14:schemeClr w14:val="tx1"/>
            </w14:solidFill>
          </w14:textFill>
        </w:rPr>
        <w:t>个，乡村地区</w:t>
      </w:r>
      <w:r>
        <w:rPr>
          <w:color w:val="000000" w:themeColor="text1"/>
          <w14:textFill>
            <w14:solidFill>
              <w14:schemeClr w14:val="tx1"/>
            </w14:solidFill>
          </w14:textFill>
        </w:rPr>
        <w:t>59</w:t>
      </w:r>
      <w:r>
        <w:rPr>
          <w:rFonts w:hint="eastAsia"/>
          <w:color w:val="000000" w:themeColor="text1"/>
          <w14:textFill>
            <w14:solidFill>
              <w14:schemeClr w14:val="tx1"/>
            </w14:solidFill>
          </w14:textFill>
        </w:rPr>
        <w:t>个。</w:t>
      </w:r>
    </w:p>
    <w:p>
      <w:pPr>
        <w:pStyle w:val="69"/>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2.站点覆盖方面</w:t>
      </w:r>
    </w:p>
    <w:p>
      <w:pPr>
        <w:pStyle w:val="69"/>
        <w:ind w:firstLine="64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截至</w:t>
      </w:r>
      <w:r>
        <w:rPr>
          <w:rFonts w:hint="eastAsia"/>
          <w:color w:val="000000" w:themeColor="text1"/>
          <w14:textFill>
            <w14:solidFill>
              <w14:schemeClr w14:val="tx1"/>
            </w14:solidFill>
          </w14:textFill>
        </w:rPr>
        <w:t>2023年7月，全区行政村（社区）91个。按规划要求，至“十四五”末，充电设施“村村通”全覆盖（拆迁等情况不能覆盖的行政村（社区）除外），为新能源车下乡提供基础保障。</w:t>
      </w:r>
    </w:p>
    <w:p>
      <w:pPr>
        <w:pStyle w:val="69"/>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3.充电桩布局方面</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按照居民区慢充为主、商业区快充为主、办公区快慢相济的布局原则，完善各镇（街道）充电设施区域布局。招宝山街道、庄市街道、蛟川街道以保障居民区为主、庄市街道、骆驼街道以保障商业区、办公区为主、</w:t>
      </w:r>
      <w:r>
        <w:rPr>
          <w:rFonts w:hint="eastAsia" w:ascii="微软雅黑" w:hAnsi="微软雅黑" w:eastAsia="微软雅黑" w:cs="微软雅黑"/>
          <w:color w:val="000000" w:themeColor="text1"/>
          <w14:textFill>
            <w14:solidFill>
              <w14:schemeClr w14:val="tx1"/>
            </w14:solidFill>
          </w14:textFill>
        </w:rPr>
        <w:t>澥</w:t>
      </w:r>
      <w:r>
        <w:rPr>
          <w:rFonts w:hint="eastAsia" w:ascii="仿宋_GB2312" w:hAnsi="仿宋_GB2312" w:cs="仿宋_GB2312"/>
          <w:color w:val="000000" w:themeColor="text1"/>
          <w14:textFill>
            <w14:solidFill>
              <w14:schemeClr w14:val="tx1"/>
            </w14:solidFill>
          </w14:textFill>
        </w:rPr>
        <w:t>浦镇、九龙湖镇以保障农村充电设施布点为主。按规划要求，至“十四五”末，全区公共充电枪达到</w:t>
      </w:r>
      <w:r>
        <w:rPr>
          <w:rFonts w:hint="eastAsia"/>
          <w:color w:val="000000" w:themeColor="text1"/>
          <w14:textFill>
            <w14:solidFill>
              <w14:schemeClr w14:val="tx1"/>
            </w14:solidFill>
          </w14:textFill>
        </w:rPr>
        <w:t>2648根。</w:t>
      </w:r>
    </w:p>
    <w:p>
      <w:pPr>
        <w:pStyle w:val="69"/>
        <w:ind w:firstLine="0" w:firstLineChars="0"/>
        <w:rPr>
          <w:rFonts w:eastAsia="楷体_GB2312"/>
          <w:b/>
          <w:color w:val="000000" w:themeColor="text1"/>
          <w:szCs w:val="36"/>
          <w14:textFill>
            <w14:solidFill>
              <w14:schemeClr w14:val="tx1"/>
            </w14:solidFill>
          </w14:textFill>
        </w:rPr>
      </w:pPr>
      <w:r>
        <w:rPr>
          <w:rFonts w:hint="eastAsia" w:eastAsia="楷体_GB2312"/>
          <w:b/>
          <w:color w:val="000000" w:themeColor="text1"/>
          <w:szCs w:val="36"/>
          <w14:textFill>
            <w14:solidFill>
              <w14:schemeClr w14:val="tx1"/>
            </w14:solidFill>
          </w14:textFill>
        </w:rPr>
        <w:t>（二）建议</w:t>
      </w:r>
    </w:p>
    <w:p>
      <w:pPr>
        <w:pStyle w:val="69"/>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1.强化主体责任，加强推进力度</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切实加强组织领导，压紧压实政府统筹推进充电基础设施建设发展的主体责任，将充电基础设施建设管理作为完善基础设施和公共服务的重要着力点，建立发改、建交、自然资源、经信、商务、消防救援等单位紧密协同的推进机制，组建工作专班，强化对各地指导，加强建设完成情况和质量考评晾晒，确保政策有效、群众有感、市场有序。</w:t>
      </w:r>
    </w:p>
    <w:p>
      <w:pPr>
        <w:pStyle w:val="69"/>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2.助推“统建统服”，保障运维有序</w:t>
      </w:r>
    </w:p>
    <w:p>
      <w:pPr>
        <w:pStyle w:val="69"/>
        <w:ind w:firstLine="640"/>
        <w:rPr>
          <w:b/>
          <w:color w:val="000000" w:themeColor="text1"/>
          <w14:textFill>
            <w14:solidFill>
              <w14:schemeClr w14:val="tx1"/>
            </w14:solidFill>
          </w14:textFill>
        </w:rPr>
      </w:pPr>
      <w:r>
        <w:rPr>
          <w:rFonts w:hint="eastAsia"/>
          <w:color w:val="000000" w:themeColor="text1"/>
          <w14:textFill>
            <w14:solidFill>
              <w14:schemeClr w14:val="tx1"/>
            </w14:solidFill>
          </w14:textFill>
        </w:rPr>
        <w:t>依托浙里办“一键找桩”平台，引导充电设施运营平台有序接入，实现全区公共充电基础设施100％全接入，鼓励国有企业参与并承担相关充电设施建设任务推进工作，推动“统建统服”“共建共享”充电基础设施有序接入，推动规划布局、建设运营、消防安全、计量检定、车桩协同等多跨综合监管。引导燃油车维修企业向新能源汽车维修保养领域拓展，促进信息互通，提供应急救援。规范日常维护保养、应急处理等，提升设施利用率和故障处置能力。建立充电设施运维问题发现、通报、整改、反馈的全链条、闭环式管理机制，及时清退离线桩、故障桩、僵尸桩。</w:t>
      </w:r>
      <w:r>
        <w:rPr>
          <w:rFonts w:hint="eastAsia"/>
          <w:b/>
          <w:color w:val="000000" w:themeColor="text1"/>
          <w14:textFill>
            <w14:solidFill>
              <w14:schemeClr w14:val="tx1"/>
            </w14:solidFill>
          </w14:textFill>
        </w:rPr>
        <w:br w:type="textWrapping"/>
      </w:r>
      <w:r>
        <w:rPr>
          <w:rFonts w:hint="eastAsia"/>
          <w:b/>
          <w:color w:val="000000" w:themeColor="text1"/>
          <w14:textFill>
            <w14:solidFill>
              <w14:schemeClr w14:val="tx1"/>
            </w14:solidFill>
          </w14:textFill>
        </w:rPr>
        <w:t>3.完善电网支撑，保障配套能力</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电网扩容要与充电基础设施规划建设相匹配，适度超前预留高压、大功率充电保障能力，确保配电设施满足建桩接电需要。开辟电力扩容等审批绿色服务通道。对充电桩低压报装供电提供零投资服务，电网企业承担电表至公共电网连接点工程费用。对高压充电基础设施节点，电网企业投资到用户红线。</w:t>
      </w:r>
    </w:p>
    <w:p>
      <w:pPr>
        <w:pStyle w:val="69"/>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4.落实要素支持，强化保障能力</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（1）鼓励参照省市两级充电基础建设运营补贴政策要求，开展相关财政补贴支持工作，提高农村地区政策针对性及可落实性，加大政策扶持范围，激发更多民营及国企主动担当，加强资金补助完善性合理性。</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（2）鼓励开展品牌项目建设工作，对打造“光充储放”的试点项目，通过提供地方政府专项债券等支持符合条件的充电基础设施项目建设。</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（3）鼓励对充电基础设施场地租金实行阶段性减免。</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（4）加大新农村建设规划衔接力度，将充电设施建设与新农村建设整体结合。</w:t>
      </w:r>
    </w:p>
    <w:p>
      <w:pPr>
        <w:pStyle w:val="69"/>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5.加大宣传力度，推动充电汽车发展</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鼓励加快充电汽车在党政机关、学校、医院、企业等单位的推广应用，大力提高公务用车中充电汽车使用比例，发挥示范引领作用。</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用好各类媒体渠道，加强政策宣传解读，加强不同类型新能源汽车的使用、技术、安全等方面知识宣传推广。加强舆论监督，积极回应群众诉求，曝光损害消费者权益、妨碍充电设施建设运营行为。</w:t>
      </w:r>
    </w:p>
    <w:p>
      <w:pPr>
        <w:pStyle w:val="69"/>
        <w:ind w:firstLine="0" w:firstLineChars="0"/>
        <w:rPr>
          <w:b/>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65"/>
        <w:numPr>
          <w:ilvl w:val="0"/>
          <w:numId w:val="0"/>
        </w:numPr>
        <w:rPr>
          <w:color w:val="000000" w:themeColor="text1"/>
          <w14:textFill>
            <w14:solidFill>
              <w14:schemeClr w14:val="tx1"/>
            </w14:solidFill>
          </w14:textFill>
        </w:rPr>
      </w:pPr>
      <w:r>
        <w:rPr>
          <w:rFonts w:hint="eastAsia"/>
          <w:color w:val="000000" w:themeColor="text1"/>
          <w:lang w:eastAsia="zh-Hans"/>
          <w14:textFill>
            <w14:solidFill>
              <w14:schemeClr w14:val="tx1"/>
            </w14:solidFill>
          </w14:textFill>
        </w:rPr>
        <w:t>附件</w:t>
      </w:r>
      <w:r>
        <w:rPr>
          <w:color w:val="000000" w:themeColor="text1"/>
          <w14:textFill>
            <w14:solidFill>
              <w14:schemeClr w14:val="tx1"/>
            </w14:solidFill>
          </w14:textFill>
        </w:rPr>
        <w:t>1</w:t>
      </w:r>
    </w:p>
    <w:p>
      <w:pPr>
        <w:pStyle w:val="65"/>
        <w:numPr>
          <w:ilvl w:val="0"/>
          <w:numId w:val="0"/>
        </w:num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《镇海区现状</w:t>
      </w:r>
      <w:r>
        <w:rPr>
          <w:color w:val="000000" w:themeColor="text1"/>
          <w14:textFill>
            <w14:solidFill>
              <w14:schemeClr w14:val="tx1"/>
            </w14:solidFill>
          </w14:textFill>
        </w:rPr>
        <w:t>充</w:t>
      </w:r>
      <w:r>
        <w:rPr>
          <w:rFonts w:hint="eastAsia"/>
          <w:color w:val="000000" w:themeColor="text1"/>
          <w14:textFill>
            <w14:solidFill>
              <w14:schemeClr w14:val="tx1"/>
            </w14:solidFill>
          </w14:textFill>
        </w:rPr>
        <w:t>电</w:t>
      </w:r>
      <w:r>
        <w:rPr>
          <w:color w:val="000000" w:themeColor="text1"/>
          <w14:textFill>
            <w14:solidFill>
              <w14:schemeClr w14:val="tx1"/>
            </w14:solidFill>
          </w14:textFill>
        </w:rPr>
        <w:t>设施</w:t>
      </w:r>
      <w:r>
        <w:rPr>
          <w:rFonts w:hint="eastAsia"/>
          <w:color w:val="000000" w:themeColor="text1"/>
          <w14:textFill>
            <w14:solidFill>
              <w14:schemeClr w14:val="tx1"/>
            </w14:solidFill>
          </w14:textFill>
        </w:rPr>
        <w:t>已建</w:t>
      </w:r>
      <w:r>
        <w:rPr>
          <w:color w:val="000000" w:themeColor="text1"/>
          <w14:textFill>
            <w14:solidFill>
              <w14:schemeClr w14:val="tx1"/>
            </w14:solidFill>
          </w14:textFill>
        </w:rPr>
        <w:t>站点</w:t>
      </w:r>
      <w:r>
        <w:rPr>
          <w:rFonts w:hint="eastAsia"/>
          <w:color w:val="000000" w:themeColor="text1"/>
          <w14:textFill>
            <w14:solidFill>
              <w14:schemeClr w14:val="tx1"/>
            </w14:solidFill>
          </w14:textFill>
        </w:rPr>
        <w:t>汇总</w:t>
      </w:r>
      <w:r>
        <w:rPr>
          <w:color w:val="000000" w:themeColor="text1"/>
          <w14:textFill>
            <w14:solidFill>
              <w14:schemeClr w14:val="tx1"/>
            </w14:solidFill>
          </w14:textFill>
        </w:rPr>
        <w:t>表</w:t>
      </w:r>
      <w:r>
        <w:rPr>
          <w:rFonts w:hint="eastAsia"/>
          <w:color w:val="000000" w:themeColor="text1"/>
          <w14:textFill>
            <w14:solidFill>
              <w14:schemeClr w14:val="tx1"/>
            </w14:solidFill>
          </w14:textFill>
        </w:rPr>
        <w:t>》（截至2022年）</w:t>
      </w:r>
    </w:p>
    <w:p>
      <w:pPr>
        <w:pStyle w:val="69"/>
        <w:spacing w:line="240" w:lineRule="auto"/>
        <w:ind w:firstLine="480"/>
        <w:jc w:val="center"/>
      </w:pPr>
      <w:r>
        <w:rPr>
          <w:rFonts w:hint="eastAsia"/>
          <w:color w:val="000000" w:themeColor="text1"/>
          <w:sz w:val="24"/>
          <w14:textFill>
            <w14:solidFill>
              <w14:schemeClr w14:val="tx1"/>
            </w14:solidFill>
          </w14:textFill>
        </w:rPr>
        <w:t xml:space="preserve">附表1镇海区现状充电设施已建站点汇总表 </w:t>
      </w:r>
      <w:r>
        <w:rPr>
          <w:rFonts w:hint="eastAsia"/>
        </w:rPr>
        <w:t xml:space="preserve">   </w:t>
      </w:r>
    </w:p>
    <w:tbl>
      <w:tblPr>
        <w:tblStyle w:val="34"/>
        <w:tblW w:w="8723" w:type="dxa"/>
        <w:tblInd w:w="0" w:type="dxa"/>
        <w:tblLayout w:type="fixed"/>
        <w:tblCellMar>
          <w:top w:w="0" w:type="dxa"/>
          <w:left w:w="108" w:type="dxa"/>
          <w:bottom w:w="0" w:type="dxa"/>
          <w:right w:w="108" w:type="dxa"/>
        </w:tblCellMar>
      </w:tblPr>
      <w:tblGrid>
        <w:gridCol w:w="558"/>
        <w:gridCol w:w="902"/>
        <w:gridCol w:w="2080"/>
        <w:gridCol w:w="2980"/>
        <w:gridCol w:w="708"/>
        <w:gridCol w:w="708"/>
        <w:gridCol w:w="787"/>
      </w:tblGrid>
      <w:tr>
        <w:tblPrEx>
          <w:tblCellMar>
            <w:top w:w="0" w:type="dxa"/>
            <w:left w:w="108" w:type="dxa"/>
            <w:bottom w:w="0" w:type="dxa"/>
            <w:right w:w="108" w:type="dxa"/>
          </w:tblCellMar>
        </w:tblPrEx>
        <w:trPr>
          <w:trHeight w:val="454" w:hRule="atLeast"/>
          <w:tblHeader/>
        </w:trPr>
        <w:tc>
          <w:tcPr>
            <w:tcW w:w="55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序号</w:t>
            </w:r>
          </w:p>
        </w:tc>
        <w:tc>
          <w:tcPr>
            <w:tcW w:w="9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所属村</w:t>
            </w:r>
          </w:p>
        </w:tc>
        <w:tc>
          <w:tcPr>
            <w:tcW w:w="2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已建站点</w:t>
            </w:r>
          </w:p>
        </w:tc>
        <w:tc>
          <w:tcPr>
            <w:tcW w:w="29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详细地址</w:t>
            </w:r>
          </w:p>
        </w:tc>
        <w:tc>
          <w:tcPr>
            <w:tcW w:w="2203"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充电设施数量/根</w:t>
            </w:r>
          </w:p>
        </w:tc>
      </w:tr>
      <w:tr>
        <w:tblPrEx>
          <w:tblCellMar>
            <w:top w:w="0" w:type="dxa"/>
            <w:left w:w="108" w:type="dxa"/>
            <w:bottom w:w="0" w:type="dxa"/>
            <w:right w:w="108" w:type="dxa"/>
          </w:tblCellMar>
        </w:tblPrEx>
        <w:trPr>
          <w:trHeight w:val="454" w:hRule="atLeast"/>
          <w:tblHeader/>
        </w:trPr>
        <w:tc>
          <w:tcPr>
            <w:tcW w:w="55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color w:val="000000"/>
                <w:kern w:val="0"/>
                <w:sz w:val="24"/>
                <w:szCs w:val="24"/>
              </w:rPr>
            </w:pPr>
          </w:p>
        </w:tc>
        <w:tc>
          <w:tcPr>
            <w:tcW w:w="9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color w:val="000000"/>
                <w:kern w:val="0"/>
                <w:sz w:val="24"/>
                <w:szCs w:val="24"/>
              </w:rPr>
            </w:pPr>
          </w:p>
        </w:tc>
        <w:tc>
          <w:tcPr>
            <w:tcW w:w="2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color w:val="000000"/>
                <w:kern w:val="0"/>
                <w:sz w:val="24"/>
                <w:szCs w:val="24"/>
              </w:rPr>
            </w:pPr>
          </w:p>
        </w:tc>
        <w:tc>
          <w:tcPr>
            <w:tcW w:w="29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color w:val="000000"/>
                <w:kern w:val="0"/>
                <w:sz w:val="24"/>
                <w:szCs w:val="24"/>
              </w:rPr>
            </w:pP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直流枪</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交流枪</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总数</w:t>
            </w:r>
          </w:p>
        </w:tc>
      </w:tr>
      <w:tr>
        <w:tblPrEx>
          <w:tblCellMar>
            <w:top w:w="0" w:type="dxa"/>
            <w:left w:w="108" w:type="dxa"/>
            <w:bottom w:w="0" w:type="dxa"/>
            <w:right w:w="108" w:type="dxa"/>
          </w:tblCellMar>
        </w:tblPrEx>
        <w:trPr>
          <w:trHeight w:val="454" w:hRule="atLeast"/>
        </w:trPr>
        <w:tc>
          <w:tcPr>
            <w:tcW w:w="8723"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一、</w:t>
            </w:r>
            <w:r>
              <w:rPr>
                <w:rFonts w:hint="eastAsia" w:ascii="微软雅黑" w:hAnsi="微软雅黑" w:eastAsia="微软雅黑" w:cs="微软雅黑"/>
                <w:color w:val="000000"/>
                <w:kern w:val="0"/>
                <w:sz w:val="24"/>
                <w:szCs w:val="24"/>
              </w:rPr>
              <w:t>澥</w:t>
            </w:r>
            <w:r>
              <w:rPr>
                <w:rFonts w:hint="eastAsia" w:ascii="仿宋_GB2312" w:hAnsi="仿宋_GB2312" w:eastAsia="仿宋_GB2312" w:cs="仿宋_GB2312"/>
                <w:color w:val="000000"/>
                <w:kern w:val="0"/>
                <w:sz w:val="24"/>
                <w:szCs w:val="24"/>
              </w:rPr>
              <w:t>浦镇</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90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十七房村</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浙江省宁波市镇海区十七房风景区充电站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浙江省宁波市镇海区澥浦镇开源路与广源路交叉口十七房风景区东停车场</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永易充十七房中车公交站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浙江省宁波市镇海区澥浦镇广源路十七房公交站</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90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汇源社区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宁波泰格广场充电站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浙江省宁波市镇海区广源路99号地面停车场</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c>
          <w:tcPr>
            <w:tcW w:w="787"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90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岚山村</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金果园南岚湾现代农业园区充电桩</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浙江省宁波市镇海区澥浦镇炼蟹线</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CellMar>
            <w:top w:w="0" w:type="dxa"/>
            <w:left w:w="108" w:type="dxa"/>
            <w:bottom w:w="0" w:type="dxa"/>
            <w:right w:w="108" w:type="dxa"/>
          </w:tblCellMar>
        </w:tblPrEx>
        <w:trPr>
          <w:trHeight w:val="454" w:hRule="atLeast"/>
        </w:trPr>
        <w:tc>
          <w:tcPr>
            <w:tcW w:w="8723"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二、九龙湖镇</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河头村</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浙江省宁波市镇海区九龙湖风景区充电站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浙江省宁波市镇海区九龙湖镇九龙湖风景区充电站</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河头村</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永易充九龙湖中车公交站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浙江省宁波市镇海区九龙湖镇九龙湖行政村九龙湖游客服务中心门口</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九龙湖村</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宁波绿捷开元九龙湖充电站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宁波绿捷开元九龙湖充电站</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龙源社区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永易充九龙湖政府站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浙江省宁波市镇海区龙源路7号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r>
      <w:tr>
        <w:tblPrEx>
          <w:tblCellMar>
            <w:top w:w="0" w:type="dxa"/>
            <w:left w:w="108" w:type="dxa"/>
            <w:bottom w:w="0" w:type="dxa"/>
            <w:right w:w="108" w:type="dxa"/>
          </w:tblCellMar>
        </w:tblPrEx>
        <w:trPr>
          <w:trHeight w:val="454" w:hRule="atLeast"/>
        </w:trPr>
        <w:tc>
          <w:tcPr>
            <w:tcW w:w="8723"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三、招宝山街道</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9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后海塘社区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宁波市镇海区镇海客运中心充电站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宁波市镇海区镇海聪园路与雄镇路交叉口</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r>
      <w:tr>
        <w:tblPrEx>
          <w:tblCellMar>
            <w:top w:w="0" w:type="dxa"/>
            <w:left w:w="108" w:type="dxa"/>
            <w:bottom w:w="0" w:type="dxa"/>
            <w:right w:w="108" w:type="dxa"/>
          </w:tblCellMar>
        </w:tblPrEx>
        <w:trPr>
          <w:trHeight w:val="1203"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宁波镇海区物流枢纽港本部充电站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浙江省宁波市镇海区招宝山街道平海路1188号物流枢纽港D座</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r>
      <w:tr>
        <w:tblPrEx>
          <w:tblCellMar>
            <w:top w:w="0" w:type="dxa"/>
            <w:left w:w="108" w:type="dxa"/>
            <w:bottom w:w="0" w:type="dxa"/>
            <w:right w:w="108" w:type="dxa"/>
          </w:tblCellMar>
        </w:tblPrEx>
        <w:trPr>
          <w:trHeight w:val="1303"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宁波镇海区中石化镇海大桥加油站公共充电站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浙江省宁波市镇海区招宝山街道环城北路36号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9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海港社区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宁波绿捷物资配送充电站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物资配送公司煤场</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宁波招宝山景区门口</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宁波市镇海区招宝山旅游风景区南二门对面</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车站路社区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永易充镇海车站路充电站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浙江省宁波市镇海区车站路355号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总浦桥社区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宁波镇海维科招宝广场充电站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浙江省宁波市镇海区招宝山街道维科招宝广场SOHO停车场（出入口）</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9</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9</w:t>
            </w:r>
          </w:p>
        </w:tc>
      </w:tr>
      <w:tr>
        <w:tblPrEx>
          <w:tblCellMar>
            <w:top w:w="0" w:type="dxa"/>
            <w:left w:w="108" w:type="dxa"/>
            <w:bottom w:w="0" w:type="dxa"/>
            <w:right w:w="108" w:type="dxa"/>
          </w:tblCellMar>
        </w:tblPrEx>
        <w:trPr>
          <w:trHeight w:val="454" w:hRule="atLeast"/>
        </w:trPr>
        <w:tc>
          <w:tcPr>
            <w:tcW w:w="8723"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四、蛟川街道</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9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青枫社区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永易充镇海俞范东路充电站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浙江省宁波市镇海区俞范东路88号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浙江省宁波市镇海区三明电力充电站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浙江宁波市镇海区蛟川街道俞范东路88号三明电力公司停车场</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宁波镇海青枫雅苑小区充电站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浙江省宁波市镇海区蛟川街道镇骆东路59号青枫雅苑</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12</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12</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宁波市镇海区人民法院充电站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宁波市镇海区人民法院</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9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陈家村</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宁波绕城高速镇海服务区充电站（宁波方向）</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宁波绕城高速镇海服务区（宁波方向）</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宁波绕城高速镇海服务区充电站（舟山方向）</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宁波绕城高速镇海服务区（舟山方向）</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9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石塘下社区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宁波市金恒德奥奥迪4S店直流站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浙江省宁波市镇海区蛟川街道俞范东路金恒德人车生活商业广场古塘路与俞范东路交叉口东南方向129米</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宁波镇海区中石化镇海城郊加油站公共充电站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浙江省宁波市镇海区蛟川街道石塘下村王家</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炼化社区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新材料研究院</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镇海区蛟川街道棉丰路88号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19</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23</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棉丰村</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宁波镇海蛟川街道棉丰充电站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浙江省宁波市镇海区蛟川街道双桥路</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清水浦村</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宁波镇海大创园充电站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浙江省宁波市镇海区中官路1188号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12</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五里牌社区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永易充镇海成套公司站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浙江省宁波市镇海区金锚路25号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镇电社区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镇海区液化大厦充电站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蛟川街道大运路1号,近中国液体化工交易市场</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12</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9</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中一社区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宁波华隆美辰充电站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蛟川街道镇骆东路329号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r>
      <w:tr>
        <w:tblPrEx>
          <w:tblCellMar>
            <w:top w:w="0" w:type="dxa"/>
            <w:left w:w="108" w:type="dxa"/>
            <w:bottom w:w="0" w:type="dxa"/>
            <w:right w:w="108" w:type="dxa"/>
          </w:tblCellMar>
        </w:tblPrEx>
        <w:trPr>
          <w:trHeight w:val="454" w:hRule="atLeast"/>
        </w:trPr>
        <w:tc>
          <w:tcPr>
            <w:tcW w:w="8723"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五、骆驼街道</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9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箭港湖社区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浙江省宁波市镇海区西大河公园充电站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浙江省宁波市镇海区西大河南路公园停车场</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镇海区四季永逸大饭店充电站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浙江省宁波市镇海区骆驼慈海南路1718号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浙江省宁波市镇海区行政服务中心北充电站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浙江省宁波市镇海区金华南路55-57号镇海区行政服务中心北侧停车场</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宁波镇海城投大厦充电站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浙江省宁波市镇海区民和路789号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迪赛邻里充电站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宁波市镇海区三五路与民和路交叉口</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宁波镇海银泰百货充电站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浙江省宁波市镇海区骆驼街道镇海大道699号银泰百货(镇海店)</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21</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永易充镇海区政府站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宁波市镇海区骆驼街道民和路569号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9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金邑社区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永易充镇海金华中车公交站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浙江省宁波市镇海区骆驼街道金华路西侧、南二路南侧充电桩</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永易充镇海金华中车公交站三期</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浙江省宁波市镇海区骆驼街道金华路西侧、南二路南侧充电桩</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24</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宁波金邑水岸充电站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骆驼街道金悦路67号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11</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11</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9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静远社区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镇海区腾日大厦充电站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浙江省宁波市镇海区骆驼街道镇海大道中段399号腾日大厦</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13</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金宁大厦充电桩</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浙江省宁波市镇海区镇海大道中段417号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镇海金宁大厦地下停车场</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宁波市镇海区镇海大道中段417号地下停车场</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9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莲晴社区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宁波镇海利时广场充电站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浙江省宁波市镇海区骆驼街道镇骆西路91弄利时广场</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15</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15</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宁波镇海区中石化镇海骆驼加油站公共充电站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浙江省宁波市镇海区骆驼街道望海北路255号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c>
          <w:tcPr>
            <w:tcW w:w="9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盛家社区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永易充镇海公交充电站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浙江省宁波市镇海区骆驼街道盛家社区慈海南路慈海南路公交公司场区内充电桩</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53</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123</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宁波亚太中国电子大厦充电站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浙江省宁波市镇海区寺后胡巷88号地下停车场003-008车位</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12</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12</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桕墅方社区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小骆花园充电站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浙江省宁波市镇海区骆驼街道长骆路小骆花园</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12</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15</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南一社区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永易充镇海金华中车公交站四期</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浙江省宁波市镇海区骆驼街道金华路西侧、南二路南侧充电桩</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24</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新晨社区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宁波市镇海区新城吾悦广场充电站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宁波市镇海区骆驼街道永茂西路999号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9</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中街社区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宁波富邦精业汽车充电站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浙江省宁波市镇海区通和路6号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r>
      <w:tr>
        <w:tblPrEx>
          <w:tblCellMar>
            <w:top w:w="0" w:type="dxa"/>
            <w:left w:w="108" w:type="dxa"/>
            <w:bottom w:w="0" w:type="dxa"/>
            <w:right w:w="108" w:type="dxa"/>
          </w:tblCellMar>
        </w:tblPrEx>
        <w:trPr>
          <w:trHeight w:val="454" w:hRule="atLeast"/>
        </w:trPr>
        <w:tc>
          <w:tcPr>
            <w:tcW w:w="8723"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六、庄市街道</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9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同心湖社区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绿轴体育公园</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逸夫路与钟包路交叉口西南150米地下停车场(123-130）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宁波绿轴体育公园</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宁波市镇海区万科绿轴体育公园</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宁波镇海合生国际城停车场充电站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浙江省宁波市镇海区庄市街道官仓路合生国际城</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12</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12</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镇海区万科1902广场充电站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宁波市镇海区庄市街道庄市大道1088号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12</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12</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902"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庄市社区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浙江省宁波市镇海区宁波植物园充电站</w:t>
            </w:r>
          </w:p>
        </w:tc>
        <w:tc>
          <w:tcPr>
            <w:tcW w:w="29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浙江省宁波市镇海区骆驼街道永茂东路宁波植物园</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w:t>
            </w:r>
          </w:p>
        </w:tc>
        <w:tc>
          <w:tcPr>
            <w:tcW w:w="78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rPr>
            </w:pPr>
          </w:p>
        </w:tc>
        <w:tc>
          <w:tcPr>
            <w:tcW w:w="90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宁波镇海植物园停车场充电站</w:t>
            </w:r>
          </w:p>
        </w:tc>
        <w:tc>
          <w:tcPr>
            <w:tcW w:w="29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浙江省宁波市镇海区永茂东路1314号植物园3号门停车场</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w:t>
            </w:r>
          </w:p>
        </w:tc>
        <w:tc>
          <w:tcPr>
            <w:tcW w:w="78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rPr>
            </w:pPr>
          </w:p>
        </w:tc>
        <w:tc>
          <w:tcPr>
            <w:tcW w:w="90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蔚来换电站 宁波植物园</w:t>
            </w:r>
          </w:p>
        </w:tc>
        <w:tc>
          <w:tcPr>
            <w:tcW w:w="29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宁波植物园3号门停车场</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w:t>
            </w:r>
          </w:p>
        </w:tc>
        <w:tc>
          <w:tcPr>
            <w:tcW w:w="78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rPr>
            </w:pPr>
          </w:p>
        </w:tc>
        <w:tc>
          <w:tcPr>
            <w:tcW w:w="90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宁波植物园1号门停车场超充站</w:t>
            </w:r>
          </w:p>
        </w:tc>
        <w:tc>
          <w:tcPr>
            <w:tcW w:w="29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浙江省宁波市镇海区庄市街道宁波植物园1号门停车场</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36</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0</w:t>
            </w:r>
          </w:p>
        </w:tc>
        <w:tc>
          <w:tcPr>
            <w:tcW w:w="78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36</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9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湖滨社区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ZEEKR Power宁波镇海开元名都酒店极充站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宁波市镇海区庄市大道788号开元名都大酒店地面停车位</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宁波镇海新青年开元广场（西区）充电站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庄市街道同心路888号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78</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92</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镇海1688青年广场东区充电站(不支持开票)</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xml:space="preserve">浙江省宁波市镇海区同心路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43</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49</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宁波镇海开元广场充电站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浙江省宁波市镇海区庄市街道同心路开元广场</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20</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9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高教社区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【已暂停】镇海区同心苑充电站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宁波市镇海区庄市大道8号(同心苑)宁大北大门对面</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宁波赛思学术会堂充电站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浙江省宁波市镇海区思源路266号赛思学术会堂地下车库</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宁波市镇海区镇海新材料小镇客厅停车场充电站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宁波市镇海区同心路568号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49</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49</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c>
          <w:tcPr>
            <w:tcW w:w="9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陈倪路社区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【已暂停】镇海区书香丽景充电站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宁波市镇海区逸夫路1666号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蔚来超充站 宁波镇海菱洲雅庭</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浙江省宁波市镇海区庄市街道菱洲雅庭</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r>
      <w:tr>
        <w:tblPrEx>
          <w:tblCellMar>
            <w:top w:w="0" w:type="dxa"/>
            <w:left w:w="108" w:type="dxa"/>
            <w:bottom w:w="0" w:type="dxa"/>
            <w:right w:w="108" w:type="dxa"/>
          </w:tblCellMar>
        </w:tblPrEx>
        <w:trPr>
          <w:trHeight w:val="454" w:hRule="atLeast"/>
        </w:trPr>
        <w:tc>
          <w:tcPr>
            <w:tcW w:w="55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c>
          <w:tcPr>
            <w:tcW w:w="9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联兴社区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镇海区山外山酒楼充电站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宁波市镇海区庄市街道兆龙路528号</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r>
      <w:tr>
        <w:tblPrEx>
          <w:tblCellMar>
            <w:top w:w="0" w:type="dxa"/>
            <w:left w:w="108" w:type="dxa"/>
            <w:bottom w:w="0" w:type="dxa"/>
            <w:right w:w="108" w:type="dxa"/>
          </w:tblCellMar>
        </w:tblPrEx>
        <w:trPr>
          <w:trHeight w:val="454" w:hRule="atLeast"/>
        </w:trPr>
        <w:tc>
          <w:tcPr>
            <w:tcW w:w="558"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902"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szCs w:val="24"/>
              </w:rPr>
            </w:pP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联兴家园二期充电站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宁波市镇海区庄市街道兴庄路203号联兴家园二期地下车库</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思源社区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卓越绿站宁波镇海开元酒店充电站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浙江省宁波市镇海区庄市大道788号镇海开元酒店</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锦绣社区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永易充庄市中车公交站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浙江省宁波市镇海区庄市街道陈倪路庄市大道路口公交车终点站</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9</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兴庄路社区</w:t>
            </w:r>
          </w:p>
        </w:tc>
        <w:tc>
          <w:tcPr>
            <w:tcW w:w="20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明海广场国诚充电站</w:t>
            </w:r>
          </w:p>
        </w:tc>
        <w:tc>
          <w:tcPr>
            <w:tcW w:w="298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浙江省宁波市镇海区庄市街道西陆路159号明海商业广场</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22</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22</w:t>
            </w:r>
          </w:p>
        </w:tc>
      </w:tr>
      <w:tr>
        <w:tblPrEx>
          <w:tblCellMar>
            <w:top w:w="0" w:type="dxa"/>
            <w:left w:w="108" w:type="dxa"/>
            <w:bottom w:w="0" w:type="dxa"/>
            <w:right w:w="108" w:type="dxa"/>
          </w:tblCellMar>
        </w:tblPrEx>
        <w:trPr>
          <w:trHeight w:val="454" w:hRule="atLeast"/>
        </w:trPr>
        <w:tc>
          <w:tcPr>
            <w:tcW w:w="5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c>
          <w:tcPr>
            <w:tcW w:w="90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中兴社区</w:t>
            </w:r>
          </w:p>
        </w:tc>
        <w:tc>
          <w:tcPr>
            <w:tcW w:w="208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宁波康宁医院充电站</w:t>
            </w:r>
          </w:p>
        </w:tc>
        <w:tc>
          <w:tcPr>
            <w:tcW w:w="298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庄市街道庄俞南路1号（从东门进门后往左下地下室，车位号B082-B091）</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787"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r>
    </w:tbl>
    <w:p>
      <w:pPr>
        <w:pStyle w:val="69"/>
        <w:spacing w:line="240" w:lineRule="auto"/>
        <w:ind w:firstLine="640"/>
        <w:jc w:val="center"/>
        <w:sectPr>
          <w:pgSz w:w="11907" w:h="16840"/>
          <w:pgMar w:top="1440" w:right="1587" w:bottom="1440" w:left="1587" w:header="851" w:footer="992" w:gutter="0"/>
          <w:cols w:space="720" w:num="1"/>
          <w:docGrid w:type="lines" w:linePitch="312" w:charSpace="0"/>
        </w:sectPr>
      </w:pPr>
    </w:p>
    <w:p>
      <w:pPr>
        <w:pStyle w:val="65"/>
        <w:numPr>
          <w:ilvl w:val="0"/>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附件2</w:t>
      </w:r>
    </w:p>
    <w:p>
      <w:pPr>
        <w:pStyle w:val="65"/>
        <w:numPr>
          <w:ilvl w:val="0"/>
          <w:numId w:val="0"/>
        </w:num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《镇海区充电设施选建站点建议表》</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根据《国务院办公厅关于进一步构建高质量充电基础设施体系的指导意见》（国</w:t>
      </w:r>
      <w:r>
        <w:rPr>
          <w:color w:val="000000" w:themeColor="text1"/>
          <w14:textFill>
            <w14:solidFill>
              <w14:schemeClr w14:val="tx1"/>
            </w14:solidFill>
          </w14:textFill>
        </w:rPr>
        <w:t>办发[2023]19</w:t>
      </w:r>
      <w:r>
        <w:rPr>
          <w:rFonts w:hint="eastAsia"/>
          <w:color w:val="000000" w:themeColor="text1"/>
          <w14:textFill>
            <w14:solidFill>
              <w14:schemeClr w14:val="tx1"/>
            </w14:solidFill>
          </w14:textFill>
        </w:rPr>
        <w:t>号）文件精神，结合镇海区实际，鼓励区内政府机关、科研院所、教育医疗、企事业单位等内部停车场加快配建充电基础设施，并鼓励对公众开放。特建立《镇海区充电设施选建站点建议表》，以鼓励选建站点实施充电设施建设、但不强制为原则，逐渐实现此类场景配套完善。</w:t>
      </w:r>
    </w:p>
    <w:p>
      <w:pPr>
        <w:pStyle w:val="69"/>
        <w:spacing w:line="240" w:lineRule="auto"/>
        <w:ind w:firstLine="48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附表</w:t>
      </w:r>
      <w:r>
        <w:rPr>
          <w:color w:val="000000" w:themeColor="text1"/>
          <w:sz w:val="24"/>
          <w14:textFill>
            <w14:solidFill>
              <w14:schemeClr w14:val="tx1"/>
            </w14:solidFill>
          </w14:textFill>
        </w:rPr>
        <w:t>1镇海区充电设施选建站点建议表</w:t>
      </w:r>
    </w:p>
    <w:tbl>
      <w:tblPr>
        <w:tblStyle w:val="34"/>
        <w:tblW w:w="8949" w:type="dxa"/>
        <w:tblInd w:w="0" w:type="dxa"/>
        <w:tblLayout w:type="fixed"/>
        <w:tblCellMar>
          <w:top w:w="0" w:type="dxa"/>
          <w:left w:w="108" w:type="dxa"/>
          <w:bottom w:w="0" w:type="dxa"/>
          <w:right w:w="108" w:type="dxa"/>
        </w:tblCellMar>
      </w:tblPr>
      <w:tblGrid>
        <w:gridCol w:w="1242"/>
        <w:gridCol w:w="1809"/>
        <w:gridCol w:w="4713"/>
        <w:gridCol w:w="1185"/>
      </w:tblGrid>
      <w:tr>
        <w:tblPrEx>
          <w:tblCellMar>
            <w:top w:w="0" w:type="dxa"/>
            <w:left w:w="108" w:type="dxa"/>
            <w:bottom w:w="0" w:type="dxa"/>
            <w:right w:w="108" w:type="dxa"/>
          </w:tblCellMar>
        </w:tblPrEx>
        <w:trPr>
          <w:trHeight w:val="454" w:hRule="atLeast"/>
          <w:tblHeader/>
        </w:trPr>
        <w:tc>
          <w:tcPr>
            <w:tcW w:w="12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辖区</w:t>
            </w:r>
          </w:p>
        </w:tc>
        <w:tc>
          <w:tcPr>
            <w:tcW w:w="18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社区/村镇名称</w:t>
            </w:r>
          </w:p>
        </w:tc>
        <w:tc>
          <w:tcPr>
            <w:tcW w:w="471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站点名称</w:t>
            </w:r>
          </w:p>
        </w:tc>
        <w:tc>
          <w:tcPr>
            <w:tcW w:w="11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总枪数</w:t>
            </w:r>
          </w:p>
        </w:tc>
      </w:tr>
      <w:tr>
        <w:tblPrEx>
          <w:tblCellMar>
            <w:top w:w="0" w:type="dxa"/>
            <w:left w:w="108" w:type="dxa"/>
            <w:bottom w:w="0" w:type="dxa"/>
            <w:right w:w="108" w:type="dxa"/>
          </w:tblCellMar>
        </w:tblPrEx>
        <w:trPr>
          <w:trHeight w:val="454" w:hRule="atLeast"/>
        </w:trPr>
        <w:tc>
          <w:tcPr>
            <w:tcW w:w="124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澥浦镇</w:t>
            </w: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广源社区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宁波市镇海区澥浦初级中学充电站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广源社区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镇海区石化派出所充电站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汇源社区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澥浦镇政府充电站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汇源社区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镇海区蟹浦派出所充电站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庙戴村</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宁波家联科技股份有限公司-蟹浦</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石化区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宁波博汇化工科技股份有限公司</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石化区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宁波家联科技股份有限公司-石化</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6522"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小计</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28</w:t>
            </w:r>
          </w:p>
        </w:tc>
      </w:tr>
      <w:tr>
        <w:tblPrEx>
          <w:tblCellMar>
            <w:top w:w="0" w:type="dxa"/>
            <w:left w:w="108" w:type="dxa"/>
            <w:bottom w:w="0" w:type="dxa"/>
            <w:right w:w="108" w:type="dxa"/>
          </w:tblCellMar>
        </w:tblPrEx>
        <w:trPr>
          <w:trHeight w:val="454" w:hRule="atLeast"/>
        </w:trPr>
        <w:tc>
          <w:tcPr>
            <w:tcW w:w="124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九龙湖镇</w:t>
            </w: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河源社区</w:t>
            </w:r>
          </w:p>
        </w:tc>
        <w:tc>
          <w:tcPr>
            <w:tcW w:w="4713" w:type="dxa"/>
            <w:tcBorders>
              <w:top w:val="nil"/>
              <w:left w:val="nil"/>
              <w:bottom w:val="single" w:color="auto" w:sz="4" w:space="0"/>
              <w:right w:val="single" w:color="auto" w:sz="4" w:space="0"/>
            </w:tcBorders>
            <w:shd w:val="clear" w:color="auto" w:fill="auto"/>
            <w:noWrap/>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宁波市仁爱学校九龙湖分校充电站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20</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6522"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小计</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20</w:t>
            </w:r>
          </w:p>
        </w:tc>
      </w:tr>
      <w:tr>
        <w:tblPrEx>
          <w:tblCellMar>
            <w:top w:w="0" w:type="dxa"/>
            <w:left w:w="108" w:type="dxa"/>
            <w:bottom w:w="0" w:type="dxa"/>
            <w:right w:w="108" w:type="dxa"/>
          </w:tblCellMar>
        </w:tblPrEx>
        <w:trPr>
          <w:trHeight w:val="454" w:hRule="atLeast"/>
        </w:trPr>
        <w:tc>
          <w:tcPr>
            <w:tcW w:w="124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招宝山街道</w:t>
            </w:r>
          </w:p>
        </w:tc>
        <w:tc>
          <w:tcPr>
            <w:tcW w:w="18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白龙社区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宁波市镇海区立人中学充电站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宁波市镇海区张和祥小学充电站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车站路社区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镇海区市场监督管理局充电站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城东社区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浙江省镇海中学充电站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18</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镇海区新闻中心职工内部停车场充电站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镇海区招宝山加贝超市停车场</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沿江东路甬城泊车充电站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12</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镇海区文广旅游体育局充电站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后大街社区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宁波市镇海区精英小学充电站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张鑑碶社区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郁金香中心商铺停车场充电站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后海塘社区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国家粮食和物资储备局浙江局八三七处</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嘉菲（宁波）智能制造有限公司</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宁波涌花钢化玻璃有限公司</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宁波招宝磁业有限公司</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宁波镇海港埠有限公司</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29</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6522"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小计</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116</w:t>
            </w:r>
          </w:p>
        </w:tc>
      </w:tr>
      <w:tr>
        <w:tblPrEx>
          <w:tblCellMar>
            <w:top w:w="0" w:type="dxa"/>
            <w:left w:w="108" w:type="dxa"/>
            <w:bottom w:w="0" w:type="dxa"/>
            <w:right w:w="108" w:type="dxa"/>
          </w:tblCellMar>
        </w:tblPrEx>
        <w:trPr>
          <w:trHeight w:val="454" w:hRule="atLeast"/>
        </w:trPr>
        <w:tc>
          <w:tcPr>
            <w:tcW w:w="124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蛟川街道</w:t>
            </w:r>
          </w:p>
        </w:tc>
        <w:tc>
          <w:tcPr>
            <w:tcW w:w="18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东信路社区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宁波晶钻科技股份有限公司</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17</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镇海区税务局充电站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15</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虹桥社区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宁波市蛟川实验学校充电站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18</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青枫社区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镇海区交警大队充电站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石塘下社区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宁波市镇海区古塘初级中学充电站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镇海区生态环境分局充电站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镇海区税务局蛟川办公区充电站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镇海区招宝山派出所充电站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镇电社区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世贸广场新建充电站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27</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银凤社区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宁波市镇海区蛟川中心学校充电站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15</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俞范社区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镇海区蛟川派出所充电站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炼化社区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宁波市镇海区炼化小学充电站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清水浦村</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宁波市镇海城西协和加油站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五里牌社区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宁波市镇海区乔梓学校充电站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6522"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小计</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147</w:t>
            </w:r>
          </w:p>
        </w:tc>
      </w:tr>
      <w:tr>
        <w:tblPrEx>
          <w:tblCellMar>
            <w:top w:w="0" w:type="dxa"/>
            <w:left w:w="108" w:type="dxa"/>
            <w:bottom w:w="0" w:type="dxa"/>
            <w:right w:w="108" w:type="dxa"/>
          </w:tblCellMar>
        </w:tblPrEx>
        <w:trPr>
          <w:trHeight w:val="454" w:hRule="atLeast"/>
        </w:trPr>
        <w:tc>
          <w:tcPr>
            <w:tcW w:w="124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骆驼街道</w:t>
            </w: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箭港湖社区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宁波市镇海区教育发展进修学校充电站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16</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金华社区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宁波市镇海区静远小学充电站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37</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南一社区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宁波市镇海区骆驼中心学校充电站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镇海区骆驼派出所充电站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盛家社区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骆驼供电所充电站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宁波市镇海区骆驼实验学校充电站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12</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静远社区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镇海南苑国际大酒店内停车场</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22</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团桥村</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镇海区公安分局充电站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25</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新晨社区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宁波赫威斯肯特学校充电站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20</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宁波市区中心学校箭湖校区充电站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38</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宁波市镇海区尚志中学充电站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25</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万茂大厦（原泰翔地块）充电站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24</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宁波市镇海区星辰幼儿园充电站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23</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6522"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小计</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257</w:t>
            </w:r>
          </w:p>
        </w:tc>
      </w:tr>
      <w:tr>
        <w:tblPrEx>
          <w:tblCellMar>
            <w:top w:w="0" w:type="dxa"/>
            <w:left w:w="108" w:type="dxa"/>
            <w:bottom w:w="0" w:type="dxa"/>
            <w:right w:w="108" w:type="dxa"/>
          </w:tblCellMar>
        </w:tblPrEx>
        <w:trPr>
          <w:trHeight w:val="454" w:hRule="atLeast"/>
        </w:trPr>
        <w:tc>
          <w:tcPr>
            <w:tcW w:w="124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庄市街道</w:t>
            </w:r>
          </w:p>
        </w:tc>
        <w:tc>
          <w:tcPr>
            <w:tcW w:w="18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陈倪路社区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宁波市镇海区鲲池小学充电站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15</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宁波市镇海区龙赛中学充电站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25</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宁波市镇海区职教中心学校充电站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20</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镇海蛟川书院充电站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高教社区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萌恒大厦镇海庄市停车场</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65</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宁波材料所充电站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甬江实验室研究院集聚区充电站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20</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宁波市镇海区镇海新材料小镇客厅停车场充电站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49</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中国科学院大学宁波材料工程学院充电站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庄市财富广场停车场</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35</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同心湖社区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宁波市镇海区实验小学充电站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26</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永旺村</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宁波市镇海区庄市学校充电站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15</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中兴社区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中兴中学停车场充电站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000000"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镇海区庄市派出所充电站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钟包村</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兆龙小学停车场充电站</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庄市社区</w:t>
            </w: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庄市街道社区卫生服务中心</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1809" w:type="dxa"/>
            <w:vMerge w:val="continue"/>
            <w:tcBorders>
              <w:top w:val="nil"/>
              <w:left w:val="single" w:color="auto" w:sz="4" w:space="0"/>
              <w:bottom w:val="single" w:color="000000"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47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宁波市国家大学科技园区停车场</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50</w:t>
            </w:r>
          </w:p>
        </w:tc>
      </w:tr>
      <w:tr>
        <w:tblPrEx>
          <w:tblCellMar>
            <w:top w:w="0" w:type="dxa"/>
            <w:left w:w="108" w:type="dxa"/>
            <w:bottom w:w="0" w:type="dxa"/>
            <w:right w:w="108" w:type="dxa"/>
          </w:tblCellMar>
        </w:tblPrEx>
        <w:trPr>
          <w:trHeight w:val="454"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4"/>
                <w:szCs w:val="24"/>
              </w:rPr>
            </w:pPr>
          </w:p>
        </w:tc>
        <w:tc>
          <w:tcPr>
            <w:tcW w:w="6522"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小计</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367</w:t>
            </w:r>
          </w:p>
        </w:tc>
      </w:tr>
      <w:tr>
        <w:tblPrEx>
          <w:tblCellMar>
            <w:top w:w="0" w:type="dxa"/>
            <w:left w:w="108" w:type="dxa"/>
            <w:bottom w:w="0" w:type="dxa"/>
            <w:right w:w="108" w:type="dxa"/>
          </w:tblCellMar>
        </w:tblPrEx>
        <w:trPr>
          <w:trHeight w:val="454" w:hRule="atLeast"/>
        </w:trPr>
        <w:tc>
          <w:tcPr>
            <w:tcW w:w="7764"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总计</w:t>
            </w:r>
          </w:p>
        </w:tc>
        <w:tc>
          <w:tcPr>
            <w:tcW w:w="118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907</w:t>
            </w:r>
          </w:p>
        </w:tc>
      </w:tr>
    </w:tbl>
    <w:p>
      <w:pPr>
        <w:pStyle w:val="2"/>
        <w:ind w:firstLine="588"/>
        <w:sectPr>
          <w:pgSz w:w="11907" w:h="16840"/>
          <w:pgMar w:top="1440" w:right="1587" w:bottom="1440" w:left="1587" w:header="851" w:footer="992" w:gutter="0"/>
          <w:cols w:space="720" w:num="1"/>
          <w:docGrid w:type="lines" w:linePitch="312" w:charSpace="0"/>
        </w:sectPr>
      </w:pPr>
    </w:p>
    <w:p>
      <w:pPr>
        <w:pStyle w:val="65"/>
        <w:numPr>
          <w:ilvl w:val="0"/>
          <w:numId w:val="0"/>
        </w:numPr>
        <w:rPr>
          <w:color w:val="000000" w:themeColor="text1"/>
          <w:lang w:eastAsia="zh-Hans"/>
          <w14:textFill>
            <w14:solidFill>
              <w14:schemeClr w14:val="tx1"/>
            </w14:solidFill>
          </w14:textFill>
        </w:rPr>
      </w:pPr>
      <w:r>
        <w:rPr>
          <w:rFonts w:hint="eastAsia"/>
          <w:color w:val="000000" w:themeColor="text1"/>
          <w:lang w:eastAsia="zh-Hans"/>
          <w14:textFill>
            <w14:solidFill>
              <w14:schemeClr w14:val="tx1"/>
            </w14:solidFill>
          </w14:textFill>
        </w:rPr>
        <w:t>附件</w:t>
      </w:r>
      <w:r>
        <w:rPr>
          <w:color w:val="000000" w:themeColor="text1"/>
          <w:lang w:eastAsia="zh-Hans"/>
          <w14:textFill>
            <w14:solidFill>
              <w14:schemeClr w14:val="tx1"/>
            </w14:solidFill>
          </w14:textFill>
        </w:rPr>
        <w:t>3</w:t>
      </w:r>
    </w:p>
    <w:p>
      <w:pPr>
        <w:pStyle w:val="65"/>
        <w:numPr>
          <w:ilvl w:val="0"/>
          <w:numId w:val="0"/>
        </w:num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《镇海区老旧小区（拆迁安置小区）充电难问题排摸调研》</w:t>
      </w:r>
    </w:p>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通过对镇海区各街道老旧小区、拆迁安置小区充电设施落实情况展开调查排摸，梳理此类小区充电设施配置需求及压力，并制定方案。调查表具体情况如下：</w:t>
      </w:r>
    </w:p>
    <w:p>
      <w:pPr>
        <w:pStyle w:val="69"/>
        <w:spacing w:before="156" w:line="240" w:lineRule="auto"/>
        <w:ind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附表</w:t>
      </w:r>
      <w:r>
        <w:rPr>
          <w:color w:val="000000" w:themeColor="text1"/>
          <w:sz w:val="24"/>
          <w14:textFill>
            <w14:solidFill>
              <w14:schemeClr w14:val="tx1"/>
            </w14:solidFill>
          </w14:textFill>
        </w:rPr>
        <w:t>3镇海区各街道老旧小区（拆迁安置小区）充电设施情况调查表</w:t>
      </w:r>
    </w:p>
    <w:tbl>
      <w:tblPr>
        <w:tblStyle w:val="3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256"/>
        <w:gridCol w:w="2550"/>
        <w:gridCol w:w="3687"/>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97" w:type="dxa"/>
            <w:vMerge w:val="restart"/>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ascii="仿宋_GB2312" w:hAnsi="宋体" w:eastAsia="仿宋_GB2312" w:cs="宋体"/>
                <w:b/>
                <w:color w:val="000000" w:themeColor="text1"/>
                <w:kern w:val="0"/>
                <w:sz w:val="24"/>
                <w:szCs w:val="24"/>
                <w14:textFill>
                  <w14:solidFill>
                    <w14:schemeClr w14:val="tx1"/>
                  </w14:solidFill>
                </w14:textFill>
              </w:rPr>
              <w:t>序号</w:t>
            </w:r>
          </w:p>
        </w:tc>
        <w:tc>
          <w:tcPr>
            <w:tcW w:w="1256" w:type="dxa"/>
            <w:vMerge w:val="restart"/>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hint="eastAsia" w:ascii="仿宋_GB2312" w:hAnsi="宋体" w:eastAsia="仿宋_GB2312" w:cs="宋体"/>
                <w:b/>
                <w:color w:val="000000" w:themeColor="text1"/>
                <w:kern w:val="0"/>
                <w:sz w:val="24"/>
                <w:szCs w:val="24"/>
                <w14:textFill>
                  <w14:solidFill>
                    <w14:schemeClr w14:val="tx1"/>
                  </w14:solidFill>
                </w14:textFill>
              </w:rPr>
              <w:t>小区性质</w:t>
            </w:r>
          </w:p>
        </w:tc>
        <w:tc>
          <w:tcPr>
            <w:tcW w:w="2550" w:type="dxa"/>
            <w:vMerge w:val="restart"/>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ascii="仿宋_GB2312" w:hAnsi="宋体" w:eastAsia="仿宋_GB2312" w:cs="宋体"/>
                <w:b/>
                <w:color w:val="000000" w:themeColor="text1"/>
                <w:kern w:val="0"/>
                <w:sz w:val="24"/>
                <w:szCs w:val="24"/>
                <w14:textFill>
                  <w14:solidFill>
                    <w14:schemeClr w14:val="tx1"/>
                  </w14:solidFill>
                </w14:textFill>
              </w:rPr>
              <w:t>名称</w:t>
            </w:r>
          </w:p>
        </w:tc>
        <w:tc>
          <w:tcPr>
            <w:tcW w:w="4785" w:type="dxa"/>
            <w:gridSpan w:val="2"/>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ascii="仿宋_GB2312" w:hAnsi="宋体" w:eastAsia="仿宋_GB2312" w:cs="宋体"/>
                <w:b/>
                <w:color w:val="000000" w:themeColor="text1"/>
                <w:kern w:val="0"/>
                <w:sz w:val="24"/>
                <w:szCs w:val="24"/>
                <w14:textFill>
                  <w14:solidFill>
                    <w14:schemeClr w14:val="tx1"/>
                  </w14:solidFill>
                </w14:textFill>
              </w:rPr>
              <w:t>服务半径内的公共停车场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697" w:type="dxa"/>
            <w:vMerge w:val="continue"/>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1256" w:type="dxa"/>
            <w:vMerge w:val="continue"/>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2550" w:type="dxa"/>
            <w:vMerge w:val="continue"/>
            <w:noWrap/>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p>
        </w:tc>
        <w:tc>
          <w:tcPr>
            <w:tcW w:w="3687" w:type="dxa"/>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ascii="仿宋_GB2312" w:hAnsi="宋体" w:eastAsia="仿宋_GB2312" w:cs="宋体"/>
                <w:b/>
                <w:color w:val="000000" w:themeColor="text1"/>
                <w:kern w:val="0"/>
                <w:sz w:val="24"/>
                <w:szCs w:val="24"/>
                <w14:textFill>
                  <w14:solidFill>
                    <w14:schemeClr w14:val="tx1"/>
                  </w14:solidFill>
                </w14:textFill>
              </w:rPr>
              <w:t>停车场名称</w:t>
            </w:r>
          </w:p>
        </w:tc>
        <w:tc>
          <w:tcPr>
            <w:tcW w:w="1098" w:type="dxa"/>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ascii="仿宋_GB2312" w:hAnsi="宋体" w:eastAsia="仿宋_GB2312" w:cs="宋体"/>
                <w:b/>
                <w:color w:val="000000" w:themeColor="text1"/>
                <w:kern w:val="0"/>
                <w:sz w:val="24"/>
                <w:szCs w:val="24"/>
                <w14:textFill>
                  <w14:solidFill>
                    <w14:schemeClr w14:val="tx1"/>
                  </w14:solidFill>
                </w14:textFill>
              </w:rPr>
              <w:t>是否有充电桩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288" w:type="dxa"/>
            <w:gridSpan w:val="5"/>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一</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招宝山街道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1</w:t>
            </w:r>
          </w:p>
        </w:tc>
        <w:tc>
          <w:tcPr>
            <w:tcW w:w="1256" w:type="dxa"/>
            <w:vMerge w:val="restart"/>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老旧小区</w:t>
            </w: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朝宗坊</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镇海文化广场地下停车场</w:t>
            </w:r>
          </w:p>
        </w:tc>
        <w:tc>
          <w:tcPr>
            <w:tcW w:w="109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2</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东河小区</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镇海区南大街停车场</w:t>
            </w:r>
          </w:p>
        </w:tc>
        <w:tc>
          <w:tcPr>
            <w:tcW w:w="109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3</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航务新村</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招宝小区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港务新村</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建筑新村</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镇海招宝山景区西侧停车场</w:t>
            </w:r>
          </w:p>
        </w:tc>
        <w:tc>
          <w:tcPr>
            <w:tcW w:w="109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紫荆小区</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镇海招宝山景区东侧停车场</w:t>
            </w:r>
          </w:p>
        </w:tc>
        <w:tc>
          <w:tcPr>
            <w:tcW w:w="109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大校场小区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鼓东小区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鼓西小区</w:t>
            </w:r>
          </w:p>
        </w:tc>
        <w:tc>
          <w:tcPr>
            <w:tcW w:w="3687" w:type="dxa"/>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镇海区龙赛医院停车场</w:t>
            </w:r>
          </w:p>
        </w:tc>
        <w:tc>
          <w:tcPr>
            <w:tcW w:w="109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荣盛花园</w:t>
            </w:r>
          </w:p>
        </w:tc>
        <w:tc>
          <w:tcPr>
            <w:tcW w:w="3687" w:type="dxa"/>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镇海区新闻中心职工内部停车场</w:t>
            </w:r>
          </w:p>
        </w:tc>
        <w:tc>
          <w:tcPr>
            <w:tcW w:w="109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清川小区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港城花园</w:t>
            </w:r>
          </w:p>
        </w:tc>
        <w:tc>
          <w:tcPr>
            <w:tcW w:w="3687" w:type="dxa"/>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宁波镇海维科招宝广场</w:t>
            </w:r>
          </w:p>
        </w:tc>
        <w:tc>
          <w:tcPr>
            <w:tcW w:w="109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江口小区</w:t>
            </w:r>
          </w:p>
        </w:tc>
        <w:tc>
          <w:tcPr>
            <w:tcW w:w="3687" w:type="dxa"/>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沿江公园停车场</w:t>
            </w:r>
          </w:p>
        </w:tc>
        <w:tc>
          <w:tcPr>
            <w:tcW w:w="109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银杏小区</w:t>
            </w:r>
          </w:p>
        </w:tc>
        <w:tc>
          <w:tcPr>
            <w:tcW w:w="3687" w:type="dxa"/>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宁波镇海维科招宝广场</w:t>
            </w:r>
          </w:p>
        </w:tc>
        <w:tc>
          <w:tcPr>
            <w:tcW w:w="109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天宝小区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三角小区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童仓小区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仓基弄</w:t>
            </w:r>
          </w:p>
        </w:tc>
        <w:tc>
          <w:tcPr>
            <w:tcW w:w="3687" w:type="dxa"/>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邬家弄停车场</w:t>
            </w:r>
          </w:p>
        </w:tc>
        <w:tc>
          <w:tcPr>
            <w:tcW w:w="109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刘家弄</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西长小区</w:t>
            </w:r>
          </w:p>
        </w:tc>
        <w:tc>
          <w:tcPr>
            <w:tcW w:w="3687" w:type="dxa"/>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精英小学南门停车场</w:t>
            </w:r>
          </w:p>
        </w:tc>
        <w:tc>
          <w:tcPr>
            <w:tcW w:w="109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武宁桥</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繁景小区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聪园小区</w:t>
            </w:r>
          </w:p>
        </w:tc>
        <w:tc>
          <w:tcPr>
            <w:tcW w:w="3687" w:type="dxa"/>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招宝山街道办事处北广场停车场</w:t>
            </w:r>
          </w:p>
        </w:tc>
        <w:tc>
          <w:tcPr>
            <w:tcW w:w="109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13</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工农小区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红房子小区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银桂小区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镇棉小区</w:t>
            </w:r>
          </w:p>
        </w:tc>
        <w:tc>
          <w:tcPr>
            <w:tcW w:w="3687" w:type="dxa"/>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镇棉停车场</w:t>
            </w:r>
          </w:p>
        </w:tc>
        <w:tc>
          <w:tcPr>
            <w:tcW w:w="109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14</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西门小区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白龙小区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茗园一区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茗园二区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安居小区</w:t>
            </w:r>
          </w:p>
        </w:tc>
        <w:tc>
          <w:tcPr>
            <w:tcW w:w="3687" w:type="dxa"/>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镇海区中医院停车场</w:t>
            </w:r>
          </w:p>
        </w:tc>
        <w:tc>
          <w:tcPr>
            <w:tcW w:w="109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15</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张监碶小区</w:t>
            </w:r>
          </w:p>
        </w:tc>
        <w:tc>
          <w:tcPr>
            <w:tcW w:w="3687" w:type="dxa"/>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郁金香中心商铺停车场</w:t>
            </w:r>
          </w:p>
        </w:tc>
        <w:tc>
          <w:tcPr>
            <w:tcW w:w="109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16</w:t>
            </w:r>
          </w:p>
        </w:tc>
        <w:tc>
          <w:tcPr>
            <w:tcW w:w="1256" w:type="dxa"/>
            <w:vMerge w:val="restart"/>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安置小区</w:t>
            </w: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盛世华庭</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宁波市镇海区爱琴海购物公园地下停车库、镇海利时广场停车场、骆驼万宝城停车场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17</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碧水莲晴一期</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宁波市镇海区爱琴海购物公园地下停车库、镇海利时广场停车场、骆驼万宝城停车场、工商银行骆驼支行前停车场</w:t>
            </w:r>
          </w:p>
        </w:tc>
        <w:tc>
          <w:tcPr>
            <w:tcW w:w="1098" w:type="dxa"/>
            <w:noWrap/>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8" w:type="dxa"/>
            <w:gridSpan w:val="5"/>
            <w:noWrap/>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二、蛟川街道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1</w:t>
            </w:r>
          </w:p>
        </w:tc>
        <w:tc>
          <w:tcPr>
            <w:tcW w:w="1256" w:type="dxa"/>
            <w:vMerge w:val="restart"/>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老旧小区</w:t>
            </w: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庙后张新村</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炼化俞范路停车场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2</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镇电小区</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世贸广场停车场、镇海区三明电力充电站、青枫雅苑停车场、枫园站停车场、人民法院、招宝阳光大厦停车场、宁波华隆美辰充电站</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3</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开元小区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未名小区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康乐小区</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棉丰经济合作社、后施菜场、炼化俞范路停车场、中石化宁波新材料研究院、宁波市景逸商务宾馆停车场、镇海炼化体育场东侧停车场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育才小区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丰收小区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三建小区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中兴小区</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棉丰经济合作社、炼化俞范路停车场、中石化宁波新材料研究院、宁波市景逸商务宾馆停车场、镇海炼化体育场东侧停车场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桔园小区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丰收小区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丰颐家园</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棉丰经济合作社、后施菜场、中石化宁波新材料研究院、宁波市景逸商务宾馆停车场、镇海炼化体育场东侧停车场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临江小区</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临江小区、镇海区五里牌停车场、镇海区城市公共物流配送中心停车场、镇海区北大荒停车场、绕城高速下方4（宁镇路以南）</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彩炼小区</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后施菜场、中石化宁波新材料研究院、宁波市景逸商务宾馆停车场、镇海炼化体育场东侧停车场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大红鹰小区</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青枫雅苑停车场、维思酒店停车场、镇海区五里牌停车场、招宝阳光大厦停车场、宁波华隆美辰充电站</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w:t>
            </w:r>
          </w:p>
        </w:tc>
        <w:tc>
          <w:tcPr>
            <w:tcW w:w="1256" w:type="dxa"/>
            <w:vMerge w:val="restart"/>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安置小区</w:t>
            </w: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银凤晓月一二三期</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液体化工交易市场、中官路菜场、维思酒店停车场、镇海区五里牌停车场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银凤绿苑</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液体化工交易市场、维思酒店停车场、镇海区五里牌停车场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古塘丽景一二三期</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世贸广场停车场、镇海区三明电力充电站、青枫雅苑停车场、枫园站停车场、人民法院、招宝阳光大厦停车场、宁波华隆美辰充电站</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临江星苑</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临江小区、中官路菜场、街道办事处充电站、镇海区五里牌停车场、镇海区北大荒停车场、绕城高速下方4（宁镇路以南）</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8" w:type="dxa"/>
            <w:gridSpan w:val="5"/>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三</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骆驼街道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1256" w:type="dxa"/>
            <w:vMerge w:val="restart"/>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老旧小区</w:t>
            </w: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骆兴家园一二三期</w:t>
            </w:r>
          </w:p>
        </w:tc>
        <w:tc>
          <w:tcPr>
            <w:tcW w:w="3687" w:type="dxa"/>
            <w:vAlign w:val="center"/>
          </w:tcPr>
          <w:p>
            <w:pPr>
              <w:widowControl/>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区上城印象苑停车场、镇海海尚大酒店停车场、金宁大厦停车场、镇海区银泰百货停车场、腾日大厦停车场、人民医院停车场、欧尚超市宁波镇海店、镇海实验幼儿园西侧停车场、天一大厦停车场、卓远豪宜停车场</w:t>
            </w:r>
          </w:p>
        </w:tc>
        <w:tc>
          <w:tcPr>
            <w:tcW w:w="1098" w:type="dxa"/>
            <w:noWrap/>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8"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华丰星城</w:t>
            </w:r>
          </w:p>
        </w:tc>
        <w:tc>
          <w:tcPr>
            <w:tcW w:w="3687" w:type="dxa"/>
            <w:vAlign w:val="center"/>
          </w:tcPr>
          <w:p>
            <w:pPr>
              <w:widowControl/>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区上城印象苑停车场、镇海海尚大酒店停车场、金宁大厦停车场、镇海区银泰百货停车场、腾日大厦停车场、欧尚超市宁波镇海店、镇海实验幼儿园西侧停车场、镇海区浙江二建大厦停车场、西大河体育公园停车场（南）、天一大厦停车场、卓远豪宜停车场、沧海兴业大厦停车场</w:t>
            </w:r>
          </w:p>
        </w:tc>
        <w:tc>
          <w:tcPr>
            <w:tcW w:w="1098" w:type="dxa"/>
            <w:noWrap/>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华丰花园、孝思房</w:t>
            </w:r>
          </w:p>
        </w:tc>
        <w:tc>
          <w:tcPr>
            <w:tcW w:w="3687" w:type="dxa"/>
            <w:vAlign w:val="center"/>
          </w:tcPr>
          <w:p>
            <w:pPr>
              <w:widowControl/>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镇海海尚大酒店停车场、镇海区银泰百货停车场、人民医院停车场、镇海文化中心停车场、镇海实验幼儿园西侧停车场</w:t>
            </w:r>
          </w:p>
        </w:tc>
        <w:tc>
          <w:tcPr>
            <w:tcW w:w="1098" w:type="dxa"/>
            <w:noWrap/>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东盛城市花园</w:t>
            </w:r>
          </w:p>
        </w:tc>
        <w:tc>
          <w:tcPr>
            <w:tcW w:w="3687" w:type="dxa"/>
            <w:vAlign w:val="center"/>
          </w:tcPr>
          <w:p>
            <w:pPr>
              <w:widowControl/>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宁波市镇海区爱琴海购物公园地下停车库、镇海利时广场停车场</w:t>
            </w:r>
          </w:p>
        </w:tc>
        <w:tc>
          <w:tcPr>
            <w:tcW w:w="1098" w:type="dxa"/>
            <w:noWrap/>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东邑家园</w:t>
            </w:r>
          </w:p>
        </w:tc>
        <w:tc>
          <w:tcPr>
            <w:tcW w:w="3687" w:type="dxa"/>
            <w:vAlign w:val="center"/>
          </w:tcPr>
          <w:p>
            <w:pPr>
              <w:widowControl/>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镇海海尚大酒店停车场、镇海区银泰百货停车场、人民医院停车场、欧尚超市宁波镇海店、镇海实验幼儿园西侧停车场</w:t>
            </w:r>
          </w:p>
        </w:tc>
        <w:tc>
          <w:tcPr>
            <w:tcW w:w="1098" w:type="dxa"/>
            <w:noWrap/>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骆驼小学北侧自建房</w:t>
            </w:r>
          </w:p>
        </w:tc>
        <w:tc>
          <w:tcPr>
            <w:tcW w:w="3687" w:type="dxa"/>
            <w:vAlign w:val="center"/>
          </w:tcPr>
          <w:p>
            <w:pPr>
              <w:widowControl/>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镇海海尚大酒店停车场</w:t>
            </w:r>
          </w:p>
        </w:tc>
        <w:tc>
          <w:tcPr>
            <w:tcW w:w="1098" w:type="dxa"/>
            <w:noWrap/>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1256" w:type="dxa"/>
            <w:vMerge w:val="restart"/>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安置小区</w:t>
            </w: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盛世华庭</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宁波市镇海区爱琴海购物公园地下停车库、镇海利时广场停车场、骆驼万宝城停车场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碧水莲晴一期</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碧水莲晴三期</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宁波市镇海区爱琴海购物公园地下停车库、镇海利时广场停车场、骆驼万宝城停车场、工商银行骆驼支行前停车场</w:t>
            </w:r>
          </w:p>
        </w:tc>
        <w:tc>
          <w:tcPr>
            <w:tcW w:w="1098" w:type="dxa"/>
            <w:noWrap/>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碧水莲晴四期</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镇海利时广场停车场、工商银行骆驼支行前停车场</w:t>
            </w:r>
          </w:p>
        </w:tc>
        <w:tc>
          <w:tcPr>
            <w:tcW w:w="1098" w:type="dxa"/>
            <w:noWrap/>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金邑华庭</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金邑水岸</w:t>
            </w:r>
          </w:p>
        </w:tc>
        <w:tc>
          <w:tcPr>
            <w:tcW w:w="3687" w:type="dxa"/>
            <w:vAlign w:val="center"/>
          </w:tcPr>
          <w:p>
            <w:pPr>
              <w:widowControl/>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镇海海尚大酒店停车场、人民医院停车场、镇海文化中心停车场、欧尚超市宁波镇海店、镇海实验幼儿园西侧停车场</w:t>
            </w:r>
          </w:p>
        </w:tc>
        <w:tc>
          <w:tcPr>
            <w:tcW w:w="1098" w:type="dxa"/>
            <w:noWrap/>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东邑阳光</w:t>
            </w:r>
          </w:p>
        </w:tc>
        <w:tc>
          <w:tcPr>
            <w:tcW w:w="3687" w:type="dxa"/>
            <w:vAlign w:val="center"/>
          </w:tcPr>
          <w:p>
            <w:pPr>
              <w:widowControl/>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人民医院停车场</w:t>
            </w:r>
          </w:p>
        </w:tc>
        <w:tc>
          <w:tcPr>
            <w:tcW w:w="1098" w:type="dxa"/>
            <w:noWrap/>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骆城华苑一期</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骆城华苑二期</w:t>
            </w:r>
          </w:p>
        </w:tc>
        <w:tc>
          <w:tcPr>
            <w:tcW w:w="3687" w:type="dxa"/>
            <w:vAlign w:val="center"/>
          </w:tcPr>
          <w:p>
            <w:pPr>
              <w:widowControl/>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镇海艺术实验学校北、西大河体育公园停车场（南）</w:t>
            </w:r>
          </w:p>
        </w:tc>
        <w:tc>
          <w:tcPr>
            <w:tcW w:w="1098" w:type="dxa"/>
            <w:noWrap/>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13</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景城花苑</w:t>
            </w:r>
          </w:p>
        </w:tc>
        <w:tc>
          <w:tcPr>
            <w:tcW w:w="3687" w:type="dxa"/>
            <w:vAlign w:val="center"/>
          </w:tcPr>
          <w:p>
            <w:pPr>
              <w:widowControl/>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吾悦广场停车场、镇海天然大厦、新城菜场　</w:t>
            </w:r>
          </w:p>
        </w:tc>
        <w:tc>
          <w:tcPr>
            <w:tcW w:w="1098" w:type="dxa"/>
            <w:noWrap/>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14</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东邑锦苑</w:t>
            </w:r>
          </w:p>
        </w:tc>
        <w:tc>
          <w:tcPr>
            <w:tcW w:w="3687" w:type="dxa"/>
            <w:vAlign w:val="center"/>
          </w:tcPr>
          <w:p>
            <w:pPr>
              <w:widowControl/>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镇海海尚大酒店停车场、金宁大厦停车场、镇海区银泰百货停车场、人民医院停车场、欧尚超市宁波镇海店、镇海实验幼儿园西侧停车场</w:t>
            </w:r>
          </w:p>
        </w:tc>
        <w:tc>
          <w:tcPr>
            <w:tcW w:w="1098" w:type="dxa"/>
            <w:noWrap/>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8" w:type="dxa"/>
            <w:gridSpan w:val="5"/>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四、庄市街道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w:t>
            </w:r>
          </w:p>
        </w:tc>
        <w:tc>
          <w:tcPr>
            <w:tcW w:w="1256" w:type="dxa"/>
            <w:vMerge w:val="restart"/>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老旧小区</w:t>
            </w: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兆龙路小区</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宁波市镇海山外山酒楼庄市店</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2</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鑫隆一二三期</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宁波市镇海山外山酒楼庄市店、庄市菜场停车场、明海商业广场停车场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3</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西陆小区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中兴小区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长乐小区</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浅水湾、钟楼</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云来酒店停车场、电信停车场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4</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线厂公房</w:t>
            </w:r>
            <w:r>
              <w:rPr>
                <w:rFonts w:hint="eastAsia" w:ascii="仿宋_GB2312" w:hAnsi="宋体" w:eastAsia="仿宋_GB2312" w:cs="宋体"/>
                <w:color w:val="000000" w:themeColor="text1"/>
                <w:kern w:val="0"/>
                <w:sz w:val="24"/>
                <w:szCs w:val="24"/>
                <w14:textFill>
                  <w14:solidFill>
                    <w14:schemeClr w14:val="tx1"/>
                  </w14:solidFill>
                </w14:textFill>
              </w:rPr>
              <w:t>、</w:t>
            </w:r>
            <w:r>
              <w:rPr>
                <w:rFonts w:ascii="仿宋_GB2312" w:hAnsi="宋体" w:eastAsia="仿宋_GB2312" w:cs="宋体"/>
                <w:color w:val="000000" w:themeColor="text1"/>
                <w:kern w:val="0"/>
                <w:sz w:val="24"/>
                <w:szCs w:val="24"/>
                <w14:textFill>
                  <w14:solidFill>
                    <w14:schemeClr w14:val="tx1"/>
                  </w14:solidFill>
                </w14:textFill>
              </w:rPr>
              <w:t>冷弯型公房</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明海商业广场停车场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5</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新胜小区</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庄市菜场停车场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6</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阳光花苑</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庄市菜场停车场、明海商业广场停车场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7</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宁大花园</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镇海开元名都酒店停车场、培菊幼儿园停车场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8</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丽景华府</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明海商业广场停车场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9</w:t>
            </w:r>
          </w:p>
        </w:tc>
        <w:tc>
          <w:tcPr>
            <w:tcW w:w="1256" w:type="dxa"/>
            <w:vMerge w:val="restart"/>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安置小区</w:t>
            </w: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锦绣曙光</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庄市陈倪路菜场停车场、金色广场停车场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10</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柳岸晨韵</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柳岸晨韵西门停车场</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11</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菱州雅庭</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宁波镇海菱洲雅庭</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12</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书香丽景</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书香丽景</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13</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联兴家园</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宁波市镇海山外山酒楼庄市店</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14</w:t>
            </w:r>
          </w:p>
        </w:tc>
        <w:tc>
          <w:tcPr>
            <w:tcW w:w="1256" w:type="dxa"/>
            <w:vMerge w:val="continue"/>
            <w:noWrap/>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p>
        </w:tc>
        <w:tc>
          <w:tcPr>
            <w:tcW w:w="2550"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翰香景庭</w:t>
            </w:r>
          </w:p>
        </w:tc>
        <w:tc>
          <w:tcPr>
            <w:tcW w:w="3687" w:type="dxa"/>
            <w:vAlign w:val="center"/>
          </w:tcPr>
          <w:p>
            <w:pPr>
              <w:widowControl/>
              <w:jc w:val="left"/>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翰香景庭</w:t>
            </w:r>
          </w:p>
        </w:tc>
        <w:tc>
          <w:tcPr>
            <w:tcW w:w="1098" w:type="dxa"/>
            <w:noWrap/>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是</w:t>
            </w:r>
          </w:p>
        </w:tc>
      </w:tr>
    </w:tbl>
    <w:p>
      <w:pPr>
        <w:pStyle w:val="69"/>
        <w:spacing w:before="156" w:line="240" w:lineRule="auto"/>
        <w:ind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表</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老旧小区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拆迁安置小区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充电设施覆盖评估表</w:t>
      </w:r>
    </w:p>
    <w:tbl>
      <w:tblPr>
        <w:tblStyle w:val="3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0"/>
        <w:gridCol w:w="1318"/>
        <w:gridCol w:w="1516"/>
        <w:gridCol w:w="1306"/>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10" w:type="dxa"/>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ascii="仿宋_GB2312" w:hAnsi="宋体" w:eastAsia="仿宋_GB2312" w:cs="宋体"/>
                <w:b/>
                <w:color w:val="000000" w:themeColor="text1"/>
                <w:kern w:val="0"/>
                <w:sz w:val="24"/>
                <w:szCs w:val="24"/>
                <w14:textFill>
                  <w14:solidFill>
                    <w14:schemeClr w14:val="tx1"/>
                  </w14:solidFill>
                </w14:textFill>
              </w:rPr>
              <w:t>辖区</w:t>
            </w:r>
          </w:p>
        </w:tc>
        <w:tc>
          <w:tcPr>
            <w:tcW w:w="1318" w:type="dxa"/>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ascii="仿宋_GB2312" w:hAnsi="宋体" w:eastAsia="仿宋_GB2312" w:cs="宋体"/>
                <w:b/>
                <w:color w:val="000000" w:themeColor="text1"/>
                <w:kern w:val="0"/>
                <w:sz w:val="24"/>
                <w:szCs w:val="24"/>
                <w14:textFill>
                  <w14:solidFill>
                    <w14:schemeClr w14:val="tx1"/>
                  </w14:solidFill>
                </w14:textFill>
              </w:rPr>
              <w:t>蛟川街道</w:t>
            </w:r>
          </w:p>
        </w:tc>
        <w:tc>
          <w:tcPr>
            <w:tcW w:w="1516" w:type="dxa"/>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ascii="仿宋_GB2312" w:hAnsi="宋体" w:eastAsia="仿宋_GB2312" w:cs="宋体"/>
                <w:b/>
                <w:color w:val="000000" w:themeColor="text1"/>
                <w:kern w:val="0"/>
                <w:sz w:val="24"/>
                <w:szCs w:val="24"/>
                <w14:textFill>
                  <w14:solidFill>
                    <w14:schemeClr w14:val="tx1"/>
                  </w14:solidFill>
                </w14:textFill>
              </w:rPr>
              <w:t>招宝山街道</w:t>
            </w:r>
          </w:p>
        </w:tc>
        <w:tc>
          <w:tcPr>
            <w:tcW w:w="1306" w:type="dxa"/>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ascii="仿宋_GB2312" w:hAnsi="宋体" w:eastAsia="仿宋_GB2312" w:cs="宋体"/>
                <w:b/>
                <w:color w:val="000000" w:themeColor="text1"/>
                <w:kern w:val="0"/>
                <w:sz w:val="24"/>
                <w:szCs w:val="24"/>
                <w14:textFill>
                  <w14:solidFill>
                    <w14:schemeClr w14:val="tx1"/>
                  </w14:solidFill>
                </w14:textFill>
              </w:rPr>
              <w:t>骆驼街道</w:t>
            </w:r>
          </w:p>
        </w:tc>
        <w:tc>
          <w:tcPr>
            <w:tcW w:w="1638" w:type="dxa"/>
            <w:vAlign w:val="center"/>
          </w:tcPr>
          <w:p>
            <w:pPr>
              <w:widowControl/>
              <w:jc w:val="center"/>
              <w:rPr>
                <w:rFonts w:ascii="仿宋_GB2312" w:hAnsi="宋体" w:eastAsia="仿宋_GB2312" w:cs="宋体"/>
                <w:b/>
                <w:color w:val="000000" w:themeColor="text1"/>
                <w:kern w:val="0"/>
                <w:sz w:val="24"/>
                <w:szCs w:val="24"/>
                <w14:textFill>
                  <w14:solidFill>
                    <w14:schemeClr w14:val="tx1"/>
                  </w14:solidFill>
                </w14:textFill>
              </w:rPr>
            </w:pPr>
            <w:r>
              <w:rPr>
                <w:rFonts w:ascii="仿宋_GB2312" w:hAnsi="宋体" w:eastAsia="仿宋_GB2312" w:cs="宋体"/>
                <w:b/>
                <w:color w:val="000000" w:themeColor="text1"/>
                <w:kern w:val="0"/>
                <w:sz w:val="24"/>
                <w:szCs w:val="24"/>
                <w14:textFill>
                  <w14:solidFill>
                    <w14:schemeClr w14:val="tx1"/>
                  </w14:solidFill>
                </w14:textFill>
              </w:rPr>
              <w:t>庄市街道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10"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公共停车充电设施覆盖条件评估</w:t>
            </w:r>
          </w:p>
        </w:tc>
        <w:tc>
          <w:tcPr>
            <w:tcW w:w="131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相对较好</w:t>
            </w:r>
          </w:p>
        </w:tc>
        <w:tc>
          <w:tcPr>
            <w:tcW w:w="1516"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差</w:t>
            </w:r>
          </w:p>
        </w:tc>
        <w:tc>
          <w:tcPr>
            <w:tcW w:w="1306"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较好</w:t>
            </w:r>
          </w:p>
        </w:tc>
        <w:tc>
          <w:tcPr>
            <w:tcW w:w="1638" w:type="dxa"/>
            <w:vAlign w:val="center"/>
          </w:tcPr>
          <w:p>
            <w:pPr>
              <w:widowControl/>
              <w:jc w:val="center"/>
              <w:rPr>
                <w:rFonts w:ascii="仿宋_GB2312" w:hAnsi="宋体" w:eastAsia="仿宋_GB2312" w:cs="宋体"/>
                <w:color w:val="000000" w:themeColor="text1"/>
                <w:kern w:val="0"/>
                <w:sz w:val="24"/>
                <w:szCs w:val="24"/>
                <w14:textFill>
                  <w14:solidFill>
                    <w14:schemeClr w14:val="tx1"/>
                  </w14:solidFill>
                </w14:textFill>
              </w:rPr>
            </w:pPr>
            <w:r>
              <w:rPr>
                <w:rFonts w:ascii="仿宋_GB2312" w:hAnsi="宋体" w:eastAsia="仿宋_GB2312" w:cs="宋体"/>
                <w:color w:val="000000" w:themeColor="text1"/>
                <w:kern w:val="0"/>
                <w:sz w:val="24"/>
                <w:szCs w:val="24"/>
                <w14:textFill>
                  <w14:solidFill>
                    <w14:schemeClr w14:val="tx1"/>
                  </w14:solidFill>
                </w14:textFill>
              </w:rPr>
              <w:t>一般</w:t>
            </w:r>
          </w:p>
        </w:tc>
      </w:tr>
    </w:tbl>
    <w:p>
      <w:pPr>
        <w:pStyle w:val="69"/>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调查小结：</w:t>
      </w:r>
      <w:r>
        <w:rPr>
          <w:color w:val="000000" w:themeColor="text1"/>
          <w14:textFill>
            <w14:solidFill>
              <w14:schemeClr w14:val="tx1"/>
            </w14:solidFill>
          </w14:textFill>
        </w:rPr>
        <w:t>招宝山街道各老旧小区</w:t>
      </w:r>
      <w:r>
        <w:rPr>
          <w:rFonts w:hint="eastAsia"/>
          <w:color w:val="000000" w:themeColor="text1"/>
          <w14:textFill>
            <w14:solidFill>
              <w14:schemeClr w14:val="tx1"/>
            </w14:solidFill>
          </w14:textFill>
        </w:rPr>
        <w:t>（拆迁安置小区）</w:t>
      </w:r>
      <w:r>
        <w:rPr>
          <w:color w:val="000000" w:themeColor="text1"/>
          <w14:textFill>
            <w14:solidFill>
              <w14:schemeClr w14:val="tx1"/>
            </w14:solidFill>
          </w14:textFill>
        </w:rPr>
        <w:t>周边均有公共停车场覆盖，但受限于老城公共停车场数量有限，一个停车场需服务多个老旧小区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因此电动汽车充电服务水平较差。</w:t>
      </w:r>
      <w:r>
        <w:rPr>
          <w:rFonts w:hint="eastAsia"/>
          <w:color w:val="000000" w:themeColor="text1"/>
          <w14:textFill>
            <w14:solidFill>
              <w14:schemeClr w14:val="tx1"/>
            </w14:solidFill>
          </w14:textFill>
        </w:rPr>
        <w:t>建议在下一步老旧小区改造，及区域公共停车设施规划阶段深化充电桩建设方案，进一步挖掘充电设施安装潜力，积极探索路侧车位充电方式、新建小区共享充电车位，做好充电车辆引导等工作。</w:t>
      </w:r>
    </w:p>
    <w:p>
      <w:pPr>
        <w:pStyle w:val="69"/>
        <w:ind w:firstLine="640"/>
        <w:rPr>
          <w:color w:val="000000" w:themeColor="text1"/>
          <w14:textFill>
            <w14:solidFill>
              <w14:schemeClr w14:val="tx1"/>
            </w14:solidFill>
          </w14:textFill>
        </w:rPr>
        <w:sectPr>
          <w:pgSz w:w="11906" w:h="16838"/>
          <w:pgMar w:top="1440" w:right="1417" w:bottom="1440" w:left="1417" w:header="851" w:footer="992" w:gutter="0"/>
          <w:cols w:space="425" w:num="1"/>
          <w:docGrid w:type="lines" w:linePitch="312" w:charSpace="0"/>
        </w:sectPr>
      </w:pPr>
      <w:r>
        <w:rPr>
          <w:color w:val="000000" w:themeColor="text1"/>
          <w14:textFill>
            <w14:solidFill>
              <w14:schemeClr w14:val="tx1"/>
            </w14:solidFill>
          </w14:textFill>
        </w:rPr>
        <w:t>蛟川街道</w:t>
      </w:r>
      <w:r>
        <w:rPr>
          <w:rFonts w:hint="eastAsia"/>
          <w:color w:val="000000" w:themeColor="text1"/>
          <w14:textFill>
            <w14:solidFill>
              <w14:schemeClr w14:val="tx1"/>
            </w14:solidFill>
          </w14:textFill>
        </w:rPr>
        <w:t>、骆驼街道、庄市街道</w:t>
      </w:r>
      <w:r>
        <w:rPr>
          <w:color w:val="000000" w:themeColor="text1"/>
          <w14:textFill>
            <w14:solidFill>
              <w14:schemeClr w14:val="tx1"/>
            </w14:solidFill>
          </w14:textFill>
        </w:rPr>
        <w:t>老旧小区</w:t>
      </w:r>
      <w:r>
        <w:rPr>
          <w:rFonts w:hint="eastAsia"/>
          <w:color w:val="000000" w:themeColor="text1"/>
          <w14:textFill>
            <w14:solidFill>
              <w14:schemeClr w14:val="tx1"/>
            </w14:solidFill>
          </w14:textFill>
        </w:rPr>
        <w:t>（拆迁安置小区）</w:t>
      </w:r>
      <w:r>
        <w:rPr>
          <w:color w:val="000000" w:themeColor="text1"/>
          <w14:textFill>
            <w14:solidFill>
              <w14:schemeClr w14:val="tx1"/>
            </w14:solidFill>
          </w14:textFill>
        </w:rPr>
        <w:t>周围公共停车充电设施覆盖条件相对较好，其中，骆驼街道大部分小区无法安装充电桩主要受车位产权限制，并非无改造条件，建议对该部分小区释放部分产权车位，增大协调力度，强化充电设施所有方、运营方以及物业管理方主体责任，主动加强对业主委员会的指导和监督，引导业主支持充电基础设施建设，提高该部分小区的充电设施使用便利</w:t>
      </w:r>
      <w:r>
        <w:rPr>
          <w:rFonts w:hint="eastAsia"/>
          <w:color w:val="000000" w:themeColor="text1"/>
          <w14:textFill>
            <w14:solidFill>
              <w14:schemeClr w14:val="tx1"/>
            </w14:solidFill>
          </w14:textFill>
        </w:rPr>
        <w:t>。</w:t>
      </w:r>
    </w:p>
    <w:p>
      <w:pPr>
        <w:pStyle w:val="69"/>
        <w:ind w:firstLine="0" w:firstLineChars="0"/>
        <w:rPr>
          <w:color w:val="FF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方正仿宋_GBK">
    <w:altName w:val="Arial Unicode MS"/>
    <w:panose1 w:val="00000000000000000000"/>
    <w:charset w:val="86"/>
    <w:family w:val="auto"/>
    <w:pitch w:val="default"/>
    <w:sig w:usb0="00000000" w:usb1="00000000" w:usb2="00000000" w:usb3="00000000" w:csb0="00160000" w:csb1="00000000"/>
  </w:font>
  <w:font w:name="Microsoft YaHei UI">
    <w:panose1 w:val="020B0503020204020204"/>
    <w:charset w:val="86"/>
    <w:family w:val="swiss"/>
    <w:pitch w:val="default"/>
    <w:sig w:usb0="80000287" w:usb1="28CF3C52" w:usb2="00000016" w:usb3="00000000" w:csb0="0004001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roman"/>
    <w:pitch w:val="default"/>
    <w:sig w:usb0="FFFFFFFF" w:usb1="E9FFFFFF" w:usb2="0000003F" w:usb3="00000000" w:csb0="603F01FF" w:csb1="FFFF0000"/>
  </w:font>
  <w:font w:name="Matura MT Script Capitals">
    <w:panose1 w:val="03020802060602070202"/>
    <w:charset w:val="00"/>
    <w:family w:val="script"/>
    <w:pitch w:val="default"/>
    <w:sig w:usb0="00000003" w:usb1="00000000" w:usb2="00000000" w:usb3="00000000" w:csb0="20000001" w:csb1="00000000"/>
  </w:font>
  <w:font w:name="DFKaiShuW7-B5">
    <w:altName w:val="宋体"/>
    <w:panose1 w:val="00000000000000000000"/>
    <w:charset w:val="86"/>
    <w:family w:val="script"/>
    <w:pitch w:val="default"/>
    <w:sig w:usb0="00000000" w:usb1="00000000" w:usb2="00000037" w:usb3="00000000" w:csb0="003F00FF" w:csb1="00000000"/>
  </w:font>
  <w:font w:name="方正小标宋简体">
    <w:panose1 w:val="02010601030101010101"/>
    <w:charset w:val="86"/>
    <w:family w:val="auto"/>
    <w:pitch w:val="default"/>
    <w:sig w:usb0="00000001" w:usb1="080E0000" w:usb2="00000000" w:usb3="00000000" w:csb0="00040000" w:csb1="00000000"/>
  </w:font>
  <w:font w:name="Helvetica">
    <w:altName w:val="Arial"/>
    <w:panose1 w:val="020B0504020202020204"/>
    <w:charset w:val="00"/>
    <w:family w:val="swiss"/>
    <w:pitch w:val="default"/>
    <w:sig w:usb0="00000000" w:usb1="00000000" w:usb2="00000000" w:usb3="00000000" w:csb0="00000001"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39</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D7EE03"/>
    <w:multiLevelType w:val="singleLevel"/>
    <w:tmpl w:val="ACD7EE03"/>
    <w:lvl w:ilvl="0" w:tentative="0">
      <w:start w:val="9"/>
      <w:numFmt w:val="chineseCounting"/>
      <w:suff w:val="nothing"/>
      <w:lvlText w:val="%1、"/>
      <w:lvlJc w:val="left"/>
      <w:rPr>
        <w:rFonts w:hint="eastAsia"/>
      </w:rPr>
    </w:lvl>
  </w:abstractNum>
  <w:abstractNum w:abstractNumId="1">
    <w:nsid w:val="195E629F"/>
    <w:multiLevelType w:val="multilevel"/>
    <w:tmpl w:val="195E629F"/>
    <w:lvl w:ilvl="0" w:tentative="0">
      <w:start w:val="1"/>
      <w:numFmt w:val="decimal"/>
      <w:pStyle w:val="261"/>
      <w:lvlText w:val="表5-%1"/>
      <w:lvlJc w:val="center"/>
      <w:pPr>
        <w:ind w:left="420" w:hanging="420"/>
      </w:pPr>
      <w:rPr>
        <w:rFonts w:hint="default" w:ascii="Times New Roman" w:hAnsi="Times New Roman" w:eastAsia="仿宋_GB2312"/>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0D129CC"/>
    <w:multiLevelType w:val="multilevel"/>
    <w:tmpl w:val="20D129CC"/>
    <w:lvl w:ilvl="0" w:tentative="0">
      <w:start w:val="1"/>
      <w:numFmt w:val="decimal"/>
      <w:pStyle w:val="258"/>
      <w:lvlText w:val="图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88F1E7D"/>
    <w:multiLevelType w:val="multilevel"/>
    <w:tmpl w:val="288F1E7D"/>
    <w:lvl w:ilvl="0" w:tentative="0">
      <w:start w:val="1"/>
      <w:numFmt w:val="decimal"/>
      <w:pStyle w:val="171"/>
      <w:lvlText w:val="表2-%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10864AD"/>
    <w:multiLevelType w:val="multilevel"/>
    <w:tmpl w:val="510864AD"/>
    <w:lvl w:ilvl="0" w:tentative="0">
      <w:start w:val="1"/>
      <w:numFmt w:val="decimal"/>
      <w:pStyle w:val="148"/>
      <w:lvlText w:val="表4-%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67D44A5"/>
    <w:multiLevelType w:val="multilevel"/>
    <w:tmpl w:val="567D44A5"/>
    <w:lvl w:ilvl="0" w:tentative="0">
      <w:start w:val="1"/>
      <w:numFmt w:val="chineseCountingThousand"/>
      <w:pStyle w:val="87"/>
      <w:lvlText w:val="第%1章 "/>
      <w:lvlJc w:val="center"/>
      <w:pPr>
        <w:ind w:left="0" w:firstLine="723"/>
      </w:pPr>
      <w:rPr>
        <w:rFonts w:hint="eastAsia" w:ascii="宋体" w:hAnsi="宋体" w:eastAsia="宋体"/>
      </w:rPr>
    </w:lvl>
    <w:lvl w:ilvl="1" w:tentative="0">
      <w:start w:val="1"/>
      <w:numFmt w:val="decimal"/>
      <w:pStyle w:val="77"/>
      <w:isLgl/>
      <w:lvlText w:val="%1.%2 "/>
      <w:lvlJc w:val="left"/>
      <w:pPr>
        <w:ind w:left="0" w:firstLine="0"/>
      </w:pPr>
      <w:rPr>
        <w:rFonts w:hint="default" w:ascii="Times New Roman" w:hAnsi="Times New Roman" w:eastAsia="宋体"/>
        <w:b/>
        <w:i w:val="0"/>
        <w:sz w:val="30"/>
        <w:szCs w:val="30"/>
      </w:rPr>
    </w:lvl>
    <w:lvl w:ilvl="2" w:tentative="0">
      <w:start w:val="1"/>
      <w:numFmt w:val="decimal"/>
      <w:pStyle w:val="81"/>
      <w:isLgl/>
      <w:lvlText w:val="%1.%2.%3 "/>
      <w:lvlJc w:val="left"/>
      <w:pPr>
        <w:ind w:left="567" w:hanging="567"/>
      </w:pPr>
      <w:rPr>
        <w:rFonts w:hint="eastAsia"/>
      </w:rPr>
    </w:lvl>
    <w:lvl w:ilvl="3" w:tentative="0">
      <w:start w:val="1"/>
      <w:numFmt w:val="decimal"/>
      <w:pStyle w:val="83"/>
      <w:isLgl/>
      <w:lvlText w:val="%1.%2.%3.%4 "/>
      <w:lvlJc w:val="left"/>
      <w:pPr>
        <w:ind w:left="0" w:firstLine="0"/>
      </w:pPr>
      <w:rPr>
        <w:rFonts w:hint="eastAsia"/>
      </w:rPr>
    </w:lvl>
    <w:lvl w:ilvl="4" w:tentative="0">
      <w:start w:val="1"/>
      <w:numFmt w:val="decimal"/>
      <w:lvlRestart w:val="1"/>
      <w:pStyle w:val="75"/>
      <w:isLgl/>
      <w:lvlText w:val="表%1-%5 "/>
      <w:lvlJc w:val="left"/>
      <w:pPr>
        <w:ind w:left="0" w:firstLine="0"/>
      </w:pPr>
      <w:rPr>
        <w:rFonts w:hint="eastAsia"/>
      </w:rPr>
    </w:lvl>
    <w:lvl w:ilvl="5" w:tentative="0">
      <w:start w:val="1"/>
      <w:numFmt w:val="decimal"/>
      <w:lvlRestart w:val="1"/>
      <w:pStyle w:val="85"/>
      <w:isLgl/>
      <w:lvlText w:val="图%1-%6 "/>
      <w:lvlJc w:val="center"/>
      <w:pPr>
        <w:ind w:left="0" w:firstLine="0"/>
      </w:pPr>
      <w:rPr>
        <w:rFonts w:hint="eastAsia"/>
      </w:rPr>
    </w:lvl>
    <w:lvl w:ilvl="6" w:tentative="0">
      <w:start w:val="1"/>
      <w:numFmt w:val="decimal"/>
      <w:lvlRestart w:val="1"/>
      <w:lvlText w:val="附件%7."/>
      <w:lvlJc w:val="left"/>
      <w:pPr>
        <w:ind w:left="0" w:firstLine="0"/>
      </w:pPr>
      <w:rPr>
        <w:rFonts w:hint="eastAsia"/>
      </w:rPr>
    </w:lvl>
    <w:lvl w:ilvl="7" w:tentative="0">
      <w:start w:val="1"/>
      <w:numFmt w:val="decimal"/>
      <w:lvlText w:val="附件表%7-%8"/>
      <w:lvlJc w:val="left"/>
      <w:pPr>
        <w:ind w:left="0" w:firstLine="0"/>
      </w:pPr>
      <w:rPr>
        <w:rFonts w:hint="eastAsia"/>
      </w:rPr>
    </w:lvl>
    <w:lvl w:ilvl="8" w:tentative="0">
      <w:start w:val="1"/>
      <w:numFmt w:val="lowerRoman"/>
      <w:lvlText w:val="%9."/>
      <w:lvlJc w:val="right"/>
      <w:pPr>
        <w:ind w:left="4503" w:hanging="420"/>
      </w:pPr>
      <w:rPr>
        <w:rFonts w:hint="eastAsia"/>
      </w:rPr>
    </w:lvl>
  </w:abstractNum>
  <w:abstractNum w:abstractNumId="6">
    <w:nsid w:val="636D2A7D"/>
    <w:multiLevelType w:val="multilevel"/>
    <w:tmpl w:val="636D2A7D"/>
    <w:lvl w:ilvl="0" w:tentative="0">
      <w:start w:val="1"/>
      <w:numFmt w:val="decimal"/>
      <w:pStyle w:val="254"/>
      <w:suff w:val="space"/>
      <w:lvlText w:val="表 2-%1 "/>
      <w:lvlJc w:val="left"/>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5CB6A69"/>
    <w:multiLevelType w:val="multilevel"/>
    <w:tmpl w:val="65CB6A69"/>
    <w:lvl w:ilvl="0" w:tentative="0">
      <w:start w:val="1"/>
      <w:numFmt w:val="decimal"/>
      <w:pStyle w:val="245"/>
      <w:lvlText w:val="图2-%1"/>
      <w:lvlJc w:val="left"/>
      <w:rPr>
        <w:rFonts w:hint="eastAsia"/>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shadow w14:blurRad="0" w14:dist="0" w14:dir="0" w14:sx="0" w14:sy="0" w14:kx="0" w14:ky="0" w14:algn="none">
          <w14:srgbClr w14:val="000000"/>
        </w14:shadow>
      </w:rPr>
    </w:lvl>
    <w:lvl w:ilvl="1" w:tentative="0">
      <w:start w:val="1"/>
      <w:numFmt w:val="lowerLetter"/>
      <w:lvlText w:val="%2)"/>
      <w:lvlJc w:val="left"/>
      <w:pPr>
        <w:ind w:left="5943" w:hanging="420"/>
      </w:pPr>
    </w:lvl>
    <w:lvl w:ilvl="2" w:tentative="0">
      <w:start w:val="1"/>
      <w:numFmt w:val="lowerRoman"/>
      <w:lvlText w:val="%3."/>
      <w:lvlJc w:val="right"/>
      <w:pPr>
        <w:ind w:left="6363" w:hanging="420"/>
      </w:pPr>
    </w:lvl>
    <w:lvl w:ilvl="3" w:tentative="0">
      <w:start w:val="1"/>
      <w:numFmt w:val="decimal"/>
      <w:lvlText w:val="%4."/>
      <w:lvlJc w:val="left"/>
      <w:pPr>
        <w:ind w:left="6783" w:hanging="420"/>
      </w:pPr>
    </w:lvl>
    <w:lvl w:ilvl="4" w:tentative="0">
      <w:start w:val="1"/>
      <w:numFmt w:val="lowerLetter"/>
      <w:lvlText w:val="%5)"/>
      <w:lvlJc w:val="left"/>
      <w:pPr>
        <w:ind w:left="7203" w:hanging="420"/>
      </w:pPr>
    </w:lvl>
    <w:lvl w:ilvl="5" w:tentative="0">
      <w:start w:val="1"/>
      <w:numFmt w:val="lowerRoman"/>
      <w:lvlText w:val="%6."/>
      <w:lvlJc w:val="right"/>
      <w:pPr>
        <w:ind w:left="7623" w:hanging="420"/>
      </w:pPr>
    </w:lvl>
    <w:lvl w:ilvl="6" w:tentative="0">
      <w:start w:val="1"/>
      <w:numFmt w:val="decimal"/>
      <w:lvlText w:val="%7."/>
      <w:lvlJc w:val="left"/>
      <w:pPr>
        <w:ind w:left="8043" w:hanging="420"/>
      </w:pPr>
    </w:lvl>
    <w:lvl w:ilvl="7" w:tentative="0">
      <w:start w:val="1"/>
      <w:numFmt w:val="lowerLetter"/>
      <w:lvlText w:val="%8)"/>
      <w:lvlJc w:val="left"/>
      <w:pPr>
        <w:ind w:left="8463" w:hanging="420"/>
      </w:pPr>
    </w:lvl>
    <w:lvl w:ilvl="8" w:tentative="0">
      <w:start w:val="1"/>
      <w:numFmt w:val="lowerRoman"/>
      <w:lvlText w:val="%9."/>
      <w:lvlJc w:val="right"/>
      <w:pPr>
        <w:ind w:left="8883" w:hanging="420"/>
      </w:pPr>
    </w:lvl>
  </w:abstractNum>
  <w:abstractNum w:abstractNumId="8">
    <w:nsid w:val="668F3FE8"/>
    <w:multiLevelType w:val="multilevel"/>
    <w:tmpl w:val="668F3FE8"/>
    <w:lvl w:ilvl="0" w:tentative="0">
      <w:start w:val="1"/>
      <w:numFmt w:val="decimal"/>
      <w:pStyle w:val="145"/>
      <w:lvlText w:val="表3-%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B4046DD"/>
    <w:multiLevelType w:val="multilevel"/>
    <w:tmpl w:val="6B4046DD"/>
    <w:lvl w:ilvl="0" w:tentative="0">
      <w:start w:val="1"/>
      <w:numFmt w:val="decimal"/>
      <w:pStyle w:val="247"/>
      <w:suff w:val="space"/>
      <w:lvlText w:val="图2-%1"/>
      <w:lvlJc w:val="left"/>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E10231D"/>
    <w:multiLevelType w:val="multilevel"/>
    <w:tmpl w:val="6E10231D"/>
    <w:lvl w:ilvl="0" w:tentative="0">
      <w:start w:val="1"/>
      <w:numFmt w:val="chineseCountingThousand"/>
      <w:pStyle w:val="65"/>
      <w:suff w:val="nothing"/>
      <w:lvlText w:val="第%1章  "/>
      <w:lvlJc w:val="left"/>
      <w:pPr>
        <w:ind w:left="0" w:firstLine="0"/>
      </w:pPr>
      <w:rPr>
        <w:rFonts w:hint="eastAsia"/>
      </w:rPr>
    </w:lvl>
    <w:lvl w:ilvl="1" w:tentative="0">
      <w:start w:val="1"/>
      <w:numFmt w:val="decimal"/>
      <w:pStyle w:val="66"/>
      <w:isLgl/>
      <w:suff w:val="nothing"/>
      <w:lvlText w:val="%1.%2  "/>
      <w:lvlJc w:val="left"/>
      <w:pPr>
        <w:ind w:left="0" w:firstLine="0"/>
      </w:pPr>
      <w:rPr>
        <w:rFonts w:hint="eastAsia"/>
      </w:rPr>
    </w:lvl>
    <w:lvl w:ilvl="2" w:tentative="0">
      <w:start w:val="1"/>
      <w:numFmt w:val="decimal"/>
      <w:isLgl/>
      <w:suff w:val="nothing"/>
      <w:lvlText w:val="%1.%2.%3  "/>
      <w:lvlJc w:val="left"/>
      <w:pPr>
        <w:ind w:left="0" w:firstLine="0"/>
      </w:pPr>
      <w:rPr>
        <w:rFonts w:hint="eastAsia"/>
      </w:rPr>
    </w:lvl>
    <w:lvl w:ilvl="3" w:tentative="0">
      <w:start w:val="1"/>
      <w:numFmt w:val="decimal"/>
      <w:pStyle w:val="68"/>
      <w:isLgl/>
      <w:suff w:val="nothing"/>
      <w:lvlText w:val="%1.%2.%3.%4 "/>
      <w:lvlJc w:val="left"/>
      <w:pPr>
        <w:ind w:left="0" w:firstLine="0"/>
      </w:pPr>
      <w:rPr>
        <w:rFonts w:hint="eastAsia"/>
      </w:rPr>
    </w:lvl>
    <w:lvl w:ilvl="4" w:tentative="0">
      <w:start w:val="1"/>
      <w:numFmt w:val="decimal"/>
      <w:lvlRestart w:val="1"/>
      <w:pStyle w:val="73"/>
      <w:isLgl/>
      <w:suff w:val="nothing"/>
      <w:lvlText w:val="图%1-%5 "/>
      <w:lvlJc w:val="left"/>
      <w:pPr>
        <w:ind w:left="0" w:firstLine="0"/>
      </w:pPr>
      <w:rPr>
        <w:rFonts w:hint="eastAsia"/>
      </w:rPr>
    </w:lvl>
    <w:lvl w:ilvl="5" w:tentative="0">
      <w:start w:val="1"/>
      <w:numFmt w:val="decimal"/>
      <w:lvlRestart w:val="1"/>
      <w:pStyle w:val="71"/>
      <w:isLgl/>
      <w:suff w:val="nothing"/>
      <w:lvlText w:val="表%1-%6 "/>
      <w:lvlJc w:val="left"/>
      <w:pPr>
        <w:ind w:left="0" w:firstLine="0"/>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0"/>
  </w:num>
  <w:num w:numId="2">
    <w:abstractNumId w:val="5"/>
  </w:num>
  <w:num w:numId="3">
    <w:abstractNumId w:val="8"/>
  </w:num>
  <w:num w:numId="4">
    <w:abstractNumId w:val="4"/>
  </w:num>
  <w:num w:numId="5">
    <w:abstractNumId w:val="3"/>
  </w:num>
  <w:num w:numId="6">
    <w:abstractNumId w:val="7"/>
  </w:num>
  <w:num w:numId="7">
    <w:abstractNumId w:val="9"/>
  </w:num>
  <w:num w:numId="8">
    <w:abstractNumId w:val="6"/>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5ZTcxYWQwYzdjYzEzZDk5NDVmYjBiOWZmZDZlNzUifQ=="/>
  </w:docVars>
  <w:rsids>
    <w:rsidRoot w:val="00893C5F"/>
    <w:rsid w:val="00000F45"/>
    <w:rsid w:val="00001A77"/>
    <w:rsid w:val="000057A1"/>
    <w:rsid w:val="00010FB1"/>
    <w:rsid w:val="00014787"/>
    <w:rsid w:val="0001481F"/>
    <w:rsid w:val="0002084E"/>
    <w:rsid w:val="000210D6"/>
    <w:rsid w:val="00023630"/>
    <w:rsid w:val="00031475"/>
    <w:rsid w:val="00032DA1"/>
    <w:rsid w:val="00033C31"/>
    <w:rsid w:val="00035B31"/>
    <w:rsid w:val="00041510"/>
    <w:rsid w:val="00046A4F"/>
    <w:rsid w:val="00054160"/>
    <w:rsid w:val="00056B59"/>
    <w:rsid w:val="0006572C"/>
    <w:rsid w:val="00067457"/>
    <w:rsid w:val="00070B5F"/>
    <w:rsid w:val="000711F4"/>
    <w:rsid w:val="000802C5"/>
    <w:rsid w:val="000811AA"/>
    <w:rsid w:val="00085606"/>
    <w:rsid w:val="000872CE"/>
    <w:rsid w:val="00090A86"/>
    <w:rsid w:val="00093FFF"/>
    <w:rsid w:val="000959E1"/>
    <w:rsid w:val="00095A72"/>
    <w:rsid w:val="00095DB3"/>
    <w:rsid w:val="00095E80"/>
    <w:rsid w:val="000A1AE8"/>
    <w:rsid w:val="000A3BC5"/>
    <w:rsid w:val="000A3FD7"/>
    <w:rsid w:val="000B117D"/>
    <w:rsid w:val="000B31A1"/>
    <w:rsid w:val="000B497A"/>
    <w:rsid w:val="000B55E8"/>
    <w:rsid w:val="000B577D"/>
    <w:rsid w:val="000C73D8"/>
    <w:rsid w:val="000D5B62"/>
    <w:rsid w:val="000D6AFA"/>
    <w:rsid w:val="000D6BAB"/>
    <w:rsid w:val="000E0F74"/>
    <w:rsid w:val="000E1971"/>
    <w:rsid w:val="000E2110"/>
    <w:rsid w:val="000E3096"/>
    <w:rsid w:val="000E4AE7"/>
    <w:rsid w:val="000E5353"/>
    <w:rsid w:val="000F4F36"/>
    <w:rsid w:val="000F61E0"/>
    <w:rsid w:val="0010106C"/>
    <w:rsid w:val="00102A98"/>
    <w:rsid w:val="00105F97"/>
    <w:rsid w:val="001076D7"/>
    <w:rsid w:val="00110589"/>
    <w:rsid w:val="0011156F"/>
    <w:rsid w:val="001130AB"/>
    <w:rsid w:val="00120635"/>
    <w:rsid w:val="00120B39"/>
    <w:rsid w:val="00120D92"/>
    <w:rsid w:val="00123EED"/>
    <w:rsid w:val="00124CC9"/>
    <w:rsid w:val="001251A2"/>
    <w:rsid w:val="00125253"/>
    <w:rsid w:val="00125E68"/>
    <w:rsid w:val="00132C57"/>
    <w:rsid w:val="001331DA"/>
    <w:rsid w:val="00136E8C"/>
    <w:rsid w:val="00137319"/>
    <w:rsid w:val="00137DD7"/>
    <w:rsid w:val="00140FDE"/>
    <w:rsid w:val="00144465"/>
    <w:rsid w:val="0014468D"/>
    <w:rsid w:val="0014655E"/>
    <w:rsid w:val="001466A5"/>
    <w:rsid w:val="00155C82"/>
    <w:rsid w:val="00155CBF"/>
    <w:rsid w:val="00156CEA"/>
    <w:rsid w:val="00161360"/>
    <w:rsid w:val="001624E9"/>
    <w:rsid w:val="00166ADF"/>
    <w:rsid w:val="00170C84"/>
    <w:rsid w:val="00172C40"/>
    <w:rsid w:val="00175DBA"/>
    <w:rsid w:val="00181001"/>
    <w:rsid w:val="00185449"/>
    <w:rsid w:val="0018664F"/>
    <w:rsid w:val="001A7AD7"/>
    <w:rsid w:val="001B278C"/>
    <w:rsid w:val="001B6500"/>
    <w:rsid w:val="001C1759"/>
    <w:rsid w:val="001C34A6"/>
    <w:rsid w:val="001D26B3"/>
    <w:rsid w:val="001D2D95"/>
    <w:rsid w:val="001D3842"/>
    <w:rsid w:val="001D3D65"/>
    <w:rsid w:val="001D3FA8"/>
    <w:rsid w:val="001D73F7"/>
    <w:rsid w:val="001D7FE1"/>
    <w:rsid w:val="001E2C15"/>
    <w:rsid w:val="001E2F5E"/>
    <w:rsid w:val="001E5CA0"/>
    <w:rsid w:val="001F4D11"/>
    <w:rsid w:val="0020183C"/>
    <w:rsid w:val="00204292"/>
    <w:rsid w:val="00205E15"/>
    <w:rsid w:val="00207192"/>
    <w:rsid w:val="00210458"/>
    <w:rsid w:val="00226736"/>
    <w:rsid w:val="002313EB"/>
    <w:rsid w:val="002351A7"/>
    <w:rsid w:val="002358E3"/>
    <w:rsid w:val="00241413"/>
    <w:rsid w:val="002422B7"/>
    <w:rsid w:val="002426E0"/>
    <w:rsid w:val="00243514"/>
    <w:rsid w:val="00246B68"/>
    <w:rsid w:val="0025203F"/>
    <w:rsid w:val="002566E3"/>
    <w:rsid w:val="0025688D"/>
    <w:rsid w:val="00261A21"/>
    <w:rsid w:val="00264F08"/>
    <w:rsid w:val="00265CFD"/>
    <w:rsid w:val="0026738E"/>
    <w:rsid w:val="0026779C"/>
    <w:rsid w:val="00271A85"/>
    <w:rsid w:val="0027252E"/>
    <w:rsid w:val="00272A65"/>
    <w:rsid w:val="00273006"/>
    <w:rsid w:val="002854F9"/>
    <w:rsid w:val="00286D71"/>
    <w:rsid w:val="00287A02"/>
    <w:rsid w:val="0029098F"/>
    <w:rsid w:val="0029335F"/>
    <w:rsid w:val="00293408"/>
    <w:rsid w:val="00296BAC"/>
    <w:rsid w:val="002A54AA"/>
    <w:rsid w:val="002A5C74"/>
    <w:rsid w:val="002A68E7"/>
    <w:rsid w:val="002B429F"/>
    <w:rsid w:val="002B6B79"/>
    <w:rsid w:val="002B72E1"/>
    <w:rsid w:val="002C0659"/>
    <w:rsid w:val="002C3E18"/>
    <w:rsid w:val="002D4E73"/>
    <w:rsid w:val="002D4F94"/>
    <w:rsid w:val="002D639D"/>
    <w:rsid w:val="002D7B08"/>
    <w:rsid w:val="002E24D6"/>
    <w:rsid w:val="002E2601"/>
    <w:rsid w:val="002E3D8F"/>
    <w:rsid w:val="002E5A45"/>
    <w:rsid w:val="002E7C70"/>
    <w:rsid w:val="002F0427"/>
    <w:rsid w:val="002F3D14"/>
    <w:rsid w:val="002F6E60"/>
    <w:rsid w:val="0030163C"/>
    <w:rsid w:val="003022E2"/>
    <w:rsid w:val="00304950"/>
    <w:rsid w:val="00305F7C"/>
    <w:rsid w:val="003111E9"/>
    <w:rsid w:val="00313878"/>
    <w:rsid w:val="00320461"/>
    <w:rsid w:val="003204E1"/>
    <w:rsid w:val="00333AD6"/>
    <w:rsid w:val="00334D13"/>
    <w:rsid w:val="0034259C"/>
    <w:rsid w:val="0034450D"/>
    <w:rsid w:val="00344DA8"/>
    <w:rsid w:val="00345651"/>
    <w:rsid w:val="00345CE1"/>
    <w:rsid w:val="003473C8"/>
    <w:rsid w:val="00347F6B"/>
    <w:rsid w:val="00352D4A"/>
    <w:rsid w:val="003532C9"/>
    <w:rsid w:val="00355E81"/>
    <w:rsid w:val="003560D6"/>
    <w:rsid w:val="0036206B"/>
    <w:rsid w:val="003652D6"/>
    <w:rsid w:val="00366568"/>
    <w:rsid w:val="00370B9C"/>
    <w:rsid w:val="00372630"/>
    <w:rsid w:val="00381B42"/>
    <w:rsid w:val="0038322A"/>
    <w:rsid w:val="00383642"/>
    <w:rsid w:val="003836A1"/>
    <w:rsid w:val="0038617B"/>
    <w:rsid w:val="00386475"/>
    <w:rsid w:val="00397AEE"/>
    <w:rsid w:val="00397FC2"/>
    <w:rsid w:val="003A02D9"/>
    <w:rsid w:val="003A2B32"/>
    <w:rsid w:val="003A4213"/>
    <w:rsid w:val="003B0335"/>
    <w:rsid w:val="003B2CAF"/>
    <w:rsid w:val="003C2582"/>
    <w:rsid w:val="003C3EAA"/>
    <w:rsid w:val="003C6ADB"/>
    <w:rsid w:val="003D35F7"/>
    <w:rsid w:val="003D5A1E"/>
    <w:rsid w:val="003D5E11"/>
    <w:rsid w:val="003E05B2"/>
    <w:rsid w:val="003E0959"/>
    <w:rsid w:val="003E2B90"/>
    <w:rsid w:val="003E2F16"/>
    <w:rsid w:val="003E3048"/>
    <w:rsid w:val="003F2C9A"/>
    <w:rsid w:val="003F40D8"/>
    <w:rsid w:val="00401290"/>
    <w:rsid w:val="004032E5"/>
    <w:rsid w:val="0040544B"/>
    <w:rsid w:val="00405F67"/>
    <w:rsid w:val="00410481"/>
    <w:rsid w:val="00411413"/>
    <w:rsid w:val="0041149E"/>
    <w:rsid w:val="00412C20"/>
    <w:rsid w:val="0041627A"/>
    <w:rsid w:val="0042235C"/>
    <w:rsid w:val="00422B70"/>
    <w:rsid w:val="004237CD"/>
    <w:rsid w:val="00431B12"/>
    <w:rsid w:val="00431D2D"/>
    <w:rsid w:val="00435050"/>
    <w:rsid w:val="00436761"/>
    <w:rsid w:val="0044492A"/>
    <w:rsid w:val="00452A71"/>
    <w:rsid w:val="00470113"/>
    <w:rsid w:val="00471288"/>
    <w:rsid w:val="004715E2"/>
    <w:rsid w:val="004737E6"/>
    <w:rsid w:val="00477FD3"/>
    <w:rsid w:val="004803CE"/>
    <w:rsid w:val="00482F1A"/>
    <w:rsid w:val="00487D33"/>
    <w:rsid w:val="004900CB"/>
    <w:rsid w:val="0049087E"/>
    <w:rsid w:val="0049102A"/>
    <w:rsid w:val="004977FB"/>
    <w:rsid w:val="00497D6C"/>
    <w:rsid w:val="004A1A87"/>
    <w:rsid w:val="004A5220"/>
    <w:rsid w:val="004A6111"/>
    <w:rsid w:val="004B04FF"/>
    <w:rsid w:val="004B0FAC"/>
    <w:rsid w:val="004B14F1"/>
    <w:rsid w:val="004B2C46"/>
    <w:rsid w:val="004B6769"/>
    <w:rsid w:val="004B6D64"/>
    <w:rsid w:val="004C1AF3"/>
    <w:rsid w:val="004C2B43"/>
    <w:rsid w:val="004C37B9"/>
    <w:rsid w:val="004C4AA3"/>
    <w:rsid w:val="004D3336"/>
    <w:rsid w:val="004E633D"/>
    <w:rsid w:val="004F00F4"/>
    <w:rsid w:val="004F024A"/>
    <w:rsid w:val="004F0292"/>
    <w:rsid w:val="004F2171"/>
    <w:rsid w:val="004F323B"/>
    <w:rsid w:val="004F4878"/>
    <w:rsid w:val="00512A7D"/>
    <w:rsid w:val="005131C5"/>
    <w:rsid w:val="00514FEB"/>
    <w:rsid w:val="0051750E"/>
    <w:rsid w:val="00526558"/>
    <w:rsid w:val="00526B76"/>
    <w:rsid w:val="005334D8"/>
    <w:rsid w:val="005373A3"/>
    <w:rsid w:val="00542801"/>
    <w:rsid w:val="00545212"/>
    <w:rsid w:val="00545F7A"/>
    <w:rsid w:val="00551D93"/>
    <w:rsid w:val="005532AE"/>
    <w:rsid w:val="00557B99"/>
    <w:rsid w:val="00560A2F"/>
    <w:rsid w:val="00560E6D"/>
    <w:rsid w:val="005665C4"/>
    <w:rsid w:val="00570FEF"/>
    <w:rsid w:val="005738B4"/>
    <w:rsid w:val="00573B58"/>
    <w:rsid w:val="00574DC6"/>
    <w:rsid w:val="00580AEE"/>
    <w:rsid w:val="005815D7"/>
    <w:rsid w:val="005848D0"/>
    <w:rsid w:val="00586EE5"/>
    <w:rsid w:val="005919E0"/>
    <w:rsid w:val="005A151D"/>
    <w:rsid w:val="005A44BF"/>
    <w:rsid w:val="005A4B96"/>
    <w:rsid w:val="005A5530"/>
    <w:rsid w:val="005B039C"/>
    <w:rsid w:val="005B0888"/>
    <w:rsid w:val="005B11A4"/>
    <w:rsid w:val="005B50BA"/>
    <w:rsid w:val="005B6BB2"/>
    <w:rsid w:val="005B791C"/>
    <w:rsid w:val="005C05D3"/>
    <w:rsid w:val="005C3B56"/>
    <w:rsid w:val="005D2AFE"/>
    <w:rsid w:val="005D32EA"/>
    <w:rsid w:val="005D60FD"/>
    <w:rsid w:val="005E13A3"/>
    <w:rsid w:val="005E1EF7"/>
    <w:rsid w:val="005E53ED"/>
    <w:rsid w:val="005F08DA"/>
    <w:rsid w:val="005F51DB"/>
    <w:rsid w:val="005F5477"/>
    <w:rsid w:val="005F6EB4"/>
    <w:rsid w:val="005F6EE8"/>
    <w:rsid w:val="005F765B"/>
    <w:rsid w:val="006002F8"/>
    <w:rsid w:val="0060310F"/>
    <w:rsid w:val="00604BFC"/>
    <w:rsid w:val="00612EEE"/>
    <w:rsid w:val="00615923"/>
    <w:rsid w:val="00617B43"/>
    <w:rsid w:val="006235F7"/>
    <w:rsid w:val="00631720"/>
    <w:rsid w:val="006408D8"/>
    <w:rsid w:val="00643309"/>
    <w:rsid w:val="0064502E"/>
    <w:rsid w:val="00652F5F"/>
    <w:rsid w:val="00653490"/>
    <w:rsid w:val="00657117"/>
    <w:rsid w:val="006636FB"/>
    <w:rsid w:val="0066508A"/>
    <w:rsid w:val="0067313A"/>
    <w:rsid w:val="006735E7"/>
    <w:rsid w:val="00673CF7"/>
    <w:rsid w:val="00674324"/>
    <w:rsid w:val="006763E6"/>
    <w:rsid w:val="00676CEA"/>
    <w:rsid w:val="00680C39"/>
    <w:rsid w:val="0068139D"/>
    <w:rsid w:val="0068252A"/>
    <w:rsid w:val="00682AAE"/>
    <w:rsid w:val="00685154"/>
    <w:rsid w:val="00687E56"/>
    <w:rsid w:val="006952E3"/>
    <w:rsid w:val="006A1EFE"/>
    <w:rsid w:val="006A51CA"/>
    <w:rsid w:val="006B26F2"/>
    <w:rsid w:val="006B3017"/>
    <w:rsid w:val="006B3822"/>
    <w:rsid w:val="006B5717"/>
    <w:rsid w:val="006C5C17"/>
    <w:rsid w:val="006C5F1A"/>
    <w:rsid w:val="006D068A"/>
    <w:rsid w:val="006D418B"/>
    <w:rsid w:val="006D5F9D"/>
    <w:rsid w:val="006E1C30"/>
    <w:rsid w:val="006E5EE9"/>
    <w:rsid w:val="006E6087"/>
    <w:rsid w:val="006F51EC"/>
    <w:rsid w:val="006F64A1"/>
    <w:rsid w:val="006F735F"/>
    <w:rsid w:val="006F7C5C"/>
    <w:rsid w:val="0070188E"/>
    <w:rsid w:val="0070213D"/>
    <w:rsid w:val="00702266"/>
    <w:rsid w:val="00704882"/>
    <w:rsid w:val="00712864"/>
    <w:rsid w:val="0071423E"/>
    <w:rsid w:val="00716D18"/>
    <w:rsid w:val="00720B84"/>
    <w:rsid w:val="00723904"/>
    <w:rsid w:val="00723A15"/>
    <w:rsid w:val="007241F4"/>
    <w:rsid w:val="00726967"/>
    <w:rsid w:val="0073009F"/>
    <w:rsid w:val="007306BC"/>
    <w:rsid w:val="00730DF6"/>
    <w:rsid w:val="00734A0E"/>
    <w:rsid w:val="00735FBD"/>
    <w:rsid w:val="007417F3"/>
    <w:rsid w:val="00743F05"/>
    <w:rsid w:val="00746681"/>
    <w:rsid w:val="00746C79"/>
    <w:rsid w:val="007478F2"/>
    <w:rsid w:val="007513CE"/>
    <w:rsid w:val="00761399"/>
    <w:rsid w:val="00765684"/>
    <w:rsid w:val="00766AAE"/>
    <w:rsid w:val="00770298"/>
    <w:rsid w:val="00770584"/>
    <w:rsid w:val="00771C5D"/>
    <w:rsid w:val="007743B5"/>
    <w:rsid w:val="00776C49"/>
    <w:rsid w:val="007818F1"/>
    <w:rsid w:val="00784D4D"/>
    <w:rsid w:val="0078502C"/>
    <w:rsid w:val="00792E05"/>
    <w:rsid w:val="00794399"/>
    <w:rsid w:val="007A0152"/>
    <w:rsid w:val="007A0A66"/>
    <w:rsid w:val="007A2A8F"/>
    <w:rsid w:val="007A47AA"/>
    <w:rsid w:val="007A7A06"/>
    <w:rsid w:val="007B0E77"/>
    <w:rsid w:val="007B2357"/>
    <w:rsid w:val="007B3AD9"/>
    <w:rsid w:val="007B4A47"/>
    <w:rsid w:val="007B649A"/>
    <w:rsid w:val="007C0B1E"/>
    <w:rsid w:val="007C62CD"/>
    <w:rsid w:val="007C6AF7"/>
    <w:rsid w:val="007D04CA"/>
    <w:rsid w:val="007D2726"/>
    <w:rsid w:val="007D661C"/>
    <w:rsid w:val="007E0725"/>
    <w:rsid w:val="007E0A20"/>
    <w:rsid w:val="007E2DDE"/>
    <w:rsid w:val="007E322B"/>
    <w:rsid w:val="007E554E"/>
    <w:rsid w:val="007E576B"/>
    <w:rsid w:val="007E598B"/>
    <w:rsid w:val="007E705E"/>
    <w:rsid w:val="007F0D6E"/>
    <w:rsid w:val="007F0EE5"/>
    <w:rsid w:val="007F4EC3"/>
    <w:rsid w:val="007F5A95"/>
    <w:rsid w:val="007F6467"/>
    <w:rsid w:val="007F7CCC"/>
    <w:rsid w:val="008015C0"/>
    <w:rsid w:val="00803596"/>
    <w:rsid w:val="00804A0C"/>
    <w:rsid w:val="00805565"/>
    <w:rsid w:val="0080757A"/>
    <w:rsid w:val="0080770D"/>
    <w:rsid w:val="00813C61"/>
    <w:rsid w:val="00814110"/>
    <w:rsid w:val="00821099"/>
    <w:rsid w:val="0082117D"/>
    <w:rsid w:val="00821AAE"/>
    <w:rsid w:val="0082480A"/>
    <w:rsid w:val="008359EC"/>
    <w:rsid w:val="0084074B"/>
    <w:rsid w:val="00840A1B"/>
    <w:rsid w:val="0084111B"/>
    <w:rsid w:val="0084390A"/>
    <w:rsid w:val="00845263"/>
    <w:rsid w:val="0084578A"/>
    <w:rsid w:val="00845D67"/>
    <w:rsid w:val="00846B2B"/>
    <w:rsid w:val="00846B68"/>
    <w:rsid w:val="008515F6"/>
    <w:rsid w:val="00852226"/>
    <w:rsid w:val="0086182D"/>
    <w:rsid w:val="00865619"/>
    <w:rsid w:val="00866EC5"/>
    <w:rsid w:val="00871133"/>
    <w:rsid w:val="00871166"/>
    <w:rsid w:val="008714AB"/>
    <w:rsid w:val="00871BC4"/>
    <w:rsid w:val="00874D9D"/>
    <w:rsid w:val="00876555"/>
    <w:rsid w:val="00880AAD"/>
    <w:rsid w:val="0088395E"/>
    <w:rsid w:val="008842E5"/>
    <w:rsid w:val="00884835"/>
    <w:rsid w:val="00893694"/>
    <w:rsid w:val="00893A79"/>
    <w:rsid w:val="00893C5F"/>
    <w:rsid w:val="00897658"/>
    <w:rsid w:val="008B12C7"/>
    <w:rsid w:val="008C11A0"/>
    <w:rsid w:val="008C2B38"/>
    <w:rsid w:val="008C33FF"/>
    <w:rsid w:val="008C38A9"/>
    <w:rsid w:val="008C6346"/>
    <w:rsid w:val="008D02E9"/>
    <w:rsid w:val="008D388C"/>
    <w:rsid w:val="008D4538"/>
    <w:rsid w:val="008E2E96"/>
    <w:rsid w:val="008E34AE"/>
    <w:rsid w:val="008F0785"/>
    <w:rsid w:val="008F0F1A"/>
    <w:rsid w:val="008F2835"/>
    <w:rsid w:val="008F6656"/>
    <w:rsid w:val="008F7431"/>
    <w:rsid w:val="009050ED"/>
    <w:rsid w:val="00905930"/>
    <w:rsid w:val="00911613"/>
    <w:rsid w:val="0091475D"/>
    <w:rsid w:val="00920553"/>
    <w:rsid w:val="00924A6F"/>
    <w:rsid w:val="00925A22"/>
    <w:rsid w:val="0092649D"/>
    <w:rsid w:val="00931173"/>
    <w:rsid w:val="00934049"/>
    <w:rsid w:val="00936705"/>
    <w:rsid w:val="00937409"/>
    <w:rsid w:val="00941CF5"/>
    <w:rsid w:val="00946678"/>
    <w:rsid w:val="009466EA"/>
    <w:rsid w:val="009514CA"/>
    <w:rsid w:val="00960735"/>
    <w:rsid w:val="00967257"/>
    <w:rsid w:val="0096764C"/>
    <w:rsid w:val="0097106B"/>
    <w:rsid w:val="00975057"/>
    <w:rsid w:val="00986FB0"/>
    <w:rsid w:val="00990D91"/>
    <w:rsid w:val="00994B36"/>
    <w:rsid w:val="009962B0"/>
    <w:rsid w:val="009A2E51"/>
    <w:rsid w:val="009A4CB0"/>
    <w:rsid w:val="009A5E16"/>
    <w:rsid w:val="009B33CC"/>
    <w:rsid w:val="009B39D0"/>
    <w:rsid w:val="009B7E70"/>
    <w:rsid w:val="009C1697"/>
    <w:rsid w:val="009C1F29"/>
    <w:rsid w:val="009C248C"/>
    <w:rsid w:val="009C4147"/>
    <w:rsid w:val="009C47FE"/>
    <w:rsid w:val="009C6EBD"/>
    <w:rsid w:val="009C7285"/>
    <w:rsid w:val="009D4C92"/>
    <w:rsid w:val="009D5A19"/>
    <w:rsid w:val="009E0A1A"/>
    <w:rsid w:val="009E0D77"/>
    <w:rsid w:val="009E1BE1"/>
    <w:rsid w:val="009E2AB3"/>
    <w:rsid w:val="009E3841"/>
    <w:rsid w:val="009E3C83"/>
    <w:rsid w:val="009F1356"/>
    <w:rsid w:val="009F236D"/>
    <w:rsid w:val="009F4D1A"/>
    <w:rsid w:val="009F7BC0"/>
    <w:rsid w:val="00A0207C"/>
    <w:rsid w:val="00A02AA7"/>
    <w:rsid w:val="00A06260"/>
    <w:rsid w:val="00A06571"/>
    <w:rsid w:val="00A10DFC"/>
    <w:rsid w:val="00A149E0"/>
    <w:rsid w:val="00A207A7"/>
    <w:rsid w:val="00A21687"/>
    <w:rsid w:val="00A254F5"/>
    <w:rsid w:val="00A25A77"/>
    <w:rsid w:val="00A27902"/>
    <w:rsid w:val="00A42E3A"/>
    <w:rsid w:val="00A52CFD"/>
    <w:rsid w:val="00A62AD5"/>
    <w:rsid w:val="00A6300F"/>
    <w:rsid w:val="00A656C8"/>
    <w:rsid w:val="00A66716"/>
    <w:rsid w:val="00A70E1B"/>
    <w:rsid w:val="00A7382E"/>
    <w:rsid w:val="00A75CC0"/>
    <w:rsid w:val="00A7682A"/>
    <w:rsid w:val="00A76E1C"/>
    <w:rsid w:val="00A80D5E"/>
    <w:rsid w:val="00A91D1C"/>
    <w:rsid w:val="00A9297A"/>
    <w:rsid w:val="00A97888"/>
    <w:rsid w:val="00AA0234"/>
    <w:rsid w:val="00AA12B7"/>
    <w:rsid w:val="00AA704C"/>
    <w:rsid w:val="00AB13CE"/>
    <w:rsid w:val="00AB2BD3"/>
    <w:rsid w:val="00AB60A3"/>
    <w:rsid w:val="00AB6985"/>
    <w:rsid w:val="00AC118A"/>
    <w:rsid w:val="00AC346F"/>
    <w:rsid w:val="00AD0789"/>
    <w:rsid w:val="00AD48EB"/>
    <w:rsid w:val="00AE02FB"/>
    <w:rsid w:val="00AE0565"/>
    <w:rsid w:val="00AE453A"/>
    <w:rsid w:val="00AF1BE1"/>
    <w:rsid w:val="00AF34A0"/>
    <w:rsid w:val="00AF4170"/>
    <w:rsid w:val="00AF5910"/>
    <w:rsid w:val="00AF71C4"/>
    <w:rsid w:val="00AF7352"/>
    <w:rsid w:val="00AF7A05"/>
    <w:rsid w:val="00AF7C43"/>
    <w:rsid w:val="00B1053E"/>
    <w:rsid w:val="00B133CC"/>
    <w:rsid w:val="00B15855"/>
    <w:rsid w:val="00B161D5"/>
    <w:rsid w:val="00B16EAC"/>
    <w:rsid w:val="00B2000C"/>
    <w:rsid w:val="00B24527"/>
    <w:rsid w:val="00B260F8"/>
    <w:rsid w:val="00B27653"/>
    <w:rsid w:val="00B31A19"/>
    <w:rsid w:val="00B403E8"/>
    <w:rsid w:val="00B411B5"/>
    <w:rsid w:val="00B412AF"/>
    <w:rsid w:val="00B4206A"/>
    <w:rsid w:val="00B46856"/>
    <w:rsid w:val="00B47AE8"/>
    <w:rsid w:val="00B47D3C"/>
    <w:rsid w:val="00B513BB"/>
    <w:rsid w:val="00B51638"/>
    <w:rsid w:val="00B55BE0"/>
    <w:rsid w:val="00B57A62"/>
    <w:rsid w:val="00B62046"/>
    <w:rsid w:val="00B6737C"/>
    <w:rsid w:val="00B6752C"/>
    <w:rsid w:val="00B7278F"/>
    <w:rsid w:val="00B745B1"/>
    <w:rsid w:val="00B81310"/>
    <w:rsid w:val="00B828F5"/>
    <w:rsid w:val="00B8413B"/>
    <w:rsid w:val="00B912FA"/>
    <w:rsid w:val="00B94069"/>
    <w:rsid w:val="00BA11BF"/>
    <w:rsid w:val="00BA231F"/>
    <w:rsid w:val="00BA3B7B"/>
    <w:rsid w:val="00BC0FB5"/>
    <w:rsid w:val="00BC1068"/>
    <w:rsid w:val="00BC11CC"/>
    <w:rsid w:val="00BC2100"/>
    <w:rsid w:val="00BC4E45"/>
    <w:rsid w:val="00BC5A08"/>
    <w:rsid w:val="00BC7562"/>
    <w:rsid w:val="00BD1712"/>
    <w:rsid w:val="00BD1DF8"/>
    <w:rsid w:val="00BD5862"/>
    <w:rsid w:val="00BE15F6"/>
    <w:rsid w:val="00BE7657"/>
    <w:rsid w:val="00BF1056"/>
    <w:rsid w:val="00BF512F"/>
    <w:rsid w:val="00C0067B"/>
    <w:rsid w:val="00C047C2"/>
    <w:rsid w:val="00C15671"/>
    <w:rsid w:val="00C15A0F"/>
    <w:rsid w:val="00C213F8"/>
    <w:rsid w:val="00C218C7"/>
    <w:rsid w:val="00C2326E"/>
    <w:rsid w:val="00C233DE"/>
    <w:rsid w:val="00C303F0"/>
    <w:rsid w:val="00C33BE8"/>
    <w:rsid w:val="00C367AE"/>
    <w:rsid w:val="00C40027"/>
    <w:rsid w:val="00C43C92"/>
    <w:rsid w:val="00C44CE4"/>
    <w:rsid w:val="00C501A9"/>
    <w:rsid w:val="00C513C7"/>
    <w:rsid w:val="00C54592"/>
    <w:rsid w:val="00C54A28"/>
    <w:rsid w:val="00C55A80"/>
    <w:rsid w:val="00C5620C"/>
    <w:rsid w:val="00C6180D"/>
    <w:rsid w:val="00C64492"/>
    <w:rsid w:val="00C65130"/>
    <w:rsid w:val="00C749D9"/>
    <w:rsid w:val="00C8171C"/>
    <w:rsid w:val="00C8564B"/>
    <w:rsid w:val="00C86D24"/>
    <w:rsid w:val="00C8711E"/>
    <w:rsid w:val="00C92698"/>
    <w:rsid w:val="00C95558"/>
    <w:rsid w:val="00C95897"/>
    <w:rsid w:val="00CB0643"/>
    <w:rsid w:val="00CB3E89"/>
    <w:rsid w:val="00CB472B"/>
    <w:rsid w:val="00CC19F9"/>
    <w:rsid w:val="00CC47A3"/>
    <w:rsid w:val="00CC53CD"/>
    <w:rsid w:val="00CC5E7D"/>
    <w:rsid w:val="00CD2351"/>
    <w:rsid w:val="00CD3C7B"/>
    <w:rsid w:val="00CD6136"/>
    <w:rsid w:val="00CD66FE"/>
    <w:rsid w:val="00CD7C18"/>
    <w:rsid w:val="00CE77D7"/>
    <w:rsid w:val="00CE7A5B"/>
    <w:rsid w:val="00CF0B60"/>
    <w:rsid w:val="00D02F91"/>
    <w:rsid w:val="00D1057E"/>
    <w:rsid w:val="00D117C6"/>
    <w:rsid w:val="00D14AD8"/>
    <w:rsid w:val="00D163D9"/>
    <w:rsid w:val="00D20958"/>
    <w:rsid w:val="00D23FED"/>
    <w:rsid w:val="00D26C0B"/>
    <w:rsid w:val="00D36F36"/>
    <w:rsid w:val="00D52F7A"/>
    <w:rsid w:val="00D54A6F"/>
    <w:rsid w:val="00D55455"/>
    <w:rsid w:val="00D55787"/>
    <w:rsid w:val="00D55797"/>
    <w:rsid w:val="00D62F92"/>
    <w:rsid w:val="00D63F78"/>
    <w:rsid w:val="00D67234"/>
    <w:rsid w:val="00D70968"/>
    <w:rsid w:val="00D72735"/>
    <w:rsid w:val="00D729FB"/>
    <w:rsid w:val="00D75795"/>
    <w:rsid w:val="00D81488"/>
    <w:rsid w:val="00D936C1"/>
    <w:rsid w:val="00D95E8F"/>
    <w:rsid w:val="00D961ED"/>
    <w:rsid w:val="00DA0619"/>
    <w:rsid w:val="00DA7517"/>
    <w:rsid w:val="00DB5E91"/>
    <w:rsid w:val="00DC338B"/>
    <w:rsid w:val="00DD37FC"/>
    <w:rsid w:val="00DD3DF9"/>
    <w:rsid w:val="00DD4CEB"/>
    <w:rsid w:val="00DF058D"/>
    <w:rsid w:val="00DF32FE"/>
    <w:rsid w:val="00DF38CD"/>
    <w:rsid w:val="00DF3F53"/>
    <w:rsid w:val="00DF5958"/>
    <w:rsid w:val="00E00012"/>
    <w:rsid w:val="00E014E6"/>
    <w:rsid w:val="00E029D6"/>
    <w:rsid w:val="00E07236"/>
    <w:rsid w:val="00E0738E"/>
    <w:rsid w:val="00E074E0"/>
    <w:rsid w:val="00E1595B"/>
    <w:rsid w:val="00E15AF4"/>
    <w:rsid w:val="00E17224"/>
    <w:rsid w:val="00E235DD"/>
    <w:rsid w:val="00E25661"/>
    <w:rsid w:val="00E263F4"/>
    <w:rsid w:val="00E2645E"/>
    <w:rsid w:val="00E338CB"/>
    <w:rsid w:val="00E34834"/>
    <w:rsid w:val="00E35674"/>
    <w:rsid w:val="00E35CBF"/>
    <w:rsid w:val="00E35DF9"/>
    <w:rsid w:val="00E3709F"/>
    <w:rsid w:val="00E44B71"/>
    <w:rsid w:val="00E46F44"/>
    <w:rsid w:val="00E5034A"/>
    <w:rsid w:val="00E508F7"/>
    <w:rsid w:val="00E57D5F"/>
    <w:rsid w:val="00E6070D"/>
    <w:rsid w:val="00E64FE7"/>
    <w:rsid w:val="00E65BC4"/>
    <w:rsid w:val="00E66FDF"/>
    <w:rsid w:val="00E72076"/>
    <w:rsid w:val="00E805CA"/>
    <w:rsid w:val="00E80948"/>
    <w:rsid w:val="00E83525"/>
    <w:rsid w:val="00E84FD2"/>
    <w:rsid w:val="00E85CEC"/>
    <w:rsid w:val="00E95E49"/>
    <w:rsid w:val="00EA5609"/>
    <w:rsid w:val="00EB15CB"/>
    <w:rsid w:val="00EB26D9"/>
    <w:rsid w:val="00EB2C05"/>
    <w:rsid w:val="00EB3828"/>
    <w:rsid w:val="00EB6B2B"/>
    <w:rsid w:val="00EB78FB"/>
    <w:rsid w:val="00EC0C03"/>
    <w:rsid w:val="00EC328B"/>
    <w:rsid w:val="00EC6056"/>
    <w:rsid w:val="00EC74DD"/>
    <w:rsid w:val="00EC7F5A"/>
    <w:rsid w:val="00ED0991"/>
    <w:rsid w:val="00ED780D"/>
    <w:rsid w:val="00EE4B35"/>
    <w:rsid w:val="00EE6935"/>
    <w:rsid w:val="00EE6CE1"/>
    <w:rsid w:val="00EF0B91"/>
    <w:rsid w:val="00EF1D78"/>
    <w:rsid w:val="00EF28F1"/>
    <w:rsid w:val="00EF534E"/>
    <w:rsid w:val="00F04588"/>
    <w:rsid w:val="00F10456"/>
    <w:rsid w:val="00F1543A"/>
    <w:rsid w:val="00F15C53"/>
    <w:rsid w:val="00F16CEE"/>
    <w:rsid w:val="00F20682"/>
    <w:rsid w:val="00F217EF"/>
    <w:rsid w:val="00F21C58"/>
    <w:rsid w:val="00F250B8"/>
    <w:rsid w:val="00F325F9"/>
    <w:rsid w:val="00F36D4C"/>
    <w:rsid w:val="00F41796"/>
    <w:rsid w:val="00F457A1"/>
    <w:rsid w:val="00F4726F"/>
    <w:rsid w:val="00F4744B"/>
    <w:rsid w:val="00F53D8B"/>
    <w:rsid w:val="00F60502"/>
    <w:rsid w:val="00F6141B"/>
    <w:rsid w:val="00F6297C"/>
    <w:rsid w:val="00F64488"/>
    <w:rsid w:val="00F64EF9"/>
    <w:rsid w:val="00F65AD2"/>
    <w:rsid w:val="00F67A39"/>
    <w:rsid w:val="00F737DB"/>
    <w:rsid w:val="00F82FCB"/>
    <w:rsid w:val="00F83576"/>
    <w:rsid w:val="00F835EC"/>
    <w:rsid w:val="00F8539D"/>
    <w:rsid w:val="00F855C8"/>
    <w:rsid w:val="00F857DA"/>
    <w:rsid w:val="00F86260"/>
    <w:rsid w:val="00F87018"/>
    <w:rsid w:val="00F9388E"/>
    <w:rsid w:val="00F95328"/>
    <w:rsid w:val="00F95570"/>
    <w:rsid w:val="00FA19E4"/>
    <w:rsid w:val="00FA1D59"/>
    <w:rsid w:val="00FA5C18"/>
    <w:rsid w:val="00FA5D2E"/>
    <w:rsid w:val="00FB11CC"/>
    <w:rsid w:val="00FB1558"/>
    <w:rsid w:val="00FB5620"/>
    <w:rsid w:val="00FB77BF"/>
    <w:rsid w:val="00FC02D6"/>
    <w:rsid w:val="00FC7DCE"/>
    <w:rsid w:val="00FD0999"/>
    <w:rsid w:val="00FD1165"/>
    <w:rsid w:val="00FD7590"/>
    <w:rsid w:val="00FE1618"/>
    <w:rsid w:val="00FE3F2E"/>
    <w:rsid w:val="00FE4736"/>
    <w:rsid w:val="00FF0F30"/>
    <w:rsid w:val="00FF6F84"/>
    <w:rsid w:val="03FF67C7"/>
    <w:rsid w:val="0AA66153"/>
    <w:rsid w:val="0CFEA11F"/>
    <w:rsid w:val="0DF72FFB"/>
    <w:rsid w:val="138D4EE7"/>
    <w:rsid w:val="13986C08"/>
    <w:rsid w:val="14CA15C5"/>
    <w:rsid w:val="14F7A641"/>
    <w:rsid w:val="17CE40E7"/>
    <w:rsid w:val="184D23DC"/>
    <w:rsid w:val="1BCD29F7"/>
    <w:rsid w:val="1C3B61EE"/>
    <w:rsid w:val="1EE309D8"/>
    <w:rsid w:val="1F3300A6"/>
    <w:rsid w:val="1FBFC3AB"/>
    <w:rsid w:val="1FDFCCE6"/>
    <w:rsid w:val="1FF6E908"/>
    <w:rsid w:val="218556B1"/>
    <w:rsid w:val="228E0617"/>
    <w:rsid w:val="24F5894D"/>
    <w:rsid w:val="26455D4D"/>
    <w:rsid w:val="2FDC94AA"/>
    <w:rsid w:val="328E2742"/>
    <w:rsid w:val="34F39246"/>
    <w:rsid w:val="36CD6747"/>
    <w:rsid w:val="36EC0887"/>
    <w:rsid w:val="37E90A0A"/>
    <w:rsid w:val="3BDFFF64"/>
    <w:rsid w:val="3DCF604C"/>
    <w:rsid w:val="3DF93795"/>
    <w:rsid w:val="3E512229"/>
    <w:rsid w:val="3EEFD224"/>
    <w:rsid w:val="3EFFA307"/>
    <w:rsid w:val="3EFFFC02"/>
    <w:rsid w:val="3F3F3437"/>
    <w:rsid w:val="3F47282B"/>
    <w:rsid w:val="3FA734F6"/>
    <w:rsid w:val="3FB01DA9"/>
    <w:rsid w:val="3FFF5632"/>
    <w:rsid w:val="3FFFB34F"/>
    <w:rsid w:val="42917C70"/>
    <w:rsid w:val="477FC479"/>
    <w:rsid w:val="499B5D12"/>
    <w:rsid w:val="4A19173B"/>
    <w:rsid w:val="4A73ADC7"/>
    <w:rsid w:val="4BE9E1F6"/>
    <w:rsid w:val="4CAF2A02"/>
    <w:rsid w:val="4FBD0998"/>
    <w:rsid w:val="51950337"/>
    <w:rsid w:val="533C536A"/>
    <w:rsid w:val="5342256F"/>
    <w:rsid w:val="53ED8B24"/>
    <w:rsid w:val="55BD3747"/>
    <w:rsid w:val="55FC576A"/>
    <w:rsid w:val="55FFE653"/>
    <w:rsid w:val="576079E5"/>
    <w:rsid w:val="57F76F06"/>
    <w:rsid w:val="58A7E23E"/>
    <w:rsid w:val="59DF47D2"/>
    <w:rsid w:val="59FE2757"/>
    <w:rsid w:val="5ACC5625"/>
    <w:rsid w:val="5BFF755C"/>
    <w:rsid w:val="5CEFCFDF"/>
    <w:rsid w:val="5D642886"/>
    <w:rsid w:val="5DB675E8"/>
    <w:rsid w:val="5DBDB49F"/>
    <w:rsid w:val="5DC3ABEF"/>
    <w:rsid w:val="5DF31462"/>
    <w:rsid w:val="5EFB6632"/>
    <w:rsid w:val="5F3BF38A"/>
    <w:rsid w:val="5F5A6524"/>
    <w:rsid w:val="5F5C4631"/>
    <w:rsid w:val="5F774048"/>
    <w:rsid w:val="5F95DF60"/>
    <w:rsid w:val="5F9B731C"/>
    <w:rsid w:val="5FC5F746"/>
    <w:rsid w:val="5FCFE721"/>
    <w:rsid w:val="5FFB46B6"/>
    <w:rsid w:val="5FFD60F4"/>
    <w:rsid w:val="5FFF8F55"/>
    <w:rsid w:val="60172845"/>
    <w:rsid w:val="61B52EA6"/>
    <w:rsid w:val="6200388E"/>
    <w:rsid w:val="6335274E"/>
    <w:rsid w:val="63E82798"/>
    <w:rsid w:val="63FF935E"/>
    <w:rsid w:val="65075F97"/>
    <w:rsid w:val="65270CE7"/>
    <w:rsid w:val="657DCDEC"/>
    <w:rsid w:val="65ABFD89"/>
    <w:rsid w:val="65DFEA8E"/>
    <w:rsid w:val="65EE0A68"/>
    <w:rsid w:val="66BF6AE3"/>
    <w:rsid w:val="673655A2"/>
    <w:rsid w:val="679DDF06"/>
    <w:rsid w:val="67DE5CDB"/>
    <w:rsid w:val="67F64AFA"/>
    <w:rsid w:val="67FCAAEE"/>
    <w:rsid w:val="68BFBEA8"/>
    <w:rsid w:val="6AFAB36B"/>
    <w:rsid w:val="6BB77F28"/>
    <w:rsid w:val="6BE1E9E3"/>
    <w:rsid w:val="6BF9145F"/>
    <w:rsid w:val="6BFD1017"/>
    <w:rsid w:val="6C4F1D6C"/>
    <w:rsid w:val="6CD60E85"/>
    <w:rsid w:val="6D3EA704"/>
    <w:rsid w:val="6D9FD668"/>
    <w:rsid w:val="6DCFCA40"/>
    <w:rsid w:val="6DD72DAB"/>
    <w:rsid w:val="6DDCF364"/>
    <w:rsid w:val="6DEBD919"/>
    <w:rsid w:val="6F3F9D03"/>
    <w:rsid w:val="6F5D97F9"/>
    <w:rsid w:val="6F7E1D56"/>
    <w:rsid w:val="6FBCC91E"/>
    <w:rsid w:val="6FF56891"/>
    <w:rsid w:val="6FF7434F"/>
    <w:rsid w:val="6FFBA7A0"/>
    <w:rsid w:val="6FFF3CF6"/>
    <w:rsid w:val="6FFF4C51"/>
    <w:rsid w:val="6FFF83DA"/>
    <w:rsid w:val="70FBCF95"/>
    <w:rsid w:val="7254D687"/>
    <w:rsid w:val="72DD2DF6"/>
    <w:rsid w:val="74B254BD"/>
    <w:rsid w:val="74EC4066"/>
    <w:rsid w:val="751DE783"/>
    <w:rsid w:val="75572BFB"/>
    <w:rsid w:val="75BBA4A1"/>
    <w:rsid w:val="763F8D9C"/>
    <w:rsid w:val="777E58B6"/>
    <w:rsid w:val="779B2832"/>
    <w:rsid w:val="77DE8A2C"/>
    <w:rsid w:val="77F33917"/>
    <w:rsid w:val="77F3A4D0"/>
    <w:rsid w:val="77FF105D"/>
    <w:rsid w:val="787B4697"/>
    <w:rsid w:val="7996357F"/>
    <w:rsid w:val="79E6A88A"/>
    <w:rsid w:val="79FE466C"/>
    <w:rsid w:val="7A291941"/>
    <w:rsid w:val="7A733FC3"/>
    <w:rsid w:val="7A7F1798"/>
    <w:rsid w:val="7AFE2585"/>
    <w:rsid w:val="7B5F919D"/>
    <w:rsid w:val="7B7BBB0C"/>
    <w:rsid w:val="7B7E9F5C"/>
    <w:rsid w:val="7B7F313E"/>
    <w:rsid w:val="7B8FD6C8"/>
    <w:rsid w:val="7BBFFEA2"/>
    <w:rsid w:val="7BFFD200"/>
    <w:rsid w:val="7C230A36"/>
    <w:rsid w:val="7C67045F"/>
    <w:rsid w:val="7CF72AED"/>
    <w:rsid w:val="7D8FC665"/>
    <w:rsid w:val="7DBF7AD6"/>
    <w:rsid w:val="7DF404CA"/>
    <w:rsid w:val="7DF78446"/>
    <w:rsid w:val="7DF7CEE8"/>
    <w:rsid w:val="7DF9514C"/>
    <w:rsid w:val="7DFBFB50"/>
    <w:rsid w:val="7E67921E"/>
    <w:rsid w:val="7E7DD377"/>
    <w:rsid w:val="7E83C99B"/>
    <w:rsid w:val="7EDD9EC8"/>
    <w:rsid w:val="7EFF048F"/>
    <w:rsid w:val="7EFF067A"/>
    <w:rsid w:val="7EFF545F"/>
    <w:rsid w:val="7F2FB30A"/>
    <w:rsid w:val="7F6B2542"/>
    <w:rsid w:val="7F6FA08C"/>
    <w:rsid w:val="7F76EA62"/>
    <w:rsid w:val="7F7B346A"/>
    <w:rsid w:val="7F7EA19C"/>
    <w:rsid w:val="7FB78973"/>
    <w:rsid w:val="7FBFD4AB"/>
    <w:rsid w:val="7FDB0DA3"/>
    <w:rsid w:val="7FDFA073"/>
    <w:rsid w:val="7FDFBC54"/>
    <w:rsid w:val="7FEF5E0F"/>
    <w:rsid w:val="7FEFC6EA"/>
    <w:rsid w:val="7FFB290C"/>
    <w:rsid w:val="7FFD59CC"/>
    <w:rsid w:val="7FFD6B1A"/>
    <w:rsid w:val="7FFF60BD"/>
    <w:rsid w:val="8EBD2C80"/>
    <w:rsid w:val="8FEBE392"/>
    <w:rsid w:val="8FFA4162"/>
    <w:rsid w:val="967CEFA2"/>
    <w:rsid w:val="97EDEFCD"/>
    <w:rsid w:val="99970E15"/>
    <w:rsid w:val="9BA9E19F"/>
    <w:rsid w:val="9CA9D4EB"/>
    <w:rsid w:val="9FFEF28B"/>
    <w:rsid w:val="9FFF3382"/>
    <w:rsid w:val="A2FD0622"/>
    <w:rsid w:val="A37F5D03"/>
    <w:rsid w:val="ABDF73B9"/>
    <w:rsid w:val="AE7F7B67"/>
    <w:rsid w:val="AFEF828F"/>
    <w:rsid w:val="AFFF8E32"/>
    <w:rsid w:val="B4F647A5"/>
    <w:rsid w:val="B6C6C4E9"/>
    <w:rsid w:val="B7194041"/>
    <w:rsid w:val="B773808C"/>
    <w:rsid w:val="B7EF8EE2"/>
    <w:rsid w:val="B7FB7C5C"/>
    <w:rsid w:val="B7FF8F20"/>
    <w:rsid w:val="B9BF1FC8"/>
    <w:rsid w:val="BAD536EF"/>
    <w:rsid w:val="BAFF8173"/>
    <w:rsid w:val="BBCF14E0"/>
    <w:rsid w:val="BBF738D7"/>
    <w:rsid w:val="BCC77F3D"/>
    <w:rsid w:val="BD3D8DC2"/>
    <w:rsid w:val="BD3E0CAA"/>
    <w:rsid w:val="BD7B63EE"/>
    <w:rsid w:val="BDFFFAF0"/>
    <w:rsid w:val="BE8FFC24"/>
    <w:rsid w:val="BEB811AA"/>
    <w:rsid w:val="BEBF6A7B"/>
    <w:rsid w:val="BEFE69DF"/>
    <w:rsid w:val="BF3FBFEA"/>
    <w:rsid w:val="BF86BEB6"/>
    <w:rsid w:val="BF9EEB15"/>
    <w:rsid w:val="BFB6CF6F"/>
    <w:rsid w:val="BFBFA2FD"/>
    <w:rsid w:val="BFD73D35"/>
    <w:rsid w:val="BFED6114"/>
    <w:rsid w:val="BFFE5FD9"/>
    <w:rsid w:val="C17E5214"/>
    <w:rsid w:val="C3F7B28B"/>
    <w:rsid w:val="C57E7A55"/>
    <w:rsid w:val="C59DB9B7"/>
    <w:rsid w:val="C5FF101F"/>
    <w:rsid w:val="C7FF83CC"/>
    <w:rsid w:val="CCBF51F5"/>
    <w:rsid w:val="CDBFD972"/>
    <w:rsid w:val="CE7F376F"/>
    <w:rsid w:val="CFE0BAA5"/>
    <w:rsid w:val="D1771183"/>
    <w:rsid w:val="D3EFF9DA"/>
    <w:rsid w:val="D3F5D0C7"/>
    <w:rsid w:val="D3FFC299"/>
    <w:rsid w:val="D4EB3683"/>
    <w:rsid w:val="D5B10F00"/>
    <w:rsid w:val="D6EA8422"/>
    <w:rsid w:val="D778F42C"/>
    <w:rsid w:val="D8DF3F28"/>
    <w:rsid w:val="D956E572"/>
    <w:rsid w:val="D95F4709"/>
    <w:rsid w:val="DAFE7D2B"/>
    <w:rsid w:val="DBF925DF"/>
    <w:rsid w:val="DDEB396A"/>
    <w:rsid w:val="DDFB1DFF"/>
    <w:rsid w:val="DE6E8BEE"/>
    <w:rsid w:val="DEDD97FE"/>
    <w:rsid w:val="DF2EC2D2"/>
    <w:rsid w:val="DF772C7D"/>
    <w:rsid w:val="DF979873"/>
    <w:rsid w:val="DFBB2A08"/>
    <w:rsid w:val="DFFE4C9F"/>
    <w:rsid w:val="DFFFDDDD"/>
    <w:rsid w:val="E29FE2C3"/>
    <w:rsid w:val="E3F744E2"/>
    <w:rsid w:val="E3FF885D"/>
    <w:rsid w:val="E5DB177F"/>
    <w:rsid w:val="E67F6EB7"/>
    <w:rsid w:val="E7FDD00B"/>
    <w:rsid w:val="EAFF422A"/>
    <w:rsid w:val="EBFF332D"/>
    <w:rsid w:val="EBFFDB35"/>
    <w:rsid w:val="ECBE3AE6"/>
    <w:rsid w:val="ECBF4831"/>
    <w:rsid w:val="EDA977BC"/>
    <w:rsid w:val="EDFCB746"/>
    <w:rsid w:val="EE6E6420"/>
    <w:rsid w:val="EEDE5FC5"/>
    <w:rsid w:val="EEFF21A4"/>
    <w:rsid w:val="EF5B939E"/>
    <w:rsid w:val="EF7C6CAC"/>
    <w:rsid w:val="EFAFC674"/>
    <w:rsid w:val="EFD9B72C"/>
    <w:rsid w:val="EFE6A910"/>
    <w:rsid w:val="EFFD57E5"/>
    <w:rsid w:val="F1CF953D"/>
    <w:rsid w:val="F20DE9E5"/>
    <w:rsid w:val="F3A7F7FF"/>
    <w:rsid w:val="F4E7FBD3"/>
    <w:rsid w:val="F5DF0063"/>
    <w:rsid w:val="F5EB1290"/>
    <w:rsid w:val="F5EF672D"/>
    <w:rsid w:val="F5F674A8"/>
    <w:rsid w:val="F6C7EA13"/>
    <w:rsid w:val="F73DF8B7"/>
    <w:rsid w:val="F77F529F"/>
    <w:rsid w:val="F79D8E8D"/>
    <w:rsid w:val="F7AB604E"/>
    <w:rsid w:val="F7BF8724"/>
    <w:rsid w:val="F7EB57AF"/>
    <w:rsid w:val="F7EFED7E"/>
    <w:rsid w:val="F7F5E102"/>
    <w:rsid w:val="F7FEC4DD"/>
    <w:rsid w:val="F7FF915F"/>
    <w:rsid w:val="F7FFDFEF"/>
    <w:rsid w:val="F8FD0922"/>
    <w:rsid w:val="F8FEF41C"/>
    <w:rsid w:val="F9373C22"/>
    <w:rsid w:val="FADDFB2B"/>
    <w:rsid w:val="FAEB668A"/>
    <w:rsid w:val="FB9619B2"/>
    <w:rsid w:val="FBCFE29C"/>
    <w:rsid w:val="FBDB4D74"/>
    <w:rsid w:val="FBDF1CE4"/>
    <w:rsid w:val="FBDFA72D"/>
    <w:rsid w:val="FBE7B867"/>
    <w:rsid w:val="FBF18AD4"/>
    <w:rsid w:val="FBF29AE2"/>
    <w:rsid w:val="FBFEFD6C"/>
    <w:rsid w:val="FCFE217D"/>
    <w:rsid w:val="FD5B537B"/>
    <w:rsid w:val="FD791BC3"/>
    <w:rsid w:val="FDBF6E8D"/>
    <w:rsid w:val="FDD929FC"/>
    <w:rsid w:val="FDEB102F"/>
    <w:rsid w:val="FDF7C100"/>
    <w:rsid w:val="FDF7C475"/>
    <w:rsid w:val="FDFB863E"/>
    <w:rsid w:val="FDFE02B5"/>
    <w:rsid w:val="FDFE1F93"/>
    <w:rsid w:val="FECFFE0F"/>
    <w:rsid w:val="FF0D4D0A"/>
    <w:rsid w:val="FF5A6D66"/>
    <w:rsid w:val="FF73B8BA"/>
    <w:rsid w:val="FF7A73A7"/>
    <w:rsid w:val="FF7BA3CF"/>
    <w:rsid w:val="FF7FC467"/>
    <w:rsid w:val="FF978435"/>
    <w:rsid w:val="FF97E386"/>
    <w:rsid w:val="FFB66971"/>
    <w:rsid w:val="FFBED900"/>
    <w:rsid w:val="FFBF50D8"/>
    <w:rsid w:val="FFBFD8FC"/>
    <w:rsid w:val="FFE620D6"/>
    <w:rsid w:val="FFE71468"/>
    <w:rsid w:val="FFE735C7"/>
    <w:rsid w:val="FFEF3686"/>
    <w:rsid w:val="FFEF4FC6"/>
    <w:rsid w:val="FFEFAA4D"/>
    <w:rsid w:val="FFF6CC07"/>
    <w:rsid w:val="FFFF057D"/>
    <w:rsid w:val="FFFFA5FA"/>
    <w:rsid w:val="FFFFBFD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qFormat="1" w:unhideWhenUsed="0" w:uiPriority="0" w:semiHidden="0"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qFormat="1"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qFormat="1"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7"/>
    <w:unhideWhenUsed/>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48"/>
    <w:unhideWhenUsed/>
    <w:qFormat/>
    <w:uiPriority w:val="99"/>
    <w:pPr>
      <w:keepNext/>
      <w:keepLines/>
      <w:spacing w:before="260" w:after="260" w:line="416" w:lineRule="auto"/>
      <w:outlineLvl w:val="2"/>
    </w:pPr>
    <w:rPr>
      <w:b/>
      <w:bCs/>
      <w:sz w:val="32"/>
      <w:szCs w:val="32"/>
    </w:rPr>
  </w:style>
  <w:style w:type="paragraph" w:styleId="6">
    <w:name w:val="heading 4"/>
    <w:basedOn w:val="1"/>
    <w:next w:val="1"/>
    <w:link w:val="49"/>
    <w:unhideWhenUsed/>
    <w:qFormat/>
    <w:uiPriority w:val="9"/>
    <w:pPr>
      <w:keepNext/>
      <w:keepLines/>
      <w:spacing w:before="280" w:after="290" w:line="376" w:lineRule="auto"/>
      <w:ind w:firstLine="200" w:firstLineChars="200"/>
      <w:outlineLvl w:val="3"/>
    </w:pPr>
    <w:rPr>
      <w:rFonts w:ascii="Cambria" w:hAnsi="Cambria" w:eastAsia="宋体" w:cs="Times New Roman"/>
      <w:b/>
      <w:bCs/>
      <w:sz w:val="28"/>
      <w:szCs w:val="28"/>
      <w:lang w:val="zh-CN"/>
    </w:rPr>
  </w:style>
  <w:style w:type="paragraph" w:styleId="7">
    <w:name w:val="heading 5"/>
    <w:basedOn w:val="1"/>
    <w:next w:val="1"/>
    <w:link w:val="50"/>
    <w:unhideWhenUsed/>
    <w:qFormat/>
    <w:uiPriority w:val="9"/>
    <w:pPr>
      <w:keepNext/>
      <w:keepLines/>
      <w:widowControl/>
      <w:adjustRightInd w:val="0"/>
      <w:snapToGrid w:val="0"/>
      <w:spacing w:before="280" w:after="290" w:line="376" w:lineRule="auto"/>
      <w:jc w:val="center"/>
      <w:outlineLvl w:val="4"/>
    </w:pPr>
    <w:rPr>
      <w:rFonts w:ascii="Times New Roman" w:hAnsi="Times New Roman" w:eastAsia="宋体" w:cs="Times New Roman"/>
      <w:b/>
      <w:bCs/>
      <w:sz w:val="28"/>
      <w:szCs w:val="28"/>
    </w:rPr>
  </w:style>
  <w:style w:type="paragraph" w:styleId="8">
    <w:name w:val="heading 6"/>
    <w:basedOn w:val="1"/>
    <w:next w:val="1"/>
    <w:link w:val="51"/>
    <w:unhideWhenUsed/>
    <w:qFormat/>
    <w:uiPriority w:val="9"/>
    <w:pPr>
      <w:keepNext/>
      <w:keepLines/>
      <w:widowControl/>
      <w:adjustRightInd w:val="0"/>
      <w:snapToGrid w:val="0"/>
      <w:spacing w:before="240" w:after="64" w:line="320" w:lineRule="auto"/>
      <w:jc w:val="center"/>
      <w:outlineLvl w:val="5"/>
    </w:pPr>
    <w:rPr>
      <w:rFonts w:ascii="等线 Light" w:hAnsi="等线 Light" w:eastAsia="等线 Light" w:cs="Times New Roman"/>
      <w:b/>
      <w:bCs/>
      <w:sz w:val="24"/>
      <w:szCs w:val="24"/>
    </w:rPr>
  </w:style>
  <w:style w:type="character" w:default="1" w:styleId="39">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55"/>
    <w:qFormat/>
    <w:uiPriority w:val="0"/>
    <w:pPr>
      <w:spacing w:after="120" w:line="500" w:lineRule="exact"/>
      <w:ind w:firstLine="200" w:firstLineChars="200"/>
    </w:pPr>
    <w:rPr>
      <w:rFonts w:ascii="Times New Roman" w:hAnsi="Times New Roman" w:eastAsia="华文仿宋" w:cs="Times New Roman"/>
      <w:sz w:val="28"/>
      <w:szCs w:val="24"/>
    </w:rPr>
  </w:style>
  <w:style w:type="paragraph" w:styleId="9">
    <w:name w:val="toc 7"/>
    <w:basedOn w:val="1"/>
    <w:next w:val="1"/>
    <w:unhideWhenUsed/>
    <w:qFormat/>
    <w:uiPriority w:val="39"/>
    <w:pPr>
      <w:widowControl/>
      <w:adjustRightInd w:val="0"/>
      <w:snapToGrid w:val="0"/>
      <w:ind w:left="1260"/>
      <w:jc w:val="left"/>
      <w:outlineLvl w:val="4"/>
    </w:pPr>
    <w:rPr>
      <w:rFonts w:ascii="等线" w:hAnsi="等线" w:eastAsia="宋体" w:cs="Times New Roman"/>
      <w:sz w:val="18"/>
      <w:szCs w:val="18"/>
    </w:rPr>
  </w:style>
  <w:style w:type="paragraph" w:styleId="10">
    <w:name w:val="Normal Indent"/>
    <w:basedOn w:val="1"/>
    <w:link w:val="52"/>
    <w:unhideWhenUsed/>
    <w:qFormat/>
    <w:uiPriority w:val="0"/>
    <w:pPr>
      <w:adjustRightInd w:val="0"/>
      <w:snapToGrid w:val="0"/>
      <w:spacing w:line="240" w:lineRule="atLeast"/>
      <w:ind w:firstLine="200" w:firstLineChars="200"/>
    </w:pPr>
    <w:rPr>
      <w:rFonts w:ascii="Times New Roman" w:hAnsi="Times New Roman" w:eastAsia="华文仿宋" w:cs="Times New Roman"/>
      <w:sz w:val="18"/>
      <w:lang w:val="zh-CN"/>
    </w:rPr>
  </w:style>
  <w:style w:type="paragraph" w:styleId="11">
    <w:name w:val="caption"/>
    <w:basedOn w:val="1"/>
    <w:next w:val="1"/>
    <w:unhideWhenUsed/>
    <w:qFormat/>
    <w:uiPriority w:val="35"/>
    <w:pPr>
      <w:widowControl/>
      <w:adjustRightInd w:val="0"/>
      <w:snapToGrid w:val="0"/>
      <w:jc w:val="center"/>
      <w:outlineLvl w:val="4"/>
    </w:pPr>
    <w:rPr>
      <w:rFonts w:ascii="等线 Light" w:hAnsi="等线 Light" w:eastAsia="黑体" w:cs="Times New Roman"/>
      <w:sz w:val="20"/>
      <w:szCs w:val="20"/>
    </w:rPr>
  </w:style>
  <w:style w:type="paragraph" w:styleId="12">
    <w:name w:val="Document Map"/>
    <w:basedOn w:val="1"/>
    <w:link w:val="53"/>
    <w:semiHidden/>
    <w:unhideWhenUsed/>
    <w:qFormat/>
    <w:uiPriority w:val="99"/>
    <w:pPr>
      <w:spacing w:line="360" w:lineRule="auto"/>
      <w:ind w:firstLine="200" w:firstLineChars="200"/>
    </w:pPr>
    <w:rPr>
      <w:rFonts w:ascii="宋体" w:hAnsi="Calibri" w:eastAsia="宋体" w:cs="Times New Roman"/>
      <w:kern w:val="0"/>
      <w:sz w:val="18"/>
      <w:szCs w:val="18"/>
      <w:lang w:val="zh-CN"/>
    </w:rPr>
  </w:style>
  <w:style w:type="paragraph" w:styleId="13">
    <w:name w:val="annotation text"/>
    <w:basedOn w:val="1"/>
    <w:link w:val="54"/>
    <w:unhideWhenUsed/>
    <w:qFormat/>
    <w:uiPriority w:val="99"/>
    <w:pPr>
      <w:jc w:val="left"/>
    </w:pPr>
  </w:style>
  <w:style w:type="paragraph" w:styleId="14">
    <w:name w:val="Body Text Indent"/>
    <w:basedOn w:val="1"/>
    <w:link w:val="56"/>
    <w:unhideWhenUsed/>
    <w:qFormat/>
    <w:uiPriority w:val="0"/>
    <w:pPr>
      <w:spacing w:after="120" w:line="360" w:lineRule="auto"/>
      <w:ind w:left="420" w:leftChars="200" w:firstLine="200" w:firstLineChars="200"/>
    </w:pPr>
    <w:rPr>
      <w:rFonts w:ascii="Calibri" w:hAnsi="Calibri" w:eastAsia="仿宋_GB2312" w:cs="Times New Roman"/>
      <w:sz w:val="28"/>
      <w:lang w:val="zh-CN"/>
    </w:rPr>
  </w:style>
  <w:style w:type="paragraph" w:styleId="15">
    <w:name w:val="Block Text"/>
    <w:basedOn w:val="1"/>
    <w:qFormat/>
    <w:uiPriority w:val="0"/>
    <w:pPr>
      <w:spacing w:after="120" w:line="360" w:lineRule="auto"/>
      <w:ind w:left="1440" w:leftChars="700" w:right="1440" w:rightChars="700" w:firstLine="1920" w:firstLineChars="200"/>
    </w:pPr>
    <w:rPr>
      <w:rFonts w:ascii="Times New Roman" w:hAnsi="Times New Roman" w:eastAsia="宋体" w:cs="Times New Roman"/>
      <w:sz w:val="24"/>
      <w:szCs w:val="24"/>
    </w:rPr>
  </w:style>
  <w:style w:type="paragraph" w:styleId="16">
    <w:name w:val="toc 5"/>
    <w:basedOn w:val="1"/>
    <w:next w:val="1"/>
    <w:unhideWhenUsed/>
    <w:qFormat/>
    <w:uiPriority w:val="39"/>
    <w:pPr>
      <w:widowControl/>
      <w:adjustRightInd w:val="0"/>
      <w:snapToGrid w:val="0"/>
      <w:ind w:left="840"/>
      <w:jc w:val="left"/>
      <w:outlineLvl w:val="4"/>
    </w:pPr>
    <w:rPr>
      <w:rFonts w:ascii="等线" w:hAnsi="等线" w:eastAsia="宋体" w:cs="Times New Roman"/>
      <w:sz w:val="18"/>
      <w:szCs w:val="18"/>
    </w:rPr>
  </w:style>
  <w:style w:type="paragraph" w:styleId="17">
    <w:name w:val="toc 3"/>
    <w:basedOn w:val="1"/>
    <w:next w:val="1"/>
    <w:unhideWhenUsed/>
    <w:qFormat/>
    <w:uiPriority w:val="39"/>
    <w:pPr>
      <w:widowControl/>
      <w:adjustRightInd w:val="0"/>
      <w:snapToGrid w:val="0"/>
      <w:ind w:left="420"/>
      <w:jc w:val="left"/>
      <w:outlineLvl w:val="4"/>
    </w:pPr>
    <w:rPr>
      <w:rFonts w:ascii="等线" w:hAnsi="等线" w:eastAsia="宋体" w:cs="Times New Roman"/>
      <w:i/>
      <w:iCs/>
      <w:sz w:val="20"/>
      <w:szCs w:val="20"/>
    </w:rPr>
  </w:style>
  <w:style w:type="paragraph" w:styleId="18">
    <w:name w:val="List Number 4"/>
    <w:basedOn w:val="1"/>
    <w:qFormat/>
    <w:uiPriority w:val="0"/>
    <w:pPr>
      <w:tabs>
        <w:tab w:val="left" w:pos="432"/>
        <w:tab w:val="left" w:pos="1620"/>
      </w:tabs>
      <w:spacing w:line="360" w:lineRule="auto"/>
      <w:ind w:left="432" w:firstLine="200" w:firstLineChars="200"/>
    </w:pPr>
    <w:rPr>
      <w:rFonts w:ascii="Times New Roman" w:hAnsi="Times New Roman" w:eastAsia="宋体" w:cs="Times New Roman"/>
      <w:sz w:val="24"/>
      <w:szCs w:val="24"/>
    </w:rPr>
  </w:style>
  <w:style w:type="paragraph" w:styleId="19">
    <w:name w:val="toc 8"/>
    <w:basedOn w:val="1"/>
    <w:next w:val="1"/>
    <w:unhideWhenUsed/>
    <w:qFormat/>
    <w:uiPriority w:val="39"/>
    <w:pPr>
      <w:widowControl/>
      <w:adjustRightInd w:val="0"/>
      <w:snapToGrid w:val="0"/>
      <w:ind w:left="1470"/>
      <w:jc w:val="left"/>
      <w:outlineLvl w:val="4"/>
    </w:pPr>
    <w:rPr>
      <w:rFonts w:ascii="等线" w:hAnsi="等线" w:eastAsia="宋体" w:cs="Times New Roman"/>
      <w:sz w:val="18"/>
      <w:szCs w:val="18"/>
    </w:rPr>
  </w:style>
  <w:style w:type="paragraph" w:styleId="20">
    <w:name w:val="Date"/>
    <w:basedOn w:val="1"/>
    <w:next w:val="1"/>
    <w:link w:val="57"/>
    <w:unhideWhenUsed/>
    <w:qFormat/>
    <w:uiPriority w:val="99"/>
    <w:pPr>
      <w:ind w:left="100" w:leftChars="2500"/>
    </w:pPr>
  </w:style>
  <w:style w:type="paragraph" w:styleId="21">
    <w:name w:val="Balloon Text"/>
    <w:basedOn w:val="1"/>
    <w:link w:val="58"/>
    <w:unhideWhenUsed/>
    <w:qFormat/>
    <w:uiPriority w:val="99"/>
    <w:pPr>
      <w:widowControl/>
      <w:adjustRightInd w:val="0"/>
      <w:snapToGrid w:val="0"/>
      <w:jc w:val="center"/>
      <w:outlineLvl w:val="4"/>
    </w:pPr>
    <w:rPr>
      <w:rFonts w:ascii="Times New Roman" w:hAnsi="Times New Roman" w:eastAsia="宋体" w:cs="Times New Roman"/>
      <w:sz w:val="18"/>
      <w:szCs w:val="18"/>
    </w:rPr>
  </w:style>
  <w:style w:type="paragraph" w:styleId="22">
    <w:name w:val="footer"/>
    <w:basedOn w:val="1"/>
    <w:link w:val="59"/>
    <w:unhideWhenUsed/>
    <w:qFormat/>
    <w:uiPriority w:val="99"/>
    <w:pPr>
      <w:tabs>
        <w:tab w:val="center" w:pos="4153"/>
        <w:tab w:val="right" w:pos="8306"/>
      </w:tabs>
      <w:snapToGrid w:val="0"/>
      <w:jc w:val="left"/>
    </w:pPr>
    <w:rPr>
      <w:sz w:val="18"/>
      <w:szCs w:val="18"/>
    </w:rPr>
  </w:style>
  <w:style w:type="paragraph" w:styleId="23">
    <w:name w:val="header"/>
    <w:basedOn w:val="1"/>
    <w:link w:val="60"/>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pPr>
      <w:widowControl/>
      <w:spacing w:after="100" w:line="276" w:lineRule="auto"/>
      <w:jc w:val="left"/>
    </w:pPr>
    <w:rPr>
      <w:rFonts w:ascii="Times New Roman" w:hAnsi="Times New Roman" w:eastAsia="宋体" w:cs="Times New Roman"/>
      <w:b/>
      <w:kern w:val="0"/>
      <w:sz w:val="24"/>
      <w:szCs w:val="20"/>
    </w:rPr>
  </w:style>
  <w:style w:type="paragraph" w:styleId="25">
    <w:name w:val="toc 4"/>
    <w:basedOn w:val="1"/>
    <w:next w:val="1"/>
    <w:unhideWhenUsed/>
    <w:qFormat/>
    <w:uiPriority w:val="39"/>
    <w:pPr>
      <w:widowControl/>
      <w:adjustRightInd w:val="0"/>
      <w:snapToGrid w:val="0"/>
      <w:ind w:left="630"/>
      <w:jc w:val="left"/>
      <w:outlineLvl w:val="4"/>
    </w:pPr>
    <w:rPr>
      <w:rFonts w:ascii="等线" w:hAnsi="等线" w:eastAsia="宋体" w:cs="Times New Roman"/>
      <w:sz w:val="18"/>
      <w:szCs w:val="18"/>
    </w:rPr>
  </w:style>
  <w:style w:type="paragraph" w:styleId="26">
    <w:name w:val="footnote text"/>
    <w:basedOn w:val="1"/>
    <w:link w:val="61"/>
    <w:semiHidden/>
    <w:unhideWhenUsed/>
    <w:qFormat/>
    <w:uiPriority w:val="99"/>
    <w:pPr>
      <w:snapToGrid w:val="0"/>
      <w:spacing w:line="360" w:lineRule="auto"/>
      <w:ind w:firstLine="200" w:firstLineChars="200"/>
      <w:jc w:val="left"/>
    </w:pPr>
    <w:rPr>
      <w:rFonts w:ascii="Times New Roman" w:hAnsi="Times New Roman" w:eastAsia="宋体" w:cs="Times New Roman"/>
      <w:sz w:val="18"/>
      <w:szCs w:val="18"/>
      <w:lang w:val="zh-CN"/>
    </w:rPr>
  </w:style>
  <w:style w:type="paragraph" w:styleId="27">
    <w:name w:val="toc 6"/>
    <w:basedOn w:val="1"/>
    <w:next w:val="1"/>
    <w:unhideWhenUsed/>
    <w:qFormat/>
    <w:uiPriority w:val="39"/>
    <w:pPr>
      <w:widowControl/>
      <w:adjustRightInd w:val="0"/>
      <w:snapToGrid w:val="0"/>
      <w:ind w:left="1050"/>
      <w:jc w:val="left"/>
      <w:outlineLvl w:val="4"/>
    </w:pPr>
    <w:rPr>
      <w:rFonts w:ascii="等线" w:hAnsi="等线" w:eastAsia="宋体" w:cs="Times New Roman"/>
      <w:sz w:val="18"/>
      <w:szCs w:val="18"/>
    </w:rPr>
  </w:style>
  <w:style w:type="paragraph" w:styleId="28">
    <w:name w:val="table of figures"/>
    <w:basedOn w:val="1"/>
    <w:next w:val="1"/>
    <w:unhideWhenUsed/>
    <w:qFormat/>
    <w:uiPriority w:val="99"/>
    <w:pPr>
      <w:widowControl/>
      <w:adjustRightInd w:val="0"/>
      <w:snapToGrid w:val="0"/>
      <w:ind w:left="200" w:leftChars="200" w:hanging="200" w:hangingChars="200"/>
      <w:jc w:val="center"/>
      <w:outlineLvl w:val="4"/>
    </w:pPr>
    <w:rPr>
      <w:rFonts w:ascii="Times New Roman" w:hAnsi="Times New Roman" w:eastAsia="宋体" w:cs="Times New Roman"/>
      <w:szCs w:val="28"/>
    </w:rPr>
  </w:style>
  <w:style w:type="paragraph" w:styleId="29">
    <w:name w:val="toc 2"/>
    <w:basedOn w:val="1"/>
    <w:next w:val="1"/>
    <w:unhideWhenUsed/>
    <w:qFormat/>
    <w:uiPriority w:val="39"/>
    <w:pPr>
      <w:widowControl/>
      <w:spacing w:after="100" w:line="276" w:lineRule="auto"/>
      <w:ind w:left="200" w:leftChars="200"/>
      <w:jc w:val="left"/>
    </w:pPr>
    <w:rPr>
      <w:rFonts w:ascii="Times New Roman" w:hAnsi="Times New Roman" w:eastAsia="宋体" w:cs="Times New Roman"/>
      <w:kern w:val="0"/>
      <w:sz w:val="28"/>
      <w:szCs w:val="20"/>
    </w:rPr>
  </w:style>
  <w:style w:type="paragraph" w:styleId="30">
    <w:name w:val="toc 9"/>
    <w:basedOn w:val="1"/>
    <w:next w:val="1"/>
    <w:unhideWhenUsed/>
    <w:qFormat/>
    <w:uiPriority w:val="39"/>
    <w:pPr>
      <w:widowControl/>
      <w:adjustRightInd w:val="0"/>
      <w:snapToGrid w:val="0"/>
      <w:ind w:left="1680"/>
      <w:jc w:val="left"/>
      <w:outlineLvl w:val="4"/>
    </w:pPr>
    <w:rPr>
      <w:rFonts w:ascii="等线" w:hAnsi="等线" w:eastAsia="宋体" w:cs="Times New Roman"/>
      <w:sz w:val="18"/>
      <w:szCs w:val="18"/>
    </w:rPr>
  </w:style>
  <w:style w:type="paragraph" w:styleId="3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2">
    <w:name w:val="annotation subject"/>
    <w:basedOn w:val="13"/>
    <w:next w:val="13"/>
    <w:link w:val="62"/>
    <w:unhideWhenUsed/>
    <w:qFormat/>
    <w:uiPriority w:val="99"/>
    <w:rPr>
      <w:b/>
      <w:bCs/>
    </w:rPr>
  </w:style>
  <w:style w:type="paragraph" w:styleId="33">
    <w:name w:val="Body Text First Indent"/>
    <w:basedOn w:val="2"/>
    <w:link w:val="63"/>
    <w:qFormat/>
    <w:uiPriority w:val="0"/>
    <w:pPr>
      <w:spacing w:line="240" w:lineRule="auto"/>
      <w:ind w:firstLine="420" w:firstLineChars="100"/>
    </w:pPr>
    <w:rPr>
      <w:rFonts w:eastAsia="宋体"/>
      <w:sz w:val="21"/>
    </w:rPr>
  </w:style>
  <w:style w:type="table" w:styleId="35">
    <w:name w:val="Table Grid"/>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6">
    <w:name w:val="Table Theme"/>
    <w:basedOn w:val="34"/>
    <w:semiHidden/>
    <w:unhideWhenUsed/>
    <w:qFormat/>
    <w:uiPriority w:val="99"/>
    <w:pPr>
      <w:widowControl w:val="0"/>
      <w:spacing w:line="360" w:lineRule="auto"/>
      <w:ind w:firstLine="200" w:firstLineChars="20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7">
    <w:name w:val="Light List Accent 5"/>
    <w:basedOn w:val="34"/>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38">
    <w:name w:val="Light Grid"/>
    <w:basedOn w:val="34"/>
    <w:qFormat/>
    <w:uiPriority w:val="62"/>
    <w:rPr>
      <w:rFonts w:ascii="Calibri" w:hAnsi="Calibri"/>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ascii="等线" w:hAnsi="等线" w:eastAsia="宋体" w:cs="Times New Roman"/>
        <w:b/>
        <w:bCs/>
      </w:rPr>
      <w:tbl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等线" w:hAnsi="等线" w:eastAsia="宋体"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等线" w:hAnsi="等线" w:eastAsia="宋体" w:cs="Times New Roman"/>
        <w:b/>
        <w:bCs/>
      </w:rPr>
    </w:tblStylePr>
    <w:tblStylePr w:type="lastCol">
      <w:rPr>
        <w:rFonts w:ascii="等线" w:hAnsi="等线" w:eastAsia="宋体"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character" w:styleId="40">
    <w:name w:val="Strong"/>
    <w:basedOn w:val="39"/>
    <w:qFormat/>
    <w:uiPriority w:val="22"/>
    <w:rPr>
      <w:b/>
      <w:bCs/>
    </w:rPr>
  </w:style>
  <w:style w:type="character" w:styleId="41">
    <w:name w:val="page number"/>
    <w:basedOn w:val="39"/>
    <w:qFormat/>
    <w:uiPriority w:val="99"/>
  </w:style>
  <w:style w:type="character" w:styleId="42">
    <w:name w:val="FollowedHyperlink"/>
    <w:unhideWhenUsed/>
    <w:qFormat/>
    <w:uiPriority w:val="99"/>
    <w:rPr>
      <w:color w:val="800080"/>
      <w:u w:val="single"/>
    </w:rPr>
  </w:style>
  <w:style w:type="character" w:styleId="43">
    <w:name w:val="Hyperlink"/>
    <w:basedOn w:val="39"/>
    <w:unhideWhenUsed/>
    <w:qFormat/>
    <w:uiPriority w:val="99"/>
    <w:rPr>
      <w:color w:val="0000FF"/>
      <w:u w:val="single"/>
    </w:rPr>
  </w:style>
  <w:style w:type="character" w:styleId="44">
    <w:name w:val="annotation reference"/>
    <w:basedOn w:val="39"/>
    <w:unhideWhenUsed/>
    <w:qFormat/>
    <w:uiPriority w:val="99"/>
    <w:rPr>
      <w:sz w:val="21"/>
      <w:szCs w:val="21"/>
    </w:rPr>
  </w:style>
  <w:style w:type="character" w:styleId="45">
    <w:name w:val="footnote reference"/>
    <w:semiHidden/>
    <w:unhideWhenUsed/>
    <w:qFormat/>
    <w:uiPriority w:val="99"/>
    <w:rPr>
      <w:vertAlign w:val="superscript"/>
    </w:rPr>
  </w:style>
  <w:style w:type="character" w:customStyle="1" w:styleId="46">
    <w:name w:val="标题 1 Char"/>
    <w:basedOn w:val="39"/>
    <w:link w:val="3"/>
    <w:qFormat/>
    <w:uiPriority w:val="9"/>
    <w:rPr>
      <w:b/>
      <w:bCs/>
      <w:kern w:val="44"/>
      <w:sz w:val="44"/>
      <w:szCs w:val="44"/>
    </w:rPr>
  </w:style>
  <w:style w:type="character" w:customStyle="1" w:styleId="47">
    <w:name w:val="标题 2 Char"/>
    <w:link w:val="4"/>
    <w:qFormat/>
    <w:uiPriority w:val="9"/>
    <w:rPr>
      <w:rFonts w:ascii="Cambria" w:hAnsi="Cambria" w:eastAsia="宋体" w:cs="Times New Roman"/>
      <w:b/>
      <w:bCs/>
      <w:sz w:val="32"/>
      <w:szCs w:val="32"/>
    </w:rPr>
  </w:style>
  <w:style w:type="character" w:customStyle="1" w:styleId="48">
    <w:name w:val="标题 3 Char"/>
    <w:basedOn w:val="39"/>
    <w:link w:val="5"/>
    <w:qFormat/>
    <w:uiPriority w:val="99"/>
    <w:rPr>
      <w:b/>
      <w:bCs/>
      <w:sz w:val="32"/>
      <w:szCs w:val="32"/>
    </w:rPr>
  </w:style>
  <w:style w:type="character" w:customStyle="1" w:styleId="49">
    <w:name w:val="标题 4 Char1"/>
    <w:link w:val="6"/>
    <w:qFormat/>
    <w:uiPriority w:val="9"/>
    <w:rPr>
      <w:rFonts w:ascii="Cambria" w:hAnsi="Cambria"/>
      <w:b/>
      <w:bCs/>
      <w:kern w:val="2"/>
      <w:sz w:val="28"/>
      <w:szCs w:val="28"/>
      <w:lang w:val="zh-CN"/>
    </w:rPr>
  </w:style>
  <w:style w:type="character" w:customStyle="1" w:styleId="50">
    <w:name w:val="标题 5 Char"/>
    <w:basedOn w:val="39"/>
    <w:link w:val="7"/>
    <w:semiHidden/>
    <w:qFormat/>
    <w:uiPriority w:val="9"/>
    <w:rPr>
      <w:rFonts w:ascii="Times New Roman" w:hAnsi="Times New Roman" w:eastAsia="宋体" w:cs="Times New Roman"/>
      <w:b/>
      <w:bCs/>
      <w:sz w:val="28"/>
      <w:szCs w:val="28"/>
    </w:rPr>
  </w:style>
  <w:style w:type="character" w:customStyle="1" w:styleId="51">
    <w:name w:val="标题 6 Char"/>
    <w:basedOn w:val="39"/>
    <w:link w:val="8"/>
    <w:qFormat/>
    <w:uiPriority w:val="9"/>
    <w:rPr>
      <w:rFonts w:ascii="等线 Light" w:hAnsi="等线 Light" w:eastAsia="等线 Light" w:cs="Times New Roman"/>
      <w:b/>
      <w:bCs/>
      <w:sz w:val="24"/>
      <w:szCs w:val="24"/>
    </w:rPr>
  </w:style>
  <w:style w:type="character" w:customStyle="1" w:styleId="52">
    <w:name w:val="正文缩进 Char"/>
    <w:link w:val="10"/>
    <w:qFormat/>
    <w:uiPriority w:val="0"/>
    <w:rPr>
      <w:rFonts w:ascii="Times New Roman" w:hAnsi="Times New Roman" w:eastAsia="华文仿宋" w:cs="Times New Roman"/>
      <w:sz w:val="18"/>
      <w:lang w:val="zh-CN"/>
    </w:rPr>
  </w:style>
  <w:style w:type="character" w:customStyle="1" w:styleId="53">
    <w:name w:val="文档结构图 Char1"/>
    <w:link w:val="12"/>
    <w:semiHidden/>
    <w:qFormat/>
    <w:uiPriority w:val="99"/>
    <w:rPr>
      <w:rFonts w:ascii="宋体" w:hAnsi="Calibri"/>
      <w:sz w:val="18"/>
      <w:szCs w:val="18"/>
      <w:lang w:val="zh-CN"/>
    </w:rPr>
  </w:style>
  <w:style w:type="character" w:customStyle="1" w:styleId="54">
    <w:name w:val="批注文字 Char"/>
    <w:basedOn w:val="39"/>
    <w:link w:val="13"/>
    <w:qFormat/>
    <w:uiPriority w:val="99"/>
  </w:style>
  <w:style w:type="character" w:customStyle="1" w:styleId="55">
    <w:name w:val="正文文本 Char"/>
    <w:link w:val="2"/>
    <w:qFormat/>
    <w:uiPriority w:val="0"/>
    <w:rPr>
      <w:rFonts w:ascii="Times New Roman" w:hAnsi="Times New Roman" w:eastAsia="华文仿宋" w:cs="Times New Roman"/>
      <w:sz w:val="28"/>
      <w:szCs w:val="24"/>
    </w:rPr>
  </w:style>
  <w:style w:type="character" w:customStyle="1" w:styleId="56">
    <w:name w:val="正文文本缩进 Char1"/>
    <w:link w:val="14"/>
    <w:qFormat/>
    <w:uiPriority w:val="99"/>
    <w:rPr>
      <w:rFonts w:ascii="Calibri" w:hAnsi="Calibri" w:eastAsia="仿宋_GB2312"/>
      <w:kern w:val="2"/>
      <w:sz w:val="28"/>
      <w:szCs w:val="22"/>
      <w:lang w:val="zh-CN"/>
    </w:rPr>
  </w:style>
  <w:style w:type="character" w:customStyle="1" w:styleId="57">
    <w:name w:val="日期 Char"/>
    <w:basedOn w:val="39"/>
    <w:link w:val="20"/>
    <w:semiHidden/>
    <w:qFormat/>
    <w:uiPriority w:val="99"/>
  </w:style>
  <w:style w:type="character" w:customStyle="1" w:styleId="58">
    <w:name w:val="批注框文本 Char"/>
    <w:link w:val="21"/>
    <w:semiHidden/>
    <w:qFormat/>
    <w:uiPriority w:val="99"/>
    <w:rPr>
      <w:rFonts w:ascii="Times New Roman" w:hAnsi="Times New Roman" w:eastAsia="宋体" w:cs="Times New Roman"/>
      <w:sz w:val="18"/>
      <w:szCs w:val="18"/>
    </w:rPr>
  </w:style>
  <w:style w:type="character" w:customStyle="1" w:styleId="59">
    <w:name w:val="页脚 Char1"/>
    <w:basedOn w:val="39"/>
    <w:link w:val="22"/>
    <w:qFormat/>
    <w:uiPriority w:val="99"/>
    <w:rPr>
      <w:sz w:val="18"/>
      <w:szCs w:val="18"/>
    </w:rPr>
  </w:style>
  <w:style w:type="character" w:customStyle="1" w:styleId="60">
    <w:name w:val="页眉 Char1"/>
    <w:basedOn w:val="39"/>
    <w:link w:val="23"/>
    <w:qFormat/>
    <w:uiPriority w:val="99"/>
    <w:rPr>
      <w:sz w:val="18"/>
      <w:szCs w:val="18"/>
    </w:rPr>
  </w:style>
  <w:style w:type="character" w:customStyle="1" w:styleId="61">
    <w:name w:val="脚注文本 Char1"/>
    <w:link w:val="26"/>
    <w:semiHidden/>
    <w:qFormat/>
    <w:uiPriority w:val="99"/>
    <w:rPr>
      <w:kern w:val="2"/>
      <w:sz w:val="18"/>
      <w:szCs w:val="18"/>
      <w:lang w:val="zh-CN"/>
    </w:rPr>
  </w:style>
  <w:style w:type="character" w:customStyle="1" w:styleId="62">
    <w:name w:val="批注主题 Char"/>
    <w:basedOn w:val="54"/>
    <w:link w:val="32"/>
    <w:semiHidden/>
    <w:qFormat/>
    <w:uiPriority w:val="99"/>
    <w:rPr>
      <w:b/>
      <w:bCs/>
    </w:rPr>
  </w:style>
  <w:style w:type="character" w:customStyle="1" w:styleId="63">
    <w:name w:val="正文首行缩进 Char"/>
    <w:basedOn w:val="64"/>
    <w:link w:val="33"/>
    <w:qFormat/>
    <w:uiPriority w:val="0"/>
    <w:rPr>
      <w:rFonts w:ascii="Times New Roman" w:hAnsi="Times New Roman" w:eastAsia="宋体" w:cs="Times New Roman"/>
      <w:szCs w:val="24"/>
    </w:rPr>
  </w:style>
  <w:style w:type="character" w:customStyle="1" w:styleId="64">
    <w:name w:val="正文文本 字符1"/>
    <w:basedOn w:val="39"/>
    <w:qFormat/>
    <w:uiPriority w:val="0"/>
  </w:style>
  <w:style w:type="paragraph" w:customStyle="1" w:styleId="65">
    <w:name w:val="A标题1"/>
    <w:next w:val="1"/>
    <w:qFormat/>
    <w:uiPriority w:val="0"/>
    <w:pPr>
      <w:keepNext/>
      <w:numPr>
        <w:ilvl w:val="0"/>
        <w:numId w:val="1"/>
      </w:numPr>
      <w:tabs>
        <w:tab w:val="left" w:pos="425"/>
      </w:tabs>
      <w:spacing w:line="560" w:lineRule="exact"/>
      <w:outlineLvl w:val="0"/>
    </w:pPr>
    <w:rPr>
      <w:rFonts w:ascii="Times New Roman" w:hAnsi="Times New Roman" w:eastAsia="黑体" w:cs="Times New Roman"/>
      <w:b/>
      <w:bCs/>
      <w:kern w:val="44"/>
      <w:sz w:val="32"/>
      <w:szCs w:val="36"/>
      <w:lang w:val="en-US" w:eastAsia="zh-CN" w:bidi="ar-SA"/>
    </w:rPr>
  </w:style>
  <w:style w:type="paragraph" w:customStyle="1" w:styleId="66">
    <w:name w:val="A标题2"/>
    <w:next w:val="1"/>
    <w:qFormat/>
    <w:uiPriority w:val="0"/>
    <w:pPr>
      <w:keepNext/>
      <w:numPr>
        <w:ilvl w:val="1"/>
        <w:numId w:val="1"/>
      </w:numPr>
      <w:tabs>
        <w:tab w:val="left" w:pos="425"/>
      </w:tabs>
      <w:spacing w:line="560" w:lineRule="exact"/>
      <w:outlineLvl w:val="1"/>
    </w:pPr>
    <w:rPr>
      <w:rFonts w:ascii="Times New Roman" w:hAnsi="Times New Roman" w:eastAsia="楷体_GB2312" w:cs="Times New Roman"/>
      <w:b/>
      <w:color w:val="000000"/>
      <w:kern w:val="2"/>
      <w:sz w:val="32"/>
      <w:szCs w:val="36"/>
      <w:lang w:val="en-US" w:eastAsia="zh-CN" w:bidi="ar-SA"/>
    </w:rPr>
  </w:style>
  <w:style w:type="paragraph" w:customStyle="1" w:styleId="67">
    <w:name w:val="A标题3"/>
    <w:next w:val="1"/>
    <w:qFormat/>
    <w:uiPriority w:val="0"/>
    <w:pPr>
      <w:keepNext/>
      <w:spacing w:line="560" w:lineRule="exact"/>
      <w:outlineLvl w:val="2"/>
    </w:pPr>
    <w:rPr>
      <w:rFonts w:ascii="Times New Roman" w:hAnsi="Times New Roman" w:eastAsia="仿宋_GB2312" w:cs="Times New Roman"/>
      <w:b/>
      <w:sz w:val="32"/>
      <w:szCs w:val="28"/>
      <w:lang w:val="en-US" w:eastAsia="zh-CN" w:bidi="ar-SA"/>
    </w:rPr>
  </w:style>
  <w:style w:type="paragraph" w:customStyle="1" w:styleId="68">
    <w:name w:val="A标题4"/>
    <w:next w:val="1"/>
    <w:qFormat/>
    <w:uiPriority w:val="0"/>
    <w:pPr>
      <w:keepNext/>
      <w:numPr>
        <w:ilvl w:val="3"/>
        <w:numId w:val="1"/>
      </w:numPr>
      <w:spacing w:before="50" w:beforeLines="50"/>
      <w:outlineLvl w:val="3"/>
    </w:pPr>
    <w:rPr>
      <w:rFonts w:ascii="Times New Roman" w:hAnsi="Times New Roman" w:eastAsia="华文仿宋" w:cs="Times New Roman"/>
      <w:b/>
      <w:sz w:val="28"/>
      <w:szCs w:val="24"/>
      <w:lang w:val="en-US" w:eastAsia="zh-CN" w:bidi="ar-SA"/>
    </w:rPr>
  </w:style>
  <w:style w:type="paragraph" w:customStyle="1" w:styleId="69">
    <w:name w:val="A正文"/>
    <w:link w:val="70"/>
    <w:qFormat/>
    <w:uiPriority w:val="0"/>
    <w:pPr>
      <w:adjustRightInd w:val="0"/>
      <w:snapToGrid w:val="0"/>
      <w:spacing w:line="560" w:lineRule="exact"/>
      <w:ind w:firstLine="200" w:firstLineChars="200"/>
      <w:jc w:val="both"/>
    </w:pPr>
    <w:rPr>
      <w:rFonts w:ascii="Times New Roman" w:hAnsi="Times New Roman" w:eastAsia="仿宋_GB2312" w:cs="Times New Roman"/>
      <w:kern w:val="2"/>
      <w:sz w:val="32"/>
      <w:szCs w:val="28"/>
      <w:lang w:val="en-US" w:eastAsia="zh-CN" w:bidi="ar-SA"/>
    </w:rPr>
  </w:style>
  <w:style w:type="character" w:customStyle="1" w:styleId="70">
    <w:name w:val="A正文 Char"/>
    <w:basedOn w:val="39"/>
    <w:link w:val="69"/>
    <w:qFormat/>
    <w:uiPriority w:val="0"/>
    <w:rPr>
      <w:rFonts w:ascii="Times New Roman" w:hAnsi="Times New Roman" w:eastAsia="仿宋_GB2312" w:cs="Times New Roman"/>
      <w:sz w:val="32"/>
      <w:szCs w:val="28"/>
    </w:rPr>
  </w:style>
  <w:style w:type="paragraph" w:customStyle="1" w:styleId="71">
    <w:name w:val="表格标题"/>
    <w:next w:val="69"/>
    <w:link w:val="72"/>
    <w:qFormat/>
    <w:uiPriority w:val="0"/>
    <w:pPr>
      <w:numPr>
        <w:ilvl w:val="5"/>
        <w:numId w:val="1"/>
      </w:numPr>
      <w:jc w:val="both"/>
      <w:outlineLvl w:val="6"/>
    </w:pPr>
    <w:rPr>
      <w:rFonts w:eastAsia="华文仿宋" w:asciiTheme="minorHAnsi" w:hAnsiTheme="minorHAnsi" w:cstheme="minorBidi"/>
      <w:kern w:val="2"/>
      <w:sz w:val="21"/>
      <w:szCs w:val="22"/>
      <w:lang w:val="en-US" w:eastAsia="zh-CN" w:bidi="ar-SA"/>
    </w:rPr>
  </w:style>
  <w:style w:type="character" w:customStyle="1" w:styleId="72">
    <w:name w:val="表格标题 Char2"/>
    <w:link w:val="71"/>
    <w:qFormat/>
    <w:uiPriority w:val="0"/>
    <w:rPr>
      <w:rFonts w:eastAsia="华文仿宋"/>
    </w:rPr>
  </w:style>
  <w:style w:type="paragraph" w:customStyle="1" w:styleId="73">
    <w:name w:val="图名"/>
    <w:next w:val="69"/>
    <w:qFormat/>
    <w:uiPriority w:val="0"/>
    <w:pPr>
      <w:widowControl w:val="0"/>
      <w:numPr>
        <w:ilvl w:val="4"/>
        <w:numId w:val="1"/>
      </w:numPr>
      <w:jc w:val="center"/>
      <w:outlineLvl w:val="5"/>
    </w:pPr>
    <w:rPr>
      <w:rFonts w:eastAsia="华文仿宋" w:asciiTheme="minorHAnsi" w:hAnsiTheme="minorHAnsi" w:cstheme="minorBidi"/>
      <w:kern w:val="2"/>
      <w:sz w:val="21"/>
      <w:szCs w:val="21"/>
      <w:lang w:val="en-US" w:eastAsia="zh-CN" w:bidi="ar-SA"/>
    </w:rPr>
  </w:style>
  <w:style w:type="character" w:customStyle="1" w:styleId="74">
    <w:name w:val="标题 2 字符"/>
    <w:basedOn w:val="39"/>
    <w:semiHidden/>
    <w:qFormat/>
    <w:uiPriority w:val="9"/>
    <w:rPr>
      <w:rFonts w:asciiTheme="majorHAnsi" w:hAnsiTheme="majorHAnsi" w:eastAsiaTheme="majorEastAsia" w:cstheme="majorBidi"/>
      <w:b/>
      <w:bCs/>
      <w:sz w:val="32"/>
      <w:szCs w:val="32"/>
    </w:rPr>
  </w:style>
  <w:style w:type="paragraph" w:customStyle="1" w:styleId="75">
    <w:name w:val="AA表格标题"/>
    <w:basedOn w:val="1"/>
    <w:link w:val="76"/>
    <w:qFormat/>
    <w:uiPriority w:val="0"/>
    <w:pPr>
      <w:numPr>
        <w:ilvl w:val="4"/>
        <w:numId w:val="2"/>
      </w:numPr>
    </w:pPr>
    <w:rPr>
      <w:rFonts w:ascii="Times New Roman" w:hAnsi="Times New Roman" w:eastAsia="华文仿宋"/>
    </w:rPr>
  </w:style>
  <w:style w:type="character" w:customStyle="1" w:styleId="76">
    <w:name w:val="AA表格标题 字符"/>
    <w:link w:val="75"/>
    <w:qFormat/>
    <w:uiPriority w:val="0"/>
    <w:rPr>
      <w:rFonts w:ascii="Times New Roman" w:hAnsi="Times New Roman" w:eastAsia="华文仿宋"/>
    </w:rPr>
  </w:style>
  <w:style w:type="paragraph" w:customStyle="1" w:styleId="77">
    <w:name w:val="AA二级标题"/>
    <w:next w:val="78"/>
    <w:link w:val="80"/>
    <w:qFormat/>
    <w:uiPriority w:val="0"/>
    <w:pPr>
      <w:numPr>
        <w:ilvl w:val="1"/>
        <w:numId w:val="2"/>
      </w:numPr>
      <w:spacing w:before="100" w:beforeLines="100"/>
      <w:outlineLvl w:val="1"/>
    </w:pPr>
    <w:rPr>
      <w:rFonts w:ascii="Times New Roman" w:hAnsi="Times New Roman" w:eastAsia="宋体" w:cstheme="minorBidi"/>
      <w:b/>
      <w:kern w:val="2"/>
      <w:sz w:val="30"/>
      <w:szCs w:val="22"/>
      <w:lang w:val="en-US" w:eastAsia="zh-CN" w:bidi="ar-SA"/>
    </w:rPr>
  </w:style>
  <w:style w:type="paragraph" w:customStyle="1" w:styleId="78">
    <w:name w:val="AA正文"/>
    <w:basedOn w:val="1"/>
    <w:link w:val="79"/>
    <w:qFormat/>
    <w:uiPriority w:val="0"/>
    <w:pPr>
      <w:spacing w:line="360" w:lineRule="auto"/>
      <w:ind w:firstLine="200" w:firstLineChars="200"/>
    </w:pPr>
    <w:rPr>
      <w:rFonts w:ascii="Times New Roman" w:hAnsi="Times New Roman" w:eastAsia="华文仿宋"/>
      <w:sz w:val="28"/>
    </w:rPr>
  </w:style>
  <w:style w:type="character" w:customStyle="1" w:styleId="79">
    <w:name w:val="AA正文 字符"/>
    <w:link w:val="78"/>
    <w:qFormat/>
    <w:uiPriority w:val="0"/>
    <w:rPr>
      <w:rFonts w:ascii="Times New Roman" w:hAnsi="Times New Roman" w:eastAsia="华文仿宋"/>
      <w:sz w:val="28"/>
    </w:rPr>
  </w:style>
  <w:style w:type="character" w:customStyle="1" w:styleId="80">
    <w:name w:val="AA二级标题 字符"/>
    <w:link w:val="77"/>
    <w:qFormat/>
    <w:uiPriority w:val="0"/>
    <w:rPr>
      <w:rFonts w:ascii="Times New Roman" w:hAnsi="Times New Roman" w:eastAsia="宋体"/>
      <w:b/>
      <w:sz w:val="30"/>
    </w:rPr>
  </w:style>
  <w:style w:type="paragraph" w:customStyle="1" w:styleId="81">
    <w:name w:val="AA三级标题"/>
    <w:basedOn w:val="5"/>
    <w:next w:val="78"/>
    <w:link w:val="82"/>
    <w:qFormat/>
    <w:uiPriority w:val="0"/>
    <w:pPr>
      <w:numPr>
        <w:ilvl w:val="2"/>
        <w:numId w:val="2"/>
      </w:numPr>
      <w:spacing w:before="0" w:after="0" w:line="360" w:lineRule="auto"/>
    </w:pPr>
    <w:rPr>
      <w:rFonts w:ascii="Times New Roman" w:hAnsi="Times New Roman" w:eastAsia="宋体"/>
      <w:bCs w:val="0"/>
      <w:kern w:val="44"/>
      <w:sz w:val="28"/>
      <w:szCs w:val="36"/>
    </w:rPr>
  </w:style>
  <w:style w:type="character" w:customStyle="1" w:styleId="82">
    <w:name w:val="AA三级标题 字符"/>
    <w:link w:val="81"/>
    <w:qFormat/>
    <w:uiPriority w:val="0"/>
    <w:rPr>
      <w:rFonts w:ascii="Times New Roman" w:hAnsi="Times New Roman" w:eastAsia="宋体"/>
      <w:b/>
      <w:kern w:val="44"/>
      <w:sz w:val="28"/>
      <w:szCs w:val="36"/>
    </w:rPr>
  </w:style>
  <w:style w:type="paragraph" w:customStyle="1" w:styleId="83">
    <w:name w:val="AA四级标题"/>
    <w:basedOn w:val="81"/>
    <w:next w:val="78"/>
    <w:link w:val="84"/>
    <w:qFormat/>
    <w:uiPriority w:val="0"/>
    <w:pPr>
      <w:numPr>
        <w:ilvl w:val="3"/>
      </w:numPr>
      <w:outlineLvl w:val="9"/>
    </w:pPr>
  </w:style>
  <w:style w:type="character" w:customStyle="1" w:styleId="84">
    <w:name w:val="AA四级标题 字符"/>
    <w:link w:val="83"/>
    <w:qFormat/>
    <w:uiPriority w:val="0"/>
    <w:rPr>
      <w:rFonts w:ascii="Times New Roman" w:hAnsi="Times New Roman" w:eastAsia="宋体"/>
      <w:b/>
      <w:kern w:val="44"/>
      <w:sz w:val="28"/>
      <w:szCs w:val="36"/>
    </w:rPr>
  </w:style>
  <w:style w:type="paragraph" w:customStyle="1" w:styleId="85">
    <w:name w:val="AA图名"/>
    <w:basedOn w:val="75"/>
    <w:next w:val="78"/>
    <w:link w:val="86"/>
    <w:qFormat/>
    <w:uiPriority w:val="0"/>
    <w:pPr>
      <w:numPr>
        <w:ilvl w:val="5"/>
      </w:numPr>
      <w:spacing w:after="156" w:afterLines="50"/>
      <w:jc w:val="center"/>
    </w:pPr>
  </w:style>
  <w:style w:type="character" w:customStyle="1" w:styleId="86">
    <w:name w:val="AA图名 字符"/>
    <w:basedOn w:val="76"/>
    <w:link w:val="85"/>
    <w:qFormat/>
    <w:uiPriority w:val="0"/>
    <w:rPr>
      <w:rFonts w:ascii="Times New Roman" w:hAnsi="Times New Roman" w:eastAsia="华文仿宋"/>
    </w:rPr>
  </w:style>
  <w:style w:type="paragraph" w:customStyle="1" w:styleId="87">
    <w:name w:val="AA一级标题"/>
    <w:basedOn w:val="3"/>
    <w:next w:val="78"/>
    <w:link w:val="88"/>
    <w:qFormat/>
    <w:uiPriority w:val="0"/>
    <w:pPr>
      <w:pageBreakBefore/>
      <w:numPr>
        <w:ilvl w:val="0"/>
        <w:numId w:val="2"/>
      </w:numPr>
      <w:spacing w:line="240" w:lineRule="auto"/>
      <w:jc w:val="center"/>
    </w:pPr>
    <w:rPr>
      <w:rFonts w:ascii="Times New Roman" w:hAnsi="Times New Roman" w:eastAsia="宋体"/>
      <w:sz w:val="36"/>
      <w:szCs w:val="36"/>
    </w:rPr>
  </w:style>
  <w:style w:type="character" w:customStyle="1" w:styleId="88">
    <w:name w:val="AA一级标题 字符"/>
    <w:link w:val="87"/>
    <w:qFormat/>
    <w:uiPriority w:val="0"/>
    <w:rPr>
      <w:rFonts w:ascii="Times New Roman" w:hAnsi="Times New Roman" w:eastAsia="宋体"/>
      <w:b/>
      <w:bCs/>
      <w:kern w:val="44"/>
      <w:sz w:val="36"/>
      <w:szCs w:val="36"/>
    </w:rPr>
  </w:style>
  <w:style w:type="paragraph" w:customStyle="1" w:styleId="89">
    <w:name w:val="AB附件"/>
    <w:basedOn w:val="87"/>
    <w:link w:val="90"/>
    <w:qFormat/>
    <w:uiPriority w:val="0"/>
    <w:pPr>
      <w:numPr>
        <w:numId w:val="0"/>
      </w:numPr>
      <w:spacing w:before="240" w:beforeLines="100" w:after="120" w:afterLines="50"/>
      <w:jc w:val="left"/>
      <w:textAlignment w:val="baseline"/>
    </w:pPr>
  </w:style>
  <w:style w:type="character" w:customStyle="1" w:styleId="90">
    <w:name w:val="AB附件 字符"/>
    <w:basedOn w:val="88"/>
    <w:link w:val="89"/>
    <w:qFormat/>
    <w:uiPriority w:val="0"/>
    <w:rPr>
      <w:rFonts w:ascii="Times New Roman" w:hAnsi="Times New Roman" w:eastAsia="宋体" w:cstheme="minorBidi"/>
      <w:kern w:val="44"/>
      <w:sz w:val="36"/>
      <w:szCs w:val="36"/>
    </w:rPr>
  </w:style>
  <w:style w:type="paragraph" w:customStyle="1" w:styleId="91">
    <w:name w:val="AB附件表格"/>
    <w:basedOn w:val="75"/>
    <w:link w:val="92"/>
    <w:qFormat/>
    <w:uiPriority w:val="0"/>
    <w:pPr>
      <w:numPr>
        <w:ilvl w:val="0"/>
        <w:numId w:val="0"/>
      </w:numPr>
    </w:pPr>
  </w:style>
  <w:style w:type="character" w:customStyle="1" w:styleId="92">
    <w:name w:val="AB附件表格 字符"/>
    <w:basedOn w:val="76"/>
    <w:link w:val="91"/>
    <w:qFormat/>
    <w:uiPriority w:val="0"/>
    <w:rPr>
      <w:rFonts w:ascii="Times New Roman" w:hAnsi="Times New Roman" w:eastAsia="华文仿宋" w:cstheme="minorBidi"/>
      <w:kern w:val="2"/>
      <w:sz w:val="21"/>
      <w:szCs w:val="22"/>
    </w:rPr>
  </w:style>
  <w:style w:type="paragraph" w:customStyle="1" w:styleId="93">
    <w:name w:val="AA注释"/>
    <w:basedOn w:val="75"/>
    <w:link w:val="94"/>
    <w:qFormat/>
    <w:uiPriority w:val="0"/>
    <w:pPr>
      <w:numPr>
        <w:ilvl w:val="0"/>
        <w:numId w:val="0"/>
      </w:numPr>
      <w:jc w:val="left"/>
    </w:pPr>
  </w:style>
  <w:style w:type="character" w:customStyle="1" w:styleId="94">
    <w:name w:val="AA注释 字符"/>
    <w:basedOn w:val="76"/>
    <w:link w:val="93"/>
    <w:qFormat/>
    <w:uiPriority w:val="0"/>
    <w:rPr>
      <w:rFonts w:ascii="Times New Roman" w:hAnsi="Times New Roman" w:eastAsia="华文仿宋"/>
    </w:rPr>
  </w:style>
  <w:style w:type="paragraph" w:customStyle="1" w:styleId="95">
    <w:name w:val="00表格内容"/>
    <w:basedOn w:val="1"/>
    <w:next w:val="1"/>
    <w:link w:val="96"/>
    <w:qFormat/>
    <w:uiPriority w:val="0"/>
    <w:pPr>
      <w:widowControl/>
      <w:adjustRightInd w:val="0"/>
      <w:snapToGrid w:val="0"/>
      <w:jc w:val="center"/>
    </w:pPr>
    <w:rPr>
      <w:rFonts w:ascii="Times New Roman" w:hAnsi="Times New Roman" w:eastAsia="华文仿宋" w:cs="宋体"/>
      <w:color w:val="000000"/>
      <w:kern w:val="0"/>
      <w:sz w:val="18"/>
      <w:szCs w:val="18"/>
    </w:rPr>
  </w:style>
  <w:style w:type="character" w:customStyle="1" w:styleId="96">
    <w:name w:val="00表格内容 字符"/>
    <w:basedOn w:val="39"/>
    <w:link w:val="95"/>
    <w:qFormat/>
    <w:uiPriority w:val="0"/>
    <w:rPr>
      <w:rFonts w:ascii="Times New Roman" w:hAnsi="Times New Roman" w:eastAsia="华文仿宋" w:cs="宋体"/>
      <w:color w:val="000000"/>
      <w:kern w:val="0"/>
      <w:sz w:val="18"/>
      <w:szCs w:val="18"/>
    </w:rPr>
  </w:style>
  <w:style w:type="paragraph" w:customStyle="1" w:styleId="97">
    <w:name w:val="0正文"/>
    <w:qFormat/>
    <w:uiPriority w:val="0"/>
    <w:pPr>
      <w:adjustRightInd w:val="0"/>
      <w:snapToGrid w:val="0"/>
      <w:spacing w:line="360" w:lineRule="auto"/>
      <w:ind w:firstLine="200" w:firstLineChars="200"/>
      <w:jc w:val="both"/>
    </w:pPr>
    <w:rPr>
      <w:rFonts w:ascii="Times New Roman" w:hAnsi="Times New Roman" w:eastAsia="华文仿宋" w:cs="Times New Roman"/>
      <w:kern w:val="2"/>
      <w:sz w:val="28"/>
      <w:szCs w:val="28"/>
      <w:lang w:val="en-US" w:eastAsia="zh-CN" w:bidi="ar-SA"/>
    </w:rPr>
  </w:style>
  <w:style w:type="paragraph" w:customStyle="1" w:styleId="98">
    <w:name w:val="00表格名称"/>
    <w:basedOn w:val="1"/>
    <w:next w:val="97"/>
    <w:qFormat/>
    <w:uiPriority w:val="0"/>
    <w:pPr>
      <w:jc w:val="center"/>
      <w:outlineLvl w:val="5"/>
    </w:pPr>
    <w:rPr>
      <w:rFonts w:ascii="Times New Roman" w:hAnsi="Times New Roman" w:eastAsia="华文仿宋"/>
      <w:szCs w:val="21"/>
    </w:rPr>
  </w:style>
  <w:style w:type="paragraph" w:customStyle="1" w:styleId="99">
    <w:name w:val="表格文字"/>
    <w:basedOn w:val="1"/>
    <w:link w:val="100"/>
    <w:qFormat/>
    <w:uiPriority w:val="0"/>
    <w:pPr>
      <w:adjustRightInd w:val="0"/>
      <w:snapToGrid w:val="0"/>
      <w:jc w:val="center"/>
    </w:pPr>
    <w:rPr>
      <w:rFonts w:ascii="Times New Roman" w:hAnsi="Times New Roman" w:eastAsia="仿宋" w:cs="Times New Roman"/>
      <w:sz w:val="18"/>
      <w:szCs w:val="20"/>
    </w:rPr>
  </w:style>
  <w:style w:type="character" w:customStyle="1" w:styleId="100">
    <w:name w:val="表格文字 Char"/>
    <w:link w:val="99"/>
    <w:qFormat/>
    <w:uiPriority w:val="0"/>
    <w:rPr>
      <w:rFonts w:eastAsia="仿宋"/>
      <w:kern w:val="2"/>
      <w:sz w:val="18"/>
    </w:rPr>
  </w:style>
  <w:style w:type="paragraph" w:customStyle="1" w:styleId="101">
    <w:name w:val="00正文"/>
    <w:link w:val="102"/>
    <w:qFormat/>
    <w:uiPriority w:val="0"/>
    <w:pPr>
      <w:adjustRightInd w:val="0"/>
      <w:snapToGrid w:val="0"/>
      <w:spacing w:line="360" w:lineRule="auto"/>
      <w:ind w:firstLine="200" w:firstLineChars="200"/>
      <w:jc w:val="both"/>
    </w:pPr>
    <w:rPr>
      <w:rFonts w:ascii="Times New Roman" w:hAnsi="Times New Roman" w:eastAsia="华文仿宋" w:cs="Times New Roman"/>
      <w:kern w:val="2"/>
      <w:sz w:val="28"/>
      <w:szCs w:val="28"/>
      <w:lang w:val="en-US" w:eastAsia="zh-CN" w:bidi="ar-SA"/>
    </w:rPr>
  </w:style>
  <w:style w:type="character" w:customStyle="1" w:styleId="102">
    <w:name w:val="00正文 字符"/>
    <w:link w:val="101"/>
    <w:qFormat/>
    <w:uiPriority w:val="0"/>
    <w:rPr>
      <w:rFonts w:ascii="Times New Roman" w:hAnsi="Times New Roman" w:eastAsia="华文仿宋" w:cs="Times New Roman"/>
      <w:sz w:val="28"/>
      <w:szCs w:val="28"/>
    </w:rPr>
  </w:style>
  <w:style w:type="paragraph" w:customStyle="1" w:styleId="103">
    <w:name w:val="修订1"/>
    <w:hidden/>
    <w:qFormat/>
    <w:uiPriority w:val="99"/>
    <w:rPr>
      <w:rFonts w:asciiTheme="minorHAnsi" w:hAnsiTheme="minorHAnsi" w:eastAsiaTheme="minorEastAsia" w:cstheme="minorBidi"/>
      <w:kern w:val="2"/>
      <w:sz w:val="21"/>
      <w:szCs w:val="22"/>
      <w:lang w:val="en-US" w:eastAsia="zh-CN" w:bidi="ar-SA"/>
    </w:rPr>
  </w:style>
  <w:style w:type="paragraph" w:customStyle="1" w:styleId="104">
    <w:name w:val="列出段落1"/>
    <w:basedOn w:val="1"/>
    <w:link w:val="105"/>
    <w:qFormat/>
    <w:uiPriority w:val="34"/>
    <w:pPr>
      <w:ind w:firstLine="420" w:firstLineChars="200"/>
    </w:pPr>
  </w:style>
  <w:style w:type="character" w:customStyle="1" w:styleId="105">
    <w:name w:val="列表段落 字符"/>
    <w:link w:val="104"/>
    <w:qFormat/>
    <w:uiPriority w:val="34"/>
  </w:style>
  <w:style w:type="character" w:customStyle="1" w:styleId="106">
    <w:name w:val="标题 1 字符1"/>
    <w:qFormat/>
    <w:uiPriority w:val="9"/>
    <w:rPr>
      <w:rFonts w:ascii="Times New Roman" w:hAnsi="Times New Roman" w:eastAsia="宋体" w:cs="Times New Roman"/>
      <w:b/>
      <w:bCs/>
      <w:kern w:val="44"/>
      <w:sz w:val="32"/>
      <w:szCs w:val="32"/>
    </w:rPr>
  </w:style>
  <w:style w:type="paragraph" w:customStyle="1" w:styleId="107">
    <w:name w:val="GD标题2"/>
    <w:basedOn w:val="4"/>
    <w:link w:val="108"/>
    <w:qFormat/>
    <w:uiPriority w:val="0"/>
    <w:pPr>
      <w:spacing w:before="0" w:after="0" w:line="360" w:lineRule="auto"/>
      <w:jc w:val="center"/>
    </w:pPr>
    <w:rPr>
      <w:rFonts w:ascii="宋体" w:hAnsi="宋体"/>
      <w:color w:val="C0504D"/>
      <w:sz w:val="30"/>
      <w:szCs w:val="30"/>
    </w:rPr>
  </w:style>
  <w:style w:type="character" w:customStyle="1" w:styleId="108">
    <w:name w:val="GD标题2 Char"/>
    <w:link w:val="107"/>
    <w:qFormat/>
    <w:uiPriority w:val="0"/>
    <w:rPr>
      <w:rFonts w:ascii="宋体" w:hAnsi="宋体" w:eastAsia="宋体" w:cs="Times New Roman"/>
      <w:b/>
      <w:bCs/>
      <w:color w:val="C0504D"/>
      <w:sz w:val="30"/>
      <w:szCs w:val="30"/>
    </w:rPr>
  </w:style>
  <w:style w:type="paragraph" w:customStyle="1" w:styleId="109">
    <w:name w:val="列出段落11"/>
    <w:basedOn w:val="1"/>
    <w:qFormat/>
    <w:uiPriority w:val="0"/>
    <w:pPr>
      <w:ind w:firstLine="420" w:firstLineChars="200"/>
    </w:pPr>
    <w:rPr>
      <w:rFonts w:ascii="Calibri" w:hAnsi="Calibri" w:eastAsia="宋体" w:cs="Times New Roman"/>
      <w:sz w:val="20"/>
      <w:szCs w:val="21"/>
    </w:rPr>
  </w:style>
  <w:style w:type="paragraph" w:customStyle="1" w:styleId="110">
    <w:name w:val="A 标题2"/>
    <w:basedOn w:val="1"/>
    <w:qFormat/>
    <w:uiPriority w:val="0"/>
    <w:pPr>
      <w:keepNext/>
      <w:keepLines/>
      <w:spacing w:line="360" w:lineRule="auto"/>
      <w:jc w:val="left"/>
      <w:outlineLvl w:val="1"/>
    </w:pPr>
    <w:rPr>
      <w:rFonts w:ascii="Times New Roman" w:hAnsi="Times New Roman" w:eastAsia="宋体" w:cs="Times New Roman"/>
      <w:b/>
      <w:bCs/>
      <w:sz w:val="30"/>
      <w:szCs w:val="32"/>
      <w:lang w:val="zh-CN"/>
    </w:rPr>
  </w:style>
  <w:style w:type="paragraph" w:customStyle="1" w:styleId="111">
    <w:name w:val="五号表格"/>
    <w:basedOn w:val="112"/>
    <w:next w:val="112"/>
    <w:link w:val="113"/>
    <w:qFormat/>
    <w:uiPriority w:val="0"/>
    <w:pPr>
      <w:spacing w:line="360" w:lineRule="auto"/>
      <w:jc w:val="center"/>
    </w:pPr>
    <w:rPr>
      <w:rFonts w:ascii="Times New Roman" w:hAnsi="Times New Roman"/>
      <w:color w:val="000000"/>
    </w:rPr>
  </w:style>
  <w:style w:type="paragraph" w:customStyle="1" w:styleId="112">
    <w:name w:val="无间隔1"/>
    <w:qFormat/>
    <w:uiPriority w:val="1"/>
    <w:pPr>
      <w:widowControl w:val="0"/>
      <w:jc w:val="both"/>
    </w:pPr>
    <w:rPr>
      <w:rFonts w:ascii="Calibri" w:hAnsi="Calibri" w:eastAsia="宋体" w:cs="Times New Roman"/>
      <w:kern w:val="2"/>
      <w:lang w:val="en-US" w:eastAsia="zh-CN" w:bidi="ar-SA"/>
    </w:rPr>
  </w:style>
  <w:style w:type="character" w:customStyle="1" w:styleId="113">
    <w:name w:val="五号表格 Char"/>
    <w:link w:val="111"/>
    <w:qFormat/>
    <w:uiPriority w:val="0"/>
    <w:rPr>
      <w:rFonts w:ascii="Times New Roman" w:hAnsi="Times New Roman" w:eastAsia="宋体" w:cs="Times New Roman"/>
      <w:color w:val="000000"/>
      <w:sz w:val="20"/>
      <w:szCs w:val="20"/>
    </w:rPr>
  </w:style>
  <w:style w:type="paragraph" w:customStyle="1" w:styleId="114">
    <w:name w:val="HH 1级"/>
    <w:basedOn w:val="1"/>
    <w:qFormat/>
    <w:uiPriority w:val="0"/>
    <w:pPr>
      <w:spacing w:line="360" w:lineRule="auto"/>
      <w:jc w:val="center"/>
      <w:outlineLvl w:val="0"/>
    </w:pPr>
    <w:rPr>
      <w:rFonts w:ascii="宋体" w:hAnsi="宋体" w:eastAsia="宋体" w:cs="Times New Roman"/>
      <w:b/>
      <w:sz w:val="32"/>
      <w:szCs w:val="32"/>
    </w:rPr>
  </w:style>
  <w:style w:type="paragraph" w:customStyle="1" w:styleId="115">
    <w:name w:val="GD正文"/>
    <w:basedOn w:val="1"/>
    <w:link w:val="116"/>
    <w:qFormat/>
    <w:uiPriority w:val="0"/>
    <w:pPr>
      <w:spacing w:line="360" w:lineRule="auto"/>
      <w:ind w:firstLine="480" w:firstLineChars="200"/>
    </w:pPr>
    <w:rPr>
      <w:rFonts w:ascii="宋体" w:hAnsi="宋体" w:eastAsia="宋体" w:cs="Times New Roman"/>
      <w:sz w:val="24"/>
      <w:szCs w:val="24"/>
      <w:lang w:val="zh-CN"/>
    </w:rPr>
  </w:style>
  <w:style w:type="character" w:customStyle="1" w:styleId="116">
    <w:name w:val="GD正文 Char"/>
    <w:link w:val="115"/>
    <w:qFormat/>
    <w:uiPriority w:val="0"/>
    <w:rPr>
      <w:rFonts w:ascii="宋体" w:hAnsi="宋体" w:eastAsia="宋体" w:cs="Times New Roman"/>
      <w:sz w:val="24"/>
      <w:szCs w:val="24"/>
      <w:lang w:val="zh-CN"/>
    </w:rPr>
  </w:style>
  <w:style w:type="paragraph" w:customStyle="1" w:styleId="117">
    <w:name w:val="一级"/>
    <w:next w:val="1"/>
    <w:qFormat/>
    <w:uiPriority w:val="0"/>
    <w:pPr>
      <w:keepNext/>
      <w:pageBreakBefore/>
      <w:tabs>
        <w:tab w:val="left" w:pos="425"/>
      </w:tabs>
      <w:spacing w:before="50" w:beforeLines="50" w:after="100" w:afterLines="100"/>
      <w:jc w:val="center"/>
      <w:outlineLvl w:val="0"/>
    </w:pPr>
    <w:rPr>
      <w:rFonts w:ascii="Times New Roman" w:hAnsi="Times New Roman" w:eastAsia="宋体" w:cs="Times New Roman"/>
      <w:b/>
      <w:bCs/>
      <w:kern w:val="44"/>
      <w:sz w:val="36"/>
      <w:szCs w:val="36"/>
      <w:lang w:val="en-US" w:eastAsia="zh-CN" w:bidi="ar-SA"/>
    </w:rPr>
  </w:style>
  <w:style w:type="character" w:customStyle="1" w:styleId="118">
    <w:name w:val="页眉 Char"/>
    <w:qFormat/>
    <w:uiPriority w:val="99"/>
    <w:rPr>
      <w:rFonts w:eastAsia="宋体" w:cs="Times New Roman"/>
      <w:sz w:val="18"/>
      <w:szCs w:val="18"/>
    </w:rPr>
  </w:style>
  <w:style w:type="character" w:customStyle="1" w:styleId="119">
    <w:name w:val="页脚 Char"/>
    <w:qFormat/>
    <w:uiPriority w:val="99"/>
    <w:rPr>
      <w:rFonts w:eastAsia="宋体" w:cs="Times New Roman"/>
      <w:sz w:val="18"/>
      <w:szCs w:val="18"/>
    </w:rPr>
  </w:style>
  <w:style w:type="paragraph" w:customStyle="1" w:styleId="120">
    <w:name w:val="GD表格5号"/>
    <w:basedOn w:val="1"/>
    <w:link w:val="121"/>
    <w:qFormat/>
    <w:uiPriority w:val="0"/>
    <w:pPr>
      <w:jc w:val="center"/>
    </w:pPr>
    <w:rPr>
      <w:rFonts w:ascii="Times New Roman" w:hAnsi="Times New Roman" w:eastAsia="宋体" w:cs="Times New Roman"/>
      <w:sz w:val="20"/>
      <w:szCs w:val="24"/>
    </w:rPr>
  </w:style>
  <w:style w:type="character" w:customStyle="1" w:styleId="121">
    <w:name w:val="GD表格5号 Char"/>
    <w:link w:val="120"/>
    <w:qFormat/>
    <w:uiPriority w:val="0"/>
    <w:rPr>
      <w:rFonts w:ascii="Times New Roman" w:hAnsi="Times New Roman" w:eastAsia="宋体" w:cs="Times New Roman"/>
      <w:sz w:val="20"/>
      <w:szCs w:val="24"/>
    </w:rPr>
  </w:style>
  <w:style w:type="paragraph" w:customStyle="1" w:styleId="122">
    <w:name w:val="正文-第几条"/>
    <w:basedOn w:val="1"/>
    <w:qFormat/>
    <w:uiPriority w:val="0"/>
    <w:pPr>
      <w:spacing w:line="360" w:lineRule="auto"/>
    </w:pPr>
    <w:rPr>
      <w:rFonts w:ascii="Times New Roman" w:hAnsi="Times New Roman" w:eastAsia="宋体" w:cs="Times New Roman"/>
      <w:b/>
      <w:sz w:val="24"/>
      <w:szCs w:val="24"/>
    </w:rPr>
  </w:style>
  <w:style w:type="paragraph" w:customStyle="1" w:styleId="123">
    <w:name w:val="GD标题3"/>
    <w:basedOn w:val="5"/>
    <w:link w:val="124"/>
    <w:qFormat/>
    <w:uiPriority w:val="0"/>
    <w:pPr>
      <w:spacing w:before="0" w:after="0" w:line="360" w:lineRule="auto"/>
      <w:ind w:firstLine="50" w:firstLineChars="50"/>
    </w:pPr>
    <w:rPr>
      <w:rFonts w:ascii="宋体" w:hAnsi="宋体" w:eastAsia="宋体" w:cs="Times New Roman"/>
      <w:color w:val="9BBB59"/>
      <w:sz w:val="28"/>
      <w:szCs w:val="28"/>
    </w:rPr>
  </w:style>
  <w:style w:type="character" w:customStyle="1" w:styleId="124">
    <w:name w:val="GD标题3 Char"/>
    <w:link w:val="123"/>
    <w:qFormat/>
    <w:uiPriority w:val="0"/>
    <w:rPr>
      <w:rFonts w:ascii="宋体" w:hAnsi="宋体" w:eastAsia="宋体" w:cs="Times New Roman"/>
      <w:b/>
      <w:bCs/>
      <w:color w:val="9BBB59"/>
      <w:sz w:val="28"/>
      <w:szCs w:val="28"/>
    </w:rPr>
  </w:style>
  <w:style w:type="paragraph" w:customStyle="1" w:styleId="125">
    <w:name w:val="文本正文"/>
    <w:basedOn w:val="69"/>
    <w:link w:val="126"/>
    <w:qFormat/>
    <w:uiPriority w:val="0"/>
    <w:pPr>
      <w:ind w:firstLine="560"/>
    </w:pPr>
  </w:style>
  <w:style w:type="character" w:customStyle="1" w:styleId="126">
    <w:name w:val="文本正文 Char"/>
    <w:link w:val="125"/>
    <w:qFormat/>
    <w:uiPriority w:val="0"/>
    <w:rPr>
      <w:rFonts w:ascii="Times New Roman" w:hAnsi="Times New Roman" w:eastAsia="华文仿宋" w:cs="Times New Roman"/>
      <w:sz w:val="28"/>
      <w:szCs w:val="28"/>
    </w:rPr>
  </w:style>
  <w:style w:type="character" w:customStyle="1" w:styleId="127">
    <w:name w:val="批注框文本 字符1"/>
    <w:basedOn w:val="39"/>
    <w:semiHidden/>
    <w:qFormat/>
    <w:uiPriority w:val="99"/>
    <w:rPr>
      <w:sz w:val="18"/>
      <w:szCs w:val="18"/>
    </w:rPr>
  </w:style>
  <w:style w:type="paragraph" w:customStyle="1" w:styleId="128">
    <w:name w:val="TOC 标题1"/>
    <w:basedOn w:val="3"/>
    <w:next w:val="1"/>
    <w:unhideWhenUsed/>
    <w:qFormat/>
    <w:uiPriority w:val="39"/>
    <w:pPr>
      <w:widowControl/>
      <w:spacing w:before="240" w:after="0" w:line="259" w:lineRule="auto"/>
      <w:jc w:val="left"/>
      <w:outlineLvl w:val="9"/>
    </w:pPr>
    <w:rPr>
      <w:rFonts w:ascii="等线 Light" w:hAnsi="等线 Light" w:eastAsia="等线 Light" w:cs="Times New Roman"/>
      <w:b w:val="0"/>
      <w:bCs w:val="0"/>
      <w:color w:val="2E74B5"/>
      <w:kern w:val="0"/>
      <w:sz w:val="32"/>
      <w:szCs w:val="32"/>
    </w:rPr>
  </w:style>
  <w:style w:type="character" w:customStyle="1" w:styleId="129">
    <w:name w:val="题注 Char3"/>
    <w:qFormat/>
    <w:uiPriority w:val="0"/>
    <w:rPr>
      <w:rFonts w:ascii="仿宋_GB2312" w:hAnsi="华文细黑" w:eastAsia="仿宋"/>
      <w:b/>
      <w:kern w:val="2"/>
      <w:sz w:val="21"/>
    </w:rPr>
  </w:style>
  <w:style w:type="paragraph" w:customStyle="1" w:styleId="130">
    <w:name w:val="段落0"/>
    <w:basedOn w:val="31"/>
    <w:link w:val="131"/>
    <w:qFormat/>
    <w:uiPriority w:val="0"/>
    <w:pPr>
      <w:snapToGrid w:val="0"/>
      <w:spacing w:before="0" w:beforeAutospacing="0" w:after="0" w:afterAutospacing="0" w:line="360" w:lineRule="auto"/>
      <w:ind w:firstLine="200" w:firstLineChars="200"/>
    </w:pPr>
    <w:rPr>
      <w:rFonts w:ascii="华文细黑" w:hAnsi="华文细黑" w:eastAsia="华文细黑"/>
      <w:bCs/>
      <w:color w:val="000000"/>
    </w:rPr>
  </w:style>
  <w:style w:type="character" w:customStyle="1" w:styleId="131">
    <w:name w:val="段落0 Char"/>
    <w:link w:val="130"/>
    <w:qFormat/>
    <w:uiPriority w:val="0"/>
    <w:rPr>
      <w:rFonts w:ascii="华文细黑" w:hAnsi="华文细黑" w:eastAsia="华文细黑" w:cs="宋体"/>
      <w:bCs/>
      <w:color w:val="000000"/>
      <w:kern w:val="0"/>
      <w:sz w:val="24"/>
      <w:szCs w:val="24"/>
    </w:rPr>
  </w:style>
  <w:style w:type="paragraph" w:customStyle="1" w:styleId="132">
    <w:name w:val="1表格标题"/>
    <w:next w:val="101"/>
    <w:link w:val="133"/>
    <w:qFormat/>
    <w:uiPriority w:val="0"/>
    <w:pPr>
      <w:outlineLvl w:val="4"/>
    </w:pPr>
    <w:rPr>
      <w:rFonts w:ascii="Times New Roman" w:hAnsi="Times New Roman" w:eastAsia="华文仿宋" w:cs="Times New Roman"/>
      <w:kern w:val="2"/>
      <w:sz w:val="21"/>
      <w:szCs w:val="21"/>
      <w:lang w:val="en-US" w:eastAsia="zh-CN" w:bidi="ar-SA"/>
    </w:rPr>
  </w:style>
  <w:style w:type="character" w:customStyle="1" w:styleId="133">
    <w:name w:val="1表格标题 字符"/>
    <w:link w:val="132"/>
    <w:qFormat/>
    <w:uiPriority w:val="0"/>
    <w:rPr>
      <w:rFonts w:ascii="Times New Roman" w:hAnsi="Times New Roman" w:eastAsia="华文仿宋" w:cs="Times New Roman"/>
      <w:szCs w:val="21"/>
    </w:rPr>
  </w:style>
  <w:style w:type="paragraph" w:customStyle="1" w:styleId="134">
    <w:name w:val="0图名"/>
    <w:basedOn w:val="1"/>
    <w:next w:val="1"/>
    <w:qFormat/>
    <w:uiPriority w:val="0"/>
    <w:pPr>
      <w:widowControl/>
      <w:adjustRightInd w:val="0"/>
      <w:jc w:val="center"/>
      <w:outlineLvl w:val="4"/>
    </w:pPr>
    <w:rPr>
      <w:rFonts w:ascii="Times New Roman" w:hAnsi="Times New Roman" w:eastAsia="华文仿宋" w:cs="Times New Roman"/>
      <w:szCs w:val="24"/>
    </w:rPr>
  </w:style>
  <w:style w:type="paragraph" w:customStyle="1" w:styleId="135">
    <w:name w:val="Default"/>
    <w:qFormat/>
    <w:uiPriority w:val="0"/>
    <w:pPr>
      <w:widowControl w:val="0"/>
      <w:autoSpaceDE w:val="0"/>
      <w:autoSpaceDN w:val="0"/>
      <w:adjustRightInd w:val="0"/>
    </w:pPr>
    <w:rPr>
      <w:rFonts w:ascii="宋体" w:hAnsi="等线" w:eastAsia="宋体" w:cs="宋体"/>
      <w:color w:val="000000"/>
      <w:sz w:val="24"/>
      <w:szCs w:val="24"/>
      <w:lang w:val="en-US" w:eastAsia="zh-CN" w:bidi="ar-SA"/>
    </w:rPr>
  </w:style>
  <w:style w:type="paragraph" w:customStyle="1" w:styleId="136">
    <w:name w:val="CM12"/>
    <w:basedOn w:val="135"/>
    <w:next w:val="135"/>
    <w:qFormat/>
    <w:uiPriority w:val="99"/>
    <w:pPr>
      <w:spacing w:line="468" w:lineRule="atLeast"/>
    </w:pPr>
    <w:rPr>
      <w:rFonts w:cs="Times New Roman"/>
      <w:color w:val="auto"/>
    </w:rPr>
  </w:style>
  <w:style w:type="paragraph" w:customStyle="1" w:styleId="137">
    <w:name w:val="CM37"/>
    <w:basedOn w:val="135"/>
    <w:next w:val="135"/>
    <w:qFormat/>
    <w:uiPriority w:val="99"/>
    <w:pPr>
      <w:spacing w:after="440"/>
    </w:pPr>
    <w:rPr>
      <w:rFonts w:cs="Times New Roman"/>
      <w:color w:val="auto"/>
    </w:rPr>
  </w:style>
  <w:style w:type="paragraph" w:customStyle="1" w:styleId="138">
    <w:name w:val="CM32"/>
    <w:basedOn w:val="135"/>
    <w:next w:val="135"/>
    <w:qFormat/>
    <w:uiPriority w:val="99"/>
    <w:pPr>
      <w:spacing w:after="190"/>
    </w:pPr>
    <w:rPr>
      <w:rFonts w:cs="Times New Roman"/>
      <w:color w:val="auto"/>
    </w:rPr>
  </w:style>
  <w:style w:type="paragraph" w:customStyle="1" w:styleId="139">
    <w:name w:val="CM1"/>
    <w:basedOn w:val="135"/>
    <w:next w:val="135"/>
    <w:qFormat/>
    <w:uiPriority w:val="99"/>
    <w:rPr>
      <w:rFonts w:cs="Times New Roman"/>
      <w:color w:val="auto"/>
    </w:rPr>
  </w:style>
  <w:style w:type="paragraph" w:customStyle="1" w:styleId="140">
    <w:name w:val="CM31"/>
    <w:basedOn w:val="135"/>
    <w:next w:val="135"/>
    <w:qFormat/>
    <w:uiPriority w:val="99"/>
    <w:pPr>
      <w:spacing w:after="330"/>
    </w:pPr>
    <w:rPr>
      <w:rFonts w:cs="Times New Roman"/>
      <w:color w:val="auto"/>
    </w:rPr>
  </w:style>
  <w:style w:type="paragraph" w:customStyle="1" w:styleId="141">
    <w:name w:val="CM38"/>
    <w:basedOn w:val="135"/>
    <w:next w:val="135"/>
    <w:qFormat/>
    <w:uiPriority w:val="99"/>
    <w:pPr>
      <w:spacing w:after="82"/>
    </w:pPr>
    <w:rPr>
      <w:rFonts w:cs="Times New Roman"/>
      <w:color w:val="auto"/>
    </w:rPr>
  </w:style>
  <w:style w:type="paragraph" w:customStyle="1" w:styleId="142">
    <w:name w:val="CM33"/>
    <w:basedOn w:val="135"/>
    <w:next w:val="135"/>
    <w:qFormat/>
    <w:uiPriority w:val="99"/>
    <w:pPr>
      <w:spacing w:after="130"/>
    </w:pPr>
    <w:rPr>
      <w:rFonts w:cs="Times New Roman"/>
      <w:color w:val="auto"/>
    </w:rPr>
  </w:style>
  <w:style w:type="paragraph" w:customStyle="1" w:styleId="143">
    <w:name w:val="CM19"/>
    <w:basedOn w:val="135"/>
    <w:next w:val="135"/>
    <w:qFormat/>
    <w:uiPriority w:val="99"/>
    <w:rPr>
      <w:rFonts w:cs="Times New Roman"/>
      <w:color w:val="auto"/>
    </w:rPr>
  </w:style>
  <w:style w:type="paragraph" w:customStyle="1" w:styleId="144">
    <w:name w:val="CM40"/>
    <w:basedOn w:val="135"/>
    <w:next w:val="135"/>
    <w:qFormat/>
    <w:uiPriority w:val="99"/>
    <w:pPr>
      <w:spacing w:after="73"/>
    </w:pPr>
    <w:rPr>
      <w:rFonts w:cs="Times New Roman"/>
      <w:color w:val="auto"/>
    </w:rPr>
  </w:style>
  <w:style w:type="paragraph" w:customStyle="1" w:styleId="145">
    <w:name w:val="3表格标题"/>
    <w:basedOn w:val="1"/>
    <w:link w:val="146"/>
    <w:qFormat/>
    <w:uiPriority w:val="0"/>
    <w:pPr>
      <w:widowControl/>
      <w:numPr>
        <w:ilvl w:val="0"/>
        <w:numId w:val="3"/>
      </w:numPr>
      <w:outlineLvl w:val="4"/>
    </w:pPr>
    <w:rPr>
      <w:rFonts w:ascii="Times New Roman" w:hAnsi="Times New Roman" w:eastAsia="华文仿宋" w:cs="Times New Roman"/>
      <w:szCs w:val="21"/>
    </w:rPr>
  </w:style>
  <w:style w:type="character" w:customStyle="1" w:styleId="146">
    <w:name w:val="3表格标题 字符"/>
    <w:link w:val="145"/>
    <w:qFormat/>
    <w:uiPriority w:val="0"/>
    <w:rPr>
      <w:rFonts w:ascii="Times New Roman" w:hAnsi="Times New Roman" w:eastAsia="华文仿宋" w:cs="Times New Roman"/>
      <w:szCs w:val="21"/>
    </w:rPr>
  </w:style>
  <w:style w:type="paragraph" w:customStyle="1" w:styleId="147">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8">
    <w:name w:val="4表格标题"/>
    <w:next w:val="101"/>
    <w:link w:val="149"/>
    <w:qFormat/>
    <w:uiPriority w:val="0"/>
    <w:pPr>
      <w:numPr>
        <w:ilvl w:val="0"/>
        <w:numId w:val="4"/>
      </w:numPr>
      <w:outlineLvl w:val="4"/>
    </w:pPr>
    <w:rPr>
      <w:rFonts w:ascii="Times New Roman" w:hAnsi="Times New Roman" w:eastAsia="华文仿宋" w:cs="Times New Roman"/>
      <w:kern w:val="2"/>
      <w:sz w:val="21"/>
      <w:szCs w:val="21"/>
      <w:lang w:val="en-US" w:eastAsia="zh-CN" w:bidi="ar-SA"/>
    </w:rPr>
  </w:style>
  <w:style w:type="character" w:customStyle="1" w:styleId="149">
    <w:name w:val="4表格标题 字符"/>
    <w:link w:val="148"/>
    <w:qFormat/>
    <w:uiPriority w:val="0"/>
    <w:rPr>
      <w:rFonts w:ascii="Times New Roman" w:hAnsi="Times New Roman" w:eastAsia="华文仿宋" w:cs="Times New Roman"/>
      <w:szCs w:val="21"/>
    </w:rPr>
  </w:style>
  <w:style w:type="table" w:customStyle="1" w:styleId="150">
    <w:name w:val="TableGrid"/>
    <w:qFormat/>
    <w:uiPriority w:val="0"/>
    <w:rPr>
      <w:rFonts w:ascii="等线" w:hAnsi="等线" w:eastAsia="等线"/>
    </w:rPr>
    <w:tblPr>
      <w:tblCellMar>
        <w:top w:w="0" w:type="dxa"/>
        <w:left w:w="0" w:type="dxa"/>
        <w:bottom w:w="0" w:type="dxa"/>
        <w:right w:w="0" w:type="dxa"/>
      </w:tblCellMar>
    </w:tblPr>
  </w:style>
  <w:style w:type="paragraph" w:customStyle="1" w:styleId="151">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52">
    <w:name w:val="font6"/>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153">
    <w:name w:val="font7"/>
    <w:basedOn w:val="1"/>
    <w:qFormat/>
    <w:uiPriority w:val="0"/>
    <w:pPr>
      <w:widowControl/>
      <w:spacing w:before="100" w:beforeAutospacing="1" w:after="100" w:afterAutospacing="1"/>
      <w:jc w:val="left"/>
    </w:pPr>
    <w:rPr>
      <w:rFonts w:ascii="宋体" w:hAnsi="宋体" w:eastAsia="宋体" w:cs="宋体"/>
      <w:b/>
      <w:bCs/>
      <w:color w:val="000000"/>
      <w:kern w:val="0"/>
      <w:sz w:val="18"/>
      <w:szCs w:val="18"/>
    </w:rPr>
  </w:style>
  <w:style w:type="paragraph" w:customStyle="1" w:styleId="154">
    <w:name w:val="xl64"/>
    <w:basedOn w:val="1"/>
    <w:qFormat/>
    <w:uiPriority w:val="0"/>
    <w:pPr>
      <w:widowControl/>
      <w:spacing w:before="100" w:beforeAutospacing="1" w:after="100" w:afterAutospacing="1"/>
      <w:jc w:val="center"/>
      <w:textAlignment w:val="center"/>
    </w:pPr>
    <w:rPr>
      <w:rFonts w:ascii="宋体" w:hAnsi="宋体" w:eastAsia="宋体" w:cs="宋体"/>
      <w:kern w:val="0"/>
      <w:sz w:val="18"/>
      <w:szCs w:val="18"/>
    </w:rPr>
  </w:style>
  <w:style w:type="paragraph" w:customStyle="1" w:styleId="15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15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15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8"/>
      <w:szCs w:val="18"/>
    </w:rPr>
  </w:style>
  <w:style w:type="paragraph" w:customStyle="1" w:styleId="15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15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16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16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16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table" w:customStyle="1" w:styleId="163">
    <w:name w:val="网格型1"/>
    <w:basedOn w:val="34"/>
    <w:qFormat/>
    <w:uiPriority w:val="0"/>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64">
    <w:name w:val="zhengwen"/>
    <w:basedOn w:val="1"/>
    <w:link w:val="165"/>
    <w:qFormat/>
    <w:uiPriority w:val="0"/>
    <w:pPr>
      <w:spacing w:line="360" w:lineRule="auto"/>
      <w:ind w:firstLine="200" w:firstLineChars="200"/>
    </w:pPr>
    <w:rPr>
      <w:rFonts w:ascii="Times New Roman" w:hAnsi="Times New Roman" w:eastAsia="宋体" w:cs="Times New Roman"/>
      <w:szCs w:val="24"/>
      <w:lang w:eastAsia="en-US"/>
    </w:rPr>
  </w:style>
  <w:style w:type="character" w:customStyle="1" w:styleId="165">
    <w:name w:val="zhengwen Char"/>
    <w:link w:val="164"/>
    <w:qFormat/>
    <w:uiPriority w:val="0"/>
    <w:rPr>
      <w:rFonts w:ascii="Times New Roman" w:hAnsi="Times New Roman" w:eastAsia="宋体" w:cs="Times New Roman"/>
      <w:szCs w:val="24"/>
      <w:lang w:eastAsia="en-US"/>
    </w:rPr>
  </w:style>
  <w:style w:type="paragraph" w:customStyle="1" w:styleId="166">
    <w:name w:val="表格 + (符号) 宋体 11 磅 段前: 0.5 行"/>
    <w:basedOn w:val="1"/>
    <w:qFormat/>
    <w:uiPriority w:val="0"/>
    <w:pPr>
      <w:jc w:val="center"/>
    </w:pPr>
    <w:rPr>
      <w:rFonts w:ascii="宋体" w:hAnsi="宋体" w:eastAsia="宋体" w:cs="宋体"/>
      <w:kern w:val="0"/>
      <w:sz w:val="18"/>
      <w:szCs w:val="20"/>
    </w:rPr>
  </w:style>
  <w:style w:type="paragraph" w:customStyle="1" w:styleId="167">
    <w:name w:val="0表格内容"/>
    <w:basedOn w:val="1"/>
    <w:link w:val="168"/>
    <w:qFormat/>
    <w:uiPriority w:val="0"/>
    <w:pPr>
      <w:widowControl/>
      <w:adjustRightInd w:val="0"/>
      <w:snapToGrid w:val="0"/>
      <w:spacing w:line="240" w:lineRule="exact"/>
      <w:jc w:val="center"/>
    </w:pPr>
    <w:rPr>
      <w:rFonts w:ascii="Times New Roman" w:hAnsi="Times New Roman" w:eastAsia="华文仿宋" w:cs="Times New Roman"/>
      <w:sz w:val="18"/>
      <w:szCs w:val="24"/>
    </w:rPr>
  </w:style>
  <w:style w:type="character" w:customStyle="1" w:styleId="168">
    <w:name w:val="0表格内容 Char"/>
    <w:link w:val="167"/>
    <w:qFormat/>
    <w:uiPriority w:val="0"/>
    <w:rPr>
      <w:rFonts w:ascii="Times New Roman" w:hAnsi="Times New Roman" w:eastAsia="华文仿宋" w:cs="Times New Roman"/>
      <w:sz w:val="18"/>
      <w:szCs w:val="24"/>
    </w:rPr>
  </w:style>
  <w:style w:type="paragraph" w:customStyle="1" w:styleId="169">
    <w:name w:val="表格格式"/>
    <w:link w:val="170"/>
    <w:qFormat/>
    <w:uiPriority w:val="0"/>
    <w:pPr>
      <w:jc w:val="center"/>
    </w:pPr>
    <w:rPr>
      <w:rFonts w:ascii="Calibri" w:hAnsi="Calibri" w:eastAsia="宋体" w:cs="Times New Roman"/>
      <w:kern w:val="2"/>
      <w:sz w:val="18"/>
      <w:szCs w:val="24"/>
      <w:lang w:val="en-US" w:eastAsia="zh-CN" w:bidi="ar-SA"/>
    </w:rPr>
  </w:style>
  <w:style w:type="character" w:customStyle="1" w:styleId="170">
    <w:name w:val="表格格式 Char"/>
    <w:link w:val="169"/>
    <w:qFormat/>
    <w:uiPriority w:val="0"/>
    <w:rPr>
      <w:rFonts w:ascii="Calibri" w:hAnsi="Calibri" w:eastAsia="宋体" w:cs="Times New Roman"/>
      <w:sz w:val="18"/>
      <w:szCs w:val="24"/>
    </w:rPr>
  </w:style>
  <w:style w:type="paragraph" w:customStyle="1" w:styleId="171">
    <w:name w:val="2表格标题"/>
    <w:next w:val="1"/>
    <w:link w:val="172"/>
    <w:qFormat/>
    <w:uiPriority w:val="0"/>
    <w:pPr>
      <w:numPr>
        <w:ilvl w:val="0"/>
        <w:numId w:val="5"/>
      </w:numPr>
      <w:jc w:val="both"/>
      <w:outlineLvl w:val="4"/>
    </w:pPr>
    <w:rPr>
      <w:rFonts w:ascii="Times New Roman" w:hAnsi="Times New Roman" w:eastAsia="华文仿宋" w:cs="Times New Roman"/>
      <w:kern w:val="2"/>
      <w:sz w:val="21"/>
      <w:szCs w:val="21"/>
      <w:lang w:val="en-US" w:eastAsia="zh-CN" w:bidi="ar-SA"/>
    </w:rPr>
  </w:style>
  <w:style w:type="character" w:customStyle="1" w:styleId="172">
    <w:name w:val="2表格标题 字符"/>
    <w:link w:val="171"/>
    <w:qFormat/>
    <w:uiPriority w:val="0"/>
    <w:rPr>
      <w:rFonts w:ascii="Times New Roman" w:hAnsi="Times New Roman" w:eastAsia="华文仿宋" w:cs="Times New Roman"/>
      <w:szCs w:val="21"/>
    </w:rPr>
  </w:style>
  <w:style w:type="table" w:customStyle="1" w:styleId="173">
    <w:name w:val="Table Normal"/>
    <w:unhideWhenUsed/>
    <w:qFormat/>
    <w:uiPriority w:val="2"/>
    <w:pPr>
      <w:widowControl w:val="0"/>
    </w:pPr>
    <w:rPr>
      <w:rFonts w:ascii="等线" w:hAnsi="等线" w:eastAsia="等线"/>
      <w:sz w:val="22"/>
      <w:lang w:eastAsia="en-US"/>
    </w:rPr>
    <w:tblPr>
      <w:tblCellMar>
        <w:top w:w="0" w:type="dxa"/>
        <w:left w:w="0" w:type="dxa"/>
        <w:bottom w:w="0" w:type="dxa"/>
        <w:right w:w="0" w:type="dxa"/>
      </w:tblCellMar>
    </w:tblPr>
  </w:style>
  <w:style w:type="paragraph" w:customStyle="1" w:styleId="174">
    <w:name w:val="Table Paragraph"/>
    <w:basedOn w:val="1"/>
    <w:qFormat/>
    <w:uiPriority w:val="1"/>
    <w:pPr>
      <w:jc w:val="left"/>
    </w:pPr>
    <w:rPr>
      <w:rFonts w:ascii="等线" w:hAnsi="等线" w:eastAsia="等线" w:cs="Times New Roman"/>
      <w:kern w:val="0"/>
      <w:sz w:val="22"/>
      <w:lang w:eastAsia="en-US"/>
    </w:rPr>
  </w:style>
  <w:style w:type="paragraph" w:customStyle="1" w:styleId="175">
    <w:name w:val="ENT-表格"/>
    <w:next w:val="1"/>
    <w:qFormat/>
    <w:uiPriority w:val="0"/>
    <w:pPr>
      <w:jc w:val="center"/>
    </w:pPr>
    <w:rPr>
      <w:rFonts w:ascii="Times New Roman" w:hAnsi="Times New Roman" w:eastAsia="宋体" w:cs="Times New Roman"/>
      <w:sz w:val="21"/>
      <w:szCs w:val="28"/>
      <w:lang w:val="en-US" w:eastAsia="zh-CN" w:bidi="ar-SA"/>
    </w:rPr>
  </w:style>
  <w:style w:type="character" w:customStyle="1" w:styleId="176">
    <w:name w:val="fontstyle01"/>
    <w:qFormat/>
    <w:uiPriority w:val="0"/>
    <w:rPr>
      <w:rFonts w:hint="eastAsia" w:ascii="宋体" w:hAnsi="宋体" w:eastAsia="宋体"/>
      <w:color w:val="000000"/>
      <w:sz w:val="24"/>
      <w:szCs w:val="24"/>
    </w:rPr>
  </w:style>
  <w:style w:type="paragraph" w:customStyle="1" w:styleId="177">
    <w:name w:val="1"/>
    <w:basedOn w:val="1"/>
    <w:next w:val="1"/>
    <w:link w:val="178"/>
    <w:unhideWhenUsed/>
    <w:qFormat/>
    <w:uiPriority w:val="34"/>
    <w:pPr>
      <w:widowControl/>
      <w:adjustRightInd w:val="0"/>
      <w:snapToGrid w:val="0"/>
      <w:ind w:left="1680"/>
      <w:jc w:val="left"/>
      <w:outlineLvl w:val="4"/>
    </w:pPr>
    <w:rPr>
      <w:rFonts w:ascii="Calibri" w:hAnsi="Calibri" w:eastAsia="宋体" w:cs="Times New Roman"/>
      <w:sz w:val="20"/>
      <w:szCs w:val="20"/>
    </w:rPr>
  </w:style>
  <w:style w:type="character" w:customStyle="1" w:styleId="178">
    <w:name w:val="列出段落 Char"/>
    <w:link w:val="177"/>
    <w:qFormat/>
    <w:uiPriority w:val="34"/>
    <w:rPr>
      <w:rFonts w:ascii="Calibri" w:hAnsi="Calibri" w:eastAsia="宋体" w:cs="Times New Roman"/>
      <w:sz w:val="20"/>
      <w:szCs w:val="20"/>
    </w:rPr>
  </w:style>
  <w:style w:type="paragraph" w:customStyle="1" w:styleId="179">
    <w:name w:val="0-表格内容"/>
    <w:basedOn w:val="1"/>
    <w:qFormat/>
    <w:uiPriority w:val="0"/>
    <w:pPr>
      <w:jc w:val="center"/>
    </w:pPr>
    <w:rPr>
      <w:rFonts w:ascii="Times New Roman" w:hAnsi="Times New Roman" w:eastAsia="华文仿宋"/>
      <w:sz w:val="18"/>
      <w:szCs w:val="21"/>
    </w:rPr>
  </w:style>
  <w:style w:type="character" w:customStyle="1" w:styleId="180">
    <w:name w:val="表格标题 Char"/>
    <w:qFormat/>
    <w:uiPriority w:val="0"/>
    <w:rPr>
      <w:rFonts w:eastAsia="华文仿宋"/>
      <w:kern w:val="2"/>
      <w:sz w:val="21"/>
      <w:szCs w:val="28"/>
    </w:rPr>
  </w:style>
  <w:style w:type="paragraph" w:customStyle="1" w:styleId="181">
    <w:name w:val="图1-1"/>
    <w:basedOn w:val="71"/>
    <w:qFormat/>
    <w:uiPriority w:val="0"/>
    <w:pPr>
      <w:numPr>
        <w:ilvl w:val="0"/>
        <w:numId w:val="0"/>
      </w:numPr>
      <w:adjustRightInd w:val="0"/>
      <w:snapToGrid w:val="0"/>
      <w:jc w:val="center"/>
      <w:outlineLvl w:val="5"/>
    </w:pPr>
    <w:rPr>
      <w:rFonts w:ascii="Times New Roman" w:hAnsi="Times New Roman" w:cs="Times New Roman"/>
      <w:szCs w:val="28"/>
    </w:rPr>
  </w:style>
  <w:style w:type="character" w:customStyle="1" w:styleId="182">
    <w:name w:val="未处理的提及1"/>
    <w:basedOn w:val="39"/>
    <w:unhideWhenUsed/>
    <w:qFormat/>
    <w:uiPriority w:val="99"/>
    <w:rPr>
      <w:color w:val="605E5C"/>
      <w:shd w:val="clear" w:color="auto" w:fill="E1DFDD"/>
    </w:rPr>
  </w:style>
  <w:style w:type="character" w:customStyle="1" w:styleId="183">
    <w:name w:val="占位符文本1"/>
    <w:basedOn w:val="39"/>
    <w:semiHidden/>
    <w:qFormat/>
    <w:uiPriority w:val="99"/>
    <w:rPr>
      <w:color w:val="808080"/>
    </w:rPr>
  </w:style>
  <w:style w:type="paragraph" w:customStyle="1" w:styleId="184">
    <w:name w:val="font1"/>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185">
    <w:name w:val="font8"/>
    <w:basedOn w:val="1"/>
    <w:qFormat/>
    <w:uiPriority w:val="0"/>
    <w:pPr>
      <w:widowControl/>
      <w:spacing w:before="100" w:beforeAutospacing="1" w:after="100" w:afterAutospacing="1"/>
      <w:jc w:val="left"/>
    </w:pPr>
    <w:rPr>
      <w:rFonts w:ascii="Times New Roman" w:hAnsi="Times New Roman" w:eastAsia="宋体" w:cs="Times New Roman"/>
      <w:color w:val="000000"/>
      <w:kern w:val="0"/>
      <w:sz w:val="18"/>
      <w:szCs w:val="18"/>
    </w:rPr>
  </w:style>
  <w:style w:type="paragraph" w:customStyle="1" w:styleId="186">
    <w:name w:val="font9"/>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187">
    <w:name w:val="font10"/>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188">
    <w:name w:val="font11"/>
    <w:basedOn w:val="1"/>
    <w:qFormat/>
    <w:uiPriority w:val="0"/>
    <w:pPr>
      <w:widowControl/>
      <w:spacing w:before="100" w:beforeAutospacing="1" w:after="100" w:afterAutospacing="1"/>
      <w:jc w:val="left"/>
    </w:pPr>
    <w:rPr>
      <w:rFonts w:ascii="宋体" w:hAnsi="宋体" w:eastAsia="宋体" w:cs="宋体"/>
      <w:b/>
      <w:bCs/>
      <w:color w:val="000000"/>
      <w:kern w:val="0"/>
      <w:sz w:val="18"/>
      <w:szCs w:val="18"/>
    </w:rPr>
  </w:style>
  <w:style w:type="paragraph" w:customStyle="1" w:styleId="189">
    <w:name w:val="font12"/>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19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18"/>
      <w:szCs w:val="18"/>
    </w:rPr>
  </w:style>
  <w:style w:type="paragraph" w:customStyle="1" w:styleId="19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18"/>
      <w:szCs w:val="18"/>
    </w:rPr>
  </w:style>
  <w:style w:type="table" w:customStyle="1" w:styleId="192">
    <w:name w:val="无格式表格 41"/>
    <w:basedOn w:val="34"/>
    <w:qFormat/>
    <w:uiPriority w:val="44"/>
    <w:rPr>
      <w:rFonts w:ascii="等线" w:hAnsi="等线" w:eastAsia="等线"/>
    </w:r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93">
    <w:name w:val="自1"/>
    <w:basedOn w:val="1"/>
    <w:qFormat/>
    <w:uiPriority w:val="0"/>
    <w:pPr>
      <w:ind w:left="850" w:hanging="425"/>
    </w:pPr>
    <w:rPr>
      <w:rFonts w:ascii="Calibri" w:hAnsi="Calibri" w:eastAsia="宋体" w:cs="Times New Roman"/>
      <w:kern w:val="0"/>
      <w:szCs w:val="24"/>
    </w:rPr>
  </w:style>
  <w:style w:type="table" w:customStyle="1" w:styleId="194">
    <w:name w:val="无格式表格 42"/>
    <w:basedOn w:val="34"/>
    <w:qFormat/>
    <w:uiPriority w:val="44"/>
    <w:rPr>
      <w:rFonts w:ascii="等线" w:hAnsi="等线" w:eastAsia="等线"/>
    </w:r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9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eastAsia="宋体" w:cs="宋体"/>
      <w:kern w:val="0"/>
      <w:sz w:val="24"/>
      <w:szCs w:val="24"/>
    </w:rPr>
  </w:style>
  <w:style w:type="paragraph" w:customStyle="1" w:styleId="196">
    <w:name w:val="自定义-标题6"/>
    <w:next w:val="1"/>
    <w:qFormat/>
    <w:uiPriority w:val="0"/>
    <w:pPr>
      <w:spacing w:line="560" w:lineRule="exact"/>
      <w:ind w:firstLine="300" w:firstLineChars="300"/>
      <w:outlineLvl w:val="5"/>
    </w:pPr>
    <w:rPr>
      <w:rFonts w:ascii="方正仿宋_GBK" w:hAnsi="Calibri" w:eastAsia="方正仿宋_GBK" w:cs="Times New Roman"/>
      <w:kern w:val="2"/>
      <w:sz w:val="30"/>
      <w:lang w:val="en-US" w:eastAsia="zh-CN" w:bidi="ar-SA"/>
    </w:rPr>
  </w:style>
  <w:style w:type="table" w:customStyle="1" w:styleId="197">
    <w:name w:val="网格型2"/>
    <w:basedOn w:val="34"/>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98">
    <w:name w:val="List Paragraph"/>
    <w:basedOn w:val="1"/>
    <w:qFormat/>
    <w:uiPriority w:val="34"/>
    <w:pPr>
      <w:ind w:firstLine="420" w:firstLineChars="200"/>
    </w:pPr>
  </w:style>
  <w:style w:type="character" w:customStyle="1" w:styleId="199">
    <w:name w:val="标题 4 Char"/>
    <w:basedOn w:val="39"/>
    <w:qFormat/>
    <w:uiPriority w:val="9"/>
    <w:rPr>
      <w:rFonts w:asciiTheme="majorHAnsi" w:hAnsiTheme="majorHAnsi" w:eastAsiaTheme="majorEastAsia" w:cstheme="majorBidi"/>
      <w:b/>
      <w:bCs/>
      <w:kern w:val="2"/>
      <w:sz w:val="28"/>
      <w:szCs w:val="28"/>
    </w:rPr>
  </w:style>
  <w:style w:type="character" w:customStyle="1" w:styleId="200">
    <w:name w:val="文档结构图 Char"/>
    <w:basedOn w:val="39"/>
    <w:semiHidden/>
    <w:qFormat/>
    <w:uiPriority w:val="99"/>
    <w:rPr>
      <w:rFonts w:ascii="Microsoft YaHei UI" w:eastAsia="Microsoft YaHei UI" w:hAnsiTheme="minorHAnsi" w:cstheme="minorBidi"/>
      <w:kern w:val="2"/>
      <w:sz w:val="18"/>
      <w:szCs w:val="18"/>
    </w:rPr>
  </w:style>
  <w:style w:type="character" w:customStyle="1" w:styleId="201">
    <w:name w:val="正文文本缩进 Char"/>
    <w:basedOn w:val="39"/>
    <w:qFormat/>
    <w:uiPriority w:val="0"/>
    <w:rPr>
      <w:rFonts w:asciiTheme="minorHAnsi" w:hAnsiTheme="minorHAnsi" w:eastAsiaTheme="minorEastAsia" w:cstheme="minorBidi"/>
      <w:kern w:val="2"/>
      <w:sz w:val="21"/>
      <w:szCs w:val="22"/>
    </w:rPr>
  </w:style>
  <w:style w:type="character" w:customStyle="1" w:styleId="202">
    <w:name w:val="脚注文本 Char"/>
    <w:basedOn w:val="39"/>
    <w:semiHidden/>
    <w:qFormat/>
    <w:uiPriority w:val="99"/>
    <w:rPr>
      <w:rFonts w:asciiTheme="minorHAnsi" w:hAnsiTheme="minorHAnsi" w:eastAsiaTheme="minorEastAsia" w:cstheme="minorBidi"/>
      <w:kern w:val="2"/>
      <w:sz w:val="18"/>
      <w:szCs w:val="18"/>
    </w:rPr>
  </w:style>
  <w:style w:type="table" w:customStyle="1" w:styleId="203">
    <w:name w:val="网格型3"/>
    <w:basedOn w:val="34"/>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04">
    <w:name w:val="标题 2 Char1"/>
    <w:qFormat/>
    <w:uiPriority w:val="9"/>
    <w:rPr>
      <w:rFonts w:ascii="Cambria" w:hAnsi="Cambria" w:eastAsia="黑体" w:cs="Times New Roman"/>
      <w:b/>
      <w:bCs/>
      <w:sz w:val="32"/>
      <w:szCs w:val="32"/>
    </w:rPr>
  </w:style>
  <w:style w:type="character" w:customStyle="1" w:styleId="205">
    <w:name w:val="批注框文本 Char1"/>
    <w:semiHidden/>
    <w:qFormat/>
    <w:uiPriority w:val="99"/>
    <w:rPr>
      <w:rFonts w:eastAsia="仿宋_GB2312"/>
      <w:sz w:val="18"/>
      <w:szCs w:val="18"/>
    </w:rPr>
  </w:style>
  <w:style w:type="character" w:customStyle="1" w:styleId="206">
    <w:name w:val="标题 3 Char1"/>
    <w:qFormat/>
    <w:uiPriority w:val="99"/>
    <w:rPr>
      <w:rFonts w:eastAsia="仿宋_GB2312"/>
      <w:b/>
      <w:bCs/>
      <w:sz w:val="28"/>
      <w:szCs w:val="32"/>
    </w:rPr>
  </w:style>
  <w:style w:type="paragraph" w:customStyle="1" w:styleId="207">
    <w:name w:val="目录 21"/>
    <w:basedOn w:val="1"/>
    <w:next w:val="1"/>
    <w:unhideWhenUsed/>
    <w:qFormat/>
    <w:uiPriority w:val="39"/>
    <w:pPr>
      <w:tabs>
        <w:tab w:val="right" w:leader="dot" w:pos="9230"/>
      </w:tabs>
      <w:spacing w:line="360" w:lineRule="auto"/>
      <w:ind w:left="280" w:firstLine="420" w:firstLineChars="200"/>
      <w:jc w:val="left"/>
    </w:pPr>
    <w:rPr>
      <w:rFonts w:ascii="Calibri" w:hAnsi="Calibri" w:eastAsia="仿宋_GB2312" w:cs="Calibri"/>
      <w:smallCaps/>
      <w:szCs w:val="20"/>
    </w:rPr>
  </w:style>
  <w:style w:type="paragraph" w:customStyle="1" w:styleId="208">
    <w:name w:val="目录 31"/>
    <w:basedOn w:val="1"/>
    <w:next w:val="1"/>
    <w:unhideWhenUsed/>
    <w:qFormat/>
    <w:uiPriority w:val="39"/>
    <w:pPr>
      <w:spacing w:line="360" w:lineRule="auto"/>
      <w:ind w:left="560" w:firstLine="200" w:firstLineChars="200"/>
      <w:jc w:val="left"/>
    </w:pPr>
    <w:rPr>
      <w:rFonts w:ascii="Calibri" w:hAnsi="Calibri" w:eastAsia="仿宋_GB2312" w:cs="Calibri"/>
      <w:i/>
      <w:iCs/>
      <w:sz w:val="20"/>
      <w:szCs w:val="20"/>
    </w:rPr>
  </w:style>
  <w:style w:type="paragraph" w:customStyle="1" w:styleId="209">
    <w:name w:val="Char"/>
    <w:basedOn w:val="12"/>
    <w:qFormat/>
    <w:uiPriority w:val="0"/>
    <w:pPr>
      <w:widowControl/>
      <w:shd w:val="clear" w:color="auto" w:fill="000080"/>
      <w:spacing w:line="240" w:lineRule="auto"/>
      <w:ind w:firstLine="0" w:firstLineChars="0"/>
    </w:pPr>
    <w:rPr>
      <w:rFonts w:ascii="Tahoma" w:hAnsi="Tahoma"/>
      <w:sz w:val="24"/>
      <w:szCs w:val="24"/>
    </w:rPr>
  </w:style>
  <w:style w:type="paragraph" w:styleId="210">
    <w:name w:val="No Spacing"/>
    <w:qFormat/>
    <w:uiPriority w:val="1"/>
    <w:pPr>
      <w:widowControl w:val="0"/>
      <w:ind w:firstLine="200" w:firstLineChars="200"/>
      <w:jc w:val="both"/>
    </w:pPr>
    <w:rPr>
      <w:rFonts w:ascii="Calibri" w:hAnsi="Calibri" w:eastAsia="仿宋_GB2312" w:cs="Times New Roman"/>
      <w:kern w:val="2"/>
      <w:sz w:val="28"/>
      <w:szCs w:val="22"/>
      <w:lang w:val="en-US" w:eastAsia="zh-CN" w:bidi="ar-SA"/>
    </w:rPr>
  </w:style>
  <w:style w:type="character" w:customStyle="1" w:styleId="211">
    <w:name w:val="正文缩进 Char1"/>
    <w:semiHidden/>
    <w:qFormat/>
    <w:uiPriority w:val="0"/>
    <w:rPr>
      <w:rFonts w:ascii="宋体" w:hAnsi="宋体" w:eastAsia="仿宋_GB2312"/>
      <w:sz w:val="24"/>
      <w:szCs w:val="24"/>
    </w:rPr>
  </w:style>
  <w:style w:type="paragraph" w:customStyle="1" w:styleId="212">
    <w:name w:val="t2"/>
    <w:basedOn w:val="1"/>
    <w:link w:val="213"/>
    <w:qFormat/>
    <w:uiPriority w:val="0"/>
    <w:pPr>
      <w:ind w:firstLine="420" w:firstLineChars="200"/>
      <w:jc w:val="center"/>
    </w:pPr>
    <w:rPr>
      <w:rFonts w:ascii="黑体" w:hAnsi="宋体" w:eastAsia="黑体" w:cs="Times New Roman"/>
      <w:kern w:val="0"/>
      <w:szCs w:val="21"/>
      <w:lang w:val="zh-CN"/>
    </w:rPr>
  </w:style>
  <w:style w:type="character" w:customStyle="1" w:styleId="213">
    <w:name w:val="t2 Char"/>
    <w:link w:val="212"/>
    <w:qFormat/>
    <w:uiPriority w:val="0"/>
    <w:rPr>
      <w:rFonts w:ascii="黑体" w:hAnsi="宋体" w:eastAsia="黑体"/>
      <w:sz w:val="21"/>
      <w:szCs w:val="21"/>
      <w:lang w:val="zh-CN"/>
    </w:rPr>
  </w:style>
  <w:style w:type="paragraph" w:customStyle="1" w:styleId="214">
    <w:name w:val="表头"/>
    <w:basedOn w:val="1"/>
    <w:qFormat/>
    <w:uiPriority w:val="0"/>
    <w:pPr>
      <w:spacing w:line="360" w:lineRule="auto"/>
      <w:ind w:firstLine="473" w:firstLineChars="225"/>
      <w:jc w:val="center"/>
    </w:pPr>
    <w:rPr>
      <w:rFonts w:ascii="黑体" w:hAnsi="Times New Roman" w:eastAsia="黑体" w:cs="Times New Roman"/>
      <w:szCs w:val="21"/>
    </w:rPr>
  </w:style>
  <w:style w:type="character" w:customStyle="1" w:styleId="215">
    <w:name w:val="标题 1 Char1"/>
    <w:qFormat/>
    <w:uiPriority w:val="9"/>
    <w:rPr>
      <w:rFonts w:eastAsia="黑体"/>
      <w:b/>
      <w:bCs/>
      <w:kern w:val="44"/>
      <w:sz w:val="32"/>
      <w:szCs w:val="44"/>
      <w:lang w:val="zh-CN" w:eastAsia="zh-CN"/>
    </w:rPr>
  </w:style>
  <w:style w:type="paragraph" w:customStyle="1" w:styleId="216">
    <w:name w:val="tu"/>
    <w:basedOn w:val="1"/>
    <w:link w:val="217"/>
    <w:qFormat/>
    <w:uiPriority w:val="99"/>
    <w:pPr>
      <w:widowControl/>
      <w:spacing w:before="120" w:after="120" w:line="360" w:lineRule="auto"/>
      <w:ind w:left="425" w:right="-147" w:rightChars="-70" w:hanging="425"/>
      <w:jc w:val="center"/>
    </w:pPr>
    <w:rPr>
      <w:rFonts w:ascii="Times New Roman" w:hAnsi="Times New Roman" w:eastAsia="仿宋_GB2312" w:cs="Times New Roman"/>
      <w:kern w:val="0"/>
      <w:sz w:val="24"/>
      <w:szCs w:val="32"/>
      <w:lang w:val="zh-CN"/>
    </w:rPr>
  </w:style>
  <w:style w:type="character" w:customStyle="1" w:styleId="217">
    <w:name w:val="tu Char"/>
    <w:link w:val="216"/>
    <w:qFormat/>
    <w:uiPriority w:val="99"/>
    <w:rPr>
      <w:rFonts w:eastAsia="仿宋_GB2312"/>
      <w:sz w:val="24"/>
      <w:szCs w:val="32"/>
      <w:lang w:val="zh-CN"/>
    </w:rPr>
  </w:style>
  <w:style w:type="paragraph" w:customStyle="1" w:styleId="218">
    <w:name w:val="正文1"/>
    <w:basedOn w:val="1"/>
    <w:link w:val="219"/>
    <w:qFormat/>
    <w:uiPriority w:val="0"/>
    <w:pPr>
      <w:spacing w:line="400" w:lineRule="exact"/>
      <w:ind w:firstLine="200" w:firstLineChars="200"/>
    </w:pPr>
    <w:rPr>
      <w:rFonts w:ascii="Times New Roman" w:hAnsi="Times New Roman" w:eastAsia="楷体_GB2312" w:cs="Times New Roman"/>
      <w:sz w:val="24"/>
      <w:szCs w:val="24"/>
      <w:lang w:val="zh-CN"/>
    </w:rPr>
  </w:style>
  <w:style w:type="character" w:customStyle="1" w:styleId="219">
    <w:name w:val="正文1 Char"/>
    <w:link w:val="218"/>
    <w:qFormat/>
    <w:uiPriority w:val="0"/>
    <w:rPr>
      <w:rFonts w:eastAsia="楷体_GB2312"/>
      <w:kern w:val="2"/>
      <w:sz w:val="24"/>
      <w:szCs w:val="24"/>
      <w:lang w:val="zh-CN"/>
    </w:rPr>
  </w:style>
  <w:style w:type="paragraph" w:customStyle="1" w:styleId="220">
    <w:name w:val="样式 段落正文 + 首行缩进:  2 字符"/>
    <w:basedOn w:val="1"/>
    <w:qFormat/>
    <w:uiPriority w:val="0"/>
    <w:pPr>
      <w:spacing w:line="360" w:lineRule="auto"/>
    </w:pPr>
    <w:rPr>
      <w:rFonts w:ascii="Times New Roman" w:hAnsi="Times New Roman" w:eastAsia="仿宋_GB2312" w:cs="宋体"/>
      <w:sz w:val="28"/>
      <w:szCs w:val="20"/>
    </w:rPr>
  </w:style>
  <w:style w:type="paragraph" w:customStyle="1" w:styleId="221">
    <w:name w:val="图例"/>
    <w:basedOn w:val="1"/>
    <w:link w:val="222"/>
    <w:qFormat/>
    <w:uiPriority w:val="0"/>
    <w:pPr>
      <w:spacing w:before="60" w:after="60"/>
      <w:jc w:val="center"/>
    </w:pPr>
    <w:rPr>
      <w:rFonts w:ascii="仿宋_GB2312" w:hAnsi="Calibri" w:eastAsia="仿宋" w:cs="Times New Roman"/>
      <w:sz w:val="24"/>
      <w:szCs w:val="21"/>
      <w:lang w:val="zh-CN"/>
    </w:rPr>
  </w:style>
  <w:style w:type="character" w:customStyle="1" w:styleId="222">
    <w:name w:val="图例 Char"/>
    <w:link w:val="221"/>
    <w:qFormat/>
    <w:uiPriority w:val="0"/>
    <w:rPr>
      <w:rFonts w:ascii="仿宋_GB2312" w:hAnsi="Calibri" w:eastAsia="仿宋"/>
      <w:kern w:val="2"/>
      <w:sz w:val="24"/>
      <w:szCs w:val="21"/>
      <w:lang w:val="zh-CN"/>
    </w:rPr>
  </w:style>
  <w:style w:type="paragraph" w:customStyle="1" w:styleId="223">
    <w:name w:val="样式1"/>
    <w:basedOn w:val="218"/>
    <w:link w:val="224"/>
    <w:qFormat/>
    <w:uiPriority w:val="0"/>
    <w:pPr>
      <w:spacing w:line="480" w:lineRule="exact"/>
    </w:pPr>
    <w:rPr>
      <w:rFonts w:eastAsia="仿宋"/>
      <w:sz w:val="28"/>
    </w:rPr>
  </w:style>
  <w:style w:type="character" w:customStyle="1" w:styleId="224">
    <w:name w:val="样式1 Char"/>
    <w:link w:val="223"/>
    <w:qFormat/>
    <w:uiPriority w:val="0"/>
    <w:rPr>
      <w:rFonts w:eastAsia="仿宋"/>
      <w:kern w:val="2"/>
      <w:sz w:val="28"/>
      <w:szCs w:val="24"/>
      <w:lang w:val="zh-CN"/>
    </w:rPr>
  </w:style>
  <w:style w:type="table" w:customStyle="1" w:styleId="225">
    <w:name w:val="网格型31"/>
    <w:basedOn w:val="34"/>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26">
    <w:name w:val="img_descr"/>
    <w:qFormat/>
    <w:uiPriority w:val="0"/>
  </w:style>
  <w:style w:type="paragraph" w:customStyle="1" w:styleId="227">
    <w:name w:val="目录 11"/>
    <w:basedOn w:val="1"/>
    <w:next w:val="1"/>
    <w:unhideWhenUsed/>
    <w:qFormat/>
    <w:uiPriority w:val="39"/>
    <w:pPr>
      <w:tabs>
        <w:tab w:val="right" w:leader="dot" w:pos="9230"/>
      </w:tabs>
      <w:spacing w:line="360" w:lineRule="auto"/>
      <w:jc w:val="left"/>
    </w:pPr>
    <w:rPr>
      <w:rFonts w:ascii="黑体" w:hAnsi="Calibri" w:eastAsia="黑体" w:cs="Calibri"/>
      <w:b/>
      <w:bCs/>
      <w:caps/>
      <w:kern w:val="44"/>
      <w:sz w:val="28"/>
      <w:szCs w:val="20"/>
    </w:rPr>
  </w:style>
  <w:style w:type="paragraph" w:customStyle="1" w:styleId="228">
    <w:name w:val="目录 41"/>
    <w:basedOn w:val="1"/>
    <w:next w:val="1"/>
    <w:unhideWhenUsed/>
    <w:qFormat/>
    <w:uiPriority w:val="39"/>
    <w:pPr>
      <w:spacing w:line="360" w:lineRule="auto"/>
      <w:ind w:left="840" w:firstLine="200" w:firstLineChars="200"/>
      <w:jc w:val="left"/>
    </w:pPr>
    <w:rPr>
      <w:rFonts w:ascii="Calibri" w:hAnsi="Calibri" w:eastAsia="仿宋_GB2312" w:cs="Calibri"/>
      <w:sz w:val="18"/>
      <w:szCs w:val="18"/>
    </w:rPr>
  </w:style>
  <w:style w:type="paragraph" w:customStyle="1" w:styleId="229">
    <w:name w:val="目录 51"/>
    <w:basedOn w:val="1"/>
    <w:next w:val="1"/>
    <w:unhideWhenUsed/>
    <w:qFormat/>
    <w:uiPriority w:val="39"/>
    <w:pPr>
      <w:spacing w:line="360" w:lineRule="auto"/>
      <w:ind w:left="1120" w:firstLine="200" w:firstLineChars="200"/>
      <w:jc w:val="left"/>
    </w:pPr>
    <w:rPr>
      <w:rFonts w:ascii="Calibri" w:hAnsi="Calibri" w:eastAsia="仿宋_GB2312" w:cs="Calibri"/>
      <w:sz w:val="18"/>
      <w:szCs w:val="18"/>
    </w:rPr>
  </w:style>
  <w:style w:type="paragraph" w:customStyle="1" w:styleId="230">
    <w:name w:val="目录 61"/>
    <w:basedOn w:val="1"/>
    <w:next w:val="1"/>
    <w:unhideWhenUsed/>
    <w:qFormat/>
    <w:uiPriority w:val="39"/>
    <w:pPr>
      <w:spacing w:line="360" w:lineRule="auto"/>
      <w:ind w:left="1400" w:firstLine="200" w:firstLineChars="200"/>
      <w:jc w:val="left"/>
    </w:pPr>
    <w:rPr>
      <w:rFonts w:ascii="Calibri" w:hAnsi="Calibri" w:eastAsia="仿宋_GB2312" w:cs="Calibri"/>
      <w:sz w:val="18"/>
      <w:szCs w:val="18"/>
    </w:rPr>
  </w:style>
  <w:style w:type="paragraph" w:customStyle="1" w:styleId="231">
    <w:name w:val="目录 71"/>
    <w:basedOn w:val="1"/>
    <w:next w:val="1"/>
    <w:unhideWhenUsed/>
    <w:qFormat/>
    <w:uiPriority w:val="39"/>
    <w:pPr>
      <w:spacing w:line="360" w:lineRule="auto"/>
      <w:ind w:left="1680" w:firstLine="200" w:firstLineChars="200"/>
      <w:jc w:val="left"/>
    </w:pPr>
    <w:rPr>
      <w:rFonts w:ascii="Calibri" w:hAnsi="Calibri" w:eastAsia="仿宋_GB2312" w:cs="Calibri"/>
      <w:sz w:val="18"/>
      <w:szCs w:val="18"/>
    </w:rPr>
  </w:style>
  <w:style w:type="paragraph" w:customStyle="1" w:styleId="232">
    <w:name w:val="目录 81"/>
    <w:basedOn w:val="1"/>
    <w:next w:val="1"/>
    <w:unhideWhenUsed/>
    <w:qFormat/>
    <w:uiPriority w:val="39"/>
    <w:pPr>
      <w:spacing w:line="360" w:lineRule="auto"/>
      <w:ind w:left="1960" w:firstLine="200" w:firstLineChars="200"/>
      <w:jc w:val="left"/>
    </w:pPr>
    <w:rPr>
      <w:rFonts w:ascii="Calibri" w:hAnsi="Calibri" w:eastAsia="仿宋_GB2312" w:cs="Calibri"/>
      <w:sz w:val="18"/>
      <w:szCs w:val="18"/>
    </w:rPr>
  </w:style>
  <w:style w:type="paragraph" w:customStyle="1" w:styleId="233">
    <w:name w:val="目录 91"/>
    <w:basedOn w:val="1"/>
    <w:next w:val="1"/>
    <w:unhideWhenUsed/>
    <w:qFormat/>
    <w:uiPriority w:val="39"/>
    <w:pPr>
      <w:spacing w:line="360" w:lineRule="auto"/>
      <w:ind w:left="2240" w:firstLine="200" w:firstLineChars="200"/>
      <w:jc w:val="left"/>
    </w:pPr>
    <w:rPr>
      <w:rFonts w:ascii="Calibri" w:hAnsi="Calibri" w:eastAsia="仿宋_GB2312" w:cs="Calibri"/>
      <w:sz w:val="18"/>
      <w:szCs w:val="18"/>
    </w:rPr>
  </w:style>
  <w:style w:type="paragraph" w:customStyle="1" w:styleId="234">
    <w:name w:val="Char1"/>
    <w:basedOn w:val="12"/>
    <w:qFormat/>
    <w:uiPriority w:val="99"/>
    <w:pPr>
      <w:widowControl/>
      <w:shd w:val="clear" w:color="auto" w:fill="000080"/>
      <w:spacing w:line="240" w:lineRule="auto"/>
      <w:ind w:firstLine="0" w:firstLineChars="0"/>
    </w:pPr>
    <w:rPr>
      <w:rFonts w:ascii="Tahoma" w:hAnsi="Tahoma"/>
      <w:sz w:val="24"/>
      <w:szCs w:val="24"/>
    </w:rPr>
  </w:style>
  <w:style w:type="paragraph" w:customStyle="1" w:styleId="235">
    <w:name w:val="正文1212"/>
    <w:basedOn w:val="1"/>
    <w:qFormat/>
    <w:uiPriority w:val="0"/>
    <w:pPr>
      <w:spacing w:line="360" w:lineRule="auto"/>
      <w:ind w:firstLine="200" w:firstLineChars="200"/>
    </w:pPr>
    <w:rPr>
      <w:rFonts w:ascii="仿宋_GB2312" w:hAnsi="Calibri" w:eastAsia="仿宋_GB2312" w:cs="Times New Roman"/>
      <w:bCs/>
      <w:sz w:val="24"/>
    </w:rPr>
  </w:style>
  <w:style w:type="paragraph" w:customStyle="1" w:styleId="236">
    <w:name w:val="样式 微软雅黑 左侧:  0.78 厘米 行距: 固定值 26 磅 首行缩进:  2.01 字符"/>
    <w:basedOn w:val="1"/>
    <w:qFormat/>
    <w:uiPriority w:val="0"/>
    <w:pPr>
      <w:spacing w:line="520" w:lineRule="exact"/>
      <w:ind w:firstLine="201" w:firstLineChars="201"/>
    </w:pPr>
    <w:rPr>
      <w:rFonts w:ascii="微软雅黑" w:hAnsi="微软雅黑" w:eastAsia="微软雅黑" w:cs="宋体"/>
      <w:sz w:val="24"/>
      <w:szCs w:val="20"/>
    </w:rPr>
  </w:style>
  <w:style w:type="paragraph" w:customStyle="1" w:styleId="237">
    <w:name w:val="xl26"/>
    <w:basedOn w:val="1"/>
    <w:qFormat/>
    <w:uiPriority w:val="0"/>
    <w:pPr>
      <w:widowControl/>
      <w:spacing w:before="100" w:beforeAutospacing="1" w:after="100" w:afterAutospacing="1"/>
      <w:jc w:val="center"/>
    </w:pPr>
    <w:rPr>
      <w:rFonts w:ascii="Arial Unicode MS" w:hAnsi="Arial Unicode MS" w:eastAsia="Arial Unicode MS" w:cs="Arial Unicode MS"/>
      <w:kern w:val="0"/>
      <w:sz w:val="24"/>
      <w:szCs w:val="24"/>
    </w:rPr>
  </w:style>
  <w:style w:type="character" w:customStyle="1" w:styleId="238">
    <w:name w:val="正文文本 Char1"/>
    <w:qFormat/>
    <w:uiPriority w:val="99"/>
    <w:rPr>
      <w:rFonts w:ascii="宋体" w:hAnsi="宋体" w:eastAsia="仿宋_GB2312"/>
      <w:sz w:val="24"/>
      <w:szCs w:val="24"/>
    </w:rPr>
  </w:style>
  <w:style w:type="paragraph" w:customStyle="1" w:styleId="239">
    <w:name w:val="表名样式"/>
    <w:basedOn w:val="1"/>
    <w:qFormat/>
    <w:uiPriority w:val="0"/>
    <w:pPr>
      <w:adjustRightInd w:val="0"/>
      <w:snapToGrid w:val="0"/>
      <w:spacing w:before="93" w:beforeLines="30"/>
      <w:jc w:val="center"/>
      <w:outlineLvl w:val="5"/>
    </w:pPr>
    <w:rPr>
      <w:rFonts w:ascii="Times New Roman" w:hAnsi="Times New Roman" w:eastAsia="黑体" w:cs="Times New Roman"/>
      <w:color w:val="548DD4"/>
      <w:szCs w:val="24"/>
    </w:rPr>
  </w:style>
  <w:style w:type="paragraph" w:customStyle="1" w:styleId="240">
    <w:name w:val="图表标题"/>
    <w:basedOn w:val="1"/>
    <w:qFormat/>
    <w:uiPriority w:val="0"/>
    <w:pPr>
      <w:spacing w:line="400" w:lineRule="exact"/>
      <w:jc w:val="center"/>
    </w:pPr>
    <w:rPr>
      <w:rFonts w:ascii="仿宋_GB2312" w:hAnsi="Matura MT Script Capitals" w:eastAsia="楷体_GB2312" w:cs="DFKaiShuW7-B5"/>
      <w:b/>
      <w:szCs w:val="32"/>
    </w:rPr>
  </w:style>
  <w:style w:type="paragraph" w:customStyle="1" w:styleId="241">
    <w:name w:val="zhang"/>
    <w:basedOn w:val="1"/>
    <w:link w:val="242"/>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242">
    <w:name w:val="zhang Char"/>
    <w:link w:val="241"/>
    <w:qFormat/>
    <w:uiPriority w:val="0"/>
    <w:rPr>
      <w:kern w:val="2"/>
      <w:sz w:val="24"/>
      <w:szCs w:val="24"/>
    </w:rPr>
  </w:style>
  <w:style w:type="character" w:customStyle="1" w:styleId="243">
    <w:name w:val="bjh-strong"/>
    <w:qFormat/>
    <w:uiPriority w:val="0"/>
  </w:style>
  <w:style w:type="character" w:customStyle="1" w:styleId="244">
    <w:name w:val="bjh-p"/>
    <w:qFormat/>
    <w:uiPriority w:val="0"/>
  </w:style>
  <w:style w:type="paragraph" w:customStyle="1" w:styleId="245">
    <w:name w:val="图2-1"/>
    <w:basedOn w:val="1"/>
    <w:link w:val="246"/>
    <w:qFormat/>
    <w:uiPriority w:val="0"/>
    <w:pPr>
      <w:numPr>
        <w:ilvl w:val="0"/>
        <w:numId w:val="6"/>
      </w:numPr>
      <w:spacing w:line="360" w:lineRule="auto"/>
      <w:jc w:val="center"/>
    </w:pPr>
    <w:rPr>
      <w:rFonts w:ascii="Times New Roman" w:hAnsi="Times New Roman" w:eastAsia="宋体" w:cs="Times New Roman"/>
      <w:b/>
      <w:szCs w:val="24"/>
    </w:rPr>
  </w:style>
  <w:style w:type="character" w:customStyle="1" w:styleId="246">
    <w:name w:val="图2-1 字符"/>
    <w:link w:val="245"/>
    <w:qFormat/>
    <w:uiPriority w:val="0"/>
    <w:rPr>
      <w:b/>
      <w:kern w:val="2"/>
      <w:sz w:val="21"/>
      <w:szCs w:val="24"/>
    </w:rPr>
  </w:style>
  <w:style w:type="paragraph" w:customStyle="1" w:styleId="247">
    <w:name w:val="图2"/>
    <w:basedOn w:val="245"/>
    <w:link w:val="248"/>
    <w:qFormat/>
    <w:uiPriority w:val="0"/>
    <w:pPr>
      <w:numPr>
        <w:numId w:val="7"/>
      </w:numPr>
    </w:pPr>
  </w:style>
  <w:style w:type="character" w:customStyle="1" w:styleId="248">
    <w:name w:val="图2 字符"/>
    <w:link w:val="247"/>
    <w:qFormat/>
    <w:uiPriority w:val="0"/>
    <w:rPr>
      <w:b/>
      <w:kern w:val="2"/>
      <w:sz w:val="21"/>
      <w:szCs w:val="24"/>
    </w:rPr>
  </w:style>
  <w:style w:type="paragraph" w:customStyle="1" w:styleId="249">
    <w:name w:val="0000表格文字"/>
    <w:basedOn w:val="1"/>
    <w:link w:val="250"/>
    <w:qFormat/>
    <w:uiPriority w:val="0"/>
    <w:pPr>
      <w:widowControl/>
      <w:contextualSpacing/>
      <w:jc w:val="center"/>
    </w:pPr>
    <w:rPr>
      <w:rFonts w:ascii="Times New Roman" w:hAnsi="Times New Roman" w:eastAsia="楷体_GB2312" w:cs="Times New Roman"/>
      <w:color w:val="000000"/>
      <w:kern w:val="0"/>
      <w:sz w:val="20"/>
      <w:szCs w:val="20"/>
    </w:rPr>
  </w:style>
  <w:style w:type="character" w:customStyle="1" w:styleId="250">
    <w:name w:val="0000表格文字 字符"/>
    <w:link w:val="249"/>
    <w:qFormat/>
    <w:uiPriority w:val="0"/>
    <w:rPr>
      <w:rFonts w:eastAsia="楷体_GB2312"/>
      <w:color w:val="000000"/>
    </w:rPr>
  </w:style>
  <w:style w:type="table" w:customStyle="1" w:styleId="251">
    <w:name w:val="表格主题1"/>
    <w:basedOn w:val="34"/>
    <w:qFormat/>
    <w:uiPriority w:val="0"/>
    <w:pPr>
      <w:widowControl w:val="0"/>
      <w:spacing w:line="560"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52">
    <w:name w:val="000图"/>
    <w:basedOn w:val="1"/>
    <w:link w:val="253"/>
    <w:qFormat/>
    <w:uiPriority w:val="0"/>
    <w:pPr>
      <w:spacing w:before="50" w:beforeLines="50"/>
      <w:jc w:val="center"/>
    </w:pPr>
    <w:rPr>
      <w:rFonts w:ascii="Times New Roman" w:hAnsi="Times New Roman" w:eastAsia="宋体" w:cs="Times New Roman"/>
      <w:b/>
      <w:szCs w:val="21"/>
    </w:rPr>
  </w:style>
  <w:style w:type="character" w:customStyle="1" w:styleId="253">
    <w:name w:val="000图 字符"/>
    <w:link w:val="252"/>
    <w:qFormat/>
    <w:uiPriority w:val="0"/>
    <w:rPr>
      <w:b/>
      <w:kern w:val="2"/>
      <w:sz w:val="21"/>
      <w:szCs w:val="21"/>
    </w:rPr>
  </w:style>
  <w:style w:type="paragraph" w:customStyle="1" w:styleId="254">
    <w:name w:val="0表2-1"/>
    <w:basedOn w:val="1"/>
    <w:link w:val="255"/>
    <w:qFormat/>
    <w:uiPriority w:val="0"/>
    <w:pPr>
      <w:numPr>
        <w:ilvl w:val="0"/>
        <w:numId w:val="8"/>
      </w:numPr>
      <w:spacing w:line="360" w:lineRule="auto"/>
      <w:jc w:val="center"/>
    </w:pPr>
    <w:rPr>
      <w:rFonts w:ascii="Times New Roman" w:hAnsi="Times New Roman" w:eastAsia="宋体" w:cs="Times New Roman"/>
      <w:b/>
      <w:szCs w:val="24"/>
    </w:rPr>
  </w:style>
  <w:style w:type="character" w:customStyle="1" w:styleId="255">
    <w:name w:val="0表2-1 字符"/>
    <w:link w:val="254"/>
    <w:qFormat/>
    <w:uiPriority w:val="0"/>
    <w:rPr>
      <w:b/>
      <w:kern w:val="2"/>
      <w:sz w:val="21"/>
      <w:szCs w:val="24"/>
    </w:rPr>
  </w:style>
  <w:style w:type="paragraph" w:customStyle="1" w:styleId="256">
    <w:name w:val="报告正文"/>
    <w:basedOn w:val="1"/>
    <w:link w:val="257"/>
    <w:qFormat/>
    <w:uiPriority w:val="0"/>
    <w:pPr>
      <w:spacing w:line="360" w:lineRule="auto"/>
      <w:ind w:firstLine="200" w:firstLineChars="200"/>
    </w:pPr>
    <w:rPr>
      <w:rFonts w:ascii="Times New Roman" w:hAnsi="Times New Roman" w:eastAsia="仿宋_GB2312" w:cs="Times New Roman"/>
      <w:kern w:val="0"/>
      <w:sz w:val="28"/>
      <w:szCs w:val="28"/>
      <w:lang w:val="zh-CN"/>
    </w:rPr>
  </w:style>
  <w:style w:type="character" w:customStyle="1" w:styleId="257">
    <w:name w:val="报告正文 Char"/>
    <w:link w:val="256"/>
    <w:qFormat/>
    <w:uiPriority w:val="0"/>
    <w:rPr>
      <w:rFonts w:eastAsia="仿宋_GB2312"/>
      <w:sz w:val="28"/>
      <w:szCs w:val="28"/>
      <w:lang w:val="zh-CN"/>
    </w:rPr>
  </w:style>
  <w:style w:type="paragraph" w:customStyle="1" w:styleId="258">
    <w:name w:val="样式2"/>
    <w:basedOn w:val="221"/>
    <w:link w:val="259"/>
    <w:qFormat/>
    <w:uiPriority w:val="0"/>
    <w:pPr>
      <w:numPr>
        <w:ilvl w:val="0"/>
        <w:numId w:val="9"/>
      </w:numPr>
    </w:pPr>
  </w:style>
  <w:style w:type="character" w:customStyle="1" w:styleId="259">
    <w:name w:val="样式2 Char"/>
    <w:basedOn w:val="222"/>
    <w:link w:val="258"/>
    <w:qFormat/>
    <w:uiPriority w:val="0"/>
    <w:rPr>
      <w:rFonts w:ascii="仿宋_GB2312" w:hAnsi="Calibri" w:eastAsia="仿宋"/>
      <w:kern w:val="2"/>
      <w:sz w:val="24"/>
      <w:szCs w:val="21"/>
      <w:lang w:val="zh-CN"/>
    </w:rPr>
  </w:style>
  <w:style w:type="paragraph" w:customStyle="1" w:styleId="260">
    <w:name w:val="0表4-1"/>
    <w:basedOn w:val="1"/>
    <w:qFormat/>
    <w:uiPriority w:val="0"/>
    <w:pPr>
      <w:spacing w:line="360" w:lineRule="auto"/>
    </w:pPr>
    <w:rPr>
      <w:rFonts w:ascii="Calibri" w:hAnsi="Calibri" w:eastAsia="仿宋_GB2312" w:cs="Times New Roman"/>
      <w:sz w:val="28"/>
    </w:rPr>
  </w:style>
  <w:style w:type="paragraph" w:customStyle="1" w:styleId="261">
    <w:name w:val="0表5-1"/>
    <w:basedOn w:val="1"/>
    <w:qFormat/>
    <w:uiPriority w:val="0"/>
    <w:pPr>
      <w:numPr>
        <w:ilvl w:val="0"/>
        <w:numId w:val="10"/>
      </w:numPr>
      <w:spacing w:line="360" w:lineRule="auto"/>
      <w:ind w:firstLine="0"/>
    </w:pPr>
    <w:rPr>
      <w:rFonts w:ascii="Calibri" w:hAnsi="Calibri" w:eastAsia="仿宋_GB2312" w:cs="Times New Roman"/>
      <w:sz w:val="28"/>
    </w:rPr>
  </w:style>
  <w:style w:type="character" w:customStyle="1" w:styleId="262">
    <w:name w:val="标题 2 字符1"/>
    <w:qFormat/>
    <w:uiPriority w:val="9"/>
    <w:rPr>
      <w:rFonts w:ascii="Cambria" w:hAnsi="Cambria" w:eastAsia="黑体" w:cs="Times New Roman"/>
      <w:b/>
      <w:bCs/>
      <w:kern w:val="0"/>
      <w:sz w:val="32"/>
      <w:szCs w:val="32"/>
      <w:lang w:val="zh-CN" w:eastAsia="zh-CN"/>
    </w:rPr>
  </w:style>
  <w:style w:type="character" w:customStyle="1" w:styleId="263">
    <w:name w:val="文档结构图 字符1"/>
    <w:semiHidden/>
    <w:qFormat/>
    <w:uiPriority w:val="99"/>
    <w:rPr>
      <w:rFonts w:ascii="宋体" w:hAnsi="Calibri" w:eastAsia="宋体" w:cs="Times New Roman"/>
      <w:kern w:val="0"/>
      <w:sz w:val="18"/>
      <w:szCs w:val="18"/>
      <w:lang w:val="zh-CN" w:eastAsia="zh-CN"/>
    </w:rPr>
  </w:style>
  <w:style w:type="character" w:customStyle="1" w:styleId="264">
    <w:name w:val="正文文本缩进 字符1"/>
    <w:qFormat/>
    <w:uiPriority w:val="0"/>
    <w:rPr>
      <w:rFonts w:ascii="Calibri" w:hAnsi="Calibri" w:eastAsia="仿宋_GB2312" w:cs="Times New Roman"/>
      <w:sz w:val="28"/>
      <w:lang w:val="zh-CN" w:eastAsia="zh-CN"/>
    </w:rPr>
  </w:style>
  <w:style w:type="character" w:customStyle="1" w:styleId="265">
    <w:name w:val="脚注文本 字符1"/>
    <w:semiHidden/>
    <w:qFormat/>
    <w:uiPriority w:val="99"/>
    <w:rPr>
      <w:rFonts w:ascii="Times New Roman" w:hAnsi="Times New Roman" w:eastAsia="宋体" w:cs="Times New Roman"/>
      <w:sz w:val="18"/>
      <w:szCs w:val="18"/>
      <w:lang w:val="zh-CN" w:eastAsia="zh-CN"/>
    </w:rPr>
  </w:style>
  <w:style w:type="character" w:customStyle="1" w:styleId="266">
    <w:name w:val="标题 4 字符1"/>
    <w:qFormat/>
    <w:uiPriority w:val="9"/>
    <w:rPr>
      <w:rFonts w:ascii="Cambria" w:hAnsi="Cambria" w:eastAsia="宋体" w:cs="Times New Roman"/>
      <w:b/>
      <w:bCs/>
      <w:sz w:val="28"/>
      <w:szCs w:val="28"/>
      <w:lang w:val="zh-CN" w:eastAsia="zh-CN"/>
    </w:rPr>
  </w:style>
  <w:style w:type="paragraph" w:customStyle="1" w:styleId="267">
    <w:name w:val="Char2"/>
    <w:basedOn w:val="12"/>
    <w:qFormat/>
    <w:uiPriority w:val="0"/>
    <w:pPr>
      <w:widowControl/>
      <w:shd w:val="clear" w:color="auto" w:fill="000080"/>
      <w:spacing w:line="240" w:lineRule="auto"/>
      <w:ind w:firstLine="0" w:firstLineChars="0"/>
    </w:pPr>
    <w:rPr>
      <w:rFonts w:ascii="Tahoma" w:hAnsi="Tahoma"/>
      <w:sz w:val="24"/>
      <w:szCs w:val="24"/>
    </w:rPr>
  </w:style>
  <w:style w:type="table" w:customStyle="1" w:styleId="268">
    <w:name w:val="浅色列表 - 着色 52"/>
    <w:basedOn w:val="34"/>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tcBorders>
      </w:tcPr>
    </w:tblStylePr>
    <w:tblStylePr w:type="band1Horz">
      <w:tcPr>
        <w:tcBorders>
          <w:top w:val="single" w:color="4BACC6" w:sz="8" w:space="0"/>
          <w:left w:val="single" w:color="4BACC6" w:sz="8" w:space="0"/>
          <w:bottom w:val="single" w:color="4BACC6" w:sz="8" w:space="0"/>
          <w:right w:val="single" w:color="4BACC6" w:sz="8" w:space="0"/>
        </w:tcBorders>
      </w:tcPr>
    </w:tblStylePr>
  </w:style>
  <w:style w:type="character" w:customStyle="1" w:styleId="269">
    <w:name w:val="font01"/>
    <w:basedOn w:val="39"/>
    <w:qFormat/>
    <w:uiPriority w:val="0"/>
    <w:rPr>
      <w:rFonts w:hint="default" w:ascii="Times New Roman" w:hAnsi="Times New Roman" w:cs="Times New Roman"/>
      <w:b/>
      <w:bCs/>
      <w:color w:val="FF0000"/>
      <w:sz w:val="24"/>
      <w:szCs w:val="24"/>
      <w:u w:val="none"/>
    </w:rPr>
  </w:style>
  <w:style w:type="character" w:customStyle="1" w:styleId="270">
    <w:name w:val="font51"/>
    <w:basedOn w:val="39"/>
    <w:qFormat/>
    <w:uiPriority w:val="0"/>
    <w:rPr>
      <w:rFonts w:hint="default" w:ascii="仿宋_GB2312" w:eastAsia="仿宋_GB2312" w:cs="仿宋_GB2312"/>
      <w:b/>
      <w:bCs/>
      <w:color w:val="FF0000"/>
      <w:sz w:val="24"/>
      <w:szCs w:val="24"/>
      <w:u w:val="none"/>
    </w:rPr>
  </w:style>
  <w:style w:type="character" w:customStyle="1" w:styleId="271">
    <w:name w:val="font41"/>
    <w:basedOn w:val="39"/>
    <w:qFormat/>
    <w:uiPriority w:val="0"/>
    <w:rPr>
      <w:rFonts w:hint="default" w:ascii="仿宋_GB2312" w:eastAsia="仿宋_GB2312" w:cs="仿宋_GB2312"/>
      <w:color w:val="FF0000"/>
      <w:sz w:val="24"/>
      <w:szCs w:val="24"/>
      <w:u w:val="none"/>
    </w:rPr>
  </w:style>
  <w:style w:type="character" w:customStyle="1" w:styleId="272">
    <w:name w:val="font21"/>
    <w:basedOn w:val="39"/>
    <w:qFormat/>
    <w:uiPriority w:val="0"/>
    <w:rPr>
      <w:rFonts w:hint="default" w:ascii="Times New Roman" w:hAnsi="Times New Roman" w:cs="Times New Roman"/>
      <w:color w:val="FF0000"/>
      <w:sz w:val="24"/>
      <w:szCs w:val="24"/>
      <w:u w:val="none"/>
    </w:rPr>
  </w:style>
  <w:style w:type="character" w:customStyle="1" w:styleId="273">
    <w:name w:val="font31"/>
    <w:basedOn w:val="39"/>
    <w:qFormat/>
    <w:uiPriority w:val="0"/>
    <w:rPr>
      <w:rFonts w:hint="default" w:ascii="仿宋_GB2312" w:eastAsia="仿宋_GB2312" w:cs="仿宋_GB2312"/>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160;\&#20805;&#30005;0810\2023.08.08&#39044;&#27979;&#25968;&#25454;&#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60;\&#20805;&#30005;0810\2023.08.08&#39044;&#27979;&#25968;&#25454;&#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200" b="0" i="0" u="none" strike="noStrike" kern="1200" spc="0" baseline="0">
                <a:solidFill>
                  <a:schemeClr val="tx1">
                    <a:lumMod val="65000"/>
                    <a:lumOff val="35000"/>
                  </a:schemeClr>
                </a:solidFill>
                <a:latin typeface="+mn-lt"/>
                <a:ea typeface="+mn-ea"/>
                <a:cs typeface="+mn-cs"/>
              </a:defRPr>
            </a:pPr>
            <a:r>
              <a:rPr lang="zh-CN" altLang="zh-CN" sz="1200" b="0" i="0" baseline="0">
                <a:effectLst/>
              </a:rPr>
              <a:t>镇海区机动车保有量</a:t>
            </a:r>
            <a:endParaRPr lang="zh-CN" altLang="zh-CN" sz="1200">
              <a:effectLst/>
            </a:endParaRPr>
          </a:p>
        </c:rich>
      </c:tx>
      <c:layout/>
      <c:overlay val="0"/>
      <c:spPr>
        <a:noFill/>
        <a:ln>
          <a:noFill/>
        </a:ln>
        <a:effectLst/>
      </c:spPr>
    </c:title>
    <c:autoTitleDeleted val="0"/>
    <c:plotArea>
      <c:layout/>
      <c:barChart>
        <c:barDir val="col"/>
        <c:grouping val="clustered"/>
        <c:varyColors val="0"/>
        <c:ser>
          <c:idx val="0"/>
          <c:order val="0"/>
          <c:tx>
            <c:strRef>
              <c:f>今年新采集!$G$58</c:f>
              <c:strCache>
                <c:ptCount val="1"/>
                <c:pt idx="0">
                  <c:v>新能源</c:v>
                </c:pt>
              </c:strCache>
            </c:strRef>
          </c:tx>
          <c:spPr>
            <a:solidFill>
              <a:schemeClr val="accent1"/>
            </a:solidFill>
            <a:ln>
              <a:noFill/>
            </a:ln>
            <a:effectLst/>
          </c:spPr>
          <c:invertIfNegative val="0"/>
          <c:dLbls>
            <c:delete val="1"/>
          </c:dLbls>
          <c:cat>
            <c:strRef>
              <c:f>今年新采集!$F$59:$F$67</c:f>
              <c:strCache>
                <c:ptCount val="8"/>
                <c:pt idx="0">
                  <c:v>2015年末</c:v>
                </c:pt>
                <c:pt idx="1">
                  <c:v>2016年末</c:v>
                </c:pt>
                <c:pt idx="2">
                  <c:v>2017年末</c:v>
                </c:pt>
                <c:pt idx="3">
                  <c:v>2018年末</c:v>
                </c:pt>
                <c:pt idx="4">
                  <c:v>2019年末</c:v>
                </c:pt>
                <c:pt idx="5">
                  <c:v>2020年末</c:v>
                </c:pt>
                <c:pt idx="6">
                  <c:v>2021年末</c:v>
                </c:pt>
                <c:pt idx="7">
                  <c:v>2022年末</c:v>
                </c:pt>
              </c:strCache>
            </c:strRef>
          </c:cat>
          <c:val>
            <c:numRef>
              <c:f>今年新采集!$G$59:$G$67</c:f>
              <c:numCache>
                <c:formatCode>0_ </c:formatCode>
                <c:ptCount val="9"/>
                <c:pt idx="0">
                  <c:v>0</c:v>
                </c:pt>
                <c:pt idx="1">
                  <c:v>0</c:v>
                </c:pt>
                <c:pt idx="2">
                  <c:v>0</c:v>
                </c:pt>
                <c:pt idx="3">
                  <c:v>254</c:v>
                </c:pt>
                <c:pt idx="4">
                  <c:v>1256</c:v>
                </c:pt>
                <c:pt idx="5">
                  <c:v>2049</c:v>
                </c:pt>
                <c:pt idx="6">
                  <c:v>3732</c:v>
                </c:pt>
                <c:pt idx="7">
                  <c:v>7960</c:v>
                </c:pt>
              </c:numCache>
            </c:numRef>
          </c:val>
        </c:ser>
        <c:ser>
          <c:idx val="1"/>
          <c:order val="1"/>
          <c:tx>
            <c:strRef>
              <c:f>今年新采集!$H$58</c:f>
              <c:strCache>
                <c:ptCount val="1"/>
                <c:pt idx="0">
                  <c:v>油车</c:v>
                </c:pt>
              </c:strCache>
            </c:strRef>
          </c:tx>
          <c:spPr>
            <a:solidFill>
              <a:schemeClr val="accent2"/>
            </a:solidFill>
            <a:ln>
              <a:noFill/>
            </a:ln>
            <a:effectLst/>
          </c:spPr>
          <c:invertIfNegative val="0"/>
          <c:dLbls>
            <c:delete val="1"/>
          </c:dLbls>
          <c:cat>
            <c:strRef>
              <c:f>今年新采集!$F$59:$F$67</c:f>
              <c:strCache>
                <c:ptCount val="8"/>
                <c:pt idx="0">
                  <c:v>2015年末</c:v>
                </c:pt>
                <c:pt idx="1">
                  <c:v>2016年末</c:v>
                </c:pt>
                <c:pt idx="2">
                  <c:v>2017年末</c:v>
                </c:pt>
                <c:pt idx="3">
                  <c:v>2018年末</c:v>
                </c:pt>
                <c:pt idx="4">
                  <c:v>2019年末</c:v>
                </c:pt>
                <c:pt idx="5">
                  <c:v>2020年末</c:v>
                </c:pt>
                <c:pt idx="6">
                  <c:v>2021年末</c:v>
                </c:pt>
                <c:pt idx="7">
                  <c:v>2022年末</c:v>
                </c:pt>
              </c:strCache>
            </c:strRef>
          </c:cat>
          <c:val>
            <c:numRef>
              <c:f>今年新采集!$H$59:$H$67</c:f>
              <c:numCache>
                <c:formatCode>0_ </c:formatCode>
                <c:ptCount val="9"/>
                <c:pt idx="0">
                  <c:v>83537</c:v>
                </c:pt>
                <c:pt idx="1">
                  <c:v>94946</c:v>
                </c:pt>
                <c:pt idx="2">
                  <c:v>106166</c:v>
                </c:pt>
                <c:pt idx="3">
                  <c:v>118415</c:v>
                </c:pt>
                <c:pt idx="4">
                  <c:v>130049</c:v>
                </c:pt>
                <c:pt idx="5">
                  <c:v>141118</c:v>
                </c:pt>
                <c:pt idx="6">
                  <c:v>149443</c:v>
                </c:pt>
                <c:pt idx="7">
                  <c:v>155061</c:v>
                </c:pt>
              </c:numCache>
            </c:numRef>
          </c:val>
        </c:ser>
        <c:dLbls>
          <c:showLegendKey val="0"/>
          <c:showVal val="0"/>
          <c:showCatName val="0"/>
          <c:showSerName val="0"/>
          <c:showPercent val="0"/>
          <c:showBubbleSize val="0"/>
        </c:dLbls>
        <c:gapWidth val="150"/>
        <c:axId val="322676992"/>
        <c:axId val="182301824"/>
      </c:barChart>
      <c:lineChart>
        <c:grouping val="standard"/>
        <c:varyColors val="0"/>
        <c:ser>
          <c:idx val="2"/>
          <c:order val="2"/>
          <c:tx>
            <c:strRef>
              <c:f>今年新采集!$I$58</c:f>
              <c:strCache>
                <c:ptCount val="1"/>
                <c:pt idx="0">
                  <c:v>总和</c:v>
                </c:pt>
              </c:strCache>
            </c:strRef>
          </c:tx>
          <c:spPr>
            <a:ln w="28575" cap="rnd" cmpd="sng" algn="ctr">
              <a:solidFill>
                <a:schemeClr val="accent3"/>
              </a:solidFill>
              <a:prstDash val="solid"/>
              <a:round/>
            </a:ln>
            <a:effectLst/>
          </c:spPr>
          <c:marker>
            <c:symbol val="none"/>
          </c:marker>
          <c:dLbls>
            <c:delete val="1"/>
          </c:dLbls>
          <c:cat>
            <c:strRef>
              <c:f>今年新采集!$F$59:$F$67</c:f>
              <c:strCache>
                <c:ptCount val="8"/>
                <c:pt idx="0">
                  <c:v>2015年末</c:v>
                </c:pt>
                <c:pt idx="1">
                  <c:v>2016年末</c:v>
                </c:pt>
                <c:pt idx="2">
                  <c:v>2017年末</c:v>
                </c:pt>
                <c:pt idx="3">
                  <c:v>2018年末</c:v>
                </c:pt>
                <c:pt idx="4">
                  <c:v>2019年末</c:v>
                </c:pt>
                <c:pt idx="5">
                  <c:v>2020年末</c:v>
                </c:pt>
                <c:pt idx="6">
                  <c:v>2021年末</c:v>
                </c:pt>
                <c:pt idx="7">
                  <c:v>2022年末</c:v>
                </c:pt>
              </c:strCache>
            </c:strRef>
          </c:cat>
          <c:val>
            <c:numRef>
              <c:f>今年新采集!$I$59:$I$67</c:f>
              <c:numCache>
                <c:formatCode>0_ </c:formatCode>
                <c:ptCount val="9"/>
                <c:pt idx="0">
                  <c:v>83537</c:v>
                </c:pt>
                <c:pt idx="1">
                  <c:v>94946</c:v>
                </c:pt>
                <c:pt idx="2">
                  <c:v>106166</c:v>
                </c:pt>
                <c:pt idx="3">
                  <c:v>118669</c:v>
                </c:pt>
                <c:pt idx="4">
                  <c:v>131305</c:v>
                </c:pt>
                <c:pt idx="5">
                  <c:v>143167</c:v>
                </c:pt>
                <c:pt idx="6">
                  <c:v>153175</c:v>
                </c:pt>
                <c:pt idx="7">
                  <c:v>163021</c:v>
                </c:pt>
              </c:numCache>
            </c:numRef>
          </c:val>
          <c:smooth val="0"/>
        </c:ser>
        <c:dLbls>
          <c:showLegendKey val="0"/>
          <c:showVal val="0"/>
          <c:showCatName val="0"/>
          <c:showSerName val="0"/>
          <c:showPercent val="0"/>
          <c:showBubbleSize val="0"/>
        </c:dLbls>
        <c:marker val="0"/>
        <c:smooth val="0"/>
        <c:axId val="322676992"/>
        <c:axId val="182301824"/>
      </c:lineChart>
      <c:catAx>
        <c:axId val="32267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2301824"/>
        <c:crosses val="autoZero"/>
        <c:auto val="1"/>
        <c:lblAlgn val="ctr"/>
        <c:lblOffset val="100"/>
        <c:noMultiLvlLbl val="0"/>
      </c:catAx>
      <c:valAx>
        <c:axId val="1823018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_ "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2676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200" b="0" i="0" u="none" strike="noStrike" kern="1200" spc="0" baseline="0">
                <a:solidFill>
                  <a:schemeClr val="tx1">
                    <a:lumMod val="65000"/>
                    <a:lumOff val="35000"/>
                  </a:schemeClr>
                </a:solidFill>
                <a:latin typeface="+mn-lt"/>
                <a:ea typeface="+mn-ea"/>
                <a:cs typeface="+mn-cs"/>
              </a:defRPr>
            </a:pPr>
            <a:r>
              <a:rPr lang="zh-CN" altLang="zh-CN" sz="1200" b="0" i="0" baseline="0">
                <a:effectLst/>
              </a:rPr>
              <a:t>镇海区机动车增长率</a:t>
            </a:r>
            <a:endParaRPr lang="zh-CN" altLang="zh-CN" sz="1200">
              <a:effectLst/>
            </a:endParaRPr>
          </a:p>
        </c:rich>
      </c:tx>
      <c:layout/>
      <c:overlay val="0"/>
      <c:spPr>
        <a:noFill/>
        <a:ln>
          <a:noFill/>
        </a:ln>
        <a:effectLst/>
      </c:spPr>
    </c:title>
    <c:autoTitleDeleted val="0"/>
    <c:plotArea>
      <c:layout/>
      <c:lineChart>
        <c:grouping val="standard"/>
        <c:varyColors val="0"/>
        <c:ser>
          <c:idx val="0"/>
          <c:order val="0"/>
          <c:tx>
            <c:strRef>
              <c:f>今年新采集!$O$58</c:f>
              <c:strCache>
                <c:ptCount val="1"/>
                <c:pt idx="0">
                  <c:v>新能源</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strRef>
              <c:f>今年新采集!$N$59:$N$67</c:f>
              <c:strCache>
                <c:ptCount val="8"/>
                <c:pt idx="0">
                  <c:v>2015年末</c:v>
                </c:pt>
                <c:pt idx="1">
                  <c:v>2016年末</c:v>
                </c:pt>
                <c:pt idx="2">
                  <c:v>2017年末</c:v>
                </c:pt>
                <c:pt idx="3">
                  <c:v>2018年末</c:v>
                </c:pt>
                <c:pt idx="4">
                  <c:v>2019年末</c:v>
                </c:pt>
                <c:pt idx="5">
                  <c:v>2020年末</c:v>
                </c:pt>
                <c:pt idx="6">
                  <c:v>2021年末</c:v>
                </c:pt>
                <c:pt idx="7">
                  <c:v>2022年末</c:v>
                </c:pt>
              </c:strCache>
            </c:strRef>
          </c:cat>
          <c:val>
            <c:numRef>
              <c:f>今年新采集!$O$59:$O$67</c:f>
              <c:numCache>
                <c:formatCode>0.00%</c:formatCode>
                <c:ptCount val="9"/>
                <c:pt idx="0">
                  <c:v>0</c:v>
                </c:pt>
                <c:pt idx="1">
                  <c:v>0</c:v>
                </c:pt>
                <c:pt idx="2">
                  <c:v>0</c:v>
                </c:pt>
                <c:pt idx="3">
                  <c:v>0</c:v>
                </c:pt>
                <c:pt idx="4">
                  <c:v>3.94488188976378</c:v>
                </c:pt>
                <c:pt idx="5">
                  <c:v>0.631369426751592</c:v>
                </c:pt>
                <c:pt idx="6">
                  <c:v>0.821376281112738</c:v>
                </c:pt>
                <c:pt idx="7">
                  <c:v>1.13290460878885</c:v>
                </c:pt>
              </c:numCache>
            </c:numRef>
          </c:val>
          <c:smooth val="0"/>
        </c:ser>
        <c:ser>
          <c:idx val="1"/>
          <c:order val="1"/>
          <c:tx>
            <c:strRef>
              <c:f>今年新采集!$P$58</c:f>
              <c:strCache>
                <c:ptCount val="1"/>
                <c:pt idx="0">
                  <c:v>油车</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strRef>
              <c:f>今年新采集!$N$59:$N$67</c:f>
              <c:strCache>
                <c:ptCount val="8"/>
                <c:pt idx="0">
                  <c:v>2015年末</c:v>
                </c:pt>
                <c:pt idx="1">
                  <c:v>2016年末</c:v>
                </c:pt>
                <c:pt idx="2">
                  <c:v>2017年末</c:v>
                </c:pt>
                <c:pt idx="3">
                  <c:v>2018年末</c:v>
                </c:pt>
                <c:pt idx="4">
                  <c:v>2019年末</c:v>
                </c:pt>
                <c:pt idx="5">
                  <c:v>2020年末</c:v>
                </c:pt>
                <c:pt idx="6">
                  <c:v>2021年末</c:v>
                </c:pt>
                <c:pt idx="7">
                  <c:v>2022年末</c:v>
                </c:pt>
              </c:strCache>
            </c:strRef>
          </c:cat>
          <c:val>
            <c:numRef>
              <c:f>今年新采集!$P$59:$P$67</c:f>
              <c:numCache>
                <c:formatCode>0.00%</c:formatCode>
                <c:ptCount val="9"/>
                <c:pt idx="0">
                  <c:v>0</c:v>
                </c:pt>
                <c:pt idx="1">
                  <c:v>0.136574212624346</c:v>
                </c:pt>
                <c:pt idx="2">
                  <c:v>0.118172434857709</c:v>
                </c:pt>
                <c:pt idx="3">
                  <c:v>0.115375920727917</c:v>
                </c:pt>
                <c:pt idx="4">
                  <c:v>0.0982476882151754</c:v>
                </c:pt>
                <c:pt idx="5">
                  <c:v>0.0851140723880999</c:v>
                </c:pt>
                <c:pt idx="6">
                  <c:v>0.0589931830099633</c:v>
                </c:pt>
                <c:pt idx="7">
                  <c:v>0.0375929284074865</c:v>
                </c:pt>
              </c:numCache>
            </c:numRef>
          </c:val>
          <c:smooth val="0"/>
        </c:ser>
        <c:ser>
          <c:idx val="2"/>
          <c:order val="2"/>
          <c:tx>
            <c:strRef>
              <c:f>今年新采集!$Q$58</c:f>
              <c:strCache>
                <c:ptCount val="1"/>
                <c:pt idx="0">
                  <c:v>总和</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strRef>
              <c:f>今年新采集!$N$59:$N$67</c:f>
              <c:strCache>
                <c:ptCount val="8"/>
                <c:pt idx="0">
                  <c:v>2015年末</c:v>
                </c:pt>
                <c:pt idx="1">
                  <c:v>2016年末</c:v>
                </c:pt>
                <c:pt idx="2">
                  <c:v>2017年末</c:v>
                </c:pt>
                <c:pt idx="3">
                  <c:v>2018年末</c:v>
                </c:pt>
                <c:pt idx="4">
                  <c:v>2019年末</c:v>
                </c:pt>
                <c:pt idx="5">
                  <c:v>2020年末</c:v>
                </c:pt>
                <c:pt idx="6">
                  <c:v>2021年末</c:v>
                </c:pt>
                <c:pt idx="7">
                  <c:v>2022年末</c:v>
                </c:pt>
              </c:strCache>
            </c:strRef>
          </c:cat>
          <c:val>
            <c:numRef>
              <c:f>今年新采集!$Q$59:$Q$67</c:f>
              <c:numCache>
                <c:formatCode>0.00%</c:formatCode>
                <c:ptCount val="9"/>
                <c:pt idx="0">
                  <c:v>0</c:v>
                </c:pt>
                <c:pt idx="1">
                  <c:v>0.136574212624346</c:v>
                </c:pt>
                <c:pt idx="2">
                  <c:v>0.118172434857709</c:v>
                </c:pt>
                <c:pt idx="3">
                  <c:v>0.117768400429516</c:v>
                </c:pt>
                <c:pt idx="4">
                  <c:v>0.106481052338859</c:v>
                </c:pt>
                <c:pt idx="5">
                  <c:v>0.0903392863942729</c:v>
                </c:pt>
                <c:pt idx="6">
                  <c:v>0.0699043774054077</c:v>
                </c:pt>
                <c:pt idx="7">
                  <c:v>0.0642794189652358</c:v>
                </c:pt>
              </c:numCache>
            </c:numRef>
          </c:val>
          <c:smooth val="0"/>
        </c:ser>
        <c:dLbls>
          <c:showLegendKey val="0"/>
          <c:showVal val="0"/>
          <c:showCatName val="0"/>
          <c:showSerName val="0"/>
          <c:showPercent val="0"/>
          <c:showBubbleSize val="0"/>
        </c:dLbls>
        <c:marker val="1"/>
        <c:smooth val="0"/>
        <c:axId val="182315264"/>
        <c:axId val="182317440"/>
      </c:lineChart>
      <c:catAx>
        <c:axId val="18231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2317440"/>
        <c:crosses val="autoZero"/>
        <c:auto val="1"/>
        <c:lblAlgn val="ctr"/>
        <c:lblOffset val="100"/>
        <c:noMultiLvlLbl val="0"/>
      </c:catAx>
      <c:valAx>
        <c:axId val="1823174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2315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85</Pages>
  <Words>29486</Words>
  <Characters>33622</Characters>
  <Lines>283</Lines>
  <Paragraphs>79</Paragraphs>
  <TotalTime>86</TotalTime>
  <ScaleCrop>false</ScaleCrop>
  <LinksUpToDate>false</LinksUpToDate>
  <CharactersWithSpaces>33661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2023-08-16T21:14:00Z</dcterms:created>
  <dc:creator>翁 理胜</dc:creator>
  <cp:lastModifiedBy>WPS_1681779091</cp:lastModifiedBy>
  <dcterms:modified xsi:type="dcterms:W3CDTF">2023-09-04T01:29:17Z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C8CB63921A25F6934D57D7641E6420DB_43</vt:lpwstr>
  </property>
</Properties>
</file>