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hint="eastAsia" w:ascii="方正小标宋简体" w:hAnsi="方正小标宋简体" w:eastAsia="方正小标宋简体" w:cs="方正小标宋简体"/>
          <w:color w:val="auto"/>
          <w:sz w:val="36"/>
          <w:szCs w:val="36"/>
        </w:rPr>
      </w:pPr>
    </w:p>
    <w:p>
      <w:pPr>
        <w:snapToGrid w:val="0"/>
        <w:spacing w:line="300" w:lineRule="auto"/>
        <w:ind w:firstLine="2160" w:firstLineChars="60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杭州市西湖职业高级中学</w:t>
      </w:r>
    </w:p>
    <w:p>
      <w:pPr>
        <w:snapToGrid w:val="0"/>
        <w:spacing w:line="300" w:lineRule="auto"/>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w:t>
      </w:r>
      <w:r>
        <w:rPr>
          <w:rFonts w:hint="default" w:ascii="方正小标宋简体" w:hAnsi="方正小标宋简体" w:eastAsia="方正小标宋简体" w:cs="方正小标宋简体"/>
          <w:color w:val="auto"/>
          <w:sz w:val="36"/>
          <w:szCs w:val="36"/>
          <w:lang w:val="en-US"/>
        </w:rPr>
        <w:t>4</w:t>
      </w:r>
      <w:r>
        <w:rPr>
          <w:rFonts w:hint="eastAsia" w:ascii="方正小标宋简体" w:hAnsi="方正小标宋简体" w:eastAsia="方正小标宋简体" w:cs="方正小标宋简体"/>
          <w:color w:val="auto"/>
          <w:sz w:val="36"/>
          <w:szCs w:val="36"/>
        </w:rPr>
        <w:t>年自主招生工作实施办法</w:t>
      </w:r>
    </w:p>
    <w:p>
      <w:pPr>
        <w:ind w:firstLine="560" w:firstLineChars="200"/>
        <w:rPr>
          <w:rFonts w:hint="eastAsia" w:ascii="仿宋_GB2312" w:hAnsi="仿宋_GB2312" w:eastAsia="仿宋_GB2312" w:cs="仿宋_GB2312"/>
          <w:color w:val="auto"/>
          <w:sz w:val="28"/>
          <w:szCs w:val="28"/>
        </w:rPr>
      </w:pP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根据《杭州市教育局关于</w:t>
      </w:r>
      <w:r>
        <w:rPr>
          <w:rFonts w:ascii="仿宋_GB2312" w:hAnsi="仿宋_GB2312" w:eastAsia="仿宋_GB2312" w:cs="仿宋_GB2312"/>
          <w:color w:val="auto"/>
          <w:sz w:val="28"/>
          <w:szCs w:val="28"/>
        </w:rPr>
        <w:t>202</w:t>
      </w:r>
      <w:r>
        <w:rPr>
          <w:rFonts w:hint="default" w:ascii="仿宋_GB2312" w:hAnsi="仿宋_GB2312" w:eastAsia="仿宋_GB2312" w:cs="仿宋_GB2312"/>
          <w:color w:val="auto"/>
          <w:sz w:val="28"/>
          <w:szCs w:val="28"/>
          <w:lang w:val="en-US"/>
        </w:rPr>
        <w:t>4</w:t>
      </w:r>
      <w:r>
        <w:rPr>
          <w:rFonts w:hint="eastAsia" w:ascii="仿宋_GB2312" w:hAnsi="仿宋_GB2312" w:eastAsia="仿宋_GB2312" w:cs="仿宋_GB2312"/>
          <w:color w:val="auto"/>
          <w:sz w:val="28"/>
          <w:szCs w:val="28"/>
        </w:rPr>
        <w:t>年杭州市区各类高中招生工作的通知》（杭教基〔202</w:t>
      </w:r>
      <w:r>
        <w:rPr>
          <w:rFonts w:hint="default" w:ascii="仿宋_GB2312" w:hAnsi="仿宋_GB2312" w:eastAsia="仿宋_GB2312" w:cs="仿宋_GB2312"/>
          <w:color w:val="auto"/>
          <w:sz w:val="28"/>
          <w:szCs w:val="28"/>
          <w:lang w:val="en-US"/>
        </w:rPr>
        <w:t>4</w:t>
      </w:r>
      <w:r>
        <w:rPr>
          <w:rFonts w:hint="eastAsia" w:ascii="仿宋_GB2312" w:hAnsi="仿宋_GB2312" w:eastAsia="仿宋_GB2312" w:cs="仿宋_GB2312"/>
          <w:color w:val="auto"/>
          <w:sz w:val="28"/>
          <w:szCs w:val="28"/>
        </w:rPr>
        <w:t>〕</w:t>
      </w:r>
      <w:r>
        <w:rPr>
          <w:rFonts w:hint="default"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号，以下简称《招生工作通知》）和《杭州市教育局办公室关于202</w:t>
      </w:r>
      <w:r>
        <w:rPr>
          <w:rFonts w:hint="default" w:ascii="仿宋_GB2312" w:hAnsi="仿宋_GB2312" w:eastAsia="仿宋_GB2312" w:cs="仿宋_GB2312"/>
          <w:color w:val="auto"/>
          <w:sz w:val="28"/>
          <w:szCs w:val="28"/>
          <w:lang w:val="en-US"/>
        </w:rPr>
        <w:t>4</w:t>
      </w:r>
      <w:r>
        <w:rPr>
          <w:rFonts w:hint="eastAsia" w:ascii="仿宋_GB2312" w:hAnsi="仿宋_GB2312" w:eastAsia="仿宋_GB2312" w:cs="仿宋_GB2312"/>
          <w:color w:val="auto"/>
          <w:sz w:val="28"/>
          <w:szCs w:val="28"/>
        </w:rPr>
        <w:t>年杭州市区中等职业学校自主</w:t>
      </w:r>
      <w:bookmarkStart w:id="6" w:name="_GoBack"/>
      <w:bookmarkEnd w:id="6"/>
      <w:r>
        <w:rPr>
          <w:rFonts w:hint="eastAsia" w:ascii="仿宋_GB2312" w:hAnsi="仿宋_GB2312" w:eastAsia="仿宋_GB2312" w:cs="仿宋_GB2312"/>
          <w:color w:val="auto"/>
          <w:sz w:val="28"/>
          <w:szCs w:val="28"/>
        </w:rPr>
        <w:t>招生工作的通知》（杭教办职成〔202</w:t>
      </w:r>
      <w:r>
        <w:rPr>
          <w:rFonts w:hint="default" w:ascii="仿宋_GB2312" w:hAnsi="仿宋_GB2312" w:eastAsia="仿宋_GB2312" w:cs="仿宋_GB2312"/>
          <w:color w:val="auto"/>
          <w:sz w:val="28"/>
          <w:szCs w:val="28"/>
          <w:lang w:val="en-US"/>
        </w:rPr>
        <w:t>4</w:t>
      </w:r>
      <w:r>
        <w:rPr>
          <w:rFonts w:hint="eastAsia" w:ascii="仿宋_GB2312" w:hAnsi="仿宋_GB2312" w:eastAsia="仿宋_GB2312" w:cs="仿宋_GB2312"/>
          <w:color w:val="auto"/>
          <w:sz w:val="28"/>
          <w:szCs w:val="28"/>
        </w:rPr>
        <w:t>〕</w:t>
      </w:r>
      <w:r>
        <w:rPr>
          <w:rFonts w:hint="default" w:ascii="仿宋_GB2312" w:hAnsi="仿宋_GB2312" w:eastAsia="仿宋_GB2312" w:cs="仿宋_GB2312"/>
          <w:color w:val="auto"/>
          <w:sz w:val="28"/>
          <w:szCs w:val="28"/>
          <w:lang w:val="en-US" w:eastAsia="zh-CN"/>
        </w:rPr>
        <w:t>47</w:t>
      </w:r>
      <w:r>
        <w:rPr>
          <w:rFonts w:hint="eastAsia" w:ascii="仿宋_GB2312" w:hAnsi="仿宋_GB2312" w:eastAsia="仿宋_GB2312" w:cs="仿宋_GB2312"/>
          <w:color w:val="auto"/>
          <w:sz w:val="28"/>
          <w:szCs w:val="28"/>
        </w:rPr>
        <w:t>号，以下简称《自主招生工作通知》）的有关规定，结合本校办学实际及专业特色，特制定我校</w:t>
      </w:r>
      <w:r>
        <w:rPr>
          <w:rFonts w:ascii="仿宋_GB2312" w:hAnsi="仿宋_GB2312" w:eastAsia="仿宋_GB2312" w:cs="仿宋_GB2312"/>
          <w:color w:val="auto"/>
          <w:sz w:val="28"/>
          <w:szCs w:val="28"/>
        </w:rPr>
        <w:t>202</w:t>
      </w:r>
      <w:r>
        <w:rPr>
          <w:rFonts w:hint="default" w:ascii="仿宋_GB2312" w:hAnsi="仿宋_GB2312" w:eastAsia="仿宋_GB2312" w:cs="仿宋_GB2312"/>
          <w:color w:val="auto"/>
          <w:sz w:val="28"/>
          <w:szCs w:val="28"/>
          <w:lang w:val="en-US"/>
        </w:rPr>
        <w:t>4</w:t>
      </w:r>
      <w:r>
        <w:rPr>
          <w:rFonts w:hint="eastAsia" w:ascii="仿宋_GB2312" w:hAnsi="仿宋_GB2312" w:eastAsia="仿宋_GB2312" w:cs="仿宋_GB2312"/>
          <w:color w:val="auto"/>
          <w:sz w:val="28"/>
          <w:szCs w:val="28"/>
        </w:rPr>
        <w:t>年自主招生工作实施办法。</w:t>
      </w:r>
    </w:p>
    <w:p>
      <w:pPr>
        <w:spacing w:line="360" w:lineRule="auto"/>
        <w:ind w:firstLine="560" w:firstLineChars="200"/>
        <w:outlineLvl w:val="0"/>
        <w:rPr>
          <w:rFonts w:hint="eastAsia" w:ascii="黑体" w:hAnsi="黑体" w:eastAsia="黑体" w:cs="黑体"/>
          <w:bCs/>
          <w:color w:val="auto"/>
          <w:sz w:val="28"/>
          <w:szCs w:val="28"/>
        </w:rPr>
      </w:pPr>
      <w:r>
        <w:rPr>
          <w:rFonts w:hint="eastAsia" w:ascii="黑体" w:hAnsi="黑体" w:eastAsia="黑体" w:cs="黑体"/>
          <w:bCs/>
          <w:color w:val="auto"/>
          <w:sz w:val="28"/>
          <w:szCs w:val="28"/>
        </w:rPr>
        <w:t>一、目的和原则</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进一步推进我市高中阶段学校考试招生制度改革，</w:t>
      </w:r>
      <w:r>
        <w:rPr>
          <w:rFonts w:hint="eastAsia" w:ascii="仿宋_GB2312" w:hAnsi="仿宋_GB2312" w:eastAsia="仿宋_GB2312" w:cs="仿宋_GB2312"/>
          <w:color w:val="auto"/>
          <w:sz w:val="28"/>
          <w:szCs w:val="28"/>
        </w:rPr>
        <w:t>充分发挥学校办学优势和特色，促进学生全面而有个性的发展。坚持“公开、公平、公正”和择优录取的原则，体现学生与学校自主双向选择的平等权利。</w:t>
      </w:r>
    </w:p>
    <w:p>
      <w:pPr>
        <w:widowControl/>
        <w:spacing w:line="360" w:lineRule="auto"/>
        <w:ind w:firstLine="560" w:firstLineChars="200"/>
        <w:jc w:val="left"/>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二、组织机构</w:t>
      </w:r>
    </w:p>
    <w:p>
      <w:pPr>
        <w:widowControl/>
        <w:spacing w:line="36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 以张德成校长为组长，徐民华为副组长，翁明华、丁玲丽、章彩淼</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姚瑾、徐灵杰、程飞虹、应旭萍、刘福华、</w:t>
      </w:r>
      <w:r>
        <w:rPr>
          <w:rFonts w:hint="eastAsia" w:ascii="仿宋_GB2312" w:hAnsi="仿宋_GB2312" w:eastAsia="仿宋_GB2312" w:cs="仿宋_GB2312"/>
          <w:color w:val="auto"/>
          <w:kern w:val="0"/>
          <w:sz w:val="28"/>
          <w:szCs w:val="28"/>
          <w:lang w:val="en-US" w:eastAsia="zh-CN"/>
        </w:rPr>
        <w:t>卢倩、张园</w:t>
      </w:r>
      <w:r>
        <w:rPr>
          <w:rFonts w:hint="eastAsia" w:ascii="仿宋_GB2312" w:hAnsi="仿宋_GB2312" w:eastAsia="仿宋_GB2312" w:cs="仿宋_GB2312"/>
          <w:color w:val="auto"/>
          <w:kern w:val="0"/>
          <w:sz w:val="28"/>
          <w:szCs w:val="28"/>
        </w:rPr>
        <w:t>等为成员的学校自主招生工作领导小组，确定招生计划，制定实施办法，负责研究、决定自主招生工作中的重大事宜。</w:t>
      </w:r>
    </w:p>
    <w:p>
      <w:pPr>
        <w:widowControl/>
        <w:spacing w:line="36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 成立以王靖宇为组长，姚瑾、</w:t>
      </w:r>
      <w:r>
        <w:rPr>
          <w:rFonts w:hint="eastAsia" w:ascii="仿宋_GB2312" w:hAnsi="仿宋_GB2312" w:eastAsia="仿宋_GB2312" w:cs="仿宋_GB2312"/>
          <w:color w:val="auto"/>
          <w:kern w:val="0"/>
          <w:sz w:val="28"/>
          <w:szCs w:val="28"/>
          <w:lang w:val="en-US" w:eastAsia="zh-CN"/>
        </w:rPr>
        <w:t>厉志光、</w:t>
      </w:r>
      <w:r>
        <w:rPr>
          <w:rFonts w:hint="eastAsia" w:ascii="仿宋_GB2312" w:hAnsi="仿宋_GB2312" w:eastAsia="仿宋_GB2312" w:cs="仿宋_GB2312"/>
          <w:color w:val="auto"/>
          <w:kern w:val="0"/>
          <w:sz w:val="28"/>
          <w:szCs w:val="28"/>
        </w:rPr>
        <w:t>何哲瑾为成员的招生工作纪检监督组，负责对招生工作进行纪律监督。</w:t>
      </w:r>
    </w:p>
    <w:p>
      <w:pPr>
        <w:widowControl/>
        <w:spacing w:line="36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 成立学校自主招生办公室，徐民华任主任，成员由翁明华、丁玲丽、章彩淼、</w:t>
      </w:r>
      <w:r>
        <w:rPr>
          <w:rFonts w:hint="eastAsia" w:ascii="仿宋_GB2312" w:hAnsi="仿宋_GB2312" w:eastAsia="仿宋_GB2312" w:cs="仿宋_GB2312"/>
          <w:color w:val="auto"/>
          <w:kern w:val="0"/>
          <w:sz w:val="28"/>
          <w:szCs w:val="28"/>
          <w:lang w:val="en-US" w:eastAsia="zh-CN"/>
        </w:rPr>
        <w:t>徐灵杰</w:t>
      </w:r>
      <w:r>
        <w:rPr>
          <w:rFonts w:hint="eastAsia" w:ascii="仿宋_GB2312" w:hAnsi="仿宋_GB2312" w:eastAsia="仿宋_GB2312" w:cs="仿宋_GB2312"/>
          <w:color w:val="auto"/>
          <w:kern w:val="0"/>
          <w:sz w:val="28"/>
          <w:szCs w:val="28"/>
        </w:rPr>
        <w:t>、程飞虹、应旭萍、刘福华、厉志光、卢倩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何哲瑾、张园、赵丹</w:t>
      </w:r>
      <w:r>
        <w:rPr>
          <w:rFonts w:hint="eastAsia" w:ascii="仿宋_GB2312" w:hAnsi="仿宋_GB2312" w:eastAsia="仿宋_GB2312" w:cs="仿宋_GB2312"/>
          <w:color w:val="auto"/>
          <w:kern w:val="0"/>
          <w:sz w:val="28"/>
          <w:szCs w:val="28"/>
        </w:rPr>
        <w:t>组成，负责组织自主招生专业适应性测试、考务安排等工作。</w:t>
      </w:r>
    </w:p>
    <w:p>
      <w:pPr>
        <w:ind w:firstLine="560" w:firstLineChars="200"/>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三、报名条件与招生计划</w:t>
      </w:r>
    </w:p>
    <w:p>
      <w:pPr>
        <w:widowControl/>
        <w:ind w:firstLine="562" w:firstLineChars="200"/>
        <w:jc w:val="lef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（一）报名条件</w:t>
      </w:r>
    </w:p>
    <w:p>
      <w:pPr>
        <w:widowControl/>
        <w:spacing w:line="36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杭州市区考生须符合《招生工作通知》中规定的招生对象条件和各类高中招生录取前置条件。</w:t>
      </w:r>
    </w:p>
    <w:p>
      <w:pPr>
        <w:widowControl/>
        <w:spacing w:line="360" w:lineRule="auto"/>
        <w:ind w:firstLine="562" w:firstLineChars="20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（二）招生计划</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自主招生</w:t>
      </w:r>
      <w:r>
        <w:rPr>
          <w:rFonts w:hint="eastAsia" w:ascii="仿宋_GB2312" w:hAnsi="仿宋_GB2312" w:eastAsia="仿宋_GB2312" w:cs="仿宋_GB2312"/>
          <w:color w:val="auto"/>
          <w:sz w:val="28"/>
          <w:szCs w:val="28"/>
        </w:rPr>
        <w:t>专业与计划见下表：</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
        <w:gridCol w:w="4605"/>
        <w:gridCol w:w="93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891" w:type="dxa"/>
            <w:noWrap w:val="0"/>
            <w:vAlign w:val="center"/>
          </w:tcPr>
          <w:p>
            <w:pPr>
              <w:jc w:val="center"/>
              <w:rPr>
                <w:rFonts w:hint="eastAsia" w:ascii="仿宋_GB2312" w:hAnsi="宋体" w:eastAsia="仿宋_GB2312" w:cs="宋体"/>
                <w:b/>
                <w:color w:val="auto"/>
                <w:kern w:val="0"/>
                <w:szCs w:val="21"/>
              </w:rPr>
            </w:pPr>
            <w:r>
              <w:rPr>
                <w:rFonts w:hint="eastAsia" w:ascii="仿宋_GB2312" w:hAnsi="宋体" w:eastAsia="仿宋_GB2312" w:cs="宋体"/>
                <w:b/>
                <w:color w:val="auto"/>
                <w:kern w:val="0"/>
                <w:szCs w:val="21"/>
              </w:rPr>
              <w:t>专业代码</w:t>
            </w:r>
          </w:p>
        </w:tc>
        <w:tc>
          <w:tcPr>
            <w:tcW w:w="4605" w:type="dxa"/>
            <w:noWrap w:val="0"/>
            <w:vAlign w:val="center"/>
          </w:tcPr>
          <w:p>
            <w:pPr>
              <w:jc w:val="center"/>
              <w:rPr>
                <w:rFonts w:hint="eastAsia" w:ascii="仿宋_GB2312" w:hAnsi="宋体" w:eastAsia="仿宋_GB2312" w:cs="宋体"/>
                <w:color w:val="auto"/>
                <w:kern w:val="0"/>
                <w:szCs w:val="21"/>
              </w:rPr>
            </w:pPr>
            <w:r>
              <w:rPr>
                <w:rFonts w:hint="eastAsia" w:ascii="仿宋_GB2312" w:hAnsi="宋体" w:eastAsia="仿宋_GB2312" w:cs="宋体"/>
                <w:b/>
                <w:color w:val="auto"/>
                <w:kern w:val="0"/>
                <w:szCs w:val="21"/>
              </w:rPr>
              <w:t>开设专业</w:t>
            </w:r>
          </w:p>
        </w:tc>
        <w:tc>
          <w:tcPr>
            <w:tcW w:w="930" w:type="dxa"/>
            <w:noWrap w:val="0"/>
            <w:vAlign w:val="center"/>
          </w:tcPr>
          <w:p>
            <w:pPr>
              <w:jc w:val="center"/>
              <w:rPr>
                <w:rFonts w:hint="eastAsia" w:ascii="仿宋_GB2312" w:hAnsi="宋体" w:eastAsia="仿宋_GB2312" w:cs="宋体"/>
                <w:b/>
                <w:color w:val="auto"/>
                <w:kern w:val="0"/>
                <w:szCs w:val="21"/>
              </w:rPr>
            </w:pPr>
            <w:r>
              <w:rPr>
                <w:rFonts w:hint="eastAsia" w:ascii="仿宋_GB2312" w:hAnsi="宋体" w:eastAsia="仿宋_GB2312" w:cs="宋体"/>
                <w:b/>
                <w:color w:val="auto"/>
                <w:kern w:val="0"/>
                <w:szCs w:val="21"/>
              </w:rPr>
              <w:t>招生数（人）</w:t>
            </w:r>
          </w:p>
        </w:tc>
        <w:tc>
          <w:tcPr>
            <w:tcW w:w="1860" w:type="dxa"/>
            <w:noWrap w:val="0"/>
            <w:vAlign w:val="center"/>
          </w:tcPr>
          <w:p>
            <w:pPr>
              <w:jc w:val="center"/>
              <w:rPr>
                <w:rFonts w:hint="eastAsia" w:ascii="仿宋_GB2312" w:hAnsi="宋体" w:eastAsia="仿宋_GB2312" w:cs="宋体"/>
                <w:b/>
                <w:color w:val="auto"/>
                <w:kern w:val="0"/>
                <w:szCs w:val="21"/>
                <w:lang w:eastAsia="zh-CN"/>
              </w:rPr>
            </w:pPr>
            <w:r>
              <w:rPr>
                <w:rFonts w:hint="eastAsia" w:ascii="仿宋_GB2312" w:hAnsi="宋体" w:eastAsia="仿宋_GB2312" w:cs="宋体"/>
                <w:b/>
                <w:color w:val="auto"/>
                <w:kern w:val="0"/>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1" w:type="dxa"/>
            <w:noWrap w:val="0"/>
            <w:vAlign w:val="center"/>
          </w:tcPr>
          <w:p>
            <w:pPr>
              <w:jc w:val="center"/>
              <w:rPr>
                <w:rFonts w:hint="default" w:ascii="仿宋_GB2312" w:hAnsi="宋体" w:eastAsia="仿宋_GB2312"/>
                <w:color w:val="auto"/>
                <w:kern w:val="0"/>
                <w:sz w:val="21"/>
                <w:szCs w:val="21"/>
                <w:lang w:val="en-US" w:eastAsia="zh-CN" w:bidi="ar-SA"/>
              </w:rPr>
            </w:pPr>
            <w:r>
              <w:rPr>
                <w:rFonts w:hint="default" w:ascii="仿宋_GB2312" w:hAnsi="宋体" w:eastAsia="仿宋_GB2312"/>
                <w:color w:val="auto"/>
                <w:kern w:val="0"/>
                <w:szCs w:val="21"/>
                <w:lang w:val="en-US"/>
              </w:rPr>
              <w:t>01</w:t>
            </w:r>
          </w:p>
        </w:tc>
        <w:tc>
          <w:tcPr>
            <w:tcW w:w="4605"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中餐烹饪</w:t>
            </w:r>
          </w:p>
          <w:p>
            <w:pPr>
              <w:jc w:val="center"/>
              <w:rPr>
                <w:rFonts w:hint="eastAsia" w:ascii="仿宋_GB2312" w:hAnsi="宋体" w:eastAsia="仿宋_GB2312"/>
                <w:color w:val="auto"/>
                <w:kern w:val="0"/>
                <w:sz w:val="21"/>
                <w:szCs w:val="21"/>
                <w:lang w:val="en-US" w:eastAsia="zh-CN" w:bidi="ar-SA"/>
              </w:rPr>
            </w:pPr>
            <w:r>
              <w:rPr>
                <w:rFonts w:hint="eastAsia" w:ascii="仿宋_GB2312" w:hAnsi="宋体" w:eastAsia="仿宋_GB2312"/>
                <w:color w:val="auto"/>
                <w:kern w:val="0"/>
                <w:szCs w:val="21"/>
              </w:rPr>
              <w:t>（</w:t>
            </w:r>
            <w:r>
              <w:rPr>
                <w:rFonts w:hint="eastAsia" w:ascii="仿宋_GB2312" w:hAnsi="宋体" w:eastAsia="仿宋_GB2312"/>
                <w:color w:val="auto"/>
                <w:kern w:val="0"/>
                <w:szCs w:val="21"/>
                <w:lang w:val="en-US" w:eastAsia="zh-CN"/>
              </w:rPr>
              <w:t>区域</w:t>
            </w:r>
            <w:r>
              <w:rPr>
                <w:rFonts w:hint="eastAsia" w:ascii="仿宋_GB2312" w:hAnsi="宋体" w:eastAsia="仿宋_GB2312"/>
                <w:color w:val="auto"/>
                <w:kern w:val="0"/>
                <w:szCs w:val="21"/>
              </w:rPr>
              <w:t>“中高职一体化”五年制班，与浙江商业职业技术学院联办）</w:t>
            </w:r>
          </w:p>
        </w:tc>
        <w:tc>
          <w:tcPr>
            <w:tcW w:w="930" w:type="dxa"/>
            <w:noWrap w:val="0"/>
            <w:vAlign w:val="center"/>
          </w:tcPr>
          <w:p>
            <w:pPr>
              <w:jc w:val="center"/>
              <w:rPr>
                <w:rFonts w:hint="default" w:ascii="仿宋_GB2312" w:hAnsi="宋体" w:eastAsia="仿宋_GB2312"/>
                <w:color w:val="auto"/>
                <w:kern w:val="0"/>
                <w:sz w:val="21"/>
                <w:szCs w:val="21"/>
                <w:lang w:val="en-US" w:eastAsia="zh-CN" w:bidi="ar-SA"/>
              </w:rPr>
            </w:pPr>
            <w:r>
              <w:rPr>
                <w:rFonts w:hint="default" w:ascii="仿宋_GB2312" w:hAnsi="宋体" w:eastAsia="仿宋_GB2312"/>
                <w:color w:val="auto"/>
                <w:kern w:val="0"/>
                <w:szCs w:val="21"/>
                <w:lang w:val="en-US"/>
              </w:rPr>
              <w:t>20</w:t>
            </w:r>
          </w:p>
        </w:tc>
        <w:tc>
          <w:tcPr>
            <w:tcW w:w="1860" w:type="dxa"/>
            <w:noWrap w:val="0"/>
            <w:vAlign w:val="center"/>
          </w:tcPr>
          <w:p>
            <w:pPr>
              <w:jc w:val="left"/>
              <w:rPr>
                <w:rFonts w:hint="eastAsia" w:ascii="仿宋_GB2312" w:hAnsi="宋体" w:eastAsia="仿宋_GB2312"/>
                <w:color w:val="auto"/>
                <w:kern w:val="0"/>
                <w:sz w:val="21"/>
                <w:szCs w:val="21"/>
                <w:lang w:val="en-US" w:eastAsia="zh-CN" w:bidi="ar-SA"/>
              </w:rPr>
            </w:pPr>
            <w:r>
              <w:rPr>
                <w:rFonts w:hint="eastAsia" w:ascii="仿宋_GB2312" w:hAnsi="宋体" w:eastAsia="仿宋_GB2312"/>
                <w:color w:val="auto"/>
                <w:kern w:val="0"/>
                <w:szCs w:val="21"/>
                <w:lang w:eastAsia="zh-CN"/>
              </w:rPr>
              <w:t>身体符合健康证体检要求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1"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02</w:t>
            </w:r>
          </w:p>
        </w:tc>
        <w:tc>
          <w:tcPr>
            <w:tcW w:w="4605"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中餐烹饪</w:t>
            </w:r>
          </w:p>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（“中高职一体化”五年制班，与浙江商业职业技术学院联办）</w:t>
            </w:r>
          </w:p>
        </w:tc>
        <w:tc>
          <w:tcPr>
            <w:tcW w:w="930" w:type="dxa"/>
            <w:noWrap w:val="0"/>
            <w:vAlign w:val="center"/>
          </w:tcPr>
          <w:p>
            <w:pPr>
              <w:jc w:val="center"/>
              <w:rPr>
                <w:rFonts w:hint="default" w:ascii="仿宋_GB2312" w:hAnsi="宋体" w:eastAsia="仿宋_GB2312"/>
                <w:color w:val="auto"/>
                <w:kern w:val="0"/>
                <w:szCs w:val="21"/>
                <w:lang w:val="en-US"/>
              </w:rPr>
            </w:pPr>
            <w:r>
              <w:rPr>
                <w:rFonts w:hint="default" w:ascii="仿宋_GB2312" w:hAnsi="宋体" w:eastAsia="仿宋_GB2312"/>
                <w:color w:val="auto"/>
                <w:kern w:val="0"/>
                <w:szCs w:val="21"/>
                <w:lang w:val="en-US"/>
              </w:rPr>
              <w:t>20</w:t>
            </w:r>
          </w:p>
        </w:tc>
        <w:tc>
          <w:tcPr>
            <w:tcW w:w="1860" w:type="dxa"/>
            <w:noWrap w:val="0"/>
            <w:vAlign w:val="center"/>
          </w:tcPr>
          <w:p>
            <w:pPr>
              <w:jc w:val="left"/>
              <w:rPr>
                <w:rFonts w:hint="eastAsia" w:ascii="仿宋_GB2312" w:hAnsi="宋体" w:eastAsia="仿宋_GB2312"/>
                <w:color w:val="auto"/>
                <w:kern w:val="0"/>
                <w:szCs w:val="21"/>
                <w:lang w:eastAsia="zh-CN"/>
              </w:rPr>
            </w:pPr>
            <w:r>
              <w:rPr>
                <w:rFonts w:hint="eastAsia" w:ascii="仿宋_GB2312" w:hAnsi="宋体" w:eastAsia="仿宋_GB2312"/>
                <w:color w:val="auto"/>
                <w:kern w:val="0"/>
                <w:szCs w:val="21"/>
                <w:lang w:eastAsia="zh-CN"/>
              </w:rPr>
              <w:t>身体符合健康证体检要求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1" w:type="dxa"/>
            <w:noWrap w:val="0"/>
            <w:vAlign w:val="center"/>
          </w:tcPr>
          <w:p>
            <w:pPr>
              <w:widowControl/>
              <w:snapToGrid w:val="0"/>
              <w:spacing w:line="360" w:lineRule="auto"/>
              <w:jc w:val="center"/>
              <w:rPr>
                <w:rFonts w:hint="default" w:ascii="仿宋_GB2312" w:hAnsi="宋体" w:eastAsia="仿宋_GB2312"/>
                <w:color w:val="auto"/>
                <w:kern w:val="0"/>
                <w:szCs w:val="21"/>
                <w:lang w:val="en-US"/>
              </w:rPr>
            </w:pPr>
            <w:r>
              <w:rPr>
                <w:rFonts w:hint="eastAsia" w:ascii="宋体" w:hAnsi="宋体" w:eastAsia="宋体" w:cs="宋体"/>
                <w:color w:val="auto"/>
                <w:sz w:val="18"/>
                <w:szCs w:val="18"/>
              </w:rPr>
              <w:t>03</w:t>
            </w:r>
          </w:p>
        </w:tc>
        <w:tc>
          <w:tcPr>
            <w:tcW w:w="4605" w:type="dxa"/>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0"/>
                <w:sz w:val="21"/>
                <w:szCs w:val="21"/>
                <w:u w:val="none"/>
                <w:lang w:val="en-US" w:eastAsia="zh-CN" w:bidi="ar"/>
              </w:rPr>
            </w:pPr>
            <w:r>
              <w:rPr>
                <w:rFonts w:hint="default" w:ascii="仿宋_GB2312" w:hAnsi="等线" w:eastAsia="仿宋_GB2312" w:cs="仿宋_GB2312"/>
                <w:i w:val="0"/>
                <w:iCs w:val="0"/>
                <w:color w:val="auto"/>
                <w:kern w:val="0"/>
                <w:sz w:val="21"/>
                <w:szCs w:val="21"/>
                <w:u w:val="none"/>
                <w:lang w:val="en-US" w:eastAsia="zh-CN" w:bidi="ar"/>
              </w:rPr>
              <w:t>西餐烹饪</w:t>
            </w:r>
          </w:p>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1"/>
                <w:szCs w:val="21"/>
                <w:u w:val="none"/>
                <w:lang w:val="en-US" w:eastAsia="zh-CN" w:bidi="ar"/>
              </w:rPr>
            </w:pPr>
            <w:r>
              <w:rPr>
                <w:rFonts w:hint="eastAsia" w:ascii="仿宋_GB2312" w:hAnsi="等线" w:eastAsia="仿宋_GB2312" w:cs="仿宋_GB2312"/>
                <w:i w:val="0"/>
                <w:iCs w:val="0"/>
                <w:color w:val="auto"/>
                <w:kern w:val="0"/>
                <w:sz w:val="21"/>
                <w:szCs w:val="21"/>
                <w:u w:val="none"/>
                <w:lang w:val="en-US" w:eastAsia="zh-CN" w:bidi="ar"/>
              </w:rPr>
              <w:t>（三年制班，以职教高考方向为主）</w:t>
            </w:r>
          </w:p>
        </w:tc>
        <w:tc>
          <w:tcPr>
            <w:tcW w:w="930" w:type="dxa"/>
            <w:noWrap w:val="0"/>
            <w:vAlign w:val="center"/>
          </w:tcPr>
          <w:p>
            <w:pPr>
              <w:jc w:val="center"/>
              <w:rPr>
                <w:rFonts w:hint="default" w:ascii="仿宋_GB2312" w:hAnsi="宋体" w:eastAsia="仿宋_GB2312"/>
                <w:color w:val="auto"/>
                <w:kern w:val="0"/>
                <w:szCs w:val="21"/>
                <w:lang w:val="en-US"/>
              </w:rPr>
            </w:pPr>
            <w:r>
              <w:rPr>
                <w:rFonts w:hint="default" w:ascii="仿宋_GB2312" w:hAnsi="宋体" w:eastAsia="仿宋_GB2312"/>
                <w:color w:val="auto"/>
                <w:kern w:val="0"/>
                <w:szCs w:val="21"/>
                <w:lang w:val="en-US"/>
              </w:rPr>
              <w:t>13</w:t>
            </w:r>
          </w:p>
        </w:tc>
        <w:tc>
          <w:tcPr>
            <w:tcW w:w="1860" w:type="dxa"/>
            <w:noWrap w:val="0"/>
            <w:vAlign w:val="center"/>
          </w:tcPr>
          <w:p>
            <w:pPr>
              <w:jc w:val="left"/>
              <w:rPr>
                <w:rFonts w:hint="eastAsia" w:ascii="仿宋_GB2312" w:hAnsi="宋体" w:eastAsia="仿宋_GB2312"/>
                <w:b/>
                <w:bCs/>
                <w:color w:val="auto"/>
                <w:kern w:val="0"/>
                <w:szCs w:val="21"/>
                <w:lang w:eastAsia="zh-CN"/>
              </w:rPr>
            </w:pPr>
            <w:r>
              <w:rPr>
                <w:rFonts w:hint="eastAsia" w:ascii="仿宋_GB2312" w:hAnsi="宋体" w:eastAsia="仿宋_GB2312"/>
                <w:color w:val="auto"/>
                <w:kern w:val="0"/>
                <w:szCs w:val="21"/>
                <w:lang w:eastAsia="zh-CN"/>
              </w:rPr>
              <w:t>身体符合健康证体检要求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1"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04</w:t>
            </w:r>
          </w:p>
        </w:tc>
        <w:tc>
          <w:tcPr>
            <w:tcW w:w="4605"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西餐烹饪</w:t>
            </w:r>
          </w:p>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（“中高职一体化”五年制班，与浙江旅游职业学院联办）</w:t>
            </w:r>
          </w:p>
        </w:tc>
        <w:tc>
          <w:tcPr>
            <w:tcW w:w="930" w:type="dxa"/>
            <w:noWrap w:val="0"/>
            <w:vAlign w:val="center"/>
          </w:tcPr>
          <w:p>
            <w:pPr>
              <w:jc w:val="center"/>
              <w:rPr>
                <w:rFonts w:hint="default" w:ascii="仿宋_GB2312" w:hAnsi="宋体" w:eastAsia="仿宋_GB2312"/>
                <w:color w:val="auto"/>
                <w:kern w:val="0"/>
                <w:szCs w:val="21"/>
                <w:lang w:val="en-US"/>
              </w:rPr>
            </w:pPr>
            <w:r>
              <w:rPr>
                <w:rFonts w:hint="default" w:ascii="仿宋_GB2312" w:hAnsi="宋体" w:eastAsia="仿宋_GB2312"/>
                <w:color w:val="auto"/>
                <w:kern w:val="0"/>
                <w:szCs w:val="21"/>
                <w:lang w:val="en-US"/>
              </w:rPr>
              <w:t>20</w:t>
            </w:r>
          </w:p>
        </w:tc>
        <w:tc>
          <w:tcPr>
            <w:tcW w:w="1860" w:type="dxa"/>
            <w:noWrap w:val="0"/>
            <w:vAlign w:val="center"/>
          </w:tcPr>
          <w:p>
            <w:pPr>
              <w:jc w:val="left"/>
              <w:rPr>
                <w:rFonts w:hint="eastAsia" w:ascii="仿宋_GB2312" w:hAnsi="宋体" w:eastAsia="仿宋_GB2312"/>
                <w:color w:val="auto"/>
                <w:kern w:val="0"/>
                <w:sz w:val="21"/>
                <w:szCs w:val="21"/>
                <w:lang w:val="en-US" w:eastAsia="zh-CN" w:bidi="ar-SA"/>
              </w:rPr>
            </w:pPr>
            <w:r>
              <w:rPr>
                <w:rFonts w:hint="eastAsia" w:ascii="仿宋_GB2312" w:hAnsi="宋体" w:eastAsia="仿宋_GB2312"/>
                <w:color w:val="auto"/>
                <w:kern w:val="0"/>
                <w:szCs w:val="21"/>
                <w:lang w:eastAsia="zh-CN"/>
              </w:rPr>
              <w:t>身体符合健康证体检要求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1" w:type="dxa"/>
            <w:noWrap w:val="0"/>
            <w:vAlign w:val="center"/>
          </w:tcPr>
          <w:p>
            <w:pPr>
              <w:jc w:val="center"/>
              <w:rPr>
                <w:rFonts w:hint="default" w:ascii="仿宋_GB2312" w:hAnsi="宋体" w:eastAsia="仿宋_GB2312"/>
                <w:color w:val="auto"/>
                <w:kern w:val="0"/>
                <w:sz w:val="21"/>
                <w:szCs w:val="21"/>
                <w:lang w:val="en-US" w:eastAsia="zh-CN" w:bidi="ar-SA"/>
              </w:rPr>
            </w:pPr>
            <w:r>
              <w:rPr>
                <w:rFonts w:hint="default" w:ascii="仿宋_GB2312" w:hAnsi="宋体" w:eastAsia="仿宋_GB2312"/>
                <w:color w:val="auto"/>
                <w:kern w:val="0"/>
                <w:szCs w:val="21"/>
                <w:lang w:val="en-US"/>
              </w:rPr>
              <w:t>05</w:t>
            </w:r>
          </w:p>
        </w:tc>
        <w:tc>
          <w:tcPr>
            <w:tcW w:w="4605"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中西面点</w:t>
            </w:r>
          </w:p>
          <w:p>
            <w:pPr>
              <w:jc w:val="center"/>
              <w:rPr>
                <w:rFonts w:hint="eastAsia" w:ascii="仿宋_GB2312" w:hAnsi="宋体" w:eastAsia="仿宋_GB2312"/>
                <w:color w:val="auto"/>
                <w:kern w:val="0"/>
                <w:sz w:val="21"/>
                <w:szCs w:val="21"/>
                <w:lang w:val="en-US" w:eastAsia="zh-CN" w:bidi="ar-SA"/>
              </w:rPr>
            </w:pPr>
            <w:r>
              <w:rPr>
                <w:rFonts w:hint="eastAsia" w:ascii="仿宋_GB2312" w:hAnsi="等线" w:eastAsia="仿宋_GB2312" w:cs="仿宋_GB2312"/>
                <w:i w:val="0"/>
                <w:iCs w:val="0"/>
                <w:color w:val="auto"/>
                <w:kern w:val="0"/>
                <w:sz w:val="21"/>
                <w:szCs w:val="21"/>
                <w:u w:val="none"/>
                <w:lang w:val="en-US" w:eastAsia="zh-CN" w:bidi="ar"/>
              </w:rPr>
              <w:t>（三年制班，以职教高考方向为主）</w:t>
            </w:r>
          </w:p>
        </w:tc>
        <w:tc>
          <w:tcPr>
            <w:tcW w:w="930" w:type="dxa"/>
            <w:noWrap w:val="0"/>
            <w:vAlign w:val="center"/>
          </w:tcPr>
          <w:p>
            <w:pPr>
              <w:jc w:val="center"/>
              <w:rPr>
                <w:rFonts w:hint="default" w:ascii="仿宋_GB2312" w:hAnsi="宋体" w:eastAsia="仿宋_GB2312"/>
                <w:color w:val="auto"/>
                <w:kern w:val="0"/>
                <w:sz w:val="21"/>
                <w:szCs w:val="21"/>
                <w:lang w:val="en-US" w:eastAsia="zh-CN" w:bidi="ar-SA"/>
              </w:rPr>
            </w:pPr>
            <w:r>
              <w:rPr>
                <w:rFonts w:hint="default" w:ascii="仿宋_GB2312" w:hAnsi="宋体" w:eastAsia="仿宋_GB2312"/>
                <w:color w:val="auto"/>
                <w:kern w:val="0"/>
                <w:szCs w:val="21"/>
                <w:lang w:val="en-US"/>
              </w:rPr>
              <w:t>13</w:t>
            </w:r>
          </w:p>
        </w:tc>
        <w:tc>
          <w:tcPr>
            <w:tcW w:w="1860" w:type="dxa"/>
            <w:noWrap w:val="0"/>
            <w:vAlign w:val="center"/>
          </w:tcPr>
          <w:p>
            <w:pPr>
              <w:jc w:val="left"/>
              <w:rPr>
                <w:rFonts w:hint="eastAsia" w:ascii="仿宋_GB2312" w:hAnsi="宋体" w:eastAsia="仿宋_GB2312"/>
                <w:color w:val="auto"/>
                <w:kern w:val="0"/>
                <w:sz w:val="21"/>
                <w:szCs w:val="21"/>
                <w:lang w:val="en-US" w:eastAsia="zh-CN" w:bidi="ar-SA"/>
              </w:rPr>
            </w:pPr>
            <w:r>
              <w:rPr>
                <w:rFonts w:hint="eastAsia" w:ascii="仿宋_GB2312" w:hAnsi="宋体" w:eastAsia="仿宋_GB2312"/>
                <w:color w:val="auto"/>
                <w:kern w:val="0"/>
                <w:szCs w:val="21"/>
                <w:lang w:eastAsia="zh-CN"/>
              </w:rPr>
              <w:t>身体符合健康证体检要求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1"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06</w:t>
            </w:r>
          </w:p>
        </w:tc>
        <w:tc>
          <w:tcPr>
            <w:tcW w:w="4605"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中西面点</w:t>
            </w:r>
          </w:p>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（“中高职一体化”五年制班，与浙江旅游职业学院联办）</w:t>
            </w:r>
          </w:p>
        </w:tc>
        <w:tc>
          <w:tcPr>
            <w:tcW w:w="930" w:type="dxa"/>
            <w:noWrap w:val="0"/>
            <w:vAlign w:val="center"/>
          </w:tcPr>
          <w:p>
            <w:pPr>
              <w:jc w:val="center"/>
              <w:rPr>
                <w:rFonts w:hint="default" w:ascii="仿宋_GB2312" w:hAnsi="宋体" w:eastAsia="仿宋_GB2312"/>
                <w:color w:val="auto"/>
                <w:kern w:val="0"/>
                <w:szCs w:val="21"/>
                <w:lang w:val="en-US"/>
              </w:rPr>
            </w:pPr>
            <w:r>
              <w:rPr>
                <w:rFonts w:hint="default" w:ascii="仿宋_GB2312" w:hAnsi="宋体" w:eastAsia="仿宋_GB2312"/>
                <w:color w:val="auto"/>
                <w:kern w:val="0"/>
                <w:szCs w:val="21"/>
                <w:lang w:val="en-US"/>
              </w:rPr>
              <w:t>20</w:t>
            </w:r>
          </w:p>
        </w:tc>
        <w:tc>
          <w:tcPr>
            <w:tcW w:w="1860" w:type="dxa"/>
            <w:noWrap w:val="0"/>
            <w:vAlign w:val="center"/>
          </w:tcPr>
          <w:p>
            <w:pPr>
              <w:jc w:val="left"/>
              <w:rPr>
                <w:rFonts w:hint="eastAsia" w:ascii="仿宋_GB2312" w:hAnsi="宋体" w:eastAsia="仿宋_GB2312"/>
                <w:color w:val="auto"/>
                <w:kern w:val="0"/>
                <w:sz w:val="21"/>
                <w:szCs w:val="21"/>
                <w:lang w:val="en-US" w:eastAsia="zh-CN" w:bidi="ar-SA"/>
              </w:rPr>
            </w:pPr>
            <w:r>
              <w:rPr>
                <w:rFonts w:hint="eastAsia" w:ascii="仿宋_GB2312" w:hAnsi="宋体" w:eastAsia="仿宋_GB2312"/>
                <w:color w:val="auto"/>
                <w:kern w:val="0"/>
                <w:szCs w:val="21"/>
                <w:lang w:eastAsia="zh-CN"/>
              </w:rPr>
              <w:t>身体符合健康证体检要求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1" w:type="dxa"/>
            <w:noWrap w:val="0"/>
            <w:vAlign w:val="center"/>
          </w:tcPr>
          <w:p>
            <w:pPr>
              <w:jc w:val="center"/>
              <w:rPr>
                <w:rFonts w:hint="default" w:ascii="仿宋_GB2312" w:hAnsi="宋体" w:eastAsia="仿宋_GB2312"/>
                <w:color w:val="auto"/>
                <w:kern w:val="0"/>
                <w:sz w:val="21"/>
                <w:szCs w:val="21"/>
                <w:lang w:val="en-US" w:eastAsia="zh-CN" w:bidi="ar-SA"/>
              </w:rPr>
            </w:pPr>
            <w:r>
              <w:rPr>
                <w:rFonts w:hint="default" w:ascii="仿宋_GB2312" w:hAnsi="宋体" w:eastAsia="仿宋_GB2312"/>
                <w:color w:val="auto"/>
                <w:kern w:val="0"/>
                <w:szCs w:val="21"/>
                <w:lang w:val="en-US"/>
              </w:rPr>
              <w:t>07</w:t>
            </w:r>
          </w:p>
        </w:tc>
        <w:tc>
          <w:tcPr>
            <w:tcW w:w="4605"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高星级饭店运营与管理</w:t>
            </w:r>
          </w:p>
          <w:p>
            <w:pPr>
              <w:jc w:val="center"/>
              <w:rPr>
                <w:rFonts w:hint="eastAsia" w:ascii="仿宋_GB2312" w:hAnsi="宋体" w:eastAsia="仿宋_GB2312"/>
                <w:color w:val="auto"/>
                <w:kern w:val="0"/>
                <w:sz w:val="21"/>
                <w:szCs w:val="21"/>
                <w:lang w:val="en-US" w:eastAsia="zh-CN" w:bidi="ar-SA"/>
              </w:rPr>
            </w:pPr>
            <w:r>
              <w:rPr>
                <w:rFonts w:hint="eastAsia" w:ascii="仿宋_GB2312" w:hAnsi="等线" w:eastAsia="仿宋_GB2312" w:cs="仿宋_GB2312"/>
                <w:i w:val="0"/>
                <w:iCs w:val="0"/>
                <w:color w:val="auto"/>
                <w:kern w:val="0"/>
                <w:sz w:val="21"/>
                <w:szCs w:val="21"/>
                <w:u w:val="none"/>
                <w:lang w:val="en-US" w:eastAsia="zh-CN" w:bidi="ar"/>
              </w:rPr>
              <w:t>（三年制班，以职教高考方向为主）</w:t>
            </w:r>
          </w:p>
        </w:tc>
        <w:tc>
          <w:tcPr>
            <w:tcW w:w="930" w:type="dxa"/>
            <w:noWrap w:val="0"/>
            <w:vAlign w:val="center"/>
          </w:tcPr>
          <w:p>
            <w:pPr>
              <w:jc w:val="center"/>
              <w:rPr>
                <w:rFonts w:hint="default" w:ascii="仿宋_GB2312" w:hAnsi="宋体" w:eastAsia="仿宋_GB2312"/>
                <w:color w:val="auto"/>
                <w:kern w:val="0"/>
                <w:sz w:val="21"/>
                <w:szCs w:val="21"/>
                <w:lang w:val="en-US" w:eastAsia="zh-CN" w:bidi="ar-SA"/>
              </w:rPr>
            </w:pPr>
            <w:r>
              <w:rPr>
                <w:rFonts w:hint="default" w:ascii="仿宋_GB2312" w:hAnsi="宋体" w:eastAsia="仿宋_GB2312"/>
                <w:color w:val="auto"/>
                <w:kern w:val="0"/>
                <w:szCs w:val="21"/>
                <w:lang w:val="en-US"/>
              </w:rPr>
              <w:t>25</w:t>
            </w:r>
          </w:p>
        </w:tc>
        <w:tc>
          <w:tcPr>
            <w:tcW w:w="1860" w:type="dxa"/>
            <w:noWrap w:val="0"/>
            <w:vAlign w:val="center"/>
          </w:tcPr>
          <w:p>
            <w:pPr>
              <w:jc w:val="left"/>
              <w:rPr>
                <w:rFonts w:hint="eastAsia" w:ascii="仿宋_GB2312" w:hAnsi="宋体" w:eastAsia="仿宋_GB2312"/>
                <w:color w:val="auto"/>
                <w:kern w:val="0"/>
                <w:sz w:val="21"/>
                <w:szCs w:val="21"/>
                <w:lang w:val="en-US" w:eastAsia="zh-CN" w:bidi="ar-SA"/>
              </w:rPr>
            </w:pPr>
            <w:r>
              <w:rPr>
                <w:rFonts w:hint="eastAsia" w:ascii="仿宋_GB2312" w:hAnsi="宋体" w:eastAsia="仿宋_GB2312"/>
                <w:color w:val="auto"/>
                <w:kern w:val="0"/>
                <w:szCs w:val="21"/>
                <w:lang w:eastAsia="zh-CN"/>
              </w:rPr>
              <w:t>身体符合健康证体检要求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trPr>
        <w:tc>
          <w:tcPr>
            <w:tcW w:w="891"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08</w:t>
            </w:r>
          </w:p>
        </w:tc>
        <w:tc>
          <w:tcPr>
            <w:tcW w:w="4605"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高星级饭店运营与管理</w:t>
            </w:r>
          </w:p>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（“中高职一体化”五年制班，与浙江旅游职业学院联办）</w:t>
            </w:r>
          </w:p>
        </w:tc>
        <w:tc>
          <w:tcPr>
            <w:tcW w:w="930" w:type="dxa"/>
            <w:noWrap w:val="0"/>
            <w:vAlign w:val="center"/>
          </w:tcPr>
          <w:p>
            <w:pPr>
              <w:jc w:val="center"/>
              <w:rPr>
                <w:rFonts w:hint="default" w:ascii="仿宋_GB2312" w:hAnsi="宋体" w:eastAsia="仿宋_GB2312"/>
                <w:color w:val="auto"/>
                <w:kern w:val="0"/>
                <w:szCs w:val="21"/>
                <w:lang w:val="en-US"/>
              </w:rPr>
            </w:pPr>
            <w:r>
              <w:rPr>
                <w:rFonts w:hint="default" w:ascii="仿宋_GB2312" w:hAnsi="宋体" w:eastAsia="仿宋_GB2312"/>
                <w:color w:val="auto"/>
                <w:kern w:val="0"/>
                <w:szCs w:val="21"/>
                <w:lang w:val="en-US"/>
              </w:rPr>
              <w:t>25</w:t>
            </w:r>
          </w:p>
        </w:tc>
        <w:tc>
          <w:tcPr>
            <w:tcW w:w="1860" w:type="dxa"/>
            <w:noWrap w:val="0"/>
            <w:vAlign w:val="center"/>
          </w:tcPr>
          <w:p>
            <w:pPr>
              <w:jc w:val="left"/>
              <w:rPr>
                <w:rFonts w:hint="eastAsia" w:ascii="仿宋_GB2312" w:hAnsi="宋体" w:eastAsia="仿宋_GB2312"/>
                <w:color w:val="auto"/>
                <w:kern w:val="0"/>
                <w:sz w:val="21"/>
                <w:szCs w:val="21"/>
                <w:lang w:val="en-US" w:eastAsia="zh-CN" w:bidi="ar-SA"/>
              </w:rPr>
            </w:pPr>
            <w:r>
              <w:rPr>
                <w:rFonts w:hint="eastAsia" w:ascii="仿宋_GB2312" w:hAnsi="宋体" w:eastAsia="仿宋_GB2312"/>
                <w:color w:val="auto"/>
                <w:kern w:val="0"/>
                <w:szCs w:val="21"/>
                <w:lang w:eastAsia="zh-CN"/>
              </w:rPr>
              <w:t>身体符合健康证体检要求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1"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09</w:t>
            </w:r>
          </w:p>
        </w:tc>
        <w:tc>
          <w:tcPr>
            <w:tcW w:w="4605"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茶艺与茶营销</w:t>
            </w:r>
          </w:p>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（“中高职一体化”五年制班，与浙江经贸职业技术学院联办）</w:t>
            </w:r>
          </w:p>
        </w:tc>
        <w:tc>
          <w:tcPr>
            <w:tcW w:w="930" w:type="dxa"/>
            <w:noWrap w:val="0"/>
            <w:vAlign w:val="center"/>
          </w:tcPr>
          <w:p>
            <w:pPr>
              <w:jc w:val="center"/>
              <w:rPr>
                <w:rFonts w:hint="default" w:ascii="仿宋_GB2312" w:hAnsi="宋体" w:eastAsia="仿宋_GB2312"/>
                <w:color w:val="auto"/>
                <w:kern w:val="0"/>
                <w:szCs w:val="21"/>
                <w:lang w:val="en-US"/>
              </w:rPr>
            </w:pPr>
            <w:r>
              <w:rPr>
                <w:rFonts w:hint="default" w:ascii="仿宋_GB2312" w:hAnsi="宋体" w:eastAsia="仿宋_GB2312"/>
                <w:color w:val="auto"/>
                <w:kern w:val="0"/>
                <w:szCs w:val="21"/>
                <w:lang w:val="en-US"/>
              </w:rPr>
              <w:t>35</w:t>
            </w:r>
          </w:p>
        </w:tc>
        <w:tc>
          <w:tcPr>
            <w:tcW w:w="1860" w:type="dxa"/>
            <w:noWrap w:val="0"/>
            <w:vAlign w:val="center"/>
          </w:tcPr>
          <w:p>
            <w:pPr>
              <w:jc w:val="center"/>
              <w:rPr>
                <w:rFonts w:hint="eastAsia" w:ascii="仿宋_GB2312" w:hAnsi="宋体" w:eastAsia="仿宋_GB2312"/>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1"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10</w:t>
            </w:r>
          </w:p>
        </w:tc>
        <w:tc>
          <w:tcPr>
            <w:tcW w:w="4605"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电子商务</w:t>
            </w:r>
          </w:p>
          <w:p>
            <w:pPr>
              <w:jc w:val="center"/>
              <w:rPr>
                <w:rFonts w:hint="eastAsia" w:ascii="仿宋_GB2312" w:hAnsi="宋体" w:eastAsia="仿宋_GB2312"/>
                <w:color w:val="auto"/>
                <w:kern w:val="0"/>
                <w:szCs w:val="21"/>
              </w:rPr>
            </w:pPr>
            <w:r>
              <w:rPr>
                <w:rFonts w:hint="eastAsia" w:ascii="仿宋_GB2312" w:hAnsi="等线" w:eastAsia="仿宋_GB2312" w:cs="仿宋_GB2312"/>
                <w:i w:val="0"/>
                <w:iCs w:val="0"/>
                <w:color w:val="auto"/>
                <w:kern w:val="0"/>
                <w:sz w:val="21"/>
                <w:szCs w:val="21"/>
                <w:u w:val="none"/>
                <w:lang w:val="en-US" w:eastAsia="zh-CN" w:bidi="ar"/>
              </w:rPr>
              <w:t>（三年制班，以职教高考方向为主）</w:t>
            </w:r>
          </w:p>
        </w:tc>
        <w:tc>
          <w:tcPr>
            <w:tcW w:w="930" w:type="dxa"/>
            <w:noWrap w:val="0"/>
            <w:vAlign w:val="center"/>
          </w:tcPr>
          <w:p>
            <w:pPr>
              <w:jc w:val="center"/>
              <w:rPr>
                <w:rFonts w:hint="default" w:ascii="仿宋_GB2312" w:hAnsi="宋体" w:eastAsia="仿宋_GB2312"/>
                <w:color w:val="auto"/>
                <w:kern w:val="0"/>
                <w:szCs w:val="21"/>
                <w:lang w:val="en-US"/>
              </w:rPr>
            </w:pPr>
            <w:r>
              <w:rPr>
                <w:rFonts w:hint="default" w:ascii="仿宋_GB2312" w:hAnsi="宋体" w:eastAsia="仿宋_GB2312"/>
                <w:color w:val="auto"/>
                <w:kern w:val="0"/>
                <w:szCs w:val="21"/>
                <w:lang w:val="en-US"/>
              </w:rPr>
              <w:t>40</w:t>
            </w:r>
          </w:p>
        </w:tc>
        <w:tc>
          <w:tcPr>
            <w:tcW w:w="1860" w:type="dxa"/>
            <w:noWrap w:val="0"/>
            <w:vAlign w:val="center"/>
          </w:tcPr>
          <w:p>
            <w:pPr>
              <w:jc w:val="center"/>
              <w:rPr>
                <w:rFonts w:hint="eastAsia" w:ascii="仿宋_GB2312" w:hAnsi="宋体" w:eastAsia="仿宋_GB2312"/>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1"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11</w:t>
            </w:r>
          </w:p>
        </w:tc>
        <w:tc>
          <w:tcPr>
            <w:tcW w:w="4605"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电子商务</w:t>
            </w:r>
          </w:p>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（“中高职一体化”五年制班，与浙江经贸职业技术学院联办）</w:t>
            </w:r>
          </w:p>
        </w:tc>
        <w:tc>
          <w:tcPr>
            <w:tcW w:w="930" w:type="dxa"/>
            <w:noWrap w:val="0"/>
            <w:vAlign w:val="center"/>
          </w:tcPr>
          <w:p>
            <w:pPr>
              <w:jc w:val="center"/>
              <w:rPr>
                <w:rFonts w:hint="default" w:ascii="仿宋_GB2312" w:hAnsi="宋体" w:eastAsia="仿宋_GB2312"/>
                <w:color w:val="auto"/>
                <w:kern w:val="0"/>
                <w:szCs w:val="21"/>
                <w:lang w:val="en-US"/>
              </w:rPr>
            </w:pPr>
            <w:r>
              <w:rPr>
                <w:rFonts w:hint="default" w:ascii="仿宋_GB2312" w:hAnsi="宋体" w:eastAsia="仿宋_GB2312"/>
                <w:color w:val="auto"/>
                <w:kern w:val="0"/>
                <w:szCs w:val="21"/>
                <w:lang w:val="en-US"/>
              </w:rPr>
              <w:t>20</w:t>
            </w:r>
          </w:p>
        </w:tc>
        <w:tc>
          <w:tcPr>
            <w:tcW w:w="1860" w:type="dxa"/>
            <w:noWrap w:val="0"/>
            <w:vAlign w:val="center"/>
          </w:tcPr>
          <w:p>
            <w:pPr>
              <w:jc w:val="center"/>
              <w:rPr>
                <w:rFonts w:hint="eastAsia" w:ascii="仿宋_GB2312" w:hAnsi="宋体" w:eastAsia="仿宋_GB2312"/>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1" w:type="dxa"/>
            <w:noWrap w:val="0"/>
            <w:vAlign w:val="center"/>
          </w:tcPr>
          <w:p>
            <w:pPr>
              <w:jc w:val="center"/>
              <w:rPr>
                <w:rFonts w:hint="eastAsia" w:ascii="仿宋_GB2312" w:hAnsi="宋体" w:eastAsia="仿宋_GB2312"/>
                <w:color w:val="auto"/>
                <w:kern w:val="0"/>
                <w:sz w:val="21"/>
                <w:szCs w:val="21"/>
                <w:lang w:val="en-US" w:eastAsia="zh-CN" w:bidi="ar-SA"/>
              </w:rPr>
            </w:pPr>
            <w:r>
              <w:rPr>
                <w:rFonts w:hint="eastAsia" w:ascii="仿宋_GB2312" w:hAnsi="宋体" w:eastAsia="仿宋_GB2312"/>
                <w:color w:val="auto"/>
                <w:kern w:val="0"/>
                <w:szCs w:val="21"/>
              </w:rPr>
              <w:t>1</w:t>
            </w:r>
            <w:r>
              <w:rPr>
                <w:rFonts w:hint="default" w:ascii="仿宋_GB2312" w:hAnsi="宋体" w:eastAsia="仿宋_GB2312"/>
                <w:color w:val="auto"/>
                <w:kern w:val="0"/>
                <w:szCs w:val="21"/>
                <w:lang w:val="en-US"/>
              </w:rPr>
              <w:t>2</w:t>
            </w:r>
          </w:p>
        </w:tc>
        <w:tc>
          <w:tcPr>
            <w:tcW w:w="4605"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电子商务</w:t>
            </w:r>
          </w:p>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（“中高职一体化”五年制班，与浙江</w:t>
            </w:r>
            <w:r>
              <w:rPr>
                <w:rFonts w:hint="eastAsia" w:ascii="仿宋_GB2312" w:hAnsi="宋体" w:eastAsia="仿宋_GB2312"/>
                <w:color w:val="auto"/>
                <w:kern w:val="0"/>
                <w:szCs w:val="21"/>
                <w:lang w:val="en-US" w:eastAsia="zh-CN"/>
              </w:rPr>
              <w:t>商业</w:t>
            </w:r>
            <w:r>
              <w:rPr>
                <w:rFonts w:hint="eastAsia" w:ascii="仿宋_GB2312" w:hAnsi="宋体" w:eastAsia="仿宋_GB2312"/>
                <w:color w:val="auto"/>
                <w:kern w:val="0"/>
                <w:szCs w:val="21"/>
              </w:rPr>
              <w:t>职业技术学院联办）</w:t>
            </w:r>
          </w:p>
        </w:tc>
        <w:tc>
          <w:tcPr>
            <w:tcW w:w="930" w:type="dxa"/>
            <w:noWrap w:val="0"/>
            <w:vAlign w:val="center"/>
          </w:tcPr>
          <w:p>
            <w:pPr>
              <w:jc w:val="center"/>
              <w:rPr>
                <w:rFonts w:hint="default" w:ascii="仿宋_GB2312" w:hAnsi="宋体" w:eastAsia="仿宋_GB2312"/>
                <w:color w:val="auto"/>
                <w:kern w:val="0"/>
                <w:szCs w:val="21"/>
                <w:lang w:val="en-US"/>
              </w:rPr>
            </w:pPr>
            <w:r>
              <w:rPr>
                <w:rFonts w:hint="default" w:ascii="仿宋_GB2312" w:hAnsi="宋体" w:eastAsia="仿宋_GB2312"/>
                <w:color w:val="auto"/>
                <w:kern w:val="0"/>
                <w:szCs w:val="21"/>
                <w:lang w:val="en-US"/>
              </w:rPr>
              <w:t>25</w:t>
            </w:r>
          </w:p>
        </w:tc>
        <w:tc>
          <w:tcPr>
            <w:tcW w:w="1860" w:type="dxa"/>
            <w:noWrap w:val="0"/>
            <w:vAlign w:val="center"/>
          </w:tcPr>
          <w:p>
            <w:pPr>
              <w:jc w:val="center"/>
              <w:rPr>
                <w:rFonts w:hint="eastAsia" w:ascii="仿宋_GB2312" w:hAnsi="宋体" w:eastAsia="仿宋_GB2312"/>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1" w:type="dxa"/>
            <w:noWrap w:val="0"/>
            <w:vAlign w:val="center"/>
          </w:tcPr>
          <w:p>
            <w:pPr>
              <w:jc w:val="center"/>
              <w:rPr>
                <w:rFonts w:hint="default" w:ascii="仿宋_GB2312" w:hAnsi="宋体" w:eastAsia="仿宋_GB2312"/>
                <w:color w:val="auto"/>
                <w:kern w:val="0"/>
                <w:sz w:val="21"/>
                <w:szCs w:val="21"/>
                <w:lang w:val="en-US" w:eastAsia="zh-CN" w:bidi="ar-SA"/>
              </w:rPr>
            </w:pPr>
            <w:r>
              <w:rPr>
                <w:rFonts w:hint="eastAsia" w:ascii="仿宋_GB2312" w:hAnsi="宋体" w:eastAsia="仿宋_GB2312"/>
                <w:color w:val="auto"/>
                <w:kern w:val="0"/>
                <w:szCs w:val="21"/>
              </w:rPr>
              <w:t>13</w:t>
            </w:r>
          </w:p>
        </w:tc>
        <w:tc>
          <w:tcPr>
            <w:tcW w:w="4605"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建筑装饰技术</w:t>
            </w:r>
          </w:p>
          <w:p>
            <w:pPr>
              <w:jc w:val="center"/>
              <w:rPr>
                <w:rFonts w:hint="eastAsia" w:ascii="仿宋_GB2312" w:hAnsi="宋体" w:eastAsia="仿宋_GB2312"/>
                <w:color w:val="auto"/>
                <w:kern w:val="0"/>
                <w:szCs w:val="21"/>
              </w:rPr>
            </w:pPr>
            <w:r>
              <w:rPr>
                <w:rFonts w:hint="eastAsia" w:ascii="仿宋_GB2312" w:hAnsi="等线" w:eastAsia="仿宋_GB2312" w:cs="仿宋_GB2312"/>
                <w:i w:val="0"/>
                <w:iCs w:val="0"/>
                <w:color w:val="auto"/>
                <w:kern w:val="0"/>
                <w:sz w:val="21"/>
                <w:szCs w:val="21"/>
                <w:u w:val="none"/>
                <w:lang w:val="en-US" w:eastAsia="zh-CN" w:bidi="ar"/>
              </w:rPr>
              <w:t>（三年制班，以职教高考方向为主）</w:t>
            </w:r>
          </w:p>
        </w:tc>
        <w:tc>
          <w:tcPr>
            <w:tcW w:w="930" w:type="dxa"/>
            <w:noWrap w:val="0"/>
            <w:vAlign w:val="center"/>
          </w:tcPr>
          <w:p>
            <w:pPr>
              <w:jc w:val="center"/>
              <w:rPr>
                <w:rFonts w:hint="default" w:ascii="仿宋_GB2312" w:hAnsi="宋体" w:eastAsia="仿宋_GB2312"/>
                <w:color w:val="auto"/>
                <w:kern w:val="0"/>
                <w:szCs w:val="21"/>
                <w:lang w:val="en-US"/>
              </w:rPr>
            </w:pPr>
            <w:r>
              <w:rPr>
                <w:rFonts w:hint="default" w:ascii="仿宋_GB2312" w:hAnsi="宋体" w:eastAsia="仿宋_GB2312"/>
                <w:color w:val="auto"/>
                <w:kern w:val="0"/>
                <w:szCs w:val="21"/>
                <w:lang w:val="en-US"/>
              </w:rPr>
              <w:t>12</w:t>
            </w:r>
          </w:p>
        </w:tc>
        <w:tc>
          <w:tcPr>
            <w:tcW w:w="1860"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lang w:eastAsia="zh-CN"/>
              </w:rPr>
              <w:t>无色盲、色弱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1" w:type="dxa"/>
            <w:noWrap w:val="0"/>
            <w:vAlign w:val="center"/>
          </w:tcPr>
          <w:p>
            <w:pPr>
              <w:jc w:val="center"/>
              <w:rPr>
                <w:rFonts w:hint="eastAsia" w:ascii="仿宋_GB2312" w:hAnsi="宋体" w:eastAsia="仿宋_GB2312"/>
                <w:color w:val="auto"/>
                <w:kern w:val="0"/>
                <w:sz w:val="21"/>
                <w:szCs w:val="21"/>
                <w:lang w:val="en-US" w:eastAsia="zh-CN" w:bidi="ar-SA"/>
              </w:rPr>
            </w:pPr>
            <w:r>
              <w:rPr>
                <w:rFonts w:hint="eastAsia" w:ascii="仿宋_GB2312" w:hAnsi="宋体" w:eastAsia="仿宋_GB2312"/>
                <w:color w:val="auto"/>
                <w:kern w:val="0"/>
                <w:szCs w:val="21"/>
              </w:rPr>
              <w:t>14</w:t>
            </w:r>
          </w:p>
        </w:tc>
        <w:tc>
          <w:tcPr>
            <w:tcW w:w="4605"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建筑装饰技术</w:t>
            </w:r>
          </w:p>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（“中高职一体化”五年制班，与杭州科技职业技术学院联办）</w:t>
            </w:r>
          </w:p>
        </w:tc>
        <w:tc>
          <w:tcPr>
            <w:tcW w:w="930" w:type="dxa"/>
            <w:noWrap w:val="0"/>
            <w:vAlign w:val="center"/>
          </w:tcPr>
          <w:p>
            <w:pPr>
              <w:jc w:val="center"/>
              <w:rPr>
                <w:rFonts w:hint="default" w:ascii="仿宋_GB2312" w:hAnsi="宋体" w:eastAsia="仿宋_GB2312"/>
                <w:color w:val="auto"/>
                <w:kern w:val="0"/>
                <w:szCs w:val="21"/>
                <w:lang w:val="en-US"/>
              </w:rPr>
            </w:pPr>
            <w:r>
              <w:rPr>
                <w:rFonts w:hint="default" w:ascii="仿宋_GB2312" w:hAnsi="宋体" w:eastAsia="仿宋_GB2312"/>
                <w:color w:val="auto"/>
                <w:kern w:val="0"/>
                <w:szCs w:val="21"/>
                <w:lang w:val="en-US"/>
              </w:rPr>
              <w:t>25</w:t>
            </w:r>
          </w:p>
        </w:tc>
        <w:tc>
          <w:tcPr>
            <w:tcW w:w="1860" w:type="dxa"/>
            <w:noWrap w:val="0"/>
            <w:vAlign w:val="center"/>
          </w:tcPr>
          <w:p>
            <w:pPr>
              <w:jc w:val="center"/>
              <w:rPr>
                <w:rFonts w:hint="eastAsia" w:ascii="仿宋_GB2312" w:hAnsi="宋体" w:eastAsia="仿宋_GB2312"/>
                <w:color w:val="auto"/>
                <w:kern w:val="0"/>
                <w:szCs w:val="21"/>
                <w:lang w:eastAsia="zh-CN"/>
              </w:rPr>
            </w:pPr>
            <w:r>
              <w:rPr>
                <w:rFonts w:hint="eastAsia" w:ascii="仿宋_GB2312" w:hAnsi="宋体" w:eastAsia="仿宋_GB2312"/>
                <w:color w:val="auto"/>
                <w:kern w:val="0"/>
                <w:szCs w:val="21"/>
                <w:lang w:eastAsia="zh-CN"/>
              </w:rPr>
              <w:t>无色盲、色弱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1" w:type="dxa"/>
            <w:noWrap w:val="0"/>
            <w:vAlign w:val="center"/>
          </w:tcPr>
          <w:p>
            <w:pPr>
              <w:jc w:val="center"/>
              <w:rPr>
                <w:rFonts w:hint="default" w:ascii="仿宋_GB2312" w:hAnsi="宋体" w:eastAsia="仿宋_GB2312"/>
                <w:color w:val="auto"/>
                <w:kern w:val="0"/>
                <w:szCs w:val="21"/>
                <w:lang w:val="en-US"/>
              </w:rPr>
            </w:pPr>
            <w:r>
              <w:rPr>
                <w:rFonts w:hint="default" w:ascii="仿宋_GB2312" w:hAnsi="宋体" w:eastAsia="仿宋_GB2312"/>
                <w:color w:val="auto"/>
                <w:kern w:val="0"/>
                <w:szCs w:val="21"/>
                <w:lang w:val="en-US"/>
              </w:rPr>
              <w:t>15</w:t>
            </w:r>
          </w:p>
        </w:tc>
        <w:tc>
          <w:tcPr>
            <w:tcW w:w="4605"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建筑装饰技术</w:t>
            </w:r>
          </w:p>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rPr>
              <w:t>（“中高职一体化”五年制班，与浙江建设职业技术学院联办）</w:t>
            </w:r>
          </w:p>
        </w:tc>
        <w:tc>
          <w:tcPr>
            <w:tcW w:w="930" w:type="dxa"/>
            <w:noWrap w:val="0"/>
            <w:vAlign w:val="center"/>
          </w:tcPr>
          <w:p>
            <w:pPr>
              <w:jc w:val="center"/>
              <w:rPr>
                <w:rFonts w:hint="default" w:ascii="仿宋_GB2312" w:hAnsi="宋体" w:eastAsia="仿宋_GB2312"/>
                <w:color w:val="auto"/>
                <w:kern w:val="0"/>
                <w:szCs w:val="21"/>
                <w:lang w:val="en-US"/>
              </w:rPr>
            </w:pPr>
            <w:r>
              <w:rPr>
                <w:rFonts w:hint="default" w:ascii="仿宋_GB2312" w:hAnsi="宋体" w:eastAsia="仿宋_GB2312"/>
                <w:color w:val="auto"/>
                <w:kern w:val="0"/>
                <w:szCs w:val="21"/>
                <w:lang w:val="en-US"/>
              </w:rPr>
              <w:t>25</w:t>
            </w:r>
          </w:p>
        </w:tc>
        <w:tc>
          <w:tcPr>
            <w:tcW w:w="1860" w:type="dxa"/>
            <w:noWrap w:val="0"/>
            <w:vAlign w:val="center"/>
          </w:tcPr>
          <w:p>
            <w:pPr>
              <w:jc w:val="center"/>
              <w:rPr>
                <w:rFonts w:hint="eastAsia" w:ascii="仿宋_GB2312" w:hAnsi="宋体" w:eastAsia="仿宋_GB2312"/>
                <w:color w:val="auto"/>
                <w:kern w:val="0"/>
                <w:szCs w:val="21"/>
              </w:rPr>
            </w:pPr>
            <w:r>
              <w:rPr>
                <w:rFonts w:hint="eastAsia" w:ascii="仿宋_GB2312" w:hAnsi="宋体" w:eastAsia="仿宋_GB2312"/>
                <w:color w:val="auto"/>
                <w:kern w:val="0"/>
                <w:szCs w:val="21"/>
                <w:lang w:eastAsia="zh-CN"/>
              </w:rPr>
              <w:t>无色盲、色弱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496" w:type="dxa"/>
            <w:gridSpan w:val="2"/>
            <w:noWrap w:val="0"/>
            <w:vAlign w:val="center"/>
          </w:tcPr>
          <w:p>
            <w:pPr>
              <w:jc w:val="center"/>
              <w:rPr>
                <w:rFonts w:hint="eastAsia" w:ascii="仿宋_GB2312" w:hAnsi="宋体" w:eastAsia="仿宋_GB2312"/>
                <w:color w:val="auto"/>
                <w:kern w:val="0"/>
                <w:szCs w:val="21"/>
                <w:lang w:eastAsia="zh-CN"/>
              </w:rPr>
            </w:pPr>
            <w:r>
              <w:rPr>
                <w:rFonts w:hint="eastAsia" w:ascii="仿宋_GB2312" w:hAnsi="宋体" w:eastAsia="仿宋_GB2312"/>
                <w:color w:val="auto"/>
                <w:kern w:val="0"/>
                <w:szCs w:val="21"/>
                <w:lang w:eastAsia="zh-CN"/>
              </w:rPr>
              <w:t>合计</w:t>
            </w:r>
          </w:p>
        </w:tc>
        <w:tc>
          <w:tcPr>
            <w:tcW w:w="930" w:type="dxa"/>
            <w:noWrap w:val="0"/>
            <w:vAlign w:val="center"/>
          </w:tcPr>
          <w:p>
            <w:pPr>
              <w:jc w:val="center"/>
              <w:rPr>
                <w:rFonts w:hint="default" w:ascii="仿宋_GB2312" w:hAnsi="宋体" w:eastAsia="仿宋_GB2312"/>
                <w:color w:val="auto"/>
                <w:kern w:val="0"/>
                <w:szCs w:val="21"/>
                <w:lang w:val="en-US" w:eastAsia="zh-CN"/>
              </w:rPr>
            </w:pPr>
            <w:r>
              <w:rPr>
                <w:rFonts w:hint="default" w:ascii="仿宋_GB2312" w:hAnsi="宋体" w:eastAsia="仿宋_GB2312"/>
                <w:color w:val="auto"/>
                <w:kern w:val="0"/>
                <w:szCs w:val="21"/>
                <w:lang w:val="en-US" w:eastAsia="zh-CN"/>
              </w:rPr>
              <w:t>338</w:t>
            </w:r>
          </w:p>
        </w:tc>
        <w:tc>
          <w:tcPr>
            <w:tcW w:w="1860" w:type="dxa"/>
            <w:noWrap w:val="0"/>
            <w:vAlign w:val="center"/>
          </w:tcPr>
          <w:p>
            <w:pPr>
              <w:jc w:val="center"/>
              <w:rPr>
                <w:rFonts w:hint="eastAsia" w:ascii="仿宋_GB2312" w:hAnsi="宋体" w:eastAsia="仿宋_GB2312"/>
                <w:color w:val="auto"/>
                <w:kern w:val="0"/>
                <w:szCs w:val="21"/>
              </w:rPr>
            </w:pPr>
          </w:p>
        </w:tc>
      </w:tr>
    </w:tbl>
    <w:p>
      <w:pPr>
        <w:spacing w:before="156" w:beforeLines="50" w:line="360" w:lineRule="auto"/>
        <w:ind w:firstLine="560" w:firstLineChars="200"/>
        <w:outlineLvl w:val="0"/>
        <w:rPr>
          <w:rFonts w:hint="eastAsia" w:ascii="仿宋_GB2312" w:hAnsi="仿宋_GB2312" w:eastAsia="仿宋_GB2312" w:cs="仿宋_GB2312"/>
          <w:b/>
          <w:color w:val="auto"/>
          <w:sz w:val="28"/>
          <w:szCs w:val="28"/>
        </w:rPr>
      </w:pPr>
      <w:r>
        <w:rPr>
          <w:rFonts w:hint="eastAsia" w:ascii="黑体" w:hAnsi="黑体" w:eastAsia="黑体" w:cs="黑体"/>
          <w:bCs/>
          <w:color w:val="auto"/>
          <w:sz w:val="28"/>
          <w:szCs w:val="28"/>
        </w:rPr>
        <w:t>四、专业适应性测试</w:t>
      </w:r>
    </w:p>
    <w:p>
      <w:pPr>
        <w:widowControl/>
        <w:spacing w:line="360" w:lineRule="auto"/>
        <w:ind w:firstLine="562" w:firstLineChars="200"/>
        <w:jc w:val="lef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（一）报名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1.凡符合报考我校自主招生条件的考生（含个别生），须登录杭州市区各类高中招生信息管理系统（</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"http://www.hzjyks.net"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www.hzjyks.net</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是唯一网址，以下简称“高中招生信息管理系统”），在家长指导下，于规定时间（高中招生信息管理系统开放时间为</w:t>
      </w:r>
      <w:r>
        <w:rPr>
          <w:rFonts w:hint="eastAsia" w:ascii="仿宋_GB2312" w:hAnsi="仿宋_GB2312" w:eastAsia="仿宋_GB2312" w:cs="仿宋_GB2312"/>
          <w:color w:val="auto"/>
          <w:sz w:val="28"/>
          <w:szCs w:val="28"/>
          <w:highlight w:val="none"/>
        </w:rPr>
        <w:t>5月</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日8:00至5月</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日18:00</w:t>
      </w:r>
      <w:r>
        <w:rPr>
          <w:rFonts w:hint="eastAsia" w:ascii="仿宋_GB2312" w:hAnsi="仿宋_GB2312" w:eastAsia="仿宋_GB2312" w:cs="仿宋_GB2312"/>
          <w:color w:val="auto"/>
          <w:sz w:val="28"/>
          <w:szCs w:val="28"/>
        </w:rPr>
        <w:t>）选择填报我校自主招生的专业志愿。</w:t>
      </w:r>
      <w:bookmarkStart w:id="0" w:name="_Hlk101340981"/>
      <w:r>
        <w:rPr>
          <w:rFonts w:hint="eastAsia" w:ascii="仿宋_GB2312" w:hAnsi="仿宋_GB2312" w:eastAsia="仿宋_GB2312" w:cs="仿宋_GB2312"/>
          <w:b/>
          <w:bCs/>
          <w:color w:val="auto"/>
          <w:sz w:val="28"/>
          <w:szCs w:val="28"/>
        </w:rPr>
        <w:t>5月1</w:t>
      </w:r>
      <w:r>
        <w:rPr>
          <w:rFonts w:hint="default" w:ascii="仿宋_GB2312" w:hAnsi="仿宋_GB2312" w:eastAsia="仿宋_GB2312" w:cs="仿宋_GB2312"/>
          <w:b/>
          <w:bCs/>
          <w:color w:val="auto"/>
          <w:sz w:val="28"/>
          <w:szCs w:val="28"/>
          <w:lang w:val="en-US"/>
        </w:rPr>
        <w:t>2</w:t>
      </w:r>
      <w:r>
        <w:rPr>
          <w:rFonts w:hint="eastAsia" w:ascii="仿宋_GB2312" w:hAnsi="仿宋_GB2312" w:eastAsia="仿宋_GB2312" w:cs="仿宋_GB2312"/>
          <w:b/>
          <w:bCs/>
          <w:color w:val="auto"/>
          <w:sz w:val="28"/>
          <w:szCs w:val="28"/>
        </w:rPr>
        <w:t>日18:00</w:t>
      </w:r>
      <w:bookmarkEnd w:id="0"/>
      <w:r>
        <w:rPr>
          <w:rFonts w:hint="eastAsia" w:ascii="仿宋_GB2312" w:hAnsi="仿宋_GB2312" w:eastAsia="仿宋_GB2312" w:cs="仿宋_GB2312"/>
          <w:color w:val="auto"/>
          <w:sz w:val="28"/>
          <w:szCs w:val="28"/>
        </w:rPr>
        <w:t>高中招生信息管理系统关闭后，考生所报专业志愿无法更改。具体志愿填报要求详见杭州市教育局编印的《</w:t>
      </w:r>
      <w:r>
        <w:rPr>
          <w:rFonts w:ascii="仿宋_GB2312" w:hAnsi="仿宋_GB2312" w:eastAsia="仿宋_GB2312" w:cs="仿宋_GB2312"/>
          <w:color w:val="auto"/>
          <w:sz w:val="28"/>
          <w:szCs w:val="28"/>
        </w:rPr>
        <w:t>202</w:t>
      </w:r>
      <w:r>
        <w:rPr>
          <w:rFonts w:hint="default" w:ascii="仿宋_GB2312" w:hAnsi="仿宋_GB2312" w:eastAsia="仿宋_GB2312" w:cs="仿宋_GB2312"/>
          <w:color w:val="auto"/>
          <w:sz w:val="28"/>
          <w:szCs w:val="28"/>
          <w:lang w:val="en-US"/>
        </w:rPr>
        <w:t>4</w:t>
      </w:r>
      <w:r>
        <w:rPr>
          <w:rFonts w:hint="eastAsia" w:ascii="仿宋_GB2312" w:hAnsi="仿宋_GB2312" w:eastAsia="仿宋_GB2312" w:cs="仿宋_GB2312"/>
          <w:color w:val="auto"/>
          <w:sz w:val="28"/>
          <w:szCs w:val="28"/>
        </w:rPr>
        <w:t>年杭州市区各类高中报考指南》中的</w:t>
      </w:r>
      <w:r>
        <w:rPr>
          <w:rFonts w:hint="eastAsia" w:ascii="仿宋_GB2312" w:hAnsi="仿宋_GB2312" w:eastAsia="仿宋_GB2312" w:cs="仿宋_GB2312"/>
          <w:color w:val="auto"/>
          <w:kern w:val="0"/>
          <w:sz w:val="28"/>
          <w:szCs w:val="28"/>
          <w:shd w:val="clear" w:color="auto" w:fill="FFFFFF"/>
        </w:rPr>
        <w:t>《自主招生工作通知》</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bookmarkStart w:id="1" w:name="_Hlk101341011"/>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bCs/>
          <w:color w:val="auto"/>
          <w:sz w:val="28"/>
          <w:szCs w:val="28"/>
        </w:rPr>
        <w:t>5月</w:t>
      </w:r>
      <w:r>
        <w:rPr>
          <w:rFonts w:hint="default" w:ascii="仿宋_GB2312" w:hAnsi="仿宋_GB2312" w:eastAsia="仿宋_GB2312" w:cs="仿宋_GB2312"/>
          <w:b/>
          <w:bCs/>
          <w:color w:val="auto"/>
          <w:sz w:val="28"/>
          <w:szCs w:val="28"/>
          <w:lang w:val="en-US"/>
        </w:rPr>
        <w:t>17</w:t>
      </w:r>
      <w:r>
        <w:rPr>
          <w:rFonts w:hint="eastAsia" w:ascii="仿宋_GB2312" w:hAnsi="仿宋_GB2312" w:eastAsia="仿宋_GB2312" w:cs="仿宋_GB2312"/>
          <w:b/>
          <w:bCs/>
          <w:color w:val="auto"/>
          <w:sz w:val="28"/>
          <w:szCs w:val="28"/>
        </w:rPr>
        <w:t>日</w:t>
      </w:r>
      <w:bookmarkEnd w:id="1"/>
      <w:r>
        <w:rPr>
          <w:rFonts w:hint="eastAsia" w:ascii="仿宋_GB2312" w:hAnsi="仿宋_GB2312" w:eastAsia="仿宋_GB2312" w:cs="仿宋_GB2312"/>
          <w:color w:val="auto"/>
          <w:sz w:val="28"/>
          <w:szCs w:val="28"/>
        </w:rPr>
        <w:t>，市区初中学校应届毕业生向所在初中学校领取经初中学校审核盖章的《</w:t>
      </w:r>
      <w:r>
        <w:rPr>
          <w:rFonts w:ascii="仿宋_GB2312" w:hAnsi="仿宋_GB2312" w:eastAsia="仿宋_GB2312" w:cs="仿宋_GB2312"/>
          <w:color w:val="auto"/>
          <w:sz w:val="28"/>
          <w:szCs w:val="28"/>
        </w:rPr>
        <w:t>202</w:t>
      </w:r>
      <w:r>
        <w:rPr>
          <w:rFonts w:hint="default" w:ascii="仿宋_GB2312" w:hAnsi="仿宋_GB2312" w:eastAsia="仿宋_GB2312" w:cs="仿宋_GB2312"/>
          <w:color w:val="auto"/>
          <w:sz w:val="28"/>
          <w:szCs w:val="28"/>
          <w:lang w:val="en-US"/>
        </w:rPr>
        <w:t>4</w:t>
      </w:r>
      <w:r>
        <w:rPr>
          <w:rFonts w:hint="eastAsia" w:ascii="仿宋_GB2312" w:hAnsi="仿宋_GB2312" w:eastAsia="仿宋_GB2312" w:cs="仿宋_GB2312"/>
          <w:color w:val="auto"/>
          <w:sz w:val="28"/>
          <w:szCs w:val="28"/>
        </w:rPr>
        <w:t>年杭州市区中等职业学校自主招生报名表》（以下简称《报名表》），个别生</w:t>
      </w:r>
      <w:bookmarkStart w:id="2" w:name="_Hlk101341036"/>
      <w:r>
        <w:rPr>
          <w:rFonts w:hint="eastAsia" w:ascii="仿宋_GB2312" w:hAnsi="仿宋_GB2312" w:eastAsia="仿宋_GB2312" w:cs="仿宋_GB2312"/>
          <w:color w:val="auto"/>
          <w:sz w:val="28"/>
          <w:szCs w:val="28"/>
        </w:rPr>
        <w:t>于</w:t>
      </w:r>
      <w:bookmarkEnd w:id="2"/>
      <w:r>
        <w:rPr>
          <w:rFonts w:hint="eastAsia" w:ascii="仿宋_GB2312" w:hAnsi="仿宋_GB2312" w:eastAsia="仿宋_GB2312" w:cs="仿宋_GB2312"/>
          <w:color w:val="auto"/>
          <w:sz w:val="28"/>
          <w:szCs w:val="28"/>
          <w:highlight w:val="none"/>
        </w:rPr>
        <w:t>5月</w:t>
      </w:r>
      <w:r>
        <w:rPr>
          <w:rFonts w:hint="eastAsia" w:ascii="仿宋_GB2312" w:hAnsi="仿宋_GB2312" w:eastAsia="仿宋_GB2312" w:cs="仿宋_GB2312"/>
          <w:color w:val="auto"/>
          <w:sz w:val="28"/>
          <w:szCs w:val="28"/>
          <w:highlight w:val="none"/>
          <w:lang w:val="en-US" w:eastAsia="zh-CN"/>
        </w:rPr>
        <w:t>17</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rPr>
        <w:t>下午（12:30-16:00）</w:t>
      </w:r>
      <w:r>
        <w:rPr>
          <w:rFonts w:hint="eastAsia" w:ascii="仿宋_GB2312" w:hAnsi="仿宋_GB2312" w:eastAsia="仿宋_GB2312" w:cs="仿宋_GB2312"/>
          <w:color w:val="auto"/>
          <w:sz w:val="28"/>
          <w:szCs w:val="28"/>
        </w:rPr>
        <w:t>凭本人身份证（或学生证）到</w:t>
      </w:r>
      <w:r>
        <w:rPr>
          <w:rFonts w:hint="eastAsia" w:ascii="仿宋_GB2312" w:hAnsi="仿宋_GB2312" w:eastAsia="仿宋_GB2312" w:cs="仿宋_GB2312"/>
          <w:color w:val="auto"/>
          <w:sz w:val="28"/>
          <w:szCs w:val="28"/>
          <w:lang w:eastAsia="zh-CN"/>
        </w:rPr>
        <w:t>我校（珊瑚沙路</w:t>
      </w:r>
      <w:r>
        <w:rPr>
          <w:rFonts w:hint="eastAsia" w:ascii="仿宋_GB2312" w:hAnsi="仿宋_GB2312" w:eastAsia="仿宋_GB2312" w:cs="仿宋_GB2312"/>
          <w:color w:val="auto"/>
          <w:sz w:val="28"/>
          <w:szCs w:val="28"/>
          <w:lang w:val="en-US" w:eastAsia="zh-CN"/>
        </w:rPr>
        <w:t>369号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领取《报名表》。</w:t>
      </w:r>
    </w:p>
    <w:p>
      <w:pPr>
        <w:ind w:firstLine="48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（二）测试</w:t>
      </w:r>
    </w:p>
    <w:p>
      <w:pPr>
        <w:ind w:firstLine="55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1.测试时间及地点</w:t>
      </w:r>
    </w:p>
    <w:p>
      <w:pPr>
        <w:ind w:firstLine="562" w:firstLineChars="200"/>
        <w:rPr>
          <w:rFonts w:hint="eastAsia" w:ascii="仿宋_GB2312" w:hAnsi="仿宋_GB2312" w:eastAsia="仿宋_GB2312" w:cs="仿宋_GB2312"/>
          <w:color w:val="auto"/>
          <w:sz w:val="28"/>
          <w:szCs w:val="28"/>
        </w:rPr>
      </w:pPr>
      <w:bookmarkStart w:id="3" w:name="_Hlk101341073"/>
      <w:r>
        <w:rPr>
          <w:rFonts w:hint="eastAsia" w:ascii="仿宋_GB2312" w:hAnsi="仿宋_GB2312" w:eastAsia="仿宋_GB2312" w:cs="仿宋_GB2312"/>
          <w:b/>
          <w:bCs/>
          <w:color w:val="auto"/>
          <w:sz w:val="28"/>
          <w:szCs w:val="28"/>
        </w:rPr>
        <w:t>5月</w:t>
      </w:r>
      <w:r>
        <w:rPr>
          <w:rFonts w:hint="default" w:ascii="仿宋_GB2312" w:hAnsi="仿宋_GB2312" w:eastAsia="仿宋_GB2312" w:cs="仿宋_GB2312"/>
          <w:b/>
          <w:bCs/>
          <w:color w:val="auto"/>
          <w:sz w:val="28"/>
          <w:szCs w:val="28"/>
          <w:lang w:val="en-US"/>
        </w:rPr>
        <w:t>18</w:t>
      </w:r>
      <w:r>
        <w:rPr>
          <w:rFonts w:hint="eastAsia" w:ascii="仿宋_GB2312" w:hAnsi="仿宋_GB2312" w:eastAsia="仿宋_GB2312" w:cs="仿宋_GB2312"/>
          <w:b/>
          <w:bCs/>
          <w:color w:val="auto"/>
          <w:sz w:val="28"/>
          <w:szCs w:val="28"/>
        </w:rPr>
        <w:t>日上午8:30</w:t>
      </w:r>
      <w:bookmarkEnd w:id="3"/>
      <w:r>
        <w:rPr>
          <w:rFonts w:hint="eastAsia" w:ascii="仿宋_GB2312" w:hAnsi="仿宋_GB2312" w:eastAsia="仿宋_GB2312" w:cs="仿宋_GB2312"/>
          <w:color w:val="auto"/>
          <w:sz w:val="28"/>
          <w:szCs w:val="28"/>
        </w:rPr>
        <w:t>，考试地点及试场安排见《报名表》。</w:t>
      </w:r>
    </w:p>
    <w:p>
      <w:pPr>
        <w:ind w:firstLine="555"/>
        <w:rPr>
          <w:rFonts w:hint="eastAsia" w:ascii="仿宋_GB2312" w:hAnsi="仿宋_GB2312" w:eastAsia="仿宋_GB2312" w:cs="仿宋_GB2312"/>
          <w:color w:val="auto"/>
          <w:spacing w:val="-8"/>
          <w:sz w:val="28"/>
          <w:szCs w:val="28"/>
        </w:rPr>
      </w:pPr>
      <w:r>
        <w:rPr>
          <w:rFonts w:hint="eastAsia" w:ascii="仿宋_GB2312" w:hAnsi="仿宋_GB2312" w:eastAsia="仿宋_GB2312" w:cs="仿宋_GB2312"/>
          <w:color w:val="auto"/>
          <w:sz w:val="28"/>
          <w:szCs w:val="28"/>
        </w:rPr>
        <w:t>2.测试</w:t>
      </w:r>
      <w:r>
        <w:rPr>
          <w:rFonts w:hint="eastAsia" w:ascii="仿宋_GB2312" w:hAnsi="仿宋_GB2312" w:eastAsia="仿宋_GB2312" w:cs="仿宋_GB2312"/>
          <w:color w:val="auto"/>
          <w:spacing w:val="-8"/>
          <w:sz w:val="28"/>
          <w:szCs w:val="28"/>
        </w:rPr>
        <w:t>内容</w:t>
      </w:r>
    </w:p>
    <w:p>
      <w:pPr>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专业适应性测试（满分</w:t>
      </w:r>
      <w:r>
        <w:rPr>
          <w:rFonts w:ascii="仿宋_GB2312" w:hAnsi="仿宋_GB2312" w:eastAsia="仿宋_GB2312" w:cs="仿宋_GB2312"/>
          <w:color w:val="auto"/>
          <w:sz w:val="28"/>
          <w:szCs w:val="28"/>
        </w:rPr>
        <w:t>6</w:t>
      </w:r>
      <w:r>
        <w:rPr>
          <w:rFonts w:hint="default" w:ascii="仿宋_GB2312" w:hAnsi="仿宋_GB2312" w:eastAsia="仿宋_GB2312" w:cs="仿宋_GB2312"/>
          <w:color w:val="auto"/>
          <w:sz w:val="28"/>
          <w:szCs w:val="28"/>
          <w:lang w:val="en-US"/>
        </w:rPr>
        <w:t>5</w:t>
      </w:r>
      <w:r>
        <w:rPr>
          <w:rFonts w:hint="eastAsia" w:ascii="仿宋_GB2312" w:hAnsi="仿宋_GB2312" w:eastAsia="仿宋_GB2312" w:cs="仿宋_GB2312"/>
          <w:color w:val="auto"/>
          <w:sz w:val="28"/>
          <w:szCs w:val="28"/>
        </w:rPr>
        <w:t>分）</w:t>
      </w:r>
    </w:p>
    <w:p>
      <w:pPr>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测试时间和形式：笔试,6</w:t>
      </w:r>
      <w:r>
        <w:rPr>
          <w:rFonts w:hint="default" w:ascii="仿宋_GB2312" w:hAnsi="仿宋_GB2312" w:eastAsia="仿宋_GB2312" w:cs="仿宋_GB2312"/>
          <w:color w:val="auto"/>
          <w:sz w:val="28"/>
          <w:szCs w:val="28"/>
          <w:lang w:val="en-US"/>
        </w:rPr>
        <w:t>5</w:t>
      </w:r>
      <w:r>
        <w:rPr>
          <w:rFonts w:hint="eastAsia" w:ascii="仿宋_GB2312" w:hAnsi="仿宋_GB2312" w:eastAsia="仿宋_GB2312" w:cs="仿宋_GB2312"/>
          <w:color w:val="auto"/>
          <w:sz w:val="28"/>
          <w:szCs w:val="28"/>
        </w:rPr>
        <w:t>分钟，采用闭卷形式；</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测试范围：主要考察考生基本素质与综合能力，包括</w:t>
      </w:r>
      <w:r>
        <w:rPr>
          <w:rFonts w:ascii="仿宋_GB2312" w:hAnsi="仿宋_GB2312" w:eastAsia="仿宋_GB2312" w:cs="仿宋_GB2312"/>
          <w:color w:val="auto"/>
          <w:sz w:val="28"/>
          <w:szCs w:val="28"/>
        </w:rPr>
        <w:t>思想政治、时事热点</w:t>
      </w:r>
      <w:r>
        <w:rPr>
          <w:rFonts w:hint="eastAsia" w:ascii="仿宋_GB2312" w:hAnsi="仿宋_GB2312" w:eastAsia="仿宋_GB2312" w:cs="仿宋_GB2312"/>
          <w:color w:val="auto"/>
          <w:sz w:val="28"/>
          <w:szCs w:val="28"/>
        </w:rPr>
        <w:t>、人文素养、</w:t>
      </w:r>
      <w:r>
        <w:rPr>
          <w:rFonts w:ascii="仿宋_GB2312" w:hAnsi="仿宋_GB2312" w:eastAsia="仿宋_GB2312" w:cs="仿宋_GB2312"/>
          <w:color w:val="auto"/>
          <w:sz w:val="28"/>
          <w:szCs w:val="28"/>
        </w:rPr>
        <w:t>逻辑</w:t>
      </w:r>
      <w:r>
        <w:rPr>
          <w:rFonts w:hint="eastAsia" w:ascii="仿宋_GB2312" w:hAnsi="仿宋_GB2312" w:eastAsia="仿宋_GB2312" w:cs="仿宋_GB2312"/>
          <w:color w:val="auto"/>
          <w:sz w:val="28"/>
          <w:szCs w:val="28"/>
        </w:rPr>
        <w:t>思维、专业认知、职业态度等内容。成绩计分按卷面得分记。</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3.成绩评定</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专业适应性测试满分6</w:t>
      </w:r>
      <w:r>
        <w:rPr>
          <w:rFonts w:hint="default" w:ascii="仿宋_GB2312" w:hAnsi="仿宋_GB2312" w:eastAsia="仿宋_GB2312" w:cs="仿宋_GB2312"/>
          <w:color w:val="auto"/>
          <w:sz w:val="28"/>
          <w:szCs w:val="28"/>
          <w:lang w:val="en-US"/>
        </w:rPr>
        <w:t>5</w:t>
      </w:r>
      <w:r>
        <w:rPr>
          <w:rFonts w:hint="eastAsia" w:ascii="仿宋_GB2312" w:hAnsi="仿宋_GB2312" w:eastAsia="仿宋_GB2312" w:cs="仿宋_GB2312"/>
          <w:color w:val="auto"/>
          <w:sz w:val="28"/>
          <w:szCs w:val="28"/>
        </w:rPr>
        <w:t>分，以整数记分，合格率原则上不低于报考学生总数的95%。</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4.成绩审核公布</w:t>
      </w:r>
    </w:p>
    <w:p>
      <w:pPr>
        <w:widowControl/>
        <w:ind w:firstLine="560" w:firstLineChars="200"/>
        <w:jc w:val="left"/>
        <w:rPr>
          <w:rFonts w:hint="eastAsia" w:ascii="黑体" w:hAnsi="黑体" w:eastAsia="黑体" w:cs="黑体"/>
          <w:snapToGrid w:val="0"/>
          <w:color w:val="auto"/>
          <w:kern w:val="0"/>
          <w:sz w:val="28"/>
          <w:szCs w:val="28"/>
        </w:rPr>
      </w:pPr>
      <w:r>
        <w:rPr>
          <w:rFonts w:hint="eastAsia" w:ascii="仿宋_GB2312" w:hAnsi="仿宋_GB2312" w:eastAsia="仿宋_GB2312" w:cs="仿宋_GB2312"/>
          <w:snapToGrid w:val="0"/>
          <w:color w:val="auto"/>
          <w:kern w:val="0"/>
          <w:sz w:val="28"/>
          <w:szCs w:val="28"/>
        </w:rPr>
        <w:t>学校于</w:t>
      </w:r>
      <w:r>
        <w:rPr>
          <w:rFonts w:hint="eastAsia" w:ascii="仿宋_GB2312" w:hAnsi="仿宋_GB2312" w:eastAsia="仿宋_GB2312" w:cs="仿宋_GB2312"/>
          <w:b/>
          <w:bCs/>
          <w:snapToGrid w:val="0"/>
          <w:color w:val="auto"/>
          <w:kern w:val="0"/>
          <w:sz w:val="28"/>
          <w:szCs w:val="28"/>
        </w:rPr>
        <w:t>5月</w:t>
      </w:r>
      <w:r>
        <w:rPr>
          <w:rFonts w:hint="default" w:ascii="仿宋_GB2312" w:hAnsi="仿宋_GB2312" w:eastAsia="仿宋_GB2312" w:cs="仿宋_GB2312"/>
          <w:b/>
          <w:bCs/>
          <w:snapToGrid w:val="0"/>
          <w:color w:val="auto"/>
          <w:kern w:val="0"/>
          <w:sz w:val="28"/>
          <w:szCs w:val="28"/>
          <w:lang w:val="en-US"/>
        </w:rPr>
        <w:t>20</w:t>
      </w:r>
      <w:r>
        <w:rPr>
          <w:rFonts w:hint="eastAsia" w:ascii="仿宋_GB2312" w:hAnsi="仿宋_GB2312" w:eastAsia="仿宋_GB2312" w:cs="仿宋_GB2312"/>
          <w:b/>
          <w:bCs/>
          <w:snapToGrid w:val="0"/>
          <w:color w:val="auto"/>
          <w:kern w:val="0"/>
          <w:sz w:val="28"/>
          <w:szCs w:val="28"/>
        </w:rPr>
        <w:t>日</w:t>
      </w:r>
      <w:r>
        <w:rPr>
          <w:rFonts w:hint="eastAsia" w:ascii="仿宋_GB2312" w:hAnsi="仿宋_GB2312" w:eastAsia="仿宋_GB2312" w:cs="仿宋_GB2312"/>
          <w:snapToGrid w:val="0"/>
          <w:color w:val="auto"/>
          <w:kern w:val="0"/>
          <w:sz w:val="28"/>
          <w:szCs w:val="28"/>
        </w:rPr>
        <w:t>前将专业适应性成绩合格考生的测试成绩报市教育局审核，</w:t>
      </w:r>
      <w:r>
        <w:rPr>
          <w:rFonts w:hint="eastAsia" w:ascii="仿宋_GB2312" w:hAnsi="仿宋_GB2312" w:cs="仿宋_GB2312"/>
          <w:b/>
          <w:bCs/>
          <w:snapToGrid w:val="0"/>
          <w:color w:val="auto"/>
          <w:kern w:val="0"/>
          <w:sz w:val="28"/>
          <w:szCs w:val="28"/>
        </w:rPr>
        <w:t>5</w:t>
      </w:r>
      <w:r>
        <w:rPr>
          <w:rFonts w:hint="eastAsia" w:ascii="仿宋_GB2312" w:hAnsi="仿宋_GB2312" w:eastAsia="仿宋_GB2312" w:cs="仿宋_GB2312"/>
          <w:b/>
          <w:bCs/>
          <w:snapToGrid w:val="0"/>
          <w:color w:val="auto"/>
          <w:kern w:val="0"/>
          <w:sz w:val="28"/>
          <w:szCs w:val="28"/>
        </w:rPr>
        <w:t>月</w:t>
      </w:r>
      <w:r>
        <w:rPr>
          <w:rFonts w:hint="default" w:ascii="仿宋_GB2312" w:hAnsi="仿宋_GB2312" w:eastAsia="仿宋_GB2312" w:cs="仿宋_GB2312"/>
          <w:b/>
          <w:bCs/>
          <w:snapToGrid w:val="0"/>
          <w:color w:val="auto"/>
          <w:kern w:val="0"/>
          <w:sz w:val="28"/>
          <w:szCs w:val="28"/>
          <w:lang w:val="en-US"/>
        </w:rPr>
        <w:t>22</w:t>
      </w:r>
      <w:r>
        <w:rPr>
          <w:rFonts w:hint="eastAsia" w:ascii="仿宋_GB2312" w:hAnsi="仿宋_GB2312" w:eastAsia="仿宋_GB2312" w:cs="仿宋_GB2312"/>
          <w:b/>
          <w:bCs/>
          <w:snapToGrid w:val="0"/>
          <w:color w:val="auto"/>
          <w:kern w:val="0"/>
          <w:sz w:val="28"/>
          <w:szCs w:val="28"/>
        </w:rPr>
        <w:t>日</w:t>
      </w:r>
      <w:r>
        <w:rPr>
          <w:rFonts w:hint="eastAsia" w:ascii="仿宋_GB2312" w:hAnsi="仿宋_GB2312" w:eastAsia="仿宋_GB2312" w:cs="仿宋_GB2312"/>
          <w:snapToGrid w:val="0"/>
          <w:color w:val="auto"/>
          <w:kern w:val="0"/>
          <w:sz w:val="28"/>
          <w:szCs w:val="28"/>
        </w:rPr>
        <w:t>，专业适应性测试合格考生成绩在杭州教育网（edu.hangzhou.gov.cn）和我校校园网公布。专业适应性测试成绩合格考生即视作完成我校自主招生志愿填报。</w:t>
      </w:r>
    </w:p>
    <w:p>
      <w:pPr>
        <w:ind w:firstLine="560" w:firstLineChars="200"/>
        <w:rPr>
          <w:rFonts w:hint="eastAsia" w:ascii="黑体" w:hAnsi="黑体" w:eastAsia="黑体" w:cs="黑体"/>
          <w:snapToGrid w:val="0"/>
          <w:color w:val="auto"/>
          <w:kern w:val="0"/>
        </w:rPr>
      </w:pPr>
      <w:r>
        <w:rPr>
          <w:rFonts w:hint="eastAsia" w:ascii="黑体" w:hAnsi="黑体" w:eastAsia="黑体" w:cs="黑体"/>
          <w:snapToGrid w:val="0"/>
          <w:color w:val="auto"/>
          <w:kern w:val="0"/>
          <w:sz w:val="28"/>
          <w:szCs w:val="28"/>
        </w:rPr>
        <w:t>五、录取</w:t>
      </w:r>
    </w:p>
    <w:p>
      <w:pPr>
        <w:widowControl/>
        <w:ind w:firstLine="548" w:firstLineChars="196"/>
        <w:jc w:val="left"/>
        <w:rPr>
          <w:rFonts w:hint="eastAsia" w:ascii="仿宋_GB2312" w:hAnsi="仿宋_GB2312" w:eastAsia="仿宋_GB2312" w:cs="仿宋_GB2312"/>
          <w:snapToGrid w:val="0"/>
          <w:color w:val="auto"/>
          <w:kern w:val="0"/>
          <w:sz w:val="28"/>
          <w:szCs w:val="28"/>
        </w:rPr>
      </w:pPr>
      <w:r>
        <w:rPr>
          <w:rFonts w:hint="eastAsia" w:ascii="仿宋_GB2312" w:hAnsi="仿宋_GB2312" w:eastAsia="仿宋_GB2312" w:cs="仿宋_GB2312"/>
          <w:snapToGrid w:val="0"/>
          <w:color w:val="auto"/>
          <w:kern w:val="0"/>
          <w:sz w:val="28"/>
          <w:szCs w:val="28"/>
        </w:rPr>
        <w:t>初中学业水平考试后，按学校招生计划、考生志愿和考核总分，按“平行志愿”投档录取方式进行录取。若</w:t>
      </w:r>
      <w:r>
        <w:rPr>
          <w:rFonts w:hint="eastAsia" w:ascii="仿宋_GB2312" w:hAnsi="仿宋_GB2312" w:eastAsia="仿宋_GB2312" w:cs="仿宋_GB2312"/>
          <w:color w:val="auto"/>
          <w:spacing w:val="-8"/>
          <w:sz w:val="28"/>
          <w:szCs w:val="28"/>
        </w:rPr>
        <w:t>考核总分相同，以学业水平考试成绩高的先进行投档，并参照各类高中集中统一招生录取投档原则确定投档先后位次。有体检要求的专业，体检合格为该专业录取的必要条件。</w:t>
      </w:r>
    </w:p>
    <w:p>
      <w:pPr>
        <w:widowControl/>
        <w:ind w:firstLine="517" w:firstLineChars="196"/>
        <w:jc w:val="left"/>
        <w:rPr>
          <w:rFonts w:hint="eastAsia" w:ascii="仿宋_GB2312" w:hAnsi="仿宋_GB2312" w:eastAsia="仿宋_GB2312" w:cs="仿宋_GB2312"/>
          <w:snapToGrid w:val="0"/>
          <w:color w:val="auto"/>
          <w:kern w:val="0"/>
          <w:sz w:val="28"/>
          <w:szCs w:val="28"/>
        </w:rPr>
      </w:pPr>
      <w:r>
        <w:rPr>
          <w:rFonts w:hint="eastAsia" w:ascii="仿宋_GB2312" w:hAnsi="仿宋_GB2312" w:eastAsia="仿宋_GB2312" w:cs="仿宋_GB2312"/>
          <w:color w:val="auto"/>
          <w:spacing w:val="-8"/>
          <w:sz w:val="28"/>
          <w:szCs w:val="28"/>
        </w:rPr>
        <w:t>考生考核总分的计算方式：考核总分=专业适应性测试成绩+学业水平考试成绩（不含加分）*90%。</w:t>
      </w:r>
    </w:p>
    <w:p>
      <w:pPr>
        <w:ind w:firstLine="560"/>
        <w:rPr>
          <w:rFonts w:hint="eastAsia" w:ascii="仿宋_GB2312" w:hAnsi="仿宋_GB2312" w:eastAsia="仿宋_GB2312" w:cs="仿宋_GB2312"/>
          <w:snapToGrid w:val="0"/>
          <w:color w:val="auto"/>
          <w:kern w:val="0"/>
          <w:sz w:val="28"/>
          <w:szCs w:val="28"/>
        </w:rPr>
      </w:pPr>
      <w:r>
        <w:rPr>
          <w:rFonts w:hint="eastAsia" w:ascii="仿宋_GB2312" w:hAnsi="仿宋_GB2312" w:eastAsia="仿宋_GB2312" w:cs="仿宋_GB2312"/>
          <w:snapToGrid w:val="0"/>
          <w:color w:val="auto"/>
          <w:kern w:val="0"/>
          <w:sz w:val="28"/>
          <w:szCs w:val="28"/>
        </w:rPr>
        <w:t>被录取的考生，不再参加</w:t>
      </w:r>
      <w:r>
        <w:rPr>
          <w:rFonts w:hint="eastAsia" w:ascii="仿宋_GB2312" w:hAnsi="仿宋_GB2312" w:eastAsia="仿宋_GB2312" w:cs="仿宋_GB2312"/>
          <w:snapToGrid w:val="0"/>
          <w:color w:val="auto"/>
          <w:kern w:val="0"/>
          <w:sz w:val="28"/>
          <w:szCs w:val="28"/>
          <w:lang w:eastAsia="zh-CN"/>
        </w:rPr>
        <w:t>后续阶段</w:t>
      </w:r>
      <w:r>
        <w:rPr>
          <w:rFonts w:hint="eastAsia" w:ascii="仿宋_GB2312" w:hAnsi="仿宋_GB2312" w:eastAsia="仿宋_GB2312" w:cs="仿宋_GB2312"/>
          <w:snapToGrid w:val="0"/>
          <w:color w:val="auto"/>
          <w:kern w:val="0"/>
          <w:sz w:val="28"/>
          <w:szCs w:val="28"/>
        </w:rPr>
        <w:t>的</w:t>
      </w:r>
      <w:r>
        <w:rPr>
          <w:rFonts w:hint="eastAsia" w:ascii="仿宋_GB2312" w:hAnsi="仿宋_GB2312" w:eastAsia="仿宋_GB2312" w:cs="仿宋_GB2312"/>
          <w:snapToGrid w:val="0"/>
          <w:color w:val="auto"/>
          <w:kern w:val="0"/>
          <w:sz w:val="28"/>
          <w:szCs w:val="28"/>
          <w:lang w:eastAsia="zh-CN"/>
        </w:rPr>
        <w:t>招生</w:t>
      </w:r>
      <w:r>
        <w:rPr>
          <w:rFonts w:hint="eastAsia" w:ascii="仿宋_GB2312" w:hAnsi="仿宋_GB2312" w:eastAsia="仿宋_GB2312" w:cs="仿宋_GB2312"/>
          <w:snapToGrid w:val="0"/>
          <w:color w:val="auto"/>
          <w:kern w:val="0"/>
          <w:sz w:val="28"/>
          <w:szCs w:val="28"/>
        </w:rPr>
        <w:t>录取。未被录取的考生，根据已报志愿，纳入集中统一</w:t>
      </w:r>
      <w:r>
        <w:rPr>
          <w:rFonts w:hint="eastAsia" w:ascii="仿宋_GB2312" w:hAnsi="仿宋_GB2312" w:eastAsia="仿宋_GB2312" w:cs="仿宋_GB2312"/>
          <w:snapToGrid w:val="0"/>
          <w:color w:val="auto"/>
          <w:kern w:val="0"/>
          <w:sz w:val="28"/>
          <w:szCs w:val="28"/>
          <w:lang w:eastAsia="zh-CN"/>
        </w:rPr>
        <w:t>阶段的</w:t>
      </w:r>
      <w:r>
        <w:rPr>
          <w:rFonts w:hint="eastAsia" w:ascii="仿宋_GB2312" w:hAnsi="仿宋_GB2312" w:eastAsia="仿宋_GB2312" w:cs="仿宋_GB2312"/>
          <w:snapToGrid w:val="0"/>
          <w:color w:val="auto"/>
          <w:kern w:val="0"/>
          <w:sz w:val="28"/>
          <w:szCs w:val="28"/>
        </w:rPr>
        <w:t>招生录取。自主招生实际招生数未达到招生计划数的，不足名额纳入学校集中统一招生计划。</w:t>
      </w:r>
    </w:p>
    <w:p>
      <w:pPr>
        <w:ind w:firstLine="560"/>
        <w:rPr>
          <w:rFonts w:hint="eastAsia" w:ascii="黑体" w:hAnsi="黑体" w:eastAsia="黑体" w:cs="黑体"/>
          <w:snapToGrid w:val="0"/>
          <w:color w:val="auto"/>
          <w:kern w:val="0"/>
          <w:sz w:val="28"/>
          <w:szCs w:val="28"/>
        </w:rPr>
      </w:pPr>
      <w:r>
        <w:rPr>
          <w:rFonts w:hint="eastAsia" w:ascii="黑体" w:hAnsi="黑体" w:eastAsia="黑体" w:cs="黑体"/>
          <w:snapToGrid w:val="0"/>
          <w:color w:val="auto"/>
          <w:kern w:val="0"/>
          <w:sz w:val="28"/>
          <w:szCs w:val="28"/>
        </w:rPr>
        <w:t>六、其它事项</w:t>
      </w:r>
    </w:p>
    <w:p>
      <w:pPr>
        <w:ind w:firstLine="560" w:firstLineChars="200"/>
        <w:rPr>
          <w:rFonts w:hint="eastAsia" w:ascii="仿宋_GB2312" w:hAnsi="仿宋_GB2312" w:eastAsia="仿宋_GB2312" w:cs="仿宋_GB2312"/>
          <w:color w:val="auto"/>
          <w:sz w:val="28"/>
          <w:szCs w:val="28"/>
          <w:lang w:val="en"/>
        </w:rPr>
      </w:pPr>
      <w:r>
        <w:rPr>
          <w:rFonts w:hint="eastAsia" w:ascii="仿宋_GB2312" w:hAnsi="仿宋_GB2312" w:eastAsia="仿宋_GB2312" w:cs="仿宋_GB2312"/>
          <w:color w:val="auto"/>
          <w:sz w:val="28"/>
          <w:szCs w:val="28"/>
        </w:rPr>
        <w:t>1.请考生在参加测试前认真阅读相关测试安排及提示内容。</w:t>
      </w:r>
    </w:p>
    <w:p>
      <w:pPr>
        <w:ind w:firstLine="548" w:firstLineChars="196"/>
        <w:outlineLvl w:val="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2.本招生办法由我校自主招生工作领导小组负责解释。</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8"/>
          <w:szCs w:val="28"/>
        </w:rPr>
        <w:t xml:space="preserve">    咨询电话：</w:t>
      </w:r>
      <w:bookmarkStart w:id="4" w:name="_Hlk66302283"/>
      <w:r>
        <w:rPr>
          <w:rFonts w:hint="eastAsia" w:ascii="仿宋_GB2312" w:hAnsi="仿宋_GB2312" w:eastAsia="仿宋_GB2312" w:cs="仿宋_GB2312"/>
          <w:bCs/>
          <w:color w:val="auto"/>
          <w:sz w:val="28"/>
          <w:szCs w:val="28"/>
        </w:rPr>
        <w:t>87327968</w:t>
      </w:r>
      <w:bookmarkEnd w:id="4"/>
      <w:r>
        <w:rPr>
          <w:rFonts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28"/>
          <w:szCs w:val="28"/>
        </w:rPr>
        <w:t>87327918</w:t>
      </w:r>
    </w:p>
    <w:p>
      <w:pPr>
        <w:spacing w:line="360" w:lineRule="auto"/>
        <w:rPr>
          <w:rFonts w:hint="eastAsia" w:ascii="仿宋_GB2312" w:hAnsi="仿宋_GB2312" w:eastAsia="仿宋_GB2312" w:cs="仿宋_GB2312"/>
          <w:color w:val="auto"/>
          <w:spacing w:val="-8"/>
          <w:sz w:val="28"/>
          <w:szCs w:val="28"/>
        </w:rPr>
      </w:pPr>
      <w:r>
        <w:rPr>
          <w:rFonts w:hint="eastAsia" w:ascii="仿宋_GB2312" w:hAnsi="仿宋_GB2312" w:eastAsia="仿宋_GB2312" w:cs="仿宋_GB2312"/>
          <w:color w:val="auto"/>
          <w:spacing w:val="-8"/>
          <w:sz w:val="28"/>
          <w:szCs w:val="28"/>
        </w:rPr>
        <w:t xml:space="preserve">         </w:t>
      </w:r>
    </w:p>
    <w:p>
      <w:pPr>
        <w:spacing w:line="360" w:lineRule="auto"/>
        <w:rPr>
          <w:rFonts w:hint="eastAsia" w:ascii="仿宋_GB2312" w:hAnsi="仿宋_GB2312" w:eastAsia="仿宋_GB2312" w:cs="仿宋_GB2312"/>
          <w:color w:val="auto"/>
          <w:spacing w:val="-8"/>
          <w:sz w:val="28"/>
          <w:szCs w:val="28"/>
        </w:rPr>
      </w:pPr>
      <w:r>
        <w:rPr>
          <w:rFonts w:hint="eastAsia" w:ascii="仿宋_GB2312" w:hAnsi="仿宋_GB2312" w:eastAsia="仿宋_GB2312" w:cs="仿宋_GB2312"/>
          <w:color w:val="auto"/>
          <w:spacing w:val="-8"/>
          <w:sz w:val="28"/>
          <w:szCs w:val="28"/>
        </w:rPr>
        <w:t xml:space="preserve">                     </w:t>
      </w:r>
    </w:p>
    <w:p>
      <w:pPr>
        <w:spacing w:line="360" w:lineRule="auto"/>
        <w:rPr>
          <w:rFonts w:hint="eastAsia" w:ascii="仿宋_GB2312" w:hAnsi="仿宋_GB2312" w:eastAsia="仿宋_GB2312" w:cs="仿宋_GB2312"/>
          <w:color w:val="auto"/>
          <w:spacing w:val="-8"/>
          <w:sz w:val="28"/>
          <w:szCs w:val="28"/>
        </w:rPr>
      </w:pPr>
      <w:r>
        <w:rPr>
          <w:rFonts w:hint="eastAsia" w:ascii="仿宋_GB2312" w:hAnsi="仿宋_GB2312" w:eastAsia="仿宋_GB2312" w:cs="仿宋_GB2312"/>
          <w:color w:val="auto"/>
          <w:spacing w:val="-8"/>
          <w:sz w:val="28"/>
          <w:szCs w:val="28"/>
        </w:rPr>
        <w:t xml:space="preserve">                                         杭州市西湖职业高级中学</w:t>
      </w:r>
    </w:p>
    <w:p>
      <w:pPr>
        <w:spacing w:line="360" w:lineRule="auto"/>
        <w:ind w:right="140" w:firstLine="528" w:firstLineChars="200"/>
        <w:jc w:val="center"/>
        <w:rPr>
          <w:rFonts w:eastAsia="仿宋_GB2312"/>
          <w:color w:val="auto"/>
          <w:sz w:val="24"/>
        </w:rPr>
      </w:pPr>
      <w:r>
        <w:rPr>
          <w:rFonts w:hint="eastAsia" w:ascii="仿宋_GB2312" w:hAnsi="仿宋_GB2312" w:eastAsia="仿宋_GB2312" w:cs="仿宋_GB2312"/>
          <w:color w:val="auto"/>
          <w:spacing w:val="-8"/>
          <w:sz w:val="28"/>
          <w:szCs w:val="28"/>
        </w:rPr>
        <w:t xml:space="preserve">                                  </w:t>
      </w:r>
      <w:bookmarkStart w:id="5" w:name="_Hlk101341172"/>
      <w:r>
        <w:rPr>
          <w:rFonts w:hint="eastAsia" w:ascii="仿宋_GB2312" w:hAnsi="仿宋_GB2312" w:eastAsia="仿宋_GB2312" w:cs="仿宋_GB2312"/>
          <w:color w:val="auto"/>
          <w:spacing w:val="-8"/>
          <w:sz w:val="28"/>
          <w:szCs w:val="28"/>
        </w:rPr>
        <w:t xml:space="preserve"> 202</w:t>
      </w:r>
      <w:r>
        <w:rPr>
          <w:rFonts w:hint="default" w:ascii="仿宋_GB2312" w:hAnsi="仿宋_GB2312" w:eastAsia="仿宋_GB2312" w:cs="仿宋_GB2312"/>
          <w:color w:val="auto"/>
          <w:spacing w:val="-8"/>
          <w:sz w:val="28"/>
          <w:szCs w:val="28"/>
          <w:lang w:val="en-US"/>
        </w:rPr>
        <w:t>4</w:t>
      </w:r>
      <w:r>
        <w:rPr>
          <w:rFonts w:hint="eastAsia" w:ascii="仿宋_GB2312" w:hAnsi="仿宋_GB2312" w:eastAsia="仿宋_GB2312" w:cs="仿宋_GB2312"/>
          <w:color w:val="auto"/>
          <w:spacing w:val="-8"/>
          <w:sz w:val="28"/>
          <w:szCs w:val="28"/>
        </w:rPr>
        <w:t>年</w:t>
      </w:r>
      <w:r>
        <w:rPr>
          <w:rFonts w:hint="default" w:ascii="仿宋_GB2312" w:hAnsi="仿宋_GB2312" w:eastAsia="仿宋_GB2312" w:cs="仿宋_GB2312"/>
          <w:color w:val="auto"/>
          <w:spacing w:val="-8"/>
          <w:sz w:val="28"/>
          <w:szCs w:val="28"/>
          <w:lang w:val="en-US"/>
        </w:rPr>
        <w:t>5</w:t>
      </w:r>
      <w:r>
        <w:rPr>
          <w:rFonts w:hint="eastAsia" w:ascii="仿宋_GB2312" w:hAnsi="仿宋_GB2312" w:eastAsia="仿宋_GB2312" w:cs="仿宋_GB2312"/>
          <w:color w:val="auto"/>
          <w:spacing w:val="-8"/>
          <w:sz w:val="28"/>
          <w:szCs w:val="28"/>
        </w:rPr>
        <w:t>月</w:t>
      </w:r>
      <w:r>
        <w:rPr>
          <w:rFonts w:hint="default" w:ascii="仿宋_GB2312" w:hAnsi="仿宋_GB2312" w:eastAsia="仿宋_GB2312" w:cs="仿宋_GB2312"/>
          <w:color w:val="auto"/>
          <w:spacing w:val="-8"/>
          <w:sz w:val="28"/>
          <w:szCs w:val="28"/>
          <w:lang w:val="en-US"/>
        </w:rPr>
        <w:t>6</w:t>
      </w:r>
      <w:r>
        <w:rPr>
          <w:rFonts w:hint="eastAsia" w:ascii="仿宋_GB2312" w:hAnsi="仿宋_GB2312" w:eastAsia="仿宋_GB2312" w:cs="仿宋_GB2312"/>
          <w:color w:val="auto"/>
          <w:spacing w:val="-8"/>
          <w:sz w:val="28"/>
          <w:szCs w:val="28"/>
        </w:rPr>
        <w:t>日</w:t>
      </w:r>
      <w:bookmarkEnd w:id="5"/>
    </w:p>
    <w:p>
      <w:pPr>
        <w:spacing w:line="360" w:lineRule="auto"/>
        <w:ind w:right="140" w:firstLine="480" w:firstLineChars="200"/>
        <w:jc w:val="center"/>
        <w:rPr>
          <w:rFonts w:hint="eastAsia" w:eastAsia="仿宋_GB2312"/>
          <w:color w:val="auto"/>
          <w:sz w:val="24"/>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fldChar w:fldCharType="begin"/>
    </w:r>
    <w:r>
      <w:rPr>
        <w:rStyle w:val="13"/>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4E1426"/>
    <w:rsid w:val="000012E0"/>
    <w:rsid w:val="000024F2"/>
    <w:rsid w:val="00040BD4"/>
    <w:rsid w:val="00043E4C"/>
    <w:rsid w:val="000441C0"/>
    <w:rsid w:val="00045973"/>
    <w:rsid w:val="000463A2"/>
    <w:rsid w:val="0005713D"/>
    <w:rsid w:val="00074636"/>
    <w:rsid w:val="0008325C"/>
    <w:rsid w:val="0009248D"/>
    <w:rsid w:val="000A41B1"/>
    <w:rsid w:val="000B0EC6"/>
    <w:rsid w:val="000B4145"/>
    <w:rsid w:val="000B5FFA"/>
    <w:rsid w:val="000C5064"/>
    <w:rsid w:val="000C66C8"/>
    <w:rsid w:val="000D16C5"/>
    <w:rsid w:val="000D18C3"/>
    <w:rsid w:val="000D6CD8"/>
    <w:rsid w:val="000D7E9C"/>
    <w:rsid w:val="000F1572"/>
    <w:rsid w:val="001216FC"/>
    <w:rsid w:val="00145378"/>
    <w:rsid w:val="00153B79"/>
    <w:rsid w:val="0015476A"/>
    <w:rsid w:val="0016315A"/>
    <w:rsid w:val="001742CD"/>
    <w:rsid w:val="0018166E"/>
    <w:rsid w:val="001858A3"/>
    <w:rsid w:val="00186317"/>
    <w:rsid w:val="00191E53"/>
    <w:rsid w:val="001A3836"/>
    <w:rsid w:val="001B072B"/>
    <w:rsid w:val="001B2654"/>
    <w:rsid w:val="001C687B"/>
    <w:rsid w:val="001C7A60"/>
    <w:rsid w:val="001D4101"/>
    <w:rsid w:val="001D6A97"/>
    <w:rsid w:val="001E2C89"/>
    <w:rsid w:val="001E31FD"/>
    <w:rsid w:val="001E5ADE"/>
    <w:rsid w:val="002019A9"/>
    <w:rsid w:val="002036B2"/>
    <w:rsid w:val="00204B85"/>
    <w:rsid w:val="002057B9"/>
    <w:rsid w:val="00207645"/>
    <w:rsid w:val="0021011E"/>
    <w:rsid w:val="00223885"/>
    <w:rsid w:val="00227847"/>
    <w:rsid w:val="00241462"/>
    <w:rsid w:val="00246E6F"/>
    <w:rsid w:val="00250516"/>
    <w:rsid w:val="002541CD"/>
    <w:rsid w:val="00264A92"/>
    <w:rsid w:val="00276516"/>
    <w:rsid w:val="0027684B"/>
    <w:rsid w:val="0028113C"/>
    <w:rsid w:val="00282F40"/>
    <w:rsid w:val="00283B40"/>
    <w:rsid w:val="0028591D"/>
    <w:rsid w:val="00293F50"/>
    <w:rsid w:val="00297E8A"/>
    <w:rsid w:val="002C5C36"/>
    <w:rsid w:val="002C7DC6"/>
    <w:rsid w:val="002D41C5"/>
    <w:rsid w:val="002E3D89"/>
    <w:rsid w:val="002F3266"/>
    <w:rsid w:val="003006CD"/>
    <w:rsid w:val="00314E38"/>
    <w:rsid w:val="00315E50"/>
    <w:rsid w:val="00327CCC"/>
    <w:rsid w:val="003644FD"/>
    <w:rsid w:val="003708EA"/>
    <w:rsid w:val="00381380"/>
    <w:rsid w:val="003A06AC"/>
    <w:rsid w:val="003A46FA"/>
    <w:rsid w:val="003B3202"/>
    <w:rsid w:val="003D1715"/>
    <w:rsid w:val="003D63D1"/>
    <w:rsid w:val="003E08AB"/>
    <w:rsid w:val="003E49CC"/>
    <w:rsid w:val="003E6E8D"/>
    <w:rsid w:val="003F2FB2"/>
    <w:rsid w:val="003F2FBB"/>
    <w:rsid w:val="004024BB"/>
    <w:rsid w:val="004165D8"/>
    <w:rsid w:val="00416E7F"/>
    <w:rsid w:val="0041764C"/>
    <w:rsid w:val="00430048"/>
    <w:rsid w:val="00435D09"/>
    <w:rsid w:val="00435EF4"/>
    <w:rsid w:val="004360B3"/>
    <w:rsid w:val="004402A2"/>
    <w:rsid w:val="00441516"/>
    <w:rsid w:val="00442770"/>
    <w:rsid w:val="004527E2"/>
    <w:rsid w:val="00455794"/>
    <w:rsid w:val="0046596D"/>
    <w:rsid w:val="00467964"/>
    <w:rsid w:val="004821E4"/>
    <w:rsid w:val="00492BBF"/>
    <w:rsid w:val="004A15EB"/>
    <w:rsid w:val="004A41CB"/>
    <w:rsid w:val="004A4D6C"/>
    <w:rsid w:val="004D4EB5"/>
    <w:rsid w:val="004E1426"/>
    <w:rsid w:val="004E362D"/>
    <w:rsid w:val="004E640B"/>
    <w:rsid w:val="004E67FF"/>
    <w:rsid w:val="004F1631"/>
    <w:rsid w:val="004F3900"/>
    <w:rsid w:val="004F58C7"/>
    <w:rsid w:val="00523044"/>
    <w:rsid w:val="005416CE"/>
    <w:rsid w:val="00555719"/>
    <w:rsid w:val="00562D5C"/>
    <w:rsid w:val="00582FE8"/>
    <w:rsid w:val="0058448F"/>
    <w:rsid w:val="00592590"/>
    <w:rsid w:val="005A1237"/>
    <w:rsid w:val="005A19EC"/>
    <w:rsid w:val="005A24B0"/>
    <w:rsid w:val="005B7CC2"/>
    <w:rsid w:val="005C0004"/>
    <w:rsid w:val="005C29B9"/>
    <w:rsid w:val="005D5AA4"/>
    <w:rsid w:val="005D60CA"/>
    <w:rsid w:val="00600A9F"/>
    <w:rsid w:val="006065A1"/>
    <w:rsid w:val="00607CF7"/>
    <w:rsid w:val="00611AC1"/>
    <w:rsid w:val="006137B1"/>
    <w:rsid w:val="00616BF4"/>
    <w:rsid w:val="00620213"/>
    <w:rsid w:val="0063166D"/>
    <w:rsid w:val="006447E4"/>
    <w:rsid w:val="006448F6"/>
    <w:rsid w:val="0064515B"/>
    <w:rsid w:val="00647A3E"/>
    <w:rsid w:val="00647BE5"/>
    <w:rsid w:val="00665048"/>
    <w:rsid w:val="00677887"/>
    <w:rsid w:val="00686F7E"/>
    <w:rsid w:val="00687325"/>
    <w:rsid w:val="00687EA8"/>
    <w:rsid w:val="006C62D5"/>
    <w:rsid w:val="006D1F0E"/>
    <w:rsid w:val="00715692"/>
    <w:rsid w:val="007269EC"/>
    <w:rsid w:val="00751CAB"/>
    <w:rsid w:val="00760DAC"/>
    <w:rsid w:val="007622E8"/>
    <w:rsid w:val="0076428A"/>
    <w:rsid w:val="007645F6"/>
    <w:rsid w:val="007709D7"/>
    <w:rsid w:val="0078318E"/>
    <w:rsid w:val="00790848"/>
    <w:rsid w:val="00793594"/>
    <w:rsid w:val="007B2531"/>
    <w:rsid w:val="007B356C"/>
    <w:rsid w:val="007B7334"/>
    <w:rsid w:val="007B7CDD"/>
    <w:rsid w:val="007B7CF8"/>
    <w:rsid w:val="007C0D38"/>
    <w:rsid w:val="007C2248"/>
    <w:rsid w:val="007D03BB"/>
    <w:rsid w:val="007D379F"/>
    <w:rsid w:val="007E713A"/>
    <w:rsid w:val="00802F3B"/>
    <w:rsid w:val="00803707"/>
    <w:rsid w:val="0081625B"/>
    <w:rsid w:val="00820764"/>
    <w:rsid w:val="00820ED0"/>
    <w:rsid w:val="008213B5"/>
    <w:rsid w:val="0082344C"/>
    <w:rsid w:val="00826562"/>
    <w:rsid w:val="008269C7"/>
    <w:rsid w:val="0083464B"/>
    <w:rsid w:val="00836A40"/>
    <w:rsid w:val="00863BE3"/>
    <w:rsid w:val="008838D8"/>
    <w:rsid w:val="008A653F"/>
    <w:rsid w:val="008B5A54"/>
    <w:rsid w:val="008C541F"/>
    <w:rsid w:val="008E2A8C"/>
    <w:rsid w:val="008E49B6"/>
    <w:rsid w:val="0090427B"/>
    <w:rsid w:val="00906010"/>
    <w:rsid w:val="00920435"/>
    <w:rsid w:val="00921AB8"/>
    <w:rsid w:val="00921C5C"/>
    <w:rsid w:val="0092470C"/>
    <w:rsid w:val="00935D02"/>
    <w:rsid w:val="00942EB1"/>
    <w:rsid w:val="00945576"/>
    <w:rsid w:val="00952A11"/>
    <w:rsid w:val="009538A1"/>
    <w:rsid w:val="009607C8"/>
    <w:rsid w:val="00965370"/>
    <w:rsid w:val="009665EB"/>
    <w:rsid w:val="00971E46"/>
    <w:rsid w:val="00987EF6"/>
    <w:rsid w:val="009964EC"/>
    <w:rsid w:val="009B47C9"/>
    <w:rsid w:val="009C527C"/>
    <w:rsid w:val="009C5713"/>
    <w:rsid w:val="009C5F7E"/>
    <w:rsid w:val="009D4DC5"/>
    <w:rsid w:val="009D5DA4"/>
    <w:rsid w:val="009F6090"/>
    <w:rsid w:val="009F60D1"/>
    <w:rsid w:val="00A017A9"/>
    <w:rsid w:val="00A06987"/>
    <w:rsid w:val="00A12F3C"/>
    <w:rsid w:val="00A22386"/>
    <w:rsid w:val="00A24808"/>
    <w:rsid w:val="00A24D81"/>
    <w:rsid w:val="00A2658A"/>
    <w:rsid w:val="00A450E7"/>
    <w:rsid w:val="00A45C6B"/>
    <w:rsid w:val="00A45CD9"/>
    <w:rsid w:val="00A51694"/>
    <w:rsid w:val="00A6159D"/>
    <w:rsid w:val="00A626BA"/>
    <w:rsid w:val="00A71AA4"/>
    <w:rsid w:val="00A739A8"/>
    <w:rsid w:val="00A83B05"/>
    <w:rsid w:val="00A90015"/>
    <w:rsid w:val="00A94C01"/>
    <w:rsid w:val="00A952F0"/>
    <w:rsid w:val="00A97E6A"/>
    <w:rsid w:val="00AB0EDB"/>
    <w:rsid w:val="00AB7359"/>
    <w:rsid w:val="00AB7747"/>
    <w:rsid w:val="00AB7C96"/>
    <w:rsid w:val="00AC1673"/>
    <w:rsid w:val="00AC5F63"/>
    <w:rsid w:val="00AD0E08"/>
    <w:rsid w:val="00AD0FD7"/>
    <w:rsid w:val="00AD3407"/>
    <w:rsid w:val="00AD79C3"/>
    <w:rsid w:val="00AE4079"/>
    <w:rsid w:val="00AF238D"/>
    <w:rsid w:val="00AF6623"/>
    <w:rsid w:val="00AF7550"/>
    <w:rsid w:val="00AF79E5"/>
    <w:rsid w:val="00B0063A"/>
    <w:rsid w:val="00B04D0F"/>
    <w:rsid w:val="00B1366D"/>
    <w:rsid w:val="00B136F0"/>
    <w:rsid w:val="00B15D54"/>
    <w:rsid w:val="00B174AC"/>
    <w:rsid w:val="00B17F8F"/>
    <w:rsid w:val="00B2525F"/>
    <w:rsid w:val="00B3460C"/>
    <w:rsid w:val="00B37AC1"/>
    <w:rsid w:val="00B46443"/>
    <w:rsid w:val="00B574EC"/>
    <w:rsid w:val="00B60B08"/>
    <w:rsid w:val="00B6161C"/>
    <w:rsid w:val="00B650B1"/>
    <w:rsid w:val="00B65A8A"/>
    <w:rsid w:val="00B914CC"/>
    <w:rsid w:val="00B93D78"/>
    <w:rsid w:val="00B942A0"/>
    <w:rsid w:val="00BA528E"/>
    <w:rsid w:val="00BA5BF5"/>
    <w:rsid w:val="00BA5F59"/>
    <w:rsid w:val="00BB0AD5"/>
    <w:rsid w:val="00BB3D33"/>
    <w:rsid w:val="00BB7A3E"/>
    <w:rsid w:val="00BC17E0"/>
    <w:rsid w:val="00BC2394"/>
    <w:rsid w:val="00BD3AD7"/>
    <w:rsid w:val="00BD71AF"/>
    <w:rsid w:val="00BE0E22"/>
    <w:rsid w:val="00BE1A7B"/>
    <w:rsid w:val="00BE1E9D"/>
    <w:rsid w:val="00BE4FC2"/>
    <w:rsid w:val="00BE5E40"/>
    <w:rsid w:val="00C21777"/>
    <w:rsid w:val="00C21B15"/>
    <w:rsid w:val="00C24200"/>
    <w:rsid w:val="00C24E20"/>
    <w:rsid w:val="00C26B6A"/>
    <w:rsid w:val="00C32192"/>
    <w:rsid w:val="00C37658"/>
    <w:rsid w:val="00C426B0"/>
    <w:rsid w:val="00C4278D"/>
    <w:rsid w:val="00C57384"/>
    <w:rsid w:val="00C5749C"/>
    <w:rsid w:val="00C616B8"/>
    <w:rsid w:val="00C73E02"/>
    <w:rsid w:val="00C84034"/>
    <w:rsid w:val="00C846B3"/>
    <w:rsid w:val="00C876B5"/>
    <w:rsid w:val="00C940DB"/>
    <w:rsid w:val="00C97F37"/>
    <w:rsid w:val="00CA25A1"/>
    <w:rsid w:val="00CA3EB2"/>
    <w:rsid w:val="00CB57B2"/>
    <w:rsid w:val="00CC7B3C"/>
    <w:rsid w:val="00CE0471"/>
    <w:rsid w:val="00CE3F7C"/>
    <w:rsid w:val="00D02F08"/>
    <w:rsid w:val="00D04CD0"/>
    <w:rsid w:val="00D21034"/>
    <w:rsid w:val="00D2261A"/>
    <w:rsid w:val="00D35631"/>
    <w:rsid w:val="00D35FA3"/>
    <w:rsid w:val="00D41189"/>
    <w:rsid w:val="00D41FA4"/>
    <w:rsid w:val="00D53FF5"/>
    <w:rsid w:val="00D605ED"/>
    <w:rsid w:val="00D67C99"/>
    <w:rsid w:val="00D84AB4"/>
    <w:rsid w:val="00D91E68"/>
    <w:rsid w:val="00D92453"/>
    <w:rsid w:val="00D9558A"/>
    <w:rsid w:val="00D9655A"/>
    <w:rsid w:val="00DA1F8D"/>
    <w:rsid w:val="00DA52C2"/>
    <w:rsid w:val="00DB1F91"/>
    <w:rsid w:val="00DB7B7C"/>
    <w:rsid w:val="00DC1E3E"/>
    <w:rsid w:val="00DD3B97"/>
    <w:rsid w:val="00DD6C97"/>
    <w:rsid w:val="00DE1E04"/>
    <w:rsid w:val="00DF1A3E"/>
    <w:rsid w:val="00DF4A6F"/>
    <w:rsid w:val="00E00877"/>
    <w:rsid w:val="00E02D6C"/>
    <w:rsid w:val="00E04264"/>
    <w:rsid w:val="00E06D11"/>
    <w:rsid w:val="00E16145"/>
    <w:rsid w:val="00E210EC"/>
    <w:rsid w:val="00E2296C"/>
    <w:rsid w:val="00E230E2"/>
    <w:rsid w:val="00E2320C"/>
    <w:rsid w:val="00E26CE9"/>
    <w:rsid w:val="00E56A91"/>
    <w:rsid w:val="00E716A5"/>
    <w:rsid w:val="00E803E4"/>
    <w:rsid w:val="00E81A03"/>
    <w:rsid w:val="00E8488E"/>
    <w:rsid w:val="00E84BAF"/>
    <w:rsid w:val="00EA5065"/>
    <w:rsid w:val="00EA515E"/>
    <w:rsid w:val="00EA57D5"/>
    <w:rsid w:val="00EA75B6"/>
    <w:rsid w:val="00EA78A0"/>
    <w:rsid w:val="00EB017E"/>
    <w:rsid w:val="00EB5837"/>
    <w:rsid w:val="00EC49AD"/>
    <w:rsid w:val="00EC57BB"/>
    <w:rsid w:val="00EC58E5"/>
    <w:rsid w:val="00EC5F72"/>
    <w:rsid w:val="00ED318E"/>
    <w:rsid w:val="00EE1EFB"/>
    <w:rsid w:val="00EF1151"/>
    <w:rsid w:val="00EF3E9F"/>
    <w:rsid w:val="00EF52E0"/>
    <w:rsid w:val="00F132CD"/>
    <w:rsid w:val="00F26829"/>
    <w:rsid w:val="00F32C65"/>
    <w:rsid w:val="00F426EA"/>
    <w:rsid w:val="00F435DF"/>
    <w:rsid w:val="00F543FB"/>
    <w:rsid w:val="00F54B74"/>
    <w:rsid w:val="00F55498"/>
    <w:rsid w:val="00F559BF"/>
    <w:rsid w:val="00F612D3"/>
    <w:rsid w:val="00F63122"/>
    <w:rsid w:val="00F84A0C"/>
    <w:rsid w:val="00F8628E"/>
    <w:rsid w:val="00F874F2"/>
    <w:rsid w:val="00F91550"/>
    <w:rsid w:val="00F925A2"/>
    <w:rsid w:val="00F97701"/>
    <w:rsid w:val="00FA3032"/>
    <w:rsid w:val="00FB11FC"/>
    <w:rsid w:val="00FB123A"/>
    <w:rsid w:val="00FC4B82"/>
    <w:rsid w:val="00FC6CBD"/>
    <w:rsid w:val="00FD1ACB"/>
    <w:rsid w:val="00FD2E2D"/>
    <w:rsid w:val="00FD5CF7"/>
    <w:rsid w:val="00FD65E7"/>
    <w:rsid w:val="00FE4C38"/>
    <w:rsid w:val="00FF5E52"/>
    <w:rsid w:val="00FF6A88"/>
    <w:rsid w:val="00FF7C12"/>
    <w:rsid w:val="045D6828"/>
    <w:rsid w:val="05AB0E7E"/>
    <w:rsid w:val="07233444"/>
    <w:rsid w:val="08E54819"/>
    <w:rsid w:val="09FFD7F7"/>
    <w:rsid w:val="0EA573E8"/>
    <w:rsid w:val="112D62F4"/>
    <w:rsid w:val="145E434B"/>
    <w:rsid w:val="159C20E9"/>
    <w:rsid w:val="15D54D8E"/>
    <w:rsid w:val="168B1B1E"/>
    <w:rsid w:val="1A6F5CC9"/>
    <w:rsid w:val="1B3E3C12"/>
    <w:rsid w:val="1BEDED57"/>
    <w:rsid w:val="1F573A71"/>
    <w:rsid w:val="2175048D"/>
    <w:rsid w:val="24A129BF"/>
    <w:rsid w:val="274F5559"/>
    <w:rsid w:val="28011896"/>
    <w:rsid w:val="281D2A9A"/>
    <w:rsid w:val="2A3F20DA"/>
    <w:rsid w:val="2B8A49DA"/>
    <w:rsid w:val="2D2D5ADD"/>
    <w:rsid w:val="2F6241C8"/>
    <w:rsid w:val="2F7B028C"/>
    <w:rsid w:val="2FC042FC"/>
    <w:rsid w:val="2FDF0A90"/>
    <w:rsid w:val="33A05842"/>
    <w:rsid w:val="3497E640"/>
    <w:rsid w:val="35AE90A1"/>
    <w:rsid w:val="35FF554F"/>
    <w:rsid w:val="37585891"/>
    <w:rsid w:val="3ACA4380"/>
    <w:rsid w:val="3E6FDF89"/>
    <w:rsid w:val="3F9D8B94"/>
    <w:rsid w:val="3FFBEE11"/>
    <w:rsid w:val="419B2EB1"/>
    <w:rsid w:val="48F267FB"/>
    <w:rsid w:val="4A4ECB8C"/>
    <w:rsid w:val="4C470199"/>
    <w:rsid w:val="4FD6033F"/>
    <w:rsid w:val="52BC3F7F"/>
    <w:rsid w:val="535B6DB4"/>
    <w:rsid w:val="56EBC4FC"/>
    <w:rsid w:val="57DB65A5"/>
    <w:rsid w:val="57FB9621"/>
    <w:rsid w:val="58E400C8"/>
    <w:rsid w:val="5B2F7797"/>
    <w:rsid w:val="5BAB6245"/>
    <w:rsid w:val="5C77A60B"/>
    <w:rsid w:val="5E4C319B"/>
    <w:rsid w:val="61690219"/>
    <w:rsid w:val="632B4112"/>
    <w:rsid w:val="64574DE5"/>
    <w:rsid w:val="65535837"/>
    <w:rsid w:val="68BF6A16"/>
    <w:rsid w:val="699328E4"/>
    <w:rsid w:val="69BFD840"/>
    <w:rsid w:val="69CB12BF"/>
    <w:rsid w:val="69F9A577"/>
    <w:rsid w:val="6AE64538"/>
    <w:rsid w:val="6B900C10"/>
    <w:rsid w:val="6F4397CE"/>
    <w:rsid w:val="6F7F87D7"/>
    <w:rsid w:val="725B6EB5"/>
    <w:rsid w:val="729CF92A"/>
    <w:rsid w:val="72A748C4"/>
    <w:rsid w:val="737AF4BA"/>
    <w:rsid w:val="73DDCBC1"/>
    <w:rsid w:val="74283B1F"/>
    <w:rsid w:val="74912FAC"/>
    <w:rsid w:val="75CE3EEF"/>
    <w:rsid w:val="75F50716"/>
    <w:rsid w:val="76F83024"/>
    <w:rsid w:val="77967D35"/>
    <w:rsid w:val="77EFBF7D"/>
    <w:rsid w:val="797E20B4"/>
    <w:rsid w:val="79C37AD8"/>
    <w:rsid w:val="7A1F2E05"/>
    <w:rsid w:val="7A4702E9"/>
    <w:rsid w:val="7A7E7D28"/>
    <w:rsid w:val="7BDF3629"/>
    <w:rsid w:val="7BFE5A46"/>
    <w:rsid w:val="7CFD3986"/>
    <w:rsid w:val="7DFBED6E"/>
    <w:rsid w:val="7DFFDEE0"/>
    <w:rsid w:val="7E578505"/>
    <w:rsid w:val="7EBFE3FD"/>
    <w:rsid w:val="7ECF6C91"/>
    <w:rsid w:val="7EDBFF36"/>
    <w:rsid w:val="7EF5A420"/>
    <w:rsid w:val="7F371669"/>
    <w:rsid w:val="7F3EA1DA"/>
    <w:rsid w:val="7F5B0211"/>
    <w:rsid w:val="7F5F1549"/>
    <w:rsid w:val="7F6A5E29"/>
    <w:rsid w:val="7F6FCB62"/>
    <w:rsid w:val="7F745762"/>
    <w:rsid w:val="7F7F7488"/>
    <w:rsid w:val="7F7FA7C3"/>
    <w:rsid w:val="7FD6D849"/>
    <w:rsid w:val="7FD85484"/>
    <w:rsid w:val="7FDE0033"/>
    <w:rsid w:val="7FDFD027"/>
    <w:rsid w:val="7FF1433F"/>
    <w:rsid w:val="7FFC6D9D"/>
    <w:rsid w:val="7FFE487E"/>
    <w:rsid w:val="9FEFD221"/>
    <w:rsid w:val="9FFFD792"/>
    <w:rsid w:val="AEF7374E"/>
    <w:rsid w:val="B6BD152B"/>
    <w:rsid w:val="BEF9DB11"/>
    <w:rsid w:val="BF9F2C36"/>
    <w:rsid w:val="C8C7EBAE"/>
    <w:rsid w:val="C9FC8A82"/>
    <w:rsid w:val="CFD20595"/>
    <w:rsid w:val="D3DFE5D1"/>
    <w:rsid w:val="D8467803"/>
    <w:rsid w:val="DB77148E"/>
    <w:rsid w:val="DD77D7F2"/>
    <w:rsid w:val="DF77AAF0"/>
    <w:rsid w:val="DFDF87F7"/>
    <w:rsid w:val="E7FE552D"/>
    <w:rsid w:val="EC7E0044"/>
    <w:rsid w:val="EDFBF3EA"/>
    <w:rsid w:val="EFBF8317"/>
    <w:rsid w:val="F29F70BE"/>
    <w:rsid w:val="F78F5AE5"/>
    <w:rsid w:val="F7EF0CE8"/>
    <w:rsid w:val="FBFFC91A"/>
    <w:rsid w:val="FD9B8AEC"/>
    <w:rsid w:val="FF8B64E3"/>
    <w:rsid w:val="FF8F3AC9"/>
    <w:rsid w:val="FFF53F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3">
    <w:name w:val="annotation text"/>
    <w:basedOn w:val="1"/>
    <w:link w:val="17"/>
    <w:uiPriority w:val="0"/>
    <w:pPr>
      <w:jc w:val="left"/>
    </w:pPr>
  </w:style>
  <w:style w:type="paragraph" w:styleId="4">
    <w:name w:val="Date"/>
    <w:basedOn w:val="1"/>
    <w:next w:val="1"/>
    <w:link w:val="18"/>
    <w:uiPriority w:val="0"/>
    <w:pPr>
      <w:ind w:left="100" w:leftChars="2500"/>
    </w:pPr>
  </w:style>
  <w:style w:type="paragraph" w:styleId="5">
    <w:name w:val="Balloon Text"/>
    <w:basedOn w:val="1"/>
    <w:semiHidden/>
    <w:uiPriority w:val="0"/>
    <w:rPr>
      <w:sz w:val="18"/>
      <w:szCs w:val="18"/>
    </w:r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20"/>
    <w:uiPriority w:val="0"/>
    <w:rPr>
      <w:b/>
      <w:bCs/>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iPriority w:val="0"/>
  </w:style>
  <w:style w:type="character" w:styleId="14">
    <w:name w:val="Hyperlink"/>
    <w:uiPriority w:val="0"/>
    <w:rPr>
      <w:color w:val="0000FF"/>
      <w:u w:val="single"/>
    </w:rPr>
  </w:style>
  <w:style w:type="character" w:styleId="15">
    <w:name w:val="annotation reference"/>
    <w:uiPriority w:val="0"/>
    <w:rPr>
      <w:sz w:val="21"/>
      <w:szCs w:val="21"/>
    </w:rPr>
  </w:style>
  <w:style w:type="character" w:customStyle="1" w:styleId="16">
    <w:name w:val="标题 1 字符"/>
    <w:link w:val="2"/>
    <w:uiPriority w:val="9"/>
    <w:rPr>
      <w:rFonts w:ascii="Calibri" w:hAnsi="Calibri" w:eastAsia="宋体" w:cs="Times New Roman"/>
      <w:b/>
      <w:bCs/>
      <w:kern w:val="44"/>
      <w:sz w:val="44"/>
      <w:szCs w:val="44"/>
    </w:rPr>
  </w:style>
  <w:style w:type="character" w:customStyle="1" w:styleId="17">
    <w:name w:val="批注文字 字符"/>
    <w:link w:val="3"/>
    <w:uiPriority w:val="0"/>
    <w:rPr>
      <w:kern w:val="2"/>
      <w:sz w:val="21"/>
      <w:szCs w:val="24"/>
    </w:rPr>
  </w:style>
  <w:style w:type="character" w:customStyle="1" w:styleId="18">
    <w:name w:val="日期 字符"/>
    <w:link w:val="4"/>
    <w:uiPriority w:val="0"/>
    <w:rPr>
      <w:kern w:val="2"/>
      <w:sz w:val="21"/>
      <w:szCs w:val="24"/>
    </w:rPr>
  </w:style>
  <w:style w:type="character" w:customStyle="1" w:styleId="19">
    <w:name w:val="页脚 字符"/>
    <w:link w:val="6"/>
    <w:uiPriority w:val="99"/>
    <w:rPr>
      <w:kern w:val="2"/>
      <w:sz w:val="18"/>
      <w:szCs w:val="18"/>
    </w:rPr>
  </w:style>
  <w:style w:type="character" w:customStyle="1" w:styleId="20">
    <w:name w:val="批注主题 字符"/>
    <w:link w:val="9"/>
    <w:uiPriority w:val="0"/>
    <w:rPr>
      <w:b/>
      <w:bCs/>
      <w:kern w:val="2"/>
      <w:sz w:val="21"/>
      <w:szCs w:val="24"/>
    </w:rPr>
  </w:style>
  <w:style w:type="character" w:customStyle="1" w:styleId="21">
    <w:name w:val="apple-converted-space"/>
    <w:uiPriority w:val="0"/>
    <w:rPr>
      <w:rFonts w:cs="Times New Roman"/>
    </w:rPr>
  </w:style>
  <w:style w:type="paragraph" w:customStyle="1" w:styleId="22">
    <w:name w:val=" Char Char Char Char"/>
    <w:basedOn w:val="1"/>
    <w:uiPriority w:val="0"/>
    <w:rPr>
      <w:rFonts w:ascii="仿宋_GB2312" w:eastAsia="仿宋_GB2312" w:cs="仿宋_GB2312"/>
      <w:b/>
      <w:bCs/>
      <w:sz w:val="32"/>
      <w:szCs w:val="32"/>
    </w:rPr>
  </w:style>
  <w:style w:type="paragraph" w:styleId="23">
    <w:name w:val=""/>
    <w:unhideWhenUsed/>
    <w:uiPriority w:val="99"/>
    <w:rPr>
      <w:kern w:val="2"/>
      <w:sz w:val="21"/>
      <w:szCs w:val="24"/>
      <w:lang w:val="en-US" w:eastAsia="zh-CN" w:bidi="ar-SA"/>
    </w:rPr>
  </w:style>
  <w:style w:type="character" w:customStyle="1" w:styleId="24">
    <w:name w:val="font01"/>
    <w:basedOn w:val="12"/>
    <w:qFormat/>
    <w:uiPriority w:val="0"/>
    <w:rPr>
      <w:rFonts w:ascii="仿宋_GB2312" w:eastAsia="仿宋_GB2312" w:cs="仿宋_GB2312"/>
      <w:color w:val="000000"/>
      <w:sz w:val="22"/>
      <w:szCs w:val="22"/>
      <w:u w:val="none"/>
    </w:rPr>
  </w:style>
  <w:style w:type="character" w:customStyle="1" w:styleId="25">
    <w:name w:val="font2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Sky123.Org</Company>
  <Pages>5</Pages>
  <Words>350</Words>
  <Characters>1997</Characters>
  <Lines>16</Lines>
  <Paragraphs>4</Paragraphs>
  <TotalTime>3.33333333333333</TotalTime>
  <ScaleCrop>false</ScaleCrop>
  <LinksUpToDate>false</LinksUpToDate>
  <CharactersWithSpaces>2343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2015-04-06T01:06:00Z</dcterms:created>
  <dc:creator>NTKO</dc:creator>
  <cp:lastModifiedBy>Bruce</cp:lastModifiedBy>
  <cp:lastPrinted>2024-03-19T16:01:45Z</cp:lastPrinted>
  <dcterms:modified xsi:type="dcterms:W3CDTF">2024-04-20T01:11:38Z</dcterms:modified>
  <dc:title>杭州**职业学校2014年“五年一贯制”、“3+2”教育班部分招生名额试行提前自主招生工作实施办法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978A897409B04882AE18713014BFC2DC_13</vt:lpwstr>
  </property>
</Properties>
</file>