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ind w:firstLine="361" w:firstLineChars="100"/>
        <w:jc w:val="center"/>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6"/>
          <w14:textFill>
            <w14:solidFill>
              <w14:schemeClr w14:val="tx1"/>
            </w14:solidFill>
          </w14:textFill>
        </w:rPr>
        <w:t xml:space="preserve">第三章  </w:t>
      </w:r>
      <w:r>
        <w:rPr>
          <w:rFonts w:hint="eastAsia" w:ascii="仿宋" w:hAnsi="仿宋" w:eastAsia="仿宋" w:cs="仿宋"/>
          <w:b/>
          <w:bCs/>
          <w:color w:val="000000" w:themeColor="text1"/>
          <w:sz w:val="36"/>
          <w:szCs w:val="36"/>
          <w14:textFill>
            <w14:solidFill>
              <w14:schemeClr w14:val="tx1"/>
            </w14:solidFill>
          </w14:textFill>
        </w:rPr>
        <w:t>合同主要条款</w:t>
      </w:r>
    </w:p>
    <w:p>
      <w:pPr>
        <w:widowControl/>
        <w:snapToGrid w:val="0"/>
        <w:spacing w:line="360" w:lineRule="auto"/>
        <w:ind w:firstLine="480" w:firstLineChars="200"/>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（供参考，具体条款由采购单位和中标供应商协商确定）</w:t>
      </w:r>
    </w:p>
    <w:p>
      <w:pPr>
        <w:widowControl/>
        <w:snapToGrid w:val="0"/>
        <w:spacing w:line="360" w:lineRule="auto"/>
        <w:ind w:firstLine="480" w:firstLineChars="2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项目名称： </w:t>
      </w:r>
      <w:r>
        <w:rPr>
          <w:rFonts w:hint="eastAsia" w:ascii="仿宋_GB2312" w:hAnsi="宋体" w:eastAsia="仿宋_GB2312" w:cs="Arial"/>
          <w:color w:val="000000" w:themeColor="text1"/>
          <w:kern w:val="0"/>
          <w:sz w:val="24"/>
          <w:highlight w:val="none"/>
          <w:lang w:eastAsia="zh-CN"/>
          <w14:textFill>
            <w14:solidFill>
              <w14:schemeClr w14:val="tx1"/>
            </w14:solidFill>
          </w14:textFill>
        </w:rPr>
        <w:t>天台县正源水务建设有限公司202</w:t>
      </w:r>
      <w:r>
        <w:rPr>
          <w:rFonts w:hint="eastAsia" w:ascii="仿宋_GB2312" w:hAnsi="宋体" w:eastAsia="仿宋_GB2312" w:cs="Arial"/>
          <w:color w:val="000000" w:themeColor="text1"/>
          <w:kern w:val="0"/>
          <w:sz w:val="24"/>
          <w:highlight w:val="none"/>
          <w:lang w:val="en-US" w:eastAsia="zh-CN"/>
          <w14:textFill>
            <w14:solidFill>
              <w14:schemeClr w14:val="tx1"/>
            </w14:solidFill>
          </w14:textFill>
        </w:rPr>
        <w:t>3</w:t>
      </w:r>
      <w:r>
        <w:rPr>
          <w:rFonts w:hint="eastAsia" w:ascii="仿宋_GB2312" w:hAnsi="宋体" w:eastAsia="仿宋_GB2312" w:cs="Arial"/>
          <w:color w:val="000000" w:themeColor="text1"/>
          <w:kern w:val="0"/>
          <w:sz w:val="24"/>
          <w:highlight w:val="none"/>
          <w:lang w:eastAsia="zh-CN"/>
          <w14:textFill>
            <w14:solidFill>
              <w14:schemeClr w14:val="tx1"/>
            </w14:solidFill>
          </w14:textFill>
        </w:rPr>
        <w:t>年水表采购项目</w:t>
      </w:r>
      <w:r>
        <w:rPr>
          <w:rFonts w:hint="eastAsia" w:ascii="仿宋" w:hAnsi="仿宋" w:eastAsia="仿宋" w:cs="仿宋"/>
          <w:color w:val="000000" w:themeColor="text1"/>
          <w:kern w:val="0"/>
          <w:sz w:val="24"/>
          <w:lang w:eastAsia="zh-CN"/>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w:t>
      </w:r>
    </w:p>
    <w:p>
      <w:pPr>
        <w:widowControl/>
        <w:snapToGrid w:val="0"/>
        <w:spacing w:line="360" w:lineRule="auto"/>
        <w:ind w:firstLine="480" w:firstLineChars="2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甲方：（采购单位）</w:t>
      </w:r>
      <w:r>
        <w:rPr>
          <w:rFonts w:hint="eastAsia" w:ascii="仿宋" w:hAnsi="仿宋" w:eastAsia="仿宋" w:cs="仿宋"/>
          <w:color w:val="000000" w:themeColor="text1"/>
          <w:sz w:val="24"/>
          <w14:textFill>
            <w14:solidFill>
              <w14:schemeClr w14:val="tx1"/>
            </w14:solidFill>
          </w14:textFill>
        </w:rPr>
        <w:t>天台县正源水务建设有限公司</w:t>
      </w:r>
      <w:r>
        <w:rPr>
          <w:rFonts w:hint="eastAsia" w:ascii="仿宋" w:hAnsi="仿宋" w:eastAsia="仿宋" w:cs="仿宋"/>
          <w:color w:val="000000" w:themeColor="text1"/>
          <w:kern w:val="0"/>
          <w:sz w:val="24"/>
          <w14:textFill>
            <w14:solidFill>
              <w14:schemeClr w14:val="tx1"/>
            </w14:solidFill>
          </w14:textFill>
        </w:rPr>
        <w:t xml:space="preserve">                     </w:t>
      </w:r>
    </w:p>
    <w:p>
      <w:pPr>
        <w:widowControl/>
        <w:snapToGrid w:val="0"/>
        <w:spacing w:line="360" w:lineRule="auto"/>
        <w:ind w:firstLine="480" w:firstLineChars="2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乙方：（中标供应商）                     </w:t>
      </w:r>
    </w:p>
    <w:p>
      <w:pPr>
        <w:widowControl/>
        <w:snapToGrid w:val="0"/>
        <w:spacing w:line="360" w:lineRule="auto"/>
        <w:ind w:firstLine="480" w:firstLineChars="2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根据</w:t>
      </w:r>
      <w:r>
        <w:rPr>
          <w:rFonts w:hint="eastAsia" w:ascii="仿宋" w:hAnsi="仿宋" w:eastAsia="仿宋" w:cs="仿宋"/>
          <w:color w:val="000000" w:themeColor="text1"/>
          <w:sz w:val="24"/>
          <w:lang w:val="en-US" w:eastAsia="zh-CN"/>
          <w14:textFill>
            <w14:solidFill>
              <w14:schemeClr w14:val="tx1"/>
            </w14:solidFill>
          </w14:textFill>
        </w:rPr>
        <w:t>浙江祥泽招标代理有限公司</w:t>
      </w:r>
      <w:r>
        <w:rPr>
          <w:rFonts w:hint="eastAsia" w:ascii="仿宋" w:hAnsi="仿宋" w:eastAsia="仿宋" w:cs="仿宋"/>
          <w:color w:val="000000" w:themeColor="text1"/>
          <w:kern w:val="0"/>
          <w:sz w:val="24"/>
          <w14:textFill>
            <w14:solidFill>
              <w14:schemeClr w14:val="tx1"/>
            </w14:solidFill>
          </w14:textFill>
        </w:rPr>
        <w:t>关于</w:t>
      </w:r>
      <w:r>
        <w:rPr>
          <w:rFonts w:hint="eastAsia" w:ascii="仿宋_GB2312" w:hAnsi="宋体" w:eastAsia="仿宋_GB2312" w:cs="Arial"/>
          <w:color w:val="000000" w:themeColor="text1"/>
          <w:kern w:val="0"/>
          <w:sz w:val="24"/>
          <w:highlight w:val="none"/>
          <w:u w:val="single"/>
          <w:lang w:eastAsia="zh-CN"/>
          <w14:textFill>
            <w14:solidFill>
              <w14:schemeClr w14:val="tx1"/>
            </w14:solidFill>
          </w14:textFill>
        </w:rPr>
        <w:t>天台县正源水务建设有限公司202</w:t>
      </w:r>
      <w:r>
        <w:rPr>
          <w:rFonts w:hint="eastAsia" w:ascii="仿宋_GB2312" w:hAnsi="宋体" w:eastAsia="仿宋_GB2312" w:cs="Arial"/>
          <w:color w:val="000000" w:themeColor="text1"/>
          <w:kern w:val="0"/>
          <w:sz w:val="24"/>
          <w:highlight w:val="none"/>
          <w:u w:val="single"/>
          <w:lang w:val="en-US" w:eastAsia="zh-CN"/>
          <w14:textFill>
            <w14:solidFill>
              <w14:schemeClr w14:val="tx1"/>
            </w14:solidFill>
          </w14:textFill>
        </w:rPr>
        <w:t>3</w:t>
      </w:r>
      <w:r>
        <w:rPr>
          <w:rFonts w:hint="eastAsia" w:ascii="仿宋_GB2312" w:hAnsi="宋体" w:eastAsia="仿宋_GB2312" w:cs="Arial"/>
          <w:color w:val="000000" w:themeColor="text1"/>
          <w:kern w:val="0"/>
          <w:sz w:val="24"/>
          <w:highlight w:val="none"/>
          <w:u w:val="single"/>
          <w:lang w:eastAsia="zh-CN"/>
          <w14:textFill>
            <w14:solidFill>
              <w14:schemeClr w14:val="tx1"/>
            </w14:solidFill>
          </w14:textFill>
        </w:rPr>
        <w:t>年水表采购项目</w:t>
      </w:r>
      <w:r>
        <w:rPr>
          <w:rFonts w:hint="eastAsia" w:ascii="仿宋" w:hAnsi="仿宋" w:eastAsia="仿宋" w:cs="仿宋"/>
          <w:color w:val="000000" w:themeColor="text1"/>
          <w:kern w:val="0"/>
          <w:sz w:val="24"/>
          <w14:textFill>
            <w14:solidFill>
              <w14:schemeClr w14:val="tx1"/>
            </w14:solidFill>
          </w14:textFill>
        </w:rPr>
        <w:t>公开招标的结果，签署本合同。</w:t>
      </w:r>
    </w:p>
    <w:p>
      <w:pPr>
        <w:widowControl/>
        <w:snapToGrid w:val="0"/>
        <w:spacing w:line="360" w:lineRule="auto"/>
        <w:ind w:firstLine="482" w:firstLineChars="200"/>
        <w:jc w:val="left"/>
        <w:rPr>
          <w:rFonts w:ascii="仿宋" w:hAnsi="仿宋" w:eastAsia="仿宋" w:cs="Arial"/>
          <w:color w:val="000000" w:themeColor="text1"/>
          <w:kern w:val="0"/>
          <w:sz w:val="24"/>
          <w14:textFill>
            <w14:solidFill>
              <w14:schemeClr w14:val="tx1"/>
            </w14:solidFill>
          </w14:textFill>
        </w:rPr>
      </w:pPr>
      <w:r>
        <w:rPr>
          <w:rFonts w:hint="eastAsia" w:ascii="仿宋" w:hAnsi="仿宋" w:eastAsia="仿宋" w:cs="Arial"/>
          <w:b/>
          <w:color w:val="000000" w:themeColor="text1"/>
          <w:kern w:val="0"/>
          <w:sz w:val="24"/>
          <w14:textFill>
            <w14:solidFill>
              <w14:schemeClr w14:val="tx1"/>
            </w14:solidFill>
          </w14:textFill>
        </w:rPr>
        <w:t>一、货物内容</w:t>
      </w:r>
    </w:p>
    <w:p>
      <w:pPr>
        <w:pStyle w:val="2"/>
        <w:rPr>
          <w:rFonts w:hint="eastAsia" w:ascii="仿宋" w:hAnsi="仿宋" w:eastAsia="仿宋" w:cs="Arial"/>
          <w:color w:val="000000" w:themeColor="text1"/>
          <w:kern w:val="0"/>
          <w:sz w:val="24"/>
          <w:lang w:val="en-US" w:eastAsia="zh-CN"/>
          <w14:textFill>
            <w14:solidFill>
              <w14:schemeClr w14:val="tx1"/>
            </w14:solidFill>
          </w14:textFill>
        </w:rPr>
      </w:pPr>
      <w:r>
        <w:rPr>
          <w:rFonts w:hint="eastAsia" w:ascii="仿宋" w:hAnsi="仿宋" w:eastAsia="仿宋" w:cs="Arial"/>
          <w:color w:val="000000" w:themeColor="text1"/>
          <w:kern w:val="0"/>
          <w:sz w:val="24"/>
          <w:lang w:val="en-US" w:eastAsia="zh-CN"/>
          <w14:textFill>
            <w14:solidFill>
              <w14:schemeClr w14:val="tx1"/>
            </w14:solidFill>
          </w14:textFill>
        </w:rPr>
        <w:t>1.1货物名称：</w:t>
      </w:r>
    </w:p>
    <w:p>
      <w:pPr>
        <w:pStyle w:val="2"/>
        <w:rPr>
          <w:rFonts w:hint="eastAsia" w:ascii="仿宋" w:hAnsi="仿宋" w:eastAsia="仿宋" w:cs="Arial"/>
          <w:color w:val="000000" w:themeColor="text1"/>
          <w:kern w:val="0"/>
          <w:sz w:val="24"/>
          <w:lang w:val="en-US" w:eastAsia="zh-CN"/>
          <w14:textFill>
            <w14:solidFill>
              <w14:schemeClr w14:val="tx1"/>
            </w14:solidFill>
          </w14:textFill>
        </w:rPr>
      </w:pPr>
      <w:r>
        <w:rPr>
          <w:rFonts w:hint="eastAsia" w:ascii="仿宋" w:hAnsi="仿宋" w:eastAsia="仿宋" w:cs="Arial"/>
          <w:color w:val="000000" w:themeColor="text1"/>
          <w:kern w:val="0"/>
          <w:sz w:val="24"/>
          <w:lang w:val="en-US" w:eastAsia="zh-CN"/>
          <w14:textFill>
            <w14:solidFill>
              <w14:schemeClr w14:val="tx1"/>
            </w14:solidFill>
          </w14:textFill>
        </w:rPr>
        <w:t>1.2数量：（单位）实际供货数量，按甲方实际使用需求为准，结算以实际供货结算。</w:t>
      </w:r>
    </w:p>
    <w:p>
      <w:pPr>
        <w:pStyle w:val="2"/>
        <w:rPr>
          <w:rFonts w:hint="eastAsia" w:ascii="仿宋" w:hAnsi="仿宋" w:eastAsia="仿宋" w:cs="Arial"/>
          <w:color w:val="000000" w:themeColor="text1"/>
          <w:kern w:val="0"/>
          <w:sz w:val="24"/>
          <w:lang w:val="en-US" w:eastAsia="zh-CN"/>
          <w14:textFill>
            <w14:solidFill>
              <w14:schemeClr w14:val="tx1"/>
            </w14:solidFill>
          </w14:textFill>
        </w:rPr>
      </w:pPr>
      <w:r>
        <w:rPr>
          <w:rFonts w:hint="eastAsia" w:ascii="仿宋" w:hAnsi="仿宋" w:eastAsia="仿宋" w:cs="Arial"/>
          <w:color w:val="000000" w:themeColor="text1"/>
          <w:kern w:val="0"/>
          <w:sz w:val="24"/>
          <w:lang w:val="en-US" w:eastAsia="zh-CN"/>
          <w14:textFill>
            <w14:solidFill>
              <w14:schemeClr w14:val="tx1"/>
            </w14:solidFill>
          </w14:textFill>
        </w:rPr>
        <w:t>1.4型号规格：</w:t>
      </w:r>
    </w:p>
    <w:tbl>
      <w:tblPr>
        <w:tblStyle w:val="8"/>
        <w:tblW w:w="0" w:type="auto"/>
        <w:jc w:val="center"/>
        <w:tblLayout w:type="fixed"/>
        <w:tblCellMar>
          <w:top w:w="0" w:type="dxa"/>
          <w:left w:w="108" w:type="dxa"/>
          <w:bottom w:w="0" w:type="dxa"/>
          <w:right w:w="108" w:type="dxa"/>
        </w:tblCellMar>
      </w:tblPr>
      <w:tblGrid>
        <w:gridCol w:w="895"/>
        <w:gridCol w:w="2498"/>
        <w:gridCol w:w="289"/>
        <w:gridCol w:w="2490"/>
        <w:gridCol w:w="2490"/>
      </w:tblGrid>
      <w:tr>
        <w:tblPrEx>
          <w:tblCellMar>
            <w:top w:w="0" w:type="dxa"/>
            <w:left w:w="108" w:type="dxa"/>
            <w:bottom w:w="0" w:type="dxa"/>
            <w:right w:w="108" w:type="dxa"/>
          </w:tblCellMar>
        </w:tblPrEx>
        <w:trPr>
          <w:trHeight w:val="454" w:hRule="exact"/>
          <w:jc w:val="center"/>
        </w:trPr>
        <w:tc>
          <w:tcPr>
            <w:tcW w:w="8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b/>
                <w:bCs/>
                <w:color w:val="000000" w:themeColor="text1"/>
                <w:sz w:val="24"/>
                <w:szCs w:val="24"/>
                <w:lang w:val="zh-CN" w:eastAsia="zh-TW" w:bidi="zh-TW"/>
                <w14:textFill>
                  <w14:solidFill>
                    <w14:schemeClr w14:val="tx1"/>
                  </w14:solidFill>
                </w14:textFill>
              </w:rPr>
            </w:pPr>
            <w:r>
              <w:rPr>
                <w:rFonts w:hint="eastAsia" w:ascii="宋体" w:hAnsi="宋体" w:eastAsia="宋体" w:cs="宋体"/>
                <w:b/>
                <w:bCs/>
                <w:color w:val="000000" w:themeColor="text1"/>
                <w:sz w:val="24"/>
                <w:szCs w:val="24"/>
                <w:lang w:val="zh-CN" w:eastAsia="zh-TW" w:bidi="zh-TW"/>
                <w14:textFill>
                  <w14:solidFill>
                    <w14:schemeClr w14:val="tx1"/>
                  </w14:solidFill>
                </w14:textFill>
              </w:rPr>
              <w:t>编</w:t>
            </w:r>
            <w:r>
              <w:rPr>
                <w:rFonts w:hint="eastAsia" w:ascii="宋体" w:hAnsi="宋体" w:eastAsia="宋体" w:cs="宋体"/>
                <w:b/>
                <w:bCs/>
                <w:color w:val="000000" w:themeColor="text1"/>
                <w:sz w:val="24"/>
                <w:szCs w:val="24"/>
                <w:lang w:val="en-US" w:eastAsia="zh-CN" w:bidi="zh-TW"/>
                <w14:textFill>
                  <w14:solidFill>
                    <w14:schemeClr w14:val="tx1"/>
                  </w14:solidFill>
                </w14:textFill>
              </w:rPr>
              <w:t>号</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b/>
                <w:bCs/>
                <w:color w:val="000000" w:themeColor="text1"/>
                <w:sz w:val="24"/>
                <w:szCs w:val="24"/>
                <w:lang w:val="zh-CN" w:eastAsia="zh-TW" w:bidi="zh-TW"/>
                <w14:textFill>
                  <w14:solidFill>
                    <w14:schemeClr w14:val="tx1"/>
                  </w14:solidFill>
                </w14:textFill>
              </w:rPr>
            </w:pPr>
            <w:r>
              <w:rPr>
                <w:rFonts w:hint="eastAsia" w:ascii="宋体" w:hAnsi="宋体" w:eastAsia="宋体" w:cs="宋体"/>
                <w:b/>
                <w:bCs/>
                <w:color w:val="000000" w:themeColor="text1"/>
                <w:sz w:val="24"/>
                <w:szCs w:val="24"/>
                <w:lang w:val="en-US" w:eastAsia="zh-CN" w:bidi="zh-TW"/>
                <w14:textFill>
                  <w14:solidFill>
                    <w14:schemeClr w14:val="tx1"/>
                  </w14:solidFill>
                </w14:textFill>
              </w:rPr>
              <w:t xml:space="preserve">采购内容                 </w:t>
            </w:r>
          </w:p>
        </w:tc>
        <w:tc>
          <w:tcPr>
            <w:tcW w:w="24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hAnsi="宋体" w:eastAsia="宋体" w:cs="宋体"/>
                <w:b/>
                <w:bCs/>
                <w:color w:val="000000" w:themeColor="text1"/>
                <w:sz w:val="24"/>
                <w:szCs w:val="24"/>
                <w:lang w:val="en-US" w:eastAsia="zh-CN" w:bidi="zh-TW"/>
                <w14:textFill>
                  <w14:solidFill>
                    <w14:schemeClr w14:val="tx1"/>
                  </w14:solidFill>
                </w14:textFill>
              </w:rPr>
              <w:t>规格（型号）</w:t>
            </w:r>
          </w:p>
        </w:tc>
        <w:tc>
          <w:tcPr>
            <w:tcW w:w="24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hAnsi="宋体" w:eastAsia="宋体" w:cs="宋体"/>
                <w:b/>
                <w:bCs/>
                <w:color w:val="000000" w:themeColor="text1"/>
                <w:sz w:val="24"/>
                <w:szCs w:val="24"/>
                <w:lang w:val="en-US" w:eastAsia="zh-CN" w:bidi="zh-TW"/>
                <w14:textFill>
                  <w14:solidFill>
                    <w14:schemeClr w14:val="tx1"/>
                  </w14:solidFill>
                </w14:textFill>
              </w:rPr>
              <w:t>单价上限价（元/只）</w:t>
            </w:r>
          </w:p>
        </w:tc>
      </w:tr>
      <w:tr>
        <w:tblPrEx>
          <w:tblCellMar>
            <w:top w:w="0" w:type="dxa"/>
            <w:left w:w="108" w:type="dxa"/>
            <w:bottom w:w="0" w:type="dxa"/>
            <w:right w:w="108" w:type="dxa"/>
          </w:tblCellMar>
        </w:tblPrEx>
        <w:trPr>
          <w:trHeight w:val="379" w:hRule="exact"/>
          <w:jc w:val="center"/>
        </w:trPr>
        <w:tc>
          <w:tcPr>
            <w:tcW w:w="8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b/>
                <w:bCs/>
                <w:color w:val="000000" w:themeColor="text1"/>
                <w:sz w:val="24"/>
                <w:szCs w:val="24"/>
                <w:lang w:val="zh-CN" w:eastAsia="zh-TW" w:bidi="zh-TW"/>
                <w14:textFill>
                  <w14:solidFill>
                    <w14:schemeClr w14:val="tx1"/>
                  </w14:solidFill>
                </w14:textFill>
              </w:rPr>
            </w:pPr>
            <w:r>
              <w:rPr>
                <w:rFonts w:hint="eastAsia" w:ascii="宋体" w:hAnsi="宋体" w:eastAsia="宋体" w:cs="宋体"/>
                <w:b/>
                <w:bCs/>
                <w:color w:val="000000" w:themeColor="text1"/>
                <w:sz w:val="24"/>
                <w:szCs w:val="24"/>
                <w:lang w:val="zh-CN" w:eastAsia="zh-TW" w:bidi="zh-TW"/>
                <w14:textFill>
                  <w14:solidFill>
                    <w14:schemeClr w14:val="tx1"/>
                  </w14:solidFill>
                </w14:textFill>
              </w:rPr>
              <w:t>1</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TW"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旋翼式水表</w:t>
            </w:r>
          </w:p>
        </w:tc>
        <w:tc>
          <w:tcPr>
            <w:tcW w:w="24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DN15</w:t>
            </w:r>
          </w:p>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p>
        </w:tc>
        <w:tc>
          <w:tcPr>
            <w:tcW w:w="24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p>
        </w:tc>
      </w:tr>
      <w:tr>
        <w:tblPrEx>
          <w:tblCellMar>
            <w:top w:w="0" w:type="dxa"/>
            <w:left w:w="108" w:type="dxa"/>
            <w:bottom w:w="0" w:type="dxa"/>
            <w:right w:w="108" w:type="dxa"/>
          </w:tblCellMar>
        </w:tblPrEx>
        <w:trPr>
          <w:trHeight w:val="409" w:hRule="exact"/>
          <w:jc w:val="center"/>
        </w:trPr>
        <w:tc>
          <w:tcPr>
            <w:tcW w:w="8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hAnsi="宋体" w:eastAsia="宋体" w:cs="宋体"/>
                <w:b/>
                <w:bCs/>
                <w:color w:val="000000" w:themeColor="text1"/>
                <w:sz w:val="24"/>
                <w:szCs w:val="24"/>
                <w:lang w:val="en-US" w:eastAsia="zh-CN" w:bidi="zh-TW"/>
                <w14:textFill>
                  <w14:solidFill>
                    <w14:schemeClr w14:val="tx1"/>
                  </w14:solidFill>
                </w14:textFill>
              </w:rPr>
              <w:t>2</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default"/>
                <w:color w:val="000000" w:themeColor="text1"/>
                <w:lang w:val="en-US" w:eastAsia="zh-CN"/>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旋翼式水表</w:t>
            </w:r>
          </w:p>
        </w:tc>
        <w:tc>
          <w:tcPr>
            <w:tcW w:w="24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DN20</w:t>
            </w:r>
          </w:p>
          <w:p>
            <w:pPr>
              <w:autoSpaceDE w:val="0"/>
              <w:autoSpaceDN w:val="0"/>
              <w:adjustRightInd w:val="0"/>
              <w:ind w:firstLine="964" w:firstLineChars="40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p>
        </w:tc>
        <w:tc>
          <w:tcPr>
            <w:tcW w:w="24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964" w:firstLineChars="40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p>
        </w:tc>
      </w:tr>
      <w:tr>
        <w:tblPrEx>
          <w:tblCellMar>
            <w:top w:w="0" w:type="dxa"/>
            <w:left w:w="108" w:type="dxa"/>
            <w:bottom w:w="0" w:type="dxa"/>
            <w:right w:w="108" w:type="dxa"/>
          </w:tblCellMar>
        </w:tblPrEx>
        <w:trPr>
          <w:trHeight w:val="349" w:hRule="exact"/>
          <w:jc w:val="center"/>
        </w:trPr>
        <w:tc>
          <w:tcPr>
            <w:tcW w:w="8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hAnsi="宋体" w:eastAsia="宋体" w:cs="宋体"/>
                <w:b/>
                <w:bCs/>
                <w:color w:val="000000" w:themeColor="text1"/>
                <w:sz w:val="24"/>
                <w:szCs w:val="24"/>
                <w:lang w:val="en-US" w:eastAsia="zh-CN" w:bidi="zh-TW"/>
                <w14:textFill>
                  <w14:solidFill>
                    <w14:schemeClr w14:val="tx1"/>
                  </w14:solidFill>
                </w14:textFill>
              </w:rPr>
              <w:t>3</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color w:val="000000" w:themeColor="text1"/>
                <w:lang w:val="en-US" w:eastAsia="zh-CN"/>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旋翼式水表</w:t>
            </w:r>
          </w:p>
        </w:tc>
        <w:tc>
          <w:tcPr>
            <w:tcW w:w="24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DN25</w:t>
            </w:r>
          </w:p>
          <w:p>
            <w:pPr>
              <w:autoSpaceDE w:val="0"/>
              <w:autoSpaceDN w:val="0"/>
              <w:adjustRightInd w:val="0"/>
              <w:ind w:firstLine="964" w:firstLineChars="40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p>
        </w:tc>
        <w:tc>
          <w:tcPr>
            <w:tcW w:w="24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964" w:firstLineChars="40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p>
        </w:tc>
      </w:tr>
      <w:tr>
        <w:tblPrEx>
          <w:tblCellMar>
            <w:top w:w="0" w:type="dxa"/>
            <w:left w:w="108" w:type="dxa"/>
            <w:bottom w:w="0" w:type="dxa"/>
            <w:right w:w="108" w:type="dxa"/>
          </w:tblCellMar>
        </w:tblPrEx>
        <w:trPr>
          <w:trHeight w:val="304" w:hRule="exact"/>
          <w:jc w:val="center"/>
        </w:trPr>
        <w:tc>
          <w:tcPr>
            <w:tcW w:w="8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hAnsi="宋体" w:eastAsia="宋体" w:cs="宋体"/>
                <w:b/>
                <w:bCs/>
                <w:color w:val="000000" w:themeColor="text1"/>
                <w:sz w:val="24"/>
                <w:szCs w:val="24"/>
                <w:lang w:val="en-US" w:eastAsia="zh-CN" w:bidi="zh-TW"/>
                <w14:textFill>
                  <w14:solidFill>
                    <w14:schemeClr w14:val="tx1"/>
                  </w14:solidFill>
                </w14:textFill>
              </w:rPr>
              <w:t>4</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旋翼式水表</w:t>
            </w:r>
          </w:p>
        </w:tc>
        <w:tc>
          <w:tcPr>
            <w:tcW w:w="24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DN40</w:t>
            </w:r>
          </w:p>
          <w:p>
            <w:pPr>
              <w:autoSpaceDE w:val="0"/>
              <w:autoSpaceDN w:val="0"/>
              <w:adjustRightInd w:val="0"/>
              <w:ind w:firstLine="241" w:firstLineChars="10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p>
        </w:tc>
        <w:tc>
          <w:tcPr>
            <w:tcW w:w="24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241" w:firstLineChars="10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p>
        </w:tc>
      </w:tr>
      <w:tr>
        <w:tblPrEx>
          <w:tblCellMar>
            <w:top w:w="0" w:type="dxa"/>
            <w:left w:w="108" w:type="dxa"/>
            <w:bottom w:w="0" w:type="dxa"/>
            <w:right w:w="108" w:type="dxa"/>
          </w:tblCellMar>
        </w:tblPrEx>
        <w:trPr>
          <w:trHeight w:val="349" w:hRule="exact"/>
          <w:jc w:val="center"/>
        </w:trPr>
        <w:tc>
          <w:tcPr>
            <w:tcW w:w="8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hAnsi="宋体" w:eastAsia="宋体" w:cs="宋体"/>
                <w:b/>
                <w:bCs/>
                <w:color w:val="000000" w:themeColor="text1"/>
                <w:sz w:val="24"/>
                <w:szCs w:val="24"/>
                <w:lang w:val="en-US" w:eastAsia="zh-CN" w:bidi="zh-TW"/>
                <w14:textFill>
                  <w14:solidFill>
                    <w14:schemeClr w14:val="tx1"/>
                  </w14:solidFill>
                </w14:textFill>
              </w:rPr>
              <w:t>5</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可拆卸螺翼式水表</w:t>
            </w:r>
          </w:p>
        </w:tc>
        <w:tc>
          <w:tcPr>
            <w:tcW w:w="24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DN100</w:t>
            </w:r>
          </w:p>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p>
        </w:tc>
        <w:tc>
          <w:tcPr>
            <w:tcW w:w="24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p>
        </w:tc>
      </w:tr>
      <w:tr>
        <w:tblPrEx>
          <w:tblCellMar>
            <w:top w:w="0" w:type="dxa"/>
            <w:left w:w="108" w:type="dxa"/>
            <w:bottom w:w="0" w:type="dxa"/>
            <w:right w:w="108" w:type="dxa"/>
          </w:tblCellMar>
        </w:tblPrEx>
        <w:trPr>
          <w:trHeight w:val="349" w:hRule="exact"/>
          <w:jc w:val="center"/>
        </w:trPr>
        <w:tc>
          <w:tcPr>
            <w:tcW w:w="8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hAnsi="宋体" w:eastAsia="宋体" w:cs="宋体"/>
                <w:b/>
                <w:bCs/>
                <w:color w:val="000000" w:themeColor="text1"/>
                <w:sz w:val="24"/>
                <w:szCs w:val="24"/>
                <w:lang w:val="en-US" w:eastAsia="zh-CN" w:bidi="zh-TW"/>
                <w14:textFill>
                  <w14:solidFill>
                    <w14:schemeClr w14:val="tx1"/>
                  </w14:solidFill>
                </w14:textFill>
              </w:rPr>
              <w:t>6</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垂直螺翼式水表</w:t>
            </w:r>
          </w:p>
        </w:tc>
        <w:tc>
          <w:tcPr>
            <w:tcW w:w="24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DN100</w:t>
            </w:r>
          </w:p>
          <w:p>
            <w:pPr>
              <w:autoSpaceDE w:val="0"/>
              <w:autoSpaceDN w:val="0"/>
              <w:adjustRightInd w:val="0"/>
              <w:ind w:firstLine="964" w:firstLineChars="40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p>
        </w:tc>
        <w:tc>
          <w:tcPr>
            <w:tcW w:w="24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964" w:firstLineChars="40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p>
        </w:tc>
      </w:tr>
      <w:tr>
        <w:tblPrEx>
          <w:tblCellMar>
            <w:top w:w="0" w:type="dxa"/>
            <w:left w:w="108" w:type="dxa"/>
            <w:bottom w:w="0" w:type="dxa"/>
            <w:right w:w="108" w:type="dxa"/>
          </w:tblCellMar>
        </w:tblPrEx>
        <w:trPr>
          <w:trHeight w:val="319" w:hRule="exact"/>
          <w:jc w:val="center"/>
        </w:trPr>
        <w:tc>
          <w:tcPr>
            <w:tcW w:w="8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hAnsi="宋体" w:eastAsia="宋体" w:cs="宋体"/>
                <w:b/>
                <w:bCs/>
                <w:color w:val="000000" w:themeColor="text1"/>
                <w:sz w:val="24"/>
                <w:szCs w:val="24"/>
                <w:lang w:val="en-US" w:eastAsia="zh-CN" w:bidi="zh-TW"/>
                <w14:textFill>
                  <w14:solidFill>
                    <w14:schemeClr w14:val="tx1"/>
                  </w14:solidFill>
                </w14:textFill>
              </w:rPr>
              <w:t>7</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0" w:firstLineChars="0"/>
              <w:jc w:val="center"/>
              <w:rPr>
                <w:rFonts w:hint="eastAsia"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垂直螺翼式水表</w:t>
            </w:r>
          </w:p>
        </w:tc>
        <w:tc>
          <w:tcPr>
            <w:tcW w:w="24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DN150</w:t>
            </w:r>
          </w:p>
          <w:p>
            <w:pPr>
              <w:autoSpaceDE w:val="0"/>
              <w:autoSpaceDN w:val="0"/>
              <w:adjustRightInd w:val="0"/>
              <w:ind w:firstLine="964" w:firstLineChars="40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p>
        </w:tc>
        <w:tc>
          <w:tcPr>
            <w:tcW w:w="24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964" w:firstLineChars="40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p>
        </w:tc>
      </w:tr>
      <w:tr>
        <w:tblPrEx>
          <w:tblCellMar>
            <w:top w:w="0" w:type="dxa"/>
            <w:left w:w="108" w:type="dxa"/>
            <w:bottom w:w="0" w:type="dxa"/>
            <w:right w:w="108" w:type="dxa"/>
          </w:tblCellMar>
        </w:tblPrEx>
        <w:trPr>
          <w:trHeight w:val="364" w:hRule="exact"/>
          <w:jc w:val="center"/>
        </w:trPr>
        <w:tc>
          <w:tcPr>
            <w:tcW w:w="89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hAnsi="宋体" w:eastAsia="宋体" w:cs="宋体"/>
                <w:b/>
                <w:bCs/>
                <w:color w:val="000000" w:themeColor="text1"/>
                <w:sz w:val="24"/>
                <w:szCs w:val="24"/>
                <w:lang w:val="en-US" w:eastAsia="zh-CN" w:bidi="zh-TW"/>
                <w14:textFill>
                  <w14:solidFill>
                    <w14:schemeClr w14:val="tx1"/>
                  </w14:solidFill>
                </w14:textFill>
              </w:rPr>
              <w:t>8</w:t>
            </w:r>
          </w:p>
        </w:tc>
        <w:tc>
          <w:tcPr>
            <w:tcW w:w="2787" w:type="dxa"/>
            <w:gridSpan w:val="2"/>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ind w:firstLine="0" w:firstLineChars="0"/>
              <w:jc w:val="center"/>
              <w:rPr>
                <w:rFonts w:hint="eastAsia"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垂直螺翼式水表</w:t>
            </w:r>
          </w:p>
        </w:tc>
        <w:tc>
          <w:tcPr>
            <w:tcW w:w="249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DN200</w:t>
            </w:r>
          </w:p>
          <w:p>
            <w:pPr>
              <w:autoSpaceDE w:val="0"/>
              <w:autoSpaceDN w:val="0"/>
              <w:adjustRightInd w:val="0"/>
              <w:ind w:firstLine="241" w:firstLineChars="10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p>
        </w:tc>
        <w:tc>
          <w:tcPr>
            <w:tcW w:w="249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ind w:firstLine="241" w:firstLineChars="10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p>
        </w:tc>
      </w:tr>
      <w:tr>
        <w:tblPrEx>
          <w:tblCellMar>
            <w:top w:w="0" w:type="dxa"/>
            <w:left w:w="108" w:type="dxa"/>
            <w:bottom w:w="0" w:type="dxa"/>
            <w:right w:w="108" w:type="dxa"/>
          </w:tblCellMar>
        </w:tblPrEx>
        <w:trPr>
          <w:trHeight w:val="614" w:hRule="exact"/>
          <w:jc w:val="center"/>
        </w:trPr>
        <w:tc>
          <w:tcPr>
            <w:tcW w:w="3393" w:type="dxa"/>
            <w:gridSpan w:val="2"/>
            <w:tcBorders>
              <w:top w:val="single" w:color="auto" w:sz="4" w:space="0"/>
              <w:left w:val="single" w:color="auto" w:sz="4" w:space="0"/>
              <w:bottom w:val="single" w:color="auto" w:sz="4" w:space="0"/>
              <w:right w:val="single" w:color="auto" w:sz="6" w:space="0"/>
            </w:tcBorders>
            <w:noWrap w:val="0"/>
            <w:vAlign w:val="center"/>
          </w:tcPr>
          <w:p>
            <w:pPr>
              <w:autoSpaceDE w:val="0"/>
              <w:autoSpaceDN w:val="0"/>
              <w:adjustRightInd w:val="0"/>
              <w:ind w:firstLine="482" w:firstLineChars="200"/>
              <w:jc w:val="center"/>
              <w:rPr>
                <w:rFonts w:hint="eastAsia" w:ascii="宋体" w:cs="宋体"/>
                <w:bCs/>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bidi="zh-TW"/>
                <w14:textFill>
                  <w14:solidFill>
                    <w14:schemeClr w14:val="tx1"/>
                  </w14:solidFill>
                </w14:textFill>
              </w:rPr>
              <w:t>下浮率（%）</w:t>
            </w:r>
          </w:p>
        </w:tc>
        <w:tc>
          <w:tcPr>
            <w:tcW w:w="5269" w:type="dxa"/>
            <w:gridSpan w:val="3"/>
            <w:tcBorders>
              <w:top w:val="single" w:color="auto" w:sz="4" w:space="0"/>
              <w:left w:val="single" w:color="auto" w:sz="6" w:space="0"/>
              <w:bottom w:val="single" w:color="auto" w:sz="4" w:space="0"/>
              <w:right w:val="single" w:color="auto" w:sz="4" w:space="0"/>
            </w:tcBorders>
            <w:noWrap w:val="0"/>
            <w:vAlign w:val="center"/>
          </w:tcPr>
          <w:p>
            <w:pPr>
              <w:autoSpaceDE w:val="0"/>
              <w:autoSpaceDN w:val="0"/>
              <w:adjustRightInd w:val="0"/>
              <w:jc w:val="left"/>
              <w:rPr>
                <w:rFonts w:hint="eastAsia" w:ascii="宋体" w:cs="宋体"/>
                <w:bCs/>
                <w:color w:val="000000" w:themeColor="text1"/>
                <w:sz w:val="24"/>
                <w:lang w:val="en-US" w:eastAsia="zh-CN"/>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 xml:space="preserve">  </w:t>
            </w:r>
          </w:p>
        </w:tc>
      </w:tr>
    </w:tbl>
    <w:p>
      <w:pPr>
        <w:pStyle w:val="2"/>
        <w:rPr>
          <w:rFonts w:hint="eastAsia" w:ascii="仿宋" w:hAnsi="仿宋" w:eastAsia="仿宋" w:cs="Arial"/>
          <w:color w:val="000000" w:themeColor="text1"/>
          <w:kern w:val="0"/>
          <w:sz w:val="24"/>
          <w:lang w:val="en-US" w:eastAsia="zh-CN"/>
          <w14:textFill>
            <w14:solidFill>
              <w14:schemeClr w14:val="tx1"/>
            </w14:solidFill>
          </w14:textFill>
        </w:rPr>
      </w:pPr>
    </w:p>
    <w:p>
      <w:pPr>
        <w:pStyle w:val="2"/>
        <w:rPr>
          <w:rFonts w:hint="default" w:eastAsia="仿宋"/>
          <w:b/>
          <w:bCs/>
          <w:color w:val="000000" w:themeColor="text1"/>
          <w:lang w:val="en-US" w:eastAsia="zh-CN"/>
          <w14:textFill>
            <w14:solidFill>
              <w14:schemeClr w14:val="tx1"/>
            </w14:solidFill>
          </w14:textFill>
        </w:rPr>
      </w:pPr>
      <w:r>
        <w:rPr>
          <w:rFonts w:hint="eastAsia" w:ascii="仿宋" w:hAnsi="仿宋" w:eastAsia="仿宋" w:cs="Arial"/>
          <w:b/>
          <w:bCs/>
          <w:color w:val="000000" w:themeColor="text1"/>
          <w:kern w:val="0"/>
          <w:sz w:val="24"/>
          <w:lang w:val="en-US" w:eastAsia="zh-CN"/>
          <w14:textFill>
            <w14:solidFill>
              <w14:schemeClr w14:val="tx1"/>
            </w14:solidFill>
          </w14:textFill>
        </w:rPr>
        <w:t>备注：履行合同的最终价格，应包括设备费、材料费、指导安装、调试费与总包单位及专业分包单位的施工配合费、税金、运输及运输保险费、卸货费、二次搬运检验费、质保期内维修保护费、备品备件费、特殊工具费、售后服务费、培训费、验收费、旋翼式水表DN15-DN40所有检测相关费用、旋翼式水表DN15-DN40必须取得浙江省市场监督管理局或台州市市场监督管理局检测许可报告。政策性文件规定及合同包含的所有风险、责任等各项全部费用。</w:t>
      </w:r>
    </w:p>
    <w:p>
      <w:pPr>
        <w:widowControl/>
        <w:snapToGrid w:val="0"/>
        <w:spacing w:line="360" w:lineRule="auto"/>
        <w:ind w:firstLine="482" w:firstLineChars="200"/>
        <w:jc w:val="left"/>
        <w:rPr>
          <w:rFonts w:ascii="仿宋" w:hAnsi="仿宋" w:eastAsia="仿宋" w:cs="Arial"/>
          <w:color w:val="000000" w:themeColor="text1"/>
          <w:kern w:val="0"/>
          <w:sz w:val="14"/>
          <w:szCs w:val="14"/>
          <w14:textFill>
            <w14:solidFill>
              <w14:schemeClr w14:val="tx1"/>
            </w14:solidFill>
          </w14:textFill>
        </w:rPr>
      </w:pPr>
      <w:r>
        <w:rPr>
          <w:rFonts w:hint="eastAsia" w:ascii="仿宋" w:hAnsi="仿宋" w:eastAsia="仿宋" w:cs="Arial"/>
          <w:b/>
          <w:color w:val="000000" w:themeColor="text1"/>
          <w:kern w:val="0"/>
          <w:sz w:val="24"/>
          <w14:textFill>
            <w14:solidFill>
              <w14:schemeClr w14:val="tx1"/>
            </w14:solidFill>
          </w14:textFill>
        </w:rPr>
        <w:t>二、价款支付</w:t>
      </w:r>
    </w:p>
    <w:p>
      <w:pPr>
        <w:spacing w:line="360" w:lineRule="auto"/>
        <w:ind w:firstLine="480" w:firstLineChars="200"/>
        <w:rPr>
          <w:rFonts w:hint="eastAsia" w:ascii="仿宋" w:hAnsi="仿宋" w:eastAsia="仿宋" w:cs="Arial"/>
          <w:bCs/>
          <w:color w:val="000000" w:themeColor="text1"/>
          <w:kern w:val="0"/>
          <w:sz w:val="24"/>
          <w14:textFill>
            <w14:solidFill>
              <w14:schemeClr w14:val="tx1"/>
            </w14:solidFill>
          </w14:textFill>
        </w:rPr>
      </w:pPr>
      <w:r>
        <w:rPr>
          <w:rFonts w:hint="eastAsia" w:ascii="仿宋" w:hAnsi="仿宋" w:eastAsia="仿宋" w:cs="Arial"/>
          <w:bCs/>
          <w:color w:val="000000" w:themeColor="text1"/>
          <w:kern w:val="0"/>
          <w:sz w:val="24"/>
          <w14:textFill>
            <w14:solidFill>
              <w14:schemeClr w14:val="tx1"/>
            </w14:solidFill>
          </w14:textFill>
        </w:rPr>
        <w:t>2.1 本合同总价款为人民币（大写）</w:t>
      </w:r>
      <w:r>
        <w:rPr>
          <w:rFonts w:hint="eastAsia" w:ascii="仿宋" w:hAnsi="仿宋" w:eastAsia="仿宋" w:cs="Arial"/>
          <w:bCs/>
          <w:color w:val="000000" w:themeColor="text1"/>
          <w:kern w:val="0"/>
          <w:sz w:val="24"/>
          <w:u w:val="single"/>
          <w14:textFill>
            <w14:solidFill>
              <w14:schemeClr w14:val="tx1"/>
            </w14:solidFill>
          </w14:textFill>
        </w:rPr>
        <w:t xml:space="preserve">： </w:t>
      </w:r>
      <w:r>
        <w:rPr>
          <w:rFonts w:hint="eastAsia" w:ascii="仿宋" w:hAnsi="仿宋" w:eastAsia="仿宋" w:cs="Arial"/>
          <w:bCs/>
          <w:color w:val="000000" w:themeColor="text1"/>
          <w:kern w:val="0"/>
          <w:sz w:val="24"/>
          <w:u w:val="single"/>
          <w:lang w:val="en-US" w:eastAsia="zh-CN"/>
          <w14:textFill>
            <w14:solidFill>
              <w14:schemeClr w14:val="tx1"/>
            </w14:solidFill>
          </w14:textFill>
        </w:rPr>
        <w:t xml:space="preserve">     </w:t>
      </w:r>
      <w:r>
        <w:rPr>
          <w:rFonts w:hint="eastAsia" w:ascii="仿宋" w:hAnsi="仿宋" w:eastAsia="仿宋" w:cs="Arial"/>
          <w:bCs/>
          <w:color w:val="000000" w:themeColor="text1"/>
          <w:kern w:val="0"/>
          <w:sz w:val="24"/>
          <w:u w:val="single"/>
          <w14:textFill>
            <w14:solidFill>
              <w14:schemeClr w14:val="tx1"/>
            </w14:solidFill>
          </w14:textFill>
        </w:rPr>
        <w:t xml:space="preserve">   （￥：</w:t>
      </w:r>
      <w:r>
        <w:rPr>
          <w:rFonts w:hint="eastAsia" w:ascii="仿宋" w:hAnsi="仿宋" w:eastAsia="仿宋" w:cs="Arial"/>
          <w:bCs/>
          <w:color w:val="000000" w:themeColor="text1"/>
          <w:kern w:val="0"/>
          <w:sz w:val="24"/>
          <w:u w:val="single"/>
          <w:lang w:val="en-US" w:eastAsia="zh-CN"/>
          <w14:textFill>
            <w14:solidFill>
              <w14:schemeClr w14:val="tx1"/>
            </w14:solidFill>
          </w14:textFill>
        </w:rPr>
        <w:t xml:space="preserve">       </w:t>
      </w:r>
      <w:r>
        <w:rPr>
          <w:rFonts w:hint="eastAsia" w:ascii="仿宋" w:hAnsi="仿宋" w:eastAsia="仿宋" w:cs="Arial"/>
          <w:bCs/>
          <w:color w:val="000000" w:themeColor="text1"/>
          <w:kern w:val="0"/>
          <w:sz w:val="24"/>
          <w:u w:val="single"/>
          <w14:textFill>
            <w14:solidFill>
              <w14:schemeClr w14:val="tx1"/>
            </w14:solidFill>
          </w14:textFill>
        </w:rPr>
        <w:t xml:space="preserve">元  </w:t>
      </w:r>
      <w:r>
        <w:rPr>
          <w:rFonts w:hint="eastAsia" w:ascii="仿宋" w:hAnsi="仿宋" w:eastAsia="仿宋" w:cs="Arial"/>
          <w:bCs/>
          <w:color w:val="000000" w:themeColor="text1"/>
          <w:kern w:val="0"/>
          <w:sz w:val="24"/>
          <w:u w:val="single"/>
          <w:lang w:val="en-US" w:eastAsia="zh-CN"/>
          <w14:textFill>
            <w14:solidFill>
              <w14:schemeClr w14:val="tx1"/>
            </w14:solidFill>
          </w14:textFill>
        </w:rPr>
        <w:t>含税率%</w:t>
      </w:r>
      <w:r>
        <w:rPr>
          <w:rFonts w:hint="eastAsia" w:ascii="仿宋" w:hAnsi="仿宋" w:eastAsia="仿宋" w:cs="Arial"/>
          <w:bCs/>
          <w:color w:val="000000" w:themeColor="text1"/>
          <w:kern w:val="0"/>
          <w:sz w:val="24"/>
          <w:u w:val="single"/>
          <w14:textFill>
            <w14:solidFill>
              <w14:schemeClr w14:val="tx1"/>
            </w14:solidFill>
          </w14:textFill>
        </w:rPr>
        <w:t xml:space="preserve"> ）</w:t>
      </w:r>
      <w:r>
        <w:rPr>
          <w:rFonts w:hint="eastAsia" w:ascii="仿宋" w:hAnsi="仿宋" w:eastAsia="仿宋" w:cs="Arial"/>
          <w:bCs/>
          <w:color w:val="000000" w:themeColor="text1"/>
          <w:kern w:val="0"/>
          <w:sz w:val="24"/>
          <w:lang w:val="zh-CN"/>
          <w14:textFill>
            <w14:solidFill>
              <w14:schemeClr w14:val="tx1"/>
            </w14:solidFill>
          </w14:textFill>
        </w:rPr>
        <w:t>。</w:t>
      </w:r>
    </w:p>
    <w:p>
      <w:pPr>
        <w:spacing w:line="360" w:lineRule="auto"/>
        <w:ind w:firstLine="480" w:firstLineChars="200"/>
        <w:rPr>
          <w:rFonts w:ascii="仿宋" w:hAnsi="仿宋" w:eastAsia="仿宋" w:cs="Arial"/>
          <w:color w:val="000000" w:themeColor="text1"/>
          <w:kern w:val="0"/>
          <w:sz w:val="24"/>
          <w14:textFill>
            <w14:solidFill>
              <w14:schemeClr w14:val="tx1"/>
            </w14:solidFill>
          </w14:textFill>
        </w:rPr>
      </w:pPr>
      <w:r>
        <w:rPr>
          <w:rFonts w:hint="eastAsia" w:ascii="仿宋" w:hAnsi="仿宋" w:eastAsia="仿宋" w:cs="Arial"/>
          <w:color w:val="000000" w:themeColor="text1"/>
          <w:kern w:val="0"/>
          <w:sz w:val="24"/>
          <w14:textFill>
            <w14:solidFill>
              <w14:schemeClr w14:val="tx1"/>
            </w14:solidFill>
          </w14:textFill>
        </w:rPr>
        <w:t>2.2 中标</w:t>
      </w:r>
      <w:r>
        <w:rPr>
          <w:rFonts w:hint="eastAsia" w:ascii="仿宋" w:hAnsi="仿宋" w:eastAsia="仿宋" w:cs="Arial"/>
          <w:color w:val="000000" w:themeColor="text1"/>
          <w:kern w:val="0"/>
          <w:sz w:val="24"/>
          <w:lang w:val="en-US" w:eastAsia="zh-CN"/>
          <w14:textFill>
            <w14:solidFill>
              <w14:schemeClr w14:val="tx1"/>
            </w14:solidFill>
          </w14:textFill>
        </w:rPr>
        <w:t>下浮率</w:t>
      </w:r>
      <w:r>
        <w:rPr>
          <w:rFonts w:hint="eastAsia" w:ascii="仿宋" w:hAnsi="仿宋" w:eastAsia="仿宋" w:cs="Arial"/>
          <w:color w:val="000000" w:themeColor="text1"/>
          <w:kern w:val="0"/>
          <w:sz w:val="24"/>
          <w14:textFill>
            <w14:solidFill>
              <w14:schemeClr w14:val="tx1"/>
            </w14:solidFill>
          </w14:textFill>
        </w:rPr>
        <w:t>（大写）：</w:t>
      </w:r>
      <w:r>
        <w:rPr>
          <w:rFonts w:hint="eastAsia" w:ascii="仿宋" w:hAnsi="仿宋" w:eastAsia="仿宋" w:cs="Arial"/>
          <w:color w:val="000000" w:themeColor="text1"/>
          <w:kern w:val="0"/>
          <w:sz w:val="24"/>
          <w:u w:val="single"/>
          <w14:textFill>
            <w14:solidFill>
              <w14:schemeClr w14:val="tx1"/>
            </w14:solidFill>
          </w14:textFill>
        </w:rPr>
        <w:t xml:space="preserve">  百分之 </w:t>
      </w:r>
      <w:r>
        <w:rPr>
          <w:rFonts w:hint="eastAsia" w:ascii="仿宋" w:hAnsi="仿宋" w:eastAsia="仿宋" w:cs="Arial"/>
          <w:color w:val="000000" w:themeColor="text1"/>
          <w:kern w:val="0"/>
          <w:sz w:val="24"/>
          <w:u w:val="single"/>
          <w:lang w:val="en-US" w:eastAsia="zh-CN"/>
          <w14:textFill>
            <w14:solidFill>
              <w14:schemeClr w14:val="tx1"/>
            </w14:solidFill>
          </w14:textFill>
        </w:rPr>
        <w:t xml:space="preserve"> </w:t>
      </w:r>
      <w:r>
        <w:rPr>
          <w:rFonts w:hint="eastAsia" w:ascii="仿宋" w:hAnsi="仿宋" w:eastAsia="仿宋" w:cs="Arial"/>
          <w:color w:val="000000" w:themeColor="text1"/>
          <w:kern w:val="0"/>
          <w:sz w:val="24"/>
          <w:u w:val="single"/>
          <w14:textFill>
            <w14:solidFill>
              <w14:schemeClr w14:val="tx1"/>
            </w14:solidFill>
          </w14:textFill>
        </w:rPr>
        <w:t xml:space="preserve">     </w:t>
      </w:r>
      <w:r>
        <w:rPr>
          <w:rFonts w:hint="eastAsia" w:ascii="仿宋" w:hAnsi="仿宋" w:eastAsia="仿宋" w:cs="Arial"/>
          <w:color w:val="000000" w:themeColor="text1"/>
          <w:kern w:val="0"/>
          <w:sz w:val="24"/>
          <w14:textFill>
            <w14:solidFill>
              <w14:schemeClr w14:val="tx1"/>
            </w14:solidFill>
          </w14:textFill>
        </w:rPr>
        <w:t>（</w:t>
      </w:r>
      <w:r>
        <w:rPr>
          <w:rFonts w:hint="eastAsia" w:ascii="仿宋" w:hAnsi="仿宋" w:eastAsia="仿宋" w:cs="Arial"/>
          <w:color w:val="000000" w:themeColor="text1"/>
          <w:kern w:val="0"/>
          <w:sz w:val="24"/>
          <w:u w:val="single"/>
          <w14:textFill>
            <w14:solidFill>
              <w14:schemeClr w14:val="tx1"/>
            </w14:solidFill>
          </w14:textFill>
        </w:rPr>
        <w:t xml:space="preserve">     % </w:t>
      </w:r>
      <w:r>
        <w:rPr>
          <w:rFonts w:hint="eastAsia" w:ascii="仿宋" w:hAnsi="仿宋" w:eastAsia="仿宋" w:cs="Arial"/>
          <w:color w:val="000000" w:themeColor="text1"/>
          <w:kern w:val="0"/>
          <w:sz w:val="24"/>
          <w14:textFill>
            <w14:solidFill>
              <w14:schemeClr w14:val="tx1"/>
            </w14:solidFill>
          </w14:textFill>
        </w:rPr>
        <w:t>）。合同单价详见附表。</w:t>
      </w:r>
      <w:r>
        <w:rPr>
          <w:rFonts w:hint="eastAsia" w:ascii="仿宋" w:hAnsi="仿宋" w:eastAsia="仿宋" w:cs="仿宋"/>
          <w:color w:val="000000" w:themeColor="text1"/>
          <w:kern w:val="0"/>
          <w:sz w:val="24"/>
          <w14:textFill>
            <w14:solidFill>
              <w14:schemeClr w14:val="tx1"/>
            </w14:solidFill>
          </w14:textFill>
        </w:rPr>
        <w:t>结算时，单价不予调整，货款按实际供货数量乘以单价乘以折扣数计算。</w:t>
      </w:r>
    </w:p>
    <w:p>
      <w:pPr>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Arial"/>
          <w:color w:val="000000" w:themeColor="text1"/>
          <w:kern w:val="0"/>
          <w:sz w:val="24"/>
          <w14:textFill>
            <w14:solidFill>
              <w14:schemeClr w14:val="tx1"/>
            </w14:solidFill>
          </w14:textFill>
        </w:rPr>
        <w:t xml:space="preserve">2.3 </w:t>
      </w:r>
      <w:r>
        <w:rPr>
          <w:rFonts w:hint="eastAsia" w:ascii="仿宋" w:hAnsi="仿宋" w:eastAsia="仿宋" w:cs="Arial"/>
          <w:bCs/>
          <w:color w:val="000000" w:themeColor="text1"/>
          <w:kern w:val="0"/>
          <w:sz w:val="24"/>
          <w14:textFill>
            <w14:solidFill>
              <w14:schemeClr w14:val="tx1"/>
            </w14:solidFill>
          </w14:textFill>
        </w:rPr>
        <w:t>付款方式及时间：合同签订后，每批货到仓库（工地）验收合格后，在一个月内支付该批货款的97.5%（发票和货物清单同时提供，后续付款以此类推），剩余2.5%</w:t>
      </w:r>
      <w:r>
        <w:rPr>
          <w:rFonts w:hint="eastAsia" w:ascii="仿宋" w:hAnsi="仿宋" w:eastAsia="仿宋" w:cs="Arial"/>
          <w:bCs/>
          <w:color w:val="000000" w:themeColor="text1"/>
          <w:kern w:val="0"/>
          <w:sz w:val="24"/>
          <w:lang w:val="en-US" w:eastAsia="zh-CN"/>
          <w14:textFill>
            <w14:solidFill>
              <w14:schemeClr w14:val="tx1"/>
            </w14:solidFill>
          </w14:textFill>
        </w:rPr>
        <w:t>不计利息</w:t>
      </w:r>
      <w:r>
        <w:rPr>
          <w:rFonts w:hint="eastAsia" w:ascii="仿宋" w:hAnsi="仿宋" w:eastAsia="仿宋" w:cs="Arial"/>
          <w:bCs/>
          <w:color w:val="000000" w:themeColor="text1"/>
          <w:kern w:val="0"/>
          <w:sz w:val="24"/>
          <w14:textFill>
            <w14:solidFill>
              <w14:schemeClr w14:val="tx1"/>
            </w14:solidFill>
          </w14:textFill>
        </w:rPr>
        <w:t>待质保期满后7个工作日内一次性付清。</w:t>
      </w:r>
      <w:r>
        <w:rPr>
          <w:rFonts w:hint="eastAsia" w:ascii="仿宋" w:hAnsi="仿宋" w:eastAsia="仿宋" w:cs="宋体"/>
          <w:color w:val="000000" w:themeColor="text1"/>
          <w:kern w:val="0"/>
          <w:sz w:val="24"/>
          <w14:textFill>
            <w14:solidFill>
              <w14:schemeClr w14:val="tx1"/>
            </w14:solidFill>
          </w14:textFill>
        </w:rPr>
        <w:t xml:space="preserve"> </w:t>
      </w:r>
    </w:p>
    <w:p>
      <w:pPr>
        <w:widowControl/>
        <w:snapToGrid w:val="0"/>
        <w:spacing w:line="360" w:lineRule="auto"/>
        <w:ind w:left="719" w:leftChars="228" w:hanging="240" w:hangingChars="100"/>
        <w:jc w:val="left"/>
        <w:rPr>
          <w:rFonts w:ascii="仿宋_GB2312" w:hAnsi="宋体" w:eastAsia="仿宋_GB2312" w:cs="Arial"/>
          <w:color w:val="000000" w:themeColor="text1"/>
          <w:kern w:val="0"/>
          <w:sz w:val="24"/>
          <w:szCs w:val="22"/>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2.3 </w:t>
      </w:r>
      <w:r>
        <w:rPr>
          <w:rFonts w:hint="eastAsia" w:ascii="仿宋_GB2312" w:hAnsi="宋体" w:eastAsia="仿宋_GB2312" w:cs="Arial"/>
          <w:color w:val="000000" w:themeColor="text1"/>
          <w:kern w:val="0"/>
          <w:sz w:val="24"/>
          <w14:textFill>
            <w14:solidFill>
              <w14:schemeClr w14:val="tx1"/>
            </w14:solidFill>
          </w14:textFill>
        </w:rPr>
        <w:t>乙方在收到中标通知书5天内向甲方交纳</w:t>
      </w:r>
      <w:r>
        <w:rPr>
          <w:rFonts w:hint="eastAsia" w:ascii="仿宋_GB2312" w:hAnsi="宋体" w:eastAsia="仿宋_GB2312" w:cs="Arial"/>
          <w:color w:val="000000" w:themeColor="text1"/>
          <w:kern w:val="0"/>
          <w:sz w:val="24"/>
          <w:lang w:val="en-US" w:eastAsia="zh-CN"/>
          <w14:textFill>
            <w14:solidFill>
              <w14:schemeClr w14:val="tx1"/>
            </w14:solidFill>
          </w14:textFill>
        </w:rPr>
        <w:t>叁</w:t>
      </w:r>
      <w:r>
        <w:rPr>
          <w:rFonts w:hint="eastAsia" w:ascii="仿宋_GB2312" w:hAnsi="宋体" w:eastAsia="仿宋_GB2312" w:cs="Arial"/>
          <w:color w:val="000000" w:themeColor="text1"/>
          <w:kern w:val="0"/>
          <w:sz w:val="24"/>
          <w14:textFill>
            <w14:solidFill>
              <w14:schemeClr w14:val="tx1"/>
            </w14:solidFill>
          </w14:textFill>
        </w:rPr>
        <w:t>万元</w:t>
      </w:r>
      <w:r>
        <w:rPr>
          <w:rFonts w:hint="eastAsia" w:ascii="仿宋" w:hAnsi="仿宋" w:eastAsia="仿宋" w:cs="Arial"/>
          <w:bCs/>
          <w:color w:val="000000" w:themeColor="text1"/>
          <w:kern w:val="0"/>
          <w:sz w:val="24"/>
          <w:u w:val="single"/>
          <w14:textFill>
            <w14:solidFill>
              <w14:schemeClr w14:val="tx1"/>
            </w14:solidFill>
          </w14:textFill>
        </w:rPr>
        <w:t>（￥：</w:t>
      </w:r>
      <w:r>
        <w:rPr>
          <w:rFonts w:hint="eastAsia" w:ascii="仿宋_GB2312" w:hAnsi="宋体" w:eastAsia="仿宋_GB2312" w:cs="Arial"/>
          <w:color w:val="000000" w:themeColor="text1"/>
          <w:kern w:val="0"/>
          <w:sz w:val="24"/>
          <w:highlight w:val="none"/>
          <w:u w:val="single"/>
          <w:lang w:val="en-US" w:eastAsia="zh-CN"/>
          <w14:textFill>
            <w14:solidFill>
              <w14:schemeClr w14:val="tx1"/>
            </w14:solidFill>
          </w14:textFill>
        </w:rPr>
        <w:t>30000</w:t>
      </w:r>
      <w:r>
        <w:rPr>
          <w:rFonts w:hint="eastAsia" w:ascii="仿宋" w:hAnsi="仿宋" w:eastAsia="仿宋" w:cs="Arial"/>
          <w:bCs/>
          <w:color w:val="000000" w:themeColor="text1"/>
          <w:kern w:val="0"/>
          <w:sz w:val="24"/>
          <w:u w:val="single"/>
          <w14:textFill>
            <w14:solidFill>
              <w14:schemeClr w14:val="tx1"/>
            </w14:solidFill>
          </w14:textFill>
        </w:rPr>
        <w:t>元）</w:t>
      </w:r>
      <w:r>
        <w:rPr>
          <w:rFonts w:hint="eastAsia" w:ascii="仿宋_GB2312" w:hAnsi="宋体" w:eastAsia="仿宋_GB2312" w:cs="Arial"/>
          <w:color w:val="000000" w:themeColor="text1"/>
          <w:kern w:val="0"/>
          <w:sz w:val="24"/>
          <w14:textFill>
            <w14:solidFill>
              <w14:schemeClr w14:val="tx1"/>
            </w14:solidFill>
          </w14:textFill>
        </w:rPr>
        <w:t>履约保证金。</w:t>
      </w:r>
    </w:p>
    <w:p>
      <w:pPr>
        <w:widowControl/>
        <w:snapToGrid w:val="0"/>
        <w:spacing w:line="360" w:lineRule="auto"/>
        <w:ind w:firstLine="480" w:firstLineChars="200"/>
        <w:jc w:val="left"/>
        <w:rPr>
          <w:rFonts w:hint="eastAsia" w:ascii="仿宋_GB2312" w:hAnsi="宋体" w:eastAsia="仿宋_GB2312" w:cs="Arial"/>
          <w:color w:val="000000" w:themeColor="text1"/>
          <w:kern w:val="0"/>
          <w:sz w:val="24"/>
          <w14:textFill>
            <w14:solidFill>
              <w14:schemeClr w14:val="tx1"/>
            </w14:solidFill>
          </w14:textFill>
        </w:rPr>
      </w:pPr>
      <w:r>
        <w:rPr>
          <w:rFonts w:hint="eastAsia" w:ascii="仿宋_GB2312" w:hAnsi="宋体" w:eastAsia="仿宋_GB2312" w:cs="Arial"/>
          <w:color w:val="000000" w:themeColor="text1"/>
          <w:kern w:val="0"/>
          <w:sz w:val="24"/>
          <w14:textFill>
            <w14:solidFill>
              <w14:schemeClr w14:val="tx1"/>
            </w14:solidFill>
          </w14:textFill>
        </w:rPr>
        <w:t xml:space="preserve">2.4 </w:t>
      </w:r>
      <w:r>
        <w:rPr>
          <w:rFonts w:ascii="仿宋_GB2312" w:hAnsi="仿宋_GB2312" w:eastAsia="仿宋" w:cs="仿宋_GB2312"/>
          <w:color w:val="000000" w:themeColor="text1"/>
          <w:sz w:val="24"/>
          <w14:textFill>
            <w14:solidFill>
              <w14:schemeClr w14:val="tx1"/>
            </w14:solidFill>
          </w14:textFill>
        </w:rPr>
        <w:t>履约保证金</w:t>
      </w:r>
      <w:r>
        <w:rPr>
          <w:rFonts w:hint="eastAsia" w:ascii="仿宋_GB2312" w:hAnsi="仿宋_GB2312" w:eastAsia="仿宋" w:cs="仿宋_GB2312"/>
          <w:color w:val="000000" w:themeColor="text1"/>
          <w:sz w:val="24"/>
          <w14:textFill>
            <w14:solidFill>
              <w14:schemeClr w14:val="tx1"/>
            </w14:solidFill>
          </w14:textFill>
        </w:rPr>
        <w:t>在合同履约结束</w:t>
      </w:r>
      <w:r>
        <w:rPr>
          <w:rFonts w:ascii="仿宋_GB2312" w:hAnsi="仿宋_GB2312" w:eastAsia="仿宋" w:cs="仿宋_GB2312"/>
          <w:color w:val="000000" w:themeColor="text1"/>
          <w:sz w:val="24"/>
          <w14:textFill>
            <w14:solidFill>
              <w14:schemeClr w14:val="tx1"/>
            </w14:solidFill>
          </w14:textFill>
        </w:rPr>
        <w:t>后</w:t>
      </w:r>
      <w:r>
        <w:rPr>
          <w:rFonts w:hint="eastAsia" w:ascii="仿宋_GB2312" w:hAnsi="仿宋_GB2312" w:eastAsia="仿宋" w:cs="仿宋_GB2312"/>
          <w:color w:val="000000" w:themeColor="text1"/>
          <w:sz w:val="24"/>
          <w14:textFill>
            <w14:solidFill>
              <w14:schemeClr w14:val="tx1"/>
            </w14:solidFill>
          </w14:textFill>
        </w:rPr>
        <w:t>30</w:t>
      </w:r>
      <w:r>
        <w:rPr>
          <w:rFonts w:ascii="仿宋_GB2312" w:hAnsi="仿宋_GB2312" w:eastAsia="仿宋" w:cs="仿宋_GB2312"/>
          <w:color w:val="000000" w:themeColor="text1"/>
          <w:sz w:val="24"/>
          <w14:textFill>
            <w14:solidFill>
              <w14:schemeClr w14:val="tx1"/>
            </w14:solidFill>
          </w14:textFill>
        </w:rPr>
        <w:t>日内无息退还</w:t>
      </w:r>
      <w:r>
        <w:rPr>
          <w:rFonts w:hint="eastAsia" w:ascii="仿宋_GB2312" w:hAnsi="宋体" w:eastAsia="仿宋_GB2312" w:cs="Arial"/>
          <w:color w:val="000000" w:themeColor="text1"/>
          <w:kern w:val="0"/>
          <w:sz w:val="24"/>
          <w14:textFill>
            <w14:solidFill>
              <w14:schemeClr w14:val="tx1"/>
            </w14:solidFill>
          </w14:textFill>
        </w:rPr>
        <w:t>。</w:t>
      </w:r>
    </w:p>
    <w:p>
      <w:pPr>
        <w:widowControl/>
        <w:snapToGrid w:val="0"/>
        <w:spacing w:line="360" w:lineRule="auto"/>
        <w:ind w:firstLine="480" w:firstLineChars="200"/>
        <w:jc w:val="left"/>
        <w:rPr>
          <w:rFonts w:hint="eastAsia" w:ascii="仿宋_GB2312" w:hAnsi="仿宋_GB2312" w:eastAsia="仿宋" w:cs="仿宋_GB2312"/>
          <w:color w:val="000000" w:themeColor="text1"/>
          <w:sz w:val="24"/>
          <w14:textFill>
            <w14:solidFill>
              <w14:schemeClr w14:val="tx1"/>
            </w14:solidFill>
          </w14:textFill>
        </w:rPr>
      </w:pPr>
      <w:r>
        <w:rPr>
          <w:rFonts w:hint="eastAsia" w:ascii="仿宋_GB2312" w:hAnsi="仿宋_GB2312" w:eastAsia="仿宋" w:cs="仿宋_GB2312"/>
          <w:color w:val="000000" w:themeColor="text1"/>
          <w:sz w:val="24"/>
          <w14:textFill>
            <w14:solidFill>
              <w14:schemeClr w14:val="tx1"/>
            </w14:solidFill>
          </w14:textFill>
        </w:rPr>
        <w:t>2.5甲方在任何时候都有权从履约保证金中扣除因乙方违约而导致损失的金额或违约金。乙方应在接到扣除履约保证金通知后一周内补足所扣差额，以保证承包期间履约保证金的完整。</w:t>
      </w:r>
    </w:p>
    <w:p>
      <w:pPr>
        <w:widowControl/>
        <w:snapToGrid w:val="0"/>
        <w:spacing w:line="360" w:lineRule="auto"/>
        <w:ind w:firstLine="480" w:firstLineChars="200"/>
        <w:jc w:val="left"/>
        <w:rPr>
          <w:rFonts w:ascii="仿宋_GB2312" w:hAnsi="仿宋_GB2312" w:eastAsia="仿宋" w:cs="仿宋_GB2312"/>
          <w:color w:val="000000" w:themeColor="text1"/>
          <w:sz w:val="24"/>
          <w14:textFill>
            <w14:solidFill>
              <w14:schemeClr w14:val="tx1"/>
            </w14:solidFill>
          </w14:textFill>
        </w:rPr>
      </w:pPr>
      <w:r>
        <w:rPr>
          <w:rFonts w:hint="eastAsia" w:ascii="仿宋_GB2312" w:hAnsi="仿宋_GB2312" w:eastAsia="仿宋" w:cs="仿宋_GB2312"/>
          <w:color w:val="000000" w:themeColor="text1"/>
          <w:sz w:val="24"/>
          <w14:textFill>
            <w14:solidFill>
              <w14:schemeClr w14:val="tx1"/>
            </w14:solidFill>
          </w14:textFill>
        </w:rPr>
        <w:t>2.6合同履行期间，可能需提供其他</w:t>
      </w:r>
      <w:r>
        <w:rPr>
          <w:rFonts w:hint="eastAsia" w:ascii="仿宋_GB2312" w:hAnsi="仿宋_GB2312" w:eastAsia="仿宋" w:cs="仿宋_GB2312"/>
          <w:color w:val="000000" w:themeColor="text1"/>
          <w:sz w:val="24"/>
          <w:lang w:val="zh-CN"/>
          <w14:textFill>
            <w14:solidFill>
              <w14:schemeClr w14:val="tx1"/>
            </w14:solidFill>
          </w14:textFill>
        </w:rPr>
        <w:t>本清单</w:t>
      </w:r>
      <w:r>
        <w:rPr>
          <w:rFonts w:hint="eastAsia" w:ascii="仿宋_GB2312" w:hAnsi="仿宋_GB2312" w:eastAsia="仿宋" w:cs="仿宋_GB2312"/>
          <w:color w:val="000000" w:themeColor="text1"/>
          <w:sz w:val="24"/>
          <w14:textFill>
            <w14:solidFill>
              <w14:schemeClr w14:val="tx1"/>
            </w14:solidFill>
          </w14:textFill>
        </w:rPr>
        <w:t>中未列明的同一系列产品，乙方不得拒绝。单价经双方协商一致后且不得高于市场价，结算时按中标折扣数计算货款。</w:t>
      </w:r>
    </w:p>
    <w:p>
      <w:pPr>
        <w:widowControl/>
        <w:snapToGrid w:val="0"/>
        <w:spacing w:line="360" w:lineRule="auto"/>
        <w:ind w:firstLine="482"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b/>
          <w:color w:val="000000" w:themeColor="text1"/>
          <w:kern w:val="0"/>
          <w:sz w:val="24"/>
          <w14:textFill>
            <w14:solidFill>
              <w14:schemeClr w14:val="tx1"/>
            </w14:solidFill>
          </w14:textFill>
        </w:rPr>
        <w:t>三、技术资料</w:t>
      </w:r>
    </w:p>
    <w:p>
      <w:pPr>
        <w:widowControl/>
        <w:snapToGrid w:val="0"/>
        <w:spacing w:line="360" w:lineRule="auto"/>
        <w:ind w:firstLine="480"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3.1 乙方应按招标文件规定的要求、时间向甲方提供使用货物的有关技术资料。</w:t>
      </w:r>
    </w:p>
    <w:p>
      <w:pPr>
        <w:widowControl/>
        <w:snapToGrid w:val="0"/>
        <w:spacing w:line="360" w:lineRule="auto"/>
        <w:ind w:firstLine="480"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widowControl/>
        <w:snapToGrid w:val="0"/>
        <w:spacing w:line="360" w:lineRule="auto"/>
        <w:ind w:firstLine="482"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b/>
          <w:color w:val="000000" w:themeColor="text1"/>
          <w:kern w:val="0"/>
          <w:sz w:val="24"/>
          <w14:textFill>
            <w14:solidFill>
              <w14:schemeClr w14:val="tx1"/>
            </w14:solidFill>
          </w14:textFill>
        </w:rPr>
        <w:t>四、知识产权</w:t>
      </w:r>
    </w:p>
    <w:p>
      <w:pPr>
        <w:widowControl/>
        <w:snapToGrid w:val="0"/>
        <w:spacing w:line="360" w:lineRule="auto"/>
        <w:ind w:firstLine="480"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4.1 乙方保证所提供的货物或其任何一部分均不侵犯任何第三方的知识产权</w:t>
      </w:r>
      <w:r>
        <w:rPr>
          <w:rFonts w:hint="eastAsia" w:ascii="仿宋" w:hAnsi="仿宋" w:eastAsia="仿宋" w:cs="宋体"/>
          <w:bCs/>
          <w:color w:val="000000" w:themeColor="text1"/>
          <w:kern w:val="0"/>
          <w:sz w:val="24"/>
          <w14:textFill>
            <w14:solidFill>
              <w14:schemeClr w14:val="tx1"/>
            </w14:solidFill>
          </w14:textFill>
        </w:rPr>
        <w:t>。</w:t>
      </w:r>
    </w:p>
    <w:p>
      <w:pPr>
        <w:widowControl/>
        <w:snapToGrid w:val="0"/>
        <w:spacing w:line="360" w:lineRule="auto"/>
        <w:ind w:firstLine="482" w:firstLineChars="200"/>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b/>
          <w:color w:val="000000" w:themeColor="text1"/>
          <w:kern w:val="0"/>
          <w:sz w:val="24"/>
          <w14:textFill>
            <w14:solidFill>
              <w14:schemeClr w14:val="tx1"/>
            </w14:solidFill>
          </w14:textFill>
        </w:rPr>
        <w:t>五、转包或分包</w:t>
      </w:r>
    </w:p>
    <w:p>
      <w:pPr>
        <w:widowControl/>
        <w:snapToGrid w:val="0"/>
        <w:spacing w:line="360" w:lineRule="auto"/>
        <w:ind w:firstLine="480" w:firstLineChars="200"/>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5.1本合同范围的货物，应由乙方直接供应，不得转让或分包给他人供应。</w:t>
      </w:r>
    </w:p>
    <w:p>
      <w:pPr>
        <w:widowControl/>
        <w:snapToGrid w:val="0"/>
        <w:spacing w:line="360" w:lineRule="auto"/>
        <w:ind w:firstLine="480" w:firstLineChars="200"/>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5.2如有转让或分包行为，甲方有权解除合同并追究其相应法律责任。</w:t>
      </w:r>
    </w:p>
    <w:p>
      <w:pPr>
        <w:widowControl/>
        <w:snapToGrid w:val="0"/>
        <w:spacing w:line="360" w:lineRule="auto"/>
        <w:ind w:firstLine="482"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b/>
          <w:color w:val="000000" w:themeColor="text1"/>
          <w:kern w:val="0"/>
          <w:sz w:val="24"/>
          <w14:textFill>
            <w14:solidFill>
              <w14:schemeClr w14:val="tx1"/>
            </w14:solidFill>
          </w14:textFill>
        </w:rPr>
        <w:t>六、交货时间、交货方式、交货地点及服务期限</w:t>
      </w:r>
    </w:p>
    <w:p>
      <w:pPr>
        <w:widowControl/>
        <w:snapToGrid w:val="0"/>
        <w:spacing w:line="360" w:lineRule="auto"/>
        <w:ind w:firstLine="480" w:firstLineChars="200"/>
        <w:jc w:val="left"/>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6.1 交货时间：</w:t>
      </w:r>
      <w:r>
        <w:rPr>
          <w:rFonts w:hint="eastAsia" w:ascii="仿宋" w:hAnsi="仿宋" w:eastAsia="仿宋" w:cs="仿宋"/>
          <w:color w:val="000000" w:themeColor="text1"/>
          <w:sz w:val="24"/>
          <w14:textFill>
            <w14:solidFill>
              <w14:schemeClr w14:val="tx1"/>
            </w14:solidFill>
          </w14:textFill>
        </w:rPr>
        <w:t>接到采购人通知后</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天内完成交货</w:t>
      </w:r>
    </w:p>
    <w:p>
      <w:pPr>
        <w:widowControl/>
        <w:snapToGrid w:val="0"/>
        <w:spacing w:line="360" w:lineRule="auto"/>
        <w:ind w:firstLine="480" w:firstLineChars="200"/>
        <w:jc w:val="left"/>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6.2 交货方式：目的地交货</w:t>
      </w:r>
    </w:p>
    <w:p>
      <w:pPr>
        <w:widowControl/>
        <w:snapToGrid w:val="0"/>
        <w:spacing w:line="360" w:lineRule="auto"/>
        <w:ind w:firstLine="480" w:firstLineChars="200"/>
        <w:jc w:val="left"/>
        <w:rPr>
          <w:rFonts w:hint="eastAsia"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6.3 交货地点：采购人指定地点</w:t>
      </w:r>
    </w:p>
    <w:p>
      <w:pPr>
        <w:widowControl/>
        <w:snapToGrid w:val="0"/>
        <w:spacing w:line="360" w:lineRule="auto"/>
        <w:ind w:left="239" w:leftChars="114" w:firstLine="240" w:firstLineChars="1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6.4 服务期限：本合同时间为</w:t>
      </w:r>
      <w:r>
        <w:rPr>
          <w:rFonts w:hint="eastAsia" w:ascii="仿宋" w:hAnsi="仿宋" w:eastAsia="仿宋" w:cs="宋体"/>
          <w:bCs/>
          <w:color w:val="000000" w:themeColor="text1"/>
          <w:kern w:val="0"/>
          <w:sz w:val="24"/>
          <w:u w:val="single"/>
          <w14:textFill>
            <w14:solidFill>
              <w14:schemeClr w14:val="tx1"/>
            </w14:solidFill>
          </w14:textFill>
        </w:rPr>
        <w:t xml:space="preserve">    年   月   日至    年    月     日</w:t>
      </w:r>
      <w:r>
        <w:rPr>
          <w:rFonts w:hint="eastAsia" w:ascii="宋体" w:hAnsi="宋体"/>
          <w:color w:val="000000" w:themeColor="text1"/>
          <w:szCs w:val="21"/>
          <w14:textFill>
            <w14:solidFill>
              <w14:schemeClr w14:val="tx1"/>
            </w14:solidFill>
          </w14:textFill>
        </w:rPr>
        <w:t>；</w:t>
      </w:r>
      <w:r>
        <w:rPr>
          <w:rFonts w:hint="eastAsia" w:ascii="仿宋" w:hAnsi="仿宋" w:eastAsia="仿宋" w:cs="宋体"/>
          <w:bCs/>
          <w:color w:val="000000" w:themeColor="text1"/>
          <w:kern w:val="0"/>
          <w:sz w:val="24"/>
          <w14:textFill>
            <w14:solidFill>
              <w14:schemeClr w14:val="tx1"/>
            </w14:solidFill>
          </w14:textFill>
        </w:rPr>
        <w:t>双方约定：</w:t>
      </w:r>
      <w:r>
        <w:rPr>
          <w:rFonts w:hint="eastAsia" w:ascii="Calibri" w:hAnsi="Calibri" w:eastAsia="仿宋" w:cs="Calibri"/>
          <w:bCs/>
          <w:color w:val="000000" w:themeColor="text1"/>
          <w:kern w:val="0"/>
          <w:sz w:val="24"/>
          <w14:textFill>
            <w14:solidFill>
              <w14:schemeClr w14:val="tx1"/>
            </w14:solidFill>
          </w14:textFill>
        </w:rPr>
        <w:t>①合同服务期内，供货价款一经达到合同总价款则采购合同自动终止。②合同服务时间到期，若供货价款达到合同总价款的60%及以上的，本采购合同终止执行；③合同服务时间到期，若供货价款未达合同总价款的60%，经双方协商一致，可延长半年服务时间。延长服务期间，若供货价款达到合同总价款，则延长期自动终止；延长服务时间到期，采购合同终止执行</w:t>
      </w:r>
      <w:r>
        <w:rPr>
          <w:rFonts w:hint="eastAsia" w:ascii="仿宋" w:hAnsi="仿宋" w:eastAsia="仿宋" w:cs="仿宋"/>
          <w:color w:val="000000" w:themeColor="text1"/>
          <w:kern w:val="0"/>
          <w:sz w:val="24"/>
          <w14:textFill>
            <w14:solidFill>
              <w14:schemeClr w14:val="tx1"/>
            </w14:solidFill>
          </w14:textFill>
        </w:rPr>
        <w:t>。</w:t>
      </w:r>
    </w:p>
    <w:p>
      <w:pPr>
        <w:pStyle w:val="3"/>
        <w:ind w:firstLine="562" w:firstLineChars="200"/>
        <w:rPr>
          <w:rFonts w:hint="default"/>
          <w:color w:val="000000" w:themeColor="text1"/>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 xml:space="preserve">6.5 </w:t>
      </w:r>
      <w:r>
        <w:rPr>
          <w:rFonts w:hint="eastAsia" w:ascii="仿宋" w:hAnsi="仿宋" w:eastAsia="仿宋" w:cs="仿宋"/>
          <w:b/>
          <w:bCs/>
          <w:color w:val="000000" w:themeColor="text1"/>
          <w:spacing w:val="20"/>
          <w:kern w:val="0"/>
          <w:sz w:val="24"/>
          <w:szCs w:val="24"/>
          <w:lang w:val="en-US" w:eastAsia="zh-CN" w:bidi="ar-SA"/>
          <w14:textFill>
            <w14:solidFill>
              <w14:schemeClr w14:val="tx1"/>
            </w14:solidFill>
          </w14:textFill>
        </w:rPr>
        <w:t>所有提供的货物必须符合GB/T 5750.6-2006 《生活饮用水标准检验方法 金属指标》。</w:t>
      </w:r>
    </w:p>
    <w:p>
      <w:pPr>
        <w:widowControl/>
        <w:snapToGrid w:val="0"/>
        <w:spacing w:line="360" w:lineRule="auto"/>
        <w:ind w:firstLine="482" w:firstLineChars="200"/>
        <w:jc w:val="left"/>
        <w:rPr>
          <w:rFonts w:ascii="仿宋" w:hAnsi="仿宋" w:eastAsia="仿宋" w:cs="宋体"/>
          <w:b/>
          <w:color w:val="000000" w:themeColor="text1"/>
          <w:kern w:val="0"/>
          <w:sz w:val="24"/>
          <w14:textFill>
            <w14:solidFill>
              <w14:schemeClr w14:val="tx1"/>
            </w14:solidFill>
          </w14:textFill>
        </w:rPr>
      </w:pPr>
      <w:r>
        <w:rPr>
          <w:rFonts w:hint="eastAsia" w:ascii="仿宋" w:hAnsi="仿宋" w:eastAsia="仿宋" w:cs="宋体"/>
          <w:b/>
          <w:color w:val="000000" w:themeColor="text1"/>
          <w:kern w:val="0"/>
          <w:sz w:val="24"/>
          <w14:textFill>
            <w14:solidFill>
              <w14:schemeClr w14:val="tx1"/>
            </w14:solidFill>
          </w14:textFill>
        </w:rPr>
        <w:t>七、货物检验及约定事项：</w:t>
      </w:r>
    </w:p>
    <w:p>
      <w:pPr>
        <w:widowControl/>
        <w:snapToGrid w:val="0"/>
        <w:spacing w:line="360" w:lineRule="auto"/>
        <w:ind w:firstLine="480" w:firstLineChars="200"/>
        <w:jc w:val="left"/>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7.1若有必要，交货时甲方将会同天台水务集团企管部、监管办、审计部等有关部门以及聘请的技术顾问履行监督责任。合同货物从验收合格次日起7天内，出现非甲方人为因素造成的无法排除的故障，由乙方予以调换。</w:t>
      </w:r>
    </w:p>
    <w:p>
      <w:pPr>
        <w:widowControl/>
        <w:snapToGrid w:val="0"/>
        <w:spacing w:line="360" w:lineRule="auto"/>
        <w:ind w:firstLine="480" w:firstLineChars="200"/>
        <w:jc w:val="left"/>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7.2甲方认为有必要对产品的生产、出厂等过程中需派人到生产厂家进行监制或在货物发货前进行预验收，乙方应给于积极配合。</w:t>
      </w:r>
    </w:p>
    <w:p>
      <w:pPr>
        <w:widowControl/>
        <w:snapToGrid w:val="0"/>
        <w:spacing w:line="360" w:lineRule="auto"/>
        <w:ind w:firstLine="480" w:firstLineChars="200"/>
        <w:jc w:val="left"/>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7.3甲方若对产品质量有怀疑或该批次货物安装后因质量问题损坏较多时，可随机取样送国家质量监督检验中心</w:t>
      </w:r>
      <w:r>
        <w:rPr>
          <w:rFonts w:hint="eastAsia" w:ascii="仿宋" w:hAnsi="仿宋" w:eastAsia="仿宋" w:cs="宋体"/>
          <w:b/>
          <w:color w:val="000000" w:themeColor="text1"/>
          <w:kern w:val="0"/>
          <w:sz w:val="24"/>
          <w14:textFill>
            <w14:solidFill>
              <w14:schemeClr w14:val="tx1"/>
            </w14:solidFill>
          </w14:textFill>
        </w:rPr>
        <w:t>或具有相应资质</w:t>
      </w:r>
      <w:r>
        <w:rPr>
          <w:rFonts w:hint="eastAsia" w:ascii="仿宋" w:hAnsi="仿宋" w:eastAsia="仿宋" w:cs="宋体"/>
          <w:bCs/>
          <w:color w:val="000000" w:themeColor="text1"/>
          <w:kern w:val="0"/>
          <w:sz w:val="24"/>
          <w14:textFill>
            <w14:solidFill>
              <w14:schemeClr w14:val="tx1"/>
            </w14:solidFill>
          </w14:textFill>
        </w:rPr>
        <w:t>的单位检测。</w:t>
      </w:r>
      <w:r>
        <w:rPr>
          <w:rFonts w:hint="eastAsia" w:ascii="仿宋" w:hAnsi="仿宋" w:eastAsia="仿宋" w:cs="宋体"/>
          <w:b/>
          <w:color w:val="000000" w:themeColor="text1"/>
          <w:kern w:val="0"/>
          <w:sz w:val="24"/>
          <w14:textFill>
            <w14:solidFill>
              <w14:schemeClr w14:val="tx1"/>
            </w14:solidFill>
          </w14:textFill>
        </w:rPr>
        <w:t>所涉及的所有费用（包括检验费用、路途运输等）均由乙方承担。</w:t>
      </w:r>
      <w:r>
        <w:rPr>
          <w:rFonts w:hint="eastAsia" w:ascii="仿宋" w:hAnsi="仿宋" w:eastAsia="仿宋" w:cs="宋体"/>
          <w:bCs/>
          <w:color w:val="000000" w:themeColor="text1"/>
          <w:kern w:val="0"/>
          <w:sz w:val="24"/>
          <w14:textFill>
            <w14:solidFill>
              <w14:schemeClr w14:val="tx1"/>
            </w14:solidFill>
          </w14:textFill>
        </w:rPr>
        <w:t>如检测不合格，乙方承担相应的法律责任。</w:t>
      </w:r>
    </w:p>
    <w:p>
      <w:pPr>
        <w:widowControl/>
        <w:snapToGrid w:val="0"/>
        <w:spacing w:line="360" w:lineRule="auto"/>
        <w:ind w:firstLine="482" w:firstLineChars="200"/>
        <w:jc w:val="left"/>
        <w:rPr>
          <w:rFonts w:ascii="仿宋" w:hAnsi="仿宋" w:eastAsia="仿宋" w:cs="宋体"/>
          <w:b/>
          <w:color w:val="000000" w:themeColor="text1"/>
          <w:kern w:val="0"/>
          <w:sz w:val="24"/>
          <w14:textFill>
            <w14:solidFill>
              <w14:schemeClr w14:val="tx1"/>
            </w14:solidFill>
          </w14:textFill>
        </w:rPr>
      </w:pPr>
      <w:r>
        <w:rPr>
          <w:rFonts w:hint="eastAsia" w:ascii="仿宋" w:hAnsi="仿宋" w:eastAsia="仿宋" w:cs="宋体"/>
          <w:b/>
          <w:color w:val="000000" w:themeColor="text1"/>
          <w:kern w:val="0"/>
          <w:sz w:val="24"/>
          <w14:textFill>
            <w14:solidFill>
              <w14:schemeClr w14:val="tx1"/>
            </w14:solidFill>
          </w14:textFill>
        </w:rPr>
        <w:t>具体约定事项如下：</w:t>
      </w:r>
    </w:p>
    <w:p>
      <w:pPr>
        <w:widowControl/>
        <w:snapToGrid w:val="0"/>
        <w:spacing w:line="360" w:lineRule="auto"/>
        <w:ind w:firstLine="482" w:firstLineChars="200"/>
        <w:jc w:val="left"/>
        <w:rPr>
          <w:rFonts w:ascii="仿宋" w:hAnsi="仿宋" w:eastAsia="仿宋" w:cs="宋体"/>
          <w:b/>
          <w:color w:val="000000" w:themeColor="text1"/>
          <w:kern w:val="0"/>
          <w:sz w:val="24"/>
          <w14:textFill>
            <w14:solidFill>
              <w14:schemeClr w14:val="tx1"/>
            </w14:solidFill>
          </w14:textFill>
        </w:rPr>
      </w:pPr>
      <w:r>
        <w:rPr>
          <w:rFonts w:hint="eastAsia" w:ascii="仿宋" w:hAnsi="仿宋" w:eastAsia="仿宋" w:cs="宋体"/>
          <w:b/>
          <w:color w:val="000000" w:themeColor="text1"/>
          <w:kern w:val="0"/>
          <w:sz w:val="24"/>
          <w14:textFill>
            <w14:solidFill>
              <w14:schemeClr w14:val="tx1"/>
            </w14:solidFill>
          </w14:textFill>
        </w:rPr>
        <w:t>①甲方要做好各批次货物的保管、登记，并做好随机抽样送检工作。甲方可以组织货物质量送检工作，送检时应会同乙方、及天台水务集团相关部室共同参与，并做好记录。（抽检合格的情况下一般不再抽检，但保留多次抽检的权利）若遇已安装货物因质量问题损坏较多时，可适当增加送检次数。</w:t>
      </w:r>
    </w:p>
    <w:p>
      <w:pPr>
        <w:widowControl/>
        <w:snapToGrid w:val="0"/>
        <w:spacing w:line="360" w:lineRule="auto"/>
        <w:ind w:firstLine="482" w:firstLineChars="200"/>
        <w:jc w:val="left"/>
        <w:rPr>
          <w:rFonts w:ascii="仿宋" w:hAnsi="仿宋" w:eastAsia="仿宋" w:cs="宋体"/>
          <w:b/>
          <w:color w:val="000000" w:themeColor="text1"/>
          <w:kern w:val="0"/>
          <w:sz w:val="24"/>
          <w14:textFill>
            <w14:solidFill>
              <w14:schemeClr w14:val="tx1"/>
            </w14:solidFill>
          </w14:textFill>
        </w:rPr>
      </w:pPr>
      <w:r>
        <w:rPr>
          <w:rFonts w:hint="eastAsia" w:ascii="仿宋" w:hAnsi="仿宋" w:eastAsia="仿宋" w:cs="宋体"/>
          <w:b/>
          <w:color w:val="000000" w:themeColor="text1"/>
          <w:kern w:val="0"/>
          <w:sz w:val="24"/>
          <w14:textFill>
            <w14:solidFill>
              <w14:schemeClr w14:val="tx1"/>
            </w14:solidFill>
          </w14:textFill>
        </w:rPr>
        <w:t>②如果第一次抽检，检验质量不合格，乙方没有异议的，则认定乙方提供的产品质量不合格；如果乙方对第一次抽检结果有异议的，甲方可从仓库保存的货物中随机抽样提取货物进行第二次检验。如果连续二次检验质量不合格，则认乙方提供的产品质量不合格。</w:t>
      </w:r>
    </w:p>
    <w:p>
      <w:pPr>
        <w:widowControl/>
        <w:snapToGrid w:val="0"/>
        <w:spacing w:line="360" w:lineRule="auto"/>
        <w:ind w:firstLine="480" w:firstLineChars="200"/>
        <w:jc w:val="left"/>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八、货物包装、发运及运输</w:t>
      </w:r>
    </w:p>
    <w:p>
      <w:pPr>
        <w:widowControl/>
        <w:snapToGrid w:val="0"/>
        <w:spacing w:line="360" w:lineRule="auto"/>
        <w:ind w:firstLine="480"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8.1 乙方应在货物发运前对其进行满足运输距离、防潮、防震、防锈、防破损和装卸等要求进行包装，以保证货物安全运达甲方指定地点。</w:t>
      </w:r>
    </w:p>
    <w:p>
      <w:pPr>
        <w:widowControl/>
        <w:snapToGrid w:val="0"/>
        <w:spacing w:line="360" w:lineRule="auto"/>
        <w:ind w:firstLine="480"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8.2 使用说明书、质量检验证明书、随配附件和工具以及清单一并附于货物内。</w:t>
      </w:r>
    </w:p>
    <w:p>
      <w:pPr>
        <w:widowControl/>
        <w:snapToGrid w:val="0"/>
        <w:spacing w:line="360" w:lineRule="auto"/>
        <w:ind w:firstLine="468" w:firstLineChars="200"/>
        <w:jc w:val="left"/>
        <w:rPr>
          <w:rFonts w:ascii="仿宋" w:hAnsi="仿宋" w:eastAsia="仿宋" w:cs="宋体"/>
          <w:color w:val="000000" w:themeColor="text1"/>
          <w:spacing w:val="-3"/>
          <w:kern w:val="0"/>
          <w:sz w:val="14"/>
          <w:szCs w:val="14"/>
          <w14:textFill>
            <w14:solidFill>
              <w14:schemeClr w14:val="tx1"/>
            </w14:solidFill>
          </w14:textFill>
        </w:rPr>
      </w:pPr>
      <w:r>
        <w:rPr>
          <w:rFonts w:hint="eastAsia" w:ascii="仿宋" w:hAnsi="仿宋" w:eastAsia="仿宋" w:cs="宋体"/>
          <w:color w:val="000000" w:themeColor="text1"/>
          <w:spacing w:val="-3"/>
          <w:kern w:val="0"/>
          <w:sz w:val="24"/>
          <w14:textFill>
            <w14:solidFill>
              <w14:schemeClr w14:val="tx1"/>
            </w14:solidFill>
          </w14:textFill>
        </w:rPr>
        <w:t>8.3 乙方在货物发运手续办理完毕后</w:t>
      </w:r>
      <w:r>
        <w:rPr>
          <w:rFonts w:hint="eastAsia" w:ascii="仿宋" w:hAnsi="仿宋" w:eastAsia="仿宋" w:cs="宋体"/>
          <w:color w:val="000000" w:themeColor="text1"/>
          <w:spacing w:val="-3"/>
          <w:kern w:val="0"/>
          <w:sz w:val="24"/>
          <w:u w:val="single"/>
          <w14:textFill>
            <w14:solidFill>
              <w14:schemeClr w14:val="tx1"/>
            </w14:solidFill>
          </w14:textFill>
        </w:rPr>
        <w:t xml:space="preserve">  </w:t>
      </w:r>
      <w:r>
        <w:rPr>
          <w:rFonts w:hint="eastAsia" w:ascii="仿宋" w:hAnsi="仿宋" w:eastAsia="仿宋" w:cs="宋体"/>
          <w:color w:val="000000" w:themeColor="text1"/>
          <w:spacing w:val="-3"/>
          <w:kern w:val="0"/>
          <w:sz w:val="24"/>
          <w14:textFill>
            <w14:solidFill>
              <w14:schemeClr w14:val="tx1"/>
            </w14:solidFill>
          </w14:textFill>
        </w:rPr>
        <w:t>小时内或货到甲方</w:t>
      </w:r>
      <w:r>
        <w:rPr>
          <w:rFonts w:hint="eastAsia" w:ascii="仿宋" w:hAnsi="仿宋" w:eastAsia="仿宋" w:cs="宋体"/>
          <w:color w:val="000000" w:themeColor="text1"/>
          <w:spacing w:val="-3"/>
          <w:kern w:val="0"/>
          <w:sz w:val="24"/>
          <w:u w:val="single"/>
          <w14:textFill>
            <w14:solidFill>
              <w14:schemeClr w14:val="tx1"/>
            </w14:solidFill>
          </w14:textFill>
        </w:rPr>
        <w:t xml:space="preserve">  </w:t>
      </w:r>
      <w:r>
        <w:rPr>
          <w:rFonts w:hint="eastAsia" w:ascii="仿宋" w:hAnsi="仿宋" w:eastAsia="仿宋" w:cs="宋体"/>
          <w:color w:val="000000" w:themeColor="text1"/>
          <w:spacing w:val="-3"/>
          <w:kern w:val="0"/>
          <w:sz w:val="24"/>
          <w14:textFill>
            <w14:solidFill>
              <w14:schemeClr w14:val="tx1"/>
            </w14:solidFill>
          </w14:textFill>
        </w:rPr>
        <w:t>小时前通知甲方，以准备接货。</w:t>
      </w:r>
    </w:p>
    <w:p>
      <w:pPr>
        <w:widowControl/>
        <w:snapToGrid w:val="0"/>
        <w:spacing w:line="360" w:lineRule="auto"/>
        <w:ind w:firstLine="480" w:firstLineChars="200"/>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8.4 货物在交付甲方前发生的风险均由乙方负责。</w:t>
      </w:r>
    </w:p>
    <w:p>
      <w:pPr>
        <w:widowControl/>
        <w:snapToGrid w:val="0"/>
        <w:spacing w:line="360" w:lineRule="auto"/>
        <w:ind w:firstLine="468" w:firstLineChars="200"/>
        <w:jc w:val="left"/>
        <w:rPr>
          <w:rFonts w:ascii="仿宋" w:hAnsi="仿宋" w:eastAsia="仿宋" w:cs="宋体"/>
          <w:color w:val="000000" w:themeColor="text1"/>
          <w:spacing w:val="-3"/>
          <w:kern w:val="0"/>
          <w:sz w:val="24"/>
          <w14:textFill>
            <w14:solidFill>
              <w14:schemeClr w14:val="tx1"/>
            </w14:solidFill>
          </w14:textFill>
        </w:rPr>
      </w:pPr>
      <w:r>
        <w:rPr>
          <w:rFonts w:hint="eastAsia" w:ascii="仿宋" w:hAnsi="仿宋" w:eastAsia="仿宋" w:cs="宋体"/>
          <w:color w:val="000000" w:themeColor="text1"/>
          <w:spacing w:val="-3"/>
          <w:kern w:val="0"/>
          <w:sz w:val="24"/>
          <w14:textFill>
            <w14:solidFill>
              <w14:schemeClr w14:val="tx1"/>
            </w14:solidFill>
          </w14:textFill>
        </w:rPr>
        <w:t>8.5 货物的运输及运输保险费、二次搬运检验费、货到卸车费均由乙方承担。</w:t>
      </w:r>
    </w:p>
    <w:p>
      <w:pPr>
        <w:widowControl/>
        <w:snapToGrid w:val="0"/>
        <w:spacing w:line="360" w:lineRule="auto"/>
        <w:ind w:firstLine="482"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b/>
          <w:color w:val="000000" w:themeColor="text1"/>
          <w:kern w:val="0"/>
          <w:sz w:val="24"/>
          <w14:textFill>
            <w14:solidFill>
              <w14:schemeClr w14:val="tx1"/>
            </w14:solidFill>
          </w14:textFill>
        </w:rPr>
        <w:t>九、调试和验收</w:t>
      </w:r>
    </w:p>
    <w:p>
      <w:pPr>
        <w:widowControl/>
        <w:snapToGrid w:val="0"/>
        <w:spacing w:line="360" w:lineRule="auto"/>
        <w:ind w:firstLine="480"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9.1 甲方对乙方提交的货物依据招标文件的技术规格要求和国家有关质量标准在</w:t>
      </w:r>
      <w:r>
        <w:rPr>
          <w:rFonts w:hint="eastAsia" w:ascii="仿宋" w:hAnsi="仿宋" w:eastAsia="仿宋" w:cs="宋体"/>
          <w:color w:val="000000" w:themeColor="text1"/>
          <w:kern w:val="0"/>
          <w:sz w:val="24"/>
          <w:u w:val="single"/>
          <w14:textFill>
            <w14:solidFill>
              <w14:schemeClr w14:val="tx1"/>
            </w14:solidFill>
          </w14:textFill>
        </w:rPr>
        <w:t xml:space="preserve">   </w:t>
      </w:r>
      <w:r>
        <w:rPr>
          <w:rFonts w:hint="eastAsia" w:ascii="仿宋" w:hAnsi="仿宋" w:eastAsia="仿宋" w:cs="宋体"/>
          <w:color w:val="000000" w:themeColor="text1"/>
          <w:kern w:val="0"/>
          <w:sz w:val="24"/>
          <w14:textFill>
            <w14:solidFill>
              <w14:schemeClr w14:val="tx1"/>
            </w14:solidFill>
          </w14:textFill>
        </w:rPr>
        <w:t>个工作日内进行现场初步验收，外观、说明书符合招标文件技术要求的，给予签收，初步验收不合格的不予签收。</w:t>
      </w:r>
    </w:p>
    <w:p>
      <w:pPr>
        <w:widowControl/>
        <w:snapToGrid w:val="0"/>
        <w:spacing w:line="360" w:lineRule="auto"/>
        <w:ind w:firstLine="480"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9.2 乙方交货前应对产品作出全面检查和对验收文件进行整理，并列出清单，作为甲方收货验收和使用的技术条件依据，检验的结果应随货物交付甲方。</w:t>
      </w:r>
    </w:p>
    <w:p>
      <w:pPr>
        <w:widowControl/>
        <w:snapToGrid w:val="0"/>
        <w:spacing w:line="360" w:lineRule="auto"/>
        <w:ind w:firstLine="480"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9.3 乙方提供的货物在使用前如需进行调试的，乙方负责免费指导安装并培训甲方的使用操作人员，以达到能够使用货物，并符合技术要求，甲方才做最终验收。</w:t>
      </w:r>
    </w:p>
    <w:p>
      <w:pPr>
        <w:widowControl/>
        <w:snapToGrid w:val="0"/>
        <w:spacing w:line="360" w:lineRule="auto"/>
        <w:ind w:firstLine="480"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9.4 对技术复杂的货物，乙方应请国家认可的专业检测机构参与初步验收及最终验收，并由其出具质量检测报告。</w:t>
      </w:r>
    </w:p>
    <w:p>
      <w:pPr>
        <w:widowControl/>
        <w:snapToGrid w:val="0"/>
        <w:spacing w:line="360" w:lineRule="auto"/>
        <w:ind w:firstLine="480"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9.5 验收时乙方必须在现场，验收完毕后作出验收结果报告；验收费用由乙方负责。</w:t>
      </w:r>
    </w:p>
    <w:p>
      <w:pPr>
        <w:widowControl/>
        <w:snapToGrid w:val="0"/>
        <w:spacing w:line="360" w:lineRule="auto"/>
        <w:ind w:firstLine="482" w:firstLineChars="200"/>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b/>
          <w:color w:val="000000" w:themeColor="text1"/>
          <w:kern w:val="0"/>
          <w:sz w:val="24"/>
          <w14:textFill>
            <w14:solidFill>
              <w14:schemeClr w14:val="tx1"/>
            </w14:solidFill>
          </w14:textFill>
        </w:rPr>
        <w:t>十、税费承担</w:t>
      </w:r>
    </w:p>
    <w:p>
      <w:pPr>
        <w:widowControl/>
        <w:snapToGrid w:val="0"/>
        <w:spacing w:line="360" w:lineRule="auto"/>
        <w:ind w:firstLine="480" w:firstLineChars="200"/>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10.1 本合同履行中相关的一切税费均由乙方承担。</w:t>
      </w:r>
    </w:p>
    <w:p>
      <w:pPr>
        <w:widowControl/>
        <w:snapToGrid w:val="0"/>
        <w:spacing w:line="360" w:lineRule="auto"/>
        <w:ind w:firstLine="482"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b/>
          <w:color w:val="000000" w:themeColor="text1"/>
          <w:kern w:val="0"/>
          <w:sz w:val="24"/>
          <w14:textFill>
            <w14:solidFill>
              <w14:schemeClr w14:val="tx1"/>
            </w14:solidFill>
          </w14:textFill>
        </w:rPr>
        <w:t>十一、质保期和售后服务</w:t>
      </w:r>
    </w:p>
    <w:p>
      <w:pPr>
        <w:widowControl/>
        <w:snapToGrid w:val="0"/>
        <w:spacing w:line="360" w:lineRule="auto"/>
        <w:ind w:firstLine="480"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11.1 </w:t>
      </w:r>
      <w:r>
        <w:rPr>
          <w:rFonts w:hint="eastAsia" w:ascii="仿宋" w:hAnsi="仿宋" w:eastAsia="仿宋" w:cs="宋体"/>
          <w:b/>
          <w:color w:val="000000" w:themeColor="text1"/>
          <w:kern w:val="0"/>
          <w:sz w:val="24"/>
          <w14:textFill>
            <w14:solidFill>
              <w14:schemeClr w14:val="tx1"/>
            </w14:solidFill>
          </w14:textFill>
        </w:rPr>
        <w:t>质保期</w:t>
      </w:r>
      <w:r>
        <w:rPr>
          <w:rFonts w:hint="eastAsia" w:ascii="仿宋" w:hAnsi="仿宋" w:eastAsia="仿宋" w:cs="宋体"/>
          <w:color w:val="000000" w:themeColor="text1"/>
          <w:kern w:val="0"/>
          <w:sz w:val="24"/>
          <w:u w:val="single"/>
          <w14:textFill>
            <w14:solidFill>
              <w14:schemeClr w14:val="tx1"/>
            </w14:solidFill>
          </w14:textFill>
        </w:rPr>
        <w:t xml:space="preserve">      </w:t>
      </w:r>
      <w:r>
        <w:rPr>
          <w:rFonts w:hint="eastAsia" w:ascii="仿宋" w:hAnsi="仿宋" w:eastAsia="仿宋" w:cs="宋体"/>
          <w:color w:val="000000" w:themeColor="text1"/>
          <w:kern w:val="0"/>
          <w:sz w:val="24"/>
          <w14:textFill>
            <w14:solidFill>
              <w14:schemeClr w14:val="tx1"/>
            </w14:solidFill>
          </w14:textFill>
        </w:rPr>
        <w:t>年（</w:t>
      </w:r>
      <w:r>
        <w:rPr>
          <w:rFonts w:hint="eastAsia" w:ascii="仿宋" w:hAnsi="仿宋" w:eastAsia="仿宋" w:cs="仿宋"/>
          <w:color w:val="000000" w:themeColor="text1"/>
          <w:sz w:val="24"/>
          <w14:textFill>
            <w14:solidFill>
              <w14:schemeClr w14:val="tx1"/>
            </w14:solidFill>
          </w14:textFill>
        </w:rPr>
        <w:t>在货到仓库（工地）验收合格后起算</w:t>
      </w:r>
      <w:r>
        <w:rPr>
          <w:rFonts w:hint="eastAsia" w:ascii="仿宋" w:hAnsi="仿宋" w:eastAsia="仿宋" w:cs="宋体"/>
          <w:color w:val="000000" w:themeColor="text1"/>
          <w:kern w:val="0"/>
          <w:sz w:val="24"/>
          <w14:textFill>
            <w14:solidFill>
              <w14:schemeClr w14:val="tx1"/>
            </w14:solidFill>
          </w14:textFill>
        </w:rPr>
        <w:t>）。</w:t>
      </w:r>
    </w:p>
    <w:p>
      <w:pPr>
        <w:widowControl/>
        <w:snapToGrid w:val="0"/>
        <w:spacing w:line="360" w:lineRule="auto"/>
        <w:ind w:firstLine="480"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11.2 乙方提供的货物存在质量问题，或者达不到技术要求的，根据实际情况，甲方有权选择以下办法处理：</w:t>
      </w:r>
    </w:p>
    <w:p>
      <w:pPr>
        <w:widowControl/>
        <w:snapToGrid w:val="0"/>
        <w:spacing w:line="360" w:lineRule="auto"/>
        <w:ind w:firstLine="480"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□⑴更换：由乙方承担所发生的全部费用。</w:t>
      </w:r>
    </w:p>
    <w:p>
      <w:pPr>
        <w:widowControl/>
        <w:snapToGrid w:val="0"/>
        <w:spacing w:line="360" w:lineRule="auto"/>
        <w:ind w:firstLine="480"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□⑵贬值处理：由甲乙双方合议定价。</w:t>
      </w:r>
    </w:p>
    <w:p>
      <w:pPr>
        <w:widowControl/>
        <w:snapToGrid w:val="0"/>
        <w:spacing w:line="360" w:lineRule="auto"/>
        <w:ind w:firstLine="480"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□⑶退货处理：乙方应退还甲方支付的合同款，同时应承担该货物的直接费用（运输、保险、检验、货款利息及银行手续费等）。</w:t>
      </w:r>
    </w:p>
    <w:p>
      <w:pPr>
        <w:widowControl/>
        <w:snapToGrid w:val="0"/>
        <w:spacing w:line="360" w:lineRule="auto"/>
        <w:ind w:firstLine="480"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11.3 如在使用过程中发生质量问题，乙方在接到甲方通知后在</w:t>
      </w:r>
      <w:r>
        <w:rPr>
          <w:rFonts w:hint="eastAsia" w:ascii="仿宋" w:hAnsi="仿宋" w:eastAsia="仿宋" w:cs="宋体"/>
          <w:color w:val="000000" w:themeColor="text1"/>
          <w:kern w:val="0"/>
          <w:sz w:val="24"/>
          <w:u w:val="single"/>
          <w14:textFill>
            <w14:solidFill>
              <w14:schemeClr w14:val="tx1"/>
            </w14:solidFill>
          </w14:textFill>
        </w:rPr>
        <w:t xml:space="preserve">   </w:t>
      </w:r>
      <w:r>
        <w:rPr>
          <w:rFonts w:hint="eastAsia" w:ascii="仿宋" w:hAnsi="仿宋" w:eastAsia="仿宋" w:cs="宋体"/>
          <w:color w:val="000000" w:themeColor="text1"/>
          <w:kern w:val="0"/>
          <w:sz w:val="24"/>
          <w14:textFill>
            <w14:solidFill>
              <w14:schemeClr w14:val="tx1"/>
            </w14:solidFill>
          </w14:textFill>
        </w:rPr>
        <w:t>小时内到达甲方现场。</w:t>
      </w:r>
    </w:p>
    <w:p>
      <w:pPr>
        <w:widowControl/>
        <w:snapToGrid w:val="0"/>
        <w:spacing w:line="360" w:lineRule="auto"/>
        <w:ind w:firstLine="480"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11.4 在质保期内，乙方对货物出现的质量及安全问题负责处理解决并承担一切费用。</w:t>
      </w:r>
    </w:p>
    <w:p>
      <w:pPr>
        <w:widowControl/>
        <w:snapToGrid w:val="0"/>
        <w:spacing w:line="360" w:lineRule="auto"/>
        <w:ind w:firstLine="480" w:firstLineChars="200"/>
        <w:jc w:val="left"/>
        <w:rPr>
          <w:rFonts w:eastAsia="仿宋"/>
          <w:color w:val="000000" w:themeColor="text1"/>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11.5货物在质保期内，因人为因素出现的故障不在免费保修范围内。超过质保期的，乙方仍应负责维修，维修可收部件成本费。</w:t>
      </w:r>
    </w:p>
    <w:p>
      <w:pPr>
        <w:widowControl/>
        <w:snapToGrid w:val="0"/>
        <w:spacing w:line="360" w:lineRule="auto"/>
        <w:ind w:firstLine="482"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b/>
          <w:color w:val="000000" w:themeColor="text1"/>
          <w:kern w:val="0"/>
          <w:sz w:val="24"/>
          <w14:textFill>
            <w14:solidFill>
              <w14:schemeClr w14:val="tx1"/>
            </w14:solidFill>
          </w14:textFill>
        </w:rPr>
        <w:t>十二、违约责任</w:t>
      </w:r>
    </w:p>
    <w:p>
      <w:pPr>
        <w:widowControl/>
        <w:snapToGrid w:val="0"/>
        <w:spacing w:line="360" w:lineRule="auto"/>
        <w:ind w:firstLine="480"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12.1 甲方无正当理由拒收货物的，向乙方支付拒收货物总值的百分之</w:t>
      </w:r>
      <w:r>
        <w:rPr>
          <w:rFonts w:hint="eastAsia" w:ascii="仿宋" w:hAnsi="仿宋" w:eastAsia="仿宋" w:cs="宋体"/>
          <w:color w:val="000000" w:themeColor="text1"/>
          <w:kern w:val="0"/>
          <w:sz w:val="24"/>
          <w:u w:val="single"/>
          <w14:textFill>
            <w14:solidFill>
              <w14:schemeClr w14:val="tx1"/>
            </w14:solidFill>
          </w14:textFill>
        </w:rPr>
        <w:t xml:space="preserve">  五　</w:t>
      </w:r>
      <w:r>
        <w:rPr>
          <w:rFonts w:hint="eastAsia" w:ascii="仿宋" w:hAnsi="仿宋" w:eastAsia="仿宋" w:cs="宋体"/>
          <w:color w:val="000000" w:themeColor="text1"/>
          <w:kern w:val="0"/>
          <w:sz w:val="24"/>
          <w14:textFill>
            <w14:solidFill>
              <w14:schemeClr w14:val="tx1"/>
            </w14:solidFill>
          </w14:textFill>
        </w:rPr>
        <w:t>违约金。</w:t>
      </w:r>
    </w:p>
    <w:p>
      <w:pPr>
        <w:widowControl/>
        <w:snapToGrid w:val="0"/>
        <w:spacing w:line="360" w:lineRule="auto"/>
        <w:ind w:firstLine="464" w:firstLineChars="200"/>
        <w:jc w:val="left"/>
        <w:rPr>
          <w:rFonts w:ascii="仿宋" w:hAnsi="仿宋" w:eastAsia="仿宋" w:cs="宋体"/>
          <w:color w:val="000000" w:themeColor="text1"/>
          <w:spacing w:val="-4"/>
          <w:kern w:val="0"/>
          <w:sz w:val="14"/>
          <w:szCs w:val="14"/>
          <w14:textFill>
            <w14:solidFill>
              <w14:schemeClr w14:val="tx1"/>
            </w14:solidFill>
          </w14:textFill>
        </w:rPr>
      </w:pPr>
      <w:r>
        <w:rPr>
          <w:rFonts w:hint="eastAsia" w:ascii="仿宋" w:hAnsi="仿宋" w:eastAsia="仿宋" w:cs="宋体"/>
          <w:color w:val="000000" w:themeColor="text1"/>
          <w:spacing w:val="-4"/>
          <w:kern w:val="0"/>
          <w:sz w:val="24"/>
          <w14:textFill>
            <w14:solidFill>
              <w14:schemeClr w14:val="tx1"/>
            </w14:solidFill>
          </w14:textFill>
        </w:rPr>
        <w:t>12.2 甲方无故逾期验收或逾期付款的，应按逾期付款总额每日千分之</w:t>
      </w:r>
      <w:r>
        <w:rPr>
          <w:rFonts w:hint="eastAsia" w:ascii="仿宋" w:hAnsi="仿宋" w:eastAsia="仿宋" w:cs="宋体"/>
          <w:color w:val="000000" w:themeColor="text1"/>
          <w:spacing w:val="-4"/>
          <w:kern w:val="0"/>
          <w:sz w:val="24"/>
          <w:u w:val="single"/>
          <w14:textFill>
            <w14:solidFill>
              <w14:schemeClr w14:val="tx1"/>
            </w14:solidFill>
          </w14:textFill>
        </w:rPr>
        <w:t xml:space="preserve"> 二 </w:t>
      </w:r>
      <w:r>
        <w:rPr>
          <w:rFonts w:hint="eastAsia" w:ascii="仿宋" w:hAnsi="仿宋" w:eastAsia="仿宋" w:cs="宋体"/>
          <w:color w:val="000000" w:themeColor="text1"/>
          <w:spacing w:val="-4"/>
          <w:kern w:val="0"/>
          <w:sz w:val="24"/>
          <w14:textFill>
            <w14:solidFill>
              <w14:schemeClr w14:val="tx1"/>
            </w14:solidFill>
          </w14:textFill>
        </w:rPr>
        <w:t>向乙方支付违约金。</w:t>
      </w:r>
    </w:p>
    <w:p>
      <w:pPr>
        <w:widowControl/>
        <w:snapToGrid w:val="0"/>
        <w:spacing w:line="360" w:lineRule="auto"/>
        <w:ind w:firstLine="480"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12.3 乙方逾期交付货物的，应按逾期交货总额每日千分之</w:t>
      </w:r>
      <w:r>
        <w:rPr>
          <w:rFonts w:hint="eastAsia" w:ascii="仿宋" w:hAnsi="仿宋" w:eastAsia="仿宋" w:cs="宋体"/>
          <w:color w:val="000000" w:themeColor="text1"/>
          <w:kern w:val="0"/>
          <w:sz w:val="24"/>
          <w:u w:val="single"/>
          <w14:textFill>
            <w14:solidFill>
              <w14:schemeClr w14:val="tx1"/>
            </w14:solidFill>
          </w14:textFill>
        </w:rPr>
        <w:t xml:space="preserve"> 二 </w:t>
      </w:r>
      <w:r>
        <w:rPr>
          <w:rFonts w:hint="eastAsia" w:ascii="仿宋" w:hAnsi="仿宋" w:eastAsia="仿宋" w:cs="宋体"/>
          <w:color w:val="000000" w:themeColor="text1"/>
          <w:kern w:val="0"/>
          <w:sz w:val="24"/>
          <w14:textFill>
            <w14:solidFill>
              <w14:schemeClr w14:val="tx1"/>
            </w14:solidFill>
          </w14:textFill>
        </w:rPr>
        <w:t>向甲方支付违约金，由甲方从待付货款中扣除。逾期超过约定日期</w:t>
      </w:r>
      <w:r>
        <w:rPr>
          <w:rFonts w:hint="eastAsia" w:ascii="仿宋" w:hAnsi="仿宋" w:eastAsia="仿宋" w:cs="宋体"/>
          <w:color w:val="000000" w:themeColor="text1"/>
          <w:kern w:val="0"/>
          <w:sz w:val="24"/>
          <w:u w:val="single"/>
          <w14:textFill>
            <w14:solidFill>
              <w14:schemeClr w14:val="tx1"/>
            </w14:solidFill>
          </w14:textFill>
        </w:rPr>
        <w:t xml:space="preserve"> 15  </w:t>
      </w:r>
      <w:r>
        <w:rPr>
          <w:rFonts w:hint="eastAsia" w:ascii="仿宋" w:hAnsi="仿宋" w:eastAsia="仿宋" w:cs="宋体"/>
          <w:color w:val="000000" w:themeColor="text1"/>
          <w:kern w:val="0"/>
          <w:sz w:val="24"/>
          <w14:textFill>
            <w14:solidFill>
              <w14:schemeClr w14:val="tx1"/>
            </w14:solidFill>
          </w14:textFill>
        </w:rPr>
        <w:t>个工作日不能交货的，甲方可解除本合同。乙方因逾期交货或因其他违约行为导致甲方解除合同的，乙方应向甲方支付合同总值百分之</w:t>
      </w:r>
      <w:r>
        <w:rPr>
          <w:rFonts w:hint="eastAsia" w:ascii="仿宋" w:hAnsi="仿宋" w:eastAsia="仿宋" w:cs="宋体"/>
          <w:color w:val="000000" w:themeColor="text1"/>
          <w:kern w:val="0"/>
          <w:sz w:val="24"/>
          <w:u w:val="single"/>
          <w14:textFill>
            <w14:solidFill>
              <w14:schemeClr w14:val="tx1"/>
            </w14:solidFill>
          </w14:textFill>
        </w:rPr>
        <w:t xml:space="preserve">  五　</w:t>
      </w:r>
      <w:r>
        <w:rPr>
          <w:rFonts w:hint="eastAsia" w:ascii="仿宋" w:hAnsi="仿宋" w:eastAsia="仿宋" w:cs="宋体"/>
          <w:color w:val="000000" w:themeColor="text1"/>
          <w:kern w:val="0"/>
          <w:sz w:val="24"/>
          <w14:textFill>
            <w14:solidFill>
              <w14:schemeClr w14:val="tx1"/>
            </w14:solidFill>
          </w14:textFill>
        </w:rPr>
        <w:t xml:space="preserve">的违约金，如造成甲方损失超过违约金的，超出部分由乙方继续承担赔偿责任。 </w:t>
      </w:r>
    </w:p>
    <w:p>
      <w:pPr>
        <w:widowControl/>
        <w:snapToGrid w:val="0"/>
        <w:spacing w:line="360" w:lineRule="auto"/>
        <w:ind w:firstLine="480" w:firstLineChars="200"/>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12.4 乙方所交的货物品种、型号、规格、技术参数、质量不符合合同约定及招标文件规定标准的，甲方有权拒收该货物，乙方愿意更换货物但逾期交货的，按乙方逾期交货处理。乙方拒绝更换货物的，甲方可单方面解除合同。</w:t>
      </w:r>
    </w:p>
    <w:p>
      <w:pPr>
        <w:widowControl/>
        <w:snapToGrid w:val="0"/>
        <w:spacing w:line="360" w:lineRule="auto"/>
        <w:ind w:firstLine="480" w:firstLineChars="200"/>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12.5 如有转让、分包或委托交付行为，甲方有权解除合同，履约保证金不予退还。如造成损失超过履约保证金金额的，超出部分由乙方继续承担赔偿责任。</w:t>
      </w:r>
    </w:p>
    <w:p>
      <w:pPr>
        <w:widowControl/>
        <w:snapToGrid w:val="0"/>
        <w:spacing w:line="360" w:lineRule="auto"/>
        <w:ind w:firstLine="482"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b/>
          <w:color w:val="000000" w:themeColor="text1"/>
          <w:kern w:val="0"/>
          <w:sz w:val="24"/>
          <w14:textFill>
            <w14:solidFill>
              <w14:schemeClr w14:val="tx1"/>
            </w14:solidFill>
          </w14:textFill>
        </w:rPr>
        <w:t>十三、不可抗力事件处理</w:t>
      </w:r>
    </w:p>
    <w:p>
      <w:pPr>
        <w:widowControl/>
        <w:snapToGrid w:val="0"/>
        <w:spacing w:line="360" w:lineRule="auto"/>
        <w:ind w:firstLine="480"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13.1 在合同有效期内，任何一方因不可抗力事件导致不能履行合同，则合同履行期可延长，其延长期与不可抗力影响期相同。</w:t>
      </w:r>
    </w:p>
    <w:p>
      <w:pPr>
        <w:widowControl/>
        <w:snapToGrid w:val="0"/>
        <w:spacing w:line="360" w:lineRule="auto"/>
        <w:ind w:firstLine="480"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13.2 不可抗力事件发生后，应立即通知对方，并寄送有关权威机构出具的证明。</w:t>
      </w:r>
    </w:p>
    <w:p>
      <w:pPr>
        <w:widowControl/>
        <w:snapToGrid w:val="0"/>
        <w:spacing w:line="360" w:lineRule="auto"/>
        <w:ind w:firstLine="480"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13.3 不可抗力事件延续</w:t>
      </w:r>
      <w:r>
        <w:rPr>
          <w:rFonts w:hint="eastAsia" w:ascii="仿宋" w:hAnsi="仿宋" w:eastAsia="仿宋" w:cs="宋体"/>
          <w:color w:val="000000" w:themeColor="text1"/>
          <w:kern w:val="0"/>
          <w:sz w:val="24"/>
          <w:u w:val="single"/>
          <w14:textFill>
            <w14:solidFill>
              <w14:schemeClr w14:val="tx1"/>
            </w14:solidFill>
          </w14:textFill>
        </w:rPr>
        <w:t xml:space="preserve">  30  </w:t>
      </w:r>
      <w:r>
        <w:rPr>
          <w:rFonts w:hint="eastAsia" w:ascii="仿宋" w:hAnsi="仿宋" w:eastAsia="仿宋" w:cs="宋体"/>
          <w:color w:val="000000" w:themeColor="text1"/>
          <w:kern w:val="0"/>
          <w:sz w:val="24"/>
          <w14:textFill>
            <w14:solidFill>
              <w14:schemeClr w14:val="tx1"/>
            </w14:solidFill>
          </w14:textFill>
        </w:rPr>
        <w:t>天以上，双方应通过友好协商，确定是否继续履行合同。</w:t>
      </w:r>
    </w:p>
    <w:p>
      <w:pPr>
        <w:widowControl/>
        <w:snapToGrid w:val="0"/>
        <w:spacing w:line="360" w:lineRule="auto"/>
        <w:ind w:firstLine="482" w:firstLineChars="200"/>
        <w:jc w:val="left"/>
        <w:rPr>
          <w:rFonts w:ascii="仿宋" w:hAnsi="仿宋" w:eastAsia="仿宋" w:cs="宋体"/>
          <w:color w:val="000000" w:themeColor="text1"/>
          <w:kern w:val="0"/>
          <w:sz w:val="14"/>
          <w:szCs w:val="14"/>
          <w14:textFill>
            <w14:solidFill>
              <w14:schemeClr w14:val="tx1"/>
            </w14:solidFill>
          </w14:textFill>
        </w:rPr>
      </w:pPr>
      <w:r>
        <w:rPr>
          <w:rFonts w:hint="eastAsia" w:ascii="仿宋" w:hAnsi="仿宋" w:eastAsia="仿宋" w:cs="宋体"/>
          <w:b/>
          <w:color w:val="000000" w:themeColor="text1"/>
          <w:kern w:val="0"/>
          <w:sz w:val="24"/>
          <w14:textFill>
            <w14:solidFill>
              <w14:schemeClr w14:val="tx1"/>
            </w14:solidFill>
          </w14:textFill>
        </w:rPr>
        <w:t>十四、争议处理</w:t>
      </w:r>
    </w:p>
    <w:p>
      <w:pPr>
        <w:widowControl/>
        <w:snapToGrid w:val="0"/>
        <w:spacing w:line="360" w:lineRule="auto"/>
        <w:ind w:firstLine="240" w:firstLineChars="100"/>
        <w:jc w:val="left"/>
        <w:rPr>
          <w:rFonts w:ascii="Arial" w:hAnsi="Arial" w:cs="Arial"/>
          <w:color w:val="000000" w:themeColor="text1"/>
          <w:kern w:val="0"/>
          <w:sz w:val="14"/>
          <w:szCs w:val="1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14.1 双方在履行合同中所发生的一切争议，应通过协商解决。如协商不成，可向合同签订地法院起诉。本合同签订地为浙江省天台县。</w:t>
      </w:r>
    </w:p>
    <w:p>
      <w:pPr>
        <w:widowControl/>
        <w:snapToGrid w:val="0"/>
        <w:spacing w:line="360" w:lineRule="auto"/>
        <w:jc w:val="left"/>
        <w:rPr>
          <w:rFonts w:hint="eastAsia"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十五、合同生效及其它</w:t>
      </w:r>
    </w:p>
    <w:p>
      <w:pPr>
        <w:widowControl/>
        <w:snapToGrid w:val="0"/>
        <w:spacing w:line="360" w:lineRule="auto"/>
        <w:ind w:firstLine="240" w:firstLineChars="1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15.1 合同经双方法定代表人（负责人）或授权委托代理人签字并加盖单位公章后生效。</w:t>
      </w:r>
    </w:p>
    <w:p>
      <w:pPr>
        <w:widowControl/>
        <w:snapToGrid w:val="0"/>
        <w:spacing w:line="360" w:lineRule="auto"/>
        <w:ind w:firstLine="240" w:firstLineChars="1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15.2有关本合同中未写明的内容以本项目招标文件的规定为准。</w:t>
      </w:r>
    </w:p>
    <w:p>
      <w:pPr>
        <w:widowControl/>
        <w:snapToGrid w:val="0"/>
        <w:spacing w:line="360" w:lineRule="auto"/>
        <w:ind w:firstLine="240" w:firstLineChars="1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15.3 本合同未尽事宜，双方协商解决。</w:t>
      </w:r>
    </w:p>
    <w:p>
      <w:pPr>
        <w:widowControl/>
        <w:snapToGrid w:val="0"/>
        <w:spacing w:line="360" w:lineRule="auto"/>
        <w:ind w:firstLine="240" w:firstLineChars="1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15.4 本合同一式四份，具有同等法律效力，甲方执三份乙方执一份。</w:t>
      </w:r>
    </w:p>
    <w:p>
      <w:pPr>
        <w:widowControl/>
        <w:snapToGrid w:val="0"/>
        <w:spacing w:line="360" w:lineRule="auto"/>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附：1、产品清单和单价表。</w:t>
      </w:r>
    </w:p>
    <w:p>
      <w:pPr>
        <w:widowControl/>
        <w:snapToGrid w:val="0"/>
        <w:spacing w:line="360" w:lineRule="auto"/>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2、水务集团材料采购廉政合同。</w:t>
      </w:r>
    </w:p>
    <w:p>
      <w:pPr>
        <w:widowControl/>
        <w:snapToGrid w:val="0"/>
        <w:spacing w:line="360" w:lineRule="auto"/>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甲方（盖章）：</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乙方（盖章）：</w:t>
      </w:r>
      <w:r>
        <w:rPr>
          <w:rFonts w:hint="eastAsia" w:ascii="仿宋" w:hAnsi="仿宋" w:eastAsia="仿宋" w:cs="仿宋"/>
          <w:color w:val="000000" w:themeColor="text1"/>
          <w:kern w:val="0"/>
          <w:sz w:val="24"/>
          <w:u w:val="single"/>
          <w14:textFill>
            <w14:solidFill>
              <w14:schemeClr w14:val="tx1"/>
            </w14:solidFill>
          </w14:textFill>
        </w:rPr>
        <w:t xml:space="preserve">                         </w:t>
      </w:r>
    </w:p>
    <w:p>
      <w:pPr>
        <w:widowControl/>
        <w:snapToGrid w:val="0"/>
        <w:spacing w:line="360" w:lineRule="auto"/>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地址：</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地址：</w:t>
      </w:r>
      <w:r>
        <w:rPr>
          <w:rFonts w:hint="eastAsia" w:ascii="仿宋" w:hAnsi="仿宋" w:eastAsia="仿宋" w:cs="仿宋"/>
          <w:color w:val="000000" w:themeColor="text1"/>
          <w:kern w:val="0"/>
          <w:sz w:val="24"/>
          <w:u w:val="single"/>
          <w14:textFill>
            <w14:solidFill>
              <w14:schemeClr w14:val="tx1"/>
            </w14:solidFill>
          </w14:textFill>
        </w:rPr>
        <w:t xml:space="preserve">                         　　　　</w:t>
      </w:r>
    </w:p>
    <w:p>
      <w:pPr>
        <w:widowControl/>
        <w:snapToGrid w:val="0"/>
        <w:spacing w:line="360" w:lineRule="auto"/>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法定代表人（负责人）：</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法定代表人（负责人）：</w:t>
      </w:r>
      <w:r>
        <w:rPr>
          <w:rFonts w:hint="eastAsia" w:ascii="仿宋" w:hAnsi="仿宋" w:eastAsia="仿宋" w:cs="仿宋"/>
          <w:color w:val="000000" w:themeColor="text1"/>
          <w:kern w:val="0"/>
          <w:sz w:val="24"/>
          <w:u w:val="single"/>
          <w14:textFill>
            <w14:solidFill>
              <w14:schemeClr w14:val="tx1"/>
            </w14:solidFill>
          </w14:textFill>
        </w:rPr>
        <w:t xml:space="preserve">                 </w:t>
      </w:r>
    </w:p>
    <w:p>
      <w:pPr>
        <w:widowControl/>
        <w:snapToGrid w:val="0"/>
        <w:spacing w:line="360" w:lineRule="auto"/>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委托代理人：</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委托代理人：</w:t>
      </w:r>
      <w:r>
        <w:rPr>
          <w:rFonts w:hint="eastAsia" w:ascii="仿宋" w:hAnsi="仿宋" w:eastAsia="仿宋" w:cs="仿宋"/>
          <w:color w:val="000000" w:themeColor="text1"/>
          <w:kern w:val="0"/>
          <w:sz w:val="24"/>
          <w:u w:val="single"/>
          <w14:textFill>
            <w14:solidFill>
              <w14:schemeClr w14:val="tx1"/>
            </w14:solidFill>
          </w14:textFill>
        </w:rPr>
        <w:t xml:space="preserve">                           </w:t>
      </w:r>
    </w:p>
    <w:p>
      <w:pPr>
        <w:widowControl/>
        <w:snapToGrid w:val="0"/>
        <w:spacing w:line="360" w:lineRule="auto"/>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账户名称：</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账户名称：</w:t>
      </w:r>
      <w:r>
        <w:rPr>
          <w:rFonts w:hint="eastAsia" w:ascii="仿宋" w:hAnsi="仿宋" w:eastAsia="仿宋" w:cs="仿宋"/>
          <w:color w:val="000000" w:themeColor="text1"/>
          <w:kern w:val="0"/>
          <w:sz w:val="24"/>
          <w:u w:val="single"/>
          <w14:textFill>
            <w14:solidFill>
              <w14:schemeClr w14:val="tx1"/>
            </w14:solidFill>
          </w14:textFill>
        </w:rPr>
        <w:t xml:space="preserve">                             </w:t>
      </w:r>
    </w:p>
    <w:p>
      <w:pPr>
        <w:widowControl/>
        <w:snapToGrid w:val="0"/>
        <w:spacing w:line="360" w:lineRule="auto"/>
        <w:jc w:val="left"/>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开户银行：</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开户银行：</w:t>
      </w:r>
      <w:r>
        <w:rPr>
          <w:rFonts w:hint="eastAsia" w:ascii="仿宋" w:hAnsi="仿宋" w:eastAsia="仿宋" w:cs="仿宋"/>
          <w:color w:val="000000" w:themeColor="text1"/>
          <w:kern w:val="0"/>
          <w:sz w:val="24"/>
          <w:u w:val="single"/>
          <w14:textFill>
            <w14:solidFill>
              <w14:schemeClr w14:val="tx1"/>
            </w14:solidFill>
          </w14:textFill>
        </w:rPr>
        <w:t xml:space="preserve">                              </w:t>
      </w:r>
    </w:p>
    <w:p>
      <w:pPr>
        <w:widowControl/>
        <w:snapToGrid w:val="0"/>
        <w:spacing w:line="360" w:lineRule="auto"/>
        <w:jc w:val="left"/>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账号：</w:t>
      </w:r>
      <w:r>
        <w:rPr>
          <w:rFonts w:hint="eastAsia" w:ascii="仿宋" w:hAnsi="仿宋" w:eastAsia="仿宋" w:cs="仿宋"/>
          <w:color w:val="000000" w:themeColor="text1"/>
          <w:kern w:val="0"/>
          <w:sz w:val="24"/>
          <w:u w:val="single"/>
          <w14:textFill>
            <w14:solidFill>
              <w14:schemeClr w14:val="tx1"/>
            </w14:solidFill>
          </w14:textFill>
        </w:rPr>
        <w:t>　　　　　　　　　　　　　　　</w:t>
      </w:r>
      <w:r>
        <w:rPr>
          <w:rFonts w:hint="eastAsia" w:ascii="仿宋" w:hAnsi="仿宋" w:eastAsia="仿宋" w:cs="仿宋"/>
          <w:color w:val="000000" w:themeColor="text1"/>
          <w:kern w:val="0"/>
          <w:sz w:val="24"/>
          <w14:textFill>
            <w14:solidFill>
              <w14:schemeClr w14:val="tx1"/>
            </w14:solidFill>
          </w14:textFill>
        </w:rPr>
        <w:t>　 账号：</w:t>
      </w:r>
      <w:r>
        <w:rPr>
          <w:rFonts w:hint="eastAsia" w:ascii="仿宋" w:hAnsi="仿宋" w:eastAsia="仿宋" w:cs="仿宋"/>
          <w:color w:val="000000" w:themeColor="text1"/>
          <w:kern w:val="0"/>
          <w:sz w:val="24"/>
          <w:u w:val="single"/>
          <w14:textFill>
            <w14:solidFill>
              <w14:schemeClr w14:val="tx1"/>
            </w14:solidFill>
          </w14:textFill>
        </w:rPr>
        <w:t xml:space="preserve">                                    </w:t>
      </w:r>
    </w:p>
    <w:p>
      <w:pPr>
        <w:widowControl/>
        <w:snapToGrid w:val="0"/>
        <w:spacing w:line="360" w:lineRule="auto"/>
        <w:jc w:val="left"/>
        <w:rPr>
          <w:rFonts w:hint="eastAsia"/>
          <w:color w:val="000000" w:themeColor="text1"/>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签订时间：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签订地点：</w:t>
      </w:r>
      <w:r>
        <w:rPr>
          <w:rFonts w:hint="eastAsia" w:ascii="仿宋" w:hAnsi="仿宋" w:eastAsia="仿宋" w:cs="仿宋"/>
          <w:color w:val="000000" w:themeColor="text1"/>
          <w:kern w:val="0"/>
          <w:sz w:val="24"/>
          <w:u w:val="single"/>
          <w14:textFill>
            <w14:solidFill>
              <w14:schemeClr w14:val="tx1"/>
            </w14:solidFill>
          </w14:textFill>
        </w:rPr>
        <w:t xml:space="preserve">    浙江省天台县                                             </w:t>
      </w:r>
    </w:p>
    <w:p>
      <w:pPr>
        <w:jc w:val="center"/>
        <w:rPr>
          <w:rFonts w:hint="eastAsia" w:ascii="黑体" w:hAnsi="黑体" w:eastAsia="黑体" w:cs="黑体"/>
          <w:b/>
          <w:bCs/>
          <w:color w:val="000000" w:themeColor="text1"/>
          <w:sz w:val="32"/>
          <w:szCs w:val="32"/>
          <w:highlight w:val="none"/>
          <w:lang w:eastAsia="zh-CN"/>
          <w14:textFill>
            <w14:solidFill>
              <w14:schemeClr w14:val="tx1"/>
            </w14:solidFill>
          </w14:textFill>
        </w:rPr>
      </w:pPr>
    </w:p>
    <w:p>
      <w:pPr>
        <w:jc w:val="center"/>
        <w:rPr>
          <w:rFonts w:hint="eastAsia" w:ascii="黑体" w:hAnsi="黑体" w:eastAsia="黑体" w:cs="黑体"/>
          <w:b/>
          <w:bCs/>
          <w:color w:val="000000" w:themeColor="text1"/>
          <w:sz w:val="32"/>
          <w:szCs w:val="32"/>
          <w:highlight w:val="none"/>
          <w:lang w:eastAsia="zh-CN"/>
          <w14:textFill>
            <w14:solidFill>
              <w14:schemeClr w14:val="tx1"/>
            </w14:solidFill>
          </w14:textFill>
        </w:rPr>
      </w:pPr>
    </w:p>
    <w:p>
      <w:pPr>
        <w:pStyle w:val="2"/>
        <w:rPr>
          <w:rFonts w:hint="eastAsia" w:ascii="黑体" w:hAnsi="黑体" w:eastAsia="黑体" w:cs="黑体"/>
          <w:b/>
          <w:bCs/>
          <w:color w:val="000000" w:themeColor="text1"/>
          <w:sz w:val="32"/>
          <w:szCs w:val="32"/>
          <w:highlight w:val="none"/>
          <w:lang w:eastAsia="zh-CN"/>
          <w14:textFill>
            <w14:solidFill>
              <w14:schemeClr w14:val="tx1"/>
            </w14:solidFill>
          </w14:textFill>
        </w:rPr>
      </w:pPr>
    </w:p>
    <w:p>
      <w:pPr>
        <w:pStyle w:val="2"/>
        <w:rPr>
          <w:rFonts w:hint="eastAsia" w:ascii="黑体" w:hAnsi="黑体" w:eastAsia="黑体" w:cs="黑体"/>
          <w:b/>
          <w:bCs/>
          <w:color w:val="000000" w:themeColor="text1"/>
          <w:sz w:val="32"/>
          <w:szCs w:val="32"/>
          <w:highlight w:val="none"/>
          <w:lang w:eastAsia="zh-CN"/>
          <w14:textFill>
            <w14:solidFill>
              <w14:schemeClr w14:val="tx1"/>
            </w14:solidFill>
          </w14:textFill>
        </w:rPr>
      </w:pPr>
    </w:p>
    <w:p>
      <w:pPr>
        <w:pStyle w:val="2"/>
        <w:rPr>
          <w:rFonts w:hint="eastAsia" w:ascii="黑体" w:hAnsi="黑体" w:eastAsia="黑体" w:cs="黑体"/>
          <w:b/>
          <w:bCs/>
          <w:color w:val="000000" w:themeColor="text1"/>
          <w:sz w:val="32"/>
          <w:szCs w:val="32"/>
          <w:highlight w:val="none"/>
          <w:lang w:eastAsia="zh-CN"/>
          <w14:textFill>
            <w14:solidFill>
              <w14:schemeClr w14:val="tx1"/>
            </w14:solidFill>
          </w14:textFill>
        </w:rPr>
      </w:pPr>
    </w:p>
    <w:p>
      <w:pPr>
        <w:pStyle w:val="2"/>
        <w:rPr>
          <w:rFonts w:hint="eastAsia" w:ascii="黑体" w:hAnsi="黑体" w:eastAsia="黑体" w:cs="黑体"/>
          <w:b/>
          <w:bCs/>
          <w:color w:val="000000" w:themeColor="text1"/>
          <w:sz w:val="32"/>
          <w:szCs w:val="32"/>
          <w:highlight w:val="none"/>
          <w:lang w:eastAsia="zh-CN"/>
          <w14:textFill>
            <w14:solidFill>
              <w14:schemeClr w14:val="tx1"/>
            </w14:solidFill>
          </w14:textFill>
        </w:rPr>
      </w:pPr>
    </w:p>
    <w:p>
      <w:pPr>
        <w:pStyle w:val="2"/>
        <w:rPr>
          <w:rFonts w:hint="eastAsia" w:ascii="黑体" w:hAnsi="黑体" w:eastAsia="黑体" w:cs="黑体"/>
          <w:b/>
          <w:bCs/>
          <w:color w:val="000000" w:themeColor="text1"/>
          <w:sz w:val="32"/>
          <w:szCs w:val="32"/>
          <w:highlight w:val="none"/>
          <w:lang w:eastAsia="zh-CN"/>
          <w14:textFill>
            <w14:solidFill>
              <w14:schemeClr w14:val="tx1"/>
            </w14:solidFill>
          </w14:textFill>
        </w:rPr>
      </w:pPr>
    </w:p>
    <w:p>
      <w:pPr>
        <w:pStyle w:val="2"/>
        <w:rPr>
          <w:rFonts w:hint="eastAsia" w:ascii="黑体" w:hAnsi="黑体" w:eastAsia="黑体" w:cs="黑体"/>
          <w:b/>
          <w:bCs/>
          <w:color w:val="000000" w:themeColor="text1"/>
          <w:sz w:val="32"/>
          <w:szCs w:val="32"/>
          <w:highlight w:val="none"/>
          <w:lang w:eastAsia="zh-CN"/>
          <w14:textFill>
            <w14:solidFill>
              <w14:schemeClr w14:val="tx1"/>
            </w14:solidFill>
          </w14:textFill>
        </w:rPr>
      </w:pPr>
    </w:p>
    <w:p>
      <w:pPr>
        <w:pStyle w:val="2"/>
        <w:rPr>
          <w:rFonts w:hint="eastAsia" w:ascii="黑体" w:hAnsi="黑体" w:eastAsia="黑体" w:cs="黑体"/>
          <w:b/>
          <w:bCs/>
          <w:color w:val="000000" w:themeColor="text1"/>
          <w:sz w:val="32"/>
          <w:szCs w:val="32"/>
          <w:highlight w:val="none"/>
          <w:lang w:eastAsia="zh-CN"/>
          <w14:textFill>
            <w14:solidFill>
              <w14:schemeClr w14:val="tx1"/>
            </w14:solidFill>
          </w14:textFill>
        </w:rPr>
      </w:pPr>
    </w:p>
    <w:p>
      <w:pPr>
        <w:jc w:val="both"/>
        <w:rPr>
          <w:rFonts w:hint="eastAsia" w:ascii="黑体" w:hAnsi="黑体" w:eastAsia="黑体" w:cs="黑体"/>
          <w:b/>
          <w:bCs/>
          <w:color w:val="000000" w:themeColor="text1"/>
          <w:sz w:val="32"/>
          <w:szCs w:val="32"/>
          <w:highlight w:val="none"/>
          <w:lang w:eastAsia="zh-CN"/>
          <w14:textFill>
            <w14:solidFill>
              <w14:schemeClr w14:val="tx1"/>
            </w14:solidFill>
          </w14:textFill>
        </w:rPr>
      </w:pPr>
    </w:p>
    <w:p>
      <w:pPr>
        <w:ind w:firstLine="3213" w:firstLineChars="1000"/>
        <w:jc w:val="both"/>
        <w:rPr>
          <w:rFonts w:hint="eastAsia" w:ascii="黑体" w:hAnsi="黑体" w:eastAsia="黑体" w:cs="黑体"/>
          <w:b/>
          <w:bCs/>
          <w:color w:val="000000" w:themeColor="text1"/>
          <w:sz w:val="32"/>
          <w:szCs w:val="32"/>
          <w:highlight w:val="none"/>
          <w:lang w:eastAsia="zh-CN"/>
          <w14:textFill>
            <w14:solidFill>
              <w14:schemeClr w14:val="tx1"/>
            </w14:solidFill>
          </w14:textFill>
        </w:rPr>
      </w:pPr>
      <w:r>
        <w:rPr>
          <w:rFonts w:hint="eastAsia" w:ascii="黑体" w:hAnsi="黑体" w:eastAsia="黑体" w:cs="黑体"/>
          <w:b/>
          <w:bCs/>
          <w:color w:val="000000" w:themeColor="text1"/>
          <w:sz w:val="32"/>
          <w:szCs w:val="32"/>
          <w:highlight w:val="none"/>
          <w:lang w:eastAsia="zh-CN"/>
          <w14:textFill>
            <w14:solidFill>
              <w14:schemeClr w14:val="tx1"/>
            </w14:solidFill>
          </w14:textFill>
        </w:rPr>
        <w:t>水务集团</w:t>
      </w: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sz w:val="32"/>
          <w:szCs w:val="32"/>
          <w:highlight w:val="none"/>
          <w:lang w:eastAsia="zh-CN"/>
          <w14:textFill>
            <w14:solidFill>
              <w14:schemeClr w14:val="tx1"/>
            </w14:solidFill>
          </w14:textFill>
        </w:rPr>
        <w:t>廉政合同</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采购人</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甲方</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供应方</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乙方</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为加强</w:t>
      </w:r>
      <w:r>
        <w:rPr>
          <w:rFonts w:hint="eastAsia" w:ascii="仿宋" w:hAnsi="仿宋" w:eastAsia="仿宋" w:cs="仿宋"/>
          <w:color w:val="000000" w:themeColor="text1"/>
          <w:sz w:val="28"/>
          <w:szCs w:val="28"/>
          <w:highlight w:val="none"/>
          <w:lang w:eastAsia="zh-CN"/>
          <w14:textFill>
            <w14:solidFill>
              <w14:schemeClr w14:val="tx1"/>
            </w14:solidFill>
          </w14:textFill>
        </w:rPr>
        <w:t>合同履行</w:t>
      </w:r>
      <w:r>
        <w:rPr>
          <w:rFonts w:hint="eastAsia" w:ascii="仿宋" w:hAnsi="仿宋" w:eastAsia="仿宋" w:cs="仿宋"/>
          <w:color w:val="000000" w:themeColor="text1"/>
          <w:sz w:val="28"/>
          <w:szCs w:val="28"/>
          <w:highlight w:val="none"/>
          <w14:textFill>
            <w14:solidFill>
              <w14:schemeClr w14:val="tx1"/>
            </w14:solidFill>
          </w14:textFill>
        </w:rPr>
        <w:t>中的廉政建设</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确保</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天台县正源水务建设有限公司2023年水表采购项目</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的廉政实施</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防止发生各种谋取不正当利益的违法违纪行为</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保护国家、集体和当事人的合法权益</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根据廉政建设</w:t>
      </w:r>
      <w:r>
        <w:rPr>
          <w:rFonts w:hint="eastAsia" w:ascii="仿宋" w:hAnsi="仿宋" w:eastAsia="仿宋" w:cs="仿宋"/>
          <w:color w:val="000000" w:themeColor="text1"/>
          <w:sz w:val="28"/>
          <w:szCs w:val="28"/>
          <w:highlight w:val="none"/>
          <w:lang w:eastAsia="zh-CN"/>
          <w14:textFill>
            <w14:solidFill>
              <w14:schemeClr w14:val="tx1"/>
            </w14:solidFill>
          </w14:textFill>
        </w:rPr>
        <w:t>的</w:t>
      </w:r>
      <w:r>
        <w:rPr>
          <w:rFonts w:hint="eastAsia" w:ascii="仿宋" w:hAnsi="仿宋" w:eastAsia="仿宋" w:cs="仿宋"/>
          <w:color w:val="000000" w:themeColor="text1"/>
          <w:sz w:val="28"/>
          <w:szCs w:val="28"/>
          <w:highlight w:val="none"/>
          <w14:textFill>
            <w14:solidFill>
              <w14:schemeClr w14:val="tx1"/>
            </w14:solidFill>
          </w14:textFill>
        </w:rPr>
        <w:t>规定</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特订立本</w:t>
      </w:r>
      <w:r>
        <w:rPr>
          <w:rFonts w:hint="eastAsia" w:ascii="仿宋" w:hAnsi="仿宋" w:eastAsia="仿宋" w:cs="仿宋"/>
          <w:color w:val="000000" w:themeColor="text1"/>
          <w:sz w:val="28"/>
          <w:szCs w:val="28"/>
          <w:highlight w:val="none"/>
          <w:lang w:val="en-US" w:eastAsia="zh-CN"/>
          <w14:textFill>
            <w14:solidFill>
              <w14:schemeClr w14:val="tx1"/>
            </w14:solidFill>
          </w14:textFill>
        </w:rPr>
        <w:t>合同</w:t>
      </w:r>
      <w:r>
        <w:rPr>
          <w:rFonts w:hint="eastAsia" w:ascii="仿宋" w:hAnsi="仿宋" w:eastAsia="仿宋" w:cs="仿宋"/>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第一条 甲乙双方的责任</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应严格遵守国家关于</w:t>
      </w:r>
      <w:r>
        <w:rPr>
          <w:rFonts w:hint="eastAsia" w:ascii="仿宋" w:hAnsi="仿宋" w:eastAsia="仿宋" w:cs="仿宋"/>
          <w:color w:val="000000" w:themeColor="text1"/>
          <w:sz w:val="28"/>
          <w:szCs w:val="28"/>
          <w:highlight w:val="none"/>
          <w:lang w:eastAsia="zh-CN"/>
          <w14:textFill>
            <w14:solidFill>
              <w14:schemeClr w14:val="tx1"/>
            </w14:solidFill>
          </w14:textFill>
        </w:rPr>
        <w:t>合同</w:t>
      </w:r>
      <w:r>
        <w:rPr>
          <w:rFonts w:hint="eastAsia" w:ascii="仿宋" w:hAnsi="仿宋" w:eastAsia="仿宋" w:cs="仿宋"/>
          <w:color w:val="000000" w:themeColor="text1"/>
          <w:sz w:val="28"/>
          <w:szCs w:val="28"/>
          <w:highlight w:val="none"/>
          <w14:textFill>
            <w14:solidFill>
              <w14:schemeClr w14:val="tx1"/>
            </w14:solidFill>
          </w14:textFill>
        </w:rPr>
        <w:t>的有关法律、法规</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相关政策以及廉政建设的各项规定。</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严格</w:t>
      </w:r>
      <w:r>
        <w:rPr>
          <w:rFonts w:hint="eastAsia" w:ascii="仿宋" w:hAnsi="仿宋" w:eastAsia="仿宋" w:cs="仿宋"/>
          <w:color w:val="000000" w:themeColor="text1"/>
          <w:sz w:val="28"/>
          <w:szCs w:val="28"/>
          <w:highlight w:val="none"/>
          <w:lang w:eastAsia="zh-CN"/>
          <w14:textFill>
            <w14:solidFill>
              <w14:schemeClr w14:val="tx1"/>
            </w14:solidFill>
          </w14:textFill>
        </w:rPr>
        <w:t>履</w:t>
      </w:r>
      <w:r>
        <w:rPr>
          <w:rFonts w:hint="eastAsia" w:ascii="仿宋" w:hAnsi="仿宋" w:eastAsia="仿宋" w:cs="仿宋"/>
          <w:color w:val="000000" w:themeColor="text1"/>
          <w:sz w:val="28"/>
          <w:szCs w:val="28"/>
          <w:highlight w:val="none"/>
          <w14:textFill>
            <w14:solidFill>
              <w14:schemeClr w14:val="tx1"/>
            </w14:solidFill>
          </w14:textFill>
        </w:rPr>
        <w:t>行</w:t>
      </w:r>
      <w:r>
        <w:rPr>
          <w:rFonts w:hint="eastAsia" w:ascii="仿宋" w:hAnsi="仿宋" w:eastAsia="仿宋" w:cs="仿宋"/>
          <w:color w:val="000000" w:themeColor="text1"/>
          <w:sz w:val="28"/>
          <w:szCs w:val="28"/>
          <w:highlight w:val="none"/>
          <w:lang w:val="en-US" w:eastAsia="zh-CN"/>
          <w14:textFill>
            <w14:solidFill>
              <w14:schemeClr w14:val="tx1"/>
            </w14:solidFill>
          </w14:textFill>
        </w:rPr>
        <w:t>项目</w:t>
      </w:r>
      <w:r>
        <w:rPr>
          <w:rFonts w:hint="eastAsia" w:ascii="仿宋" w:hAnsi="仿宋" w:eastAsia="仿宋" w:cs="仿宋"/>
          <w:color w:val="000000" w:themeColor="text1"/>
          <w:sz w:val="28"/>
          <w:szCs w:val="28"/>
          <w:highlight w:val="none"/>
          <w14:textFill>
            <w14:solidFill>
              <w14:schemeClr w14:val="tx1"/>
            </w14:solidFill>
          </w14:textFill>
        </w:rPr>
        <w:t>合同文件</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自觉按合同办事。</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必须坚持公开、公平、公正、诚信、透明的原则</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不得为获取不正当的利益</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损害国家、集体和对方利益。</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四</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发现对方在</w:t>
      </w:r>
      <w:r>
        <w:rPr>
          <w:rFonts w:hint="eastAsia" w:ascii="仿宋" w:hAnsi="仿宋" w:eastAsia="仿宋" w:cs="仿宋"/>
          <w:color w:val="000000" w:themeColor="text1"/>
          <w:sz w:val="28"/>
          <w:szCs w:val="28"/>
          <w:highlight w:val="none"/>
          <w:lang w:eastAsia="zh-CN"/>
          <w14:textFill>
            <w14:solidFill>
              <w14:schemeClr w14:val="tx1"/>
            </w14:solidFill>
          </w14:textFill>
        </w:rPr>
        <w:t>合同履行</w:t>
      </w:r>
      <w:r>
        <w:rPr>
          <w:rFonts w:hint="eastAsia" w:ascii="仿宋" w:hAnsi="仿宋" w:eastAsia="仿宋" w:cs="仿宋"/>
          <w:color w:val="000000" w:themeColor="text1"/>
          <w:sz w:val="28"/>
          <w:szCs w:val="28"/>
          <w:highlight w:val="none"/>
          <w14:textFill>
            <w14:solidFill>
              <w14:schemeClr w14:val="tx1"/>
            </w14:solidFill>
          </w14:textFill>
        </w:rPr>
        <w:t>中有违规、违纪、违法行为的</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应及时提醒对方</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情节严重的</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应</w:t>
      </w:r>
      <w:r>
        <w:rPr>
          <w:rFonts w:hint="eastAsia" w:ascii="仿宋" w:hAnsi="仿宋" w:eastAsia="仿宋" w:cs="仿宋"/>
          <w:color w:val="000000" w:themeColor="text1"/>
          <w:sz w:val="28"/>
          <w:szCs w:val="28"/>
          <w:highlight w:val="none"/>
          <w:lang w:eastAsia="zh-CN"/>
          <w14:textFill>
            <w14:solidFill>
              <w14:schemeClr w14:val="tx1"/>
            </w14:solidFill>
          </w14:textFill>
        </w:rPr>
        <w:t>及时向集团业务</w:t>
      </w:r>
      <w:r>
        <w:rPr>
          <w:rFonts w:hint="eastAsia" w:ascii="仿宋" w:hAnsi="仿宋" w:eastAsia="仿宋" w:cs="仿宋"/>
          <w:color w:val="000000" w:themeColor="text1"/>
          <w:sz w:val="28"/>
          <w:szCs w:val="28"/>
          <w:highlight w:val="none"/>
          <w14:textFill>
            <w14:solidFill>
              <w14:schemeClr w14:val="tx1"/>
            </w14:solidFill>
          </w14:textFill>
        </w:rPr>
        <w:t>主管部门</w:t>
      </w:r>
      <w:r>
        <w:rPr>
          <w:rFonts w:hint="eastAsia" w:ascii="仿宋" w:hAnsi="仿宋" w:eastAsia="仿宋" w:cs="仿宋"/>
          <w:color w:val="000000" w:themeColor="text1"/>
          <w:sz w:val="28"/>
          <w:szCs w:val="28"/>
          <w:highlight w:val="none"/>
          <w:lang w:eastAsia="zh-CN"/>
          <w14:textFill>
            <w14:solidFill>
              <w14:schemeClr w14:val="tx1"/>
            </w14:solidFill>
          </w14:textFill>
        </w:rPr>
        <w:t>、监审部、集团纪委或上级</w:t>
      </w:r>
      <w:r>
        <w:rPr>
          <w:rFonts w:hint="eastAsia" w:ascii="仿宋" w:hAnsi="仿宋" w:eastAsia="仿宋" w:cs="仿宋"/>
          <w:color w:val="000000" w:themeColor="text1"/>
          <w:sz w:val="28"/>
          <w:szCs w:val="28"/>
          <w:highlight w:val="none"/>
          <w14:textFill>
            <w14:solidFill>
              <w14:schemeClr w14:val="tx1"/>
            </w14:solidFill>
          </w14:textFill>
        </w:rPr>
        <w:t>纪检监察、司法等有关机关举报。</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第二条 甲方的责任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w:t>
      </w:r>
      <w:r>
        <w:rPr>
          <w:rFonts w:hint="eastAsia" w:ascii="仿宋" w:hAnsi="仿宋" w:eastAsia="仿宋" w:cs="仿宋"/>
          <w:color w:val="000000" w:themeColor="text1"/>
          <w:sz w:val="28"/>
          <w:szCs w:val="28"/>
          <w:highlight w:val="none"/>
          <w:lang w:val="en-US" w:eastAsia="zh-CN"/>
          <w14:textFill>
            <w14:solidFill>
              <w14:schemeClr w14:val="tx1"/>
            </w14:solidFill>
          </w14:textFill>
        </w:rPr>
        <w:t>及其工作人员</w:t>
      </w:r>
      <w:r>
        <w:rPr>
          <w:rFonts w:hint="eastAsia" w:ascii="仿宋" w:hAnsi="仿宋" w:eastAsia="仿宋" w:cs="仿宋"/>
          <w:color w:val="000000" w:themeColor="text1"/>
          <w:sz w:val="28"/>
          <w:szCs w:val="28"/>
          <w:highlight w:val="none"/>
          <w14:textFill>
            <w14:solidFill>
              <w14:schemeClr w14:val="tx1"/>
            </w14:solidFill>
          </w14:textFill>
        </w:rPr>
        <w:t>在</w:t>
      </w:r>
      <w:r>
        <w:rPr>
          <w:rFonts w:hint="eastAsia" w:ascii="仿宋" w:hAnsi="仿宋" w:eastAsia="仿宋" w:cs="仿宋"/>
          <w:color w:val="000000" w:themeColor="text1"/>
          <w:sz w:val="28"/>
          <w:szCs w:val="28"/>
          <w:highlight w:val="none"/>
          <w:lang w:eastAsia="zh-CN"/>
          <w14:textFill>
            <w14:solidFill>
              <w14:schemeClr w14:val="tx1"/>
            </w14:solidFill>
          </w14:textFill>
        </w:rPr>
        <w:t>合同履行中</w:t>
      </w:r>
      <w:r>
        <w:rPr>
          <w:rFonts w:hint="eastAsia" w:ascii="仿宋" w:hAnsi="仿宋" w:eastAsia="仿宋" w:cs="仿宋"/>
          <w:color w:val="000000" w:themeColor="text1"/>
          <w:sz w:val="28"/>
          <w:szCs w:val="28"/>
          <w:highlight w:val="none"/>
          <w14:textFill>
            <w14:solidFill>
              <w14:schemeClr w14:val="tx1"/>
            </w14:solidFill>
          </w14:textFill>
        </w:rPr>
        <w:t>应遵守以下规定</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不准向乙方和相关单位</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个人</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索要或接受回扣、礼金、有价证券、贵重物品和好处费、感谢费等。</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不准在乙方和相关单位</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个人</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报销任何应由甲方或个人支付的费用。</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不准要求、暗示或接受乙方和相关单位</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个人</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为个人装修住房、婚丧嫁娶、配偶子女的工作安排以及出国</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境</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、旅游等提供方便。</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四</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不准违反合同约定而使用乙方和相关单位</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个人</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提供的通信、交通工具和高档办公用品。</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五</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不准参加有可能影响公正</w:t>
      </w:r>
      <w:r>
        <w:rPr>
          <w:rFonts w:hint="eastAsia" w:ascii="仿宋" w:hAnsi="仿宋" w:eastAsia="仿宋" w:cs="仿宋"/>
          <w:color w:val="000000" w:themeColor="text1"/>
          <w:sz w:val="28"/>
          <w:szCs w:val="28"/>
          <w:highlight w:val="none"/>
          <w:lang w:eastAsia="zh-CN"/>
          <w14:textFill>
            <w14:solidFill>
              <w14:schemeClr w14:val="tx1"/>
            </w14:solidFill>
          </w14:textFill>
        </w:rPr>
        <w:t>履行公务</w:t>
      </w:r>
      <w:r>
        <w:rPr>
          <w:rFonts w:hint="eastAsia" w:ascii="仿宋" w:hAnsi="仿宋" w:eastAsia="仿宋" w:cs="仿宋"/>
          <w:color w:val="000000" w:themeColor="text1"/>
          <w:sz w:val="28"/>
          <w:szCs w:val="28"/>
          <w:highlight w:val="none"/>
          <w14:textFill>
            <w14:solidFill>
              <w14:schemeClr w14:val="tx1"/>
            </w14:solidFill>
          </w14:textFill>
        </w:rPr>
        <w:t>的乙方和相关单位</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个人</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的宴请、健身、娱乐等活动。</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不准</w:t>
      </w:r>
      <w:r>
        <w:rPr>
          <w:rFonts w:hint="eastAsia" w:ascii="仿宋" w:hAnsi="仿宋" w:eastAsia="仿宋" w:cs="仿宋"/>
          <w:color w:val="000000" w:themeColor="text1"/>
          <w:sz w:val="28"/>
          <w:szCs w:val="28"/>
          <w:highlight w:val="none"/>
          <w:lang w:val="en-US" w:eastAsia="zh-CN"/>
          <w14:textFill>
            <w14:solidFill>
              <w14:schemeClr w14:val="tx1"/>
            </w14:solidFill>
          </w14:textFill>
        </w:rPr>
        <w:t>营私舞弊，不准利用职权私自为本项目安排、从事与本项目有关的各种有偿中介或者经济活动，包括但不限于推荐本人及其</w:t>
      </w:r>
      <w:r>
        <w:rPr>
          <w:rFonts w:hint="eastAsia" w:ascii="仿宋" w:hAnsi="仿宋" w:eastAsia="仿宋" w:cs="仿宋"/>
          <w:color w:val="000000" w:themeColor="text1"/>
          <w:sz w:val="28"/>
          <w:szCs w:val="28"/>
          <w:highlight w:val="none"/>
          <w14:textFill>
            <w14:solidFill>
              <w14:schemeClr w14:val="tx1"/>
            </w14:solidFill>
          </w14:textFill>
        </w:rPr>
        <w:t>配偶、子女、</w:t>
      </w:r>
      <w:r>
        <w:rPr>
          <w:rFonts w:hint="eastAsia" w:ascii="仿宋" w:hAnsi="仿宋" w:eastAsia="仿宋" w:cs="仿宋"/>
          <w:color w:val="000000" w:themeColor="text1"/>
          <w:sz w:val="28"/>
          <w:szCs w:val="28"/>
          <w:highlight w:val="none"/>
          <w:lang w:val="en-US" w:eastAsia="zh-CN"/>
          <w14:textFill>
            <w14:solidFill>
              <w14:schemeClr w14:val="tx1"/>
            </w14:solidFill>
          </w14:textFill>
        </w:rPr>
        <w:t>利益相关人参与</w:t>
      </w:r>
      <w:r>
        <w:rPr>
          <w:rFonts w:hint="eastAsia" w:ascii="仿宋" w:hAnsi="仿宋" w:eastAsia="仿宋" w:cs="仿宋"/>
          <w:color w:val="000000" w:themeColor="text1"/>
          <w:sz w:val="28"/>
          <w:szCs w:val="28"/>
          <w:highlight w:val="none"/>
          <w:lang w:eastAsia="zh-CN"/>
          <w14:textFill>
            <w14:solidFill>
              <w14:schemeClr w14:val="tx1"/>
            </w14:solidFill>
          </w14:textFill>
        </w:rPr>
        <w:t>和</w:t>
      </w:r>
      <w:r>
        <w:rPr>
          <w:rFonts w:hint="eastAsia" w:ascii="仿宋" w:hAnsi="仿宋" w:eastAsia="仿宋" w:cs="仿宋"/>
          <w:color w:val="000000" w:themeColor="text1"/>
          <w:sz w:val="28"/>
          <w:szCs w:val="28"/>
          <w:highlight w:val="none"/>
          <w14:textFill>
            <w14:solidFill>
              <w14:schemeClr w14:val="tx1"/>
            </w14:solidFill>
          </w14:textFill>
        </w:rPr>
        <w:t>合同有关的设备、材料、工程分包、劳务等经济活动。</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第三条 乙方的责任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应与甲方保持正常的业务交往</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并遵守以下规定</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不准以任何理由向甲方及其工作人员</w:t>
      </w:r>
      <w:r>
        <w:rPr>
          <w:rFonts w:hint="eastAsia" w:ascii="仿宋" w:hAnsi="仿宋" w:eastAsia="仿宋" w:cs="仿宋"/>
          <w:color w:val="000000" w:themeColor="text1"/>
          <w:sz w:val="28"/>
          <w:szCs w:val="28"/>
          <w:highlight w:val="none"/>
          <w:lang w:val="en-US" w:eastAsia="zh-CN"/>
          <w14:textFill>
            <w14:solidFill>
              <w14:schemeClr w14:val="tx1"/>
            </w14:solidFill>
          </w14:textFill>
        </w:rPr>
        <w:t>行贿</w:t>
      </w:r>
      <w:r>
        <w:rPr>
          <w:rFonts w:hint="eastAsia" w:ascii="仿宋" w:hAnsi="仿宋" w:eastAsia="仿宋" w:cs="仿宋"/>
          <w:color w:val="000000" w:themeColor="text1"/>
          <w:sz w:val="28"/>
          <w:szCs w:val="28"/>
          <w:highlight w:val="none"/>
          <w14:textFill>
            <w14:solidFill>
              <w14:schemeClr w14:val="tx1"/>
            </w14:solidFill>
          </w14:textFill>
        </w:rPr>
        <w:t>或赠送礼金、有价证券、贵重物品及回扣、好处费、感谢费等。</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不准以任何理由为甲方及其工作人员报销应由对方或个人支付的费用。</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不准接受或暗示为甲方及其工作人员装修住房、婚丧嫁娶、配偶子女的工作安排以及出国</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境</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、旅游等提供方便。</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四</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不准</w:t>
      </w:r>
      <w:r>
        <w:rPr>
          <w:rFonts w:hint="eastAsia" w:ascii="仿宋" w:hAnsi="仿宋" w:eastAsia="仿宋" w:cs="仿宋"/>
          <w:color w:val="000000" w:themeColor="text1"/>
          <w:sz w:val="28"/>
          <w:szCs w:val="28"/>
          <w:highlight w:val="none"/>
          <w:lang w:val="en-US" w:eastAsia="zh-CN"/>
          <w14:textFill>
            <w14:solidFill>
              <w14:schemeClr w14:val="tx1"/>
            </w14:solidFill>
          </w14:textFill>
        </w:rPr>
        <w:t>为</w:t>
      </w:r>
      <w:r>
        <w:rPr>
          <w:rFonts w:hint="eastAsia" w:ascii="仿宋" w:hAnsi="仿宋" w:eastAsia="仿宋" w:cs="仿宋"/>
          <w:color w:val="000000" w:themeColor="text1"/>
          <w:sz w:val="28"/>
          <w:szCs w:val="28"/>
          <w:highlight w:val="none"/>
          <w14:textFill>
            <w14:solidFill>
              <w14:schemeClr w14:val="tx1"/>
            </w14:solidFill>
          </w14:textFill>
        </w:rPr>
        <w:t>甲方及其工作人员提供通信、交通工具和高档办公用品。</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五</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不准以任何理由为甲方及其工作人员</w:t>
      </w:r>
      <w:r>
        <w:rPr>
          <w:rFonts w:hint="eastAsia" w:ascii="仿宋" w:hAnsi="仿宋" w:eastAsia="仿宋" w:cs="仿宋"/>
          <w:color w:val="000000" w:themeColor="text1"/>
          <w:sz w:val="28"/>
          <w:szCs w:val="28"/>
          <w:highlight w:val="none"/>
          <w:lang w:val="en-US" w:eastAsia="zh-CN"/>
          <w14:textFill>
            <w14:solidFill>
              <w14:schemeClr w14:val="tx1"/>
            </w14:solidFill>
          </w14:textFill>
        </w:rPr>
        <w:t>组织</w:t>
      </w:r>
      <w:r>
        <w:rPr>
          <w:rFonts w:hint="eastAsia" w:ascii="仿宋" w:hAnsi="仿宋" w:eastAsia="仿宋" w:cs="仿宋"/>
          <w:color w:val="000000" w:themeColor="text1"/>
          <w:sz w:val="28"/>
          <w:szCs w:val="28"/>
          <w:highlight w:val="none"/>
          <w14:textFill>
            <w14:solidFill>
              <w14:schemeClr w14:val="tx1"/>
            </w14:solidFill>
          </w14:textFill>
        </w:rPr>
        <w:t>有可能影响公正</w:t>
      </w:r>
      <w:r>
        <w:rPr>
          <w:rFonts w:hint="eastAsia" w:ascii="仿宋" w:hAnsi="仿宋" w:eastAsia="仿宋" w:cs="仿宋"/>
          <w:color w:val="000000" w:themeColor="text1"/>
          <w:sz w:val="28"/>
          <w:szCs w:val="28"/>
          <w:highlight w:val="none"/>
          <w:lang w:eastAsia="zh-CN"/>
          <w14:textFill>
            <w14:solidFill>
              <w14:schemeClr w14:val="tx1"/>
            </w14:solidFill>
          </w14:textFill>
        </w:rPr>
        <w:t>履行公务</w:t>
      </w:r>
      <w:r>
        <w:rPr>
          <w:rFonts w:hint="eastAsia" w:ascii="仿宋" w:hAnsi="仿宋" w:eastAsia="仿宋" w:cs="仿宋"/>
          <w:color w:val="000000" w:themeColor="text1"/>
          <w:sz w:val="28"/>
          <w:szCs w:val="28"/>
          <w:highlight w:val="none"/>
          <w14:textFill>
            <w14:solidFill>
              <w14:schemeClr w14:val="tx1"/>
            </w14:solidFill>
          </w14:textFill>
        </w:rPr>
        <w:t>的宴请、健身、娱乐等活动。</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第四条 违约责任</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甲方工作人员有违反本责任书</w:t>
      </w:r>
      <w:r>
        <w:rPr>
          <w:rFonts w:hint="eastAsia" w:ascii="仿宋" w:hAnsi="仿宋" w:eastAsia="仿宋" w:cs="仿宋"/>
          <w:color w:val="000000" w:themeColor="text1"/>
          <w:sz w:val="28"/>
          <w:szCs w:val="28"/>
          <w:highlight w:val="none"/>
          <w:lang w:eastAsia="zh-CN"/>
          <w14:textFill>
            <w14:solidFill>
              <w14:schemeClr w14:val="tx1"/>
            </w14:solidFill>
          </w14:textFill>
        </w:rPr>
        <w:t>第一、第二条</w:t>
      </w:r>
      <w:r>
        <w:rPr>
          <w:rFonts w:hint="eastAsia" w:ascii="仿宋" w:hAnsi="仿宋" w:eastAsia="仿宋" w:cs="仿宋"/>
          <w:color w:val="000000" w:themeColor="text1"/>
          <w:sz w:val="28"/>
          <w:szCs w:val="28"/>
          <w:highlight w:val="none"/>
          <w14:textFill>
            <w14:solidFill>
              <w14:schemeClr w14:val="tx1"/>
            </w14:solidFill>
          </w14:textFill>
        </w:rPr>
        <w:t>行为的</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按照管理权限</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依据有关法律法规和规定给予党纪、政纪处分或组织处理</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涉嫌犯罪的</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移交司法机关追究刑事责任</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给乙方单位造成经济损失的</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应予以赔偿。</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乙方工作人员有违反本责任书</w:t>
      </w:r>
      <w:r>
        <w:rPr>
          <w:rFonts w:hint="eastAsia" w:ascii="仿宋" w:hAnsi="仿宋" w:eastAsia="仿宋" w:cs="仿宋"/>
          <w:color w:val="000000" w:themeColor="text1"/>
          <w:sz w:val="28"/>
          <w:szCs w:val="28"/>
          <w:highlight w:val="none"/>
          <w:lang w:eastAsia="zh-CN"/>
          <w14:textFill>
            <w14:solidFill>
              <w14:schemeClr w14:val="tx1"/>
            </w14:solidFill>
          </w14:textFill>
        </w:rPr>
        <w:t>第一、第三条</w:t>
      </w:r>
      <w:r>
        <w:rPr>
          <w:rFonts w:hint="eastAsia" w:ascii="仿宋" w:hAnsi="仿宋" w:eastAsia="仿宋" w:cs="仿宋"/>
          <w:color w:val="000000" w:themeColor="text1"/>
          <w:sz w:val="28"/>
          <w:szCs w:val="28"/>
          <w:highlight w:val="none"/>
          <w14:textFill>
            <w14:solidFill>
              <w14:schemeClr w14:val="tx1"/>
            </w14:solidFill>
          </w14:textFill>
        </w:rPr>
        <w:t>行为的</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按照管理权限</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依据有关法律法规和规定给予党纪、政纪处分或组织处理</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情节严重的，给予乙方3-5年内列入本集团参标黑名单处罚；</w:t>
      </w:r>
      <w:r>
        <w:rPr>
          <w:rFonts w:hint="eastAsia" w:ascii="仿宋" w:hAnsi="仿宋" w:eastAsia="仿宋" w:cs="仿宋"/>
          <w:color w:val="000000" w:themeColor="text1"/>
          <w:sz w:val="28"/>
          <w:szCs w:val="28"/>
          <w:highlight w:val="none"/>
          <w14:textFill>
            <w14:solidFill>
              <w14:schemeClr w14:val="tx1"/>
            </w14:solidFill>
          </w14:textFill>
        </w:rPr>
        <w:t>涉嫌犯罪的</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移交司法机关追究刑事责任</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给甲方单位造成经济损失的</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应予以赔偿。</w:t>
      </w:r>
    </w:p>
    <w:p>
      <w:pPr>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（三）乙方工作人员有违反本责任书第三条责任行为中任何一条规定的，第一次扣除1000元违约金，第二次发现结束合同。</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第五条</w:t>
      </w:r>
      <w:r>
        <w:rPr>
          <w:rFonts w:hint="eastAsia" w:ascii="仿宋" w:hAnsi="仿宋" w:eastAsia="仿宋" w:cs="仿宋"/>
          <w:color w:val="000000" w:themeColor="text1"/>
          <w:sz w:val="28"/>
          <w:szCs w:val="28"/>
          <w:highlight w:val="none"/>
          <w14:textFill>
            <w14:solidFill>
              <w14:schemeClr w14:val="tx1"/>
            </w14:solidFill>
          </w14:textFill>
        </w:rPr>
        <w:t xml:space="preserve"> 本</w:t>
      </w:r>
      <w:r>
        <w:rPr>
          <w:rFonts w:hint="eastAsia" w:ascii="仿宋" w:hAnsi="仿宋" w:eastAsia="仿宋" w:cs="仿宋"/>
          <w:color w:val="000000" w:themeColor="text1"/>
          <w:sz w:val="28"/>
          <w:szCs w:val="28"/>
          <w:highlight w:val="none"/>
          <w:lang w:val="en-US" w:eastAsia="zh-CN"/>
          <w14:textFill>
            <w14:solidFill>
              <w14:schemeClr w14:val="tx1"/>
            </w14:solidFill>
          </w14:textFill>
        </w:rPr>
        <w:t>合同</w:t>
      </w:r>
      <w:r>
        <w:rPr>
          <w:rFonts w:hint="eastAsia" w:ascii="仿宋" w:hAnsi="仿宋" w:eastAsia="仿宋" w:cs="仿宋"/>
          <w:color w:val="000000" w:themeColor="text1"/>
          <w:sz w:val="28"/>
          <w:szCs w:val="28"/>
          <w:highlight w:val="none"/>
          <w14:textFill>
            <w14:solidFill>
              <w14:schemeClr w14:val="tx1"/>
            </w14:solidFill>
          </w14:textFill>
        </w:rPr>
        <w:t>作为</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合同的附件</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与</w:t>
      </w:r>
      <w:r>
        <w:rPr>
          <w:rFonts w:hint="eastAsia" w:ascii="仿宋" w:hAnsi="仿宋" w:eastAsia="仿宋" w:cs="仿宋"/>
          <w:color w:val="000000" w:themeColor="text1"/>
          <w:sz w:val="28"/>
          <w:szCs w:val="28"/>
          <w:highlight w:val="none"/>
          <w:lang w:val="en-US" w:eastAsia="zh-CN"/>
          <w14:textFill>
            <w14:solidFill>
              <w14:schemeClr w14:val="tx1"/>
            </w14:solidFill>
          </w14:textFill>
        </w:rPr>
        <w:t>主</w:t>
      </w:r>
      <w:r>
        <w:rPr>
          <w:rFonts w:hint="eastAsia" w:ascii="仿宋" w:hAnsi="仿宋" w:eastAsia="仿宋" w:cs="仿宋"/>
          <w:color w:val="000000" w:themeColor="text1"/>
          <w:sz w:val="28"/>
          <w:szCs w:val="28"/>
          <w:highlight w:val="none"/>
          <w14:textFill>
            <w14:solidFill>
              <w14:schemeClr w14:val="tx1"/>
            </w14:solidFill>
          </w14:textFill>
        </w:rPr>
        <w:t>合同具有同等法律效力。经双方签署后立即生效。</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b/>
          <w:bCs/>
          <w:color w:val="000000" w:themeColor="text1"/>
          <w:sz w:val="28"/>
          <w:szCs w:val="28"/>
          <w:highlight w:val="none"/>
          <w14:textFill>
            <w14:solidFill>
              <w14:schemeClr w14:val="tx1"/>
            </w14:solidFill>
          </w14:textFill>
        </w:rPr>
        <w:t>条</w:t>
      </w:r>
      <w:r>
        <w:rPr>
          <w:rFonts w:hint="eastAsia" w:ascii="仿宋" w:hAnsi="仿宋" w:eastAsia="仿宋" w:cs="仿宋"/>
          <w:color w:val="000000" w:themeColor="text1"/>
          <w:sz w:val="28"/>
          <w:szCs w:val="28"/>
          <w:highlight w:val="none"/>
          <w14:textFill>
            <w14:solidFill>
              <w14:schemeClr w14:val="tx1"/>
            </w14:solidFill>
          </w14:textFill>
        </w:rPr>
        <w:t xml:space="preserve"> 本责任书一式四份</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由甲乙双方各执一份</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送交甲乙双方的监督单位各一份。</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甲方单位</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盖章</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乙方单位</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盖章</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法定代表人（授权人）:           法定代表人（授权人）:</w:t>
      </w:r>
    </w:p>
    <w:p>
      <w:pPr>
        <w:ind w:firstLine="1400" w:firstLineChars="5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（签章）                        （签章）</w:t>
      </w:r>
    </w:p>
    <w:p>
      <w:pPr>
        <w:rPr>
          <w:rFonts w:hint="eastAsia" w:ascii="仿宋" w:hAnsi="仿宋" w:eastAsia="仿宋" w:cs="仿宋"/>
          <w:color w:val="000000" w:themeColor="text1"/>
          <w:sz w:val="28"/>
          <w:szCs w:val="28"/>
          <w:highlight w:val="none"/>
          <w14:textFill>
            <w14:solidFill>
              <w14:schemeClr w14:val="tx1"/>
            </w14:solidFill>
          </w14:textFill>
        </w:rPr>
      </w:pPr>
    </w:p>
    <w:p>
      <w:pPr>
        <w:ind w:firstLine="6440" w:firstLineChars="23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日</w:t>
      </w:r>
    </w:p>
    <w:p>
      <w:pPr>
        <w:pStyle w:val="2"/>
        <w:rPr>
          <w:rFonts w:hint="eastAsia" w:ascii="仿宋_GB2312" w:eastAsia="仿宋_GB2312"/>
          <w:b/>
          <w:bCs/>
          <w:color w:val="000000" w:themeColor="text1"/>
          <w:sz w:val="36"/>
          <w:szCs w:val="32"/>
          <w:highlight w:val="none"/>
          <w:lang w:val="en-US" w:eastAsia="zh-CN"/>
          <w14:textFill>
            <w14:solidFill>
              <w14:schemeClr w14:val="tx1"/>
            </w14:solidFill>
          </w14:textFill>
        </w:rPr>
      </w:pPr>
    </w:p>
    <w:p>
      <w:pPr>
        <w:spacing w:before="312" w:beforeLines="100" w:line="600" w:lineRule="exact"/>
        <w:jc w:val="both"/>
        <w:rPr>
          <w:rFonts w:hint="eastAsia" w:ascii="仿宋_GB2312" w:eastAsia="仿宋_GB2312"/>
          <w:b/>
          <w:bCs/>
          <w:color w:val="000000" w:themeColor="text1"/>
          <w:sz w:val="36"/>
          <w:szCs w:val="32"/>
          <w:highlight w:val="none"/>
          <w14:textFill>
            <w14:solidFill>
              <w14:schemeClr w14:val="tx1"/>
            </w14:solidFill>
          </w14:textFill>
        </w:rPr>
      </w:pPr>
    </w:p>
    <w:p>
      <w:pPr>
        <w:pStyle w:val="2"/>
        <w:rPr>
          <w:rFonts w:hint="eastAsia" w:ascii="仿宋_GB2312" w:eastAsia="仿宋_GB2312"/>
          <w:b/>
          <w:bCs/>
          <w:color w:val="000000" w:themeColor="text1"/>
          <w:sz w:val="36"/>
          <w:szCs w:val="32"/>
          <w:highlight w:val="none"/>
          <w14:textFill>
            <w14:solidFill>
              <w14:schemeClr w14:val="tx1"/>
            </w14:solidFill>
          </w14:textFill>
        </w:rPr>
      </w:pPr>
    </w:p>
    <w:p>
      <w:pPr>
        <w:pStyle w:val="2"/>
        <w:rPr>
          <w:rFonts w:hint="eastAsia" w:ascii="仿宋_GB2312" w:eastAsia="仿宋_GB2312"/>
          <w:b/>
          <w:bCs/>
          <w:color w:val="000000" w:themeColor="text1"/>
          <w:sz w:val="36"/>
          <w:szCs w:val="32"/>
          <w:highlight w:val="none"/>
          <w14:textFill>
            <w14:solidFill>
              <w14:schemeClr w14:val="tx1"/>
            </w14:solidFill>
          </w14:textFill>
        </w:rPr>
      </w:pPr>
    </w:p>
    <w:p>
      <w:pPr>
        <w:pStyle w:val="2"/>
        <w:rPr>
          <w:rFonts w:hint="eastAsia" w:ascii="仿宋_GB2312" w:eastAsia="仿宋_GB2312"/>
          <w:b/>
          <w:bCs/>
          <w:color w:val="000000" w:themeColor="text1"/>
          <w:sz w:val="36"/>
          <w:szCs w:val="32"/>
          <w:highlight w:val="none"/>
          <w14:textFill>
            <w14:solidFill>
              <w14:schemeClr w14:val="tx1"/>
            </w14:solidFill>
          </w14:textFill>
        </w:rPr>
      </w:pPr>
    </w:p>
    <w:p>
      <w:pPr>
        <w:pStyle w:val="2"/>
        <w:rPr>
          <w:rFonts w:hint="eastAsia" w:ascii="仿宋_GB2312" w:eastAsia="仿宋_GB2312"/>
          <w:b/>
          <w:bCs/>
          <w:color w:val="000000" w:themeColor="text1"/>
          <w:sz w:val="36"/>
          <w:szCs w:val="32"/>
          <w:highlight w:val="none"/>
          <w14:textFill>
            <w14:solidFill>
              <w14:schemeClr w14:val="tx1"/>
            </w14:solidFill>
          </w14:textFill>
        </w:rPr>
      </w:pPr>
    </w:p>
    <w:p>
      <w:pPr>
        <w:pStyle w:val="2"/>
        <w:rPr>
          <w:rFonts w:hint="eastAsia" w:ascii="仿宋_GB2312" w:eastAsia="仿宋_GB2312"/>
          <w:b/>
          <w:bCs/>
          <w:color w:val="000000" w:themeColor="text1"/>
          <w:sz w:val="36"/>
          <w:szCs w:val="32"/>
          <w:highlight w:val="none"/>
          <w14:textFill>
            <w14:solidFill>
              <w14:schemeClr w14:val="tx1"/>
            </w14:solidFill>
          </w14:textFill>
        </w:rPr>
      </w:pPr>
    </w:p>
    <w:p>
      <w:pPr>
        <w:pStyle w:val="2"/>
        <w:rPr>
          <w:rFonts w:hint="eastAsia" w:ascii="仿宋_GB2312" w:eastAsia="仿宋_GB2312"/>
          <w:b/>
          <w:bCs/>
          <w:color w:val="000000" w:themeColor="text1"/>
          <w:sz w:val="36"/>
          <w:szCs w:val="32"/>
          <w:highlight w:val="none"/>
          <w14:textFill>
            <w14:solidFill>
              <w14:schemeClr w14:val="tx1"/>
            </w14:solidFill>
          </w14:textFill>
        </w:rPr>
      </w:pPr>
    </w:p>
    <w:p>
      <w:pPr>
        <w:pStyle w:val="2"/>
        <w:rPr>
          <w:rFonts w:hint="eastAsia" w:ascii="仿宋_GB2312" w:eastAsia="仿宋_GB2312"/>
          <w:b/>
          <w:bCs/>
          <w:color w:val="000000" w:themeColor="text1"/>
          <w:sz w:val="36"/>
          <w:szCs w:val="32"/>
          <w:highlight w:val="none"/>
          <w14:textFill>
            <w14:solidFill>
              <w14:schemeClr w14:val="tx1"/>
            </w14:solidFill>
          </w14:textFill>
        </w:rPr>
      </w:pPr>
    </w:p>
    <w:p>
      <w:pPr>
        <w:spacing w:before="312" w:beforeLines="100" w:line="600" w:lineRule="exact"/>
        <w:jc w:val="center"/>
        <w:rPr>
          <w:rFonts w:hint="eastAsia" w:ascii="仿宋_GB2312" w:eastAsia="仿宋_GB2312"/>
          <w:b/>
          <w:bCs/>
          <w:color w:val="000000" w:themeColor="text1"/>
          <w:sz w:val="36"/>
          <w:szCs w:val="32"/>
          <w:highlight w:val="none"/>
          <w14:textFill>
            <w14:solidFill>
              <w14:schemeClr w14:val="tx1"/>
            </w14:solidFill>
          </w14:textFill>
        </w:rPr>
      </w:pPr>
      <w:r>
        <w:rPr>
          <w:rFonts w:hint="eastAsia" w:ascii="仿宋_GB2312" w:eastAsia="仿宋_GB2312"/>
          <w:b/>
          <w:bCs/>
          <w:color w:val="000000" w:themeColor="text1"/>
          <w:sz w:val="36"/>
          <w:szCs w:val="32"/>
          <w:highlight w:val="none"/>
          <w14:textFill>
            <w14:solidFill>
              <w14:schemeClr w14:val="tx1"/>
            </w14:solidFill>
          </w14:textFill>
        </w:rPr>
        <w:t>第四章  招标内容及需求</w:t>
      </w:r>
    </w:p>
    <w:p>
      <w:pPr>
        <w:pStyle w:val="10"/>
        <w:tabs>
          <w:tab w:val="left" w:pos="518"/>
        </w:tabs>
        <w:spacing w:line="360" w:lineRule="auto"/>
        <w:ind w:firstLine="0"/>
        <w:jc w:val="both"/>
        <w:rPr>
          <w:b/>
          <w:bCs/>
          <w:color w:val="000000" w:themeColor="text1"/>
          <w:sz w:val="24"/>
          <w:szCs w:val="24"/>
          <w14:textFill>
            <w14:solidFill>
              <w14:schemeClr w14:val="tx1"/>
            </w14:solidFill>
          </w14:textFill>
        </w:rPr>
      </w:pPr>
      <w:bookmarkStart w:id="0" w:name="bookmark22"/>
      <w:bookmarkStart w:id="1" w:name="_Toc53927161"/>
      <w:bookmarkStart w:id="2" w:name="_Toc299347524"/>
      <w:r>
        <w:rPr>
          <w:rFonts w:hint="eastAsia"/>
          <w:b/>
          <w:bCs/>
          <w:color w:val="000000" w:themeColor="text1"/>
          <w:sz w:val="24"/>
          <w:szCs w:val="24"/>
          <w14:textFill>
            <w14:solidFill>
              <w14:schemeClr w14:val="tx1"/>
            </w14:solidFill>
          </w14:textFill>
        </w:rPr>
        <w:t>一</w:t>
      </w:r>
      <w:bookmarkEnd w:id="0"/>
      <w:r>
        <w:rPr>
          <w:rFonts w:hint="eastAsia"/>
          <w:b/>
          <w:bCs/>
          <w:color w:val="000000" w:themeColor="text1"/>
          <w:sz w:val="24"/>
          <w:szCs w:val="24"/>
          <w14:textFill>
            <w14:solidFill>
              <w14:schemeClr w14:val="tx1"/>
            </w14:solidFill>
          </w14:textFill>
        </w:rPr>
        <w:t>、釆购清单</w:t>
      </w:r>
    </w:p>
    <w:tbl>
      <w:tblPr>
        <w:tblStyle w:val="8"/>
        <w:tblW w:w="0" w:type="auto"/>
        <w:jc w:val="center"/>
        <w:tblLayout w:type="fixed"/>
        <w:tblCellMar>
          <w:top w:w="0" w:type="dxa"/>
          <w:left w:w="108" w:type="dxa"/>
          <w:bottom w:w="0" w:type="dxa"/>
          <w:right w:w="108" w:type="dxa"/>
        </w:tblCellMar>
      </w:tblPr>
      <w:tblGrid>
        <w:gridCol w:w="895"/>
        <w:gridCol w:w="3500"/>
        <w:gridCol w:w="1718"/>
        <w:gridCol w:w="3095"/>
      </w:tblGrid>
      <w:tr>
        <w:tblPrEx>
          <w:tblCellMar>
            <w:top w:w="0" w:type="dxa"/>
            <w:left w:w="108" w:type="dxa"/>
            <w:bottom w:w="0" w:type="dxa"/>
            <w:right w:w="108" w:type="dxa"/>
          </w:tblCellMar>
        </w:tblPrEx>
        <w:trPr>
          <w:trHeight w:val="454" w:hRule="exact"/>
          <w:jc w:val="center"/>
        </w:trPr>
        <w:tc>
          <w:tcPr>
            <w:tcW w:w="8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b/>
                <w:bCs/>
                <w:color w:val="000000" w:themeColor="text1"/>
                <w:sz w:val="24"/>
                <w:szCs w:val="24"/>
                <w:lang w:val="zh-CN" w:eastAsia="zh-TW" w:bidi="zh-TW"/>
                <w14:textFill>
                  <w14:solidFill>
                    <w14:schemeClr w14:val="tx1"/>
                  </w14:solidFill>
                </w14:textFill>
              </w:rPr>
            </w:pPr>
            <w:r>
              <w:rPr>
                <w:rFonts w:hint="eastAsia" w:ascii="宋体" w:hAnsi="宋体" w:eastAsia="宋体" w:cs="宋体"/>
                <w:b/>
                <w:bCs/>
                <w:color w:val="000000" w:themeColor="text1"/>
                <w:sz w:val="24"/>
                <w:szCs w:val="24"/>
                <w:lang w:val="zh-CN" w:eastAsia="zh-TW" w:bidi="zh-TW"/>
                <w14:textFill>
                  <w14:solidFill>
                    <w14:schemeClr w14:val="tx1"/>
                  </w14:solidFill>
                </w14:textFill>
              </w:rPr>
              <w:t>编</w:t>
            </w:r>
            <w:r>
              <w:rPr>
                <w:rFonts w:hint="eastAsia" w:ascii="宋体" w:hAnsi="宋体" w:eastAsia="宋体" w:cs="宋体"/>
                <w:b/>
                <w:bCs/>
                <w:color w:val="000000" w:themeColor="text1"/>
                <w:sz w:val="24"/>
                <w:szCs w:val="24"/>
                <w:lang w:val="en-US" w:eastAsia="zh-CN" w:bidi="zh-TW"/>
                <w14:textFill>
                  <w14:solidFill>
                    <w14:schemeClr w14:val="tx1"/>
                  </w14:solidFill>
                </w14:textFill>
              </w:rPr>
              <w:t>号</w:t>
            </w:r>
          </w:p>
        </w:tc>
        <w:tc>
          <w:tcPr>
            <w:tcW w:w="35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b/>
                <w:bCs/>
                <w:color w:val="000000" w:themeColor="text1"/>
                <w:sz w:val="24"/>
                <w:szCs w:val="24"/>
                <w:lang w:val="zh-CN" w:eastAsia="zh-TW" w:bidi="zh-TW"/>
                <w14:textFill>
                  <w14:solidFill>
                    <w14:schemeClr w14:val="tx1"/>
                  </w14:solidFill>
                </w14:textFill>
              </w:rPr>
            </w:pPr>
            <w:r>
              <w:rPr>
                <w:rFonts w:hint="eastAsia" w:ascii="宋体" w:hAnsi="宋体" w:eastAsia="宋体" w:cs="宋体"/>
                <w:b/>
                <w:bCs/>
                <w:color w:val="000000" w:themeColor="text1"/>
                <w:sz w:val="24"/>
                <w:szCs w:val="24"/>
                <w:lang w:val="en-US" w:eastAsia="zh-CN" w:bidi="zh-TW"/>
                <w14:textFill>
                  <w14:solidFill>
                    <w14:schemeClr w14:val="tx1"/>
                  </w14:solidFill>
                </w14:textFill>
              </w:rPr>
              <w:t xml:space="preserve">采购内容                 </w:t>
            </w:r>
          </w:p>
        </w:tc>
        <w:tc>
          <w:tcPr>
            <w:tcW w:w="1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hAnsi="宋体" w:eastAsia="宋体" w:cs="宋体"/>
                <w:b/>
                <w:bCs/>
                <w:color w:val="000000" w:themeColor="text1"/>
                <w:sz w:val="24"/>
                <w:szCs w:val="24"/>
                <w:lang w:val="en-US" w:eastAsia="zh-CN" w:bidi="zh-TW"/>
                <w14:textFill>
                  <w14:solidFill>
                    <w14:schemeClr w14:val="tx1"/>
                  </w14:solidFill>
                </w14:textFill>
              </w:rPr>
              <w:t>规格（型号）</w:t>
            </w:r>
          </w:p>
        </w:tc>
        <w:tc>
          <w:tcPr>
            <w:tcW w:w="3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hAnsi="宋体" w:eastAsia="宋体" w:cs="宋体"/>
                <w:b/>
                <w:bCs/>
                <w:color w:val="000000" w:themeColor="text1"/>
                <w:sz w:val="24"/>
                <w:szCs w:val="24"/>
                <w:lang w:val="en-US" w:eastAsia="zh-CN" w:bidi="zh-TW"/>
                <w14:textFill>
                  <w14:solidFill>
                    <w14:schemeClr w14:val="tx1"/>
                  </w14:solidFill>
                </w14:textFill>
              </w:rPr>
              <w:t>单价预算上限价（元/只）</w:t>
            </w:r>
          </w:p>
        </w:tc>
      </w:tr>
      <w:tr>
        <w:trPr>
          <w:trHeight w:val="379" w:hRule="exact"/>
          <w:jc w:val="center"/>
        </w:trPr>
        <w:tc>
          <w:tcPr>
            <w:tcW w:w="8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b/>
                <w:bCs/>
                <w:color w:val="000000" w:themeColor="text1"/>
                <w:sz w:val="24"/>
                <w:szCs w:val="24"/>
                <w:lang w:val="zh-CN" w:eastAsia="zh-TW" w:bidi="zh-TW"/>
                <w14:textFill>
                  <w14:solidFill>
                    <w14:schemeClr w14:val="tx1"/>
                  </w14:solidFill>
                </w14:textFill>
              </w:rPr>
            </w:pPr>
            <w:r>
              <w:rPr>
                <w:rFonts w:hint="eastAsia" w:ascii="宋体" w:hAnsi="宋体" w:eastAsia="宋体" w:cs="宋体"/>
                <w:b/>
                <w:bCs/>
                <w:color w:val="000000" w:themeColor="text1"/>
                <w:sz w:val="24"/>
                <w:szCs w:val="24"/>
                <w:lang w:val="zh-CN" w:eastAsia="zh-TW" w:bidi="zh-TW"/>
                <w14:textFill>
                  <w14:solidFill>
                    <w14:schemeClr w14:val="tx1"/>
                  </w14:solidFill>
                </w14:textFill>
              </w:rPr>
              <w:t>1</w:t>
            </w:r>
          </w:p>
        </w:tc>
        <w:tc>
          <w:tcPr>
            <w:tcW w:w="35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TW"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旋翼式水表</w:t>
            </w:r>
          </w:p>
        </w:tc>
        <w:tc>
          <w:tcPr>
            <w:tcW w:w="1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DN15</w:t>
            </w:r>
          </w:p>
        </w:tc>
        <w:tc>
          <w:tcPr>
            <w:tcW w:w="3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 xml:space="preserve"> 65</w:t>
            </w:r>
          </w:p>
        </w:tc>
      </w:tr>
      <w:tr>
        <w:tblPrEx>
          <w:tblCellMar>
            <w:top w:w="0" w:type="dxa"/>
            <w:left w:w="108" w:type="dxa"/>
            <w:bottom w:w="0" w:type="dxa"/>
            <w:right w:w="108" w:type="dxa"/>
          </w:tblCellMar>
        </w:tblPrEx>
        <w:trPr>
          <w:trHeight w:val="409" w:hRule="exact"/>
          <w:jc w:val="center"/>
        </w:trPr>
        <w:tc>
          <w:tcPr>
            <w:tcW w:w="8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hAnsi="宋体" w:eastAsia="宋体" w:cs="宋体"/>
                <w:b/>
                <w:bCs/>
                <w:color w:val="000000" w:themeColor="text1"/>
                <w:sz w:val="24"/>
                <w:szCs w:val="24"/>
                <w:lang w:val="en-US" w:eastAsia="zh-CN" w:bidi="zh-TW"/>
                <w14:textFill>
                  <w14:solidFill>
                    <w14:schemeClr w14:val="tx1"/>
                  </w14:solidFill>
                </w14:textFill>
              </w:rPr>
              <w:t>2</w:t>
            </w:r>
          </w:p>
        </w:tc>
        <w:tc>
          <w:tcPr>
            <w:tcW w:w="35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color w:val="000000" w:themeColor="text1"/>
                <w:lang w:val="en-US" w:eastAsia="zh-CN"/>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旋翼式水表</w:t>
            </w:r>
          </w:p>
        </w:tc>
        <w:tc>
          <w:tcPr>
            <w:tcW w:w="1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DN20</w:t>
            </w:r>
          </w:p>
        </w:tc>
        <w:tc>
          <w:tcPr>
            <w:tcW w:w="3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1440" w:firstLineChars="600"/>
              <w:jc w:val="both"/>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75</w:t>
            </w:r>
          </w:p>
        </w:tc>
      </w:tr>
      <w:tr>
        <w:tblPrEx>
          <w:tblCellMar>
            <w:top w:w="0" w:type="dxa"/>
            <w:left w:w="108" w:type="dxa"/>
            <w:bottom w:w="0" w:type="dxa"/>
            <w:right w:w="108" w:type="dxa"/>
          </w:tblCellMar>
        </w:tblPrEx>
        <w:trPr>
          <w:trHeight w:val="349" w:hRule="exact"/>
          <w:jc w:val="center"/>
        </w:trPr>
        <w:tc>
          <w:tcPr>
            <w:tcW w:w="8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hAnsi="宋体" w:eastAsia="宋体" w:cs="宋体"/>
                <w:b/>
                <w:bCs/>
                <w:color w:val="000000" w:themeColor="text1"/>
                <w:sz w:val="24"/>
                <w:szCs w:val="24"/>
                <w:lang w:val="en-US" w:eastAsia="zh-CN" w:bidi="zh-TW"/>
                <w14:textFill>
                  <w14:solidFill>
                    <w14:schemeClr w14:val="tx1"/>
                  </w14:solidFill>
                </w14:textFill>
              </w:rPr>
              <w:t>3</w:t>
            </w:r>
          </w:p>
        </w:tc>
        <w:tc>
          <w:tcPr>
            <w:tcW w:w="35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color w:val="000000" w:themeColor="text1"/>
                <w:lang w:val="en-US" w:eastAsia="zh-CN"/>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旋翼式水表</w:t>
            </w:r>
          </w:p>
        </w:tc>
        <w:tc>
          <w:tcPr>
            <w:tcW w:w="1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80" w:firstLineChars="200"/>
              <w:jc w:val="both"/>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DN25</w:t>
            </w:r>
          </w:p>
        </w:tc>
        <w:tc>
          <w:tcPr>
            <w:tcW w:w="3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1440" w:firstLineChars="600"/>
              <w:jc w:val="both"/>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100</w:t>
            </w:r>
          </w:p>
        </w:tc>
      </w:tr>
      <w:tr>
        <w:trPr>
          <w:trHeight w:val="304" w:hRule="exact"/>
          <w:jc w:val="center"/>
        </w:trPr>
        <w:tc>
          <w:tcPr>
            <w:tcW w:w="8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hAnsi="宋体" w:eastAsia="宋体" w:cs="宋体"/>
                <w:b/>
                <w:bCs/>
                <w:color w:val="000000" w:themeColor="text1"/>
                <w:sz w:val="24"/>
                <w:szCs w:val="24"/>
                <w:lang w:val="en-US" w:eastAsia="zh-CN" w:bidi="zh-TW"/>
                <w14:textFill>
                  <w14:solidFill>
                    <w14:schemeClr w14:val="tx1"/>
                  </w14:solidFill>
                </w14:textFill>
              </w:rPr>
              <w:t>4</w:t>
            </w:r>
          </w:p>
        </w:tc>
        <w:tc>
          <w:tcPr>
            <w:tcW w:w="35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旋翼式水表</w:t>
            </w:r>
          </w:p>
        </w:tc>
        <w:tc>
          <w:tcPr>
            <w:tcW w:w="1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80" w:firstLineChars="200"/>
              <w:jc w:val="both"/>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DN40</w:t>
            </w:r>
          </w:p>
        </w:tc>
        <w:tc>
          <w:tcPr>
            <w:tcW w:w="3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240" w:firstLineChars="10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195</w:t>
            </w:r>
          </w:p>
        </w:tc>
      </w:tr>
      <w:tr>
        <w:trPr>
          <w:trHeight w:val="349" w:hRule="exact"/>
          <w:jc w:val="center"/>
        </w:trPr>
        <w:tc>
          <w:tcPr>
            <w:tcW w:w="8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hAnsi="宋体" w:eastAsia="宋体" w:cs="宋体"/>
                <w:b/>
                <w:bCs/>
                <w:color w:val="000000" w:themeColor="text1"/>
                <w:sz w:val="24"/>
                <w:szCs w:val="24"/>
                <w:lang w:val="en-US" w:eastAsia="zh-CN" w:bidi="zh-TW"/>
                <w14:textFill>
                  <w14:solidFill>
                    <w14:schemeClr w14:val="tx1"/>
                  </w14:solidFill>
                </w14:textFill>
              </w:rPr>
              <w:t>5</w:t>
            </w:r>
          </w:p>
        </w:tc>
        <w:tc>
          <w:tcPr>
            <w:tcW w:w="35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可拆卸螺翼式水表</w:t>
            </w:r>
          </w:p>
        </w:tc>
        <w:tc>
          <w:tcPr>
            <w:tcW w:w="1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80" w:firstLineChars="200"/>
              <w:jc w:val="both"/>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DN100</w:t>
            </w:r>
          </w:p>
        </w:tc>
        <w:tc>
          <w:tcPr>
            <w:tcW w:w="3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240" w:firstLineChars="10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650</w:t>
            </w:r>
          </w:p>
        </w:tc>
      </w:tr>
      <w:tr>
        <w:tblPrEx>
          <w:tblCellMar>
            <w:top w:w="0" w:type="dxa"/>
            <w:left w:w="108" w:type="dxa"/>
            <w:bottom w:w="0" w:type="dxa"/>
            <w:right w:w="108" w:type="dxa"/>
          </w:tblCellMar>
        </w:tblPrEx>
        <w:trPr>
          <w:trHeight w:val="349" w:hRule="exact"/>
          <w:jc w:val="center"/>
        </w:trPr>
        <w:tc>
          <w:tcPr>
            <w:tcW w:w="8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hAnsi="宋体" w:eastAsia="宋体" w:cs="宋体"/>
                <w:b/>
                <w:bCs/>
                <w:color w:val="000000" w:themeColor="text1"/>
                <w:sz w:val="24"/>
                <w:szCs w:val="24"/>
                <w:lang w:val="en-US" w:eastAsia="zh-CN" w:bidi="zh-TW"/>
                <w14:textFill>
                  <w14:solidFill>
                    <w14:schemeClr w14:val="tx1"/>
                  </w14:solidFill>
                </w14:textFill>
              </w:rPr>
              <w:t>6</w:t>
            </w:r>
          </w:p>
        </w:tc>
        <w:tc>
          <w:tcPr>
            <w:tcW w:w="35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垂直螺翼式水表</w:t>
            </w:r>
          </w:p>
        </w:tc>
        <w:tc>
          <w:tcPr>
            <w:tcW w:w="1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80" w:firstLineChars="200"/>
              <w:jc w:val="both"/>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DN100</w:t>
            </w:r>
          </w:p>
        </w:tc>
        <w:tc>
          <w:tcPr>
            <w:tcW w:w="3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240" w:firstLineChars="10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950</w:t>
            </w:r>
          </w:p>
        </w:tc>
      </w:tr>
      <w:tr>
        <w:tblPrEx>
          <w:tblCellMar>
            <w:top w:w="0" w:type="dxa"/>
            <w:left w:w="108" w:type="dxa"/>
            <w:bottom w:w="0" w:type="dxa"/>
            <w:right w:w="108" w:type="dxa"/>
          </w:tblCellMar>
        </w:tblPrEx>
        <w:trPr>
          <w:trHeight w:val="319" w:hRule="exact"/>
          <w:jc w:val="center"/>
        </w:trPr>
        <w:tc>
          <w:tcPr>
            <w:tcW w:w="8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hAnsi="宋体" w:eastAsia="宋体" w:cs="宋体"/>
                <w:b/>
                <w:bCs/>
                <w:color w:val="000000" w:themeColor="text1"/>
                <w:sz w:val="24"/>
                <w:szCs w:val="24"/>
                <w:lang w:val="en-US" w:eastAsia="zh-CN" w:bidi="zh-TW"/>
                <w14:textFill>
                  <w14:solidFill>
                    <w14:schemeClr w14:val="tx1"/>
                  </w14:solidFill>
                </w14:textFill>
              </w:rPr>
              <w:t>7</w:t>
            </w:r>
          </w:p>
        </w:tc>
        <w:tc>
          <w:tcPr>
            <w:tcW w:w="35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0" w:firstLineChars="0"/>
              <w:jc w:val="center"/>
              <w:rPr>
                <w:rFonts w:hint="eastAsia"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垂直螺翼式水表</w:t>
            </w:r>
          </w:p>
        </w:tc>
        <w:tc>
          <w:tcPr>
            <w:tcW w:w="1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80" w:firstLineChars="200"/>
              <w:jc w:val="both"/>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DN150</w:t>
            </w:r>
          </w:p>
        </w:tc>
        <w:tc>
          <w:tcPr>
            <w:tcW w:w="3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240" w:firstLineChars="10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1750</w:t>
            </w:r>
          </w:p>
        </w:tc>
      </w:tr>
      <w:tr>
        <w:tblPrEx>
          <w:tblCellMar>
            <w:top w:w="0" w:type="dxa"/>
            <w:left w:w="108" w:type="dxa"/>
            <w:bottom w:w="0" w:type="dxa"/>
            <w:right w:w="108" w:type="dxa"/>
          </w:tblCellMar>
        </w:tblPrEx>
        <w:trPr>
          <w:trHeight w:val="364" w:hRule="exact"/>
          <w:jc w:val="center"/>
        </w:trPr>
        <w:tc>
          <w:tcPr>
            <w:tcW w:w="8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hAnsi="宋体" w:eastAsia="宋体" w:cs="宋体"/>
                <w:b/>
                <w:bCs/>
                <w:color w:val="000000" w:themeColor="text1"/>
                <w:sz w:val="24"/>
                <w:szCs w:val="24"/>
                <w:lang w:val="en-US" w:eastAsia="zh-CN" w:bidi="zh-TW"/>
                <w14:textFill>
                  <w14:solidFill>
                    <w14:schemeClr w14:val="tx1"/>
                  </w14:solidFill>
                </w14:textFill>
              </w:rPr>
              <w:t>8</w:t>
            </w:r>
          </w:p>
        </w:tc>
        <w:tc>
          <w:tcPr>
            <w:tcW w:w="35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0" w:firstLineChars="0"/>
              <w:jc w:val="center"/>
              <w:rPr>
                <w:rFonts w:hint="eastAsia"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垂直螺翼式水表</w:t>
            </w:r>
          </w:p>
        </w:tc>
        <w:tc>
          <w:tcPr>
            <w:tcW w:w="1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DN200</w:t>
            </w:r>
          </w:p>
        </w:tc>
        <w:tc>
          <w:tcPr>
            <w:tcW w:w="3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240" w:firstLineChars="100"/>
              <w:jc w:val="center"/>
              <w:rPr>
                <w:rFonts w:hint="default" w:ascii="宋体" w:hAnsi="宋体" w:eastAsia="宋体" w:cs="宋体"/>
                <w:b/>
                <w:bCs/>
                <w:color w:val="000000" w:themeColor="text1"/>
                <w:sz w:val="24"/>
                <w:szCs w:val="24"/>
                <w:lang w:val="en-US" w:eastAsia="zh-CN" w:bidi="zh-TW"/>
                <w14:textFill>
                  <w14:solidFill>
                    <w14:schemeClr w14:val="tx1"/>
                  </w14:solidFill>
                </w14:textFill>
              </w:rPr>
            </w:pPr>
            <w:r>
              <w:rPr>
                <w:rFonts w:hint="eastAsia" w:ascii="宋体" w:cs="宋体"/>
                <w:bCs/>
                <w:color w:val="000000" w:themeColor="text1"/>
                <w:sz w:val="24"/>
                <w:lang w:val="en-US" w:eastAsia="zh-CN"/>
                <w14:textFill>
                  <w14:solidFill>
                    <w14:schemeClr w14:val="tx1"/>
                  </w14:solidFill>
                </w14:textFill>
              </w:rPr>
              <w:t>3000</w:t>
            </w:r>
          </w:p>
        </w:tc>
      </w:tr>
      <w:tr>
        <w:tblPrEx>
          <w:tblCellMar>
            <w:top w:w="0" w:type="dxa"/>
            <w:left w:w="108" w:type="dxa"/>
            <w:bottom w:w="0" w:type="dxa"/>
            <w:right w:w="108" w:type="dxa"/>
          </w:tblCellMar>
        </w:tblPrEx>
        <w:trPr>
          <w:trHeight w:val="597" w:hRule="exact"/>
          <w:jc w:val="center"/>
        </w:trPr>
        <w:tc>
          <w:tcPr>
            <w:tcW w:w="6113"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82" w:firstLineChars="200"/>
              <w:jc w:val="center"/>
              <w:rPr>
                <w:rFonts w:hint="eastAsia" w:ascii="宋体" w:cs="宋体"/>
                <w:bCs/>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bidi="zh-TW"/>
                <w14:textFill>
                  <w14:solidFill>
                    <w14:schemeClr w14:val="tx1"/>
                  </w14:solidFill>
                </w14:textFill>
              </w:rPr>
              <w:t>单价预算上限价总计</w:t>
            </w:r>
          </w:p>
        </w:tc>
        <w:tc>
          <w:tcPr>
            <w:tcW w:w="3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240" w:firstLineChars="100"/>
              <w:jc w:val="center"/>
              <w:rPr>
                <w:rFonts w:hint="default" w:ascii="宋体" w:hAnsi="Times New Roman" w:eastAsia="宋体" w:cs="宋体"/>
                <w:bCs/>
                <w:color w:val="000000" w:themeColor="text1"/>
                <w:sz w:val="24"/>
                <w:lang w:val="en-US" w:eastAsia="zh-CN"/>
                <w14:textFill>
                  <w14:solidFill>
                    <w14:schemeClr w14:val="tx1"/>
                  </w14:solidFill>
                </w14:textFill>
              </w:rPr>
            </w:pPr>
            <w:r>
              <w:rPr>
                <w:rFonts w:hint="eastAsia" w:ascii="宋体" w:hAnsi="Times New Roman" w:eastAsia="宋体" w:cs="宋体"/>
                <w:bCs/>
                <w:color w:val="000000" w:themeColor="text1"/>
                <w:sz w:val="24"/>
                <w:lang w:val="en-US" w:eastAsia="zh-CN"/>
                <w14:textFill>
                  <w14:solidFill>
                    <w14:schemeClr w14:val="tx1"/>
                  </w14:solidFill>
                </w14:textFill>
              </w:rPr>
              <w:t>6785</w:t>
            </w:r>
          </w:p>
        </w:tc>
      </w:tr>
    </w:tbl>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cs="宋体"/>
          <w:b/>
          <w:bCs w:val="0"/>
          <w:color w:val="000000" w:themeColor="text1"/>
          <w:sz w:val="24"/>
          <w:lang w:val="en-US" w:eastAsia="zh-CN"/>
          <w14:textFill>
            <w14:solidFill>
              <w14:schemeClr w14:val="tx1"/>
            </w14:solidFill>
          </w14:textFill>
        </w:rPr>
      </w:pPr>
      <w:r>
        <w:rPr>
          <w:rFonts w:hint="eastAsia" w:ascii="宋体" w:hAnsi="宋体" w:cs="宋体"/>
          <w:b/>
          <w:color w:val="000000" w:themeColor="text1"/>
          <w:kern w:val="0"/>
          <w:sz w:val="24"/>
          <w:lang w:eastAsia="zh-CN"/>
          <w14:textFill>
            <w14:solidFill>
              <w14:schemeClr w14:val="tx1"/>
            </w14:solidFill>
          </w14:textFill>
        </w:rPr>
        <w:t>实际供货数量，按业主</w:t>
      </w:r>
      <w:r>
        <w:rPr>
          <w:rFonts w:ascii="宋体" w:hAnsi="宋体" w:cs="宋体"/>
          <w:b/>
          <w:color w:val="000000" w:themeColor="text1"/>
          <w:kern w:val="0"/>
          <w:sz w:val="24"/>
          <w14:textFill>
            <w14:solidFill>
              <w14:schemeClr w14:val="tx1"/>
            </w14:solidFill>
          </w14:textFill>
        </w:rPr>
        <w:t>实际</w:t>
      </w:r>
      <w:r>
        <w:rPr>
          <w:rFonts w:hint="eastAsia" w:ascii="宋体" w:hAnsi="宋体" w:cs="宋体"/>
          <w:b/>
          <w:color w:val="000000" w:themeColor="text1"/>
          <w:kern w:val="0"/>
          <w:sz w:val="24"/>
          <w:lang w:eastAsia="zh-CN"/>
          <w14:textFill>
            <w14:solidFill>
              <w14:schemeClr w14:val="tx1"/>
            </w14:solidFill>
          </w14:textFill>
        </w:rPr>
        <w:t>使用需求为准，结算以实际供货结</w:t>
      </w:r>
      <w:r>
        <w:rPr>
          <w:rFonts w:hint="eastAsia" w:ascii="宋体" w:hAnsi="宋体" w:eastAsia="宋体" w:cs="宋体"/>
          <w:b/>
          <w:color w:val="000000" w:themeColor="text1"/>
          <w:kern w:val="0"/>
          <w:sz w:val="24"/>
          <w:lang w:eastAsia="zh-CN"/>
          <w14:textFill>
            <w14:solidFill>
              <w14:schemeClr w14:val="tx1"/>
            </w14:solidFill>
          </w14:textFill>
        </w:rPr>
        <w:t>算。合同金额满，或合同时间到期，合同自动终止。</w:t>
      </w:r>
      <w:r>
        <w:rPr>
          <w:rFonts w:hint="eastAsia" w:ascii="宋体" w:hAnsi="宋体" w:eastAsia="宋体" w:cs="宋体"/>
          <w:b/>
          <w:color w:val="000000" w:themeColor="text1"/>
          <w:kern w:val="0"/>
          <w:sz w:val="24"/>
          <w:lang w:val="en-US" w:eastAsia="zh-CN"/>
          <w14:textFill>
            <w14:solidFill>
              <w14:schemeClr w14:val="tx1"/>
            </w14:solidFill>
          </w14:textFill>
        </w:rPr>
        <w:t>旋翼式水表</w:t>
      </w:r>
      <w:r>
        <w:rPr>
          <w:rFonts w:hint="eastAsia" w:ascii="宋体" w:cs="宋体"/>
          <w:b/>
          <w:bCs w:val="0"/>
          <w:color w:val="000000" w:themeColor="text1"/>
          <w:sz w:val="24"/>
          <w:lang w:val="en-US" w:eastAsia="zh-CN"/>
          <w14:textFill>
            <w14:solidFill>
              <w14:schemeClr w14:val="tx1"/>
            </w14:solidFill>
          </w14:textFill>
        </w:rPr>
        <w:t>DN15-DN40必须取得浙江省市场监督管理局或台州市市场监督管理局检测许可报告。旋翼式水表DN15-DN40必须包含所有检测相关费用。</w:t>
      </w:r>
    </w:p>
    <w:p>
      <w:pPr>
        <w:spacing w:line="440" w:lineRule="exact"/>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w:t>
      </w:r>
      <w:r>
        <w:rPr>
          <w:rFonts w:hint="eastAsia" w:ascii="宋体" w:hAnsi="宋体" w:eastAsia="宋体" w:cs="宋体"/>
          <w:b/>
          <w:bCs/>
          <w:color w:val="000000" w:themeColor="text1"/>
          <w:sz w:val="24"/>
          <w:szCs w:val="24"/>
          <w14:textFill>
            <w14:solidFill>
              <w14:schemeClr w14:val="tx1"/>
            </w14:solidFill>
          </w14:textFill>
        </w:rPr>
        <w:t>、技术要求</w:t>
      </w:r>
    </w:p>
    <w:p>
      <w:pPr>
        <w:spacing w:line="480" w:lineRule="exact"/>
        <w:ind w:left="141"/>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水表通用要求</w:t>
      </w:r>
    </w:p>
    <w:p>
      <w:pPr>
        <w:numPr>
          <w:ilvl w:val="0"/>
          <w:numId w:val="0"/>
        </w:numPr>
        <w:spacing w:line="480" w:lineRule="exact"/>
        <w:ind w:leftChars="-25" w:firstLine="723" w:firstLineChars="300"/>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1.1</w:t>
      </w:r>
      <w:r>
        <w:rPr>
          <w:rFonts w:hint="eastAsia" w:ascii="宋体" w:hAnsi="宋体" w:eastAsia="宋体" w:cs="宋体"/>
          <w:b/>
          <w:bCs/>
          <w:color w:val="000000" w:themeColor="text1"/>
          <w:sz w:val="24"/>
          <w:szCs w:val="24"/>
          <w14:textFill>
            <w14:solidFill>
              <w14:schemeClr w14:val="tx1"/>
            </w14:solidFill>
          </w14:textFill>
        </w:rPr>
        <w:t>设计使用寿命：不低于6年。</w:t>
      </w:r>
    </w:p>
    <w:p>
      <w:pPr>
        <w:numPr>
          <w:ilvl w:val="0"/>
          <w:numId w:val="0"/>
        </w:numPr>
        <w:spacing w:line="480" w:lineRule="exact"/>
        <w:ind w:firstLine="723" w:firstLineChars="300"/>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1.2</w:t>
      </w:r>
      <w:r>
        <w:rPr>
          <w:rFonts w:hint="eastAsia" w:ascii="宋体" w:hAnsi="宋体" w:eastAsia="宋体" w:cs="宋体"/>
          <w:b/>
          <w:bCs/>
          <w:color w:val="000000" w:themeColor="text1"/>
          <w:sz w:val="24"/>
          <w:szCs w:val="24"/>
          <w14:textFill>
            <w14:solidFill>
              <w14:schemeClr w14:val="tx1"/>
            </w14:solidFill>
          </w14:textFill>
        </w:rPr>
        <w:t>基本要求</w:t>
      </w:r>
    </w:p>
    <w:p>
      <w:pPr>
        <w:numPr>
          <w:ilvl w:val="0"/>
          <w:numId w:val="0"/>
        </w:numPr>
        <w:spacing w:line="480" w:lineRule="exact"/>
        <w:ind w:left="105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1.2.1</w:t>
      </w:r>
      <w:r>
        <w:rPr>
          <w:rFonts w:hint="eastAsia" w:ascii="宋体" w:hAnsi="宋体" w:eastAsia="宋体" w:cs="宋体"/>
          <w:color w:val="000000" w:themeColor="text1"/>
          <w:sz w:val="24"/>
          <w:szCs w:val="24"/>
          <w14:textFill>
            <w14:solidFill>
              <w14:schemeClr w14:val="tx1"/>
            </w14:solidFill>
          </w14:textFill>
        </w:rPr>
        <w:t>计量准确可靠；</w:t>
      </w:r>
    </w:p>
    <w:p>
      <w:pPr>
        <w:numPr>
          <w:ilvl w:val="0"/>
          <w:numId w:val="0"/>
        </w:numPr>
        <w:spacing w:line="480" w:lineRule="exact"/>
        <w:ind w:left="105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1.2.2</w:t>
      </w:r>
      <w:r>
        <w:rPr>
          <w:rFonts w:hint="eastAsia" w:ascii="宋体" w:hAnsi="宋体" w:eastAsia="宋体" w:cs="宋体"/>
          <w:color w:val="000000" w:themeColor="text1"/>
          <w:sz w:val="24"/>
          <w:szCs w:val="24"/>
          <w14:textFill>
            <w14:solidFill>
              <w14:schemeClr w14:val="tx1"/>
            </w14:solidFill>
          </w14:textFill>
        </w:rPr>
        <w:t>适应管网水质条件，经久耐用；</w:t>
      </w:r>
    </w:p>
    <w:p>
      <w:pPr>
        <w:numPr>
          <w:ilvl w:val="0"/>
          <w:numId w:val="0"/>
        </w:numPr>
        <w:spacing w:line="480" w:lineRule="exact"/>
        <w:ind w:left="105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w:t>
      </w:r>
      <w:r>
        <w:rPr>
          <w:rFonts w:hint="eastAsia" w:ascii="宋体" w:hAnsi="宋体" w:eastAsia="宋体" w:cs="宋体"/>
          <w:color w:val="000000" w:themeColor="text1"/>
          <w:sz w:val="24"/>
          <w:szCs w:val="24"/>
          <w14:textFill>
            <w14:solidFill>
              <w14:schemeClr w14:val="tx1"/>
            </w14:solidFill>
          </w14:textFill>
        </w:rPr>
        <w:t>结构简单，价格合理；</w:t>
      </w:r>
    </w:p>
    <w:p>
      <w:pPr>
        <w:numPr>
          <w:ilvl w:val="0"/>
          <w:numId w:val="0"/>
        </w:numPr>
        <w:spacing w:line="480" w:lineRule="exact"/>
        <w:ind w:left="105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w:t>
      </w:r>
      <w:r>
        <w:rPr>
          <w:rFonts w:hint="eastAsia" w:ascii="宋体" w:hAnsi="宋体" w:eastAsia="宋体" w:cs="宋体"/>
          <w:color w:val="000000" w:themeColor="text1"/>
          <w:sz w:val="24"/>
          <w:szCs w:val="24"/>
          <w14:textFill>
            <w14:solidFill>
              <w14:schemeClr w14:val="tx1"/>
            </w14:solidFill>
          </w14:textFill>
        </w:rPr>
        <w:t>流通能力大，水头损失小；</w:t>
      </w:r>
    </w:p>
    <w:p>
      <w:pPr>
        <w:numPr>
          <w:ilvl w:val="0"/>
          <w:numId w:val="0"/>
        </w:numPr>
        <w:spacing w:line="480" w:lineRule="exact"/>
        <w:ind w:left="105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1.2.5</w:t>
      </w:r>
      <w:r>
        <w:rPr>
          <w:rFonts w:hint="eastAsia" w:ascii="宋体" w:hAnsi="宋体" w:eastAsia="宋体" w:cs="宋体"/>
          <w:color w:val="000000" w:themeColor="text1"/>
          <w:sz w:val="24"/>
          <w:szCs w:val="24"/>
          <w14:textFill>
            <w14:solidFill>
              <w14:schemeClr w14:val="tx1"/>
            </w14:solidFill>
          </w14:textFill>
        </w:rPr>
        <w:t>始动流量值、最小流量值及分界流量精度满足2级要求；</w:t>
      </w:r>
    </w:p>
    <w:p>
      <w:pPr>
        <w:numPr>
          <w:ilvl w:val="0"/>
          <w:numId w:val="0"/>
        </w:numPr>
        <w:spacing w:line="480" w:lineRule="exact"/>
        <w:ind w:left="105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1.2.6</w:t>
      </w:r>
      <w:r>
        <w:rPr>
          <w:rFonts w:hint="eastAsia" w:ascii="宋体" w:hAnsi="宋体" w:eastAsia="宋体" w:cs="宋体"/>
          <w:color w:val="000000" w:themeColor="text1"/>
          <w:sz w:val="24"/>
          <w:szCs w:val="24"/>
          <w14:textFill>
            <w14:solidFill>
              <w14:schemeClr w14:val="tx1"/>
            </w14:solidFill>
          </w14:textFill>
        </w:rPr>
        <w:t>修理方便，容易调整，维修成本低；</w:t>
      </w:r>
    </w:p>
    <w:p>
      <w:pPr>
        <w:numPr>
          <w:ilvl w:val="0"/>
          <w:numId w:val="0"/>
        </w:numPr>
        <w:spacing w:line="480" w:lineRule="exact"/>
        <w:ind w:left="105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1.2.7</w:t>
      </w:r>
      <w:r>
        <w:rPr>
          <w:rFonts w:hint="eastAsia" w:ascii="宋体" w:hAnsi="宋体" w:eastAsia="宋体" w:cs="宋体"/>
          <w:color w:val="000000" w:themeColor="text1"/>
          <w:sz w:val="24"/>
          <w:szCs w:val="24"/>
          <w14:textFill>
            <w14:solidFill>
              <w14:schemeClr w14:val="tx1"/>
            </w14:solidFill>
          </w14:textFill>
        </w:rPr>
        <w:t>体积小重量轻，拆装方便；</w:t>
      </w:r>
    </w:p>
    <w:p>
      <w:pPr>
        <w:numPr>
          <w:ilvl w:val="0"/>
          <w:numId w:val="0"/>
        </w:numPr>
        <w:spacing w:line="480" w:lineRule="exact"/>
        <w:ind w:left="105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1.2.8</w:t>
      </w:r>
      <w:r>
        <w:rPr>
          <w:rFonts w:hint="eastAsia" w:ascii="宋体" w:hAnsi="宋体" w:eastAsia="宋体" w:cs="宋体"/>
          <w:color w:val="000000" w:themeColor="text1"/>
          <w:sz w:val="24"/>
          <w:szCs w:val="24"/>
          <w14:textFill>
            <w14:solidFill>
              <w14:schemeClr w14:val="tx1"/>
            </w14:solidFill>
          </w14:textFill>
        </w:rPr>
        <w:t>读数抄表准确方便。</w:t>
      </w:r>
    </w:p>
    <w:p>
      <w:pPr>
        <w:numPr>
          <w:ilvl w:val="0"/>
          <w:numId w:val="0"/>
        </w:numPr>
        <w:spacing w:line="480" w:lineRule="exact"/>
        <w:ind w:firstLine="482" w:firstLineChars="200"/>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1.3一般要求</w:t>
      </w:r>
    </w:p>
    <w:p>
      <w:pPr>
        <w:numPr>
          <w:ilvl w:val="0"/>
          <w:numId w:val="0"/>
        </w:numPr>
        <w:spacing w:line="480" w:lineRule="exact"/>
        <w:ind w:left="105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1.3.1</w:t>
      </w:r>
      <w:r>
        <w:rPr>
          <w:rFonts w:hint="eastAsia" w:ascii="宋体" w:hAnsi="宋体" w:eastAsia="宋体" w:cs="宋体"/>
          <w:color w:val="000000" w:themeColor="text1"/>
          <w:sz w:val="24"/>
          <w:szCs w:val="24"/>
          <w14:textFill>
            <w14:solidFill>
              <w14:schemeClr w14:val="tx1"/>
            </w14:solidFill>
          </w14:textFill>
        </w:rPr>
        <w:t>水表的示值误差限应符合下述规定：</w:t>
      </w:r>
    </w:p>
    <w:p>
      <w:pPr>
        <w:spacing w:line="480" w:lineRule="exact"/>
        <w:ind w:left="1134"/>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 从最小流量（包括 Q</w:t>
      </w:r>
      <w:r>
        <w:rPr>
          <w:rFonts w:hint="eastAsia" w:ascii="宋体" w:hAnsi="宋体" w:eastAsia="宋体" w:cs="宋体"/>
          <w:color w:val="000000" w:themeColor="text1"/>
          <w:sz w:val="24"/>
          <w:szCs w:val="24"/>
          <w:vertAlign w:val="subscript"/>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）到分界流量（不包括 Q</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）的低区为±5%；</w:t>
      </w:r>
    </w:p>
    <w:p>
      <w:pPr>
        <w:spacing w:line="480" w:lineRule="exact"/>
        <w:ind w:left="1134"/>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 从分界流量（包括 Q</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）到最大流量（包括 Q</w:t>
      </w:r>
      <w:r>
        <w:rPr>
          <w:rFonts w:hint="eastAsia" w:ascii="宋体" w:hAnsi="宋体" w:eastAsia="宋体" w:cs="宋体"/>
          <w:color w:val="000000" w:themeColor="text1"/>
          <w:sz w:val="24"/>
          <w:szCs w:val="24"/>
          <w:vertAlign w:val="subscript"/>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）的高区为±2%（温度超过30℃时则为±3%）。</w:t>
      </w:r>
    </w:p>
    <w:p>
      <w:pPr>
        <w:numPr>
          <w:ilvl w:val="0"/>
          <w:numId w:val="0"/>
        </w:numPr>
        <w:spacing w:line="480" w:lineRule="exact"/>
        <w:ind w:left="105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1.3.2</w:t>
      </w:r>
      <w:r>
        <w:rPr>
          <w:rFonts w:hint="eastAsia" w:ascii="宋体" w:hAnsi="宋体" w:eastAsia="宋体" w:cs="宋体"/>
          <w:color w:val="000000" w:themeColor="text1"/>
          <w:sz w:val="24"/>
          <w:szCs w:val="24"/>
          <w14:textFill>
            <w14:solidFill>
              <w14:schemeClr w14:val="tx1"/>
            </w14:solidFill>
          </w14:textFill>
        </w:rPr>
        <w:t>水表的重复性误差要求不超过水表允许误差的绝对值。</w:t>
      </w:r>
    </w:p>
    <w:p>
      <w:pPr>
        <w:numPr>
          <w:ilvl w:val="0"/>
          <w:numId w:val="0"/>
        </w:numPr>
        <w:spacing w:line="480" w:lineRule="exact"/>
        <w:ind w:left="105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w:t>
      </w:r>
      <w:r>
        <w:rPr>
          <w:rFonts w:hint="eastAsia" w:ascii="宋体" w:hAnsi="宋体" w:eastAsia="宋体" w:cs="宋体"/>
          <w:color w:val="000000" w:themeColor="text1"/>
          <w:sz w:val="24"/>
          <w:szCs w:val="24"/>
          <w14:textFill>
            <w14:solidFill>
              <w14:schemeClr w14:val="tx1"/>
            </w14:solidFill>
          </w14:textFill>
        </w:rPr>
        <w:t>水表上应标有厂标、流向箭头、公称口径、安装方式、制造年月和编号等 标志，并附有产品使用说明书。水表分度的基本单位为m</w:t>
      </w:r>
      <w:r>
        <w:rPr>
          <w:rFonts w:hint="eastAsia" w:ascii="宋体" w:hAnsi="宋体" w:eastAsia="宋体" w:cs="宋体"/>
          <w:color w:val="000000" w:themeColor="text1"/>
          <w:sz w:val="24"/>
          <w:szCs w:val="24"/>
          <w:vertAlign w:val="superscript"/>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w:t>
      </w:r>
    </w:p>
    <w:p>
      <w:pPr>
        <w:numPr>
          <w:ilvl w:val="0"/>
          <w:numId w:val="0"/>
        </w:numPr>
        <w:spacing w:line="480" w:lineRule="exact"/>
        <w:ind w:left="105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1.3.4</w:t>
      </w:r>
      <w:r>
        <w:rPr>
          <w:rFonts w:hint="eastAsia" w:ascii="宋体" w:hAnsi="宋体" w:eastAsia="宋体" w:cs="宋体"/>
          <w:color w:val="000000" w:themeColor="text1"/>
          <w:sz w:val="24"/>
          <w:szCs w:val="24"/>
          <w14:textFill>
            <w14:solidFill>
              <w14:schemeClr w14:val="tx1"/>
            </w14:solidFill>
          </w14:textFill>
        </w:rPr>
        <w:t>水表外观不应有明显缺陷。度盘上不应有擦伤、划痕、裂纹及其它影响读 数的弊病。表玻璃不应有妨碍读数的缺陷。</w:t>
      </w:r>
    </w:p>
    <w:p>
      <w:pPr>
        <w:numPr>
          <w:ilvl w:val="0"/>
          <w:numId w:val="0"/>
        </w:numPr>
        <w:spacing w:line="480" w:lineRule="exact"/>
        <w:ind w:left="105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1.3.5</w:t>
      </w:r>
      <w:r>
        <w:rPr>
          <w:rFonts w:hint="eastAsia" w:ascii="宋体" w:hAnsi="宋体" w:eastAsia="宋体" w:cs="宋体"/>
          <w:color w:val="000000" w:themeColor="text1"/>
          <w:sz w:val="24"/>
          <w:szCs w:val="24"/>
          <w14:textFill>
            <w14:solidFill>
              <w14:schemeClr w14:val="tx1"/>
            </w14:solidFill>
          </w14:textFill>
        </w:rPr>
        <w:t>水表的计数器为指针式时，指针应顺时针方向转动，指针尖的宽度不应超 过 0.8mm，指针尖应能指在最短分度线范围内。</w:t>
      </w:r>
    </w:p>
    <w:p>
      <w:pPr>
        <w:numPr>
          <w:ilvl w:val="0"/>
          <w:numId w:val="0"/>
        </w:numPr>
        <w:spacing w:line="480" w:lineRule="exact"/>
        <w:ind w:left="105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1.3.6</w:t>
      </w:r>
      <w:r>
        <w:rPr>
          <w:rFonts w:hint="eastAsia" w:ascii="宋体" w:hAnsi="宋体" w:eastAsia="宋体" w:cs="宋体"/>
          <w:color w:val="000000" w:themeColor="text1"/>
          <w:sz w:val="24"/>
          <w:szCs w:val="24"/>
          <w14:textFill>
            <w14:solidFill>
              <w14:schemeClr w14:val="tx1"/>
            </w14:solidFill>
          </w14:textFill>
        </w:rPr>
        <w:t>水表的计数器为鼓轮式时，计数器的字轮、数字间距应均等，排列高低应 一致，字形不得明显倾斜．在鼓轮上的数字字体高度应不小于4mm，且数字应向上移动。</w:t>
      </w:r>
    </w:p>
    <w:p>
      <w:pPr>
        <w:numPr>
          <w:ilvl w:val="0"/>
          <w:numId w:val="0"/>
        </w:numPr>
        <w:spacing w:line="480" w:lineRule="exact"/>
        <w:ind w:left="105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1.3.7</w:t>
      </w:r>
      <w:r>
        <w:rPr>
          <w:rFonts w:hint="eastAsia" w:ascii="宋体" w:hAnsi="宋体" w:eastAsia="宋体" w:cs="宋体"/>
          <w:color w:val="000000" w:themeColor="text1"/>
          <w:sz w:val="24"/>
          <w:szCs w:val="24"/>
          <w14:textFill>
            <w14:solidFill>
              <w14:schemeClr w14:val="tx1"/>
            </w14:solidFill>
          </w14:textFill>
        </w:rPr>
        <w:t>水表应具有误差调整装置且设置在水表内。采用外部调节的水表，表壳上 调节孔旁应标有“＋”、“－”符号，并应有可供封印的孔洞。</w:t>
      </w:r>
    </w:p>
    <w:p>
      <w:pPr>
        <w:numPr>
          <w:ilvl w:val="0"/>
          <w:numId w:val="0"/>
        </w:numPr>
        <w:spacing w:line="480" w:lineRule="exact"/>
        <w:ind w:left="105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1.3.8</w:t>
      </w:r>
      <w:r>
        <w:rPr>
          <w:rFonts w:hint="eastAsia" w:ascii="宋体" w:hAnsi="宋体" w:eastAsia="宋体" w:cs="宋体"/>
          <w:color w:val="000000" w:themeColor="text1"/>
          <w:sz w:val="24"/>
          <w:szCs w:val="24"/>
          <w14:textFill>
            <w14:solidFill>
              <w14:schemeClr w14:val="tx1"/>
            </w14:solidFill>
          </w14:textFill>
        </w:rPr>
        <w:t>水表的零件和连接件，不得采用有碍水质卫生的材料，且应有足够的强 度．并能耐水和大气的腐蚀，或具有可靠的防腐层。</w:t>
      </w:r>
    </w:p>
    <w:p>
      <w:pPr>
        <w:numPr>
          <w:ilvl w:val="0"/>
          <w:numId w:val="0"/>
        </w:numPr>
        <w:spacing w:line="480" w:lineRule="exact"/>
        <w:ind w:left="105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1.3.9</w:t>
      </w:r>
      <w:r>
        <w:rPr>
          <w:rFonts w:hint="eastAsia" w:ascii="宋体" w:hAnsi="宋体" w:eastAsia="宋体" w:cs="宋体"/>
          <w:color w:val="000000" w:themeColor="text1"/>
          <w:sz w:val="24"/>
          <w:szCs w:val="24"/>
          <w14:textFill>
            <w14:solidFill>
              <w14:schemeClr w14:val="tx1"/>
            </w14:solidFill>
          </w14:textFill>
        </w:rPr>
        <w:t>水表应具有可供封印的洞孔。</w:t>
      </w:r>
    </w:p>
    <w:p>
      <w:pPr>
        <w:numPr>
          <w:ilvl w:val="0"/>
          <w:numId w:val="0"/>
        </w:numPr>
        <w:spacing w:line="480" w:lineRule="exact"/>
        <w:ind w:left="105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1.3.10</w:t>
      </w:r>
      <w:r>
        <w:rPr>
          <w:rFonts w:hint="eastAsia" w:ascii="宋体" w:hAnsi="宋体" w:eastAsia="宋体" w:cs="宋体"/>
          <w:color w:val="000000" w:themeColor="text1"/>
          <w:sz w:val="24"/>
          <w:szCs w:val="24"/>
          <w14:textFill>
            <w14:solidFill>
              <w14:schemeClr w14:val="tx1"/>
            </w14:solidFill>
          </w14:textFill>
        </w:rPr>
        <w:t>水表应能承受 1.6 倍最大允许工作压力， 不少于1分钟的水压强度试验，并无渗漏现象。</w:t>
      </w:r>
    </w:p>
    <w:p>
      <w:pPr>
        <w:numPr>
          <w:ilvl w:val="0"/>
          <w:numId w:val="0"/>
        </w:numPr>
        <w:spacing w:line="480" w:lineRule="exact"/>
        <w:ind w:left="842" w:leftChars="0"/>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1.4</w:t>
      </w:r>
      <w:r>
        <w:rPr>
          <w:rFonts w:hint="eastAsia" w:ascii="宋体" w:hAnsi="宋体" w:eastAsia="宋体" w:cs="宋体"/>
          <w:b/>
          <w:bCs/>
          <w:color w:val="000000" w:themeColor="text1"/>
          <w:sz w:val="24"/>
          <w:szCs w:val="24"/>
          <w14:textFill>
            <w14:solidFill>
              <w14:schemeClr w14:val="tx1"/>
            </w14:solidFill>
          </w14:textFill>
        </w:rPr>
        <w:t>通用技术要求</w:t>
      </w:r>
    </w:p>
    <w:p>
      <w:pPr>
        <w:numPr>
          <w:ilvl w:val="0"/>
          <w:numId w:val="0"/>
        </w:numPr>
        <w:spacing w:line="480" w:lineRule="exact"/>
        <w:ind w:left="105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1.4.1</w:t>
      </w:r>
      <w:r>
        <w:rPr>
          <w:rFonts w:hint="eastAsia" w:ascii="宋体" w:hAnsi="宋体" w:eastAsia="宋体" w:cs="宋体"/>
          <w:color w:val="000000" w:themeColor="text1"/>
          <w:sz w:val="24"/>
          <w:szCs w:val="24"/>
          <w14:textFill>
            <w14:solidFill>
              <w14:schemeClr w14:val="tx1"/>
            </w14:solidFill>
          </w14:textFill>
        </w:rPr>
        <w:t>零件材料要求</w:t>
      </w:r>
    </w:p>
    <w:p>
      <w:pPr>
        <w:pStyle w:val="3"/>
        <w:spacing w:line="480" w:lineRule="exact"/>
        <w:ind w:left="1322" w:leftChars="473" w:hanging="329" w:hangingChars="11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 制造水表的材料应有足够的强度和耐用度，以满足水表的使用要求。</w:t>
      </w:r>
    </w:p>
    <w:p>
      <w:pPr>
        <w:pStyle w:val="3"/>
        <w:spacing w:line="480" w:lineRule="exact"/>
        <w:ind w:left="1322" w:leftChars="473" w:right="255" w:hanging="329" w:hangingChars="11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w:t>
      </w:r>
      <w:r>
        <w:rPr>
          <w:rFonts w:hint="eastAsia" w:ascii="宋体" w:hAnsi="宋体" w:eastAsia="宋体" w:cs="宋体"/>
          <w:color w:val="000000" w:themeColor="text1"/>
          <w:spacing w:val="4"/>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水表上所有接触水的</w:t>
      </w:r>
      <w:r>
        <w:rPr>
          <w:rFonts w:hint="eastAsia" w:ascii="宋体" w:hAnsi="宋体" w:eastAsia="宋体" w:cs="宋体"/>
          <w:color w:val="000000" w:themeColor="text1"/>
          <w:spacing w:val="4"/>
          <w:sz w:val="24"/>
          <w:szCs w:val="24"/>
          <w14:textFill>
            <w14:solidFill>
              <w14:schemeClr w14:val="tx1"/>
            </w14:solidFill>
          </w14:textFill>
        </w:rPr>
        <w:t>零</w:t>
      </w:r>
      <w:r>
        <w:rPr>
          <w:rFonts w:hint="eastAsia" w:ascii="宋体" w:hAnsi="宋体" w:eastAsia="宋体" w:cs="宋体"/>
          <w:color w:val="000000" w:themeColor="text1"/>
          <w:sz w:val="24"/>
          <w:szCs w:val="24"/>
          <w14:textFill>
            <w14:solidFill>
              <w14:schemeClr w14:val="tx1"/>
            </w14:solidFill>
          </w14:textFill>
        </w:rPr>
        <w:t>部件和防</w:t>
      </w:r>
      <w:r>
        <w:rPr>
          <w:rFonts w:hint="eastAsia" w:ascii="宋体" w:hAnsi="宋体" w:eastAsia="宋体" w:cs="宋体"/>
          <w:color w:val="000000" w:themeColor="text1"/>
          <w:spacing w:val="4"/>
          <w:sz w:val="24"/>
          <w:szCs w:val="24"/>
          <w14:textFill>
            <w14:solidFill>
              <w14:schemeClr w14:val="tx1"/>
            </w14:solidFill>
          </w14:textFill>
        </w:rPr>
        <w:t>护</w:t>
      </w:r>
      <w:r>
        <w:rPr>
          <w:rFonts w:hint="eastAsia" w:ascii="宋体" w:hAnsi="宋体" w:eastAsia="宋体" w:cs="宋体"/>
          <w:color w:val="000000" w:themeColor="text1"/>
          <w:sz w:val="24"/>
          <w:szCs w:val="24"/>
          <w14:textFill>
            <w14:solidFill>
              <w14:schemeClr w14:val="tx1"/>
            </w14:solidFill>
          </w14:textFill>
        </w:rPr>
        <w:t>材料</w:t>
      </w:r>
      <w:r>
        <w:rPr>
          <w:rFonts w:hint="eastAsia" w:ascii="宋体" w:hAnsi="宋体" w:eastAsia="宋体" w:cs="宋体"/>
          <w:color w:val="000000" w:themeColor="text1"/>
          <w:spacing w:val="4"/>
          <w:sz w:val="24"/>
          <w:szCs w:val="24"/>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采用通常被认</w:t>
      </w:r>
      <w:r>
        <w:rPr>
          <w:rFonts w:hint="eastAsia" w:ascii="宋体" w:hAnsi="宋体" w:eastAsia="宋体" w:cs="宋体"/>
          <w:color w:val="000000" w:themeColor="text1"/>
          <w:spacing w:val="4"/>
          <w:sz w:val="24"/>
          <w:szCs w:val="24"/>
          <w14:textFill>
            <w14:solidFill>
              <w14:schemeClr w14:val="tx1"/>
            </w14:solidFill>
          </w14:textFill>
        </w:rPr>
        <w:t>为</w:t>
      </w:r>
      <w:r>
        <w:rPr>
          <w:rFonts w:hint="eastAsia" w:ascii="宋体" w:hAnsi="宋体" w:eastAsia="宋体" w:cs="宋体"/>
          <w:color w:val="000000" w:themeColor="text1"/>
          <w:sz w:val="24"/>
          <w:szCs w:val="24"/>
          <w14:textFill>
            <w14:solidFill>
              <w14:schemeClr w14:val="tx1"/>
            </w14:solidFill>
          </w14:textFill>
        </w:rPr>
        <w:t>是无毒、无污染</w:t>
      </w:r>
      <w:r>
        <w:rPr>
          <w:rFonts w:hint="eastAsia" w:ascii="宋体" w:hAnsi="宋体" w:eastAsia="宋体" w:cs="宋体"/>
          <w:color w:val="000000" w:themeColor="text1"/>
          <w:spacing w:val="-29"/>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无生物活性的材料制造</w:t>
      </w:r>
      <w:r>
        <w:rPr>
          <w:rFonts w:hint="eastAsia" w:ascii="宋体" w:hAnsi="宋体" w:eastAsia="宋体" w:cs="宋体"/>
          <w:color w:val="000000" w:themeColor="text1"/>
          <w:spacing w:val="-29"/>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采用材料的卫生要求应符</w:t>
      </w:r>
      <w:r>
        <w:rPr>
          <w:rFonts w:hint="eastAsia" w:ascii="宋体" w:hAnsi="宋体" w:eastAsia="宋体" w:cs="宋体"/>
          <w:color w:val="000000" w:themeColor="text1"/>
          <w:spacing w:val="-29"/>
          <w:sz w:val="24"/>
          <w:szCs w:val="24"/>
          <w14:textFill>
            <w14:solidFill>
              <w14:schemeClr w14:val="tx1"/>
            </w14:solidFill>
          </w14:textFill>
        </w:rPr>
        <w:t>合</w:t>
      </w:r>
      <w:r>
        <w:rPr>
          <w:rFonts w:hint="eastAsia" w:ascii="宋体" w:hAnsi="宋体" w:eastAsia="宋体" w:cs="宋体"/>
          <w:color w:val="000000" w:themeColor="text1"/>
          <w:sz w:val="24"/>
          <w:szCs w:val="24"/>
          <w14:textFill>
            <w14:solidFill>
              <w14:schemeClr w14:val="tx1"/>
            </w14:solidFill>
          </w14:textFill>
        </w:rPr>
        <w:t>《生活饮用水输配水设 备及防护涂料卫生安全评价规范</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卫法监发[</w:t>
      </w:r>
      <w:r>
        <w:rPr>
          <w:rFonts w:hint="eastAsia" w:ascii="宋体" w:hAnsi="宋体" w:eastAsia="宋体" w:cs="宋体"/>
          <w:color w:val="000000" w:themeColor="text1"/>
          <w:spacing w:val="-4"/>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001]</w:t>
      </w:r>
      <w:r>
        <w:rPr>
          <w:rFonts w:hint="eastAsia" w:ascii="宋体" w:hAnsi="宋体" w:eastAsia="宋体" w:cs="宋体"/>
          <w:color w:val="000000" w:themeColor="text1"/>
          <w:spacing w:val="4"/>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161</w:t>
      </w:r>
      <w:r>
        <w:rPr>
          <w:rFonts w:hint="eastAsia" w:ascii="宋体" w:hAnsi="宋体" w:eastAsia="宋体" w:cs="宋体"/>
          <w:color w:val="000000" w:themeColor="text1"/>
          <w:spacing w:val="-3"/>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号）中</w:t>
      </w:r>
      <w:r>
        <w:rPr>
          <w:rFonts w:hint="eastAsia" w:ascii="宋体" w:hAnsi="宋体" w:eastAsia="宋体" w:cs="宋体"/>
          <w:color w:val="000000" w:themeColor="text1"/>
          <w:spacing w:val="-63"/>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3.1 的规定。</w:t>
      </w:r>
    </w:p>
    <w:p>
      <w:pPr>
        <w:pStyle w:val="3"/>
        <w:spacing w:line="480" w:lineRule="exact"/>
        <w:ind w:left="1322" w:leftChars="473" w:hanging="329" w:hangingChars="11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 机芯、叶轮等零部件所用聚甲醛树脂（PO</w:t>
      </w:r>
      <w:r>
        <w:rPr>
          <w:rFonts w:hint="eastAsia" w:ascii="宋体" w:hAnsi="宋体" w:eastAsia="宋体" w:cs="宋体"/>
          <w:color w:val="000000" w:themeColor="text1"/>
          <w:spacing w:val="-2"/>
          <w:sz w:val="24"/>
          <w:szCs w:val="24"/>
          <w14:textFill>
            <w14:solidFill>
              <w14:schemeClr w14:val="tx1"/>
            </w14:solidFill>
          </w14:textFill>
        </w:rPr>
        <w:t>M</w:t>
      </w:r>
      <w:r>
        <w:rPr>
          <w:rFonts w:hint="eastAsia" w:ascii="宋体" w:hAnsi="宋体" w:eastAsia="宋体" w:cs="宋体"/>
          <w:color w:val="000000" w:themeColor="text1"/>
          <w:spacing w:val="-120"/>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工程塑料</w:t>
      </w:r>
      <w:r>
        <w:rPr>
          <w:rFonts w:hint="eastAsia" w:ascii="宋体" w:hAnsi="宋体" w:eastAsia="宋体" w:cs="宋体"/>
          <w:color w:val="000000" w:themeColor="text1"/>
          <w:spacing w:val="-53"/>
          <w:sz w:val="24"/>
          <w:szCs w:val="24"/>
          <w14:textFill>
            <w14:solidFill>
              <w14:schemeClr w14:val="tx1"/>
            </w14:solidFill>
          </w14:textFill>
        </w:rPr>
        <w:t xml:space="preserve"> </w:t>
      </w:r>
      <w:r>
        <w:rPr>
          <w:rFonts w:hint="eastAsia" w:ascii="宋体" w:hAnsi="宋体" w:eastAsia="宋体" w:cs="宋体"/>
          <w:color w:val="000000" w:themeColor="text1"/>
          <w:spacing w:val="-6"/>
          <w:sz w:val="24"/>
          <w:szCs w:val="24"/>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BS</w:t>
      </w:r>
      <w:r>
        <w:rPr>
          <w:rFonts w:hint="eastAsia" w:ascii="宋体" w:hAnsi="宋体" w:eastAsia="宋体" w:cs="宋体"/>
          <w:color w:val="000000" w:themeColor="text1"/>
          <w:spacing w:val="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等应使用知名品牌化学公司产品</w:t>
      </w:r>
      <w:r>
        <w:rPr>
          <w:rFonts w:hint="eastAsia" w:ascii="宋体" w:hAnsi="宋体" w:eastAsia="宋体" w:cs="宋体"/>
          <w:color w:val="000000" w:themeColor="text1"/>
          <w:spacing w:val="-68"/>
          <w:sz w:val="24"/>
          <w:szCs w:val="24"/>
          <w:lang w:eastAsia="zh-CN"/>
          <w14:textFill>
            <w14:solidFill>
              <w14:schemeClr w14:val="tx1"/>
            </w14:solidFill>
          </w14:textFill>
        </w:rPr>
        <w:t>，</w:t>
      </w:r>
      <w:r>
        <w:rPr>
          <w:rFonts w:hint="eastAsia" w:ascii="宋体" w:hAnsi="宋体" w:eastAsia="宋体" w:cs="宋体"/>
          <w:color w:val="000000" w:themeColor="text1"/>
          <w:spacing w:val="-68"/>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严禁使用回用料</w:t>
      </w:r>
      <w:r>
        <w:rPr>
          <w:rFonts w:hint="eastAsia" w:ascii="宋体" w:hAnsi="宋体" w:eastAsia="宋体" w:cs="宋体"/>
          <w:color w:val="000000" w:themeColor="text1"/>
          <w:spacing w:val="-68"/>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轴</w:t>
      </w:r>
      <w:r>
        <w:rPr>
          <w:rFonts w:hint="eastAsia" w:ascii="宋体" w:hAnsi="宋体" w:eastAsia="宋体" w:cs="宋体"/>
          <w:color w:val="000000" w:themeColor="text1"/>
          <w:spacing w:val="-7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轴套等应具有足够的强度及硬度。</w:t>
      </w:r>
    </w:p>
    <w:p>
      <w:pPr>
        <w:numPr>
          <w:ilvl w:val="0"/>
          <w:numId w:val="0"/>
        </w:numPr>
        <w:spacing w:line="480" w:lineRule="exact"/>
        <w:ind w:left="105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1.4.2</w:t>
      </w:r>
      <w:r>
        <w:rPr>
          <w:rFonts w:hint="eastAsia" w:ascii="宋体" w:hAnsi="宋体" w:eastAsia="宋体" w:cs="宋体"/>
          <w:color w:val="000000" w:themeColor="text1"/>
          <w:sz w:val="24"/>
          <w:szCs w:val="24"/>
          <w14:textFill>
            <w14:solidFill>
              <w14:schemeClr w14:val="tx1"/>
            </w14:solidFill>
          </w14:textFill>
        </w:rPr>
        <w:t>压力损失≤0.063MPa。</w:t>
      </w:r>
    </w:p>
    <w:p>
      <w:pPr>
        <w:numPr>
          <w:ilvl w:val="0"/>
          <w:numId w:val="0"/>
        </w:numPr>
        <w:spacing w:line="480" w:lineRule="exact"/>
        <w:ind w:left="105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1.4.3</w:t>
      </w:r>
      <w:r>
        <w:rPr>
          <w:rFonts w:hint="eastAsia" w:ascii="宋体" w:hAnsi="宋体" w:eastAsia="宋体" w:cs="宋体"/>
          <w:color w:val="000000" w:themeColor="text1"/>
          <w:sz w:val="24"/>
          <w:szCs w:val="24"/>
          <w14:textFill>
            <w14:solidFill>
              <w14:schemeClr w14:val="tx1"/>
            </w14:solidFill>
          </w14:textFill>
        </w:rPr>
        <w:t>出厂说明书中应标明以下相关数据： 水表规格、型号、计量等级、工作压力、制造标准、输送的介质、使用的条件、制造厂厂名、生产许可证、计量认证标志、出厂日期、主要技术参数（包括 流量、示值参数、误差情况、外形尺寸及重量等）、出厂编号、连接接头的规格 型号、安装方式要求、附件、“三包”原则等。</w:t>
      </w:r>
    </w:p>
    <w:p>
      <w:pPr>
        <w:numPr>
          <w:ilvl w:val="0"/>
          <w:numId w:val="0"/>
        </w:numPr>
        <w:spacing w:line="480" w:lineRule="exact"/>
        <w:ind w:left="105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w:t>
      </w:r>
      <w:r>
        <w:rPr>
          <w:rFonts w:hint="eastAsia" w:ascii="宋体" w:hAnsi="宋体" w:eastAsia="宋体" w:cs="宋体"/>
          <w:color w:val="000000" w:themeColor="text1"/>
          <w:sz w:val="24"/>
          <w:szCs w:val="24"/>
          <w14:textFill>
            <w14:solidFill>
              <w14:schemeClr w14:val="tx1"/>
            </w14:solidFill>
          </w14:textFill>
        </w:rPr>
        <w:t>出厂编号，按需方提供的表号连续打印，连续装箱，且每箱外有标识。</w:t>
      </w:r>
    </w:p>
    <w:p>
      <w:pPr>
        <w:numPr>
          <w:ilvl w:val="0"/>
          <w:numId w:val="0"/>
        </w:numPr>
        <w:spacing w:line="480" w:lineRule="exact"/>
        <w:ind w:left="141" w:leftChars="0"/>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旋翼式液封冷水水表</w:t>
      </w:r>
    </w:p>
    <w:p>
      <w:pPr>
        <w:numPr>
          <w:ilvl w:val="0"/>
          <w:numId w:val="0"/>
        </w:numPr>
        <w:spacing w:line="480" w:lineRule="exact"/>
        <w:ind w:left="84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水表型式：B级，多流束数字液封旋翼式冷水水表，DN15～DN40。</w:t>
      </w:r>
    </w:p>
    <w:p>
      <w:pPr>
        <w:numPr>
          <w:ilvl w:val="0"/>
          <w:numId w:val="0"/>
        </w:numPr>
        <w:spacing w:line="480" w:lineRule="exact"/>
        <w:ind w:left="84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适用范围：相对流量较低的居民、工商业客户。</w:t>
      </w:r>
    </w:p>
    <w:p>
      <w:pPr>
        <w:numPr>
          <w:ilvl w:val="0"/>
          <w:numId w:val="0"/>
        </w:numPr>
        <w:spacing w:line="480" w:lineRule="exact"/>
        <w:ind w:left="84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w:t>
      </w:r>
      <w:r>
        <w:rPr>
          <w:rFonts w:hint="eastAsia" w:ascii="宋体" w:hAnsi="宋体" w:eastAsia="宋体" w:cs="宋体"/>
          <w:color w:val="000000" w:themeColor="text1"/>
          <w:sz w:val="24"/>
          <w:szCs w:val="24"/>
          <w14:textFill>
            <w14:solidFill>
              <w14:schemeClr w14:val="tx1"/>
            </w14:solidFill>
          </w14:textFill>
        </w:rPr>
        <w:t>使用条件：水表温度等级T30；水压：≤1.0 MPa。</w:t>
      </w:r>
    </w:p>
    <w:p>
      <w:pPr>
        <w:numPr>
          <w:ilvl w:val="0"/>
          <w:numId w:val="0"/>
        </w:numPr>
        <w:spacing w:line="480" w:lineRule="exact"/>
        <w:ind w:left="84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w:t>
      </w:r>
      <w:r>
        <w:rPr>
          <w:rFonts w:hint="eastAsia" w:ascii="宋体" w:hAnsi="宋体" w:eastAsia="宋体" w:cs="宋体"/>
          <w:color w:val="000000" w:themeColor="text1"/>
          <w:sz w:val="24"/>
          <w:szCs w:val="24"/>
          <w14:textFill>
            <w14:solidFill>
              <w14:schemeClr w14:val="tx1"/>
            </w14:solidFill>
          </w14:textFill>
        </w:rPr>
        <w:t>水表的指示装置为指针、数字组合式。指针应顺时针方向转动，指针尖的 宽度不应大于 0.5mm。字轮式字轮数字的实际高度或可见高度应不小于 4mm， 且数字应向上移动。</w:t>
      </w:r>
    </w:p>
    <w:p>
      <w:pPr>
        <w:numPr>
          <w:ilvl w:val="0"/>
          <w:numId w:val="0"/>
        </w:numPr>
        <w:spacing w:line="480" w:lineRule="exact"/>
        <w:ind w:left="84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水表最小分度值应满足检定时的准确度不低于 0.5%（每一次读数允许有不 超过二分之一最小分度值的允许读数误差），以及最小流量检定所需时间不应超 过 1.5 小时。</w:t>
      </w:r>
    </w:p>
    <w:p>
      <w:pPr>
        <w:numPr>
          <w:ilvl w:val="0"/>
          <w:numId w:val="0"/>
        </w:numPr>
        <w:spacing w:line="480" w:lineRule="exact"/>
        <w:ind w:left="84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w:t>
      </w:r>
      <w:r>
        <w:rPr>
          <w:rFonts w:hint="eastAsia" w:ascii="宋体" w:hAnsi="宋体" w:eastAsia="宋体" w:cs="宋体"/>
          <w:color w:val="000000" w:themeColor="text1"/>
          <w:sz w:val="24"/>
          <w:szCs w:val="24"/>
          <w14:textFill>
            <w14:solidFill>
              <w14:schemeClr w14:val="tx1"/>
            </w14:solidFill>
          </w14:textFill>
        </w:rPr>
        <w:t>水表常用流量、分界流量、最小流量应满足下表要求</w:t>
      </w:r>
    </w:p>
    <w:tbl>
      <w:tblPr>
        <w:tblStyle w:val="8"/>
        <w:tblW w:w="7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701"/>
        <w:gridCol w:w="1275"/>
        <w:gridCol w:w="1134"/>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875" w:type="dxa"/>
            <w:noWrap w:val="0"/>
            <w:vAlign w:val="center"/>
          </w:tcPr>
          <w:p>
            <w:pPr>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水表口径</w:t>
            </w:r>
          </w:p>
          <w:p>
            <w:pPr>
              <w:spacing w:line="48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DN（mm）</w:t>
            </w:r>
          </w:p>
        </w:tc>
        <w:tc>
          <w:tcPr>
            <w:tcW w:w="1701" w:type="dxa"/>
            <w:noWrap w:val="0"/>
            <w:vAlign w:val="center"/>
          </w:tcPr>
          <w:p>
            <w:pPr>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常用流量</w:t>
            </w:r>
          </w:p>
          <w:p>
            <w:pPr>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Q</w:t>
            </w:r>
            <w:r>
              <w:rPr>
                <w:rFonts w:hint="eastAsia" w:ascii="宋体" w:hAnsi="宋体" w:eastAsia="宋体" w:cs="宋体"/>
                <w:b/>
                <w:color w:val="000000" w:themeColor="text1"/>
                <w:sz w:val="24"/>
                <w:szCs w:val="24"/>
                <w:vertAlign w:val="subscript"/>
                <w14:textFill>
                  <w14:solidFill>
                    <w14:schemeClr w14:val="tx1"/>
                  </w14:solidFill>
                </w14:textFill>
              </w:rPr>
              <w:t>3</w:t>
            </w:r>
            <w:r>
              <w:rPr>
                <w:rFonts w:hint="eastAsia" w:ascii="宋体" w:hAnsi="宋体" w:eastAsia="宋体" w:cs="宋体"/>
                <w:b/>
                <w:color w:val="000000" w:themeColor="text1"/>
                <w:sz w:val="24"/>
                <w:szCs w:val="24"/>
                <w14:textFill>
                  <w14:solidFill>
                    <w14:schemeClr w14:val="tx1"/>
                  </w14:solidFill>
                </w14:textFill>
              </w:rPr>
              <w:t>(m</w:t>
            </w:r>
            <w:r>
              <w:rPr>
                <w:rFonts w:hint="eastAsia" w:ascii="宋体" w:hAnsi="宋体" w:eastAsia="宋体" w:cs="宋体"/>
                <w:b/>
                <w:color w:val="000000" w:themeColor="text1"/>
                <w:sz w:val="24"/>
                <w:szCs w:val="24"/>
                <w:vertAlign w:val="superscript"/>
                <w14:textFill>
                  <w14:solidFill>
                    <w14:schemeClr w14:val="tx1"/>
                  </w14:solidFill>
                </w14:textFill>
              </w:rPr>
              <w:t>3</w:t>
            </w:r>
            <w:r>
              <w:rPr>
                <w:rFonts w:hint="eastAsia" w:ascii="宋体" w:hAnsi="宋体" w:eastAsia="宋体" w:cs="宋体"/>
                <w:b/>
                <w:color w:val="000000" w:themeColor="text1"/>
                <w:sz w:val="24"/>
                <w:szCs w:val="24"/>
                <w14:textFill>
                  <w14:solidFill>
                    <w14:schemeClr w14:val="tx1"/>
                  </w14:solidFill>
                </w14:textFill>
              </w:rPr>
              <w:t>/h)</w:t>
            </w:r>
          </w:p>
        </w:tc>
        <w:tc>
          <w:tcPr>
            <w:tcW w:w="1275" w:type="dxa"/>
            <w:noWrap w:val="0"/>
            <w:vAlign w:val="center"/>
          </w:tcPr>
          <w:p>
            <w:pPr>
              <w:spacing w:line="48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Q</w:t>
            </w:r>
            <w:r>
              <w:rPr>
                <w:rFonts w:hint="eastAsia" w:ascii="宋体" w:hAnsi="宋体" w:eastAsia="宋体" w:cs="宋体"/>
                <w:b/>
                <w:color w:val="000000" w:themeColor="text1"/>
                <w:sz w:val="24"/>
                <w:szCs w:val="24"/>
                <w:vertAlign w:val="subscript"/>
                <w14:textFill>
                  <w14:solidFill>
                    <w14:schemeClr w14:val="tx1"/>
                  </w14:solidFill>
                </w14:textFill>
              </w:rPr>
              <w:t>3</w:t>
            </w:r>
            <w:r>
              <w:rPr>
                <w:rFonts w:hint="eastAsia" w:ascii="宋体" w:hAnsi="宋体" w:eastAsia="宋体" w:cs="宋体"/>
                <w:b/>
                <w:color w:val="000000" w:themeColor="text1"/>
                <w:sz w:val="24"/>
                <w:szCs w:val="24"/>
                <w14:textFill>
                  <w14:solidFill>
                    <w14:schemeClr w14:val="tx1"/>
                  </w14:solidFill>
                </w14:textFill>
              </w:rPr>
              <w:t>/Q</w:t>
            </w:r>
            <w:r>
              <w:rPr>
                <w:rFonts w:hint="eastAsia" w:ascii="宋体" w:hAnsi="宋体" w:eastAsia="宋体" w:cs="宋体"/>
                <w:b/>
                <w:color w:val="000000" w:themeColor="text1"/>
                <w:sz w:val="24"/>
                <w:szCs w:val="24"/>
                <w:vertAlign w:val="subscript"/>
                <w14:textFill>
                  <w14:solidFill>
                    <w14:schemeClr w14:val="tx1"/>
                  </w14:solidFill>
                </w14:textFill>
              </w:rPr>
              <w:t>1</w:t>
            </w:r>
          </w:p>
        </w:tc>
        <w:tc>
          <w:tcPr>
            <w:tcW w:w="1134" w:type="dxa"/>
            <w:noWrap w:val="0"/>
            <w:vAlign w:val="center"/>
          </w:tcPr>
          <w:p>
            <w:pPr>
              <w:spacing w:line="480" w:lineRule="exact"/>
              <w:jc w:val="center"/>
              <w:rPr>
                <w:rFonts w:hint="eastAsia" w:ascii="宋体" w:hAnsi="宋体" w:eastAsia="宋体" w:cs="宋体"/>
                <w:color w:val="000000" w:themeColor="text1"/>
                <w:sz w:val="24"/>
                <w:szCs w:val="24"/>
                <w:lang w:val="de-DE"/>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Q</w:t>
            </w:r>
            <w:r>
              <w:rPr>
                <w:rFonts w:hint="eastAsia" w:ascii="宋体" w:hAnsi="宋体" w:eastAsia="宋体" w:cs="宋体"/>
                <w:b/>
                <w:color w:val="000000" w:themeColor="text1"/>
                <w:sz w:val="24"/>
                <w:szCs w:val="24"/>
                <w:vertAlign w:val="subscript"/>
                <w14:textFill>
                  <w14:solidFill>
                    <w14:schemeClr w14:val="tx1"/>
                  </w14:solidFill>
                </w14:textFill>
              </w:rPr>
              <w:t>2</w:t>
            </w:r>
            <w:r>
              <w:rPr>
                <w:rFonts w:hint="eastAsia" w:ascii="宋体" w:hAnsi="宋体" w:eastAsia="宋体" w:cs="宋体"/>
                <w:b/>
                <w:color w:val="000000" w:themeColor="text1"/>
                <w:sz w:val="24"/>
                <w:szCs w:val="24"/>
                <w14:textFill>
                  <w14:solidFill>
                    <w14:schemeClr w14:val="tx1"/>
                  </w14:solidFill>
                </w14:textFill>
              </w:rPr>
              <w:t>/Q</w:t>
            </w:r>
            <w:r>
              <w:rPr>
                <w:rFonts w:hint="eastAsia" w:ascii="宋体" w:hAnsi="宋体" w:eastAsia="宋体" w:cs="宋体"/>
                <w:b/>
                <w:color w:val="000000" w:themeColor="text1"/>
                <w:sz w:val="24"/>
                <w:szCs w:val="24"/>
                <w:vertAlign w:val="subscript"/>
                <w14:textFill>
                  <w14:solidFill>
                    <w14:schemeClr w14:val="tx1"/>
                  </w14:solidFill>
                </w14:textFill>
              </w:rPr>
              <w:t>1</w:t>
            </w:r>
          </w:p>
        </w:tc>
        <w:tc>
          <w:tcPr>
            <w:tcW w:w="1561" w:type="dxa"/>
            <w:noWrap w:val="0"/>
            <w:vAlign w:val="center"/>
          </w:tcPr>
          <w:p>
            <w:pPr>
              <w:spacing w:line="48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温度等级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75" w:type="dxa"/>
            <w:noWrap w:val="0"/>
            <w:vAlign w:val="center"/>
          </w:tcPr>
          <w:p>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w:t>
            </w:r>
          </w:p>
        </w:tc>
        <w:tc>
          <w:tcPr>
            <w:tcW w:w="1701" w:type="dxa"/>
            <w:noWrap w:val="0"/>
            <w:vAlign w:val="center"/>
          </w:tcPr>
          <w:p>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2.5</w:t>
            </w:r>
          </w:p>
        </w:tc>
        <w:tc>
          <w:tcPr>
            <w:tcW w:w="1275" w:type="dxa"/>
            <w:vMerge w:val="restart"/>
            <w:noWrap w:val="0"/>
            <w:vAlign w:val="center"/>
          </w:tcPr>
          <w:p>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≥100</w:t>
            </w:r>
          </w:p>
        </w:tc>
        <w:tc>
          <w:tcPr>
            <w:tcW w:w="1134" w:type="dxa"/>
            <w:vMerge w:val="restart"/>
            <w:noWrap w:val="0"/>
            <w:vAlign w:val="center"/>
          </w:tcPr>
          <w:p>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1.6</w:t>
            </w:r>
          </w:p>
        </w:tc>
        <w:tc>
          <w:tcPr>
            <w:tcW w:w="1561" w:type="dxa"/>
            <w:vMerge w:val="restart"/>
            <w:noWrap w:val="0"/>
            <w:vAlign w:val="center"/>
          </w:tcPr>
          <w:p>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75" w:type="dxa"/>
            <w:noWrap w:val="0"/>
            <w:vAlign w:val="center"/>
          </w:tcPr>
          <w:p>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20</w:t>
            </w:r>
          </w:p>
        </w:tc>
        <w:tc>
          <w:tcPr>
            <w:tcW w:w="1701" w:type="dxa"/>
            <w:noWrap w:val="0"/>
            <w:vAlign w:val="center"/>
          </w:tcPr>
          <w:p>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4.0</w:t>
            </w:r>
          </w:p>
        </w:tc>
        <w:tc>
          <w:tcPr>
            <w:tcW w:w="1275" w:type="dxa"/>
            <w:vMerge w:val="continue"/>
            <w:noWrap w:val="0"/>
            <w:vAlign w:val="top"/>
          </w:tcPr>
          <w:p>
            <w:pPr>
              <w:jc w:val="center"/>
              <w:rPr>
                <w:rFonts w:hint="eastAsia" w:ascii="宋体" w:hAnsi="宋体" w:eastAsia="宋体" w:cs="宋体"/>
                <w:b/>
                <w:color w:val="000000" w:themeColor="text1"/>
                <w:sz w:val="24"/>
                <w:szCs w:val="24"/>
                <w14:textFill>
                  <w14:solidFill>
                    <w14:schemeClr w14:val="tx1"/>
                  </w14:solidFill>
                </w14:textFill>
              </w:rPr>
            </w:pPr>
          </w:p>
        </w:tc>
        <w:tc>
          <w:tcPr>
            <w:tcW w:w="1134" w:type="dxa"/>
            <w:vMerge w:val="continue"/>
            <w:noWrap w:val="0"/>
            <w:vAlign w:val="center"/>
          </w:tcPr>
          <w:p>
            <w:pPr>
              <w:jc w:val="center"/>
              <w:rPr>
                <w:rFonts w:hint="eastAsia" w:ascii="宋体" w:hAnsi="宋体" w:eastAsia="宋体" w:cs="宋体"/>
                <w:b/>
                <w:color w:val="000000" w:themeColor="text1"/>
                <w:sz w:val="24"/>
                <w:szCs w:val="24"/>
                <w14:textFill>
                  <w14:solidFill>
                    <w14:schemeClr w14:val="tx1"/>
                  </w14:solidFill>
                </w14:textFill>
              </w:rPr>
            </w:pPr>
          </w:p>
        </w:tc>
        <w:tc>
          <w:tcPr>
            <w:tcW w:w="1561" w:type="dxa"/>
            <w:vMerge w:val="continue"/>
            <w:noWrap w:val="0"/>
            <w:vAlign w:val="center"/>
          </w:tcPr>
          <w:p>
            <w:pPr>
              <w:jc w:val="center"/>
              <w:rPr>
                <w:rFonts w:hint="eastAsia" w:ascii="宋体" w:hAnsi="宋体" w:eastAsia="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75" w:type="dxa"/>
            <w:noWrap w:val="0"/>
            <w:vAlign w:val="center"/>
          </w:tcPr>
          <w:p>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25</w:t>
            </w:r>
          </w:p>
        </w:tc>
        <w:tc>
          <w:tcPr>
            <w:tcW w:w="1701" w:type="dxa"/>
            <w:noWrap w:val="0"/>
            <w:vAlign w:val="center"/>
          </w:tcPr>
          <w:p>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6.3</w:t>
            </w:r>
          </w:p>
        </w:tc>
        <w:tc>
          <w:tcPr>
            <w:tcW w:w="1275" w:type="dxa"/>
            <w:vMerge w:val="continue"/>
            <w:noWrap w:val="0"/>
            <w:vAlign w:val="top"/>
          </w:tcPr>
          <w:p>
            <w:pPr>
              <w:jc w:val="center"/>
              <w:rPr>
                <w:rFonts w:hint="eastAsia" w:ascii="宋体" w:hAnsi="宋体" w:eastAsia="宋体" w:cs="宋体"/>
                <w:b/>
                <w:color w:val="000000" w:themeColor="text1"/>
                <w:sz w:val="24"/>
                <w:szCs w:val="24"/>
                <w14:textFill>
                  <w14:solidFill>
                    <w14:schemeClr w14:val="tx1"/>
                  </w14:solidFill>
                </w14:textFill>
              </w:rPr>
            </w:pPr>
          </w:p>
        </w:tc>
        <w:tc>
          <w:tcPr>
            <w:tcW w:w="1134" w:type="dxa"/>
            <w:vMerge w:val="continue"/>
            <w:noWrap w:val="0"/>
            <w:vAlign w:val="center"/>
          </w:tcPr>
          <w:p>
            <w:pPr>
              <w:jc w:val="center"/>
              <w:rPr>
                <w:rFonts w:hint="eastAsia" w:ascii="宋体" w:hAnsi="宋体" w:eastAsia="宋体" w:cs="宋体"/>
                <w:b/>
                <w:color w:val="000000" w:themeColor="text1"/>
                <w:sz w:val="24"/>
                <w:szCs w:val="24"/>
                <w14:textFill>
                  <w14:solidFill>
                    <w14:schemeClr w14:val="tx1"/>
                  </w14:solidFill>
                </w14:textFill>
              </w:rPr>
            </w:pPr>
          </w:p>
        </w:tc>
        <w:tc>
          <w:tcPr>
            <w:tcW w:w="1561" w:type="dxa"/>
            <w:vMerge w:val="continue"/>
            <w:noWrap w:val="0"/>
            <w:vAlign w:val="center"/>
          </w:tcPr>
          <w:p>
            <w:pPr>
              <w:jc w:val="center"/>
              <w:rPr>
                <w:rFonts w:hint="eastAsia" w:ascii="宋体" w:hAnsi="宋体" w:eastAsia="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noWrap w:val="0"/>
            <w:vAlign w:val="center"/>
          </w:tcPr>
          <w:p>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40</w:t>
            </w:r>
          </w:p>
        </w:tc>
        <w:tc>
          <w:tcPr>
            <w:tcW w:w="1701" w:type="dxa"/>
            <w:noWrap w:val="0"/>
            <w:vAlign w:val="center"/>
          </w:tcPr>
          <w:p>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16.0</w:t>
            </w:r>
          </w:p>
        </w:tc>
        <w:tc>
          <w:tcPr>
            <w:tcW w:w="1275" w:type="dxa"/>
            <w:vMerge w:val="continue"/>
            <w:noWrap w:val="0"/>
            <w:vAlign w:val="top"/>
          </w:tcPr>
          <w:p>
            <w:pPr>
              <w:jc w:val="center"/>
              <w:rPr>
                <w:rFonts w:hint="eastAsia" w:ascii="宋体" w:hAnsi="宋体" w:eastAsia="宋体" w:cs="宋体"/>
                <w:b/>
                <w:color w:val="000000" w:themeColor="text1"/>
                <w:sz w:val="24"/>
                <w:szCs w:val="24"/>
                <w14:textFill>
                  <w14:solidFill>
                    <w14:schemeClr w14:val="tx1"/>
                  </w14:solidFill>
                </w14:textFill>
              </w:rPr>
            </w:pPr>
          </w:p>
        </w:tc>
        <w:tc>
          <w:tcPr>
            <w:tcW w:w="1134" w:type="dxa"/>
            <w:vMerge w:val="continue"/>
            <w:noWrap w:val="0"/>
            <w:vAlign w:val="center"/>
          </w:tcPr>
          <w:p>
            <w:pPr>
              <w:jc w:val="center"/>
              <w:rPr>
                <w:rFonts w:hint="eastAsia" w:ascii="宋体" w:hAnsi="宋体" w:eastAsia="宋体" w:cs="宋体"/>
                <w:b/>
                <w:color w:val="000000" w:themeColor="text1"/>
                <w:sz w:val="24"/>
                <w:szCs w:val="24"/>
                <w14:textFill>
                  <w14:solidFill>
                    <w14:schemeClr w14:val="tx1"/>
                  </w14:solidFill>
                </w14:textFill>
              </w:rPr>
            </w:pPr>
          </w:p>
        </w:tc>
        <w:tc>
          <w:tcPr>
            <w:tcW w:w="1561" w:type="dxa"/>
            <w:vMerge w:val="continue"/>
            <w:noWrap w:val="0"/>
            <w:vAlign w:val="center"/>
          </w:tcPr>
          <w:p>
            <w:pPr>
              <w:jc w:val="center"/>
              <w:rPr>
                <w:rFonts w:hint="eastAsia" w:ascii="宋体" w:hAnsi="宋体" w:eastAsia="宋体" w:cs="宋体"/>
                <w:b/>
                <w:color w:val="000000" w:themeColor="text1"/>
                <w:sz w:val="24"/>
                <w:szCs w:val="24"/>
                <w14:textFill>
                  <w14:solidFill>
                    <w14:schemeClr w14:val="tx1"/>
                  </w14:solidFill>
                </w14:textFill>
              </w:rPr>
            </w:pPr>
          </w:p>
        </w:tc>
      </w:tr>
    </w:tbl>
    <w:p>
      <w:pPr>
        <w:numPr>
          <w:ilvl w:val="0"/>
          <w:numId w:val="0"/>
        </w:numPr>
        <w:spacing w:line="480" w:lineRule="exact"/>
        <w:ind w:left="84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w:t>
      </w:r>
      <w:r>
        <w:rPr>
          <w:rFonts w:hint="eastAsia" w:ascii="宋体" w:hAnsi="宋体" w:eastAsia="宋体" w:cs="宋体"/>
          <w:color w:val="000000" w:themeColor="text1"/>
          <w:sz w:val="24"/>
          <w:szCs w:val="24"/>
          <w14:textFill>
            <w14:solidFill>
              <w14:schemeClr w14:val="tx1"/>
            </w14:solidFill>
          </w14:textFill>
        </w:rPr>
        <w:t>耐水压要求 水表应保证在最大允许工作压力下安全工作。</w:t>
      </w:r>
    </w:p>
    <w:p>
      <w:pPr>
        <w:numPr>
          <w:ilvl w:val="0"/>
          <w:numId w:val="0"/>
        </w:numPr>
        <w:spacing w:line="480" w:lineRule="exact"/>
        <w:ind w:left="84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w:t>
      </w:r>
      <w:r>
        <w:rPr>
          <w:rFonts w:hint="eastAsia" w:ascii="宋体" w:hAnsi="宋体" w:eastAsia="宋体" w:cs="宋体"/>
          <w:color w:val="000000" w:themeColor="text1"/>
          <w:sz w:val="24"/>
          <w:szCs w:val="24"/>
          <w14:textFill>
            <w14:solidFill>
              <w14:schemeClr w14:val="tx1"/>
            </w14:solidFill>
          </w14:textFill>
        </w:rPr>
        <w:t>标志和铭牌</w:t>
      </w:r>
    </w:p>
    <w:p>
      <w:pPr>
        <w:spacing w:line="480" w:lineRule="exact"/>
        <w:ind w:left="567" w:leftChars="270" w:firstLine="470" w:firstLineChars="196"/>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应清楚、永久地在水表外壳、指示装置的度盘或铭牌、不可分离的水表表盖上，集中或分散标明以下信息：</w:t>
      </w:r>
    </w:p>
    <w:p>
      <w:pPr>
        <w:spacing w:line="480" w:lineRule="exact"/>
        <w:ind w:left="567" w:leftChars="270" w:firstLine="470" w:firstLineChars="196"/>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 计量单位：立方米或m</w:t>
      </w:r>
      <w:r>
        <w:rPr>
          <w:rFonts w:hint="eastAsia" w:ascii="宋体" w:hAnsi="宋体" w:eastAsia="宋体" w:cs="宋体"/>
          <w:color w:val="000000" w:themeColor="text1"/>
          <w:kern w:val="0"/>
          <w:sz w:val="24"/>
          <w:szCs w:val="24"/>
          <w:vertAlign w:val="superscript"/>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w:t>
      </w:r>
    </w:p>
    <w:p>
      <w:pPr>
        <w:spacing w:line="480" w:lineRule="exact"/>
        <w:ind w:left="567" w:leftChars="270" w:firstLine="470" w:firstLineChars="196"/>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② 准确度等级：如果不是2级，应标明；</w:t>
      </w:r>
    </w:p>
    <w:p>
      <w:pPr>
        <w:spacing w:line="480" w:lineRule="exact"/>
        <w:ind w:left="567" w:leftChars="270" w:firstLine="470" w:firstLineChars="196"/>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③ Q</w:t>
      </w:r>
      <w:r>
        <w:rPr>
          <w:rFonts w:hint="eastAsia" w:ascii="宋体" w:hAnsi="宋体" w:eastAsia="宋体" w:cs="宋体"/>
          <w:color w:val="000000" w:themeColor="text1"/>
          <w:kern w:val="0"/>
          <w:sz w:val="24"/>
          <w:szCs w:val="24"/>
          <w:vertAlign w:val="subscript"/>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值，Q</w:t>
      </w:r>
      <w:r>
        <w:rPr>
          <w:rFonts w:hint="eastAsia" w:ascii="宋体" w:hAnsi="宋体" w:eastAsia="宋体" w:cs="宋体"/>
          <w:color w:val="000000" w:themeColor="text1"/>
          <w:kern w:val="0"/>
          <w:sz w:val="24"/>
          <w:szCs w:val="24"/>
          <w:vertAlign w:val="subscript"/>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/Q</w:t>
      </w:r>
      <w:r>
        <w:rPr>
          <w:rFonts w:hint="eastAsia" w:ascii="宋体" w:hAnsi="宋体" w:eastAsia="宋体" w:cs="宋体"/>
          <w:color w:val="000000" w:themeColor="text1"/>
          <w:kern w:val="0"/>
          <w:sz w:val="24"/>
          <w:szCs w:val="24"/>
          <w:vertAlign w:val="subscript"/>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的比值，Q</w:t>
      </w:r>
      <w:r>
        <w:rPr>
          <w:rFonts w:hint="eastAsia" w:ascii="宋体" w:hAnsi="宋体" w:eastAsia="宋体" w:cs="宋体"/>
          <w:color w:val="000000" w:themeColor="text1"/>
          <w:kern w:val="0"/>
          <w:sz w:val="24"/>
          <w:szCs w:val="24"/>
          <w:vertAlign w:val="subscript"/>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/Q</w:t>
      </w:r>
      <w:r>
        <w:rPr>
          <w:rFonts w:hint="eastAsia" w:ascii="宋体" w:hAnsi="宋体" w:eastAsia="宋体" w:cs="宋体"/>
          <w:color w:val="000000" w:themeColor="text1"/>
          <w:kern w:val="0"/>
          <w:sz w:val="24"/>
          <w:szCs w:val="24"/>
          <w:vertAlign w:val="subscript"/>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的比值（当不为1.6时应注明）；</w:t>
      </w:r>
    </w:p>
    <w:p>
      <w:pPr>
        <w:spacing w:line="480" w:lineRule="exact"/>
        <w:ind w:left="567" w:leftChars="270" w:firstLine="470" w:firstLineChars="196"/>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④ 制造计量器具许可证标志和编号（进口计量器具应标明型式批准标志和编号）；</w:t>
      </w:r>
    </w:p>
    <w:p>
      <w:pPr>
        <w:spacing w:line="480" w:lineRule="exact"/>
        <w:ind w:left="567" w:leftChars="270" w:firstLine="470" w:firstLineChars="196"/>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⑤ 制造商名称或商标；</w:t>
      </w:r>
    </w:p>
    <w:p>
      <w:pPr>
        <w:spacing w:line="480" w:lineRule="exact"/>
        <w:ind w:left="567" w:leftChars="270" w:firstLine="470" w:firstLineChars="196"/>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⑥ 制造年月和编号（尽可能靠近指标装置）；</w:t>
      </w:r>
    </w:p>
    <w:p>
      <w:pPr>
        <w:spacing w:line="480" w:lineRule="exact"/>
        <w:ind w:left="567" w:leftChars="270" w:firstLine="470" w:firstLineChars="196"/>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⑦ 流向（在水表壳体两侧标志，或者如果在任何情况下都能很容易看到流动方向指示箭头，也可只标志在一侧）；</w:t>
      </w:r>
    </w:p>
    <w:p>
      <w:pPr>
        <w:spacing w:line="480" w:lineRule="exact"/>
        <w:ind w:left="567" w:leftChars="270" w:firstLine="470" w:firstLineChars="196"/>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⑧ 最大允许压力：如果超过1MPa，应标明；</w:t>
      </w:r>
    </w:p>
    <w:p>
      <w:pPr>
        <w:spacing w:line="480" w:lineRule="exact"/>
        <w:ind w:left="567" w:leftChars="270" w:firstLine="470" w:firstLineChars="196"/>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⑨ 安装方式：如果只能水平或垂直安装，应标明（H代表水平安装，V代表垂直安装）；</w:t>
      </w:r>
    </w:p>
    <w:p>
      <w:pPr>
        <w:spacing w:line="480" w:lineRule="exact"/>
        <w:ind w:left="567" w:leftChars="270" w:firstLine="470" w:firstLineChars="196"/>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⑩ 温度等级：如果不为T30，应标明；</w:t>
      </w:r>
    </w:p>
    <w:p>
      <w:pPr>
        <w:spacing w:line="480" w:lineRule="exact"/>
        <w:ind w:left="567" w:leftChars="270" w:firstLine="470" w:firstLineChars="196"/>
        <w:rPr>
          <w:rFonts w:hint="eastAsia" w:ascii="宋体" w:hAnsi="宋体" w:eastAsia="宋体" w:cs="宋体"/>
          <w:color w:val="000000" w:themeColor="text1"/>
          <w:kern w:val="0"/>
          <w:sz w:val="24"/>
          <w:szCs w:val="24"/>
          <w:vertAlign w:val="superscript"/>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⑪ 最大压力损失：如果不为0.063MPa</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应标明</w:t>
      </w:r>
      <w:r>
        <w:rPr>
          <w:rFonts w:hint="eastAsia" w:ascii="宋体" w:hAnsi="宋体" w:eastAsia="宋体" w:cs="宋体"/>
          <w:color w:val="000000" w:themeColor="text1"/>
          <w:kern w:val="0"/>
          <w:sz w:val="24"/>
          <w:szCs w:val="24"/>
          <w:lang w:eastAsia="zh-CN"/>
          <w14:textFill>
            <w14:solidFill>
              <w14:schemeClr w14:val="tx1"/>
            </w14:solidFill>
          </w14:textFill>
        </w:rPr>
        <w:t>。</w:t>
      </w:r>
    </w:p>
    <w:p>
      <w:pPr>
        <w:spacing w:line="480" w:lineRule="exact"/>
        <w:ind w:left="567" w:leftChars="270" w:firstLine="470" w:firstLineChars="196"/>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应附有产品使用说明书。</w:t>
      </w:r>
    </w:p>
    <w:p>
      <w:pPr>
        <w:numPr>
          <w:ilvl w:val="0"/>
          <w:numId w:val="0"/>
        </w:numPr>
        <w:spacing w:line="480" w:lineRule="exact"/>
        <w:ind w:left="84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2.9</w:t>
      </w:r>
      <w:r>
        <w:rPr>
          <w:rFonts w:hint="eastAsia" w:ascii="宋体" w:hAnsi="宋体" w:eastAsia="宋体" w:cs="宋体"/>
          <w:color w:val="000000" w:themeColor="text1"/>
          <w:sz w:val="24"/>
          <w:szCs w:val="24"/>
          <w14:textFill>
            <w14:solidFill>
              <w14:schemeClr w14:val="tx1"/>
            </w14:solidFill>
          </w14:textFill>
        </w:rPr>
        <w:t>表壳</w:t>
      </w:r>
    </w:p>
    <w:p>
      <w:pPr>
        <w:pStyle w:val="3"/>
        <w:spacing w:line="480" w:lineRule="exact"/>
        <w:ind w:left="16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① 铸造铅黄铜 </w:t>
      </w:r>
      <w:r>
        <w:rPr>
          <w:rFonts w:hint="eastAsia" w:ascii="宋体" w:hAnsi="宋体" w:eastAsia="宋体" w:cs="宋体"/>
          <w:color w:val="000000" w:themeColor="text1"/>
          <w:spacing w:val="-3"/>
          <w:sz w:val="24"/>
          <w:szCs w:val="24"/>
          <w14:textFill>
            <w14:solidFill>
              <w14:schemeClr w14:val="tx1"/>
            </w14:solidFill>
          </w14:textFill>
        </w:rPr>
        <w:t>Z</w:t>
      </w:r>
      <w:r>
        <w:rPr>
          <w:rFonts w:hint="eastAsia" w:ascii="宋体" w:hAnsi="宋体" w:eastAsia="宋体" w:cs="宋体"/>
          <w:color w:val="000000" w:themeColor="text1"/>
          <w:sz w:val="24"/>
          <w:szCs w:val="24"/>
          <w14:textFill>
            <w14:solidFill>
              <w14:schemeClr w14:val="tx1"/>
            </w14:solidFill>
          </w14:textFill>
        </w:rPr>
        <w:t>CuZ</w:t>
      </w:r>
      <w:r>
        <w:rPr>
          <w:rFonts w:hint="eastAsia" w:ascii="宋体" w:hAnsi="宋体" w:eastAsia="宋体" w:cs="宋体"/>
          <w:color w:val="000000" w:themeColor="text1"/>
          <w:spacing w:val="-5"/>
          <w:sz w:val="24"/>
          <w:szCs w:val="24"/>
          <w14:textFill>
            <w14:solidFill>
              <w14:schemeClr w14:val="tx1"/>
            </w14:solidFill>
          </w14:textFill>
        </w:rPr>
        <w:t>n</w:t>
      </w:r>
      <w:r>
        <w:rPr>
          <w:rFonts w:hint="eastAsia" w:ascii="宋体" w:hAnsi="宋体" w:eastAsia="宋体" w:cs="宋体"/>
          <w:color w:val="000000" w:themeColor="text1"/>
          <w:sz w:val="24"/>
          <w:szCs w:val="24"/>
          <w14:textFill>
            <w14:solidFill>
              <w14:schemeClr w14:val="tx1"/>
            </w14:solidFill>
          </w14:textFill>
        </w:rPr>
        <w:t>40</w:t>
      </w:r>
      <w:r>
        <w:rPr>
          <w:rFonts w:hint="eastAsia" w:ascii="宋体" w:hAnsi="宋体" w:eastAsia="宋体" w:cs="宋体"/>
          <w:color w:val="000000" w:themeColor="text1"/>
          <w:spacing w:val="5"/>
          <w:sz w:val="24"/>
          <w:szCs w:val="24"/>
          <w14:textFill>
            <w14:solidFill>
              <w14:schemeClr w14:val="tx1"/>
            </w14:solidFill>
          </w14:textFill>
        </w:rPr>
        <w:t>P</w:t>
      </w:r>
      <w:r>
        <w:rPr>
          <w:rFonts w:hint="eastAsia" w:ascii="宋体" w:hAnsi="宋体" w:eastAsia="宋体" w:cs="宋体"/>
          <w:color w:val="000000" w:themeColor="text1"/>
          <w:spacing w:val="-5"/>
          <w:sz w:val="24"/>
          <w:szCs w:val="24"/>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 xml:space="preserve">2 </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pacing w:val="13"/>
          <w:sz w:val="24"/>
          <w:szCs w:val="24"/>
          <w14:textFill>
            <w14:solidFill>
              <w14:schemeClr w14:val="tx1"/>
            </w14:solidFill>
          </w14:textFill>
        </w:rPr>
        <w:t>G</w:t>
      </w:r>
      <w:r>
        <w:rPr>
          <w:rFonts w:hint="eastAsia" w:ascii="宋体" w:hAnsi="宋体" w:eastAsia="宋体" w:cs="宋体"/>
          <w:color w:val="000000" w:themeColor="text1"/>
          <w:spacing w:val="3"/>
          <w:sz w:val="24"/>
          <w:szCs w:val="24"/>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/T</w:t>
      </w:r>
      <w:r>
        <w:rPr>
          <w:rFonts w:hint="eastAsia" w:ascii="宋体" w:hAnsi="宋体" w:eastAsia="宋体" w:cs="宋体"/>
          <w:color w:val="000000" w:themeColor="text1"/>
          <w:spacing w:val="7"/>
          <w:sz w:val="24"/>
          <w:szCs w:val="24"/>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176</w:t>
      </w:r>
      <w:r>
        <w:rPr>
          <w:rFonts w:hint="eastAsia" w:ascii="宋体" w:hAnsi="宋体" w:eastAsia="宋体" w:cs="宋体"/>
          <w:color w:val="000000" w:themeColor="text1"/>
          <w:sz w:val="24"/>
          <w:szCs w:val="24"/>
          <w:lang w:val="en-US" w:eastAsia="zh-CN"/>
          <w14:textFill>
            <w14:solidFill>
              <w14:schemeClr w14:val="tx1"/>
            </w14:solidFill>
          </w14:textFill>
        </w:rPr>
        <w:t>-2013</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或者不锈钢或者</w:t>
      </w:r>
      <w:r>
        <w:rPr>
          <w:rFonts w:hint="eastAsia" w:ascii="宋体" w:hAnsi="宋体" w:eastAsia="宋体" w:cs="宋体"/>
          <w:color w:val="000000" w:themeColor="text1"/>
          <w:sz w:val="24"/>
          <w:szCs w:val="24"/>
          <w14:textFill>
            <w14:solidFill>
              <w14:schemeClr w14:val="tx1"/>
            </w14:solidFill>
          </w14:textFill>
        </w:rPr>
        <w:t>球墨铸铁QT450-1</w:t>
      </w:r>
      <w:r>
        <w:rPr>
          <w:rFonts w:hint="eastAsia" w:ascii="宋体" w:hAnsi="宋体" w:eastAsia="宋体" w:cs="宋体"/>
          <w:color w:val="000000" w:themeColor="text1"/>
          <w:spacing w:val="1"/>
          <w:sz w:val="24"/>
          <w:szCs w:val="24"/>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w:t>
      </w:r>
    </w:p>
    <w:p>
      <w:pPr>
        <w:pStyle w:val="3"/>
        <w:tabs>
          <w:tab w:val="left" w:pos="2395"/>
        </w:tabs>
        <w:spacing w:line="480" w:lineRule="exact"/>
        <w:ind w:left="16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 聚酯喷涂；</w:t>
      </w:r>
      <w:r>
        <w:rPr>
          <w:rFonts w:hint="eastAsia" w:ascii="宋体" w:hAnsi="宋体" w:eastAsia="宋体" w:cs="宋体"/>
          <w:color w:val="000000" w:themeColor="text1"/>
          <w:sz w:val="24"/>
          <w:szCs w:val="24"/>
          <w14:textFill>
            <w14:solidFill>
              <w14:schemeClr w14:val="tx1"/>
            </w14:solidFill>
          </w14:textFill>
        </w:rPr>
        <w:tab/>
      </w:r>
    </w:p>
    <w:p>
      <w:pPr>
        <w:pStyle w:val="3"/>
        <w:tabs>
          <w:tab w:val="left" w:pos="2395"/>
        </w:tabs>
        <w:spacing w:line="480" w:lineRule="exact"/>
        <w:ind w:left="16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 水蓝色。</w:t>
      </w:r>
    </w:p>
    <w:p>
      <w:pPr>
        <w:numPr>
          <w:ilvl w:val="0"/>
          <w:numId w:val="0"/>
        </w:numPr>
        <w:spacing w:line="480" w:lineRule="exact"/>
        <w:ind w:left="84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2.10</w:t>
      </w:r>
      <w:r>
        <w:rPr>
          <w:rFonts w:hint="eastAsia" w:ascii="宋体" w:hAnsi="宋体" w:eastAsia="宋体" w:cs="宋体"/>
          <w:color w:val="000000" w:themeColor="text1"/>
          <w:sz w:val="24"/>
          <w:szCs w:val="24"/>
          <w14:textFill>
            <w14:solidFill>
              <w14:schemeClr w14:val="tx1"/>
            </w14:solidFill>
          </w14:textFill>
        </w:rPr>
        <w:t>管接头</w:t>
      </w:r>
    </w:p>
    <w:p>
      <w:pPr>
        <w:pStyle w:val="3"/>
        <w:spacing w:line="480" w:lineRule="exact"/>
        <w:ind w:left="16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铸造铅黄铜 </w:t>
      </w:r>
      <w:r>
        <w:rPr>
          <w:rFonts w:hint="eastAsia" w:ascii="宋体" w:hAnsi="宋体" w:eastAsia="宋体" w:cs="宋体"/>
          <w:color w:val="000000" w:themeColor="text1"/>
          <w:spacing w:val="-3"/>
          <w:sz w:val="24"/>
          <w:szCs w:val="24"/>
          <w14:textFill>
            <w14:solidFill>
              <w14:schemeClr w14:val="tx1"/>
            </w14:solidFill>
          </w14:textFill>
        </w:rPr>
        <w:t>Z</w:t>
      </w:r>
      <w:r>
        <w:rPr>
          <w:rFonts w:hint="eastAsia" w:ascii="宋体" w:hAnsi="宋体" w:eastAsia="宋体" w:cs="宋体"/>
          <w:color w:val="000000" w:themeColor="text1"/>
          <w:sz w:val="24"/>
          <w:szCs w:val="24"/>
          <w14:textFill>
            <w14:solidFill>
              <w14:schemeClr w14:val="tx1"/>
            </w14:solidFill>
          </w14:textFill>
        </w:rPr>
        <w:t>CuZ</w:t>
      </w:r>
      <w:r>
        <w:rPr>
          <w:rFonts w:hint="eastAsia" w:ascii="宋体" w:hAnsi="宋体" w:eastAsia="宋体" w:cs="宋体"/>
          <w:color w:val="000000" w:themeColor="text1"/>
          <w:spacing w:val="-5"/>
          <w:sz w:val="24"/>
          <w:szCs w:val="24"/>
          <w14:textFill>
            <w14:solidFill>
              <w14:schemeClr w14:val="tx1"/>
            </w14:solidFill>
          </w14:textFill>
        </w:rPr>
        <w:t>n</w:t>
      </w:r>
      <w:r>
        <w:rPr>
          <w:rFonts w:hint="eastAsia" w:ascii="宋体" w:hAnsi="宋体" w:eastAsia="宋体" w:cs="宋体"/>
          <w:color w:val="000000" w:themeColor="text1"/>
          <w:sz w:val="24"/>
          <w:szCs w:val="24"/>
          <w14:textFill>
            <w14:solidFill>
              <w14:schemeClr w14:val="tx1"/>
            </w14:solidFill>
          </w14:textFill>
        </w:rPr>
        <w:t>40</w:t>
      </w:r>
      <w:r>
        <w:rPr>
          <w:rFonts w:hint="eastAsia" w:ascii="宋体" w:hAnsi="宋体" w:eastAsia="宋体" w:cs="宋体"/>
          <w:color w:val="000000" w:themeColor="text1"/>
          <w:spacing w:val="5"/>
          <w:sz w:val="24"/>
          <w:szCs w:val="24"/>
          <w14:textFill>
            <w14:solidFill>
              <w14:schemeClr w14:val="tx1"/>
            </w14:solidFill>
          </w14:textFill>
        </w:rPr>
        <w:t>P</w:t>
      </w:r>
      <w:r>
        <w:rPr>
          <w:rFonts w:hint="eastAsia" w:ascii="宋体" w:hAnsi="宋体" w:eastAsia="宋体" w:cs="宋体"/>
          <w:color w:val="000000" w:themeColor="text1"/>
          <w:spacing w:val="-5"/>
          <w:sz w:val="24"/>
          <w:szCs w:val="24"/>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pacing w:val="2"/>
          <w:sz w:val="24"/>
          <w:szCs w:val="24"/>
          <w14:textFill>
            <w14:solidFill>
              <w14:schemeClr w14:val="tx1"/>
            </w14:solidFill>
          </w14:textFill>
        </w:rPr>
        <w:t xml:space="preserve"> (</w:t>
      </w:r>
      <w:r>
        <w:rPr>
          <w:rFonts w:hint="eastAsia" w:ascii="宋体" w:hAnsi="宋体" w:eastAsia="宋体" w:cs="宋体"/>
          <w:color w:val="000000" w:themeColor="text1"/>
          <w:spacing w:val="13"/>
          <w:sz w:val="24"/>
          <w:szCs w:val="24"/>
          <w14:textFill>
            <w14:solidFill>
              <w14:schemeClr w14:val="tx1"/>
            </w14:solidFill>
          </w14:textFill>
        </w:rPr>
        <w:t>G</w:t>
      </w:r>
      <w:r>
        <w:rPr>
          <w:rFonts w:hint="eastAsia" w:ascii="宋体" w:hAnsi="宋体" w:eastAsia="宋体" w:cs="宋体"/>
          <w:color w:val="000000" w:themeColor="text1"/>
          <w:spacing w:val="3"/>
          <w:sz w:val="24"/>
          <w:szCs w:val="24"/>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/T</w:t>
      </w:r>
      <w:r>
        <w:rPr>
          <w:rFonts w:hint="eastAsia" w:ascii="宋体" w:hAnsi="宋体" w:eastAsia="宋体" w:cs="宋体"/>
          <w:color w:val="000000" w:themeColor="text1"/>
          <w:spacing w:val="7"/>
          <w:sz w:val="24"/>
          <w:szCs w:val="24"/>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176)</w:t>
      </w:r>
      <w:r>
        <w:rPr>
          <w:rFonts w:hint="eastAsia" w:ascii="宋体" w:hAnsi="宋体" w:eastAsia="宋体" w:cs="宋体"/>
          <w:color w:val="000000" w:themeColor="text1"/>
          <w:sz w:val="24"/>
          <w:szCs w:val="24"/>
          <w:lang w:val="en-US" w:eastAsia="zh-CN"/>
          <w14:textFill>
            <w14:solidFill>
              <w14:schemeClr w14:val="tx1"/>
            </w14:solidFill>
          </w14:textFill>
        </w:rPr>
        <w:t>或者不锈钢</w:t>
      </w:r>
      <w:r>
        <w:rPr>
          <w:rFonts w:hint="eastAsia" w:ascii="宋体" w:hAnsi="宋体" w:eastAsia="宋体" w:cs="宋体"/>
          <w:color w:val="000000" w:themeColor="text1"/>
          <w:sz w:val="24"/>
          <w:szCs w:val="24"/>
          <w14:textFill>
            <w14:solidFill>
              <w14:schemeClr w14:val="tx1"/>
            </w14:solidFill>
          </w14:textFill>
        </w:rPr>
        <w:t xml:space="preserve">； </w:t>
      </w:r>
    </w:p>
    <w:p>
      <w:pPr>
        <w:pStyle w:val="3"/>
        <w:spacing w:line="480" w:lineRule="exact"/>
        <w:ind w:left="16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采用铸造铅黄铜生产的管接头尺寸和重量见图</w:t>
      </w:r>
      <w:r>
        <w:rPr>
          <w:rFonts w:hint="eastAsia" w:ascii="宋体" w:hAnsi="宋体" w:eastAsia="宋体" w:cs="宋体"/>
          <w:color w:val="000000" w:themeColor="text1"/>
          <w:spacing w:val="-63"/>
          <w:sz w:val="24"/>
          <w:szCs w:val="24"/>
          <w14:textFill>
            <w14:solidFill>
              <w14:schemeClr w14:val="tx1"/>
            </w14:solidFill>
          </w14:textFill>
        </w:rPr>
        <w:t xml:space="preserve"> </w:t>
      </w:r>
      <w:r>
        <w:rPr>
          <w:rFonts w:hint="eastAsia" w:ascii="宋体" w:hAnsi="宋体" w:eastAsia="宋体" w:cs="宋体"/>
          <w:color w:val="000000" w:themeColor="text1"/>
          <w:spacing w:val="-6"/>
          <w:sz w:val="24"/>
          <w:szCs w:val="24"/>
          <w14:textFill>
            <w14:solidFill>
              <w14:schemeClr w14:val="tx1"/>
            </w14:solidFill>
          </w14:textFill>
        </w:rPr>
        <w:t>A</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pacing w:val="-3"/>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和</w:t>
      </w:r>
      <w:r>
        <w:rPr>
          <w:rFonts w:hint="eastAsia" w:ascii="宋体" w:hAnsi="宋体" w:eastAsia="宋体" w:cs="宋体"/>
          <w:color w:val="000000" w:themeColor="text1"/>
          <w:sz w:val="24"/>
          <w:szCs w:val="24"/>
          <w14:textFill>
            <w14:solidFill>
              <w14:schemeClr w14:val="tx1"/>
            </w14:solidFill>
          </w14:textFill>
        </w:rPr>
        <w:t>表</w:t>
      </w:r>
      <w:r>
        <w:rPr>
          <w:rFonts w:hint="eastAsia" w:ascii="宋体" w:hAnsi="宋体" w:eastAsia="宋体" w:cs="宋体"/>
          <w:color w:val="000000" w:themeColor="text1"/>
          <w:spacing w:val="-58"/>
          <w:sz w:val="24"/>
          <w:szCs w:val="24"/>
          <w14:textFill>
            <w14:solidFill>
              <w14:schemeClr w14:val="tx1"/>
            </w14:solidFill>
          </w14:textFill>
        </w:rPr>
        <w:t xml:space="preserve"> </w:t>
      </w:r>
      <w:r>
        <w:rPr>
          <w:rFonts w:hint="eastAsia" w:ascii="宋体" w:hAnsi="宋体" w:eastAsia="宋体" w:cs="宋体"/>
          <w:color w:val="000000" w:themeColor="text1"/>
          <w:spacing w:val="-6"/>
          <w:sz w:val="24"/>
          <w:szCs w:val="24"/>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.1</w:t>
      </w:r>
    </w:p>
    <w:p>
      <w:pPr>
        <w:ind w:left="539"/>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drawing>
          <wp:inline distT="0" distB="0" distL="114300" distR="114300">
            <wp:extent cx="3183890" cy="2123440"/>
            <wp:effectExtent l="0" t="0" r="16510" b="10160"/>
            <wp:docPr id="3" name="图片 1" descr="无标题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无标题2.jpg"/>
                    <pic:cNvPicPr>
                      <a:picLocks noChangeAspect="1"/>
                    </pic:cNvPicPr>
                  </pic:nvPicPr>
                  <pic:blipFill>
                    <a:blip r:embed="rId4"/>
                    <a:stretch>
                      <a:fillRect/>
                    </a:stretch>
                  </pic:blipFill>
                  <pic:spPr>
                    <a:xfrm>
                      <a:off x="0" y="0"/>
                      <a:ext cx="3183890" cy="2123440"/>
                    </a:xfrm>
                    <a:prstGeom prst="rect">
                      <a:avLst/>
                    </a:prstGeom>
                    <a:noFill/>
                    <a:ln>
                      <a:noFill/>
                    </a:ln>
                  </pic:spPr>
                </pic:pic>
              </a:graphicData>
            </a:graphic>
          </wp:inline>
        </w:drawing>
      </w:r>
    </w:p>
    <w:p>
      <w:pPr>
        <w:spacing w:line="480" w:lineRule="exact"/>
        <w:ind w:left="537"/>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图</w:t>
      </w:r>
      <w:r>
        <w:rPr>
          <w:rFonts w:hint="eastAsia" w:ascii="宋体" w:hAnsi="宋体" w:eastAsia="宋体" w:cs="宋体"/>
          <w:color w:val="000000" w:themeColor="text1"/>
          <w:spacing w:val="-53"/>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.1</w:t>
      </w:r>
    </w:p>
    <w:p>
      <w:pPr>
        <w:spacing w:line="480" w:lineRule="exact"/>
        <w:ind w:left="3446"/>
        <w:rPr>
          <w:rFonts w:hint="eastAsia" w:ascii="宋体" w:hAnsi="宋体" w:eastAsia="宋体" w:cs="宋体"/>
          <w:color w:val="000000" w:themeColor="text1"/>
          <w:sz w:val="24"/>
          <w:szCs w:val="24"/>
          <w14:textFill>
            <w14:solidFill>
              <w14:schemeClr w14:val="tx1"/>
            </w14:solidFill>
          </w14:textFill>
        </w:rPr>
      </w:pPr>
    </w:p>
    <w:p>
      <w:pPr>
        <w:spacing w:line="480" w:lineRule="exact"/>
        <w:ind w:left="3446"/>
        <w:rPr>
          <w:rFonts w:hint="eastAsia" w:ascii="宋体" w:hAnsi="宋体" w:eastAsia="宋体" w:cs="宋体"/>
          <w:color w:val="000000" w:themeColor="text1"/>
          <w:sz w:val="24"/>
          <w:szCs w:val="24"/>
          <w14:textFill>
            <w14:solidFill>
              <w14:schemeClr w14:val="tx1"/>
            </w14:solidFill>
          </w14:textFill>
        </w:rPr>
      </w:pPr>
    </w:p>
    <w:p>
      <w:pPr>
        <w:spacing w:line="480" w:lineRule="exact"/>
        <w:ind w:left="344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表</w:t>
      </w:r>
      <w:r>
        <w:rPr>
          <w:rFonts w:hint="eastAsia" w:ascii="宋体" w:hAnsi="宋体" w:eastAsia="宋体" w:cs="宋体"/>
          <w:color w:val="000000" w:themeColor="text1"/>
          <w:spacing w:val="-53"/>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pacing w:val="52"/>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管接头尺</w:t>
      </w:r>
      <w:r>
        <w:rPr>
          <w:rFonts w:hint="eastAsia" w:ascii="宋体" w:hAnsi="宋体" w:eastAsia="宋体" w:cs="宋体"/>
          <w:color w:val="000000" w:themeColor="text1"/>
          <w:spacing w:val="-5"/>
          <w:sz w:val="24"/>
          <w:szCs w:val="24"/>
          <w14:textFill>
            <w14:solidFill>
              <w14:schemeClr w14:val="tx1"/>
            </w14:solidFill>
          </w14:textFill>
        </w:rPr>
        <w:t>寸</w:t>
      </w:r>
      <w:r>
        <w:rPr>
          <w:rFonts w:hint="eastAsia" w:ascii="宋体" w:hAnsi="宋体" w:eastAsia="宋体" w:cs="宋体"/>
          <w:color w:val="000000" w:themeColor="text1"/>
          <w:sz w:val="24"/>
          <w:szCs w:val="24"/>
          <w14:textFill>
            <w14:solidFill>
              <w14:schemeClr w14:val="tx1"/>
            </w14:solidFill>
          </w14:textFill>
        </w:rPr>
        <w:t>及重量</w:t>
      </w:r>
    </w:p>
    <w:tbl>
      <w:tblPr>
        <w:tblStyle w:val="8"/>
        <w:tblW w:w="8238" w:type="dxa"/>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93"/>
        <w:gridCol w:w="1349"/>
        <w:gridCol w:w="1349"/>
        <w:gridCol w:w="1349"/>
        <w:gridCol w:w="1349"/>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exact"/>
        </w:trPr>
        <w:tc>
          <w:tcPr>
            <w:tcW w:w="1493" w:type="dxa"/>
            <w:vMerge w:val="restart"/>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水表管接头</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5396" w:type="dxa"/>
            <w:gridSpan w:val="4"/>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控制尺寸mm</w:t>
            </w:r>
          </w:p>
        </w:tc>
        <w:tc>
          <w:tcPr>
            <w:tcW w:w="1349" w:type="dxa"/>
            <w:vMerge w:val="restart"/>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重量 g</w:t>
            </w:r>
          </w:p>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exact"/>
        </w:trPr>
        <w:tc>
          <w:tcPr>
            <w:tcW w:w="1493" w:type="dxa"/>
            <w:vMerge w:val="continue"/>
            <w:noWrap w:val="0"/>
            <w:vAlign w:val="center"/>
          </w:tcPr>
          <w:p>
            <w:pPr>
              <w:spacing w:line="480" w:lineRule="exact"/>
              <w:jc w:val="center"/>
              <w:rPr>
                <w:rFonts w:hint="eastAsia" w:ascii="宋体" w:hAnsi="宋体" w:eastAsia="宋体" w:cs="宋体"/>
                <w:color w:val="000000" w:themeColor="text1"/>
                <w:sz w:val="24"/>
                <w:szCs w:val="24"/>
                <w14:textFill>
                  <w14:solidFill>
                    <w14:schemeClr w14:val="tx1"/>
                  </w14:solidFill>
                </w14:textFill>
              </w:rPr>
            </w:pPr>
          </w:p>
        </w:tc>
        <w:tc>
          <w:tcPr>
            <w:tcW w:w="1349" w:type="dxa"/>
            <w:noWrap w:val="0"/>
            <w:vAlign w:val="center"/>
          </w:tcPr>
          <w:p>
            <w:pPr>
              <w:pStyle w:val="11"/>
              <w:spacing w:line="480" w:lineRule="exact"/>
              <w:ind w:left="584"/>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L</w:t>
            </w:r>
            <w:r>
              <w:rPr>
                <w:rFonts w:hint="eastAsia" w:ascii="宋体" w:hAnsi="宋体" w:eastAsia="宋体" w:cs="宋体"/>
                <w:color w:val="000000" w:themeColor="text1"/>
                <w:sz w:val="24"/>
                <w:szCs w:val="24"/>
                <w14:textFill>
                  <w14:solidFill>
                    <w14:schemeClr w14:val="tx1"/>
                  </w14:solidFill>
                </w14:textFill>
              </w:rPr>
              <w:t>±1</w:t>
            </w:r>
          </w:p>
        </w:tc>
        <w:tc>
          <w:tcPr>
            <w:tcW w:w="1349" w:type="dxa"/>
            <w:noWrap w:val="0"/>
            <w:vAlign w:val="center"/>
          </w:tcPr>
          <w:p>
            <w:pPr>
              <w:pStyle w:val="11"/>
              <w:spacing w:line="480" w:lineRule="exact"/>
              <w:ind w:left="529" w:right="43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L</w:t>
            </w:r>
            <w:r>
              <w:rPr>
                <w:rFonts w:hint="eastAsia" w:ascii="宋体" w:hAnsi="宋体" w:eastAsia="宋体" w:cs="宋体"/>
                <w:color w:val="000000" w:themeColor="text1"/>
                <w:sz w:val="24"/>
                <w:szCs w:val="24"/>
                <w14:textFill>
                  <w14:solidFill>
                    <w14:schemeClr w14:val="tx1"/>
                  </w14:solidFill>
                </w14:textFill>
              </w:rPr>
              <w:t>1</w:t>
            </w:r>
          </w:p>
        </w:tc>
        <w:tc>
          <w:tcPr>
            <w:tcW w:w="1349" w:type="dxa"/>
            <w:noWrap w:val="0"/>
            <w:vAlign w:val="center"/>
          </w:tcPr>
          <w:p>
            <w:pPr>
              <w:pStyle w:val="11"/>
              <w:spacing w:line="480" w:lineRule="exact"/>
              <w:ind w:right="4"/>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D</w:t>
            </w:r>
          </w:p>
        </w:tc>
        <w:tc>
          <w:tcPr>
            <w:tcW w:w="1349" w:type="dxa"/>
            <w:noWrap w:val="0"/>
            <w:vAlign w:val="center"/>
          </w:tcPr>
          <w:p>
            <w:pPr>
              <w:pStyle w:val="11"/>
              <w:spacing w:line="480" w:lineRule="exact"/>
              <w:ind w:left="12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D1</w:t>
            </w:r>
          </w:p>
        </w:tc>
        <w:tc>
          <w:tcPr>
            <w:tcW w:w="1349" w:type="dxa"/>
            <w:vMerge w:val="continue"/>
            <w:noWrap w:val="0"/>
            <w:vAlign w:val="center"/>
          </w:tcPr>
          <w:p>
            <w:pPr>
              <w:spacing w:line="480" w:lineRule="exact"/>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trPr>
        <w:tc>
          <w:tcPr>
            <w:tcW w:w="1493"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R1/2</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45</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24.0</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trPr>
        <w:tc>
          <w:tcPr>
            <w:tcW w:w="1493"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R3/4</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50</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29.5</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exact"/>
        </w:trPr>
        <w:tc>
          <w:tcPr>
            <w:tcW w:w="1493"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R1</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58</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38.5</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trPr>
        <w:tc>
          <w:tcPr>
            <w:tcW w:w="1493"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R1 1/4</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60</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4.0</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44.5</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exact"/>
        </w:trPr>
        <w:tc>
          <w:tcPr>
            <w:tcW w:w="1493"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R11/2</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4.0</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40</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56.0</w:t>
            </w:r>
          </w:p>
        </w:tc>
        <w:tc>
          <w:tcPr>
            <w:tcW w:w="1349"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≥280</w:t>
            </w:r>
          </w:p>
        </w:tc>
      </w:tr>
    </w:tbl>
    <w:p>
      <w:pPr>
        <w:numPr>
          <w:ilvl w:val="0"/>
          <w:numId w:val="0"/>
        </w:numPr>
        <w:spacing w:line="480" w:lineRule="exact"/>
        <w:ind w:left="84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2.11</w:t>
      </w:r>
      <w:r>
        <w:rPr>
          <w:rFonts w:hint="eastAsia" w:ascii="宋体" w:hAnsi="宋体" w:eastAsia="宋体" w:cs="宋体"/>
          <w:color w:val="000000" w:themeColor="text1"/>
          <w:sz w:val="24"/>
          <w:szCs w:val="24"/>
          <w14:textFill>
            <w14:solidFill>
              <w14:schemeClr w14:val="tx1"/>
            </w14:solidFill>
          </w14:textFill>
        </w:rPr>
        <w:t>连接螺母和水表罩子</w:t>
      </w:r>
    </w:p>
    <w:p>
      <w:pPr>
        <w:pStyle w:val="3"/>
        <w:tabs>
          <w:tab w:val="left" w:pos="3555"/>
        </w:tabs>
        <w:spacing w:line="480" w:lineRule="exact"/>
        <w:ind w:left="168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铸造铅黄铜 </w:t>
      </w:r>
      <w:r>
        <w:rPr>
          <w:rFonts w:hint="eastAsia" w:ascii="宋体" w:hAnsi="宋体" w:eastAsia="宋体" w:cs="宋体"/>
          <w:color w:val="000000" w:themeColor="text1"/>
          <w:spacing w:val="-3"/>
          <w:sz w:val="24"/>
          <w:szCs w:val="24"/>
          <w14:textFill>
            <w14:solidFill>
              <w14:schemeClr w14:val="tx1"/>
            </w14:solidFill>
          </w14:textFill>
        </w:rPr>
        <w:t>Z</w:t>
      </w:r>
      <w:r>
        <w:rPr>
          <w:rFonts w:hint="eastAsia" w:ascii="宋体" w:hAnsi="宋体" w:eastAsia="宋体" w:cs="宋体"/>
          <w:color w:val="000000" w:themeColor="text1"/>
          <w:sz w:val="24"/>
          <w:szCs w:val="24"/>
          <w14:textFill>
            <w14:solidFill>
              <w14:schemeClr w14:val="tx1"/>
            </w14:solidFill>
          </w14:textFill>
        </w:rPr>
        <w:t>CuZ</w:t>
      </w:r>
      <w:r>
        <w:rPr>
          <w:rFonts w:hint="eastAsia" w:ascii="宋体" w:hAnsi="宋体" w:eastAsia="宋体" w:cs="宋体"/>
          <w:color w:val="000000" w:themeColor="text1"/>
          <w:spacing w:val="-5"/>
          <w:sz w:val="24"/>
          <w:szCs w:val="24"/>
          <w14:textFill>
            <w14:solidFill>
              <w14:schemeClr w14:val="tx1"/>
            </w14:solidFill>
          </w14:textFill>
        </w:rPr>
        <w:t>n</w:t>
      </w:r>
      <w:r>
        <w:rPr>
          <w:rFonts w:hint="eastAsia" w:ascii="宋体" w:hAnsi="宋体" w:eastAsia="宋体" w:cs="宋体"/>
          <w:color w:val="000000" w:themeColor="text1"/>
          <w:sz w:val="24"/>
          <w:szCs w:val="24"/>
          <w14:textFill>
            <w14:solidFill>
              <w14:schemeClr w14:val="tx1"/>
            </w14:solidFill>
          </w14:textFill>
        </w:rPr>
        <w:t>40</w:t>
      </w:r>
      <w:r>
        <w:rPr>
          <w:rFonts w:hint="eastAsia" w:ascii="宋体" w:hAnsi="宋体" w:eastAsia="宋体" w:cs="宋体"/>
          <w:color w:val="000000" w:themeColor="text1"/>
          <w:spacing w:val="5"/>
          <w:sz w:val="24"/>
          <w:szCs w:val="24"/>
          <w14:textFill>
            <w14:solidFill>
              <w14:schemeClr w14:val="tx1"/>
            </w14:solidFill>
          </w14:textFill>
        </w:rPr>
        <w:t>P</w:t>
      </w:r>
      <w:r>
        <w:rPr>
          <w:rFonts w:hint="eastAsia" w:ascii="宋体" w:hAnsi="宋体" w:eastAsia="宋体" w:cs="宋体"/>
          <w:color w:val="000000" w:themeColor="text1"/>
          <w:spacing w:val="-5"/>
          <w:sz w:val="24"/>
          <w:szCs w:val="24"/>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pacing w:val="13"/>
          <w:sz w:val="24"/>
          <w:szCs w:val="24"/>
          <w14:textFill>
            <w14:solidFill>
              <w14:schemeClr w14:val="tx1"/>
            </w14:solidFill>
          </w14:textFill>
        </w:rPr>
        <w:t>G</w:t>
      </w:r>
      <w:r>
        <w:rPr>
          <w:rFonts w:hint="eastAsia" w:ascii="宋体" w:hAnsi="宋体" w:eastAsia="宋体" w:cs="宋体"/>
          <w:color w:val="000000" w:themeColor="text1"/>
          <w:spacing w:val="3"/>
          <w:sz w:val="24"/>
          <w:szCs w:val="24"/>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/T</w:t>
      </w:r>
      <w:r>
        <w:rPr>
          <w:rFonts w:hint="eastAsia" w:ascii="宋体" w:hAnsi="宋体" w:eastAsia="宋体" w:cs="宋体"/>
          <w:color w:val="000000" w:themeColor="text1"/>
          <w:spacing w:val="7"/>
          <w:sz w:val="24"/>
          <w:szCs w:val="24"/>
          <w14:textFill>
            <w14:solidFill>
              <w14:schemeClr w14:val="tx1"/>
            </w14:solidFill>
          </w14:textFill>
        </w:rPr>
        <w:t xml:space="preserve"> </w:t>
      </w:r>
      <w:r>
        <w:rPr>
          <w:rFonts w:hint="eastAsia" w:ascii="宋体" w:hAnsi="宋体" w:eastAsia="宋体" w:cs="宋体"/>
          <w:color w:val="000000" w:themeColor="text1"/>
          <w:spacing w:val="-12"/>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176</w:t>
      </w:r>
      <w:r>
        <w:rPr>
          <w:rFonts w:hint="eastAsia" w:ascii="宋体" w:hAnsi="宋体" w:eastAsia="宋体" w:cs="宋体"/>
          <w:color w:val="000000" w:themeColor="text1"/>
          <w:sz w:val="24"/>
          <w:szCs w:val="24"/>
          <w:lang w:val="en-US" w:eastAsia="zh-CN"/>
          <w14:textFill>
            <w14:solidFill>
              <w14:schemeClr w14:val="tx1"/>
            </w14:solidFill>
          </w14:textFill>
        </w:rPr>
        <w:t>-2013</w:t>
      </w:r>
      <w:r>
        <w:rPr>
          <w:rFonts w:hint="eastAsia" w:ascii="宋体" w:hAnsi="宋体" w:eastAsia="宋体" w:cs="宋体"/>
          <w:color w:val="000000" w:themeColor="text1"/>
          <w:spacing w:val="-120"/>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或者不锈钢</w:t>
      </w:r>
    </w:p>
    <w:p>
      <w:pPr>
        <w:spacing w:line="480" w:lineRule="exact"/>
        <w:ind w:left="63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采用铸造</w:t>
      </w:r>
      <w:r>
        <w:rPr>
          <w:rFonts w:hint="eastAsia" w:ascii="宋体" w:hAnsi="宋体" w:eastAsia="宋体" w:cs="宋体"/>
          <w:color w:val="000000" w:themeColor="text1"/>
          <w:spacing w:val="-5"/>
          <w:sz w:val="24"/>
          <w:szCs w:val="24"/>
          <w14:textFill>
            <w14:solidFill>
              <w14:schemeClr w14:val="tx1"/>
            </w14:solidFill>
          </w14:textFill>
        </w:rPr>
        <w:t>铅</w:t>
      </w:r>
      <w:r>
        <w:rPr>
          <w:rFonts w:hint="eastAsia" w:ascii="宋体" w:hAnsi="宋体" w:eastAsia="宋体" w:cs="宋体"/>
          <w:color w:val="000000" w:themeColor="text1"/>
          <w:sz w:val="24"/>
          <w:szCs w:val="24"/>
          <w14:textFill>
            <w14:solidFill>
              <w14:schemeClr w14:val="tx1"/>
            </w14:solidFill>
          </w14:textFill>
        </w:rPr>
        <w:t>黄铜生</w:t>
      </w:r>
      <w:r>
        <w:rPr>
          <w:rFonts w:hint="eastAsia" w:ascii="宋体" w:hAnsi="宋体" w:eastAsia="宋体" w:cs="宋体"/>
          <w:color w:val="000000" w:themeColor="text1"/>
          <w:spacing w:val="-5"/>
          <w:sz w:val="24"/>
          <w:szCs w:val="24"/>
          <w14:textFill>
            <w14:solidFill>
              <w14:schemeClr w14:val="tx1"/>
            </w14:solidFill>
          </w14:textFill>
        </w:rPr>
        <w:t>产</w:t>
      </w:r>
      <w:r>
        <w:rPr>
          <w:rFonts w:hint="eastAsia" w:ascii="宋体" w:hAnsi="宋体" w:eastAsia="宋体" w:cs="宋体"/>
          <w:color w:val="000000" w:themeColor="text1"/>
          <w:sz w:val="24"/>
          <w:szCs w:val="24"/>
          <w14:textFill>
            <w14:solidFill>
              <w14:schemeClr w14:val="tx1"/>
            </w14:solidFill>
          </w14:textFill>
        </w:rPr>
        <w:t>的连接</w:t>
      </w:r>
      <w:r>
        <w:rPr>
          <w:rFonts w:hint="eastAsia" w:ascii="宋体" w:hAnsi="宋体" w:eastAsia="宋体" w:cs="宋体"/>
          <w:color w:val="000000" w:themeColor="text1"/>
          <w:spacing w:val="-5"/>
          <w:sz w:val="24"/>
          <w:szCs w:val="24"/>
          <w14:textFill>
            <w14:solidFill>
              <w14:schemeClr w14:val="tx1"/>
            </w14:solidFill>
          </w14:textFill>
        </w:rPr>
        <w:t>螺</w:t>
      </w:r>
      <w:r>
        <w:rPr>
          <w:rFonts w:hint="eastAsia" w:ascii="宋体" w:hAnsi="宋体" w:eastAsia="宋体" w:cs="宋体"/>
          <w:color w:val="000000" w:themeColor="text1"/>
          <w:sz w:val="24"/>
          <w:szCs w:val="24"/>
          <w14:textFill>
            <w14:solidFill>
              <w14:schemeClr w14:val="tx1"/>
            </w14:solidFill>
          </w14:textFill>
        </w:rPr>
        <w:t>母和水</w:t>
      </w:r>
      <w:r>
        <w:rPr>
          <w:rFonts w:hint="eastAsia" w:ascii="宋体" w:hAnsi="宋体" w:eastAsia="宋体" w:cs="宋体"/>
          <w:color w:val="000000" w:themeColor="text1"/>
          <w:spacing w:val="-5"/>
          <w:sz w:val="24"/>
          <w:szCs w:val="24"/>
          <w14:textFill>
            <w14:solidFill>
              <w14:schemeClr w14:val="tx1"/>
            </w14:solidFill>
          </w14:textFill>
        </w:rPr>
        <w:t>表</w:t>
      </w:r>
      <w:r>
        <w:rPr>
          <w:rFonts w:hint="eastAsia" w:ascii="宋体" w:hAnsi="宋体" w:eastAsia="宋体" w:cs="宋体"/>
          <w:color w:val="000000" w:themeColor="text1"/>
          <w:sz w:val="24"/>
          <w:szCs w:val="24"/>
          <w14:textFill>
            <w14:solidFill>
              <w14:schemeClr w14:val="tx1"/>
            </w14:solidFill>
          </w14:textFill>
        </w:rPr>
        <w:t>罩子尺</w:t>
      </w:r>
      <w:r>
        <w:rPr>
          <w:rFonts w:hint="eastAsia" w:ascii="宋体" w:hAnsi="宋体" w:eastAsia="宋体" w:cs="宋体"/>
          <w:color w:val="000000" w:themeColor="text1"/>
          <w:spacing w:val="-5"/>
          <w:sz w:val="24"/>
          <w:szCs w:val="24"/>
          <w14:textFill>
            <w14:solidFill>
              <w14:schemeClr w14:val="tx1"/>
            </w14:solidFill>
          </w14:textFill>
        </w:rPr>
        <w:t>寸</w:t>
      </w:r>
      <w:r>
        <w:rPr>
          <w:rFonts w:hint="eastAsia" w:ascii="宋体" w:hAnsi="宋体" w:eastAsia="宋体" w:cs="宋体"/>
          <w:color w:val="000000" w:themeColor="text1"/>
          <w:sz w:val="24"/>
          <w:szCs w:val="24"/>
          <w14:textFill>
            <w14:solidFill>
              <w14:schemeClr w14:val="tx1"/>
            </w14:solidFill>
          </w14:textFill>
        </w:rPr>
        <w:t>和</w:t>
      </w:r>
      <w:r>
        <w:rPr>
          <w:rFonts w:hint="eastAsia" w:ascii="宋体" w:hAnsi="宋体" w:eastAsia="宋体" w:cs="宋体"/>
          <w:color w:val="000000" w:themeColor="text1"/>
          <w:spacing w:val="-5"/>
          <w:sz w:val="24"/>
          <w:szCs w:val="24"/>
          <w14:textFill>
            <w14:solidFill>
              <w14:schemeClr w14:val="tx1"/>
            </w14:solidFill>
          </w14:textFill>
        </w:rPr>
        <w:t>重</w:t>
      </w:r>
      <w:r>
        <w:rPr>
          <w:rFonts w:hint="eastAsia" w:ascii="宋体" w:hAnsi="宋体" w:eastAsia="宋体" w:cs="宋体"/>
          <w:color w:val="000000" w:themeColor="text1"/>
          <w:sz w:val="24"/>
          <w:szCs w:val="24"/>
          <w14:textFill>
            <w14:solidFill>
              <w14:schemeClr w14:val="tx1"/>
            </w14:solidFill>
          </w14:textFill>
        </w:rPr>
        <w:t>量见图</w:t>
      </w:r>
      <w:r>
        <w:rPr>
          <w:rFonts w:hint="eastAsia" w:ascii="宋体" w:hAnsi="宋体" w:eastAsia="宋体" w:cs="宋体"/>
          <w:color w:val="000000" w:themeColor="text1"/>
          <w:spacing w:val="-53"/>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.2 和表</w:t>
      </w:r>
      <w:r>
        <w:rPr>
          <w:rFonts w:hint="eastAsia" w:ascii="宋体" w:hAnsi="宋体" w:eastAsia="宋体" w:cs="宋体"/>
          <w:color w:val="000000" w:themeColor="text1"/>
          <w:spacing w:val="-53"/>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pacing w:val="-20"/>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图</w:t>
      </w:r>
      <w:r>
        <w:rPr>
          <w:rFonts w:hint="eastAsia" w:ascii="宋体" w:hAnsi="宋体" w:eastAsia="宋体" w:cs="宋体"/>
          <w:color w:val="000000" w:themeColor="text1"/>
          <w:spacing w:val="-53"/>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.3 和表</w:t>
      </w:r>
      <w:r>
        <w:rPr>
          <w:rFonts w:hint="eastAsia" w:ascii="宋体" w:hAnsi="宋体" w:eastAsia="宋体" w:cs="宋体"/>
          <w:color w:val="000000" w:themeColor="text1"/>
          <w:spacing w:val="-4"/>
          <w:sz w:val="24"/>
          <w:szCs w:val="24"/>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.3</w:t>
      </w:r>
    </w:p>
    <w:p>
      <w:pPr>
        <w:ind w:left="21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drawing>
          <wp:inline distT="0" distB="0" distL="114300" distR="114300">
            <wp:extent cx="3592195" cy="2256790"/>
            <wp:effectExtent l="0" t="0" r="8255" b="1016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3592195" cy="2256790"/>
                    </a:xfrm>
                    <a:prstGeom prst="rect">
                      <a:avLst/>
                    </a:prstGeom>
                    <a:noFill/>
                    <a:ln>
                      <a:noFill/>
                    </a:ln>
                  </pic:spPr>
                </pic:pic>
              </a:graphicData>
            </a:graphic>
          </wp:inline>
        </w:drawing>
      </w:r>
    </w:p>
    <w:p>
      <w:pPr>
        <w:spacing w:line="480" w:lineRule="exact"/>
        <w:ind w:left="637"/>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图</w:t>
      </w:r>
      <w:r>
        <w:rPr>
          <w:rFonts w:hint="eastAsia" w:ascii="宋体" w:hAnsi="宋体" w:eastAsia="宋体" w:cs="宋体"/>
          <w:color w:val="000000" w:themeColor="text1"/>
          <w:spacing w:val="-53"/>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.2 连接螺母</w:t>
      </w:r>
    </w:p>
    <w:p>
      <w:pPr>
        <w:spacing w:line="480" w:lineRule="exact"/>
        <w:ind w:left="33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表</w:t>
      </w:r>
      <w:r>
        <w:rPr>
          <w:rFonts w:hint="eastAsia" w:ascii="宋体" w:hAnsi="宋体" w:eastAsia="宋体" w:cs="宋体"/>
          <w:color w:val="000000" w:themeColor="text1"/>
          <w:spacing w:val="-53"/>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.2 连接螺母</w:t>
      </w:r>
      <w:r>
        <w:rPr>
          <w:rFonts w:hint="eastAsia" w:ascii="宋体" w:hAnsi="宋体" w:eastAsia="宋体" w:cs="宋体"/>
          <w:color w:val="000000" w:themeColor="text1"/>
          <w:spacing w:val="-5"/>
          <w:sz w:val="24"/>
          <w:szCs w:val="24"/>
          <w14:textFill>
            <w14:solidFill>
              <w14:schemeClr w14:val="tx1"/>
            </w14:solidFill>
          </w14:textFill>
        </w:rPr>
        <w:t>尺</w:t>
      </w:r>
      <w:r>
        <w:rPr>
          <w:rFonts w:hint="eastAsia" w:ascii="宋体" w:hAnsi="宋体" w:eastAsia="宋体" w:cs="宋体"/>
          <w:color w:val="000000" w:themeColor="text1"/>
          <w:sz w:val="24"/>
          <w:szCs w:val="24"/>
          <w14:textFill>
            <w14:solidFill>
              <w14:schemeClr w14:val="tx1"/>
            </w14:solidFill>
          </w14:textFill>
        </w:rPr>
        <w:t>寸及重量</w:t>
      </w:r>
    </w:p>
    <w:tbl>
      <w:tblPr>
        <w:tblStyle w:val="8"/>
        <w:tblW w:w="8529" w:type="dxa"/>
        <w:jc w:val="center"/>
        <w:tblLayout w:type="fixed"/>
        <w:tblCellMar>
          <w:top w:w="0" w:type="dxa"/>
          <w:left w:w="0" w:type="dxa"/>
          <w:bottom w:w="0" w:type="dxa"/>
          <w:right w:w="0" w:type="dxa"/>
        </w:tblCellMar>
      </w:tblPr>
      <w:tblGrid>
        <w:gridCol w:w="1910"/>
        <w:gridCol w:w="1440"/>
        <w:gridCol w:w="1766"/>
        <w:gridCol w:w="1709"/>
        <w:gridCol w:w="1704"/>
      </w:tblGrid>
      <w:tr>
        <w:tblPrEx>
          <w:tblCellMar>
            <w:top w:w="0" w:type="dxa"/>
            <w:left w:w="0" w:type="dxa"/>
            <w:bottom w:w="0" w:type="dxa"/>
            <w:right w:w="0" w:type="dxa"/>
          </w:tblCellMar>
        </w:tblPrEx>
        <w:trPr>
          <w:trHeight w:val="515" w:hRule="exact"/>
          <w:jc w:val="center"/>
        </w:trPr>
        <w:tc>
          <w:tcPr>
            <w:tcW w:w="1910"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水表连接螺纹</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491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控制尺寸mm</w:t>
            </w:r>
          </w:p>
        </w:tc>
        <w:tc>
          <w:tcPr>
            <w:tcW w:w="1704"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重量 g</w:t>
            </w:r>
          </w:p>
          <w:p>
            <w:pPr>
              <w:jc w:val="center"/>
              <w:rPr>
                <w:rFonts w:hint="eastAsia" w:ascii="宋体" w:hAnsi="宋体" w:eastAsia="宋体" w:cs="宋体"/>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480" w:hRule="exact"/>
          <w:jc w:val="center"/>
        </w:trPr>
        <w:tc>
          <w:tcPr>
            <w:tcW w:w="1910" w:type="dxa"/>
            <w:vMerge w:val="continue"/>
            <w:tcBorders>
              <w:left w:val="single" w:color="000000" w:sz="4" w:space="0"/>
              <w:bottom w:val="single" w:color="000000" w:sz="4" w:space="0"/>
              <w:right w:val="single" w:color="000000" w:sz="4" w:space="0"/>
            </w:tcBorders>
            <w:noWrap w:val="0"/>
            <w:vAlign w:val="center"/>
          </w:tcPr>
          <w:p>
            <w:pPr>
              <w:spacing w:line="480" w:lineRule="exact"/>
              <w:jc w:val="center"/>
              <w:rPr>
                <w:rFonts w:hint="eastAsia" w:ascii="宋体" w:hAnsi="宋体" w:eastAsia="宋体" w:cs="宋体"/>
                <w:color w:val="000000" w:themeColor="text1"/>
                <w:sz w:val="24"/>
                <w:szCs w:val="24"/>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ind w:right="12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S</w:t>
            </w:r>
          </w:p>
        </w:tc>
        <w:tc>
          <w:tcPr>
            <w:tcW w:w="1766"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ind w:left="584"/>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H</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ind w:left="385" w:right="79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h</w:t>
            </w:r>
          </w:p>
        </w:tc>
        <w:tc>
          <w:tcPr>
            <w:tcW w:w="1704" w:type="dxa"/>
            <w:vMerge w:val="continue"/>
            <w:tcBorders>
              <w:left w:val="single" w:color="000000" w:sz="4" w:space="0"/>
              <w:bottom w:val="single" w:color="000000" w:sz="4" w:space="0"/>
              <w:right w:val="single" w:color="000000" w:sz="4" w:space="0"/>
            </w:tcBorders>
            <w:noWrap w:val="0"/>
            <w:vAlign w:val="center"/>
          </w:tcPr>
          <w:p>
            <w:pPr>
              <w:spacing w:line="480" w:lineRule="exact"/>
              <w:jc w:val="center"/>
              <w:rPr>
                <w:rFonts w:hint="eastAsia" w:ascii="宋体" w:hAnsi="宋体" w:eastAsia="宋体" w:cs="宋体"/>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475" w:hRule="exac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G3/4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w:t>
            </w:r>
          </w:p>
        </w:tc>
        <w:tc>
          <w:tcPr>
            <w:tcW w:w="17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≥38</w:t>
            </w:r>
          </w:p>
        </w:tc>
      </w:tr>
      <w:tr>
        <w:tblPrEx>
          <w:tblCellMar>
            <w:top w:w="0" w:type="dxa"/>
            <w:left w:w="0" w:type="dxa"/>
            <w:bottom w:w="0" w:type="dxa"/>
            <w:right w:w="0" w:type="dxa"/>
          </w:tblCellMar>
        </w:tblPrEx>
        <w:trPr>
          <w:trHeight w:val="480" w:hRule="exac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G1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w:t>
            </w:r>
          </w:p>
        </w:tc>
        <w:tc>
          <w:tcPr>
            <w:tcW w:w="17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≥60</w:t>
            </w:r>
          </w:p>
        </w:tc>
      </w:tr>
      <w:tr>
        <w:tblPrEx>
          <w:tblCellMar>
            <w:top w:w="0" w:type="dxa"/>
            <w:left w:w="0" w:type="dxa"/>
            <w:bottom w:w="0" w:type="dxa"/>
            <w:right w:w="0" w:type="dxa"/>
          </w:tblCellMar>
        </w:tblPrEx>
        <w:trPr>
          <w:trHeight w:val="475" w:hRule="exac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G1 1/4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46</w:t>
            </w:r>
          </w:p>
        </w:tc>
        <w:tc>
          <w:tcPr>
            <w:tcW w:w="17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4.0</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≥95</w:t>
            </w:r>
          </w:p>
        </w:tc>
      </w:tr>
      <w:tr>
        <w:tblPrEx>
          <w:tblCellMar>
            <w:top w:w="0" w:type="dxa"/>
            <w:left w:w="0" w:type="dxa"/>
            <w:bottom w:w="0" w:type="dxa"/>
            <w:right w:w="0" w:type="dxa"/>
          </w:tblCellMar>
        </w:tblPrEx>
        <w:trPr>
          <w:trHeight w:val="480" w:hRule="exac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G1 1/2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w:t>
            </w:r>
          </w:p>
        </w:tc>
        <w:tc>
          <w:tcPr>
            <w:tcW w:w="17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4.0</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≥120</w:t>
            </w:r>
          </w:p>
        </w:tc>
      </w:tr>
      <w:tr>
        <w:tblPrEx>
          <w:tblCellMar>
            <w:top w:w="0" w:type="dxa"/>
            <w:left w:w="0" w:type="dxa"/>
            <w:bottom w:w="0" w:type="dxa"/>
            <w:right w:w="0" w:type="dxa"/>
          </w:tblCellMar>
        </w:tblPrEx>
        <w:trPr>
          <w:trHeight w:val="480" w:hRule="exac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G2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65</w:t>
            </w:r>
          </w:p>
        </w:tc>
        <w:tc>
          <w:tcPr>
            <w:tcW w:w="17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4.5</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≥220</w:t>
            </w:r>
          </w:p>
        </w:tc>
      </w:tr>
    </w:tbl>
    <w:p>
      <w:pPr>
        <w:pStyle w:val="3"/>
        <w:spacing w:line="480" w:lineRule="exact"/>
        <w:ind w:left="70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本标准仅适用于连接螺纹为</w:t>
      </w:r>
      <w:r>
        <w:rPr>
          <w:rFonts w:hint="eastAsia" w:ascii="宋体" w:hAnsi="宋体" w:eastAsia="宋体" w:cs="宋体"/>
          <w:color w:val="000000" w:themeColor="text1"/>
          <w:spacing w:val="-63"/>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M80</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2、M8</w:t>
      </w:r>
      <w:r>
        <w:rPr>
          <w:rFonts w:hint="eastAsia" w:ascii="宋体" w:hAnsi="宋体" w:eastAsia="宋体" w:cs="宋体"/>
          <w:color w:val="000000" w:themeColor="text1"/>
          <w:spacing w:val="2"/>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pacing w:val="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和</w:t>
      </w:r>
      <w:r>
        <w:rPr>
          <w:rFonts w:hint="eastAsia" w:ascii="宋体" w:hAnsi="宋体" w:eastAsia="宋体" w:cs="宋体"/>
          <w:color w:val="000000" w:themeColor="text1"/>
          <w:spacing w:val="-63"/>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M105×2</w:t>
      </w:r>
      <w:r>
        <w:rPr>
          <w:rFonts w:hint="eastAsia" w:ascii="宋体" w:hAnsi="宋体" w:eastAsia="宋体" w:cs="宋体"/>
          <w:color w:val="000000" w:themeColor="text1"/>
          <w:spacing w:val="-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的水表罩子。</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drawing>
          <wp:inline distT="0" distB="0" distL="114300" distR="114300">
            <wp:extent cx="5283200" cy="3029585"/>
            <wp:effectExtent l="0" t="0" r="12700" b="18415"/>
            <wp:docPr id="2" name="图片 3" descr="无标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无标题.jpg"/>
                    <pic:cNvPicPr>
                      <a:picLocks noChangeAspect="1"/>
                    </pic:cNvPicPr>
                  </pic:nvPicPr>
                  <pic:blipFill>
                    <a:blip r:embed="rId6"/>
                    <a:stretch>
                      <a:fillRect/>
                    </a:stretch>
                  </pic:blipFill>
                  <pic:spPr>
                    <a:xfrm>
                      <a:off x="0" y="0"/>
                      <a:ext cx="5283200" cy="3029585"/>
                    </a:xfrm>
                    <a:prstGeom prst="rect">
                      <a:avLst/>
                    </a:prstGeom>
                    <a:noFill/>
                    <a:ln>
                      <a:noFill/>
                    </a:ln>
                  </pic:spPr>
                </pic:pic>
              </a:graphicData>
            </a:graphic>
          </wp:inline>
        </w:drawing>
      </w:r>
    </w:p>
    <w:p>
      <w:pPr>
        <w:spacing w:line="480" w:lineRule="exact"/>
        <w:ind w:left="637"/>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图</w:t>
      </w:r>
      <w:r>
        <w:rPr>
          <w:rFonts w:hint="eastAsia" w:ascii="宋体" w:hAnsi="宋体" w:eastAsia="宋体" w:cs="宋体"/>
          <w:color w:val="000000" w:themeColor="text1"/>
          <w:spacing w:val="-53"/>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.3 水表罩子</w:t>
      </w: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表</w:t>
      </w:r>
      <w:r>
        <w:rPr>
          <w:rFonts w:hint="eastAsia" w:ascii="宋体" w:hAnsi="宋体" w:eastAsia="宋体" w:cs="宋体"/>
          <w:color w:val="000000" w:themeColor="text1"/>
          <w:spacing w:val="-53"/>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.3 水表罩子</w:t>
      </w:r>
      <w:r>
        <w:rPr>
          <w:rFonts w:hint="eastAsia" w:ascii="宋体" w:hAnsi="宋体" w:eastAsia="宋体" w:cs="宋体"/>
          <w:color w:val="000000" w:themeColor="text1"/>
          <w:spacing w:val="-5"/>
          <w:sz w:val="24"/>
          <w:szCs w:val="24"/>
          <w14:textFill>
            <w14:solidFill>
              <w14:schemeClr w14:val="tx1"/>
            </w14:solidFill>
          </w14:textFill>
        </w:rPr>
        <w:t>尺</w:t>
      </w:r>
      <w:r>
        <w:rPr>
          <w:rFonts w:hint="eastAsia" w:ascii="宋体" w:hAnsi="宋体" w:eastAsia="宋体" w:cs="宋体"/>
          <w:color w:val="000000" w:themeColor="text1"/>
          <w:sz w:val="24"/>
          <w:szCs w:val="24"/>
          <w14:textFill>
            <w14:solidFill>
              <w14:schemeClr w14:val="tx1"/>
            </w14:solidFill>
          </w14:textFill>
        </w:rPr>
        <w:t>寸及重量</w:t>
      </w:r>
    </w:p>
    <w:tbl>
      <w:tblPr>
        <w:tblStyle w:val="8"/>
        <w:tblW w:w="8933" w:type="dxa"/>
        <w:tblInd w:w="92" w:type="dxa"/>
        <w:tblLayout w:type="fixed"/>
        <w:tblCellMar>
          <w:top w:w="0" w:type="dxa"/>
          <w:left w:w="0" w:type="dxa"/>
          <w:bottom w:w="0" w:type="dxa"/>
          <w:right w:w="0" w:type="dxa"/>
        </w:tblCellMar>
      </w:tblPr>
      <w:tblGrid>
        <w:gridCol w:w="941"/>
        <w:gridCol w:w="1046"/>
        <w:gridCol w:w="1526"/>
        <w:gridCol w:w="998"/>
        <w:gridCol w:w="1114"/>
        <w:gridCol w:w="998"/>
        <w:gridCol w:w="1115"/>
        <w:gridCol w:w="1195"/>
      </w:tblGrid>
      <w:tr>
        <w:tblPrEx>
          <w:tblCellMar>
            <w:top w:w="0" w:type="dxa"/>
            <w:left w:w="0" w:type="dxa"/>
            <w:bottom w:w="0" w:type="dxa"/>
            <w:right w:w="0" w:type="dxa"/>
          </w:tblCellMar>
        </w:tblPrEx>
        <w:trPr>
          <w:trHeight w:val="491" w:hRule="exact"/>
        </w:trPr>
        <w:tc>
          <w:tcPr>
            <w:tcW w:w="941"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水表公 称口径 mm</w:t>
            </w:r>
          </w:p>
        </w:tc>
        <w:tc>
          <w:tcPr>
            <w:tcW w:w="6797"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控制尺寸mm</w:t>
            </w:r>
          </w:p>
        </w:tc>
        <w:tc>
          <w:tcPr>
            <w:tcW w:w="1195" w:type="dxa"/>
            <w:vMerge w:val="restart"/>
            <w:tcBorders>
              <w:top w:val="single" w:color="000000" w:sz="4" w:space="0"/>
              <w:left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重量</w:t>
            </w:r>
            <w:r>
              <w:rPr>
                <w:rFonts w:hint="eastAsia" w:ascii="宋体" w:hAnsi="宋体" w:eastAsia="宋体" w:cs="宋体"/>
                <w:color w:val="000000" w:themeColor="text1"/>
                <w:spacing w:val="-63"/>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g</w:t>
            </w:r>
          </w:p>
          <w:p>
            <w:pPr>
              <w:pStyle w:val="11"/>
              <w:spacing w:line="480" w:lineRule="exact"/>
              <w:ind w:left="294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r>
      <w:tr>
        <w:tblPrEx>
          <w:tblCellMar>
            <w:top w:w="0" w:type="dxa"/>
            <w:left w:w="0" w:type="dxa"/>
            <w:bottom w:w="0" w:type="dxa"/>
            <w:right w:w="0" w:type="dxa"/>
          </w:tblCellMar>
        </w:tblPrEx>
        <w:trPr>
          <w:trHeight w:val="475" w:hRule="exact"/>
        </w:trPr>
        <w:tc>
          <w:tcPr>
            <w:tcW w:w="941" w:type="dxa"/>
            <w:vMerge w:val="continue"/>
            <w:tcBorders>
              <w:left w:val="single" w:color="000000" w:sz="4" w:space="0"/>
              <w:right w:val="single" w:color="000000" w:sz="4" w:space="0"/>
            </w:tcBorders>
            <w:noWrap w:val="0"/>
            <w:vAlign w:val="center"/>
          </w:tcPr>
          <w:p>
            <w:pPr>
              <w:spacing w:line="480" w:lineRule="exact"/>
              <w:jc w:val="center"/>
              <w:rPr>
                <w:rFonts w:hint="eastAsia" w:ascii="宋体" w:hAnsi="宋体" w:eastAsia="宋体" w:cs="宋体"/>
                <w:color w:val="000000" w:themeColor="text1"/>
                <w:sz w:val="24"/>
                <w:szCs w:val="24"/>
                <w14:textFill>
                  <w14:solidFill>
                    <w14:schemeClr w14:val="tx1"/>
                  </w14:solidFill>
                </w14:textFill>
              </w:rPr>
            </w:pPr>
          </w:p>
        </w:tc>
        <w:tc>
          <w:tcPr>
            <w:tcW w:w="1046" w:type="dxa"/>
            <w:vMerge w:val="restart"/>
            <w:tcBorders>
              <w:top w:val="single" w:color="000000" w:sz="4" w:space="0"/>
              <w:left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D</w:t>
            </w:r>
          </w:p>
        </w:tc>
        <w:tc>
          <w:tcPr>
            <w:tcW w:w="1526" w:type="dxa"/>
            <w:vMerge w:val="restart"/>
            <w:tcBorders>
              <w:top w:val="single" w:color="000000" w:sz="4" w:space="0"/>
              <w:left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D1</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ind w:left="76" w:leftChars="3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L</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ind w:left="76" w:leftChars="3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1</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ind w:left="76" w:leftChars="3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2</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ind w:left="76" w:leftChars="3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3</w:t>
            </w:r>
          </w:p>
        </w:tc>
        <w:tc>
          <w:tcPr>
            <w:tcW w:w="1195" w:type="dxa"/>
            <w:vMerge w:val="continue"/>
            <w:tcBorders>
              <w:left w:val="single" w:color="000000" w:sz="4" w:space="0"/>
              <w:right w:val="single" w:color="000000" w:sz="4" w:space="0"/>
            </w:tcBorders>
            <w:noWrap w:val="0"/>
            <w:vAlign w:val="center"/>
          </w:tcPr>
          <w:p>
            <w:pPr>
              <w:spacing w:line="480" w:lineRule="exact"/>
              <w:jc w:val="center"/>
              <w:rPr>
                <w:rFonts w:hint="eastAsia" w:ascii="宋体" w:hAnsi="宋体" w:eastAsia="宋体" w:cs="宋体"/>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480" w:hRule="exact"/>
        </w:trPr>
        <w:tc>
          <w:tcPr>
            <w:tcW w:w="941" w:type="dxa"/>
            <w:vMerge w:val="continue"/>
            <w:tcBorders>
              <w:left w:val="single" w:color="000000" w:sz="4" w:space="0"/>
              <w:bottom w:val="single" w:color="000000" w:sz="4" w:space="0"/>
              <w:right w:val="single" w:color="000000" w:sz="4" w:space="0"/>
            </w:tcBorders>
            <w:noWrap w:val="0"/>
            <w:vAlign w:val="center"/>
          </w:tcPr>
          <w:p>
            <w:pPr>
              <w:spacing w:line="480" w:lineRule="exact"/>
              <w:jc w:val="center"/>
              <w:rPr>
                <w:rFonts w:hint="eastAsia" w:ascii="宋体" w:hAnsi="宋体" w:eastAsia="宋体" w:cs="宋体"/>
                <w:color w:val="000000" w:themeColor="text1"/>
                <w:sz w:val="24"/>
                <w:szCs w:val="24"/>
                <w14:textFill>
                  <w14:solidFill>
                    <w14:schemeClr w14:val="tx1"/>
                  </w14:solidFill>
                </w14:textFill>
              </w:rPr>
            </w:pPr>
          </w:p>
        </w:tc>
        <w:tc>
          <w:tcPr>
            <w:tcW w:w="1046" w:type="dxa"/>
            <w:vMerge w:val="continue"/>
            <w:tcBorders>
              <w:left w:val="single" w:color="000000" w:sz="4" w:space="0"/>
              <w:bottom w:val="single" w:color="000000" w:sz="4" w:space="0"/>
              <w:right w:val="single" w:color="000000" w:sz="4" w:space="0"/>
            </w:tcBorders>
            <w:noWrap w:val="0"/>
            <w:vAlign w:val="center"/>
          </w:tcPr>
          <w:p>
            <w:pPr>
              <w:spacing w:line="480" w:lineRule="exact"/>
              <w:jc w:val="center"/>
              <w:rPr>
                <w:rFonts w:hint="eastAsia" w:ascii="宋体" w:hAnsi="宋体" w:eastAsia="宋体" w:cs="宋体"/>
                <w:color w:val="000000" w:themeColor="text1"/>
                <w:sz w:val="24"/>
                <w:szCs w:val="24"/>
                <w14:textFill>
                  <w14:solidFill>
                    <w14:schemeClr w14:val="tx1"/>
                  </w14:solidFill>
                </w14:textFill>
              </w:rPr>
            </w:pPr>
          </w:p>
        </w:tc>
        <w:tc>
          <w:tcPr>
            <w:tcW w:w="1526" w:type="dxa"/>
            <w:vMerge w:val="continue"/>
            <w:tcBorders>
              <w:left w:val="single" w:color="000000" w:sz="4" w:space="0"/>
              <w:bottom w:val="single" w:color="000000" w:sz="4" w:space="0"/>
              <w:right w:val="single" w:color="000000" w:sz="4" w:space="0"/>
            </w:tcBorders>
            <w:noWrap w:val="0"/>
            <w:vAlign w:val="center"/>
          </w:tcPr>
          <w:p>
            <w:pPr>
              <w:spacing w:line="480" w:lineRule="exact"/>
              <w:jc w:val="center"/>
              <w:rPr>
                <w:rFonts w:hint="eastAsia" w:ascii="宋体" w:hAnsi="宋体" w:eastAsia="宋体" w:cs="宋体"/>
                <w:color w:val="000000" w:themeColor="text1"/>
                <w:sz w:val="24"/>
                <w:szCs w:val="24"/>
                <w14:textFill>
                  <w14:solidFill>
                    <w14:schemeClr w14:val="tx1"/>
                  </w14:solidFill>
                </w14:textFill>
              </w:rPr>
            </w:pPr>
          </w:p>
        </w:tc>
        <w:tc>
          <w:tcPr>
            <w:tcW w:w="4225"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ind w:left="294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195" w:type="dxa"/>
            <w:vMerge w:val="continue"/>
            <w:tcBorders>
              <w:left w:val="single" w:color="000000" w:sz="4" w:space="0"/>
              <w:bottom w:val="single" w:color="000000" w:sz="4" w:space="0"/>
              <w:right w:val="single" w:color="000000" w:sz="4" w:space="0"/>
            </w:tcBorders>
            <w:noWrap w:val="0"/>
            <w:vAlign w:val="center"/>
          </w:tcPr>
          <w:p>
            <w:pPr>
              <w:spacing w:line="480" w:lineRule="exact"/>
              <w:jc w:val="center"/>
              <w:rPr>
                <w:rFonts w:hint="eastAsia" w:ascii="宋体" w:hAnsi="宋体" w:eastAsia="宋体" w:cs="宋体"/>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475" w:hRule="exact"/>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85</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M80</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3</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0</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5</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170</w:t>
            </w:r>
          </w:p>
        </w:tc>
      </w:tr>
      <w:tr>
        <w:tblPrEx>
          <w:tblCellMar>
            <w:top w:w="0" w:type="dxa"/>
            <w:left w:w="0" w:type="dxa"/>
            <w:bottom w:w="0" w:type="dxa"/>
            <w:right w:w="0" w:type="dxa"/>
          </w:tblCellMar>
        </w:tblPrEx>
        <w:trPr>
          <w:trHeight w:val="480" w:hRule="exact"/>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85</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M80</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3</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0</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5</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170</w:t>
            </w:r>
          </w:p>
        </w:tc>
      </w:tr>
      <w:tr>
        <w:tblPrEx>
          <w:tblCellMar>
            <w:top w:w="0" w:type="dxa"/>
            <w:left w:w="0" w:type="dxa"/>
            <w:bottom w:w="0" w:type="dxa"/>
            <w:right w:w="0" w:type="dxa"/>
          </w:tblCellMar>
        </w:tblPrEx>
        <w:trPr>
          <w:trHeight w:val="480" w:hRule="exact"/>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90</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M85</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5</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12.5</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0</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200</w:t>
            </w:r>
          </w:p>
        </w:tc>
      </w:tr>
      <w:tr>
        <w:tblPrEx>
          <w:tblCellMar>
            <w:top w:w="0" w:type="dxa"/>
            <w:left w:w="0" w:type="dxa"/>
            <w:bottom w:w="0" w:type="dxa"/>
            <w:right w:w="0" w:type="dxa"/>
          </w:tblCellMar>
        </w:tblPrEx>
        <w:trPr>
          <w:trHeight w:val="480" w:hRule="exact"/>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40</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12</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M105</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0</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5</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0</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pStyle w:val="11"/>
              <w:spacing w:line="48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450</w:t>
            </w:r>
          </w:p>
        </w:tc>
      </w:tr>
    </w:tbl>
    <w:p>
      <w:pPr>
        <w:numPr>
          <w:ilvl w:val="0"/>
          <w:numId w:val="0"/>
        </w:numPr>
        <w:spacing w:line="480" w:lineRule="exact"/>
        <w:ind w:left="840" w:leftChars="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2.12</w:t>
      </w:r>
      <w:r>
        <w:rPr>
          <w:rFonts w:hint="eastAsia" w:ascii="宋体" w:hAnsi="宋体" w:eastAsia="宋体" w:cs="宋体"/>
          <w:color w:val="000000" w:themeColor="text1"/>
          <w:sz w:val="24"/>
          <w:szCs w:val="24"/>
          <w14:textFill>
            <w14:solidFill>
              <w14:schemeClr w14:val="tx1"/>
            </w14:solidFill>
          </w14:textFill>
        </w:rPr>
        <w:t>水表的表玻璃应为钢化表玻璃</w:t>
      </w:r>
      <w:r>
        <w:rPr>
          <w:rFonts w:hint="eastAsia" w:ascii="宋体" w:hAnsi="宋体" w:eastAsia="宋体" w:cs="宋体"/>
          <w:color w:val="000000" w:themeColor="text1"/>
          <w:sz w:val="24"/>
          <w:szCs w:val="24"/>
          <w:lang w:eastAsia="zh-CN"/>
          <w14:textFill>
            <w14:solidFill>
              <w14:schemeClr w14:val="tx1"/>
            </w14:solidFill>
          </w14:textFill>
        </w:rPr>
        <w:t>。</w:t>
      </w:r>
    </w:p>
    <w:p>
      <w:pPr>
        <w:numPr>
          <w:ilvl w:val="0"/>
          <w:numId w:val="0"/>
        </w:numPr>
        <w:spacing w:line="480" w:lineRule="exact"/>
        <w:ind w:left="840"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2.13</w:t>
      </w:r>
      <w:r>
        <w:rPr>
          <w:rFonts w:hint="eastAsia" w:ascii="宋体" w:hAnsi="宋体" w:eastAsia="宋体" w:cs="宋体"/>
          <w:color w:val="000000" w:themeColor="text1"/>
          <w:sz w:val="24"/>
          <w:szCs w:val="24"/>
          <w14:textFill>
            <w14:solidFill>
              <w14:schemeClr w14:val="tx1"/>
            </w14:solidFill>
          </w14:textFill>
        </w:rPr>
        <w:t>控制尺寸</w:t>
      </w:r>
    </w:p>
    <w:p>
      <w:pPr>
        <w:pStyle w:val="3"/>
        <w:spacing w:line="480" w:lineRule="exact"/>
        <w:ind w:left="1370" w:leftChars="338" w:right="-191" w:rightChars="-91" w:hanging="660" w:hangingChars="2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w:t>
      </w:r>
      <w:r>
        <w:rPr>
          <w:rFonts w:hint="eastAsia" w:ascii="宋体" w:hAnsi="宋体" w:eastAsia="宋体" w:cs="宋体"/>
          <w:color w:val="000000" w:themeColor="text1"/>
          <w:spacing w:val="19"/>
          <w:sz w:val="24"/>
          <w:szCs w:val="24"/>
          <w14:textFill>
            <w14:solidFill>
              <w14:schemeClr w14:val="tx1"/>
            </w14:solidFill>
          </w14:textFill>
        </w:rPr>
        <w:t xml:space="preserve"> </w:t>
      </w:r>
      <w:r>
        <w:rPr>
          <w:rFonts w:hint="eastAsia" w:ascii="宋体" w:hAnsi="宋体" w:eastAsia="宋体" w:cs="宋体"/>
          <w:color w:val="000000" w:themeColor="text1"/>
          <w:spacing w:val="9"/>
          <w:sz w:val="24"/>
          <w:szCs w:val="24"/>
          <w14:textFill>
            <w14:solidFill>
              <w14:schemeClr w14:val="tx1"/>
            </w14:solidFill>
          </w14:textFill>
        </w:rPr>
        <w:t>表壳、表玻</w:t>
      </w:r>
      <w:r>
        <w:rPr>
          <w:rFonts w:hint="eastAsia" w:ascii="宋体" w:hAnsi="宋体" w:eastAsia="宋体" w:cs="宋体"/>
          <w:color w:val="000000" w:themeColor="text1"/>
          <w:spacing w:val="4"/>
          <w:sz w:val="24"/>
          <w:szCs w:val="24"/>
          <w14:textFill>
            <w14:solidFill>
              <w14:schemeClr w14:val="tx1"/>
            </w14:solidFill>
          </w14:textFill>
        </w:rPr>
        <w:t>璃</w:t>
      </w:r>
      <w:r>
        <w:rPr>
          <w:rFonts w:hint="eastAsia" w:ascii="宋体" w:hAnsi="宋体" w:eastAsia="宋体" w:cs="宋体"/>
          <w:color w:val="000000" w:themeColor="text1"/>
          <w:spacing w:val="9"/>
          <w:sz w:val="24"/>
          <w:szCs w:val="24"/>
          <w14:textFill>
            <w14:solidFill>
              <w14:schemeClr w14:val="tx1"/>
            </w14:solidFill>
          </w14:textFill>
        </w:rPr>
        <w:t>、表罩、</w:t>
      </w:r>
      <w:r>
        <w:rPr>
          <w:rFonts w:hint="eastAsia" w:ascii="宋体" w:hAnsi="宋体" w:eastAsia="宋体" w:cs="宋体"/>
          <w:color w:val="000000" w:themeColor="text1"/>
          <w:spacing w:val="4"/>
          <w:sz w:val="24"/>
          <w:szCs w:val="24"/>
          <w14:textFill>
            <w14:solidFill>
              <w14:schemeClr w14:val="tx1"/>
            </w14:solidFill>
          </w14:textFill>
        </w:rPr>
        <w:t>表</w:t>
      </w:r>
      <w:r>
        <w:rPr>
          <w:rFonts w:hint="eastAsia" w:ascii="宋体" w:hAnsi="宋体" w:eastAsia="宋体" w:cs="宋体"/>
          <w:color w:val="000000" w:themeColor="text1"/>
          <w:spacing w:val="9"/>
          <w:sz w:val="24"/>
          <w:szCs w:val="24"/>
          <w14:textFill>
            <w14:solidFill>
              <w14:schemeClr w14:val="tx1"/>
            </w14:solidFill>
          </w14:textFill>
        </w:rPr>
        <w:t>接头、连接</w:t>
      </w:r>
      <w:r>
        <w:rPr>
          <w:rFonts w:hint="eastAsia" w:ascii="宋体" w:hAnsi="宋体" w:eastAsia="宋体" w:cs="宋体"/>
          <w:color w:val="000000" w:themeColor="text1"/>
          <w:spacing w:val="4"/>
          <w:sz w:val="24"/>
          <w:szCs w:val="24"/>
          <w14:textFill>
            <w14:solidFill>
              <w14:schemeClr w14:val="tx1"/>
            </w14:solidFill>
          </w14:textFill>
        </w:rPr>
        <w:t>螺母</w:t>
      </w:r>
      <w:r>
        <w:rPr>
          <w:rFonts w:hint="eastAsia" w:ascii="宋体" w:hAnsi="宋体" w:eastAsia="宋体" w:cs="宋体"/>
          <w:color w:val="000000" w:themeColor="text1"/>
          <w:spacing w:val="9"/>
          <w:sz w:val="24"/>
          <w:szCs w:val="24"/>
          <w14:textFill>
            <w14:solidFill>
              <w14:schemeClr w14:val="tx1"/>
            </w14:solidFill>
          </w14:textFill>
        </w:rPr>
        <w:t>的控制尺寸应当</w:t>
      </w:r>
      <w:r>
        <w:rPr>
          <w:rFonts w:hint="eastAsia" w:ascii="宋体" w:hAnsi="宋体" w:eastAsia="宋体" w:cs="宋体"/>
          <w:color w:val="000000" w:themeColor="text1"/>
          <w:spacing w:val="4"/>
          <w:sz w:val="24"/>
          <w:szCs w:val="24"/>
          <w14:textFill>
            <w14:solidFill>
              <w14:schemeClr w14:val="tx1"/>
            </w14:solidFill>
          </w14:textFill>
        </w:rPr>
        <w:t>满</w:t>
      </w:r>
      <w:r>
        <w:rPr>
          <w:rFonts w:hint="eastAsia" w:ascii="宋体" w:hAnsi="宋体" w:eastAsia="宋体" w:cs="宋体"/>
          <w:color w:val="000000" w:themeColor="text1"/>
          <w:spacing w:val="9"/>
          <w:sz w:val="24"/>
          <w:szCs w:val="24"/>
          <w14:textFill>
            <w14:solidFill>
              <w14:schemeClr w14:val="tx1"/>
            </w14:solidFill>
          </w14:textFill>
        </w:rPr>
        <w:t>足上表</w:t>
      </w:r>
      <w:r>
        <w:rPr>
          <w:rFonts w:hint="eastAsia" w:ascii="宋体" w:hAnsi="宋体" w:eastAsia="宋体" w:cs="宋体"/>
          <w:color w:val="000000" w:themeColor="text1"/>
          <w:sz w:val="24"/>
          <w:szCs w:val="24"/>
          <w14:textFill>
            <w14:solidFill>
              <w14:schemeClr w14:val="tx1"/>
            </w14:solidFill>
          </w14:textFill>
        </w:rPr>
        <w:t>及</w:t>
      </w:r>
      <w:r>
        <w:rPr>
          <w:rFonts w:hint="eastAsia" w:ascii="宋体" w:hAnsi="宋体" w:eastAsia="宋体" w:cs="宋体"/>
          <w:color w:val="000000" w:themeColor="text1"/>
          <w:spacing w:val="13"/>
          <w:sz w:val="24"/>
          <w:szCs w:val="24"/>
          <w14:textFill>
            <w14:solidFill>
              <w14:schemeClr w14:val="tx1"/>
            </w14:solidFill>
          </w14:textFill>
        </w:rPr>
        <w:t>CJ266-2008</w:t>
      </w:r>
      <w:r>
        <w:rPr>
          <w:rFonts w:hint="eastAsia" w:ascii="宋体" w:hAnsi="宋体" w:eastAsia="宋体" w:cs="宋体"/>
          <w:color w:val="000000" w:themeColor="text1"/>
          <w:spacing w:val="3"/>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标准；</w:t>
      </w:r>
    </w:p>
    <w:p>
      <w:pPr>
        <w:pStyle w:val="3"/>
        <w:spacing w:line="480" w:lineRule="exact"/>
        <w:ind w:left="1370" w:leftChars="338" w:right="-191" w:rightChars="-91" w:hanging="660" w:hangingChars="2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 经机械加工的水表零件</w:t>
      </w:r>
      <w:r>
        <w:rPr>
          <w:rFonts w:hint="eastAsia" w:ascii="宋体" w:hAnsi="宋体" w:eastAsia="宋体" w:cs="宋体"/>
          <w:color w:val="000000" w:themeColor="text1"/>
          <w:spacing w:val="-63"/>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基线性尺寸的未注公差应符合</w:t>
      </w:r>
      <w:r>
        <w:rPr>
          <w:rFonts w:hint="eastAsia" w:ascii="宋体" w:hAnsi="宋体" w:eastAsia="宋体" w:cs="宋体"/>
          <w:color w:val="000000" w:themeColor="text1"/>
          <w:spacing w:val="-63"/>
          <w:sz w:val="24"/>
          <w:szCs w:val="24"/>
          <w14:textFill>
            <w14:solidFill>
              <w14:schemeClr w14:val="tx1"/>
            </w14:solidFill>
          </w14:textFill>
        </w:rPr>
        <w:t xml:space="preserve"> </w:t>
      </w:r>
      <w:r>
        <w:rPr>
          <w:rFonts w:hint="eastAsia" w:ascii="宋体" w:hAnsi="宋体" w:eastAsia="宋体" w:cs="宋体"/>
          <w:color w:val="000000" w:themeColor="text1"/>
          <w:spacing w:val="13"/>
          <w:sz w:val="24"/>
          <w:szCs w:val="24"/>
          <w14:textFill>
            <w14:solidFill>
              <w14:schemeClr w14:val="tx1"/>
            </w14:solidFill>
          </w14:textFill>
        </w:rPr>
        <w:t>G</w:t>
      </w:r>
      <w:r>
        <w:rPr>
          <w:rFonts w:hint="eastAsia" w:ascii="宋体" w:hAnsi="宋体" w:eastAsia="宋体" w:cs="宋体"/>
          <w:color w:val="000000" w:themeColor="text1"/>
          <w:spacing w:val="3"/>
          <w:sz w:val="24"/>
          <w:szCs w:val="24"/>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pacing w:val="13"/>
          <w:sz w:val="24"/>
          <w:szCs w:val="24"/>
          <w14:textFill>
            <w14:solidFill>
              <w14:schemeClr w14:val="tx1"/>
            </w14:solidFill>
          </w14:textFill>
        </w:rPr>
        <w:t>T</w:t>
      </w:r>
      <w:r>
        <w:rPr>
          <w:rFonts w:hint="eastAsia" w:ascii="宋体" w:hAnsi="宋体" w:eastAsia="宋体" w:cs="宋体"/>
          <w:color w:val="000000" w:themeColor="text1"/>
          <w:sz w:val="24"/>
          <w:szCs w:val="24"/>
          <w14:textFill>
            <w14:solidFill>
              <w14:schemeClr w14:val="tx1"/>
            </w14:solidFill>
          </w14:textFill>
        </w:rPr>
        <w:t>180</w:t>
      </w:r>
      <w:r>
        <w:rPr>
          <w:rFonts w:hint="eastAsia" w:ascii="宋体" w:hAnsi="宋体" w:eastAsia="宋体" w:cs="宋体"/>
          <w:color w:val="000000" w:themeColor="text1"/>
          <w:spacing w:val="-2"/>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-C</w:t>
      </w:r>
      <w:r>
        <w:rPr>
          <w:rFonts w:hint="eastAsia" w:ascii="宋体" w:hAnsi="宋体" w:eastAsia="宋体" w:cs="宋体"/>
          <w:color w:val="000000" w:themeColor="text1"/>
          <w:spacing w:val="-3"/>
          <w:sz w:val="24"/>
          <w:szCs w:val="24"/>
          <w14:textFill>
            <w14:solidFill>
              <w14:schemeClr w14:val="tx1"/>
            </w14:solidFill>
          </w14:textFill>
        </w:rPr>
        <w:t xml:space="preserve"> </w:t>
      </w:r>
      <w:r>
        <w:rPr>
          <w:rFonts w:hint="eastAsia" w:ascii="宋体" w:hAnsi="宋体" w:eastAsia="宋体" w:cs="宋体"/>
          <w:color w:val="000000" w:themeColor="text1"/>
          <w:spacing w:val="13"/>
          <w:sz w:val="24"/>
          <w:szCs w:val="24"/>
          <w14:textFill>
            <w14:solidFill>
              <w14:schemeClr w14:val="tx1"/>
            </w14:solidFill>
          </w14:textFill>
        </w:rPr>
        <w:t>G</w:t>
      </w:r>
      <w:r>
        <w:rPr>
          <w:rFonts w:hint="eastAsia" w:ascii="宋体" w:hAnsi="宋体" w:eastAsia="宋体" w:cs="宋体"/>
          <w:color w:val="000000" w:themeColor="text1"/>
          <w:spacing w:val="3"/>
          <w:sz w:val="24"/>
          <w:szCs w:val="24"/>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pacing w:val="13"/>
          <w:sz w:val="24"/>
          <w:szCs w:val="24"/>
          <w14:textFill>
            <w14:solidFill>
              <w14:schemeClr w14:val="tx1"/>
            </w14:solidFill>
          </w14:textFill>
        </w:rPr>
        <w:t>T</w:t>
      </w:r>
      <w:r>
        <w:rPr>
          <w:rFonts w:hint="eastAsia" w:ascii="宋体" w:hAnsi="宋体" w:eastAsia="宋体" w:cs="宋体"/>
          <w:color w:val="000000" w:themeColor="text1"/>
          <w:sz w:val="24"/>
          <w:szCs w:val="24"/>
          <w14:textFill>
            <w14:solidFill>
              <w14:schemeClr w14:val="tx1"/>
            </w14:solidFill>
          </w14:textFill>
        </w:rPr>
        <w:t>180</w:t>
      </w:r>
      <w:r>
        <w:rPr>
          <w:rFonts w:hint="eastAsia" w:ascii="宋体" w:hAnsi="宋体" w:eastAsia="宋体" w:cs="宋体"/>
          <w:color w:val="000000" w:themeColor="text1"/>
          <w:spacing w:val="-2"/>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2000</w:t>
      </w:r>
      <w:r>
        <w:rPr>
          <w:rFonts w:hint="eastAsia" w:ascii="宋体" w:hAnsi="宋体" w:eastAsia="宋体" w:cs="宋体"/>
          <w:color w:val="000000" w:themeColor="text1"/>
          <w:sz w:val="24"/>
          <w:szCs w:val="24"/>
          <w14:textFill>
            <w14:solidFill>
              <w14:schemeClr w14:val="tx1"/>
            </w14:solidFill>
          </w14:textFill>
        </w:rPr>
        <w:t>级；</w:t>
      </w:r>
    </w:p>
    <w:p>
      <w:pPr>
        <w:pStyle w:val="3"/>
        <w:spacing w:line="480" w:lineRule="exact"/>
        <w:ind w:left="1370" w:leftChars="338" w:right="-191" w:rightChars="-91" w:hanging="660" w:hangingChars="235"/>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 螺纹应符合</w:t>
      </w:r>
      <w:r>
        <w:rPr>
          <w:rFonts w:hint="eastAsia" w:ascii="宋体" w:hAnsi="宋体" w:eastAsia="宋体" w:cs="宋体"/>
          <w:color w:val="000000" w:themeColor="text1"/>
          <w:spacing w:val="-63"/>
          <w:sz w:val="24"/>
          <w:szCs w:val="24"/>
          <w14:textFill>
            <w14:solidFill>
              <w14:schemeClr w14:val="tx1"/>
            </w14:solidFill>
          </w14:textFill>
        </w:rPr>
        <w:t xml:space="preserve"> </w:t>
      </w:r>
      <w:r>
        <w:rPr>
          <w:rFonts w:hint="eastAsia" w:ascii="宋体" w:hAnsi="宋体" w:eastAsia="宋体" w:cs="宋体"/>
          <w:color w:val="000000" w:themeColor="text1"/>
          <w:spacing w:val="13"/>
          <w:sz w:val="24"/>
          <w:szCs w:val="24"/>
          <w14:textFill>
            <w14:solidFill>
              <w14:schemeClr w14:val="tx1"/>
            </w14:solidFill>
          </w14:textFill>
        </w:rPr>
        <w:t>G</w:t>
      </w:r>
      <w:r>
        <w:rPr>
          <w:rFonts w:hint="eastAsia" w:ascii="宋体" w:hAnsi="宋体" w:eastAsia="宋体" w:cs="宋体"/>
          <w:color w:val="000000" w:themeColor="text1"/>
          <w:spacing w:val="3"/>
          <w:sz w:val="24"/>
          <w:szCs w:val="24"/>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2516</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pacing w:val="9"/>
          <w:sz w:val="24"/>
          <w:szCs w:val="24"/>
          <w14:textFill>
            <w14:solidFill>
              <w14:schemeClr w14:val="tx1"/>
            </w14:solidFill>
          </w14:textFill>
        </w:rPr>
        <w:t>G</w:t>
      </w:r>
      <w:r>
        <w:rPr>
          <w:rFonts w:hint="eastAsia" w:ascii="宋体" w:hAnsi="宋体" w:eastAsia="宋体" w:cs="宋体"/>
          <w:color w:val="000000" w:themeColor="text1"/>
          <w:spacing w:val="3"/>
          <w:sz w:val="24"/>
          <w:szCs w:val="24"/>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7306</w:t>
      </w:r>
      <w:r>
        <w:rPr>
          <w:rFonts w:hint="eastAsia" w:ascii="宋体" w:hAnsi="宋体" w:eastAsia="宋体" w:cs="宋体"/>
          <w:color w:val="000000" w:themeColor="text1"/>
          <w:spacing w:val="2"/>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和</w:t>
      </w:r>
      <w:r>
        <w:rPr>
          <w:rFonts w:hint="eastAsia" w:ascii="宋体" w:hAnsi="宋体" w:eastAsia="宋体" w:cs="宋体"/>
          <w:color w:val="000000" w:themeColor="text1"/>
          <w:spacing w:val="-63"/>
          <w:sz w:val="24"/>
          <w:szCs w:val="24"/>
          <w14:textFill>
            <w14:solidFill>
              <w14:schemeClr w14:val="tx1"/>
            </w14:solidFill>
          </w14:textFill>
        </w:rPr>
        <w:t xml:space="preserve"> </w:t>
      </w:r>
      <w:r>
        <w:rPr>
          <w:rFonts w:hint="eastAsia" w:ascii="宋体" w:hAnsi="宋体" w:eastAsia="宋体" w:cs="宋体"/>
          <w:color w:val="000000" w:themeColor="text1"/>
          <w:spacing w:val="9"/>
          <w:sz w:val="24"/>
          <w:szCs w:val="24"/>
          <w14:textFill>
            <w14:solidFill>
              <w14:schemeClr w14:val="tx1"/>
            </w14:solidFill>
          </w14:textFill>
        </w:rPr>
        <w:t>G</w:t>
      </w:r>
      <w:r>
        <w:rPr>
          <w:rFonts w:hint="eastAsia" w:ascii="宋体" w:hAnsi="宋体" w:eastAsia="宋体" w:cs="宋体"/>
          <w:color w:val="000000" w:themeColor="text1"/>
          <w:spacing w:val="3"/>
          <w:sz w:val="24"/>
          <w:szCs w:val="24"/>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7307</w:t>
      </w:r>
      <w:r>
        <w:rPr>
          <w:rFonts w:hint="eastAsia" w:ascii="宋体" w:hAnsi="宋体" w:eastAsia="宋体" w:cs="宋体"/>
          <w:color w:val="000000" w:themeColor="text1"/>
          <w:spacing w:val="-3"/>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的标准。</w:t>
      </w:r>
    </w:p>
    <w:p>
      <w:pPr>
        <w:spacing w:line="440" w:lineRule="exact"/>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、标准和规范</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中标人</w:t>
      </w:r>
      <w:r>
        <w:rPr>
          <w:rFonts w:hint="eastAsia" w:ascii="宋体" w:hAnsi="宋体" w:eastAsia="宋体" w:cs="宋体"/>
          <w:color w:val="000000" w:themeColor="text1"/>
          <w:sz w:val="24"/>
          <w14:textFill>
            <w14:solidFill>
              <w14:schemeClr w14:val="tx1"/>
            </w14:solidFill>
          </w14:textFill>
        </w:rPr>
        <w:t>提供的产品必须是已获得省级或以上质量技术监督局颁发的《制造计量器具许可证》，允许进入给水工程使用的产品，并满足我国的设备设计、制造、试验和安装等国家标准和行业标准（不限于下列标准）：</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 GB/T 778</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 xml:space="preserve">  《封闭满管道中水流量的测量 饮用水冷水水表和热水水表》</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 CJ 266-2008     《饮用水冷水水表安全规则》</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 JJG 162-20</w:t>
      </w:r>
      <w:r>
        <w:rPr>
          <w:rFonts w:hint="eastAsia" w:ascii="宋体" w:hAnsi="宋体" w:eastAsia="宋体" w:cs="宋体"/>
          <w:color w:val="000000" w:themeColor="text1"/>
          <w:sz w:val="24"/>
          <w:lang w:val="en-US" w:eastAsia="zh-CN"/>
          <w14:textFill>
            <w14:solidFill>
              <w14:schemeClr w14:val="tx1"/>
            </w14:solidFill>
          </w14:textFill>
        </w:rPr>
        <w:t>19</w:t>
      </w:r>
      <w:r>
        <w:rPr>
          <w:rFonts w:hint="eastAsia" w:ascii="宋体" w:hAnsi="宋体" w:eastAsia="宋体" w:cs="宋体"/>
          <w:color w:val="000000" w:themeColor="text1"/>
          <w:sz w:val="24"/>
          <w14:textFill>
            <w14:solidFill>
              <w14:schemeClr w14:val="tx1"/>
            </w14:solidFill>
          </w14:textFill>
        </w:rPr>
        <w:t xml:space="preserve">   《冷水水表检定规程》</w:t>
      </w:r>
    </w:p>
    <w:p>
      <w:pPr>
        <w:spacing w:line="360" w:lineRule="auto"/>
        <w:ind w:firstLine="480"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 GB/T 17219      《生活饮用水输配水设备及防护材料的安全性评价标准》</w:t>
      </w:r>
    </w:p>
    <w:bookmarkEnd w:id="1"/>
    <w:bookmarkEnd w:id="2"/>
    <w:p>
      <w:pPr>
        <w:widowControl/>
        <w:autoSpaceDE w:val="0"/>
        <w:autoSpaceDN w:val="0"/>
        <w:adjustRightInd w:val="0"/>
        <w:snapToGrid w:val="0"/>
        <w:spacing w:line="440" w:lineRule="atLeast"/>
        <w:textAlignment w:val="bottom"/>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四、</w:t>
      </w:r>
      <w:r>
        <w:rPr>
          <w:rFonts w:hint="eastAsia" w:ascii="宋体" w:hAnsi="宋体" w:eastAsia="宋体" w:cs="宋体"/>
          <w:b/>
          <w:color w:val="000000" w:themeColor="text1"/>
          <w:sz w:val="24"/>
          <w:szCs w:val="24"/>
          <w14:textFill>
            <w14:solidFill>
              <w14:schemeClr w14:val="tx1"/>
            </w14:solidFill>
          </w14:textFill>
        </w:rPr>
        <w:t>验收及检测要求</w:t>
      </w:r>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1、一般要求</w:t>
      </w:r>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bookmarkStart w:id="3" w:name="_Toc405457110"/>
      <w:bookmarkStart w:id="4" w:name="_Toc400600027"/>
      <w:bookmarkStart w:id="5" w:name="_Toc400268001"/>
      <w:bookmarkStart w:id="6" w:name="_Toc409586791"/>
      <w:bookmarkStart w:id="7" w:name="_Toc405450944"/>
      <w:bookmarkStart w:id="8" w:name="_Toc400268725"/>
      <w:bookmarkStart w:id="9" w:name="_Toc400268986"/>
      <w:bookmarkStart w:id="10" w:name="_Toc405450564"/>
      <w:bookmarkStart w:id="11" w:name="_Toc405451480"/>
      <w:r>
        <w:rPr>
          <w:rFonts w:hint="eastAsia" w:ascii="宋体" w:hAnsi="宋体" w:eastAsia="宋体" w:cs="宋体"/>
          <w:bCs/>
          <w:color w:val="000000" w:themeColor="text1"/>
          <w:sz w:val="24"/>
          <w:szCs w:val="24"/>
          <w14:textFill>
            <w14:solidFill>
              <w14:schemeClr w14:val="tx1"/>
            </w14:solidFill>
          </w14:textFill>
        </w:rPr>
        <w:t>1.1投标人应提供的资料</w:t>
      </w:r>
      <w:bookmarkEnd w:id="3"/>
      <w:bookmarkEnd w:id="4"/>
      <w:bookmarkEnd w:id="5"/>
      <w:bookmarkEnd w:id="6"/>
      <w:bookmarkEnd w:id="7"/>
      <w:bookmarkEnd w:id="8"/>
      <w:bookmarkEnd w:id="9"/>
      <w:bookmarkEnd w:id="10"/>
      <w:bookmarkEnd w:id="11"/>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水表</w:t>
      </w:r>
      <w:r>
        <w:rPr>
          <w:rFonts w:hint="eastAsia" w:ascii="宋体" w:hAnsi="宋体" w:eastAsia="宋体" w:cs="宋体"/>
          <w:bCs/>
          <w:color w:val="000000" w:themeColor="text1"/>
          <w:sz w:val="24"/>
          <w:szCs w:val="24"/>
          <w14:textFill>
            <w14:solidFill>
              <w14:schemeClr w14:val="tx1"/>
            </w14:solidFill>
          </w14:textFill>
        </w:rPr>
        <w:t>样本、操作及维修保养手册；</w:t>
      </w:r>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水表</w:t>
      </w:r>
      <w:r>
        <w:rPr>
          <w:rFonts w:hint="eastAsia" w:ascii="宋体" w:hAnsi="宋体" w:eastAsia="宋体" w:cs="宋体"/>
          <w:bCs/>
          <w:color w:val="000000" w:themeColor="text1"/>
          <w:sz w:val="24"/>
          <w:szCs w:val="24"/>
          <w14:textFill>
            <w14:solidFill>
              <w14:schemeClr w14:val="tx1"/>
            </w14:solidFill>
          </w14:textFill>
        </w:rPr>
        <w:t>机械组装图、基础图等主要材料说明；</w:t>
      </w:r>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检查报告及合格证书；</w:t>
      </w:r>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性能检验报告；</w:t>
      </w:r>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泄漏检验报告；</w:t>
      </w:r>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水压强度</w:t>
      </w:r>
      <w:r>
        <w:rPr>
          <w:rFonts w:hint="eastAsia" w:ascii="宋体" w:hAnsi="宋体" w:eastAsia="宋体" w:cs="宋体"/>
          <w:bCs/>
          <w:color w:val="000000" w:themeColor="text1"/>
          <w:sz w:val="24"/>
          <w:szCs w:val="24"/>
          <w14:textFill>
            <w14:solidFill>
              <w14:schemeClr w14:val="tx1"/>
            </w14:solidFill>
          </w14:textFill>
        </w:rPr>
        <w:t>试验报告；</w:t>
      </w:r>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设计和制造验收合格证书；</w:t>
      </w:r>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提供安装性能参数线。</w:t>
      </w:r>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1.2检查与验收</w:t>
      </w:r>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（1）检查</w:t>
      </w:r>
    </w:p>
    <w:p>
      <w:pPr>
        <w:numPr>
          <w:ilvl w:val="0"/>
          <w:numId w:val="0"/>
        </w:numPr>
        <w:spacing w:line="480" w:lineRule="exact"/>
        <w:ind w:firstLine="720" w:firstLineChars="3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水表</w:t>
      </w:r>
      <w:r>
        <w:rPr>
          <w:rFonts w:hint="eastAsia" w:ascii="宋体" w:hAnsi="宋体" w:eastAsia="宋体" w:cs="宋体"/>
          <w:bCs/>
          <w:color w:val="000000" w:themeColor="text1"/>
          <w:sz w:val="24"/>
          <w:szCs w:val="24"/>
          <w14:textFill>
            <w14:solidFill>
              <w14:schemeClr w14:val="tx1"/>
            </w14:solidFill>
          </w14:textFill>
        </w:rPr>
        <w:t>制造完毕，试压前，</w:t>
      </w:r>
      <w:r>
        <w:rPr>
          <w:rFonts w:hint="eastAsia" w:ascii="宋体" w:hAnsi="宋体" w:eastAsia="宋体" w:cs="宋体"/>
          <w:bCs/>
          <w:color w:val="000000" w:themeColor="text1"/>
          <w:sz w:val="24"/>
          <w:szCs w:val="24"/>
          <w:lang w:eastAsia="zh-CN"/>
          <w14:textFill>
            <w14:solidFill>
              <w14:schemeClr w14:val="tx1"/>
            </w14:solidFill>
          </w14:textFill>
        </w:rPr>
        <w:t>中标人</w:t>
      </w:r>
      <w:r>
        <w:rPr>
          <w:rFonts w:hint="eastAsia" w:ascii="宋体" w:hAnsi="宋体" w:eastAsia="宋体" w:cs="宋体"/>
          <w:bCs/>
          <w:color w:val="000000" w:themeColor="text1"/>
          <w:sz w:val="24"/>
          <w:szCs w:val="24"/>
          <w14:textFill>
            <w14:solidFill>
              <w14:schemeClr w14:val="tx1"/>
            </w14:solidFill>
          </w14:textFill>
        </w:rPr>
        <w:t>应通知</w:t>
      </w:r>
      <w:r>
        <w:rPr>
          <w:rFonts w:hint="eastAsia" w:ascii="宋体" w:hAnsi="宋体" w:eastAsia="宋体" w:cs="宋体"/>
          <w:bCs/>
          <w:color w:val="000000" w:themeColor="text1"/>
          <w:sz w:val="24"/>
          <w:szCs w:val="24"/>
          <w:lang w:eastAsia="zh-CN"/>
          <w14:textFill>
            <w14:solidFill>
              <w14:schemeClr w14:val="tx1"/>
            </w14:solidFill>
          </w14:textFill>
        </w:rPr>
        <w:t>采购人</w:t>
      </w:r>
      <w:r>
        <w:rPr>
          <w:rFonts w:hint="eastAsia" w:ascii="宋体" w:hAnsi="宋体" w:eastAsia="宋体" w:cs="宋体"/>
          <w:bCs/>
          <w:color w:val="000000" w:themeColor="text1"/>
          <w:sz w:val="24"/>
          <w:szCs w:val="24"/>
          <w14:textFill>
            <w14:solidFill>
              <w14:schemeClr w14:val="tx1"/>
            </w14:solidFill>
          </w14:textFill>
        </w:rPr>
        <w:t>在制造厂进行</w:t>
      </w:r>
      <w:r>
        <w:rPr>
          <w:rFonts w:hint="eastAsia" w:ascii="宋体" w:hAnsi="宋体" w:eastAsia="宋体" w:cs="宋体"/>
          <w:bCs/>
          <w:color w:val="000000" w:themeColor="text1"/>
          <w:sz w:val="24"/>
          <w:szCs w:val="24"/>
          <w:lang w:eastAsia="zh-CN"/>
          <w14:textFill>
            <w14:solidFill>
              <w14:schemeClr w14:val="tx1"/>
            </w14:solidFill>
          </w14:textFill>
        </w:rPr>
        <w:t>检查。采购人除按规定性能、技术要求逐一检查外，还对水表的水压强度试验进行现场监督，水表应能承受 1.6 倍最大允许工作压力，不少于1分钟的水压强度试验，并无渗漏现象。</w:t>
      </w:r>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（2）现场验收</w:t>
      </w:r>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设备进入现场后，由采购人委派人员进行全面检查，并可对每种规格类型</w:t>
      </w:r>
      <w:r>
        <w:rPr>
          <w:rFonts w:hint="eastAsia" w:ascii="宋体" w:hAnsi="宋体" w:eastAsia="宋体" w:cs="宋体"/>
          <w:bCs/>
          <w:color w:val="000000" w:themeColor="text1"/>
          <w:sz w:val="24"/>
          <w:szCs w:val="24"/>
          <w:lang w:eastAsia="zh-CN"/>
          <w14:textFill>
            <w14:solidFill>
              <w14:schemeClr w14:val="tx1"/>
            </w14:solidFill>
          </w14:textFill>
        </w:rPr>
        <w:t>水表</w:t>
      </w:r>
      <w:r>
        <w:rPr>
          <w:rFonts w:hint="eastAsia" w:ascii="宋体" w:hAnsi="宋体" w:eastAsia="宋体" w:cs="宋体"/>
          <w:bCs/>
          <w:color w:val="000000" w:themeColor="text1"/>
          <w:sz w:val="24"/>
          <w:szCs w:val="24"/>
          <w14:textFill>
            <w14:solidFill>
              <w14:schemeClr w14:val="tx1"/>
            </w14:solidFill>
          </w14:textFill>
        </w:rPr>
        <w:t>进行抽样检查（包括试压，费用由</w:t>
      </w:r>
      <w:r>
        <w:rPr>
          <w:rFonts w:hint="eastAsia" w:ascii="宋体" w:hAnsi="宋体" w:eastAsia="宋体" w:cs="宋体"/>
          <w:bCs/>
          <w:color w:val="000000" w:themeColor="text1"/>
          <w:sz w:val="24"/>
          <w:szCs w:val="24"/>
          <w:lang w:eastAsia="zh-CN"/>
          <w14:textFill>
            <w14:solidFill>
              <w14:schemeClr w14:val="tx1"/>
            </w14:solidFill>
          </w14:textFill>
        </w:rPr>
        <w:t>中标人</w:t>
      </w:r>
      <w:r>
        <w:rPr>
          <w:rFonts w:hint="eastAsia" w:ascii="宋体" w:hAnsi="宋体" w:eastAsia="宋体" w:cs="宋体"/>
          <w:bCs/>
          <w:color w:val="000000" w:themeColor="text1"/>
          <w:sz w:val="24"/>
          <w:szCs w:val="24"/>
          <w14:textFill>
            <w14:solidFill>
              <w14:schemeClr w14:val="tx1"/>
            </w14:solidFill>
          </w14:textFill>
        </w:rPr>
        <w:t>承担），当发现一台某一部件或试压不合格，则双倍数量检查。凡是检查不合格的产品，投标人应负责修理或更换，当延误了安装时间而造成的损失</w:t>
      </w:r>
      <w:r>
        <w:rPr>
          <w:rFonts w:hint="eastAsia" w:ascii="宋体" w:hAnsi="宋体" w:eastAsia="宋体" w:cs="宋体"/>
          <w:bCs/>
          <w:color w:val="000000" w:themeColor="text1"/>
          <w:sz w:val="24"/>
          <w:szCs w:val="24"/>
          <w:lang w:eastAsia="zh-CN"/>
          <w14:textFill>
            <w14:solidFill>
              <w14:schemeClr w14:val="tx1"/>
            </w14:solidFill>
          </w14:textFill>
        </w:rPr>
        <w:t>采购人</w:t>
      </w:r>
      <w:r>
        <w:rPr>
          <w:rFonts w:hint="eastAsia" w:ascii="宋体" w:hAnsi="宋体" w:eastAsia="宋体" w:cs="宋体"/>
          <w:bCs/>
          <w:color w:val="000000" w:themeColor="text1"/>
          <w:sz w:val="24"/>
          <w:szCs w:val="24"/>
          <w14:textFill>
            <w14:solidFill>
              <w14:schemeClr w14:val="tx1"/>
            </w14:solidFill>
          </w14:textFill>
        </w:rPr>
        <w:t>有权要求赔偿。</w:t>
      </w:r>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bookmarkStart w:id="12" w:name="_Toc405450571"/>
      <w:bookmarkStart w:id="13" w:name="_Toc400600034"/>
      <w:bookmarkStart w:id="14" w:name="_Toc400268993"/>
      <w:bookmarkStart w:id="15" w:name="_Toc400268732"/>
      <w:bookmarkStart w:id="16" w:name="_Toc405457117"/>
      <w:bookmarkStart w:id="17" w:name="_Toc409586798"/>
      <w:bookmarkStart w:id="18" w:name="_Toc405451487"/>
      <w:bookmarkStart w:id="19" w:name="_Toc400268008"/>
      <w:r>
        <w:rPr>
          <w:rFonts w:hint="eastAsia" w:ascii="宋体" w:hAnsi="宋体" w:eastAsia="宋体" w:cs="宋体"/>
          <w:bCs/>
          <w:color w:val="000000" w:themeColor="text1"/>
          <w:sz w:val="24"/>
          <w:szCs w:val="24"/>
          <w14:textFill>
            <w14:solidFill>
              <w14:schemeClr w14:val="tx1"/>
            </w14:solidFill>
          </w14:textFill>
        </w:rPr>
        <w:t>1.3设备的保修及拒收</w:t>
      </w:r>
      <w:bookmarkEnd w:id="12"/>
      <w:bookmarkEnd w:id="13"/>
      <w:bookmarkEnd w:id="14"/>
      <w:bookmarkEnd w:id="15"/>
      <w:bookmarkEnd w:id="16"/>
      <w:bookmarkEnd w:id="17"/>
      <w:bookmarkEnd w:id="18"/>
      <w:bookmarkEnd w:id="19"/>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设备到货经检查发现损坏或不符合本标书要求，</w:t>
      </w:r>
      <w:r>
        <w:rPr>
          <w:rFonts w:hint="eastAsia" w:ascii="宋体" w:hAnsi="宋体" w:eastAsia="宋体" w:cs="宋体"/>
          <w:bCs/>
          <w:color w:val="000000" w:themeColor="text1"/>
          <w:sz w:val="24"/>
          <w:szCs w:val="24"/>
          <w:lang w:eastAsia="zh-CN"/>
          <w14:textFill>
            <w14:solidFill>
              <w14:schemeClr w14:val="tx1"/>
            </w14:solidFill>
          </w14:textFill>
        </w:rPr>
        <w:t>采购人</w:t>
      </w:r>
      <w:r>
        <w:rPr>
          <w:rFonts w:hint="eastAsia" w:ascii="宋体" w:hAnsi="宋体" w:eastAsia="宋体" w:cs="宋体"/>
          <w:bCs/>
          <w:color w:val="000000" w:themeColor="text1"/>
          <w:sz w:val="24"/>
          <w:szCs w:val="24"/>
          <w14:textFill>
            <w14:solidFill>
              <w14:schemeClr w14:val="tx1"/>
            </w14:solidFill>
          </w14:textFill>
        </w:rPr>
        <w:t>有权提出更换，拒收和索赔要求；在技术规定的保修期内发现部件不符合本标书要求或发生损坏，</w:t>
      </w:r>
      <w:r>
        <w:rPr>
          <w:rFonts w:hint="eastAsia" w:ascii="宋体" w:hAnsi="宋体" w:eastAsia="宋体" w:cs="宋体"/>
          <w:bCs/>
          <w:color w:val="000000" w:themeColor="text1"/>
          <w:sz w:val="24"/>
          <w:szCs w:val="24"/>
          <w:lang w:eastAsia="zh-CN"/>
          <w14:textFill>
            <w14:solidFill>
              <w14:schemeClr w14:val="tx1"/>
            </w14:solidFill>
          </w14:textFill>
        </w:rPr>
        <w:t>中标</w:t>
      </w:r>
      <w:r>
        <w:rPr>
          <w:rFonts w:hint="eastAsia" w:ascii="宋体" w:hAnsi="宋体" w:eastAsia="宋体" w:cs="宋体"/>
          <w:bCs/>
          <w:color w:val="000000" w:themeColor="text1"/>
          <w:sz w:val="24"/>
          <w:szCs w:val="24"/>
          <w14:textFill>
            <w14:solidFill>
              <w14:schemeClr w14:val="tx1"/>
            </w14:solidFill>
          </w14:textFill>
        </w:rPr>
        <w:t>人应负责及时维修或更换；由此产生的费用和损失均由</w:t>
      </w:r>
      <w:r>
        <w:rPr>
          <w:rFonts w:hint="eastAsia" w:ascii="宋体" w:hAnsi="宋体" w:eastAsia="宋体" w:cs="宋体"/>
          <w:bCs/>
          <w:color w:val="000000" w:themeColor="text1"/>
          <w:sz w:val="24"/>
          <w:szCs w:val="24"/>
          <w:lang w:eastAsia="zh-CN"/>
          <w14:textFill>
            <w14:solidFill>
              <w14:schemeClr w14:val="tx1"/>
            </w14:solidFill>
          </w14:textFill>
        </w:rPr>
        <w:t>中标</w:t>
      </w:r>
      <w:r>
        <w:rPr>
          <w:rFonts w:hint="eastAsia" w:ascii="宋体" w:hAnsi="宋体" w:eastAsia="宋体" w:cs="宋体"/>
          <w:bCs/>
          <w:color w:val="000000" w:themeColor="text1"/>
          <w:sz w:val="24"/>
          <w:szCs w:val="24"/>
          <w14:textFill>
            <w14:solidFill>
              <w14:schemeClr w14:val="tx1"/>
            </w14:solidFill>
          </w14:textFill>
        </w:rPr>
        <w:t>人负责。</w:t>
      </w:r>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1.4技术培训</w:t>
      </w:r>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当合同生效后，</w:t>
      </w:r>
      <w:r>
        <w:rPr>
          <w:rFonts w:hint="eastAsia" w:ascii="宋体" w:hAnsi="宋体" w:eastAsia="宋体" w:cs="宋体"/>
          <w:bCs/>
          <w:color w:val="000000" w:themeColor="text1"/>
          <w:sz w:val="24"/>
          <w:szCs w:val="24"/>
          <w:lang w:eastAsia="zh-CN"/>
          <w14:textFill>
            <w14:solidFill>
              <w14:schemeClr w14:val="tx1"/>
            </w14:solidFill>
          </w14:textFill>
        </w:rPr>
        <w:t>中标</w:t>
      </w:r>
      <w:r>
        <w:rPr>
          <w:rFonts w:hint="eastAsia" w:ascii="宋体" w:hAnsi="宋体" w:eastAsia="宋体" w:cs="宋体"/>
          <w:bCs/>
          <w:color w:val="000000" w:themeColor="text1"/>
          <w:sz w:val="24"/>
          <w:szCs w:val="24"/>
          <w14:textFill>
            <w14:solidFill>
              <w14:schemeClr w14:val="tx1"/>
            </w14:solidFill>
          </w14:textFill>
        </w:rPr>
        <w:t>人应负责对</w:t>
      </w:r>
      <w:r>
        <w:rPr>
          <w:rFonts w:hint="eastAsia" w:ascii="宋体" w:hAnsi="宋体" w:eastAsia="宋体" w:cs="宋体"/>
          <w:bCs/>
          <w:color w:val="000000" w:themeColor="text1"/>
          <w:sz w:val="24"/>
          <w:szCs w:val="24"/>
          <w:lang w:eastAsia="zh-CN"/>
          <w14:textFill>
            <w14:solidFill>
              <w14:schemeClr w14:val="tx1"/>
            </w14:solidFill>
          </w14:textFill>
        </w:rPr>
        <w:t>采购人</w:t>
      </w:r>
      <w:r>
        <w:rPr>
          <w:rFonts w:hint="eastAsia" w:ascii="宋体" w:hAnsi="宋体" w:eastAsia="宋体" w:cs="宋体"/>
          <w:bCs/>
          <w:color w:val="000000" w:themeColor="text1"/>
          <w:sz w:val="24"/>
          <w:szCs w:val="24"/>
          <w14:textFill>
            <w14:solidFill>
              <w14:schemeClr w14:val="tx1"/>
            </w14:solidFill>
          </w14:textFill>
        </w:rPr>
        <w:t>人员进行技术培训，以使</w:t>
      </w:r>
      <w:r>
        <w:rPr>
          <w:rFonts w:hint="eastAsia" w:ascii="宋体" w:hAnsi="宋体" w:eastAsia="宋体" w:cs="宋体"/>
          <w:bCs/>
          <w:color w:val="000000" w:themeColor="text1"/>
          <w:sz w:val="24"/>
          <w:szCs w:val="24"/>
          <w:lang w:eastAsia="zh-CN"/>
          <w14:textFill>
            <w14:solidFill>
              <w14:schemeClr w14:val="tx1"/>
            </w14:solidFill>
          </w14:textFill>
        </w:rPr>
        <w:t>采购人</w:t>
      </w:r>
      <w:r>
        <w:rPr>
          <w:rFonts w:hint="eastAsia" w:ascii="宋体" w:hAnsi="宋体" w:eastAsia="宋体" w:cs="宋体"/>
          <w:bCs/>
          <w:color w:val="000000" w:themeColor="text1"/>
          <w:sz w:val="24"/>
          <w:szCs w:val="24"/>
          <w14:textFill>
            <w14:solidFill>
              <w14:schemeClr w14:val="tx1"/>
            </w14:solidFill>
          </w14:textFill>
        </w:rPr>
        <w:t>能掌握设备的装配和维护。</w:t>
      </w:r>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eastAsia="宋体" w:cs="宋体"/>
          <w:bCs/>
          <w:color w:val="000000" w:themeColor="text1"/>
          <w:sz w:val="24"/>
          <w:szCs w:val="24"/>
          <w:lang w:eastAsia="zh-CN"/>
          <w14:textFill>
            <w14:solidFill>
              <w14:schemeClr w14:val="tx1"/>
            </w14:solidFill>
          </w14:textFill>
        </w:rPr>
        <w:t>水表</w:t>
      </w:r>
      <w:r>
        <w:rPr>
          <w:rFonts w:hint="eastAsia" w:ascii="宋体" w:hAnsi="宋体" w:eastAsia="宋体" w:cs="宋体"/>
          <w:bCs/>
          <w:color w:val="000000" w:themeColor="text1"/>
          <w:sz w:val="24"/>
          <w:szCs w:val="24"/>
          <w14:textFill>
            <w14:solidFill>
              <w14:schemeClr w14:val="tx1"/>
            </w14:solidFill>
          </w14:textFill>
        </w:rPr>
        <w:t>的检测</w:t>
      </w:r>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2.1 每台</w:t>
      </w:r>
      <w:r>
        <w:rPr>
          <w:rFonts w:hint="eastAsia" w:ascii="宋体" w:hAnsi="宋体" w:eastAsia="宋体" w:cs="宋体"/>
          <w:bCs/>
          <w:color w:val="000000" w:themeColor="text1"/>
          <w:sz w:val="24"/>
          <w:szCs w:val="24"/>
          <w:lang w:eastAsia="zh-CN"/>
          <w14:textFill>
            <w14:solidFill>
              <w14:schemeClr w14:val="tx1"/>
            </w14:solidFill>
          </w14:textFill>
        </w:rPr>
        <w:t>水表</w:t>
      </w:r>
      <w:r>
        <w:rPr>
          <w:rFonts w:hint="eastAsia" w:ascii="宋体" w:hAnsi="宋体" w:eastAsia="宋体" w:cs="宋体"/>
          <w:bCs/>
          <w:color w:val="000000" w:themeColor="text1"/>
          <w:sz w:val="24"/>
          <w:szCs w:val="24"/>
          <w14:textFill>
            <w14:solidFill>
              <w14:schemeClr w14:val="tx1"/>
            </w14:solidFill>
          </w14:textFill>
        </w:rPr>
        <w:t>都须经过专业检测人员按照</w:t>
      </w:r>
      <w:r>
        <w:rPr>
          <w:rFonts w:hint="eastAsia" w:ascii="宋体" w:hAnsi="宋体" w:eastAsia="宋体" w:cs="宋体"/>
          <w:bCs/>
          <w:color w:val="000000" w:themeColor="text1"/>
          <w:sz w:val="24"/>
          <w:szCs w:val="24"/>
          <w:lang w:eastAsia="zh-CN"/>
          <w14:textFill>
            <w14:solidFill>
              <w14:schemeClr w14:val="tx1"/>
            </w14:solidFill>
          </w14:textFill>
        </w:rPr>
        <w:t>水表</w:t>
      </w:r>
      <w:r>
        <w:rPr>
          <w:rFonts w:hint="eastAsia" w:ascii="宋体" w:hAnsi="宋体" w:eastAsia="宋体" w:cs="宋体"/>
          <w:bCs/>
          <w:color w:val="000000" w:themeColor="text1"/>
          <w:sz w:val="24"/>
          <w:szCs w:val="24"/>
          <w14:textFill>
            <w14:solidFill>
              <w14:schemeClr w14:val="tx1"/>
            </w14:solidFill>
          </w14:textFill>
        </w:rPr>
        <w:t>检测标准进行压力试验,壳体试验和密封试验。</w:t>
      </w:r>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2.2 每台</w:t>
      </w:r>
      <w:r>
        <w:rPr>
          <w:rFonts w:hint="eastAsia" w:ascii="宋体" w:hAnsi="宋体" w:eastAsia="宋体" w:cs="宋体"/>
          <w:bCs/>
          <w:color w:val="000000" w:themeColor="text1"/>
          <w:sz w:val="24"/>
          <w:szCs w:val="24"/>
          <w:lang w:eastAsia="zh-CN"/>
          <w14:textFill>
            <w14:solidFill>
              <w14:schemeClr w14:val="tx1"/>
            </w14:solidFill>
          </w14:textFill>
        </w:rPr>
        <w:t>水表</w:t>
      </w:r>
      <w:r>
        <w:rPr>
          <w:rFonts w:hint="eastAsia" w:ascii="宋体" w:hAnsi="宋体" w:eastAsia="宋体" w:cs="宋体"/>
          <w:bCs/>
          <w:color w:val="000000" w:themeColor="text1"/>
          <w:sz w:val="24"/>
          <w:szCs w:val="24"/>
          <w14:textFill>
            <w14:solidFill>
              <w14:schemeClr w14:val="tx1"/>
            </w14:solidFill>
          </w14:textFill>
        </w:rPr>
        <w:t>都需经过公司的最终检验人员的检验，合格后，出具检验合格证书、质量保证书和安装说明书。</w:t>
      </w:r>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2.3 </w:t>
      </w:r>
      <w:r>
        <w:rPr>
          <w:rFonts w:hint="eastAsia" w:ascii="宋体" w:hAnsi="宋体" w:eastAsia="宋体" w:cs="宋体"/>
          <w:bCs/>
          <w:color w:val="000000" w:themeColor="text1"/>
          <w:sz w:val="24"/>
          <w:szCs w:val="24"/>
          <w:lang w:eastAsia="zh-CN"/>
          <w14:textFill>
            <w14:solidFill>
              <w14:schemeClr w14:val="tx1"/>
            </w14:solidFill>
          </w14:textFill>
        </w:rPr>
        <w:t>采购人</w:t>
      </w:r>
      <w:r>
        <w:rPr>
          <w:rFonts w:hint="eastAsia" w:ascii="宋体" w:hAnsi="宋体" w:eastAsia="宋体" w:cs="宋体"/>
          <w:bCs/>
          <w:color w:val="000000" w:themeColor="text1"/>
          <w:sz w:val="24"/>
          <w:szCs w:val="24"/>
          <w14:textFill>
            <w14:solidFill>
              <w14:schemeClr w14:val="tx1"/>
            </w14:solidFill>
          </w14:textFill>
        </w:rPr>
        <w:t>有权对招标产品在生产期间的生产、装配、试压等活动进行检测。</w:t>
      </w:r>
    </w:p>
    <w:p>
      <w:pPr>
        <w:snapToGrid w:val="0"/>
        <w:spacing w:line="460" w:lineRule="atLeast"/>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五、商务条款</w:t>
      </w:r>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1、本项目所有产品的生产、供货、技术服务培训等，费用包含在投标单价中，投标人自行考虑该风险。</w:t>
      </w:r>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2、本项目按实际数量结算，成交后实行固定单价，该投标报价在合同执行期间是固定不变的，中标人不得以任何理由予以变更。</w:t>
      </w:r>
    </w:p>
    <w:p>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3、使用单位将根据实际需要，向</w:t>
      </w:r>
      <w:r>
        <w:rPr>
          <w:rFonts w:hint="eastAsia" w:ascii="宋体" w:hAnsi="宋体" w:eastAsia="宋体" w:cs="宋体"/>
          <w:bCs/>
          <w:color w:val="000000" w:themeColor="text1"/>
          <w:sz w:val="24"/>
          <w:szCs w:val="24"/>
          <w:lang w:eastAsia="zh-CN"/>
          <w14:textFill>
            <w14:solidFill>
              <w14:schemeClr w14:val="tx1"/>
            </w14:solidFill>
          </w14:textFill>
        </w:rPr>
        <w:t>中标人</w:t>
      </w:r>
      <w:r>
        <w:rPr>
          <w:rFonts w:hint="eastAsia" w:ascii="宋体" w:hAnsi="宋体" w:eastAsia="宋体" w:cs="宋体"/>
          <w:bCs/>
          <w:color w:val="000000" w:themeColor="text1"/>
          <w:sz w:val="24"/>
          <w:szCs w:val="24"/>
          <w14:textFill>
            <w14:solidFill>
              <w14:schemeClr w14:val="tx1"/>
            </w14:solidFill>
          </w14:textFill>
        </w:rPr>
        <w:t>分批采购，各投标单位请在报价中充分考虑分批发货可能增加的运费及相关费用</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合同签订后，</w:t>
      </w:r>
      <w:r>
        <w:rPr>
          <w:rFonts w:hint="eastAsia" w:ascii="宋体" w:hAnsi="宋体" w:eastAsia="宋体" w:cs="宋体"/>
          <w:bCs/>
          <w:color w:val="000000" w:themeColor="text1"/>
          <w:sz w:val="24"/>
          <w:szCs w:val="24"/>
          <w:lang w:eastAsia="zh-CN"/>
          <w14:textFill>
            <w14:solidFill>
              <w14:schemeClr w14:val="tx1"/>
            </w14:solidFill>
          </w14:textFill>
        </w:rPr>
        <w:t>中标人</w:t>
      </w:r>
      <w:r>
        <w:rPr>
          <w:rFonts w:hint="eastAsia" w:ascii="宋体" w:hAnsi="宋体" w:eastAsia="宋体" w:cs="宋体"/>
          <w:bCs/>
          <w:color w:val="000000" w:themeColor="text1"/>
          <w:sz w:val="24"/>
          <w:szCs w:val="24"/>
          <w14:textFill>
            <w14:solidFill>
              <w14:schemeClr w14:val="tx1"/>
            </w14:solidFill>
          </w14:textFill>
        </w:rPr>
        <w:t>每批次交货时间自采购人发出通知之后</w:t>
      </w:r>
      <w:r>
        <w:rPr>
          <w:rFonts w:hint="eastAsia" w:ascii="宋体" w:hAnsi="宋体" w:eastAsia="宋体" w:cs="宋体"/>
          <w:bCs/>
          <w:color w:val="000000" w:themeColor="text1"/>
          <w:sz w:val="24"/>
          <w:szCs w:val="24"/>
          <w:highlight w:val="none"/>
          <w14:textFill>
            <w14:solidFill>
              <w14:schemeClr w14:val="tx1"/>
            </w14:solidFill>
          </w14:textFill>
        </w:rPr>
        <w:t>3</w:t>
      </w:r>
      <w:r>
        <w:rPr>
          <w:rFonts w:hint="eastAsia" w:ascii="宋体" w:hAnsi="宋体" w:eastAsia="宋体" w:cs="宋体"/>
          <w:bCs/>
          <w:color w:val="000000" w:themeColor="text1"/>
          <w:sz w:val="24"/>
          <w:szCs w:val="24"/>
          <w:highlight w:val="none"/>
          <w:lang w:eastAsia="zh-CN"/>
          <w14:textFill>
            <w14:solidFill>
              <w14:schemeClr w14:val="tx1"/>
            </w14:solidFill>
          </w14:textFill>
        </w:rPr>
        <w:t>天</w:t>
      </w:r>
      <w:r>
        <w:rPr>
          <w:rFonts w:hint="eastAsia" w:ascii="宋体" w:hAnsi="宋体" w:eastAsia="宋体" w:cs="宋体"/>
          <w:bCs/>
          <w:color w:val="000000" w:themeColor="text1"/>
          <w:sz w:val="24"/>
          <w:szCs w:val="24"/>
          <w:highlight w:val="none"/>
          <w14:textFill>
            <w14:solidFill>
              <w14:schemeClr w14:val="tx1"/>
            </w14:solidFill>
          </w14:textFill>
        </w:rPr>
        <w:t>内</w:t>
      </w:r>
      <w:r>
        <w:rPr>
          <w:rFonts w:hint="eastAsia" w:ascii="宋体" w:hAnsi="宋体" w:eastAsia="宋体" w:cs="宋体"/>
          <w:bCs/>
          <w:color w:val="000000" w:themeColor="text1"/>
          <w:sz w:val="24"/>
          <w:szCs w:val="24"/>
          <w14:textFill>
            <w14:solidFill>
              <w14:schemeClr w14:val="tx1"/>
            </w14:solidFill>
          </w14:textFill>
        </w:rPr>
        <w:t>（交货期自采购人发出通知后，即日开始计算）。</w:t>
      </w:r>
      <w:r>
        <w:rPr>
          <w:rFonts w:hint="eastAsia" w:ascii="宋体" w:hAnsi="宋体" w:eastAsia="宋体" w:cs="宋体"/>
          <w:bCs/>
          <w:color w:val="000000" w:themeColor="text1"/>
          <w:sz w:val="24"/>
          <w:szCs w:val="24"/>
          <w:lang w:eastAsia="zh-CN"/>
          <w14:textFill>
            <w14:solidFill>
              <w14:schemeClr w14:val="tx1"/>
            </w14:solidFill>
          </w14:textFill>
        </w:rPr>
        <w:t>中标人</w:t>
      </w:r>
      <w:r>
        <w:rPr>
          <w:rFonts w:hint="eastAsia" w:ascii="宋体" w:hAnsi="宋体" w:eastAsia="宋体" w:cs="宋体"/>
          <w:bCs/>
          <w:color w:val="000000" w:themeColor="text1"/>
          <w:sz w:val="24"/>
          <w:szCs w:val="24"/>
          <w14:textFill>
            <w14:solidFill>
              <w14:schemeClr w14:val="tx1"/>
            </w14:solidFill>
          </w14:textFill>
        </w:rPr>
        <w:t>有确保管材质量不可推卸的责任，在安装、调试、检验时，应派遣全权代表参加并加以指导，如发现质量问题，代表必须负责处理至</w:t>
      </w:r>
      <w:r>
        <w:rPr>
          <w:rFonts w:hint="eastAsia" w:ascii="宋体" w:hAnsi="宋体" w:eastAsia="宋体" w:cs="宋体"/>
          <w:bCs/>
          <w:color w:val="000000" w:themeColor="text1"/>
          <w:sz w:val="24"/>
          <w:szCs w:val="24"/>
          <w:lang w:eastAsia="zh-CN"/>
          <w14:textFill>
            <w14:solidFill>
              <w14:schemeClr w14:val="tx1"/>
            </w14:solidFill>
          </w14:textFill>
        </w:rPr>
        <w:t>采购人</w:t>
      </w:r>
      <w:r>
        <w:rPr>
          <w:rFonts w:hint="eastAsia" w:ascii="宋体" w:hAnsi="宋体" w:eastAsia="宋体" w:cs="宋体"/>
          <w:bCs/>
          <w:color w:val="000000" w:themeColor="text1"/>
          <w:sz w:val="24"/>
          <w:szCs w:val="24"/>
          <w14:textFill>
            <w14:solidFill>
              <w14:schemeClr w14:val="tx1"/>
            </w14:solidFill>
          </w14:textFill>
        </w:rPr>
        <w:t>满意为止。</w:t>
      </w:r>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4、本次采购货物的报价应包括材料运至</w:t>
      </w:r>
      <w:r>
        <w:rPr>
          <w:rFonts w:hint="eastAsia" w:ascii="宋体" w:hAnsi="宋体" w:eastAsia="宋体" w:cs="宋体"/>
          <w:bCs/>
          <w:color w:val="000000" w:themeColor="text1"/>
          <w:sz w:val="24"/>
          <w:szCs w:val="24"/>
          <w:lang w:eastAsia="zh-CN"/>
          <w14:textFill>
            <w14:solidFill>
              <w14:schemeClr w14:val="tx1"/>
            </w14:solidFill>
          </w14:textFill>
        </w:rPr>
        <w:t>采购人</w:t>
      </w:r>
      <w:r>
        <w:rPr>
          <w:rFonts w:hint="eastAsia" w:ascii="宋体" w:hAnsi="宋体" w:eastAsia="宋体" w:cs="宋体"/>
          <w:bCs/>
          <w:color w:val="000000" w:themeColor="text1"/>
          <w:sz w:val="24"/>
          <w:szCs w:val="24"/>
          <w14:textFill>
            <w14:solidFill>
              <w14:schemeClr w14:val="tx1"/>
            </w14:solidFill>
          </w14:textFill>
        </w:rPr>
        <w:t>指定的地点（一个以上不同地点）产生相应的费用</w:t>
      </w:r>
      <w:r>
        <w:rPr>
          <w:rFonts w:hint="eastAsia" w:ascii="宋体" w:hAnsi="宋体" w:eastAsia="宋体" w:cs="宋体"/>
          <w:b/>
          <w:bCs/>
          <w:color w:val="000000" w:themeColor="text1"/>
          <w:sz w:val="24"/>
          <w:szCs w:val="24"/>
          <w14:textFill>
            <w14:solidFill>
              <w14:schemeClr w14:val="tx1"/>
            </w14:solidFill>
          </w14:textFill>
        </w:rPr>
        <w:t>（包含卸车费用）</w:t>
      </w:r>
      <w:r>
        <w:rPr>
          <w:rFonts w:hint="eastAsia" w:ascii="宋体" w:hAnsi="宋体" w:eastAsia="宋体" w:cs="宋体"/>
          <w:bCs/>
          <w:color w:val="000000" w:themeColor="text1"/>
          <w:sz w:val="24"/>
          <w:szCs w:val="24"/>
          <w14:textFill>
            <w14:solidFill>
              <w14:schemeClr w14:val="tx1"/>
            </w14:solidFill>
          </w14:textFill>
        </w:rPr>
        <w:t>，投标供应商应自行考虑，计入合同单价，结算不予调整。</w:t>
      </w:r>
    </w:p>
    <w:p>
      <w:pPr>
        <w:widowControl/>
        <w:autoSpaceDE w:val="0"/>
        <w:autoSpaceDN w:val="0"/>
        <w:adjustRightInd w:val="0"/>
        <w:snapToGrid w:val="0"/>
        <w:spacing w:line="440" w:lineRule="atLeast"/>
        <w:ind w:firstLine="480" w:firstLineChars="200"/>
        <w:textAlignment w:val="bottom"/>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w:t>
      </w:r>
      <w:r>
        <w:rPr>
          <w:rFonts w:hint="eastAsia" w:ascii="宋体" w:hAnsi="宋体" w:eastAsia="宋体" w:cs="宋体"/>
          <w:bCs/>
          <w:color w:val="000000" w:themeColor="text1"/>
          <w:sz w:val="24"/>
          <w:szCs w:val="24"/>
          <w:lang w:eastAsia="zh-CN"/>
          <w14:textFill>
            <w14:solidFill>
              <w14:schemeClr w14:val="tx1"/>
            </w14:solidFill>
          </w14:textFill>
        </w:rPr>
        <w:t>采购人</w:t>
      </w:r>
      <w:r>
        <w:rPr>
          <w:rFonts w:hint="eastAsia" w:ascii="宋体" w:hAnsi="宋体" w:eastAsia="宋体" w:cs="宋体"/>
          <w:bCs/>
          <w:color w:val="000000" w:themeColor="text1"/>
          <w:sz w:val="24"/>
          <w:szCs w:val="24"/>
          <w14:textFill>
            <w14:solidFill>
              <w14:schemeClr w14:val="tx1"/>
            </w14:solidFill>
          </w14:textFill>
        </w:rPr>
        <w:t>有权对</w:t>
      </w:r>
      <w:r>
        <w:rPr>
          <w:rFonts w:hint="eastAsia" w:ascii="宋体" w:hAnsi="宋体" w:eastAsia="宋体" w:cs="宋体"/>
          <w:bCs/>
          <w:color w:val="000000" w:themeColor="text1"/>
          <w:sz w:val="24"/>
          <w:szCs w:val="24"/>
          <w:lang w:eastAsia="zh-CN"/>
          <w14:textFill>
            <w14:solidFill>
              <w14:schemeClr w14:val="tx1"/>
            </w14:solidFill>
          </w14:textFill>
        </w:rPr>
        <w:t>中标人</w:t>
      </w:r>
      <w:r>
        <w:rPr>
          <w:rFonts w:hint="eastAsia" w:ascii="宋体" w:hAnsi="宋体" w:eastAsia="宋体" w:cs="宋体"/>
          <w:bCs/>
          <w:color w:val="000000" w:themeColor="text1"/>
          <w:sz w:val="24"/>
          <w:szCs w:val="24"/>
          <w14:textFill>
            <w14:solidFill>
              <w14:schemeClr w14:val="tx1"/>
            </w14:solidFill>
          </w14:textFill>
        </w:rPr>
        <w:t>的生产情况进行突击检查，</w:t>
      </w:r>
      <w:r>
        <w:rPr>
          <w:rFonts w:hint="eastAsia" w:ascii="宋体" w:hAnsi="宋体" w:eastAsia="宋体" w:cs="宋体"/>
          <w:bCs/>
          <w:color w:val="000000" w:themeColor="text1"/>
          <w:sz w:val="24"/>
          <w:szCs w:val="24"/>
          <w:lang w:eastAsia="zh-CN"/>
          <w14:textFill>
            <w14:solidFill>
              <w14:schemeClr w14:val="tx1"/>
            </w14:solidFill>
          </w14:textFill>
        </w:rPr>
        <w:t>中标人</w:t>
      </w:r>
      <w:r>
        <w:rPr>
          <w:rFonts w:hint="eastAsia" w:ascii="宋体" w:hAnsi="宋体" w:eastAsia="宋体" w:cs="宋体"/>
          <w:bCs/>
          <w:color w:val="000000" w:themeColor="text1"/>
          <w:sz w:val="24"/>
          <w:szCs w:val="24"/>
          <w14:textFill>
            <w14:solidFill>
              <w14:schemeClr w14:val="tx1"/>
            </w14:solidFill>
          </w14:textFill>
        </w:rPr>
        <w:t>必须配合</w:t>
      </w:r>
      <w:r>
        <w:rPr>
          <w:rFonts w:hint="eastAsia" w:ascii="宋体" w:hAnsi="宋体" w:eastAsia="宋体" w:cs="宋体"/>
          <w:bCs/>
          <w:color w:val="000000" w:themeColor="text1"/>
          <w:sz w:val="24"/>
          <w:szCs w:val="24"/>
          <w:lang w:eastAsia="zh-CN"/>
          <w14:textFill>
            <w14:solidFill>
              <w14:schemeClr w14:val="tx1"/>
            </w14:solidFill>
          </w14:textFill>
        </w:rPr>
        <w:t>采购人</w:t>
      </w:r>
      <w:r>
        <w:rPr>
          <w:rFonts w:hint="eastAsia" w:ascii="宋体" w:hAnsi="宋体" w:eastAsia="宋体" w:cs="宋体"/>
          <w:bCs/>
          <w:color w:val="000000" w:themeColor="text1"/>
          <w:sz w:val="24"/>
          <w:szCs w:val="24"/>
          <w14:textFill>
            <w14:solidFill>
              <w14:schemeClr w14:val="tx1"/>
            </w14:solidFill>
          </w14:textFill>
        </w:rPr>
        <w:t>的突击检查工作，否则</w:t>
      </w:r>
      <w:r>
        <w:rPr>
          <w:rFonts w:hint="eastAsia" w:ascii="宋体" w:hAnsi="宋体" w:eastAsia="宋体" w:cs="宋体"/>
          <w:bCs/>
          <w:color w:val="000000" w:themeColor="text1"/>
          <w:sz w:val="24"/>
          <w:szCs w:val="24"/>
          <w:lang w:eastAsia="zh-CN"/>
          <w14:textFill>
            <w14:solidFill>
              <w14:schemeClr w14:val="tx1"/>
            </w14:solidFill>
          </w14:textFill>
        </w:rPr>
        <w:t>采购人</w:t>
      </w:r>
      <w:r>
        <w:rPr>
          <w:rFonts w:hint="eastAsia" w:ascii="宋体" w:hAnsi="宋体" w:eastAsia="宋体" w:cs="宋体"/>
          <w:bCs/>
          <w:color w:val="000000" w:themeColor="text1"/>
          <w:sz w:val="24"/>
          <w:szCs w:val="24"/>
          <w14:textFill>
            <w14:solidFill>
              <w14:schemeClr w14:val="tx1"/>
            </w14:solidFill>
          </w14:textFill>
        </w:rPr>
        <w:t>有权中止合同。</w:t>
      </w:r>
    </w:p>
    <w:p>
      <w:pPr>
        <w:widowControl/>
        <w:autoSpaceDE w:val="0"/>
        <w:autoSpaceDN w:val="0"/>
        <w:adjustRightInd w:val="0"/>
        <w:snapToGrid w:val="0"/>
        <w:spacing w:line="440" w:lineRule="atLeast"/>
        <w:ind w:firstLine="482" w:firstLineChars="200"/>
        <w:textAlignment w:val="bottom"/>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6、每批货物</w:t>
      </w:r>
      <w:r>
        <w:rPr>
          <w:rFonts w:hint="eastAsia" w:ascii="宋体" w:hAnsi="宋体" w:eastAsia="宋体" w:cs="宋体"/>
          <w:b/>
          <w:bCs w:val="0"/>
          <w:color w:val="000000" w:themeColor="text1"/>
          <w:sz w:val="24"/>
          <w:szCs w:val="24"/>
          <w:lang w:eastAsia="zh-CN"/>
          <w14:textFill>
            <w14:solidFill>
              <w14:schemeClr w14:val="tx1"/>
            </w14:solidFill>
          </w14:textFill>
        </w:rPr>
        <w:t>采购人</w:t>
      </w:r>
      <w:r>
        <w:rPr>
          <w:rFonts w:hint="eastAsia" w:ascii="宋体" w:hAnsi="宋体" w:eastAsia="宋体" w:cs="宋体"/>
          <w:b/>
          <w:bCs w:val="0"/>
          <w:color w:val="000000" w:themeColor="text1"/>
          <w:sz w:val="24"/>
          <w:szCs w:val="24"/>
          <w14:textFill>
            <w14:solidFill>
              <w14:schemeClr w14:val="tx1"/>
            </w14:solidFill>
          </w14:textFill>
        </w:rPr>
        <w:t>可以随机抽取样品送至有资质的第三方检测单位对产品进行检测，运费及各项相关检测费用均由中标人承担，检验不合格的本批货物全部退货并赔偿</w:t>
      </w:r>
      <w:r>
        <w:rPr>
          <w:rFonts w:hint="eastAsia" w:ascii="宋体" w:hAnsi="宋体" w:eastAsia="宋体" w:cs="宋体"/>
          <w:b/>
          <w:bCs w:val="0"/>
          <w:color w:val="000000" w:themeColor="text1"/>
          <w:sz w:val="24"/>
          <w:szCs w:val="24"/>
          <w:lang w:eastAsia="zh-CN"/>
          <w14:textFill>
            <w14:solidFill>
              <w14:schemeClr w14:val="tx1"/>
            </w14:solidFill>
          </w14:textFill>
        </w:rPr>
        <w:t>采购人</w:t>
      </w:r>
      <w:r>
        <w:rPr>
          <w:rFonts w:hint="eastAsia" w:ascii="宋体" w:hAnsi="宋体" w:eastAsia="宋体" w:cs="宋体"/>
          <w:b/>
          <w:bCs w:val="0"/>
          <w:color w:val="000000" w:themeColor="text1"/>
          <w:sz w:val="24"/>
          <w:szCs w:val="24"/>
          <w14:textFill>
            <w14:solidFill>
              <w14:schemeClr w14:val="tx1"/>
            </w14:solidFill>
          </w14:textFill>
        </w:rPr>
        <w:t>所有损失，同时没收30%的履约保证金；如合同期内出现两次产品检验不合格的情况</w:t>
      </w:r>
      <w:r>
        <w:rPr>
          <w:rFonts w:hint="eastAsia" w:ascii="宋体" w:hAnsi="宋体" w:eastAsia="宋体" w:cs="宋体"/>
          <w:b/>
          <w:bCs w:val="0"/>
          <w:color w:val="000000" w:themeColor="text1"/>
          <w:sz w:val="24"/>
          <w:szCs w:val="24"/>
          <w:lang w:eastAsia="zh-CN"/>
          <w14:textFill>
            <w14:solidFill>
              <w14:schemeClr w14:val="tx1"/>
            </w14:solidFill>
          </w14:textFill>
        </w:rPr>
        <w:t>采购人</w:t>
      </w:r>
      <w:r>
        <w:rPr>
          <w:rFonts w:hint="eastAsia" w:ascii="宋体" w:hAnsi="宋体" w:eastAsia="宋体" w:cs="宋体"/>
          <w:b/>
          <w:bCs w:val="0"/>
          <w:color w:val="000000" w:themeColor="text1"/>
          <w:sz w:val="24"/>
          <w:szCs w:val="24"/>
          <w14:textFill>
            <w14:solidFill>
              <w14:schemeClr w14:val="tx1"/>
            </w14:solidFill>
          </w14:textFill>
        </w:rPr>
        <w:t>有权终止合同并没收全部履约保证金。</w:t>
      </w:r>
    </w:p>
    <w:p>
      <w:pPr>
        <w:widowControl/>
        <w:autoSpaceDE w:val="0"/>
        <w:autoSpaceDN w:val="0"/>
        <w:adjustRightInd w:val="0"/>
        <w:snapToGrid w:val="0"/>
        <w:spacing w:line="440" w:lineRule="atLeast"/>
        <w:ind w:firstLine="482" w:firstLineChars="200"/>
        <w:textAlignment w:val="bottom"/>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中标人必须向采购人提供产品说明书、质量保证书、相关检测报告等相关资料，货物送达采购人指定地点时，应由项目实施单位代表进行当场验货，并签字确认。</w:t>
      </w:r>
    </w:p>
    <w:p>
      <w:pPr>
        <w:numPr>
          <w:ilvl w:val="0"/>
          <w:numId w:val="1"/>
        </w:numPr>
        <w:snapToGrid w:val="0"/>
        <w:spacing w:before="156" w:beforeLines="50" w:line="430" w:lineRule="exact"/>
        <w:ind w:left="210" w:leftChars="0" w:firstLine="480" w:firstLineChars="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如中标人延误交货时间（接到</w:t>
      </w:r>
      <w:r>
        <w:rPr>
          <w:rFonts w:hint="eastAsia" w:ascii="宋体" w:hAnsi="宋体" w:eastAsia="宋体" w:cs="宋体"/>
          <w:bCs/>
          <w:color w:val="000000" w:themeColor="text1"/>
          <w:sz w:val="24"/>
          <w:szCs w:val="24"/>
          <w:highlight w:val="none"/>
          <w:lang w:eastAsia="zh-CN"/>
          <w14:textFill>
            <w14:solidFill>
              <w14:schemeClr w14:val="tx1"/>
            </w14:solidFill>
          </w14:textFill>
        </w:rPr>
        <w:t>采购人</w:t>
      </w:r>
      <w:r>
        <w:rPr>
          <w:rFonts w:hint="eastAsia" w:ascii="宋体" w:hAnsi="宋体" w:eastAsia="宋体" w:cs="宋体"/>
          <w:bCs/>
          <w:color w:val="000000" w:themeColor="text1"/>
          <w:sz w:val="24"/>
          <w:szCs w:val="24"/>
          <w:highlight w:val="none"/>
          <w14:textFill>
            <w14:solidFill>
              <w14:schemeClr w14:val="tx1"/>
            </w14:solidFill>
          </w14:textFill>
        </w:rPr>
        <w:t>通知后</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天内完成交货），除人力不可抗拒因素（不包括原材料上涨、环保因素以及雾霾等）外，乙方不能按期交货（</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包括但不仅限于</w:t>
      </w:r>
      <w:r>
        <w:rPr>
          <w:rFonts w:hint="eastAsia" w:ascii="宋体" w:hAnsi="宋体" w:eastAsia="宋体" w:cs="宋体"/>
          <w:bCs/>
          <w:color w:val="000000" w:themeColor="text1"/>
          <w:sz w:val="24"/>
          <w:szCs w:val="24"/>
          <w:highlight w:val="none"/>
          <w14:textFill>
            <w14:solidFill>
              <w14:schemeClr w14:val="tx1"/>
            </w14:solidFill>
          </w14:textFill>
        </w:rPr>
        <w:t>因运输、生产或其他原因，造成本公司安装中需用货物而影响工程交付使用）时，乙方必须向甲方支付延期交货或延期交付使用的违约金，具体标准按合同总价每日千分之二计算。</w:t>
      </w:r>
    </w:p>
    <w:p>
      <w:pPr>
        <w:pStyle w:val="2"/>
        <w:numPr>
          <w:ilvl w:val="0"/>
          <w:numId w:val="1"/>
        </w:numPr>
        <w:ind w:left="210" w:leftChars="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中标后所有提供的货物必须符合GB/T 5750.6-2006 《生活饮用水标准检验方法 金属指标》。</w:t>
      </w:r>
    </w:p>
    <w:p>
      <w:pPr>
        <w:pStyle w:val="2"/>
        <w:numPr>
          <w:ilvl w:val="0"/>
          <w:numId w:val="0"/>
        </w:numPr>
        <w:rPr>
          <w:rFonts w:hint="eastAsia"/>
          <w:color w:val="000000" w:themeColor="text1"/>
          <w14:textFill>
            <w14:solidFill>
              <w14:schemeClr w14:val="tx1"/>
            </w14:solidFill>
          </w14:textFill>
        </w:rPr>
      </w:pPr>
    </w:p>
    <w:p>
      <w:pPr>
        <w:widowControl/>
        <w:autoSpaceDE w:val="0"/>
        <w:autoSpaceDN w:val="0"/>
        <w:adjustRightInd w:val="0"/>
        <w:snapToGrid w:val="0"/>
        <w:spacing w:line="440" w:lineRule="atLeast"/>
        <w:ind w:firstLine="482" w:firstLineChars="200"/>
        <w:textAlignment w:val="bottom"/>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8</w:t>
      </w:r>
      <w:r>
        <w:rPr>
          <w:rFonts w:hint="eastAsia" w:ascii="宋体" w:hAnsi="宋体" w:eastAsia="宋体" w:cs="宋体"/>
          <w:b/>
          <w:bCs w:val="0"/>
          <w:color w:val="000000" w:themeColor="text1"/>
          <w:sz w:val="24"/>
          <w:szCs w:val="24"/>
          <w14:textFill>
            <w14:solidFill>
              <w14:schemeClr w14:val="tx1"/>
            </w14:solidFill>
          </w14:textFill>
        </w:rPr>
        <w:t>、免费质保期：</w:t>
      </w:r>
    </w:p>
    <w:p>
      <w:pPr>
        <w:spacing w:line="43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最后一批货供货完毕并验收合格后至少</w:t>
      </w:r>
      <w:r>
        <w:rPr>
          <w:rFonts w:hint="eastAsia" w:ascii="宋体" w:hAnsi="宋体" w:eastAsia="宋体" w:cs="宋体"/>
          <w:bCs/>
          <w:color w:val="000000" w:themeColor="text1"/>
          <w:sz w:val="24"/>
          <w:szCs w:val="24"/>
          <w:highlight w:val="none"/>
          <w:lang w:eastAsia="zh-CN"/>
          <w14:textFill>
            <w14:solidFill>
              <w14:schemeClr w14:val="tx1"/>
            </w14:solidFill>
          </w14:textFill>
        </w:rPr>
        <w:t>六</w:t>
      </w:r>
      <w:r>
        <w:rPr>
          <w:rFonts w:hint="eastAsia" w:ascii="宋体" w:hAnsi="宋体" w:eastAsia="宋体" w:cs="宋体"/>
          <w:bCs/>
          <w:color w:val="000000" w:themeColor="text1"/>
          <w:sz w:val="24"/>
          <w:szCs w:val="24"/>
          <w:highlight w:val="none"/>
          <w14:textFill>
            <w14:solidFill>
              <w14:schemeClr w14:val="tx1"/>
            </w14:solidFill>
          </w14:textFill>
        </w:rPr>
        <w:t>年。质保期内出现质量问题，各投标人应在</w:t>
      </w:r>
      <w:r>
        <w:rPr>
          <w:rFonts w:hint="eastAsia" w:ascii="宋体" w:hAnsi="宋体" w:eastAsia="宋体" w:cs="宋体"/>
          <w:bCs/>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bCs/>
          <w:color w:val="000000" w:themeColor="text1"/>
          <w:sz w:val="24"/>
          <w:szCs w:val="24"/>
          <w:highlight w:val="none"/>
          <w14:textFill>
            <w14:solidFill>
              <w14:schemeClr w14:val="tx1"/>
            </w14:solidFill>
          </w14:textFill>
        </w:rPr>
        <w:t>中承诺及时无偿提供保修服务或相关措施等。</w:t>
      </w:r>
    </w:p>
    <w:p>
      <w:pPr>
        <w:spacing w:line="430" w:lineRule="exact"/>
        <w:ind w:firstLine="480" w:firstLineChars="200"/>
        <w:rPr>
          <w:rFonts w:hint="eastAsia" w:ascii="宋体" w:hAnsi="宋体"/>
          <w:b/>
          <w:bCs/>
          <w:color w:val="000000" w:themeColor="text1"/>
          <w:sz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履行合同的最终价格，应包括设备费、材料费、指导安装、调试费与总包单位及专业分包单位的施工配合费、税金、运输及运输保险费、卸货费、二次搬运检验费、质保期内维修保护费、备品备件费、特殊工具费、售后服务费、培训费、验收费、旋翼式水表DN15-DN40所有检测相关费用、旋翼式水表DN15-DN40必须取得浙江省市场监督管理局或台州市市场监督管理局检测许可报告，甲方均认可。政策性文件规定及合同包含的所有风险、责任等各项全部费用。</w:t>
      </w:r>
      <w:r>
        <w:rPr>
          <w:rFonts w:hint="eastAsia" w:ascii="宋体" w:hAnsi="宋体" w:eastAsia="宋体" w:cs="宋体"/>
          <w:color w:val="000000" w:themeColor="text1"/>
          <w:sz w:val="24"/>
          <w:szCs w:val="24"/>
          <w:highlight w:val="none"/>
          <w14:textFill>
            <w14:solidFill>
              <w14:schemeClr w14:val="tx1"/>
            </w14:solidFill>
          </w14:textFill>
        </w:rPr>
        <w:br w:type="textWrapping"/>
      </w:r>
      <w:bookmarkStart w:id="20" w:name="_Toc236470252"/>
      <w:bookmarkStart w:id="21" w:name="_Toc325986592"/>
      <w:bookmarkStart w:id="22" w:name="_Toc330983990"/>
      <w:r>
        <w:rPr>
          <w:rFonts w:hint="eastAsia" w:ascii="宋体" w:hAnsi="宋体" w:eastAsia="宋体" w:cs="宋体"/>
          <w:b/>
          <w:bCs/>
          <w:color w:val="000000" w:themeColor="text1"/>
          <w:sz w:val="24"/>
          <w:szCs w:val="24"/>
          <w:highlight w:val="none"/>
          <w:lang w:eastAsia="zh-CN"/>
          <w14:textFill>
            <w14:solidFill>
              <w14:schemeClr w14:val="tx1"/>
            </w14:solidFill>
          </w14:textFill>
        </w:rPr>
        <w:t>六</w:t>
      </w:r>
      <w:r>
        <w:rPr>
          <w:rFonts w:hint="eastAsia" w:ascii="宋体" w:hAnsi="宋体"/>
          <w:b/>
          <w:bCs/>
          <w:color w:val="000000" w:themeColor="text1"/>
          <w:sz w:val="24"/>
          <w14:textFill>
            <w14:solidFill>
              <w14:schemeClr w14:val="tx1"/>
            </w14:solidFill>
          </w14:textFill>
        </w:rPr>
        <w:t>、样品提交要求</w:t>
      </w:r>
    </w:p>
    <w:p>
      <w:pPr>
        <w:snapToGrid w:val="0"/>
        <w:spacing w:before="156" w:beforeLines="50" w:line="430" w:lineRule="exact"/>
        <w:ind w:firstLine="480" w:firstLineChars="200"/>
        <w:jc w:val="left"/>
        <w:rPr>
          <w:rFonts w:hint="eastAsia"/>
          <w:color w:val="000000" w:themeColor="text1"/>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样品:</w:t>
      </w:r>
    </w:p>
    <w:tbl>
      <w:tblPr>
        <w:tblStyle w:val="8"/>
        <w:tblW w:w="0" w:type="auto"/>
        <w:jc w:val="center"/>
        <w:tblLayout w:type="fixed"/>
        <w:tblCellMar>
          <w:top w:w="0" w:type="dxa"/>
          <w:left w:w="108" w:type="dxa"/>
          <w:bottom w:w="0" w:type="dxa"/>
          <w:right w:w="108" w:type="dxa"/>
        </w:tblCellMar>
      </w:tblPr>
      <w:tblGrid>
        <w:gridCol w:w="895"/>
        <w:gridCol w:w="4181"/>
        <w:gridCol w:w="1710"/>
        <w:gridCol w:w="1710"/>
      </w:tblGrid>
      <w:tr>
        <w:tblPrEx>
          <w:tblCellMar>
            <w:top w:w="0" w:type="dxa"/>
            <w:left w:w="108" w:type="dxa"/>
            <w:bottom w:w="0" w:type="dxa"/>
            <w:right w:w="108" w:type="dxa"/>
          </w:tblCellMar>
        </w:tblPrEx>
        <w:trPr>
          <w:trHeight w:val="514" w:hRule="exact"/>
          <w:jc w:val="center"/>
        </w:trPr>
        <w:tc>
          <w:tcPr>
            <w:tcW w:w="8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b w:val="0"/>
                <w:bCs w:val="0"/>
                <w:color w:val="000000" w:themeColor="text1"/>
                <w:sz w:val="24"/>
                <w:szCs w:val="24"/>
                <w:lang w:val="en-US" w:eastAsia="zh-CN" w:bidi="zh-TW"/>
                <w14:textFill>
                  <w14:solidFill>
                    <w14:schemeClr w14:val="tx1"/>
                  </w14:solidFill>
                </w14:textFill>
              </w:rPr>
            </w:pPr>
            <w:r>
              <w:rPr>
                <w:rFonts w:hint="eastAsia" w:ascii="宋体" w:hAnsi="宋体" w:eastAsia="宋体" w:cs="宋体"/>
                <w:b w:val="0"/>
                <w:bCs w:val="0"/>
                <w:color w:val="000000" w:themeColor="text1"/>
                <w:sz w:val="24"/>
                <w:szCs w:val="24"/>
                <w:lang w:val="en-US" w:eastAsia="zh-CN" w:bidi="zh-TW"/>
                <w14:textFill>
                  <w14:solidFill>
                    <w14:schemeClr w14:val="tx1"/>
                  </w14:solidFill>
                </w14:textFill>
              </w:rPr>
              <w:t>序号</w:t>
            </w:r>
          </w:p>
        </w:tc>
        <w:tc>
          <w:tcPr>
            <w:tcW w:w="41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0" w:firstLineChars="0"/>
              <w:jc w:val="center"/>
              <w:rPr>
                <w:rFonts w:hint="eastAsia" w:ascii="宋体" w:cs="宋体"/>
                <w:b w:val="0"/>
                <w:bCs w:val="0"/>
                <w:color w:val="000000" w:themeColor="text1"/>
                <w:sz w:val="24"/>
                <w:lang w:eastAsia="zh-CN"/>
                <w14:textFill>
                  <w14:solidFill>
                    <w14:schemeClr w14:val="tx1"/>
                  </w14:solidFill>
                </w14:textFill>
              </w:rPr>
            </w:pPr>
            <w:r>
              <w:rPr>
                <w:rFonts w:hint="eastAsia" w:ascii="宋体" w:cs="宋体"/>
                <w:b w:val="0"/>
                <w:bCs w:val="0"/>
                <w:color w:val="000000" w:themeColor="text1"/>
                <w:sz w:val="24"/>
                <w:lang w:eastAsia="zh-CN"/>
                <w14:textFill>
                  <w14:solidFill>
                    <w14:schemeClr w14:val="tx1"/>
                  </w14:solidFill>
                </w14:textFill>
              </w:rPr>
              <w:t>名称</w:t>
            </w:r>
          </w:p>
        </w:tc>
        <w:tc>
          <w:tcPr>
            <w:tcW w:w="17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cs="宋体"/>
                <w:b w:val="0"/>
                <w:bCs w:val="0"/>
                <w:color w:val="000000" w:themeColor="text1"/>
                <w:sz w:val="24"/>
                <w:lang w:val="en-US" w:eastAsia="zh-CN"/>
                <w14:textFill>
                  <w14:solidFill>
                    <w14:schemeClr w14:val="tx1"/>
                  </w14:solidFill>
                </w14:textFill>
              </w:rPr>
            </w:pPr>
            <w:r>
              <w:rPr>
                <w:rFonts w:hint="eastAsia" w:ascii="宋体" w:cs="宋体"/>
                <w:b w:val="0"/>
                <w:bCs w:val="0"/>
                <w:color w:val="000000" w:themeColor="text1"/>
                <w:sz w:val="24"/>
                <w:lang w:val="en-US" w:eastAsia="zh-CN"/>
                <w14:textFill>
                  <w14:solidFill>
                    <w14:schemeClr w14:val="tx1"/>
                  </w14:solidFill>
                </w14:textFill>
              </w:rPr>
              <w:t>规格（型号）</w:t>
            </w:r>
          </w:p>
        </w:tc>
        <w:tc>
          <w:tcPr>
            <w:tcW w:w="17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cs="宋体"/>
                <w:b w:val="0"/>
                <w:bCs w:val="0"/>
                <w:color w:val="000000" w:themeColor="text1"/>
                <w:sz w:val="24"/>
                <w:lang w:val="en-US" w:eastAsia="zh-CN"/>
                <w14:textFill>
                  <w14:solidFill>
                    <w14:schemeClr w14:val="tx1"/>
                  </w14:solidFill>
                </w14:textFill>
              </w:rPr>
            </w:pPr>
            <w:r>
              <w:rPr>
                <w:rFonts w:hint="eastAsia" w:ascii="宋体" w:cs="宋体"/>
                <w:b w:val="0"/>
                <w:bCs w:val="0"/>
                <w:color w:val="000000" w:themeColor="text1"/>
                <w:sz w:val="24"/>
                <w:lang w:val="en-US" w:eastAsia="zh-CN"/>
                <w14:textFill>
                  <w14:solidFill>
                    <w14:schemeClr w14:val="tx1"/>
                  </w14:solidFill>
                </w14:textFill>
              </w:rPr>
              <w:t>数量</w:t>
            </w:r>
          </w:p>
        </w:tc>
      </w:tr>
      <w:tr>
        <w:tblPrEx>
          <w:tblCellMar>
            <w:top w:w="0" w:type="dxa"/>
            <w:left w:w="108" w:type="dxa"/>
            <w:bottom w:w="0" w:type="dxa"/>
            <w:right w:w="108" w:type="dxa"/>
          </w:tblCellMar>
        </w:tblPrEx>
        <w:trPr>
          <w:trHeight w:val="514" w:hRule="exact"/>
          <w:jc w:val="center"/>
        </w:trPr>
        <w:tc>
          <w:tcPr>
            <w:tcW w:w="8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val="0"/>
                <w:bCs w:val="0"/>
                <w:color w:val="000000" w:themeColor="text1"/>
                <w:sz w:val="24"/>
                <w:szCs w:val="24"/>
                <w:lang w:val="en-US" w:eastAsia="zh-CN" w:bidi="zh-TW"/>
                <w14:textFill>
                  <w14:solidFill>
                    <w14:schemeClr w14:val="tx1"/>
                  </w14:solidFill>
                </w14:textFill>
              </w:rPr>
            </w:pPr>
            <w:r>
              <w:rPr>
                <w:rFonts w:hint="eastAsia" w:ascii="宋体" w:hAnsi="宋体" w:eastAsia="宋体" w:cs="宋体"/>
                <w:b w:val="0"/>
                <w:bCs w:val="0"/>
                <w:color w:val="000000" w:themeColor="text1"/>
                <w:sz w:val="24"/>
                <w:szCs w:val="24"/>
                <w:lang w:val="en-US" w:eastAsia="zh-CN" w:bidi="zh-TW"/>
                <w14:textFill>
                  <w14:solidFill>
                    <w14:schemeClr w14:val="tx1"/>
                  </w14:solidFill>
                </w14:textFill>
              </w:rPr>
              <w:t>1</w:t>
            </w:r>
          </w:p>
        </w:tc>
        <w:tc>
          <w:tcPr>
            <w:tcW w:w="41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0" w:firstLineChars="0"/>
              <w:jc w:val="center"/>
              <w:rPr>
                <w:rFonts w:hint="eastAsia" w:ascii="宋体" w:hAnsi="宋体" w:eastAsia="宋体" w:cs="宋体"/>
                <w:b w:val="0"/>
                <w:bCs w:val="0"/>
                <w:color w:val="000000" w:themeColor="text1"/>
                <w:sz w:val="24"/>
                <w:szCs w:val="24"/>
                <w:lang w:val="en-US" w:eastAsia="zh-CN" w:bidi="zh-TW"/>
                <w14:textFill>
                  <w14:solidFill>
                    <w14:schemeClr w14:val="tx1"/>
                  </w14:solidFill>
                </w14:textFill>
              </w:rPr>
            </w:pPr>
            <w:r>
              <w:rPr>
                <w:rFonts w:hint="eastAsia" w:ascii="宋体" w:cs="宋体"/>
                <w:b w:val="0"/>
                <w:bCs w:val="0"/>
                <w:color w:val="000000" w:themeColor="text1"/>
                <w:sz w:val="24"/>
                <w:lang w:val="en-US" w:eastAsia="zh-CN"/>
                <w14:textFill>
                  <w14:solidFill>
                    <w14:schemeClr w14:val="tx1"/>
                  </w14:solidFill>
                </w14:textFill>
              </w:rPr>
              <w:t xml:space="preserve">旋翼式水表 </w:t>
            </w:r>
          </w:p>
        </w:tc>
        <w:tc>
          <w:tcPr>
            <w:tcW w:w="17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宋体"/>
                <w:b w:val="0"/>
                <w:bCs w:val="0"/>
                <w:color w:val="000000" w:themeColor="text1"/>
                <w:sz w:val="24"/>
                <w:szCs w:val="24"/>
                <w:lang w:val="en-US" w:eastAsia="zh-CN" w:bidi="zh-TW"/>
                <w14:textFill>
                  <w14:solidFill>
                    <w14:schemeClr w14:val="tx1"/>
                  </w14:solidFill>
                </w14:textFill>
              </w:rPr>
            </w:pPr>
            <w:r>
              <w:rPr>
                <w:rFonts w:hint="eastAsia" w:ascii="宋体" w:cs="宋体"/>
                <w:b w:val="0"/>
                <w:bCs w:val="0"/>
                <w:color w:val="000000" w:themeColor="text1"/>
                <w:sz w:val="24"/>
                <w:lang w:val="en-US" w:eastAsia="zh-CN"/>
                <w14:textFill>
                  <w14:solidFill>
                    <w14:schemeClr w14:val="tx1"/>
                  </w14:solidFill>
                </w14:textFill>
              </w:rPr>
              <w:t xml:space="preserve"> DN20</w:t>
            </w:r>
          </w:p>
        </w:tc>
        <w:tc>
          <w:tcPr>
            <w:tcW w:w="17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cs="宋体"/>
                <w:b w:val="0"/>
                <w:bCs w:val="0"/>
                <w:color w:val="000000" w:themeColor="text1"/>
                <w:sz w:val="24"/>
                <w:lang w:val="en-US" w:eastAsia="zh-CN"/>
                <w14:textFill>
                  <w14:solidFill>
                    <w14:schemeClr w14:val="tx1"/>
                  </w14:solidFill>
                </w14:textFill>
              </w:rPr>
            </w:pPr>
            <w:r>
              <w:rPr>
                <w:rFonts w:hint="eastAsia" w:ascii="宋体" w:cs="宋体"/>
                <w:b w:val="0"/>
                <w:bCs w:val="0"/>
                <w:color w:val="000000" w:themeColor="text1"/>
                <w:sz w:val="24"/>
                <w:lang w:val="en-US" w:eastAsia="zh-CN"/>
                <w14:textFill>
                  <w14:solidFill>
                    <w14:schemeClr w14:val="tx1"/>
                  </w14:solidFill>
                </w14:textFill>
              </w:rPr>
              <w:t>1只</w:t>
            </w:r>
          </w:p>
        </w:tc>
      </w:tr>
    </w:tbl>
    <w:p>
      <w:pPr>
        <w:spacing w:line="360" w:lineRule="auto"/>
        <w:ind w:firstLine="482" w:firstLineChars="200"/>
        <w:rPr>
          <w:rFonts w:hint="eastAsia" w:ascii="宋体" w:hAnsi="宋体" w:eastAsia="宋体" w:cs="Times New Roman"/>
          <w:b/>
          <w:color w:val="000000" w:themeColor="text1"/>
          <w:sz w:val="24"/>
          <w14:textFill>
            <w14:solidFill>
              <w14:schemeClr w14:val="tx1"/>
            </w14:solidFill>
          </w14:textFill>
        </w:rPr>
      </w:pPr>
      <w:r>
        <w:rPr>
          <w:rFonts w:hint="eastAsia" w:ascii="宋体" w:hAnsi="宋体" w:eastAsia="宋体" w:cs="Times New Roman"/>
          <w:b/>
          <w:color w:val="000000" w:themeColor="text1"/>
          <w:sz w:val="24"/>
          <w14:textFill>
            <w14:solidFill>
              <w14:schemeClr w14:val="tx1"/>
            </w14:solidFill>
          </w14:textFill>
        </w:rPr>
        <w:t>样品提交要求：投标人</w:t>
      </w:r>
      <w:r>
        <w:rPr>
          <w:rFonts w:hint="eastAsia" w:ascii="宋体" w:hAnsi="宋体" w:eastAsia="宋体" w:cs="Times New Roman"/>
          <w:b/>
          <w:color w:val="000000" w:themeColor="text1"/>
          <w:sz w:val="24"/>
          <w:lang w:val="en-US" w:eastAsia="zh-CN"/>
          <w14:textFill>
            <w14:solidFill>
              <w14:schemeClr w14:val="tx1"/>
            </w14:solidFill>
          </w14:textFill>
        </w:rPr>
        <w:t>需要要求</w:t>
      </w:r>
      <w:r>
        <w:rPr>
          <w:rFonts w:hint="eastAsia" w:ascii="宋体" w:hAnsi="宋体" w:eastAsia="宋体" w:cs="Times New Roman"/>
          <w:b/>
          <w:color w:val="000000" w:themeColor="text1"/>
          <w:sz w:val="24"/>
          <w14:textFill>
            <w14:solidFill>
              <w14:schemeClr w14:val="tx1"/>
            </w14:solidFill>
          </w14:textFill>
        </w:rPr>
        <w:t>应提供实物样品。实物样品应在</w:t>
      </w:r>
      <w:r>
        <w:rPr>
          <w:rFonts w:hint="eastAsia" w:ascii="宋体" w:hAnsi="宋体" w:eastAsia="宋体" w:cs="Times New Roman"/>
          <w:b/>
          <w:color w:val="000000" w:themeColor="text1"/>
          <w:sz w:val="24"/>
          <w:lang w:eastAsia="zh-CN"/>
          <w14:textFill>
            <w14:solidFill>
              <w14:schemeClr w14:val="tx1"/>
            </w14:solidFill>
          </w14:textFill>
        </w:rPr>
        <w:t>2023年</w:t>
      </w:r>
      <w:r>
        <w:rPr>
          <w:rFonts w:hint="eastAsia" w:ascii="宋体" w:hAnsi="宋体" w:eastAsia="宋体" w:cs="Times New Roman"/>
          <w:b/>
          <w:color w:val="000000" w:themeColor="text1"/>
          <w:sz w:val="24"/>
          <w:lang w:val="en-US" w:eastAsia="zh-CN"/>
          <w14:textFill>
            <w14:solidFill>
              <w14:schemeClr w14:val="tx1"/>
            </w14:solidFill>
          </w14:textFill>
        </w:rPr>
        <w:t xml:space="preserve">  </w:t>
      </w:r>
      <w:r>
        <w:rPr>
          <w:rFonts w:hint="eastAsia" w:ascii="宋体" w:hAnsi="宋体" w:eastAsia="宋体" w:cs="Times New Roman"/>
          <w:b/>
          <w:color w:val="000000" w:themeColor="text1"/>
          <w:sz w:val="24"/>
          <w14:textFill>
            <w14:solidFill>
              <w14:schemeClr w14:val="tx1"/>
            </w14:solidFill>
          </w14:textFill>
        </w:rPr>
        <w:t>月</w:t>
      </w:r>
      <w:r>
        <w:rPr>
          <w:rFonts w:hint="eastAsia" w:ascii="宋体" w:hAnsi="宋体" w:eastAsia="宋体" w:cs="Times New Roman"/>
          <w:b/>
          <w:color w:val="000000" w:themeColor="text1"/>
          <w:sz w:val="24"/>
          <w:lang w:val="en-US" w:eastAsia="zh-CN"/>
          <w14:textFill>
            <w14:solidFill>
              <w14:schemeClr w14:val="tx1"/>
            </w14:solidFill>
          </w14:textFill>
        </w:rPr>
        <w:t xml:space="preserve">   </w:t>
      </w:r>
      <w:r>
        <w:rPr>
          <w:rFonts w:hint="eastAsia" w:ascii="宋体" w:hAnsi="宋体" w:eastAsia="宋体" w:cs="Times New Roman"/>
          <w:b/>
          <w:color w:val="000000" w:themeColor="text1"/>
          <w:sz w:val="24"/>
          <w14:textFill>
            <w14:solidFill>
              <w14:schemeClr w14:val="tx1"/>
            </w14:solidFill>
          </w14:textFill>
        </w:rPr>
        <w:t>日</w:t>
      </w:r>
      <w:r>
        <w:rPr>
          <w:rFonts w:hint="eastAsia" w:ascii="宋体" w:hAnsi="宋体" w:eastAsia="宋体" w:cs="Times New Roman"/>
          <w:b/>
          <w:color w:val="000000" w:themeColor="text1"/>
          <w:sz w:val="24"/>
          <w:lang w:val="en-US" w:eastAsia="zh-CN"/>
          <w14:textFill>
            <w14:solidFill>
              <w14:schemeClr w14:val="tx1"/>
            </w14:solidFill>
          </w14:textFill>
        </w:rPr>
        <w:t>17</w:t>
      </w:r>
      <w:r>
        <w:rPr>
          <w:rFonts w:hint="eastAsia" w:ascii="宋体" w:hAnsi="宋体" w:eastAsia="宋体" w:cs="Times New Roman"/>
          <w:b/>
          <w:color w:val="000000" w:themeColor="text1"/>
          <w:sz w:val="24"/>
          <w14:textFill>
            <w14:solidFill>
              <w14:schemeClr w14:val="tx1"/>
            </w14:solidFill>
          </w14:textFill>
        </w:rPr>
        <w:t>：</w:t>
      </w:r>
      <w:r>
        <w:rPr>
          <w:rFonts w:hint="eastAsia" w:ascii="宋体" w:hAnsi="宋体" w:eastAsia="宋体" w:cs="Times New Roman"/>
          <w:b/>
          <w:color w:val="000000" w:themeColor="text1"/>
          <w:sz w:val="24"/>
          <w:lang w:val="en-US" w:eastAsia="zh-CN"/>
          <w14:textFill>
            <w14:solidFill>
              <w14:schemeClr w14:val="tx1"/>
            </w14:solidFill>
          </w14:textFill>
        </w:rPr>
        <w:t>30</w:t>
      </w:r>
      <w:r>
        <w:rPr>
          <w:rFonts w:hint="eastAsia" w:ascii="宋体" w:hAnsi="宋体" w:eastAsia="宋体" w:cs="Times New Roman"/>
          <w:b/>
          <w:color w:val="000000" w:themeColor="text1"/>
          <w:sz w:val="24"/>
          <w14:textFill>
            <w14:solidFill>
              <w14:schemeClr w14:val="tx1"/>
            </w14:solidFill>
          </w14:textFill>
        </w:rPr>
        <w:t>前邮寄至浙江祥泽招标代理有限公司（浙江省天台县西演茅村14巷3</w:t>
      </w:r>
      <w:r>
        <w:rPr>
          <w:rFonts w:hint="eastAsia" w:ascii="宋体" w:hAnsi="宋体" w:eastAsia="宋体" w:cs="Times New Roman"/>
          <w:b/>
          <w:color w:val="000000" w:themeColor="text1"/>
          <w:sz w:val="24"/>
          <w:lang w:val="en-US" w:eastAsia="zh-CN"/>
          <w14:textFill>
            <w14:solidFill>
              <w14:schemeClr w14:val="tx1"/>
            </w14:solidFill>
          </w14:textFill>
        </w:rPr>
        <w:t>9</w:t>
      </w:r>
      <w:r>
        <w:rPr>
          <w:rFonts w:hint="eastAsia" w:ascii="宋体" w:hAnsi="宋体" w:eastAsia="宋体" w:cs="Times New Roman"/>
          <w:b/>
          <w:color w:val="000000" w:themeColor="text1"/>
          <w:sz w:val="24"/>
          <w14:textFill>
            <w14:solidFill>
              <w14:schemeClr w14:val="tx1"/>
            </w14:solidFill>
          </w14:textFill>
        </w:rPr>
        <w:t>号，接收人：</w:t>
      </w:r>
      <w:r>
        <w:rPr>
          <w:rFonts w:hint="eastAsia" w:ascii="宋体" w:hAnsi="宋体" w:eastAsia="宋体" w:cs="Times New Roman"/>
          <w:b/>
          <w:color w:val="000000" w:themeColor="text1"/>
          <w:sz w:val="24"/>
          <w:lang w:val="en-US" w:eastAsia="zh-CN"/>
          <w14:textFill>
            <w14:solidFill>
              <w14:schemeClr w14:val="tx1"/>
            </w14:solidFill>
          </w14:textFill>
        </w:rPr>
        <w:t>庞雅晴</w:t>
      </w:r>
      <w:r>
        <w:rPr>
          <w:rFonts w:hint="eastAsia" w:ascii="宋体" w:hAnsi="宋体" w:eastAsia="宋体" w:cs="Times New Roman"/>
          <w:b/>
          <w:color w:val="000000" w:themeColor="text1"/>
          <w:sz w:val="24"/>
          <w14:textFill>
            <w14:solidFill>
              <w14:schemeClr w14:val="tx1"/>
            </w14:solidFill>
          </w14:textFill>
        </w:rPr>
        <w:t>，电话：</w:t>
      </w:r>
      <w:r>
        <w:rPr>
          <w:rFonts w:hint="eastAsia" w:ascii="宋体" w:hAnsi="宋体" w:eastAsia="宋体" w:cs="Times New Roman"/>
          <w:b/>
          <w:color w:val="000000" w:themeColor="text1"/>
          <w:sz w:val="24"/>
          <w:lang w:val="en-US" w:eastAsia="zh-CN"/>
          <w14:textFill>
            <w14:solidFill>
              <w14:schemeClr w14:val="tx1"/>
            </w14:solidFill>
          </w14:textFill>
        </w:rPr>
        <w:t>18668113738</w:t>
      </w:r>
      <w:r>
        <w:rPr>
          <w:rFonts w:hint="eastAsia" w:ascii="宋体" w:hAnsi="宋体" w:eastAsia="宋体" w:cs="Times New Roman"/>
          <w:b/>
          <w:color w:val="000000" w:themeColor="text1"/>
          <w:sz w:val="24"/>
          <w14:textFill>
            <w14:solidFill>
              <w14:schemeClr w14:val="tx1"/>
            </w14:solidFill>
          </w14:textFill>
        </w:rPr>
        <w:t>）。投标人需把样品统一放进包装箱内并贴上投标人名称。</w:t>
      </w:r>
    </w:p>
    <w:p>
      <w:pPr>
        <w:snapToGrid w:val="0"/>
        <w:spacing w:before="156" w:beforeLines="50" w:line="430" w:lineRule="exact"/>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14:textFill>
            <w14:solidFill>
              <w14:schemeClr w14:val="tx1"/>
            </w14:solidFill>
          </w14:textFill>
        </w:rPr>
        <w:br w:type="textWrapping"/>
      </w:r>
      <w:r>
        <w:rPr>
          <w:rFonts w:hint="eastAsia" w:ascii="宋体" w:hAnsi="宋体"/>
          <w:b/>
          <w:bCs/>
          <w:color w:val="000000" w:themeColor="text1"/>
          <w:sz w:val="24"/>
          <w:highlight w:val="none"/>
          <w:lang w:val="en-US" w:eastAsia="zh-CN"/>
          <w14:textFill>
            <w14:solidFill>
              <w14:schemeClr w14:val="tx1"/>
            </w14:solidFill>
          </w14:textFill>
        </w:rPr>
        <w:t>七</w:t>
      </w:r>
      <w:r>
        <w:rPr>
          <w:rFonts w:hint="eastAsia" w:ascii="宋体" w:hAnsi="宋体" w:cs="宋体"/>
          <w:b/>
          <w:color w:val="000000" w:themeColor="text1"/>
          <w:sz w:val="24"/>
          <w:highlight w:val="none"/>
          <w14:textFill>
            <w14:solidFill>
              <w14:schemeClr w14:val="tx1"/>
            </w14:solidFill>
          </w14:textFill>
        </w:rPr>
        <w:t>、付款方式</w:t>
      </w:r>
      <w:bookmarkEnd w:id="20"/>
      <w:r>
        <w:rPr>
          <w:rFonts w:hint="eastAsia" w:ascii="宋体" w:hAnsi="宋体" w:cs="宋体"/>
          <w:color w:val="000000" w:themeColor="text1"/>
          <w:sz w:val="24"/>
          <w:highlight w:val="none"/>
          <w14:textFill>
            <w14:solidFill>
              <w14:schemeClr w14:val="tx1"/>
            </w14:solidFill>
          </w14:textFill>
        </w:rPr>
        <w:t>：</w:t>
      </w:r>
      <w:bookmarkEnd w:id="21"/>
      <w:bookmarkEnd w:id="22"/>
    </w:p>
    <w:p>
      <w:pPr>
        <w:spacing w:line="360" w:lineRule="auto"/>
        <w:ind w:firstLine="600" w:firstLineChars="250"/>
        <w:rPr>
          <w:color w:val="000000" w:themeColor="text1"/>
          <w:highlight w:val="none"/>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合同签订后，每批货到仓库（工地）验收合格后，在一个月内支付该批货款的9</w:t>
      </w:r>
      <w:r>
        <w:rPr>
          <w:rFonts w:ascii="宋体" w:hAnsi="宋体" w:cs="宋体"/>
          <w:color w:val="000000" w:themeColor="text1"/>
          <w:kern w:val="0"/>
          <w:sz w:val="24"/>
          <w14:textFill>
            <w14:solidFill>
              <w14:schemeClr w14:val="tx1"/>
            </w14:solidFill>
          </w14:textFill>
        </w:rPr>
        <w:t>7</w:t>
      </w:r>
      <w:r>
        <w:rPr>
          <w:rFonts w:hint="eastAsia" w:ascii="宋体" w:hAnsi="宋体" w:cs="宋体"/>
          <w:color w:val="000000" w:themeColor="text1"/>
          <w:kern w:val="0"/>
          <w:sz w:val="24"/>
          <w14:textFill>
            <w14:solidFill>
              <w14:schemeClr w14:val="tx1"/>
            </w14:solidFill>
          </w14:textFill>
        </w:rPr>
        <w:t>.5%（发票和货物清单同时提供，以后付款以此类推），剩余2</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5%待质保期满后7个工作日内一次性付清。</w:t>
      </w:r>
    </w:p>
    <w:p>
      <w:pPr>
        <w:spacing w:line="430" w:lineRule="exact"/>
        <w:ind w:firstLine="281" w:firstLineChars="100"/>
        <w:rPr>
          <w:rFonts w:hint="eastAsia" w:ascii="仿宋_GB2312" w:hAnsi="宋体" w:eastAsia="仿宋_GB2312"/>
          <w:b/>
          <w:color w:val="000000" w:themeColor="text1"/>
          <w:sz w:val="28"/>
          <w:szCs w:val="28"/>
          <w:highlight w:val="none"/>
          <w14:textFill>
            <w14:solidFill>
              <w14:schemeClr w14:val="tx1"/>
            </w14:solidFill>
          </w14:textFill>
        </w:rPr>
      </w:pPr>
      <w:r>
        <w:rPr>
          <w:rFonts w:hint="eastAsia" w:ascii="仿宋_GB2312" w:hAnsi="宋体" w:eastAsia="仿宋_GB2312"/>
          <w:b/>
          <w:color w:val="000000" w:themeColor="text1"/>
          <w:sz w:val="28"/>
          <w:szCs w:val="28"/>
          <w:highlight w:val="none"/>
          <w14:textFill>
            <w14:solidFill>
              <w14:schemeClr w14:val="tx1"/>
            </w14:solidFill>
          </w14:textFill>
        </w:rPr>
        <w:t>说明：本章所有内容必须实质性响应，否则作无效标处理。</w:t>
      </w:r>
    </w:p>
    <w:p>
      <w:pPr>
        <w:pStyle w:val="6"/>
        <w:snapToGrid w:val="0"/>
        <w:spacing w:line="440" w:lineRule="exact"/>
        <w:rPr>
          <w:rFonts w:ascii="仿宋_GB2312" w:eastAsia="仿宋_GB2312"/>
          <w:color w:val="000000" w:themeColor="text1"/>
          <w:sz w:val="28"/>
          <w:szCs w:val="28"/>
          <w:highlight w:val="none"/>
          <w14:textFill>
            <w14:solidFill>
              <w14:schemeClr w14:val="tx1"/>
            </w14:solidFill>
          </w14:textFill>
        </w:rPr>
        <w:sectPr>
          <w:pgSz w:w="11906" w:h="16838"/>
          <w:pgMar w:top="1134" w:right="1134" w:bottom="1134" w:left="1134" w:header="851" w:footer="992" w:gutter="0"/>
          <w:pgNumType w:start="1"/>
          <w:cols w:space="720" w:num="1"/>
          <w:docGrid w:type="lines" w:linePitch="312" w:charSpace="0"/>
        </w:sectPr>
      </w:pPr>
    </w:p>
    <w:p>
      <w:pPr>
        <w:pStyle w:val="2"/>
        <w:rPr>
          <w:rFonts w:ascii="FangSong_GB2312" w:eastAsia="FangSong_GB2312"/>
          <w:b/>
          <w:color w:val="000000" w:themeColor="text1"/>
          <w:sz w:val="36"/>
          <w:szCs w:val="36"/>
          <w:highlight w:val="none"/>
          <w14:textFill>
            <w14:solidFill>
              <w14:schemeClr w14:val="tx1"/>
            </w14:solidFill>
          </w14:textFill>
        </w:rPr>
      </w:pPr>
    </w:p>
    <w:p>
      <w:pPr>
        <w:pStyle w:val="6"/>
        <w:snapToGrid w:val="0"/>
        <w:jc w:val="center"/>
        <w:rPr>
          <w:rFonts w:ascii="FangSong_GB2312" w:eastAsia="FangSong_GB2312"/>
          <w:b/>
          <w:color w:val="000000" w:themeColor="text1"/>
          <w:sz w:val="36"/>
          <w:szCs w:val="36"/>
          <w:highlight w:val="none"/>
          <w14:textFill>
            <w14:solidFill>
              <w14:schemeClr w14:val="tx1"/>
            </w14:solidFill>
          </w14:textFill>
        </w:rPr>
      </w:pPr>
      <w:r>
        <w:rPr>
          <w:rFonts w:ascii="FangSong_GB2312" w:eastAsia="FangSong_GB2312"/>
          <w:b/>
          <w:color w:val="000000" w:themeColor="text1"/>
          <w:sz w:val="36"/>
          <w:szCs w:val="36"/>
          <w:highlight w:val="none"/>
          <w14:textFill>
            <w14:solidFill>
              <w14:schemeClr w14:val="tx1"/>
            </w14:solidFill>
          </w14:textFill>
        </w:rPr>
        <w:t>第五章 评标办法及评分标准</w:t>
      </w:r>
    </w:p>
    <w:p>
      <w:pPr>
        <w:pStyle w:val="6"/>
        <w:snapToGrid w:val="0"/>
        <w:spacing w:before="156" w:beforeLines="50" w:after="156" w:afterLines="50"/>
        <w:rPr>
          <w:rFonts w:ascii="FangSong_GB2312" w:eastAsia="FangSong_GB2312"/>
          <w:b/>
          <w:color w:val="000000" w:themeColor="text1"/>
          <w:sz w:val="28"/>
          <w:szCs w:val="28"/>
          <w:highlight w:val="none"/>
          <w14:textFill>
            <w14:solidFill>
              <w14:schemeClr w14:val="tx1"/>
            </w14:solidFill>
          </w14:textFill>
        </w:rPr>
      </w:pPr>
      <w:r>
        <w:rPr>
          <w:rFonts w:ascii="FangSong_GB2312" w:eastAsia="FangSong_GB2312"/>
          <w:b/>
          <w:color w:val="000000" w:themeColor="text1"/>
          <w:sz w:val="28"/>
          <w:szCs w:val="28"/>
          <w:highlight w:val="none"/>
          <w14:textFill>
            <w14:solidFill>
              <w14:schemeClr w14:val="tx1"/>
            </w14:solidFill>
          </w14:textFill>
        </w:rPr>
        <w:t>一、评标原则</w:t>
      </w:r>
    </w:p>
    <w:p>
      <w:pPr>
        <w:pStyle w:val="6"/>
        <w:snapToGrid w:val="0"/>
        <w:ind w:firstLine="240" w:firstLineChars="10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评标委员会必须公平、公正、客观，不带任何倾向性和启发性，不得向外界透露任何与评标有关的内容；任何单位和个人不得干扰、影响评标的正常进行；评标委员会及有关工作人员不得私下与投标人接触。</w:t>
      </w:r>
    </w:p>
    <w:p>
      <w:pPr>
        <w:pStyle w:val="6"/>
        <w:snapToGrid w:val="0"/>
        <w:spacing w:before="120" w:beforeLines="50"/>
        <w:rPr>
          <w:rFonts w:ascii="仿宋" w:hAnsi="仿宋" w:eastAsia="仿宋"/>
          <w:b/>
          <w:color w:val="000000" w:themeColor="text1"/>
          <w:sz w:val="28"/>
          <w:szCs w:val="28"/>
          <w:highlight w:val="none"/>
          <w14:textFill>
            <w14:solidFill>
              <w14:schemeClr w14:val="tx1"/>
            </w14:solidFill>
          </w14:textFill>
        </w:rPr>
      </w:pPr>
      <w:r>
        <w:rPr>
          <w:rFonts w:ascii="仿宋" w:hAnsi="仿宋" w:eastAsia="仿宋"/>
          <w:b/>
          <w:color w:val="000000" w:themeColor="text1"/>
          <w:sz w:val="28"/>
          <w:szCs w:val="28"/>
          <w14:textFill>
            <w14:solidFill>
              <w14:schemeClr w14:val="tx1"/>
            </w14:solidFill>
          </w14:textFill>
        </w:rPr>
        <w:t>二、评</w:t>
      </w:r>
      <w:r>
        <w:rPr>
          <w:rFonts w:ascii="仿宋" w:hAnsi="仿宋" w:eastAsia="仿宋"/>
          <w:b/>
          <w:color w:val="000000" w:themeColor="text1"/>
          <w:sz w:val="28"/>
          <w:szCs w:val="28"/>
          <w:highlight w:val="none"/>
          <w14:textFill>
            <w14:solidFill>
              <w14:schemeClr w14:val="tx1"/>
            </w14:solidFill>
          </w14:textFill>
        </w:rPr>
        <w:t>标办法：采用综合评分法总得分为100分，其中技术得分</w:t>
      </w:r>
      <w:r>
        <w:rPr>
          <w:rFonts w:hint="eastAsia" w:ascii="仿宋" w:hAnsi="仿宋" w:eastAsia="仿宋"/>
          <w:b/>
          <w:color w:val="000000" w:themeColor="text1"/>
          <w:sz w:val="28"/>
          <w:szCs w:val="28"/>
          <w:highlight w:val="none"/>
          <w:lang w:val="en-US" w:eastAsia="zh-CN"/>
          <w14:textFill>
            <w14:solidFill>
              <w14:schemeClr w14:val="tx1"/>
            </w14:solidFill>
          </w14:textFill>
        </w:rPr>
        <w:t>60分</w:t>
      </w:r>
      <w:r>
        <w:rPr>
          <w:rFonts w:ascii="仿宋" w:hAnsi="仿宋" w:eastAsia="仿宋"/>
          <w:b/>
          <w:color w:val="000000" w:themeColor="text1"/>
          <w:sz w:val="28"/>
          <w:szCs w:val="28"/>
          <w:highlight w:val="none"/>
          <w14:textFill>
            <w14:solidFill>
              <w14:schemeClr w14:val="tx1"/>
            </w14:solidFill>
          </w14:textFill>
        </w:rPr>
        <w:t>，价格得分</w:t>
      </w:r>
      <w:r>
        <w:rPr>
          <w:rFonts w:hint="eastAsia" w:ascii="仿宋" w:hAnsi="仿宋" w:eastAsia="仿宋"/>
          <w:b/>
          <w:color w:val="000000" w:themeColor="text1"/>
          <w:sz w:val="28"/>
          <w:szCs w:val="28"/>
          <w:highlight w:val="none"/>
          <w:lang w:val="en-US" w:eastAsia="zh-CN"/>
          <w14:textFill>
            <w14:solidFill>
              <w14:schemeClr w14:val="tx1"/>
            </w14:solidFill>
          </w14:textFill>
        </w:rPr>
        <w:t>40分</w:t>
      </w:r>
    </w:p>
    <w:p>
      <w:pPr>
        <w:autoSpaceDE w:val="0"/>
        <w:autoSpaceDN w:val="0"/>
        <w:adjustRightInd w:val="0"/>
        <w:spacing w:before="156"/>
        <w:rPr>
          <w:rFonts w:hint="eastAsia" w:ascii="仿宋" w:hAnsi="仿宋" w:eastAsia="仿宋" w:cs="仿宋_GB2312"/>
          <w:b/>
          <w:bCs/>
          <w:color w:val="000000" w:themeColor="text1"/>
          <w:sz w:val="24"/>
          <w:highlight w:val="none"/>
          <w:lang w:val="zh-CN"/>
          <w14:textFill>
            <w14:solidFill>
              <w14:schemeClr w14:val="tx1"/>
            </w14:solidFill>
          </w14:textFill>
        </w:rPr>
      </w:pPr>
      <w:r>
        <w:rPr>
          <w:rFonts w:hint="eastAsia" w:ascii="仿宋" w:hAnsi="仿宋" w:eastAsia="仿宋" w:cs="仿宋_GB2312"/>
          <w:b/>
          <w:bCs/>
          <w:color w:val="000000" w:themeColor="text1"/>
          <w:sz w:val="24"/>
          <w:highlight w:val="none"/>
          <w:lang w:val="zh-CN"/>
          <w14:textFill>
            <w14:solidFill>
              <w14:schemeClr w14:val="tx1"/>
            </w14:solidFill>
          </w14:textFill>
        </w:rPr>
        <w:t>（一）评标要求</w:t>
      </w:r>
    </w:p>
    <w:p>
      <w:pPr>
        <w:autoSpaceDE w:val="0"/>
        <w:autoSpaceDN w:val="0"/>
        <w:adjustRightInd w:val="0"/>
        <w:spacing w:before="156"/>
        <w:ind w:firstLine="235" w:firstLineChars="98"/>
        <w:rPr>
          <w:rFonts w:hint="eastAsia" w:ascii="仿宋" w:hAnsi="仿宋" w:eastAsia="仿宋" w:cs="仿宋_GB2312"/>
          <w:color w:val="000000" w:themeColor="text1"/>
          <w:sz w:val="24"/>
          <w:lang w:val="zh-CN"/>
          <w14:textFill>
            <w14:solidFill>
              <w14:schemeClr w14:val="tx1"/>
            </w14:solidFill>
          </w14:textFill>
        </w:rPr>
      </w:pPr>
      <w:r>
        <w:rPr>
          <w:rFonts w:hint="eastAsia" w:ascii="仿宋" w:hAnsi="仿宋" w:eastAsia="仿宋" w:cs="仿宋_GB2312"/>
          <w:bCs/>
          <w:color w:val="000000" w:themeColor="text1"/>
          <w:sz w:val="24"/>
          <w:highlight w:val="none"/>
          <w:lang w:val="zh-CN"/>
          <w14:textFill>
            <w14:solidFill>
              <w14:schemeClr w14:val="tx1"/>
            </w14:solidFill>
          </w14:textFill>
        </w:rPr>
        <w:t>1、</w:t>
      </w:r>
      <w:r>
        <w:rPr>
          <w:rFonts w:hint="eastAsia" w:ascii="仿宋" w:hAnsi="仿宋" w:eastAsia="仿宋" w:cs="仿宋_GB2312"/>
          <w:color w:val="000000" w:themeColor="text1"/>
          <w:sz w:val="24"/>
          <w:highlight w:val="none"/>
          <w:lang w:val="zh-CN"/>
          <w14:textFill>
            <w14:solidFill>
              <w14:schemeClr w14:val="tx1"/>
            </w14:solidFill>
          </w14:textFill>
        </w:rPr>
        <w:t>评标委员会将对投标文</w:t>
      </w:r>
      <w:r>
        <w:rPr>
          <w:rFonts w:hint="eastAsia" w:ascii="仿宋" w:hAnsi="仿宋" w:eastAsia="仿宋" w:cs="仿宋_GB2312"/>
          <w:color w:val="000000" w:themeColor="text1"/>
          <w:sz w:val="24"/>
          <w:lang w:val="zh-CN"/>
          <w14:textFill>
            <w14:solidFill>
              <w14:schemeClr w14:val="tx1"/>
            </w14:solidFill>
          </w14:textFill>
        </w:rPr>
        <w:t>件的内容进行评审，凡投标文件实质性内容不响应招标文件要求和关键格式不符合招标文件规定的，经评标委员会认定作为无效标处理。评标委员会经过审标、询标，在对各投标人及其投标文件进行充分分析、评议的基础上进行打分。</w:t>
      </w:r>
    </w:p>
    <w:p>
      <w:pPr>
        <w:autoSpaceDE w:val="0"/>
        <w:autoSpaceDN w:val="0"/>
        <w:adjustRightInd w:val="0"/>
        <w:spacing w:before="156"/>
        <w:ind w:firstLine="240" w:firstLineChars="100"/>
        <w:rPr>
          <w:rFonts w:hint="eastAsia" w:ascii="仿宋" w:hAnsi="仿宋" w:eastAsia="仿宋" w:cs="仿宋_GB2312"/>
          <w:color w:val="000000" w:themeColor="text1"/>
          <w:sz w:val="24"/>
          <w:lang w:val="zh-CN"/>
          <w14:textFill>
            <w14:solidFill>
              <w14:schemeClr w14:val="tx1"/>
            </w14:solidFill>
          </w14:textFill>
        </w:rPr>
      </w:pPr>
      <w:r>
        <w:rPr>
          <w:rFonts w:hint="eastAsia" w:ascii="仿宋" w:hAnsi="仿宋" w:eastAsia="仿宋" w:cs="仿宋_GB2312"/>
          <w:color w:val="000000" w:themeColor="text1"/>
          <w:sz w:val="24"/>
          <w:lang w:val="zh-CN"/>
          <w14:textFill>
            <w14:solidFill>
              <w14:schemeClr w14:val="tx1"/>
            </w14:solidFill>
          </w14:textFill>
        </w:rPr>
        <w:t>2、总得分为100分。在规定的分值范围内由评委自行评定打分。</w:t>
      </w:r>
    </w:p>
    <w:p>
      <w:pPr>
        <w:autoSpaceDE w:val="0"/>
        <w:autoSpaceDN w:val="0"/>
        <w:adjustRightInd w:val="0"/>
        <w:spacing w:before="156"/>
        <w:ind w:firstLine="240" w:firstLineChars="100"/>
        <w:rPr>
          <w:rFonts w:hint="eastAsia" w:ascii="仿宋" w:hAnsi="仿宋" w:eastAsia="仿宋" w:cs="仿宋_GB2312"/>
          <w:color w:val="000000" w:themeColor="text1"/>
          <w:sz w:val="24"/>
          <w:lang w:val="zh-CN"/>
          <w14:textFill>
            <w14:solidFill>
              <w14:schemeClr w14:val="tx1"/>
            </w14:solidFill>
          </w14:textFill>
        </w:rPr>
      </w:pPr>
      <w:r>
        <w:rPr>
          <w:rFonts w:hint="eastAsia" w:ascii="仿宋" w:hAnsi="仿宋" w:eastAsia="仿宋" w:cs="仿宋_GB2312"/>
          <w:color w:val="000000" w:themeColor="text1"/>
          <w:sz w:val="24"/>
          <w:lang w:val="zh-CN"/>
          <w14:textFill>
            <w14:solidFill>
              <w14:schemeClr w14:val="tx1"/>
            </w14:solidFill>
          </w14:textFill>
        </w:rPr>
        <w:t>3、根据评委打分累计后再取平均分作为投标人的最终得分。</w:t>
      </w:r>
    </w:p>
    <w:p>
      <w:pPr>
        <w:autoSpaceDE w:val="0"/>
        <w:autoSpaceDN w:val="0"/>
        <w:adjustRightInd w:val="0"/>
        <w:spacing w:before="156"/>
        <w:ind w:firstLine="240" w:firstLineChars="100"/>
        <w:rPr>
          <w:rFonts w:hint="eastAsia" w:ascii="仿宋" w:hAnsi="仿宋" w:eastAsia="仿宋" w:cs="仿宋_GB2312"/>
          <w:color w:val="000000" w:themeColor="text1"/>
          <w:sz w:val="24"/>
          <w:lang w:val="zh-CN"/>
          <w14:textFill>
            <w14:solidFill>
              <w14:schemeClr w14:val="tx1"/>
            </w14:solidFill>
          </w14:textFill>
        </w:rPr>
      </w:pPr>
      <w:r>
        <w:rPr>
          <w:rFonts w:hint="eastAsia" w:ascii="仿宋" w:hAnsi="仿宋" w:eastAsia="仿宋" w:cs="仿宋_GB2312"/>
          <w:color w:val="000000" w:themeColor="text1"/>
          <w:sz w:val="24"/>
          <w:lang w:val="zh-CN"/>
          <w14:textFill>
            <w14:solidFill>
              <w14:schemeClr w14:val="tx1"/>
            </w14:solidFill>
          </w14:textFill>
        </w:rPr>
        <w:t>4、所有计算结果小数点后保留2位，第3位四舍五入。</w:t>
      </w:r>
    </w:p>
    <w:p>
      <w:pPr>
        <w:spacing w:line="440" w:lineRule="exact"/>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（二）评标</w:t>
      </w:r>
    </w:p>
    <w:p>
      <w:pPr>
        <w:spacing w:after="120" w:afterLines="50" w:line="440" w:lineRule="exact"/>
        <w:ind w:firstLine="236" w:firstLineChars="98"/>
        <w:rPr>
          <w:rFonts w:hint="eastAsia" w:ascii="仿宋" w:hAnsi="仿宋" w:eastAsia="仿宋"/>
          <w:color w:val="000000" w:themeColor="text1"/>
          <w:sz w:val="24"/>
          <w14:textFill>
            <w14:solidFill>
              <w14:schemeClr w14:val="tx1"/>
            </w14:solidFill>
          </w14:textFill>
        </w:rPr>
      </w:pPr>
      <w:r>
        <w:rPr>
          <w:rFonts w:ascii="仿宋" w:hAnsi="仿宋" w:eastAsia="仿宋"/>
          <w:b/>
          <w:color w:val="000000" w:themeColor="text1"/>
          <w:sz w:val="24"/>
          <w14:textFill>
            <w14:solidFill>
              <w14:schemeClr w14:val="tx1"/>
            </w14:solidFill>
          </w14:textFill>
        </w:rPr>
        <w:t>1</w:t>
      </w:r>
      <w:r>
        <w:rPr>
          <w:rFonts w:hint="eastAsia" w:ascii="仿宋" w:hAnsi="仿宋" w:eastAsia="仿宋"/>
          <w:b/>
          <w:color w:val="000000" w:themeColor="text1"/>
          <w:sz w:val="24"/>
          <w14:textFill>
            <w14:solidFill>
              <w14:schemeClr w14:val="tx1"/>
            </w14:solidFill>
          </w14:textFill>
        </w:rPr>
        <w:t>、</w:t>
      </w:r>
      <w:r>
        <w:rPr>
          <w:rFonts w:hint="eastAsia" w:ascii="仿宋" w:hAnsi="仿宋" w:eastAsia="仿宋"/>
          <w:b/>
          <w:color w:val="000000" w:themeColor="text1"/>
          <w:sz w:val="24"/>
          <w:lang w:val="en-US" w:eastAsia="zh-CN"/>
          <w14:textFill>
            <w14:solidFill>
              <w14:schemeClr w14:val="tx1"/>
            </w14:solidFill>
          </w14:textFill>
        </w:rPr>
        <w:t>商务</w:t>
      </w:r>
      <w:r>
        <w:rPr>
          <w:rFonts w:hint="eastAsia" w:ascii="仿宋" w:hAnsi="仿宋" w:eastAsia="仿宋"/>
          <w:b/>
          <w:color w:val="000000" w:themeColor="text1"/>
          <w:sz w:val="24"/>
          <w14:textFill>
            <w14:solidFill>
              <w14:schemeClr w14:val="tx1"/>
            </w14:solidFill>
          </w14:textFill>
        </w:rPr>
        <w:t>文件评审</w:t>
      </w:r>
    </w:p>
    <w:p>
      <w:pPr>
        <w:snapToGrid w:val="0"/>
        <w:spacing w:line="400" w:lineRule="exact"/>
        <w:ind w:firstLine="240" w:firstLineChars="10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评标委员会对投标人的资格文件的完整性、合法性、资格条件等进行审查。合格的进入商务技术文件评审，不合格的按无效标处理不再进入商务技术文件评审。</w:t>
      </w:r>
    </w:p>
    <w:p>
      <w:pPr>
        <w:spacing w:after="120" w:afterLines="50" w:line="440" w:lineRule="exact"/>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 xml:space="preserve">  2、技术文件评审</w:t>
      </w:r>
    </w:p>
    <w:p>
      <w:pPr>
        <w:snapToGrid w:val="0"/>
        <w:spacing w:line="400" w:lineRule="exact"/>
        <w:ind w:firstLine="240" w:firstLineChars="10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2.1评标委员会审查各投标人商务技术文件中</w:t>
      </w:r>
      <w:r>
        <w:rPr>
          <w:rFonts w:hint="eastAsia" w:ascii="仿宋_GB2312" w:hAnsi="Courier New" w:eastAsia="仿宋_GB2312"/>
          <w:color w:val="000000" w:themeColor="text1"/>
          <w:sz w:val="24"/>
          <w14:textFill>
            <w14:solidFill>
              <w14:schemeClr w14:val="tx1"/>
            </w14:solidFill>
          </w14:textFill>
        </w:rPr>
        <w:t>服务响</w:t>
      </w:r>
      <w:r>
        <w:rPr>
          <w:rFonts w:hint="eastAsia" w:ascii="仿宋" w:hAnsi="仿宋" w:eastAsia="仿宋"/>
          <w:color w:val="000000" w:themeColor="text1"/>
          <w:sz w:val="24"/>
          <w14:textFill>
            <w14:solidFill>
              <w14:schemeClr w14:val="tx1"/>
            </w14:solidFill>
          </w14:textFill>
        </w:rPr>
        <w:t>应方案、投标人情况介绍等是否响应招标文件要求。如果商务技术文件实质上不响应招标文件各项要求，评标委员会将按无效标处理。</w:t>
      </w:r>
    </w:p>
    <w:p>
      <w:pPr>
        <w:spacing w:after="120" w:afterLines="50" w:line="440" w:lineRule="exact"/>
        <w:ind w:firstLine="236" w:firstLineChars="98"/>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2.2技术得分计算方法如下</w:t>
      </w:r>
      <w:r>
        <w:rPr>
          <w:rFonts w:hint="eastAsia" w:ascii="仿宋" w:hAnsi="仿宋" w:eastAsia="仿宋"/>
          <w:color w:val="000000" w:themeColor="text1"/>
          <w:sz w:val="24"/>
          <w14:textFill>
            <w14:solidFill>
              <w14:schemeClr w14:val="tx1"/>
            </w14:solidFill>
          </w14:textFill>
        </w:rPr>
        <w:t xml:space="preserve">： </w:t>
      </w:r>
    </w:p>
    <w:p>
      <w:pPr>
        <w:ind w:firstLine="240" w:firstLineChars="10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①技术评定分值</w:t>
      </w:r>
      <w:r>
        <w:rPr>
          <w:rFonts w:hint="eastAsia" w:ascii="仿宋" w:hAnsi="仿宋" w:eastAsia="仿宋" w:cs="Times New Roman"/>
          <w:color w:val="000000" w:themeColor="text1"/>
          <w:sz w:val="24"/>
          <w14:textFill>
            <w14:solidFill>
              <w14:schemeClr w14:val="tx1"/>
            </w14:solidFill>
          </w14:textFill>
        </w:rPr>
        <w:t>为</w:t>
      </w:r>
      <w:r>
        <w:rPr>
          <w:rFonts w:hint="eastAsia" w:ascii="仿宋" w:hAnsi="仿宋" w:eastAsia="仿宋" w:cs="Times New Roman"/>
          <w:color w:val="000000" w:themeColor="text1"/>
          <w:sz w:val="24"/>
          <w:lang w:val="en-US" w:eastAsia="zh-CN"/>
          <w14:textFill>
            <w14:solidFill>
              <w14:schemeClr w14:val="tx1"/>
            </w14:solidFill>
          </w14:textFill>
        </w:rPr>
        <w:t>60分</w:t>
      </w:r>
      <w:r>
        <w:rPr>
          <w:rFonts w:hint="eastAsia" w:ascii="仿宋" w:hAnsi="仿宋" w:eastAsia="仿宋"/>
          <w:color w:val="000000" w:themeColor="text1"/>
          <w:sz w:val="24"/>
          <w14:textFill>
            <w14:solidFill>
              <w14:schemeClr w14:val="tx1"/>
            </w14:solidFill>
          </w14:textFill>
        </w:rPr>
        <w:t>。</w:t>
      </w:r>
    </w:p>
    <w:p>
      <w:pPr>
        <w:ind w:firstLine="240" w:firstLineChars="10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②评标委员会按评分标准（详见表）中的内容，进行评审打分，合计得出各投标人的技术得分。</w:t>
      </w:r>
    </w:p>
    <w:p>
      <w:pPr>
        <w:ind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③各投标人的技术得分由评委自行评议，技术得分评分的最终得分为所有评委评分的平均值。</w:t>
      </w:r>
    </w:p>
    <w:p>
      <w:pPr>
        <w:spacing w:after="156" w:afterLines="50" w:line="340" w:lineRule="exact"/>
        <w:ind w:firstLine="241" w:firstLineChars="100"/>
        <w:rPr>
          <w:rFonts w:hint="eastAsia" w:ascii="FangSong_GB2312" w:hAnsi="Courier New" w:eastAsia="FangSong_GB2312"/>
          <w:b/>
          <w:color w:val="000000" w:themeColor="text1"/>
          <w:sz w:val="24"/>
          <w:highlight w:val="none"/>
          <w14:textFill>
            <w14:solidFill>
              <w14:schemeClr w14:val="tx1"/>
            </w14:solidFill>
          </w14:textFill>
        </w:rPr>
      </w:pPr>
    </w:p>
    <w:p>
      <w:pPr>
        <w:pStyle w:val="2"/>
        <w:rPr>
          <w:rFonts w:hint="eastAsia" w:ascii="FangSong_GB2312" w:hAnsi="Courier New" w:eastAsia="FangSong_GB2312"/>
          <w:b/>
          <w:color w:val="000000" w:themeColor="text1"/>
          <w:sz w:val="24"/>
          <w:highlight w:val="none"/>
          <w14:textFill>
            <w14:solidFill>
              <w14:schemeClr w14:val="tx1"/>
            </w14:solidFill>
          </w14:textFill>
        </w:rPr>
      </w:pPr>
    </w:p>
    <w:p>
      <w:pPr>
        <w:pStyle w:val="2"/>
        <w:rPr>
          <w:rFonts w:hint="eastAsia" w:ascii="FangSong_GB2312" w:hAnsi="Courier New" w:eastAsia="FangSong_GB2312"/>
          <w:b/>
          <w:color w:val="000000" w:themeColor="text1"/>
          <w:sz w:val="24"/>
          <w:highlight w:val="none"/>
          <w14:textFill>
            <w14:solidFill>
              <w14:schemeClr w14:val="tx1"/>
            </w14:solidFill>
          </w14:textFill>
        </w:rPr>
      </w:pPr>
    </w:p>
    <w:p>
      <w:pPr>
        <w:pStyle w:val="2"/>
        <w:rPr>
          <w:rFonts w:hint="eastAsia" w:ascii="FangSong_GB2312" w:hAnsi="Courier New" w:eastAsia="FangSong_GB2312"/>
          <w:b/>
          <w:color w:val="000000" w:themeColor="text1"/>
          <w:sz w:val="24"/>
          <w:highlight w:val="none"/>
          <w14:textFill>
            <w14:solidFill>
              <w14:schemeClr w14:val="tx1"/>
            </w14:solidFill>
          </w14:textFill>
        </w:rPr>
      </w:pPr>
    </w:p>
    <w:tbl>
      <w:tblPr>
        <w:tblStyle w:val="8"/>
        <w:tblW w:w="1034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486"/>
        <w:gridCol w:w="715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55" w:type="dxa"/>
            <w:noWrap w:val="0"/>
            <w:vAlign w:val="center"/>
          </w:tcPr>
          <w:p>
            <w:pPr>
              <w:widowControl/>
              <w:jc w:val="center"/>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序号</w:t>
            </w:r>
          </w:p>
        </w:tc>
        <w:tc>
          <w:tcPr>
            <w:tcW w:w="1486" w:type="dxa"/>
            <w:noWrap w:val="0"/>
            <w:vAlign w:val="center"/>
          </w:tcPr>
          <w:p>
            <w:pPr>
              <w:widowControl/>
              <w:jc w:val="center"/>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评标项</w:t>
            </w:r>
          </w:p>
        </w:tc>
        <w:tc>
          <w:tcPr>
            <w:tcW w:w="7157" w:type="dxa"/>
            <w:noWrap w:val="0"/>
            <w:vAlign w:val="center"/>
          </w:tcPr>
          <w:p>
            <w:pPr>
              <w:widowControl/>
              <w:jc w:val="center"/>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细则内容</w:t>
            </w:r>
          </w:p>
        </w:tc>
        <w:tc>
          <w:tcPr>
            <w:tcW w:w="851" w:type="dxa"/>
            <w:noWrap w:val="0"/>
            <w:vAlign w:val="center"/>
          </w:tcPr>
          <w:p>
            <w:pPr>
              <w:widowControl/>
              <w:jc w:val="center"/>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855" w:type="dxa"/>
            <w:noWrap w:val="0"/>
            <w:vAlign w:val="center"/>
          </w:tcPr>
          <w:p>
            <w:pPr>
              <w:widowControl/>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486" w:type="dxa"/>
            <w:noWrap w:val="0"/>
            <w:vAlign w:val="center"/>
          </w:tcPr>
          <w:p>
            <w:pPr>
              <w:widowControl/>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资信证书                                                                                                                                </w:t>
            </w:r>
          </w:p>
          <w:p>
            <w:pPr>
              <w:widowControl/>
              <w:jc w:val="center"/>
              <w:rPr>
                <w:rFonts w:ascii="宋体" w:hAnsi="宋体"/>
                <w:color w:val="000000" w:themeColor="text1"/>
                <w:szCs w:val="21"/>
                <w:highlight w:val="none"/>
                <w14:textFill>
                  <w14:solidFill>
                    <w14:schemeClr w14:val="tx1"/>
                  </w14:solidFill>
                </w14:textFill>
              </w:rPr>
            </w:pPr>
          </w:p>
        </w:tc>
        <w:tc>
          <w:tcPr>
            <w:tcW w:w="7157" w:type="dxa"/>
            <w:noWrap w:val="0"/>
            <w:vAlign w:val="center"/>
          </w:tcPr>
          <w:p>
            <w:pPr>
              <w:numPr>
                <w:ilvl w:val="0"/>
                <w:numId w:val="0"/>
              </w:numP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具有质</w:t>
            </w:r>
            <w:r>
              <w:rPr>
                <w:rFonts w:hint="eastAsia" w:ascii="Times New Roman" w:hAnsi="Times New Roman" w:eastAsia="宋体" w:cs="Times New Roman"/>
                <w:color w:val="000000" w:themeColor="text1"/>
                <w:lang w:val="en-US" w:eastAsia="zh-CN"/>
                <w14:textFill>
                  <w14:solidFill>
                    <w14:schemeClr w14:val="tx1"/>
                  </w14:solidFill>
                </w14:textFill>
              </w:rPr>
              <w:t>量管理体系认证证书的得1分，</w:t>
            </w:r>
          </w:p>
          <w:p>
            <w:pPr>
              <w:numPr>
                <w:ilvl w:val="0"/>
                <w:numId w:val="0"/>
              </w:numP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投标人</w:t>
            </w:r>
            <w:r>
              <w:rPr>
                <w:rFonts w:hint="eastAsia" w:ascii="Times New Roman" w:hAnsi="Times New Roman" w:eastAsia="宋体" w:cs="Times New Roman"/>
                <w:color w:val="000000" w:themeColor="text1"/>
                <w:lang w:val="en-US" w:eastAsia="zh-CN"/>
                <w14:textFill>
                  <w14:solidFill>
                    <w14:schemeClr w14:val="tx1"/>
                  </w14:solidFill>
                </w14:textFill>
              </w:rPr>
              <w:t>具有环境管理体系认证证书的得1分,</w:t>
            </w:r>
          </w:p>
          <w:p>
            <w:pPr>
              <w:numPr>
                <w:ilvl w:val="0"/>
                <w:numId w:val="0"/>
              </w:numP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投标人</w:t>
            </w:r>
            <w:r>
              <w:rPr>
                <w:rFonts w:hint="eastAsia" w:ascii="Times New Roman" w:hAnsi="Times New Roman" w:eastAsia="宋体" w:cs="Times New Roman"/>
                <w:color w:val="000000" w:themeColor="text1"/>
                <w:lang w:val="en-US" w:eastAsia="zh-CN"/>
                <w14:textFill>
                  <w14:solidFill>
                    <w14:schemeClr w14:val="tx1"/>
                  </w14:solidFill>
                </w14:textFill>
              </w:rPr>
              <w:t>具有职业健康安全管理体系认证证书的得1分，</w:t>
            </w:r>
          </w:p>
          <w:p>
            <w:pPr>
              <w:numPr>
                <w:ilvl w:val="0"/>
                <w:numId w:val="0"/>
              </w:numPr>
              <w:rPr>
                <w:rFonts w:hint="eastAsia" w:ascii="Times New Roman" w:hAnsi="Times New Roman" w:eastAsia="宋体" w:cs="Times New Roman"/>
                <w:color w:val="000000" w:themeColor="text1"/>
                <w:lang w:val="zh-CN"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4、</w:t>
            </w:r>
            <w:r>
              <w:rPr>
                <w:rFonts w:hint="eastAsia" w:ascii="宋体" w:hAnsi="宋体"/>
                <w:color w:val="000000" w:themeColor="text1"/>
                <w:szCs w:val="21"/>
                <w:highlight w:val="none"/>
                <w:lang w:eastAsia="zh-CN"/>
                <w14:textFill>
                  <w14:solidFill>
                    <w14:schemeClr w14:val="tx1"/>
                  </w14:solidFill>
                </w14:textFill>
              </w:rPr>
              <w:t>投标人</w:t>
            </w:r>
            <w:r>
              <w:rPr>
                <w:rFonts w:hint="eastAsia" w:ascii="Times New Roman" w:hAnsi="Times New Roman" w:eastAsia="宋体" w:cs="Times New Roman"/>
                <w:color w:val="000000" w:themeColor="text1"/>
                <w:lang w:val="en-US" w:eastAsia="zh-CN"/>
                <w14:textFill>
                  <w14:solidFill>
                    <w14:schemeClr w14:val="tx1"/>
                  </w14:solidFill>
                </w14:textFill>
              </w:rPr>
              <w:t>具有</w:t>
            </w:r>
            <w:r>
              <w:rPr>
                <w:rFonts w:hint="eastAsia" w:ascii="宋体" w:hAnsi="宋体" w:eastAsia="宋体" w:cs="宋体"/>
                <w:color w:val="000000" w:themeColor="text1"/>
                <w:szCs w:val="21"/>
                <w14:textFill>
                  <w14:solidFill>
                    <w14:schemeClr w14:val="tx1"/>
                  </w14:solidFill>
                </w14:textFill>
              </w:rPr>
              <w:t>测量管理体系认证</w:t>
            </w:r>
            <w:r>
              <w:rPr>
                <w:rFonts w:hint="eastAsia" w:ascii="Times New Roman" w:hAnsi="Times New Roman" w:eastAsia="宋体" w:cs="Times New Roman"/>
                <w:color w:val="000000" w:themeColor="text1"/>
                <w:lang w:val="en-US" w:eastAsia="zh-CN"/>
                <w14:textFill>
                  <w14:solidFill>
                    <w14:schemeClr w14:val="tx1"/>
                  </w14:solidFill>
                </w14:textFill>
              </w:rPr>
              <w:t>证书的得1分</w:t>
            </w:r>
            <w:r>
              <w:rPr>
                <w:rFonts w:hint="eastAsia" w:ascii="Times New Roman" w:hAnsi="Times New Roman" w:eastAsia="宋体" w:cs="Times New Roman"/>
                <w:color w:val="000000" w:themeColor="text1"/>
                <w:lang w:val="zh-CN" w:eastAsia="zh-CN"/>
                <w14:textFill>
                  <w14:solidFill>
                    <w14:schemeClr w14:val="tx1"/>
                  </w14:solidFill>
                </w14:textFill>
              </w:rPr>
              <w:t>，</w:t>
            </w:r>
          </w:p>
          <w:p>
            <w:pPr>
              <w:numPr>
                <w:ilvl w:val="0"/>
                <w:numId w:val="0"/>
              </w:numP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5、</w:t>
            </w:r>
            <w:r>
              <w:rPr>
                <w:rFonts w:hint="eastAsia" w:ascii="宋体" w:hAnsi="宋体"/>
                <w:color w:val="000000" w:themeColor="text1"/>
                <w:szCs w:val="21"/>
                <w:highlight w:val="none"/>
                <w:lang w:eastAsia="zh-CN"/>
                <w14:textFill>
                  <w14:solidFill>
                    <w14:schemeClr w14:val="tx1"/>
                  </w14:solidFill>
                </w14:textFill>
              </w:rPr>
              <w:t>投标人</w:t>
            </w:r>
            <w:r>
              <w:rPr>
                <w:rFonts w:hint="eastAsia" w:ascii="Times New Roman" w:hAnsi="Times New Roman" w:eastAsia="宋体" w:cs="Times New Roman"/>
                <w:color w:val="000000" w:themeColor="text1"/>
                <w:lang w:val="en-US" w:eastAsia="zh-CN"/>
                <w14:textFill>
                  <w14:solidFill>
                    <w14:schemeClr w14:val="tx1"/>
                  </w14:solidFill>
                </w14:textFill>
              </w:rPr>
              <w:t>具有</w:t>
            </w:r>
            <w:r>
              <w:rPr>
                <w:rFonts w:hint="eastAsia" w:ascii="Times New Roman" w:hAnsi="Times New Roman" w:eastAsia="宋体" w:cs="Times New Roman"/>
                <w:color w:val="000000" w:themeColor="text1"/>
                <w:lang w:val="zh-CN" w:eastAsia="zh-CN"/>
                <w14:textFill>
                  <w14:solidFill>
                    <w14:schemeClr w14:val="tx1"/>
                  </w14:solidFill>
                </w14:textFill>
              </w:rPr>
              <w:t>高新技术企业证书的得</w:t>
            </w:r>
            <w:r>
              <w:rPr>
                <w:rFonts w:hint="eastAsia" w:ascii="Times New Roman" w:hAnsi="Times New Roman" w:eastAsia="宋体" w:cs="Times New Roman"/>
                <w:color w:val="000000" w:themeColor="text1"/>
                <w:lang w:val="en-US" w:eastAsia="zh-CN"/>
                <w14:textFill>
                  <w14:solidFill>
                    <w14:schemeClr w14:val="tx1"/>
                  </w14:solidFill>
                </w14:textFill>
              </w:rPr>
              <w:t>1分，</w:t>
            </w:r>
          </w:p>
          <w:p>
            <w:pPr>
              <w:numPr>
                <w:ilvl w:val="0"/>
                <w:numId w:val="0"/>
              </w:numP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6、投标人为行业标准起草单位的得1分，</w:t>
            </w:r>
          </w:p>
          <w:p>
            <w:pPr>
              <w:numPr>
                <w:ilvl w:val="0"/>
                <w:numId w:val="0"/>
              </w:numPr>
              <w:rPr>
                <w:rFonts w:hint="eastAsia" w:ascii="Times New Roman" w:hAnsi="Times New Roman" w:eastAsia="宋体" w:cs="Times New Roman"/>
                <w:color w:val="000000" w:themeColor="text1"/>
                <w:lang w:val="zh-CN"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7、</w:t>
            </w:r>
            <w:r>
              <w:rPr>
                <w:rFonts w:hint="eastAsia" w:ascii="Times New Roman" w:hAnsi="Times New Roman" w:eastAsia="宋体" w:cs="Times New Roman"/>
                <w:color w:val="000000" w:themeColor="text1"/>
                <w:lang w:val="zh-CN" w:eastAsia="zh-CN"/>
                <w14:textFill>
                  <w14:solidFill>
                    <w14:schemeClr w14:val="tx1"/>
                  </w14:solidFill>
                </w14:textFill>
              </w:rPr>
              <w:t>投标人的服务水平满足售后服务五星级认证的得</w:t>
            </w:r>
            <w:r>
              <w:rPr>
                <w:rFonts w:hint="eastAsia" w:ascii="Times New Roman" w:hAnsi="Times New Roman" w:eastAsia="宋体" w:cs="Times New Roman"/>
                <w:color w:val="000000" w:themeColor="text1"/>
                <w:lang w:val="en-US" w:eastAsia="zh-CN"/>
                <w14:textFill>
                  <w14:solidFill>
                    <w14:schemeClr w14:val="tx1"/>
                  </w14:solidFill>
                </w14:textFill>
              </w:rPr>
              <w:t>1</w:t>
            </w:r>
            <w:r>
              <w:rPr>
                <w:rFonts w:hint="eastAsia" w:ascii="Times New Roman" w:hAnsi="Times New Roman" w:eastAsia="宋体" w:cs="Times New Roman"/>
                <w:color w:val="000000" w:themeColor="text1"/>
                <w:lang w:val="zh-CN" w:eastAsia="zh-CN"/>
                <w14:textFill>
                  <w14:solidFill>
                    <w14:schemeClr w14:val="tx1"/>
                  </w14:solidFill>
                </w14:textFill>
              </w:rPr>
              <w:t>分，</w:t>
            </w:r>
          </w:p>
          <w:p>
            <w:pPr>
              <w:numPr>
                <w:ilvl w:val="0"/>
                <w:numId w:val="0"/>
              </w:numPr>
              <w:rPr>
                <w:rFonts w:hint="eastAsia" w:ascii="Times New Roman" w:hAnsi="Times New Roman" w:eastAsia="宋体" w:cs="Times New Roman"/>
                <w:color w:val="000000" w:themeColor="text1"/>
                <w:lang w:val="zh-CN"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8、</w:t>
            </w:r>
            <w:r>
              <w:rPr>
                <w:rFonts w:hint="eastAsia" w:ascii="Times New Roman" w:hAnsi="Times New Roman" w:eastAsia="宋体" w:cs="Times New Roman"/>
                <w:color w:val="000000" w:themeColor="text1"/>
                <w:lang w:val="zh-CN" w:eastAsia="zh-CN"/>
                <w14:textFill>
                  <w14:solidFill>
                    <w14:schemeClr w14:val="tx1"/>
                  </w14:solidFill>
                </w14:textFill>
              </w:rPr>
              <w:t>投标人为中国计量协会水表工作委员会成员的得</w:t>
            </w:r>
            <w:r>
              <w:rPr>
                <w:rFonts w:hint="eastAsia" w:ascii="Times New Roman" w:hAnsi="Times New Roman" w:eastAsia="宋体" w:cs="Times New Roman"/>
                <w:color w:val="000000" w:themeColor="text1"/>
                <w:lang w:val="en-US" w:eastAsia="zh-CN"/>
                <w14:textFill>
                  <w14:solidFill>
                    <w14:schemeClr w14:val="tx1"/>
                  </w14:solidFill>
                </w14:textFill>
              </w:rPr>
              <w:t>1</w:t>
            </w:r>
            <w:r>
              <w:rPr>
                <w:rFonts w:hint="eastAsia" w:ascii="Times New Roman" w:hAnsi="Times New Roman" w:eastAsia="宋体" w:cs="Times New Roman"/>
                <w:color w:val="000000" w:themeColor="text1"/>
                <w:lang w:val="zh-CN" w:eastAsia="zh-CN"/>
                <w14:textFill>
                  <w14:solidFill>
                    <w14:schemeClr w14:val="tx1"/>
                  </w14:solidFill>
                </w14:textFill>
              </w:rPr>
              <w:t>分，</w:t>
            </w:r>
          </w:p>
          <w:p>
            <w:pPr>
              <w:numPr>
                <w:ilvl w:val="0"/>
                <w:numId w:val="0"/>
              </w:numP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9、投标人获得过国家免检产品证书的得1分，</w:t>
            </w:r>
          </w:p>
          <w:p>
            <w:pPr>
              <w:numPr>
                <w:ilvl w:val="0"/>
                <w:numId w:val="0"/>
              </w:numP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10、投标人取得省级企业技术中心得1分，取得国家级企业技术中心的得2分。</w:t>
            </w:r>
          </w:p>
          <w:p>
            <w:pPr>
              <w:numPr>
                <w:ilvl w:val="0"/>
                <w:numId w:val="0"/>
              </w:numPr>
              <w:rPr>
                <w:rFonts w:hint="eastAsia" w:ascii="宋体" w:hAnsi="宋体"/>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（以上需提供相关证明材料复印件加盖投标单位公章，否则不得分）</w:t>
            </w:r>
          </w:p>
        </w:tc>
        <w:tc>
          <w:tcPr>
            <w:tcW w:w="851" w:type="dxa"/>
            <w:noWrap w:val="0"/>
            <w:vAlign w:val="center"/>
          </w:tcPr>
          <w:p>
            <w:pPr>
              <w:jc w:val="center"/>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855" w:type="dxa"/>
            <w:noWrap w:val="0"/>
            <w:vAlign w:val="center"/>
          </w:tcPr>
          <w:p>
            <w:pPr>
              <w:widowControl/>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p>
        </w:tc>
        <w:tc>
          <w:tcPr>
            <w:tcW w:w="1486" w:type="dxa"/>
            <w:noWrap w:val="0"/>
            <w:vAlign w:val="center"/>
          </w:tcPr>
          <w:p>
            <w:pPr>
              <w:widowControl/>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投标产品证书</w:t>
            </w:r>
          </w:p>
        </w:tc>
        <w:tc>
          <w:tcPr>
            <w:tcW w:w="7157" w:type="dxa"/>
            <w:noWrap w:val="0"/>
            <w:vAlign w:val="center"/>
          </w:tcPr>
          <w:p>
            <w:pPr>
              <w:numPr>
                <w:ilvl w:val="0"/>
                <w:numId w:val="2"/>
              </w:numP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投标产品被认定为中国节能环保产品</w:t>
            </w:r>
            <w:r>
              <w:rPr>
                <w:rFonts w:hint="eastAsia" w:ascii="Times New Roman" w:hAnsi="Times New Roman" w:eastAsia="宋体" w:cs="Times New Roman"/>
                <w:color w:val="000000" w:themeColor="text1"/>
                <w:lang w:val="zh-CN" w:eastAsia="zh-CN"/>
                <w14:textFill>
                  <w14:solidFill>
                    <w14:schemeClr w14:val="tx1"/>
                  </w14:solidFill>
                </w14:textFill>
              </w:rPr>
              <w:t>的得</w:t>
            </w:r>
            <w:r>
              <w:rPr>
                <w:rFonts w:hint="eastAsia" w:ascii="Times New Roman" w:hAnsi="Times New Roman" w:eastAsia="宋体" w:cs="Times New Roman"/>
                <w:color w:val="000000" w:themeColor="text1"/>
                <w:lang w:val="en-US" w:eastAsia="zh-CN"/>
                <w14:textFill>
                  <w14:solidFill>
                    <w14:schemeClr w14:val="tx1"/>
                  </w14:solidFill>
                </w14:textFill>
              </w:rPr>
              <w:t>1分。</w:t>
            </w:r>
          </w:p>
          <w:p>
            <w:pPr>
              <w:pStyle w:val="3"/>
              <w:numPr>
                <w:ilvl w:val="0"/>
                <w:numId w:val="2"/>
              </w:numPr>
              <w:rPr>
                <w:rFonts w:hint="eastAsia" w:ascii="Times New Roman" w:hAnsi="Times New Roman" w:eastAsia="宋体" w:cs="Times New Roman"/>
                <w:b w:val="0"/>
                <w:bCs w:val="0"/>
                <w:color w:val="000000" w:themeColor="text1"/>
                <w:spacing w:val="0"/>
                <w:kern w:val="2"/>
                <w:sz w:val="21"/>
                <w:szCs w:val="24"/>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0"/>
                <w:kern w:val="2"/>
                <w:sz w:val="21"/>
                <w:szCs w:val="24"/>
                <w:lang w:val="en-US" w:eastAsia="zh-CN" w:bidi="ar-SA"/>
                <w14:textFill>
                  <w14:solidFill>
                    <w14:schemeClr w14:val="tx1"/>
                  </w14:solidFill>
                </w14:textFill>
              </w:rPr>
              <w:t>投标产品量程比满足R≥160得1分；温度等级满足T50得1分；水表流动剖面敏感度等级符合U0DO得1分；（提供产品型式评价报告）</w:t>
            </w:r>
          </w:p>
          <w:p>
            <w:pPr>
              <w:numPr>
                <w:ilvl w:val="0"/>
                <w:numId w:val="0"/>
              </w:numP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（以上需提供相关证明材料复印件加盖投标单位公章，否则不得分）</w:t>
            </w:r>
          </w:p>
        </w:tc>
        <w:tc>
          <w:tcPr>
            <w:tcW w:w="851" w:type="dxa"/>
            <w:noWrap w:val="0"/>
            <w:vAlign w:val="center"/>
          </w:tcPr>
          <w:p>
            <w:pPr>
              <w:jc w:val="center"/>
              <w:rPr>
                <w:rFonts w:hint="default"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55" w:type="dxa"/>
            <w:noWrap w:val="0"/>
            <w:vAlign w:val="center"/>
          </w:tcPr>
          <w:p>
            <w:pPr>
              <w:widowControl/>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p>
        </w:tc>
        <w:tc>
          <w:tcPr>
            <w:tcW w:w="1486" w:type="dxa"/>
            <w:noWrap w:val="0"/>
            <w:vAlign w:val="center"/>
          </w:tcPr>
          <w:p>
            <w:pPr>
              <w:widowControl/>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样品分</w:t>
            </w:r>
          </w:p>
        </w:tc>
        <w:tc>
          <w:tcPr>
            <w:tcW w:w="7157" w:type="dxa"/>
            <w:noWrap w:val="0"/>
            <w:vAlign w:val="center"/>
          </w:tcPr>
          <w:p>
            <w:pPr>
              <w:pStyle w:val="3"/>
              <w:numPr>
                <w:ilvl w:val="0"/>
                <w:numId w:val="3"/>
              </w:numPr>
              <w:rPr>
                <w:rFonts w:hint="eastAsia" w:ascii="Times New Roman" w:hAnsi="Times New Roman" w:eastAsia="宋体" w:cs="Times New Roman"/>
                <w:b w:val="0"/>
                <w:bCs w:val="0"/>
                <w:color w:val="000000" w:themeColor="text1"/>
                <w:spacing w:val="0"/>
                <w:kern w:val="2"/>
                <w:sz w:val="21"/>
                <w:szCs w:val="24"/>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0"/>
                <w:kern w:val="2"/>
                <w:sz w:val="21"/>
                <w:szCs w:val="24"/>
                <w:lang w:val="en-US" w:eastAsia="zh-CN" w:bidi="ar-SA"/>
                <w14:textFill>
                  <w14:solidFill>
                    <w14:schemeClr w14:val="tx1"/>
                  </w14:solidFill>
                </w14:textFill>
              </w:rPr>
              <w:t>对投标人提供的样品水表表壳材质打分，不锈钢表壳得2分，铸造黄铅铜表壳得3分。</w:t>
            </w:r>
          </w:p>
          <w:p>
            <w:pPr>
              <w:pStyle w:val="3"/>
              <w:numPr>
                <w:ilvl w:val="0"/>
                <w:numId w:val="3"/>
              </w:numPr>
              <w:ind w:left="0" w:leftChars="0" w:firstLine="0" w:firstLineChars="0"/>
              <w:rPr>
                <w:rFonts w:hint="eastAsia" w:ascii="Times New Roman" w:hAnsi="Times New Roman" w:eastAsia="宋体" w:cs="Times New Roman"/>
                <w:b w:val="0"/>
                <w:bCs w:val="0"/>
                <w:color w:val="000000" w:themeColor="text1"/>
                <w:spacing w:val="0"/>
                <w:kern w:val="2"/>
                <w:sz w:val="21"/>
                <w:szCs w:val="24"/>
                <w:lang w:val="zh-CN"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0"/>
                <w:kern w:val="2"/>
                <w:sz w:val="21"/>
                <w:szCs w:val="24"/>
                <w:lang w:val="zh-CN" w:eastAsia="zh-CN" w:bidi="ar-SA"/>
                <w14:textFill>
                  <w14:solidFill>
                    <w14:schemeClr w14:val="tx1"/>
                  </w14:solidFill>
                </w14:textFill>
              </w:rPr>
              <w:t>对投标人提供的样品从水表表罩是否具有有效的防拆性能、表盖是否具备360度旋转功能。（</w:t>
            </w:r>
            <w:r>
              <w:rPr>
                <w:rFonts w:hint="eastAsia" w:ascii="Times New Roman" w:hAnsi="Times New Roman" w:eastAsia="宋体" w:cs="Times New Roman"/>
                <w:b w:val="0"/>
                <w:bCs w:val="0"/>
                <w:color w:val="000000" w:themeColor="text1"/>
                <w:spacing w:val="0"/>
                <w:kern w:val="2"/>
                <w:sz w:val="21"/>
                <w:szCs w:val="24"/>
                <w:lang w:val="en-US" w:eastAsia="zh-CN" w:bidi="ar-SA"/>
                <w14:textFill>
                  <w14:solidFill>
                    <w14:schemeClr w14:val="tx1"/>
                  </w14:solidFill>
                </w14:textFill>
              </w:rPr>
              <w:t>0-4</w:t>
            </w:r>
            <w:r>
              <w:rPr>
                <w:rFonts w:hint="eastAsia" w:ascii="Times New Roman" w:hAnsi="Times New Roman" w:eastAsia="宋体" w:cs="Times New Roman"/>
                <w:b w:val="0"/>
                <w:bCs w:val="0"/>
                <w:color w:val="000000" w:themeColor="text1"/>
                <w:spacing w:val="0"/>
                <w:kern w:val="2"/>
                <w:sz w:val="21"/>
                <w:szCs w:val="24"/>
                <w:lang w:val="zh-CN" w:eastAsia="zh-CN" w:bidi="ar-SA"/>
                <w14:textFill>
                  <w14:solidFill>
                    <w14:schemeClr w14:val="tx1"/>
                  </w14:solidFill>
                </w14:textFill>
              </w:rPr>
              <w:t>）</w:t>
            </w:r>
          </w:p>
          <w:p>
            <w:pPr>
              <w:pStyle w:val="3"/>
              <w:numPr>
                <w:ilvl w:val="0"/>
                <w:numId w:val="3"/>
              </w:numPr>
              <w:ind w:left="0" w:leftChars="0" w:firstLine="0" w:firstLineChars="0"/>
              <w:rPr>
                <w:rFonts w:hint="eastAsia" w:ascii="Times New Roman" w:hAnsi="Times New Roman" w:eastAsia="宋体" w:cs="Times New Roman"/>
                <w:b w:val="0"/>
                <w:bCs w:val="0"/>
                <w:color w:val="000000" w:themeColor="text1"/>
                <w:spacing w:val="0"/>
                <w:kern w:val="2"/>
                <w:sz w:val="21"/>
                <w:szCs w:val="24"/>
                <w:lang w:val="zh-CN"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0"/>
                <w:kern w:val="2"/>
                <w:sz w:val="21"/>
                <w:szCs w:val="24"/>
                <w:lang w:val="zh-CN" w:eastAsia="zh-CN" w:bidi="ar-SA"/>
                <w14:textFill>
                  <w14:solidFill>
                    <w14:schemeClr w14:val="tx1"/>
                  </w14:solidFill>
                </w14:textFill>
              </w:rPr>
              <w:t>机芯、水表度盘整体美观度及条形码、数字编号的一致性、机芯计数器等方面。（</w:t>
            </w:r>
            <w:r>
              <w:rPr>
                <w:rFonts w:hint="eastAsia" w:ascii="Times New Roman" w:hAnsi="Times New Roman" w:eastAsia="宋体" w:cs="Times New Roman"/>
                <w:b w:val="0"/>
                <w:bCs w:val="0"/>
                <w:color w:val="000000" w:themeColor="text1"/>
                <w:spacing w:val="0"/>
                <w:kern w:val="2"/>
                <w:sz w:val="21"/>
                <w:szCs w:val="24"/>
                <w:lang w:val="en-US" w:eastAsia="zh-CN" w:bidi="ar-SA"/>
                <w14:textFill>
                  <w14:solidFill>
                    <w14:schemeClr w14:val="tx1"/>
                  </w14:solidFill>
                </w14:textFill>
              </w:rPr>
              <w:t>0-4</w:t>
            </w:r>
            <w:r>
              <w:rPr>
                <w:rFonts w:hint="eastAsia" w:ascii="Times New Roman" w:hAnsi="Times New Roman" w:eastAsia="宋体" w:cs="Times New Roman"/>
                <w:b w:val="0"/>
                <w:bCs w:val="0"/>
                <w:color w:val="000000" w:themeColor="text1"/>
                <w:spacing w:val="0"/>
                <w:kern w:val="2"/>
                <w:sz w:val="21"/>
                <w:szCs w:val="24"/>
                <w:lang w:val="zh-CN" w:eastAsia="zh-CN" w:bidi="ar-SA"/>
                <w14:textFill>
                  <w14:solidFill>
                    <w14:schemeClr w14:val="tx1"/>
                  </w14:solidFill>
                </w14:textFill>
              </w:rPr>
              <w:t>）</w:t>
            </w:r>
          </w:p>
          <w:p>
            <w:pPr>
              <w:pStyle w:val="3"/>
              <w:numPr>
                <w:ilvl w:val="0"/>
                <w:numId w:val="0"/>
              </w:numPr>
              <w:ind w:leftChars="0"/>
              <w:rPr>
                <w:rFonts w:hint="default"/>
                <w:color w:val="000000" w:themeColor="text1"/>
                <w:lang w:val="en-US"/>
                <w14:textFill>
                  <w14:solidFill>
                    <w14:schemeClr w14:val="tx1"/>
                  </w14:solidFill>
                </w14:textFill>
              </w:rPr>
            </w:pPr>
            <w:r>
              <w:rPr>
                <w:rFonts w:hint="eastAsia" w:ascii="Times New Roman" w:hAnsi="Times New Roman" w:eastAsia="宋体" w:cs="Times New Roman"/>
                <w:b w:val="0"/>
                <w:bCs w:val="0"/>
                <w:color w:val="000000" w:themeColor="text1"/>
                <w:spacing w:val="0"/>
                <w:kern w:val="2"/>
                <w:sz w:val="21"/>
                <w:szCs w:val="24"/>
                <w:lang w:val="en-US" w:eastAsia="zh-CN" w:bidi="ar-SA"/>
                <w14:textFill>
                  <w14:solidFill>
                    <w14:schemeClr w14:val="tx1"/>
                  </w14:solidFill>
                </w14:textFill>
              </w:rPr>
              <w:t>4、旋翼式水表：DN15、DN20、DN25三个型号分别配在水表接管内安装止回阀的得1分</w:t>
            </w:r>
            <w:r>
              <w:rPr>
                <w:rFonts w:hint="eastAsia" w:ascii="Times New Roman" w:hAnsi="Times New Roman" w:eastAsia="宋体" w:cs="Times New Roman"/>
                <w:b w:val="0"/>
                <w:bCs w:val="0"/>
                <w:color w:val="000000" w:themeColor="text1"/>
                <w:spacing w:val="0"/>
                <w:kern w:val="2"/>
                <w:sz w:val="21"/>
                <w:szCs w:val="24"/>
                <w:lang w:val="zh-CN" w:eastAsia="zh-CN" w:bidi="ar-SA"/>
                <w14:textFill>
                  <w14:solidFill>
                    <w14:schemeClr w14:val="tx1"/>
                  </w14:solidFill>
                </w14:textFill>
              </w:rPr>
              <w:t>。</w:t>
            </w:r>
          </w:p>
        </w:tc>
        <w:tc>
          <w:tcPr>
            <w:tcW w:w="851"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12</w:t>
            </w:r>
            <w:r>
              <w:rPr>
                <w:rFonts w:hint="eastAsia" w:ascii="宋体" w:hAnsi="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55" w:type="dxa"/>
            <w:noWrap w:val="0"/>
            <w:vAlign w:val="center"/>
          </w:tcPr>
          <w:p>
            <w:pPr>
              <w:widowControl/>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p>
        </w:tc>
        <w:tc>
          <w:tcPr>
            <w:tcW w:w="1486" w:type="dxa"/>
            <w:noWrap w:val="0"/>
            <w:vAlign w:val="center"/>
          </w:tcPr>
          <w:p>
            <w:pPr>
              <w:widowControl/>
              <w:jc w:val="center"/>
              <w:rPr>
                <w:rFonts w:hint="eastAsia" w:ascii="宋体" w:hAnsi="宋体"/>
                <w:bCs/>
                <w:color w:val="000000" w:themeColor="text1"/>
                <w:szCs w:val="21"/>
                <w:highlight w:val="none"/>
                <w:u w:val="none" w:color="FFFFFF"/>
                <w14:textFill>
                  <w14:solidFill>
                    <w14:schemeClr w14:val="tx1"/>
                  </w14:solidFill>
                </w14:textFill>
              </w:rPr>
            </w:pPr>
            <w:r>
              <w:rPr>
                <w:rFonts w:hint="eastAsia" w:ascii="宋体" w:hAnsi="宋体"/>
                <w:bCs/>
                <w:color w:val="000000" w:themeColor="text1"/>
                <w:szCs w:val="21"/>
                <w14:textFill>
                  <w14:solidFill>
                    <w14:schemeClr w14:val="tx1"/>
                  </w14:solidFill>
                </w14:textFill>
              </w:rPr>
              <w:t>产品</w:t>
            </w:r>
            <w:r>
              <w:rPr>
                <w:rFonts w:ascii="宋体" w:hAnsi="宋体"/>
                <w:bCs/>
                <w:color w:val="000000" w:themeColor="text1"/>
                <w:szCs w:val="21"/>
                <w14:textFill>
                  <w14:solidFill>
                    <w14:schemeClr w14:val="tx1"/>
                  </w14:solidFill>
                </w14:textFill>
              </w:rPr>
              <w:t>制造工艺</w:t>
            </w:r>
          </w:p>
        </w:tc>
        <w:tc>
          <w:tcPr>
            <w:tcW w:w="7157" w:type="dxa"/>
            <w:noWrap w:val="0"/>
            <w:vAlign w:val="center"/>
          </w:tcPr>
          <w:p>
            <w:pPr>
              <w:rPr>
                <w:rFonts w:hint="eastAsia"/>
                <w:color w:val="000000" w:themeColor="text1"/>
                <w:lang w:val="zh-CN"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对所投产品铸件采用的机械造型、铸造工艺、防腐工艺及水平先进、</w:t>
            </w:r>
            <w:r>
              <w:rPr>
                <w:rFonts w:hint="eastAsia" w:ascii="宋体" w:hAnsi="宋体" w:eastAsia="宋体" w:cs="宋体"/>
                <w:b w:val="0"/>
                <w:bCs w:val="0"/>
                <w:color w:val="000000" w:themeColor="text1"/>
                <w:spacing w:val="0"/>
                <w:kern w:val="2"/>
                <w:sz w:val="21"/>
                <w:szCs w:val="21"/>
                <w:lang w:val="zh-CN" w:eastAsia="zh-CN" w:bidi="ar-SA"/>
                <w14:textFill>
                  <w14:solidFill>
                    <w14:schemeClr w14:val="tx1"/>
                  </w14:solidFill>
                </w14:textFill>
              </w:rPr>
              <w:t>水表及配件的工艺</w:t>
            </w:r>
            <w:r>
              <w:rPr>
                <w:rFonts w:hint="eastAsia" w:ascii="宋体" w:hAnsi="宋体" w:cs="宋体"/>
                <w:color w:val="000000" w:themeColor="text1"/>
                <w:szCs w:val="21"/>
                <w:lang w:eastAsia="zh-CN"/>
                <w14:textFill>
                  <w14:solidFill>
                    <w14:schemeClr w14:val="tx1"/>
                  </w14:solidFill>
                </w14:textFill>
              </w:rPr>
              <w:t>铸造及铸件的互换性进行评分。</w:t>
            </w:r>
          </w:p>
        </w:tc>
        <w:tc>
          <w:tcPr>
            <w:tcW w:w="851" w:type="dxa"/>
            <w:noWrap w:val="0"/>
            <w:vAlign w:val="center"/>
          </w:tcPr>
          <w:p>
            <w:pPr>
              <w:jc w:val="center"/>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5" w:type="dxa"/>
            <w:noWrap w:val="0"/>
            <w:vAlign w:val="center"/>
          </w:tcPr>
          <w:p>
            <w:pPr>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p>
        </w:tc>
        <w:tc>
          <w:tcPr>
            <w:tcW w:w="1486" w:type="dxa"/>
            <w:noWrap w:val="0"/>
            <w:vAlign w:val="center"/>
          </w:tcPr>
          <w:p>
            <w:pPr>
              <w:widowControl/>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产品质量保障</w:t>
            </w:r>
          </w:p>
          <w:p>
            <w:pPr>
              <w:widowControl/>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及性能</w:t>
            </w:r>
          </w:p>
        </w:tc>
        <w:tc>
          <w:tcPr>
            <w:tcW w:w="7157" w:type="dxa"/>
            <w:noWrap w:val="0"/>
            <w:vAlign w:val="center"/>
          </w:tcPr>
          <w:p>
            <w:pPr>
              <w:numPr>
                <w:ilvl w:val="0"/>
                <w:numId w:val="0"/>
              </w:numPr>
              <w:rPr>
                <w:rFonts w:hint="eastAsia" w:ascii="Times New Roman" w:hAnsi="Times New Roman" w:eastAsia="宋体" w:cs="Times New Roman"/>
                <w:color w:val="000000" w:themeColor="text1"/>
                <w:lang w:val="zh-CN"/>
                <w14:textFill>
                  <w14:solidFill>
                    <w14:schemeClr w14:val="tx1"/>
                  </w14:solidFill>
                </w14:textFill>
              </w:rPr>
            </w:pPr>
            <w:r>
              <w:rPr>
                <w:rFonts w:hint="eastAsia" w:ascii="Times New Roman" w:hAnsi="Times New Roman" w:eastAsia="宋体" w:cs="Times New Roman"/>
                <w:color w:val="000000" w:themeColor="text1"/>
                <w:lang w:val="zh-CN"/>
                <w14:textFill>
                  <w14:solidFill>
                    <w14:schemeClr w14:val="tx1"/>
                  </w14:solidFill>
                </w14:textFill>
              </w:rPr>
              <w:t>严密的质量监控措施，质量检测设施，质量检验流程；根据投标产品耐腐蚀、材质、宽度、水压强度、密封情况、使用寿命、本项目实施人员资格情况等方面性能的先进性、可靠性</w:t>
            </w:r>
            <w:r>
              <w:rPr>
                <w:rFonts w:hint="eastAsia" w:ascii="Times New Roman" w:hAnsi="Times New Roman" w:eastAsia="宋体" w:cs="Times New Roman"/>
                <w:color w:val="000000" w:themeColor="text1"/>
                <w:lang w:val="zh-CN" w:eastAsia="zh-CN"/>
                <w14:textFill>
                  <w14:solidFill>
                    <w14:schemeClr w14:val="tx1"/>
                  </w14:solidFill>
                </w14:textFill>
              </w:rPr>
              <w:t>等</w:t>
            </w:r>
            <w:r>
              <w:rPr>
                <w:rFonts w:hint="eastAsia" w:ascii="Times New Roman" w:hAnsi="Times New Roman" w:eastAsia="宋体" w:cs="Times New Roman"/>
                <w:color w:val="000000" w:themeColor="text1"/>
                <w:lang w:val="zh-CN"/>
                <w14:textFill>
                  <w14:solidFill>
                    <w14:schemeClr w14:val="tx1"/>
                  </w14:solidFill>
                </w14:textFill>
              </w:rPr>
              <w:t>情况进行打分。（须提供相关证明材料及设备情况说明）</w:t>
            </w:r>
          </w:p>
        </w:tc>
        <w:tc>
          <w:tcPr>
            <w:tcW w:w="851" w:type="dxa"/>
            <w:noWrap w:val="0"/>
            <w:vAlign w:val="center"/>
          </w:tcPr>
          <w:p>
            <w:pPr>
              <w:jc w:val="center"/>
              <w:rPr>
                <w:rFonts w:hint="default"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55" w:type="dxa"/>
            <w:noWrap w:val="0"/>
            <w:vAlign w:val="center"/>
          </w:tcPr>
          <w:p>
            <w:pPr>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p>
        </w:tc>
        <w:tc>
          <w:tcPr>
            <w:tcW w:w="1486" w:type="dxa"/>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供货</w:t>
            </w:r>
            <w:r>
              <w:rPr>
                <w:rFonts w:ascii="宋体" w:hAnsi="宋体"/>
                <w:color w:val="000000" w:themeColor="text1"/>
                <w:szCs w:val="21"/>
                <w:highlight w:val="none"/>
                <w14:textFill>
                  <w14:solidFill>
                    <w14:schemeClr w14:val="tx1"/>
                  </w14:solidFill>
                </w14:textFill>
              </w:rPr>
              <w:t>实施方案</w:t>
            </w:r>
          </w:p>
        </w:tc>
        <w:tc>
          <w:tcPr>
            <w:tcW w:w="7157" w:type="dxa"/>
            <w:noWrap w:val="0"/>
            <w:vAlign w:val="center"/>
          </w:tcPr>
          <w:p>
            <w:pPr>
              <w:numPr>
                <w:ilvl w:val="0"/>
                <w:numId w:val="0"/>
              </w:numPr>
              <w:rPr>
                <w:rFonts w:hint="eastAsia" w:ascii="Times New Roman" w:hAnsi="Times New Roman" w:eastAsia="宋体" w:cs="Times New Roman"/>
                <w:color w:val="000000" w:themeColor="text1"/>
                <w:lang w:val="zh-CN"/>
                <w14:textFill>
                  <w14:solidFill>
                    <w14:schemeClr w14:val="tx1"/>
                  </w14:solidFill>
                </w14:textFill>
              </w:rPr>
            </w:pPr>
            <w:r>
              <w:rPr>
                <w:rFonts w:hint="eastAsia" w:ascii="Times New Roman" w:hAnsi="Times New Roman" w:eastAsia="宋体" w:cs="Times New Roman"/>
                <w:color w:val="000000" w:themeColor="text1"/>
                <w:lang w:val="zh-CN"/>
                <w14:textFill>
                  <w14:solidFill>
                    <w14:schemeClr w14:val="tx1"/>
                  </w14:solidFill>
                </w14:textFill>
              </w:rPr>
              <w:t>根据投标人对选用原材料的保证措施、产品生产组织、供货计划安排、运输资源配置、贮运组织、验收配合、服务承诺等满足要求的措施及承诺等方面进行打分。</w:t>
            </w:r>
          </w:p>
        </w:tc>
        <w:tc>
          <w:tcPr>
            <w:tcW w:w="851" w:type="dxa"/>
            <w:noWrap w:val="0"/>
            <w:vAlign w:val="center"/>
          </w:tcPr>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55" w:type="dxa"/>
            <w:noWrap w:val="0"/>
            <w:vAlign w:val="center"/>
          </w:tcPr>
          <w:p>
            <w:pPr>
              <w:widowControl/>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p>
        </w:tc>
        <w:tc>
          <w:tcPr>
            <w:tcW w:w="1486" w:type="dxa"/>
            <w:noWrap w:val="0"/>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业绩合同</w:t>
            </w:r>
          </w:p>
        </w:tc>
        <w:tc>
          <w:tcPr>
            <w:tcW w:w="7157" w:type="dxa"/>
            <w:noWrap w:val="0"/>
            <w:vAlign w:val="center"/>
          </w:tcPr>
          <w:p>
            <w:pPr>
              <w:widowControl/>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投标人自20</w:t>
            </w:r>
            <w:r>
              <w:rPr>
                <w:rFonts w:hint="eastAsia" w:ascii="宋体" w:hAnsi="宋体"/>
                <w:color w:val="000000" w:themeColor="text1"/>
                <w:szCs w:val="21"/>
                <w:highlight w:val="none"/>
                <w:lang w:val="en-US" w:eastAsia="zh-CN"/>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年以来（以合同签订日期为准）实施过类似项目业绩</w:t>
            </w:r>
            <w:r>
              <w:rPr>
                <w:rFonts w:hint="eastAsia" w:ascii="宋体" w:hAnsi="宋体"/>
                <w:color w:val="000000" w:themeColor="text1"/>
                <w:szCs w:val="21"/>
                <w:highlight w:val="none"/>
                <w:lang w:val="en-US" w:eastAsia="zh-CN"/>
                <w14:textFill>
                  <w14:solidFill>
                    <w14:schemeClr w14:val="tx1"/>
                  </w14:solidFill>
                </w14:textFill>
              </w:rPr>
              <w:t>及合同价在90万以上的</w:t>
            </w:r>
            <w:r>
              <w:rPr>
                <w:rFonts w:hint="eastAsia" w:ascii="宋体" w:hAnsi="宋体"/>
                <w:color w:val="000000" w:themeColor="text1"/>
                <w:szCs w:val="21"/>
                <w:highlight w:val="none"/>
                <w14:textFill>
                  <w14:solidFill>
                    <w14:schemeClr w14:val="tx1"/>
                  </w14:solidFill>
                </w14:textFill>
              </w:rPr>
              <w:t>，每提供一个合同及相对应的中标通知书得</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分，最高得</w:t>
            </w:r>
            <w:r>
              <w:rPr>
                <w:rFonts w:hint="eastAsia" w:ascii="宋体" w:hAnsi="宋体"/>
                <w:color w:val="000000" w:themeColor="text1"/>
                <w:szCs w:val="21"/>
                <w:highlight w:val="none"/>
                <w:lang w:val="en-US" w:eastAsia="zh-CN"/>
                <w14:textFill>
                  <w14:solidFill>
                    <w14:schemeClr w14:val="tx1"/>
                  </w14:solidFill>
                </w14:textFill>
              </w:rPr>
              <w:t>12</w:t>
            </w:r>
            <w:r>
              <w:rPr>
                <w:rFonts w:hint="eastAsia" w:ascii="宋体" w:hAnsi="宋体"/>
                <w:color w:val="000000" w:themeColor="text1"/>
                <w:szCs w:val="21"/>
                <w:highlight w:val="none"/>
                <w14:textFill>
                  <w14:solidFill>
                    <w14:schemeClr w14:val="tx1"/>
                  </w14:solidFill>
                </w14:textFill>
              </w:rPr>
              <w:t>分。</w:t>
            </w:r>
          </w:p>
          <w:p>
            <w:pPr>
              <w:widowControl/>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（需提供合同复印件及对应中标通知书复印件加盖投标单位公章，否则不得分）</w:t>
            </w:r>
          </w:p>
        </w:tc>
        <w:tc>
          <w:tcPr>
            <w:tcW w:w="851" w:type="dxa"/>
            <w:noWrap w:val="0"/>
            <w:vAlign w:val="center"/>
          </w:tcPr>
          <w:p>
            <w:pPr>
              <w:widowControl/>
              <w:jc w:val="center"/>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 w:type="dxa"/>
            <w:noWrap w:val="0"/>
            <w:vAlign w:val="center"/>
          </w:tcPr>
          <w:p>
            <w:pPr>
              <w:widowControl/>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8</w:t>
            </w:r>
          </w:p>
        </w:tc>
        <w:tc>
          <w:tcPr>
            <w:tcW w:w="1486" w:type="dxa"/>
            <w:noWrap w:val="0"/>
            <w:vAlign w:val="center"/>
          </w:tcPr>
          <w:p>
            <w:pPr>
              <w:spacing w:line="30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备品备件供应方案</w:t>
            </w:r>
          </w:p>
        </w:tc>
        <w:tc>
          <w:tcPr>
            <w:tcW w:w="7157" w:type="dxa"/>
            <w:noWrap w:val="0"/>
            <w:vAlign w:val="center"/>
          </w:tcPr>
          <w:p>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在免费保修期六年内，耗材和备品备件更换的优惠条件（包括维修人员费用以及零配件和耗材的详细免费清单）等进行打分（投标时所提供的免费清单作为中标后签订合同的附件）。</w:t>
            </w:r>
          </w:p>
        </w:tc>
        <w:tc>
          <w:tcPr>
            <w:tcW w:w="851" w:type="dxa"/>
            <w:noWrap w:val="0"/>
            <w:vAlign w:val="center"/>
          </w:tcPr>
          <w:p>
            <w:pPr>
              <w:spacing w:line="300"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855" w:type="dxa"/>
            <w:noWrap w:val="0"/>
            <w:vAlign w:val="center"/>
          </w:tcPr>
          <w:p>
            <w:pPr>
              <w:widowControl/>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9</w:t>
            </w:r>
          </w:p>
        </w:tc>
        <w:tc>
          <w:tcPr>
            <w:tcW w:w="1486" w:type="dxa"/>
            <w:noWrap w:val="0"/>
            <w:vAlign w:val="center"/>
          </w:tcPr>
          <w:p>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售后服务方案</w:t>
            </w:r>
          </w:p>
          <w:p>
            <w:pPr>
              <w:rPr>
                <w:rFonts w:hint="eastAsia" w:ascii="宋体" w:hAnsi="宋体"/>
                <w:color w:val="000000" w:themeColor="text1"/>
                <w:szCs w:val="21"/>
                <w:highlight w:val="none"/>
                <w14:textFill>
                  <w14:solidFill>
                    <w14:schemeClr w14:val="tx1"/>
                  </w14:solidFill>
                </w14:textFill>
              </w:rPr>
            </w:pPr>
          </w:p>
        </w:tc>
        <w:tc>
          <w:tcPr>
            <w:tcW w:w="7157" w:type="dxa"/>
            <w:noWrap w:val="0"/>
            <w:vAlign w:val="center"/>
          </w:tcPr>
          <w:p>
            <w:pPr>
              <w:pStyle w:val="12"/>
              <w:ind w:firstLine="0" w:firstLine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投标人针对本项目的</w:t>
            </w:r>
            <w:r>
              <w:rPr>
                <w:rFonts w:ascii="宋体" w:hAnsi="宋体"/>
                <w:color w:val="000000" w:themeColor="text1"/>
                <w:szCs w:val="21"/>
                <w:highlight w:val="none"/>
                <w14:textFill>
                  <w14:solidFill>
                    <w14:schemeClr w14:val="tx1"/>
                  </w14:solidFill>
                </w14:textFill>
              </w:rPr>
              <w:t>售后服务方案和承诺</w:t>
            </w:r>
            <w:r>
              <w:rPr>
                <w:rFonts w:hint="eastAsia" w:ascii="宋体" w:hAnsi="宋体"/>
                <w:color w:val="000000" w:themeColor="text1"/>
                <w:szCs w:val="21"/>
                <w:highlight w:val="none"/>
                <w14:textFill>
                  <w14:solidFill>
                    <w14:schemeClr w14:val="tx1"/>
                  </w14:solidFill>
                </w14:textFill>
              </w:rPr>
              <w:t>，故障的响应速度、到场时间、投标人</w:t>
            </w:r>
            <w:r>
              <w:rPr>
                <w:rFonts w:ascii="宋体" w:hAnsi="宋体"/>
                <w:color w:val="000000" w:themeColor="text1"/>
                <w:szCs w:val="21"/>
                <w:highlight w:val="none"/>
                <w14:textFill>
                  <w14:solidFill>
                    <w14:schemeClr w14:val="tx1"/>
                  </w14:solidFill>
                </w14:textFill>
              </w:rPr>
              <w:t>提供免费的定期上门巡检</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保修服务、返修的及时性、品质问题的响应时间</w:t>
            </w:r>
            <w:r>
              <w:rPr>
                <w:rFonts w:hint="eastAsia" w:ascii="宋体" w:hAnsi="宋体"/>
                <w:color w:val="000000" w:themeColor="text1"/>
                <w:szCs w:val="21"/>
                <w:highlight w:val="none"/>
                <w14:textFill>
                  <w14:solidFill>
                    <w14:schemeClr w14:val="tx1"/>
                  </w14:solidFill>
                </w14:textFill>
              </w:rPr>
              <w:t>、安装培训、调试、施工指导等等情况进行</w:t>
            </w:r>
            <w:r>
              <w:rPr>
                <w:rFonts w:ascii="宋体" w:hAnsi="宋体"/>
                <w:color w:val="000000" w:themeColor="text1"/>
                <w:szCs w:val="21"/>
                <w:highlight w:val="none"/>
                <w14:textFill>
                  <w14:solidFill>
                    <w14:schemeClr w14:val="tx1"/>
                  </w14:solidFill>
                </w14:textFill>
              </w:rPr>
              <w:t>打分</w:t>
            </w:r>
            <w:r>
              <w:rPr>
                <w:rFonts w:hint="eastAsia" w:ascii="宋体" w:hAnsi="宋体"/>
                <w:color w:val="000000" w:themeColor="text1"/>
                <w:szCs w:val="21"/>
                <w:highlight w:val="none"/>
                <w14:textFill>
                  <w14:solidFill>
                    <w14:schemeClr w14:val="tx1"/>
                  </w14:solidFill>
                </w14:textFill>
              </w:rPr>
              <w:t xml:space="preserve">。  </w:t>
            </w:r>
          </w:p>
        </w:tc>
        <w:tc>
          <w:tcPr>
            <w:tcW w:w="851" w:type="dxa"/>
            <w:noWrap w:val="0"/>
            <w:vAlign w:val="center"/>
          </w:tcPr>
          <w:p>
            <w:pPr>
              <w:widowControl/>
              <w:jc w:val="center"/>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3</w:t>
            </w:r>
          </w:p>
        </w:tc>
      </w:tr>
    </w:tbl>
    <w:p>
      <w:pPr>
        <w:rPr>
          <w:color w:val="000000" w:themeColor="text1"/>
          <w:highlight w:val="none"/>
          <w14:textFill>
            <w14:solidFill>
              <w14:schemeClr w14:val="tx1"/>
            </w14:solidFill>
          </w14:textFill>
        </w:rPr>
      </w:pPr>
    </w:p>
    <w:p>
      <w:pPr>
        <w:spacing w:after="156" w:afterLines="50" w:line="340" w:lineRule="exact"/>
        <w:ind w:firstLine="241" w:firstLineChars="100"/>
        <w:rPr>
          <w:rFonts w:hint="eastAsia" w:ascii="仿宋_GB2312" w:hAnsi="Courier New" w:eastAsia="仿宋_GB2312"/>
          <w:b/>
          <w:color w:val="000000" w:themeColor="text1"/>
          <w:sz w:val="24"/>
          <w:highlight w:val="none"/>
          <w14:textFill>
            <w14:solidFill>
              <w14:schemeClr w14:val="tx1"/>
            </w14:solidFill>
          </w14:textFill>
        </w:rPr>
      </w:pPr>
      <w:r>
        <w:rPr>
          <w:rFonts w:hint="eastAsia" w:ascii="仿宋_GB2312" w:hAnsi="Courier New" w:eastAsia="仿宋_GB2312"/>
          <w:b/>
          <w:color w:val="000000" w:themeColor="text1"/>
          <w:sz w:val="24"/>
          <w:highlight w:val="none"/>
          <w14:textFill>
            <w14:solidFill>
              <w14:schemeClr w14:val="tx1"/>
            </w14:solidFill>
          </w14:textFill>
        </w:rPr>
        <w:t>3、报价文件评审</w:t>
      </w:r>
    </w:p>
    <w:p>
      <w:pPr>
        <w:spacing w:line="340" w:lineRule="exact"/>
        <w:ind w:firstLine="240" w:firstLineChars="100"/>
        <w:rPr>
          <w:rFonts w:hint="eastAsia" w:ascii="仿宋_GB2312" w:hAnsi="Courier New" w:eastAsia="仿宋_GB2312"/>
          <w:color w:val="000000" w:themeColor="text1"/>
          <w:sz w:val="24"/>
          <w:highlight w:val="none"/>
          <w14:textFill>
            <w14:solidFill>
              <w14:schemeClr w14:val="tx1"/>
            </w14:solidFill>
          </w14:textFill>
        </w:rPr>
      </w:pPr>
      <w:r>
        <w:rPr>
          <w:rFonts w:hint="eastAsia" w:ascii="仿宋_GB2312" w:hAnsi="Courier New" w:eastAsia="仿宋_GB2312"/>
          <w:color w:val="000000" w:themeColor="text1"/>
          <w:sz w:val="24"/>
          <w:highlight w:val="none"/>
          <w14:textFill>
            <w14:solidFill>
              <w14:schemeClr w14:val="tx1"/>
            </w14:solidFill>
          </w14:textFill>
        </w:rPr>
        <w:t>评标委员会对报价文件进行评审，如报价文件出现下列情形的按无效报价处理，该报价得分为零分，不予推荐为中标候选供应商。</w:t>
      </w:r>
    </w:p>
    <w:p>
      <w:pPr>
        <w:spacing w:line="340" w:lineRule="exact"/>
        <w:ind w:firstLine="240" w:firstLineChars="100"/>
        <w:rPr>
          <w:rFonts w:hint="eastAsia" w:ascii="仿宋_GB2312" w:hAnsi="Courier New" w:eastAsia="仿宋_GB2312"/>
          <w:color w:val="000000" w:themeColor="text1"/>
          <w:sz w:val="24"/>
          <w:highlight w:val="none"/>
          <w14:textFill>
            <w14:solidFill>
              <w14:schemeClr w14:val="tx1"/>
            </w14:solidFill>
          </w14:textFill>
        </w:rPr>
      </w:pPr>
      <w:r>
        <w:rPr>
          <w:rFonts w:hint="eastAsia" w:ascii="仿宋_GB2312" w:hAnsi="Courier New" w:eastAsia="仿宋_GB2312"/>
          <w:color w:val="000000" w:themeColor="text1"/>
          <w:sz w:val="24"/>
          <w:highlight w:val="none"/>
          <w14:textFill>
            <w14:solidFill>
              <w14:schemeClr w14:val="tx1"/>
            </w14:solidFill>
          </w14:textFill>
        </w:rPr>
        <w:t>A、</w:t>
      </w:r>
      <w:r>
        <w:rPr>
          <w:rFonts w:hint="eastAsia" w:ascii="仿宋_GB2312" w:hAnsi="Courier New" w:eastAsia="仿宋_GB2312"/>
          <w:color w:val="000000" w:themeColor="text1"/>
          <w:sz w:val="24"/>
          <w:highlight w:val="none"/>
          <w:u w:val="single"/>
          <w14:textFill>
            <w14:solidFill>
              <w14:schemeClr w14:val="tx1"/>
            </w14:solidFill>
          </w14:textFill>
        </w:rPr>
        <w:t>投标函</w:t>
      </w:r>
      <w:r>
        <w:rPr>
          <w:rFonts w:hint="eastAsia" w:ascii="仿宋_GB2312" w:hAnsi="Courier New" w:eastAsia="仿宋_GB2312"/>
          <w:color w:val="000000" w:themeColor="text1"/>
          <w:sz w:val="24"/>
          <w:highlight w:val="none"/>
          <w14:textFill>
            <w14:solidFill>
              <w14:schemeClr w14:val="tx1"/>
            </w14:solidFill>
          </w14:textFill>
        </w:rPr>
        <w:t>、报价表内容填写不完整的；</w:t>
      </w:r>
    </w:p>
    <w:p>
      <w:pPr>
        <w:spacing w:line="340" w:lineRule="exact"/>
        <w:ind w:firstLine="240" w:firstLineChars="100"/>
        <w:rPr>
          <w:rFonts w:hint="eastAsia" w:ascii="仿宋_GB2312" w:hAnsi="Courier New" w:eastAsia="仿宋_GB2312"/>
          <w:color w:val="000000" w:themeColor="text1"/>
          <w:sz w:val="24"/>
          <w:highlight w:val="none"/>
          <w14:textFill>
            <w14:solidFill>
              <w14:schemeClr w14:val="tx1"/>
            </w14:solidFill>
          </w14:textFill>
        </w:rPr>
      </w:pPr>
      <w:r>
        <w:rPr>
          <w:rFonts w:ascii="仿宋_GB2312" w:hAnsi="Courier New" w:eastAsia="仿宋_GB2312"/>
          <w:color w:val="000000" w:themeColor="text1"/>
          <w:sz w:val="24"/>
          <w:highlight w:val="none"/>
          <w14:textFill>
            <w14:solidFill>
              <w14:schemeClr w14:val="tx1"/>
            </w14:solidFill>
          </w14:textFill>
        </w:rPr>
        <w:t>B</w:t>
      </w:r>
      <w:r>
        <w:rPr>
          <w:rFonts w:hint="eastAsia" w:ascii="仿宋_GB2312" w:hAnsi="Courier New" w:eastAsia="仿宋_GB2312"/>
          <w:color w:val="000000" w:themeColor="text1"/>
          <w:sz w:val="24"/>
          <w:highlight w:val="none"/>
          <w14:textFill>
            <w14:solidFill>
              <w14:schemeClr w14:val="tx1"/>
            </w14:solidFill>
          </w14:textFill>
        </w:rPr>
        <w:t>、</w:t>
      </w:r>
      <w:r>
        <w:rPr>
          <w:rFonts w:hint="eastAsia" w:ascii="仿宋_GB2312" w:hAnsi="Courier New" w:eastAsia="仿宋_GB2312"/>
          <w:i/>
          <w:color w:val="000000" w:themeColor="text1"/>
          <w:sz w:val="24"/>
          <w:highlight w:val="none"/>
          <w14:textFill>
            <w14:solidFill>
              <w14:schemeClr w14:val="tx1"/>
            </w14:solidFill>
          </w14:textFill>
        </w:rPr>
        <w:t>交货期</w:t>
      </w:r>
      <w:r>
        <w:rPr>
          <w:rFonts w:hint="eastAsia" w:ascii="仿宋_GB2312" w:hAnsi="Courier New" w:eastAsia="仿宋_GB2312"/>
          <w:color w:val="000000" w:themeColor="text1"/>
          <w:sz w:val="24"/>
          <w:highlight w:val="none"/>
          <w14:textFill>
            <w14:solidFill>
              <w14:schemeClr w14:val="tx1"/>
            </w14:solidFill>
          </w14:textFill>
        </w:rPr>
        <w:t>等不符合招标文件要求的。</w:t>
      </w:r>
    </w:p>
    <w:p>
      <w:pPr>
        <w:spacing w:after="156" w:afterLines="50" w:line="340" w:lineRule="exact"/>
        <w:ind w:firstLine="236" w:firstLineChars="98"/>
        <w:rPr>
          <w:rFonts w:hint="eastAsia" w:ascii="仿宋_GB2312" w:hAnsi="Courier New" w:eastAsia="仿宋_GB2312"/>
          <w:b/>
          <w:color w:val="000000" w:themeColor="text1"/>
          <w:sz w:val="24"/>
          <w:highlight w:val="none"/>
          <w14:textFill>
            <w14:solidFill>
              <w14:schemeClr w14:val="tx1"/>
            </w14:solidFill>
          </w14:textFill>
        </w:rPr>
      </w:pPr>
      <w:r>
        <w:rPr>
          <w:rFonts w:hint="eastAsia" w:ascii="仿宋_GB2312" w:hAnsi="Courier New" w:eastAsia="仿宋_GB2312"/>
          <w:b/>
          <w:color w:val="000000" w:themeColor="text1"/>
          <w:sz w:val="24"/>
          <w:highlight w:val="none"/>
          <w14:textFill>
            <w14:solidFill>
              <w14:schemeClr w14:val="tx1"/>
            </w14:solidFill>
          </w14:textFill>
        </w:rPr>
        <w:t xml:space="preserve">3.1报价得分计算方法如下： </w:t>
      </w:r>
    </w:p>
    <w:p>
      <w:pPr>
        <w:spacing w:line="340" w:lineRule="exact"/>
        <w:ind w:firstLine="240" w:firstLineChars="100"/>
        <w:rPr>
          <w:rFonts w:hint="eastAsia" w:ascii="仿宋_GB2312" w:hAnsi="Courier New" w:eastAsia="仿宋_GB2312"/>
          <w:color w:val="000000" w:themeColor="text1"/>
          <w:sz w:val="24"/>
          <w:highlight w:val="none"/>
          <w14:textFill>
            <w14:solidFill>
              <w14:schemeClr w14:val="tx1"/>
            </w14:solidFill>
          </w14:textFill>
        </w:rPr>
      </w:pPr>
      <w:r>
        <w:rPr>
          <w:rFonts w:hint="eastAsia" w:ascii="仿宋_GB2312" w:hAnsi="Courier New" w:eastAsia="仿宋_GB2312"/>
          <w:color w:val="000000" w:themeColor="text1"/>
          <w:sz w:val="24"/>
          <w:highlight w:val="none"/>
          <w14:textFill>
            <w14:solidFill>
              <w14:schemeClr w14:val="tx1"/>
            </w14:solidFill>
          </w14:textFill>
        </w:rPr>
        <w:t>①价格评定分值为</w:t>
      </w:r>
      <w:r>
        <w:rPr>
          <w:rFonts w:hint="eastAsia" w:ascii="仿宋_GB2312" w:hAnsi="Courier New" w:eastAsia="仿宋_GB2312"/>
          <w:color w:val="000000" w:themeColor="text1"/>
          <w:sz w:val="24"/>
          <w:highlight w:val="none"/>
          <w:lang w:val="en-US" w:eastAsia="zh-CN"/>
          <w14:textFill>
            <w14:solidFill>
              <w14:schemeClr w14:val="tx1"/>
            </w14:solidFill>
          </w14:textFill>
        </w:rPr>
        <w:t>4</w:t>
      </w:r>
      <w:r>
        <w:rPr>
          <w:rFonts w:hint="eastAsia" w:ascii="仿宋_GB2312" w:hAnsi="Courier New" w:eastAsia="仿宋_GB2312"/>
          <w:color w:val="000000" w:themeColor="text1"/>
          <w:sz w:val="24"/>
          <w:highlight w:val="none"/>
          <w14:textFill>
            <w14:solidFill>
              <w14:schemeClr w14:val="tx1"/>
            </w14:solidFill>
          </w14:textFill>
        </w:rPr>
        <w:t>0分。</w:t>
      </w:r>
    </w:p>
    <w:p>
      <w:pPr>
        <w:spacing w:line="340" w:lineRule="exact"/>
        <w:ind w:firstLine="240" w:firstLineChars="100"/>
        <w:rPr>
          <w:rFonts w:hint="eastAsia" w:ascii="仿宋_GB2312" w:hAnsi="Courier New" w:eastAsia="仿宋_GB2312"/>
          <w:color w:val="000000" w:themeColor="text1"/>
          <w:sz w:val="24"/>
          <w:highlight w:val="none"/>
          <w14:textFill>
            <w14:solidFill>
              <w14:schemeClr w14:val="tx1"/>
            </w14:solidFill>
          </w14:textFill>
        </w:rPr>
      </w:pPr>
      <w:r>
        <w:rPr>
          <w:rFonts w:hint="eastAsia" w:ascii="仿宋_GB2312" w:hAnsi="Courier New" w:eastAsia="仿宋_GB2312"/>
          <w:color w:val="000000" w:themeColor="text1"/>
          <w:sz w:val="24"/>
          <w:highlight w:val="none"/>
          <w14:textFill>
            <w14:solidFill>
              <w14:schemeClr w14:val="tx1"/>
            </w14:solidFill>
          </w14:textFill>
        </w:rPr>
        <w:t>②评标基准价的确定：</w:t>
      </w:r>
    </w:p>
    <w:p>
      <w:pPr>
        <w:spacing w:line="340" w:lineRule="exact"/>
        <w:ind w:firstLine="240" w:firstLineChars="100"/>
        <w:rPr>
          <w:rFonts w:hint="eastAsia" w:ascii="仿宋_GB2312" w:hAnsi="Courier New" w:eastAsia="仿宋_GB2312"/>
          <w:color w:val="000000" w:themeColor="text1"/>
          <w:sz w:val="24"/>
          <w:highlight w:val="none"/>
          <w14:textFill>
            <w14:solidFill>
              <w14:schemeClr w14:val="tx1"/>
            </w14:solidFill>
          </w14:textFill>
        </w:rPr>
      </w:pPr>
      <w:r>
        <w:rPr>
          <w:rFonts w:hint="eastAsia" w:ascii="仿宋_GB2312" w:hAnsi="Courier New" w:eastAsia="仿宋_GB2312"/>
          <w:color w:val="000000" w:themeColor="text1"/>
          <w:sz w:val="24"/>
          <w:highlight w:val="none"/>
          <w14:textFill>
            <w14:solidFill>
              <w14:schemeClr w14:val="tx1"/>
            </w14:solidFill>
          </w14:textFill>
        </w:rPr>
        <w:t>A、评标委员会认为投标人的报价明显低于其他通过符合性审查投标人的报价，而投标人不能在评标委员会要求的时间内作出合理书面说明且提供相关证明材料的，或者评标委员会认为其所作出的书面说明不合理的，该投标作无效标处理。</w:t>
      </w:r>
    </w:p>
    <w:p>
      <w:pPr>
        <w:spacing w:line="340" w:lineRule="exact"/>
        <w:ind w:firstLine="240" w:firstLineChars="100"/>
        <w:rPr>
          <w:rFonts w:hint="eastAsia" w:ascii="仿宋_GB2312" w:hAnsi="Courier New" w:eastAsia="仿宋_GB2312"/>
          <w:color w:val="000000" w:themeColor="text1"/>
          <w:sz w:val="24"/>
          <w:highlight w:val="none"/>
          <w:lang w:val="en-US" w:eastAsia="zh-CN"/>
          <w14:textFill>
            <w14:solidFill>
              <w14:schemeClr w14:val="tx1"/>
            </w14:solidFill>
          </w14:textFill>
        </w:rPr>
      </w:pPr>
      <w:r>
        <w:rPr>
          <w:rFonts w:hint="eastAsia" w:ascii="仿宋_GB2312" w:hAnsi="Courier New" w:eastAsia="仿宋_GB2312"/>
          <w:color w:val="000000" w:themeColor="text1"/>
          <w:sz w:val="24"/>
          <w:highlight w:val="none"/>
          <w:lang w:val="en-US" w:eastAsia="zh-CN"/>
          <w14:textFill>
            <w14:solidFill>
              <w14:schemeClr w14:val="tx1"/>
            </w14:solidFill>
          </w14:textFill>
        </w:rPr>
        <w:t>B、价格分统一采用低价优先法计算,即满足招标文件要求且让利下浮率最高的投标报价为评标基准价,其价格分为满分。</w:t>
      </w:r>
    </w:p>
    <w:p>
      <w:pPr>
        <w:spacing w:line="340" w:lineRule="exact"/>
        <w:ind w:firstLine="240" w:firstLineChars="100"/>
        <w:rPr>
          <w:rFonts w:hint="eastAsia" w:ascii="仿宋_GB2312" w:hAnsi="Courier New" w:eastAsia="仿宋_GB2312"/>
          <w:color w:val="000000" w:themeColor="text1"/>
          <w:sz w:val="24"/>
          <w:highlight w:val="none"/>
          <w:lang w:val="en-US" w:eastAsia="zh-CN"/>
          <w14:textFill>
            <w14:solidFill>
              <w14:schemeClr w14:val="tx1"/>
            </w14:solidFill>
          </w14:textFill>
        </w:rPr>
      </w:pPr>
      <w:r>
        <w:rPr>
          <w:rFonts w:hint="eastAsia" w:ascii="仿宋_GB2312" w:hAnsi="Courier New" w:eastAsia="仿宋_GB2312"/>
          <w:color w:val="000000" w:themeColor="text1"/>
          <w:sz w:val="24"/>
          <w:highlight w:val="none"/>
          <w:lang w:val="en-US" w:eastAsia="zh-CN"/>
          <w14:textFill>
            <w14:solidFill>
              <w14:schemeClr w14:val="tx1"/>
            </w14:solidFill>
          </w14:textFill>
        </w:rPr>
        <w:t>投标人的价格分按照下列公式计算:报价得分=（1-评标基准让利下浮率/1-投标让利下浮率）×40%×100</w:t>
      </w:r>
    </w:p>
    <w:p>
      <w:pPr>
        <w:spacing w:line="340" w:lineRule="exact"/>
        <w:ind w:firstLine="240" w:firstLineChars="100"/>
        <w:rPr>
          <w:rFonts w:hint="eastAsia" w:ascii="仿宋_GB2312" w:hAnsi="Courier New" w:eastAsia="仿宋_GB2312"/>
          <w:color w:val="000000" w:themeColor="text1"/>
          <w:sz w:val="24"/>
          <w:highlight w:val="none"/>
          <w14:textFill>
            <w14:solidFill>
              <w14:schemeClr w14:val="tx1"/>
            </w14:solidFill>
          </w14:textFill>
        </w:rPr>
      </w:pPr>
      <w:r>
        <w:rPr>
          <w:rFonts w:hint="eastAsia" w:ascii="仿宋_GB2312" w:hAnsi="Courier New" w:eastAsia="仿宋_GB2312"/>
          <w:color w:val="000000" w:themeColor="text1"/>
          <w:sz w:val="24"/>
          <w:highlight w:val="none"/>
          <w14:textFill>
            <w14:solidFill>
              <w14:schemeClr w14:val="tx1"/>
            </w14:solidFill>
          </w14:textFill>
        </w:rPr>
        <w:t>③评标委员会评审复核过程中发现存在投标人自身原因引起的计算或结转差错、笔误，每发现一处报价得分扣0.3分。如因一处差错引起的连锁差错，只按一处差错扣分。</w:t>
      </w:r>
    </w:p>
    <w:p>
      <w:pPr>
        <w:spacing w:line="340" w:lineRule="exact"/>
        <w:rPr>
          <w:rFonts w:hint="eastAsia" w:ascii="仿宋_GB2312" w:hAnsi="Courier New" w:eastAsia="仿宋_GB2312"/>
          <w:b/>
          <w:color w:val="000000" w:themeColor="text1"/>
          <w:sz w:val="24"/>
          <w:highlight w:val="none"/>
          <w14:textFill>
            <w14:solidFill>
              <w14:schemeClr w14:val="tx1"/>
            </w14:solidFill>
          </w14:textFill>
        </w:rPr>
      </w:pPr>
      <w:r>
        <w:rPr>
          <w:rFonts w:hint="eastAsia" w:ascii="仿宋_GB2312" w:hAnsi="Courier New" w:eastAsia="仿宋_GB2312"/>
          <w:b/>
          <w:color w:val="000000" w:themeColor="text1"/>
          <w:sz w:val="24"/>
          <w:highlight w:val="none"/>
          <w14:textFill>
            <w14:solidFill>
              <w14:schemeClr w14:val="tx1"/>
            </w14:solidFill>
          </w14:textFill>
        </w:rPr>
        <w:t xml:space="preserve">  4、评委对各部分得分汇总,得出本项目各投标人的最终得分：</w:t>
      </w:r>
    </w:p>
    <w:p>
      <w:pPr>
        <w:spacing w:line="340" w:lineRule="exact"/>
        <w:rPr>
          <w:rFonts w:hint="eastAsia" w:ascii="仿宋_GB2312" w:hAnsi="Courier New" w:eastAsia="仿宋_GB2312"/>
          <w:b/>
          <w:color w:val="000000" w:themeColor="text1"/>
          <w:sz w:val="24"/>
          <w:highlight w:val="none"/>
          <w14:textFill>
            <w14:solidFill>
              <w14:schemeClr w14:val="tx1"/>
            </w14:solidFill>
          </w14:textFill>
        </w:rPr>
      </w:pPr>
      <w:r>
        <w:rPr>
          <w:rFonts w:hint="eastAsia" w:ascii="仿宋_GB2312" w:hAnsi="Courier New" w:eastAsia="仿宋_GB2312"/>
          <w:b/>
          <w:color w:val="000000" w:themeColor="text1"/>
          <w:sz w:val="24"/>
          <w:highlight w:val="none"/>
          <w14:textFill>
            <w14:solidFill>
              <w14:schemeClr w14:val="tx1"/>
            </w14:solidFill>
          </w14:textFill>
        </w:rPr>
        <w:t xml:space="preserve">     投标人的总得分=技术得分+报价得分</w:t>
      </w:r>
    </w:p>
    <w:p>
      <w:pPr>
        <w:spacing w:after="156" w:afterLines="50" w:line="340" w:lineRule="exact"/>
        <w:ind w:firstLine="236" w:firstLineChars="98"/>
        <w:rPr>
          <w:rFonts w:hint="eastAsia" w:ascii="仿宋_GB2312" w:hAnsi="Courier New" w:eastAsia="仿宋_GB2312"/>
          <w:b/>
          <w:color w:val="000000" w:themeColor="text1"/>
          <w:sz w:val="24"/>
          <w:highlight w:val="none"/>
          <w14:textFill>
            <w14:solidFill>
              <w14:schemeClr w14:val="tx1"/>
            </w14:solidFill>
          </w14:textFill>
        </w:rPr>
      </w:pPr>
      <w:r>
        <w:rPr>
          <w:rFonts w:hint="eastAsia" w:ascii="仿宋_GB2312" w:hAnsi="Courier New" w:eastAsia="仿宋_GB2312"/>
          <w:b/>
          <w:color w:val="000000" w:themeColor="text1"/>
          <w:sz w:val="24"/>
          <w:highlight w:val="none"/>
          <w14:textFill>
            <w14:solidFill>
              <w14:schemeClr w14:val="tx1"/>
            </w14:solidFill>
          </w14:textFill>
        </w:rPr>
        <w:t>5、中标候选供应商的确定：</w:t>
      </w:r>
    </w:p>
    <w:p>
      <w:pPr>
        <w:spacing w:line="340" w:lineRule="exact"/>
        <w:ind w:firstLine="236" w:firstLineChars="98"/>
        <w:rPr>
          <w:rFonts w:hint="eastAsia" w:ascii="仿宋_GB2312" w:hAnsi="宋体" w:eastAsia="仿宋_GB2312"/>
          <w:b/>
          <w:color w:val="000000" w:themeColor="text1"/>
          <w:sz w:val="36"/>
          <w:szCs w:val="36"/>
          <w:highlight w:val="none"/>
          <w14:textFill>
            <w14:solidFill>
              <w14:schemeClr w14:val="tx1"/>
            </w14:solidFill>
          </w14:textFill>
        </w:rPr>
      </w:pPr>
      <w:r>
        <w:rPr>
          <w:rFonts w:hint="eastAsia" w:ascii="仿宋_GB2312" w:hAnsi="Courier New" w:eastAsia="仿宋_GB2312"/>
          <w:b/>
          <w:color w:val="000000" w:themeColor="text1"/>
          <w:sz w:val="24"/>
          <w:highlight w:val="none"/>
          <w14:textFill>
            <w14:solidFill>
              <w14:schemeClr w14:val="tx1"/>
            </w14:solidFill>
          </w14:textFill>
        </w:rPr>
        <w:t>评标委员会按评标总得分由高到低顺序排列。推荐总得分最高的投标人为中标候选供应商；总得分相同的，取投标报价低者为中标候选供应商；总得分和投标报价都相同的，则抽签确定。</w:t>
      </w:r>
    </w:p>
    <w:p>
      <w:pPr>
        <w:spacing w:line="520" w:lineRule="exact"/>
        <w:jc w:val="center"/>
        <w:rPr>
          <w:rFonts w:hint="eastAsia" w:ascii="FangSong_GB2312" w:hAnsi="宋体" w:eastAsia="FangSong_GB2312"/>
          <w:b/>
          <w:color w:val="000000" w:themeColor="text1"/>
          <w:sz w:val="36"/>
          <w:szCs w:val="36"/>
          <w:highlight w:val="none"/>
          <w14:textFill>
            <w14:solidFill>
              <w14:schemeClr w14:val="tx1"/>
            </w14:solidFill>
          </w14:textFill>
        </w:rPr>
      </w:pPr>
    </w:p>
    <w:p>
      <w:pPr>
        <w:pStyle w:val="2"/>
        <w:rPr>
          <w:rFonts w:hint="eastAsia" w:ascii="FangSong_GB2312" w:hAnsi="宋体" w:eastAsia="FangSong_GB2312"/>
          <w:b/>
          <w:color w:val="000000" w:themeColor="text1"/>
          <w:sz w:val="36"/>
          <w:szCs w:val="36"/>
          <w:highlight w:val="none"/>
          <w14:textFill>
            <w14:solidFill>
              <w14:schemeClr w14:val="tx1"/>
            </w14:solidFill>
          </w14:textFill>
        </w:rPr>
      </w:pPr>
    </w:p>
    <w:p>
      <w:bookmarkStart w:id="23" w:name="_GoBack"/>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9867BF"/>
    <w:multiLevelType w:val="singleLevel"/>
    <w:tmpl w:val="CF9867BF"/>
    <w:lvl w:ilvl="0" w:tentative="0">
      <w:start w:val="1"/>
      <w:numFmt w:val="decimal"/>
      <w:suff w:val="nothing"/>
      <w:lvlText w:val="%1、"/>
      <w:lvlJc w:val="left"/>
    </w:lvl>
  </w:abstractNum>
  <w:abstractNum w:abstractNumId="1">
    <w:nsid w:val="E642FEAE"/>
    <w:multiLevelType w:val="singleLevel"/>
    <w:tmpl w:val="E642FEAE"/>
    <w:lvl w:ilvl="0" w:tentative="0">
      <w:start w:val="1"/>
      <w:numFmt w:val="decimal"/>
      <w:suff w:val="nothing"/>
      <w:lvlText w:val="%1、"/>
      <w:lvlJc w:val="left"/>
    </w:lvl>
  </w:abstractNum>
  <w:abstractNum w:abstractNumId="2">
    <w:nsid w:val="0D44B10F"/>
    <w:multiLevelType w:val="singleLevel"/>
    <w:tmpl w:val="0D44B10F"/>
    <w:lvl w:ilvl="0" w:tentative="0">
      <w:start w:val="7"/>
      <w:numFmt w:val="decimal"/>
      <w:suff w:val="nothing"/>
      <w:lvlText w:val="%1、"/>
      <w:lvlJc w:val="left"/>
      <w:pPr>
        <w:ind w:left="21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hMjE0OWExMzE2MzYzZGNiOWMzMTFiNjY5ZThkNTgifQ=="/>
  </w:docVars>
  <w:rsids>
    <w:rsidRoot w:val="00000000"/>
    <w:rsid w:val="4E93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无间隔1"/>
    <w:basedOn w:val="1"/>
    <w:qFormat/>
    <w:uiPriority w:val="99"/>
    <w:pPr>
      <w:widowControl/>
      <w:adjustRightInd w:val="0"/>
      <w:snapToGrid w:val="0"/>
      <w:jc w:val="left"/>
    </w:pPr>
    <w:rPr>
      <w:rFonts w:ascii="Tahoma" w:hAnsi="Tahoma" w:eastAsia="微软雅黑"/>
      <w:sz w:val="22"/>
      <w:szCs w:val="22"/>
    </w:rPr>
  </w:style>
  <w:style w:type="paragraph" w:styleId="3">
    <w:name w:val="Body Text"/>
    <w:basedOn w:val="1"/>
    <w:next w:val="4"/>
    <w:qFormat/>
    <w:uiPriority w:val="0"/>
    <w:rPr>
      <w:rFonts w:eastAsia="黑体" w:cs="Times New Roman"/>
      <w:b/>
      <w:bCs/>
      <w:spacing w:val="20"/>
      <w:kern w:val="52"/>
      <w:sz w:val="56"/>
      <w:szCs w:val="24"/>
    </w:rPr>
  </w:style>
  <w:style w:type="paragraph" w:styleId="4">
    <w:name w:val="Body Text First Indent"/>
    <w:basedOn w:val="3"/>
    <w:next w:val="5"/>
    <w:qFormat/>
    <w:uiPriority w:val="0"/>
    <w:pPr>
      <w:spacing w:line="312" w:lineRule="auto"/>
      <w:ind w:firstLine="420"/>
    </w:pPr>
    <w:rPr>
      <w:szCs w:val="24"/>
    </w:rPr>
  </w:style>
  <w:style w:type="paragraph" w:styleId="5">
    <w:name w:val="toc 6"/>
    <w:basedOn w:val="1"/>
    <w:next w:val="1"/>
    <w:qFormat/>
    <w:uiPriority w:val="39"/>
    <w:pPr>
      <w:ind w:left="1050"/>
      <w:jc w:val="left"/>
    </w:pPr>
    <w:rPr>
      <w:rFonts w:ascii="Calibri" w:hAnsi="Calibri" w:cs="Calibri"/>
      <w:sz w:val="18"/>
      <w:szCs w:val="18"/>
    </w:rPr>
  </w:style>
  <w:style w:type="paragraph" w:styleId="6">
    <w:name w:val="Plain Text"/>
    <w:basedOn w:val="1"/>
    <w:next w:val="7"/>
    <w:qFormat/>
    <w:uiPriority w:val="99"/>
    <w:rPr>
      <w:rFonts w:ascii="宋体" w:hAnsi="Courier New"/>
      <w:szCs w:val="20"/>
    </w:rPr>
  </w:style>
  <w:style w:type="paragraph" w:styleId="7">
    <w:name w:val="index 7"/>
    <w:basedOn w:val="1"/>
    <w:next w:val="1"/>
    <w:qFormat/>
    <w:uiPriority w:val="0"/>
    <w:pPr>
      <w:autoSpaceDE/>
      <w:autoSpaceDN/>
      <w:adjustRightInd/>
      <w:ind w:left="1200" w:leftChars="1200"/>
    </w:pPr>
    <w:rPr>
      <w:color w:val="auto"/>
      <w:kern w:val="2"/>
      <w:szCs w:val="24"/>
    </w:rPr>
  </w:style>
  <w:style w:type="paragraph" w:customStyle="1" w:styleId="10">
    <w:name w:val="Body text|1"/>
    <w:basedOn w:val="1"/>
    <w:qFormat/>
    <w:uiPriority w:val="0"/>
    <w:pPr>
      <w:spacing w:line="463" w:lineRule="auto"/>
      <w:ind w:firstLine="400"/>
    </w:pPr>
    <w:rPr>
      <w:rFonts w:ascii="宋体" w:hAnsi="宋体" w:eastAsia="宋体" w:cs="宋体"/>
      <w:sz w:val="20"/>
      <w:szCs w:val="20"/>
      <w:lang w:val="zh-TW" w:eastAsia="zh-TW" w:bidi="zh-TW"/>
    </w:rPr>
  </w:style>
  <w:style w:type="paragraph" w:customStyle="1" w:styleId="11">
    <w:name w:val="Table Paragraph"/>
    <w:basedOn w:val="1"/>
    <w:qFormat/>
    <w:uiPriority w:val="1"/>
    <w:pPr>
      <w:jc w:val="left"/>
    </w:pPr>
    <w:rPr>
      <w:rFonts w:ascii="Calibri" w:hAnsi="Calibri"/>
      <w:kern w:val="0"/>
      <w:sz w:val="22"/>
      <w:szCs w:val="22"/>
      <w:lang w:eastAsia="en-US"/>
    </w:r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2023-05-18T02:39:26Z</dcterms:created>
  <dc:creator>Administrator</dc:creator>
  <cp:lastModifiedBy>Administrator</cp:lastModifiedBy>
  <dcterms:modified xsi:type="dcterms:W3CDTF">2023-05-18T02:39:30Z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F139A3064B9646C19B0CC70E19A62B2D_12</vt:lpwstr>
  </property>
</Properties>
</file>