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宋体" w:eastAsia="仿宋_GB2312"/>
          <w:b/>
          <w:bCs/>
          <w:color w:val="000000" w:themeColor="text1"/>
          <w:sz w:val="36"/>
          <w:highlight w:val="none"/>
          <w14:textFill>
            <w14:solidFill>
              <w14:schemeClr w14:val="tx1"/>
            </w14:solidFill>
          </w14:textFill>
        </w:rPr>
      </w:pPr>
    </w:p>
    <w:p>
      <w:pPr>
        <w:snapToGrid w:val="0"/>
        <w:spacing w:line="400" w:lineRule="exact"/>
        <w:ind w:firstLine="361" w:firstLineChars="100"/>
        <w:jc w:val="cente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6"/>
          <w14:textFill>
            <w14:solidFill>
              <w14:schemeClr w14:val="tx1"/>
            </w14:solidFill>
          </w14:textFill>
        </w:rPr>
        <w:t xml:space="preserve">第三章  </w:t>
      </w:r>
      <w:r>
        <w:rPr>
          <w:rFonts w:hint="eastAsia" w:ascii="仿宋" w:hAnsi="仿宋" w:eastAsia="仿宋" w:cs="仿宋"/>
          <w:b/>
          <w:bCs/>
          <w:color w:val="000000" w:themeColor="text1"/>
          <w:sz w:val="36"/>
          <w:szCs w:val="36"/>
          <w14:textFill>
            <w14:solidFill>
              <w14:schemeClr w14:val="tx1"/>
            </w14:solidFill>
          </w14:textFill>
        </w:rPr>
        <w:t>合同主要条款</w:t>
      </w:r>
    </w:p>
    <w:p>
      <w:pPr>
        <w:widowControl/>
        <w:snapToGrid w:val="0"/>
        <w:spacing w:line="360" w:lineRule="auto"/>
        <w:ind w:firstLine="480" w:firstLineChars="20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（供参考，具体条款由采购单位和中标供应商协商确定）</w:t>
      </w:r>
      <w:bookmarkStart w:id="23" w:name="_GoBack"/>
      <w:bookmarkEnd w:id="23"/>
    </w:p>
    <w:p>
      <w:pPr>
        <w:widowControl/>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项目名称： </w:t>
      </w:r>
      <w:r>
        <w:rPr>
          <w:rFonts w:hint="eastAsia" w:ascii="仿宋_GB2312" w:hAnsi="宋体" w:eastAsia="仿宋_GB2312" w:cs="Arial"/>
          <w:color w:val="000000" w:themeColor="text1"/>
          <w:kern w:val="0"/>
          <w:sz w:val="24"/>
          <w:highlight w:val="none"/>
          <w:lang w:eastAsia="zh-CN"/>
          <w14:textFill>
            <w14:solidFill>
              <w14:schemeClr w14:val="tx1"/>
            </w14:solidFill>
          </w14:textFill>
        </w:rPr>
        <w:t>天台县正源水务建设有限公司2023年智能水表采购项目</w:t>
      </w:r>
      <w:r>
        <w:rPr>
          <w:rFonts w:hint="eastAsia" w:ascii="仿宋" w:hAnsi="仿宋" w:eastAsia="仿宋" w:cs="仿宋"/>
          <w:color w:val="000000" w:themeColor="text1"/>
          <w:kern w:val="0"/>
          <w:sz w:val="24"/>
          <w14:textFill>
            <w14:solidFill>
              <w14:schemeClr w14:val="tx1"/>
            </w14:solidFill>
          </w14:textFill>
        </w:rPr>
        <w:t xml:space="preserve">      </w:t>
      </w:r>
    </w:p>
    <w:p>
      <w:pPr>
        <w:widowControl/>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甲方：（采购单位）</w:t>
      </w:r>
      <w:r>
        <w:rPr>
          <w:rFonts w:hint="eastAsia" w:ascii="仿宋" w:hAnsi="仿宋" w:eastAsia="仿宋" w:cs="仿宋"/>
          <w:color w:val="000000" w:themeColor="text1"/>
          <w:sz w:val="24"/>
          <w14:textFill>
            <w14:solidFill>
              <w14:schemeClr w14:val="tx1"/>
            </w14:solidFill>
          </w14:textFill>
        </w:rPr>
        <w:t>天台县正源水务建设有限公司</w:t>
      </w:r>
      <w:r>
        <w:rPr>
          <w:rFonts w:hint="eastAsia" w:ascii="仿宋" w:hAnsi="仿宋" w:eastAsia="仿宋" w:cs="仿宋"/>
          <w:color w:val="000000" w:themeColor="text1"/>
          <w:kern w:val="0"/>
          <w:sz w:val="24"/>
          <w14:textFill>
            <w14:solidFill>
              <w14:schemeClr w14:val="tx1"/>
            </w14:solidFill>
          </w14:textFill>
        </w:rPr>
        <w:t xml:space="preserve">                     </w:t>
      </w:r>
    </w:p>
    <w:p>
      <w:pPr>
        <w:widowControl/>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乙方：（中标供应商）                     </w:t>
      </w:r>
    </w:p>
    <w:p>
      <w:pPr>
        <w:widowControl/>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根据</w:t>
      </w:r>
      <w:r>
        <w:rPr>
          <w:rFonts w:hint="eastAsia" w:ascii="仿宋" w:hAnsi="仿宋" w:eastAsia="仿宋" w:cs="仿宋"/>
          <w:color w:val="000000" w:themeColor="text1"/>
          <w:sz w:val="24"/>
          <w:lang w:val="en-US" w:eastAsia="zh-CN"/>
          <w14:textFill>
            <w14:solidFill>
              <w14:schemeClr w14:val="tx1"/>
            </w14:solidFill>
          </w14:textFill>
        </w:rPr>
        <w:t>浙江祥泽招标代理有限公司</w:t>
      </w:r>
      <w:r>
        <w:rPr>
          <w:rFonts w:hint="eastAsia" w:ascii="仿宋" w:hAnsi="仿宋" w:eastAsia="仿宋" w:cs="仿宋"/>
          <w:color w:val="000000" w:themeColor="text1"/>
          <w:kern w:val="0"/>
          <w:sz w:val="24"/>
          <w14:textFill>
            <w14:solidFill>
              <w14:schemeClr w14:val="tx1"/>
            </w14:solidFill>
          </w14:textFill>
        </w:rPr>
        <w:t>关于</w:t>
      </w:r>
      <w:r>
        <w:rPr>
          <w:rFonts w:hint="eastAsia" w:ascii="仿宋_GB2312" w:hAnsi="宋体" w:eastAsia="仿宋_GB2312" w:cs="Arial"/>
          <w:color w:val="000000" w:themeColor="text1"/>
          <w:kern w:val="0"/>
          <w:sz w:val="24"/>
          <w:highlight w:val="none"/>
          <w:u w:val="single"/>
          <w:lang w:eastAsia="zh-CN"/>
          <w14:textFill>
            <w14:solidFill>
              <w14:schemeClr w14:val="tx1"/>
            </w14:solidFill>
          </w14:textFill>
        </w:rPr>
        <w:t>天台县正源水务建设有限公司2023年智能水表采购项目</w:t>
      </w:r>
      <w:r>
        <w:rPr>
          <w:rFonts w:hint="eastAsia" w:ascii="仿宋" w:hAnsi="仿宋" w:eastAsia="仿宋" w:cs="仿宋"/>
          <w:color w:val="000000" w:themeColor="text1"/>
          <w:kern w:val="0"/>
          <w:sz w:val="24"/>
          <w14:textFill>
            <w14:solidFill>
              <w14:schemeClr w14:val="tx1"/>
            </w14:solidFill>
          </w14:textFill>
        </w:rPr>
        <w:t>公开招标的结果，签署本合同。</w:t>
      </w:r>
    </w:p>
    <w:p>
      <w:pPr>
        <w:widowControl/>
        <w:snapToGrid w:val="0"/>
        <w:spacing w:line="360" w:lineRule="auto"/>
        <w:ind w:firstLine="482" w:firstLineChars="200"/>
        <w:jc w:val="left"/>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一、货物内容</w:t>
      </w:r>
    </w:p>
    <w:p>
      <w:pPr>
        <w:pStyle w:val="2"/>
        <w:rPr>
          <w:rFonts w:hint="eastAsia" w:ascii="仿宋" w:hAnsi="仿宋" w:eastAsia="仿宋" w:cs="Arial"/>
          <w:color w:val="000000" w:themeColor="text1"/>
          <w:kern w:val="0"/>
          <w:sz w:val="24"/>
          <w:lang w:val="en-US" w:eastAsia="zh-CN"/>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1.1货物名称：</w:t>
      </w:r>
    </w:p>
    <w:p>
      <w:pPr>
        <w:pStyle w:val="2"/>
        <w:rPr>
          <w:rFonts w:hint="eastAsia" w:ascii="仿宋" w:hAnsi="仿宋" w:eastAsia="仿宋" w:cs="Arial"/>
          <w:color w:val="000000" w:themeColor="text1"/>
          <w:kern w:val="0"/>
          <w:sz w:val="24"/>
          <w:lang w:val="en-US" w:eastAsia="zh-CN"/>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1.2数量：（单位）实际供货数量，按甲方实际使用需求为准，结算以实际供货结算。</w:t>
      </w:r>
    </w:p>
    <w:p>
      <w:pPr>
        <w:pStyle w:val="2"/>
        <w:rPr>
          <w:rFonts w:hint="eastAsia" w:ascii="仿宋" w:hAnsi="仿宋" w:eastAsia="仿宋" w:cs="Arial"/>
          <w:color w:val="000000" w:themeColor="text1"/>
          <w:kern w:val="0"/>
          <w:sz w:val="24"/>
          <w:lang w:val="en-US" w:eastAsia="zh-CN"/>
          <w14:textFill>
            <w14:solidFill>
              <w14:schemeClr w14:val="tx1"/>
            </w14:solidFill>
          </w14:textFill>
        </w:rPr>
      </w:pPr>
      <w:r>
        <w:rPr>
          <w:rFonts w:hint="eastAsia" w:ascii="仿宋" w:hAnsi="仿宋" w:eastAsia="仿宋" w:cs="Arial"/>
          <w:color w:val="000000" w:themeColor="text1"/>
          <w:kern w:val="0"/>
          <w:sz w:val="24"/>
          <w:lang w:val="en-US" w:eastAsia="zh-CN"/>
          <w14:textFill>
            <w14:solidFill>
              <w14:schemeClr w14:val="tx1"/>
            </w14:solidFill>
          </w14:textFill>
        </w:rPr>
        <w:t>1.4型号规格：</w:t>
      </w:r>
    </w:p>
    <w:tbl>
      <w:tblPr>
        <w:tblStyle w:val="9"/>
        <w:tblW w:w="0" w:type="auto"/>
        <w:jc w:val="center"/>
        <w:tblLayout w:type="fixed"/>
        <w:tblCellMar>
          <w:top w:w="0" w:type="dxa"/>
          <w:left w:w="108" w:type="dxa"/>
          <w:bottom w:w="0" w:type="dxa"/>
          <w:right w:w="108" w:type="dxa"/>
        </w:tblCellMar>
      </w:tblPr>
      <w:tblGrid>
        <w:gridCol w:w="895"/>
        <w:gridCol w:w="2139"/>
        <w:gridCol w:w="1334"/>
        <w:gridCol w:w="2033"/>
        <w:gridCol w:w="2486"/>
      </w:tblGrid>
      <w:tr>
        <w:tblPrEx>
          <w:tblCellMar>
            <w:top w:w="0" w:type="dxa"/>
            <w:left w:w="108" w:type="dxa"/>
            <w:bottom w:w="0" w:type="dxa"/>
            <w:right w:w="108" w:type="dxa"/>
          </w:tblCellMar>
        </w:tblPrEx>
        <w:trPr>
          <w:trHeight w:val="454"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zh-CN" w:eastAsia="zh-TW"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编 号</w:t>
            </w:r>
          </w:p>
        </w:tc>
        <w:tc>
          <w:tcPr>
            <w:tcW w:w="21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zh-CN" w:eastAsia="zh-TW"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 称</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规 格</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单位（只）</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单价（元/只）</w:t>
            </w:r>
          </w:p>
        </w:tc>
      </w:tr>
      <w:tr>
        <w:tblPrEx>
          <w:tblCellMar>
            <w:top w:w="0" w:type="dxa"/>
            <w:left w:w="108" w:type="dxa"/>
            <w:bottom w:w="0" w:type="dxa"/>
            <w:right w:w="108" w:type="dxa"/>
          </w:tblCellMar>
        </w:tblPrEx>
        <w:trPr>
          <w:trHeight w:val="37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zh-CN" w:eastAsia="zh-TW"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139"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TW" w:bidi="zh-TW"/>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智能水表（无线）</w:t>
            </w: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DN15</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40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13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color w:val="000000" w:themeColor="text1"/>
                <w:lang w:val="en-US" w:eastAsia="zh-CN"/>
                <w14:textFill>
                  <w14:solidFill>
                    <w14:schemeClr w14:val="tx1"/>
                  </w14:solidFill>
                </w14:textFill>
              </w:rPr>
            </w:pP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DN20</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4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13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000000" w:themeColor="text1"/>
                <w:lang w:val="en-US" w:eastAsia="zh-CN"/>
                <w14:textFill>
                  <w14:solidFill>
                    <w14:schemeClr w14:val="tx1"/>
                  </w14:solidFill>
                </w14:textFill>
              </w:rPr>
            </w:pP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DN25 </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04"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13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DN40</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4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13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DN50 </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4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13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DN80</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31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139"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p>
        </w:tc>
        <w:tc>
          <w:tcPr>
            <w:tcW w:w="13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DN100</w:t>
            </w:r>
          </w:p>
        </w:tc>
        <w:tc>
          <w:tcPr>
            <w:tcW w:w="203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614" w:hRule="exact"/>
          <w:jc w:val="center"/>
        </w:trPr>
        <w:tc>
          <w:tcPr>
            <w:tcW w:w="30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cs="宋体"/>
                <w:bCs/>
                <w:color w:val="000000" w:themeColor="text1"/>
                <w:sz w:val="24"/>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折扣率</w:t>
            </w:r>
          </w:p>
        </w:tc>
        <w:tc>
          <w:tcPr>
            <w:tcW w:w="5853" w:type="dxa"/>
            <w:gridSpan w:val="3"/>
            <w:tcBorders>
              <w:top w:val="single" w:color="auto" w:sz="4" w:space="0"/>
              <w:left w:val="single" w:color="auto" w:sz="6"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000000" w:themeColor="text1"/>
                <w14:textFill>
                  <w14:solidFill>
                    <w14:schemeClr w14:val="tx1"/>
                  </w14:solidFill>
                </w14:textFill>
              </w:rPr>
            </w:pPr>
          </w:p>
        </w:tc>
      </w:tr>
    </w:tbl>
    <w:p>
      <w:pPr>
        <w:pStyle w:val="2"/>
        <w:rPr>
          <w:rFonts w:hint="eastAsia" w:ascii="仿宋" w:hAnsi="仿宋" w:eastAsia="仿宋" w:cs="Arial"/>
          <w:color w:val="000000" w:themeColor="text1"/>
          <w:kern w:val="0"/>
          <w:sz w:val="24"/>
          <w:lang w:val="en-US" w:eastAsia="zh-CN"/>
          <w14:textFill>
            <w14:solidFill>
              <w14:schemeClr w14:val="tx1"/>
            </w14:solidFill>
          </w14:textFill>
        </w:rPr>
      </w:pPr>
    </w:p>
    <w:p>
      <w:pPr>
        <w:widowControl/>
        <w:snapToGrid w:val="0"/>
        <w:spacing w:line="360" w:lineRule="auto"/>
        <w:ind w:firstLine="482" w:firstLineChars="200"/>
        <w:jc w:val="left"/>
        <w:rPr>
          <w:rFonts w:hint="eastAsia" w:ascii="仿宋" w:hAnsi="仿宋" w:eastAsia="仿宋" w:cs="Arial"/>
          <w:b/>
          <w:bCs/>
          <w:color w:val="000000" w:themeColor="text1"/>
          <w:kern w:val="0"/>
          <w:sz w:val="24"/>
          <w:lang w:val="en-US" w:eastAsia="zh-CN"/>
          <w14:textFill>
            <w14:solidFill>
              <w14:schemeClr w14:val="tx1"/>
            </w14:solidFill>
          </w14:textFill>
        </w:rPr>
      </w:pPr>
      <w:r>
        <w:rPr>
          <w:rFonts w:hint="eastAsia" w:ascii="仿宋" w:hAnsi="仿宋" w:eastAsia="仿宋" w:cs="Arial"/>
          <w:b/>
          <w:bCs/>
          <w:color w:val="000000" w:themeColor="text1"/>
          <w:kern w:val="0"/>
          <w:sz w:val="24"/>
          <w:lang w:val="en-US" w:eastAsia="zh-CN"/>
          <w14:textFill>
            <w14:solidFill>
              <w14:schemeClr w14:val="tx1"/>
            </w14:solidFill>
          </w14:textFill>
        </w:rPr>
        <w:t>备注：提供的智能水表（无线）DN15-DN25必须取得浙江省市场监督管理局或台州市市场监督管理局授权的第三方检测机构的强制检定证书，授权区域需为浙江省或台州市。智能水表（无线）DN15-DN25必须包含所有检测相关费用。智能水表（无线）DN40-DN100大表使用WS螺翼式基表。</w:t>
      </w:r>
    </w:p>
    <w:p>
      <w:pPr>
        <w:widowControl/>
        <w:snapToGrid w:val="0"/>
        <w:spacing w:line="360" w:lineRule="auto"/>
        <w:ind w:firstLine="482" w:firstLineChars="200"/>
        <w:jc w:val="left"/>
        <w:rPr>
          <w:rFonts w:ascii="仿宋" w:hAnsi="仿宋" w:eastAsia="仿宋" w:cs="Arial"/>
          <w:color w:val="000000" w:themeColor="text1"/>
          <w:kern w:val="0"/>
          <w:sz w:val="14"/>
          <w:szCs w:val="1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二、价款支付</w:t>
      </w:r>
    </w:p>
    <w:p>
      <w:pPr>
        <w:spacing w:line="360" w:lineRule="auto"/>
        <w:ind w:firstLine="480" w:firstLineChars="200"/>
        <w:rPr>
          <w:rFonts w:hint="eastAsia" w:ascii="仿宋" w:hAnsi="仿宋" w:eastAsia="仿宋" w:cs="Arial"/>
          <w:bCs/>
          <w:color w:val="000000" w:themeColor="text1"/>
          <w:kern w:val="0"/>
          <w:sz w:val="24"/>
          <w14:textFill>
            <w14:solidFill>
              <w14:schemeClr w14:val="tx1"/>
            </w14:solidFill>
          </w14:textFill>
        </w:rPr>
      </w:pPr>
      <w:r>
        <w:rPr>
          <w:rFonts w:hint="eastAsia" w:ascii="仿宋" w:hAnsi="仿宋" w:eastAsia="仿宋" w:cs="Arial"/>
          <w:bCs/>
          <w:color w:val="000000" w:themeColor="text1"/>
          <w:kern w:val="0"/>
          <w:sz w:val="24"/>
          <w14:textFill>
            <w14:solidFill>
              <w14:schemeClr w14:val="tx1"/>
            </w14:solidFill>
          </w14:textFill>
        </w:rPr>
        <w:t>2.1 本合同总价款为人民币（大写）</w:t>
      </w:r>
      <w:r>
        <w:rPr>
          <w:rFonts w:hint="eastAsia" w:ascii="仿宋" w:hAnsi="仿宋" w:eastAsia="仿宋" w:cs="Arial"/>
          <w:bCs/>
          <w:color w:val="000000" w:themeColor="text1"/>
          <w:kern w:val="0"/>
          <w:sz w:val="24"/>
          <w:u w:val="single"/>
          <w14:textFill>
            <w14:solidFill>
              <w14:schemeClr w14:val="tx1"/>
            </w14:solidFill>
          </w14:textFill>
        </w:rPr>
        <w:t xml:space="preserve">： </w:t>
      </w:r>
      <w:r>
        <w:rPr>
          <w:rFonts w:hint="eastAsia" w:ascii="仿宋" w:hAnsi="仿宋" w:eastAsia="仿宋" w:cs="Arial"/>
          <w:bCs/>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Arial"/>
          <w:bCs/>
          <w:color w:val="000000" w:themeColor="text1"/>
          <w:kern w:val="0"/>
          <w:sz w:val="24"/>
          <w:u w:val="single"/>
          <w14:textFill>
            <w14:solidFill>
              <w14:schemeClr w14:val="tx1"/>
            </w14:solidFill>
          </w14:textFill>
        </w:rPr>
        <w:t xml:space="preserve">   （￥：</w:t>
      </w:r>
      <w:r>
        <w:rPr>
          <w:rFonts w:hint="eastAsia" w:ascii="仿宋" w:hAnsi="仿宋" w:eastAsia="仿宋" w:cs="Arial"/>
          <w:bCs/>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Arial"/>
          <w:bCs/>
          <w:color w:val="000000" w:themeColor="text1"/>
          <w:kern w:val="0"/>
          <w:sz w:val="24"/>
          <w:u w:val="single"/>
          <w14:textFill>
            <w14:solidFill>
              <w14:schemeClr w14:val="tx1"/>
            </w14:solidFill>
          </w14:textFill>
        </w:rPr>
        <w:t xml:space="preserve">元  </w:t>
      </w:r>
      <w:r>
        <w:rPr>
          <w:rFonts w:hint="eastAsia" w:ascii="仿宋" w:hAnsi="仿宋" w:eastAsia="仿宋" w:cs="Arial"/>
          <w:bCs/>
          <w:color w:val="000000" w:themeColor="text1"/>
          <w:kern w:val="0"/>
          <w:sz w:val="24"/>
          <w:u w:val="single"/>
          <w:lang w:val="en-US" w:eastAsia="zh-CN"/>
          <w14:textFill>
            <w14:solidFill>
              <w14:schemeClr w14:val="tx1"/>
            </w14:solidFill>
          </w14:textFill>
        </w:rPr>
        <w:t>含税率%</w:t>
      </w:r>
      <w:r>
        <w:rPr>
          <w:rFonts w:hint="eastAsia" w:ascii="仿宋" w:hAnsi="仿宋" w:eastAsia="仿宋" w:cs="Arial"/>
          <w:bCs/>
          <w:color w:val="000000" w:themeColor="text1"/>
          <w:kern w:val="0"/>
          <w:sz w:val="24"/>
          <w:u w:val="single"/>
          <w14:textFill>
            <w14:solidFill>
              <w14:schemeClr w14:val="tx1"/>
            </w14:solidFill>
          </w14:textFill>
        </w:rPr>
        <w:t xml:space="preserve"> ）</w:t>
      </w:r>
      <w:r>
        <w:rPr>
          <w:rFonts w:hint="eastAsia" w:ascii="仿宋" w:hAnsi="仿宋" w:eastAsia="仿宋" w:cs="Arial"/>
          <w:bCs/>
          <w:color w:val="000000" w:themeColor="text1"/>
          <w:kern w:val="0"/>
          <w:sz w:val="24"/>
          <w:lang w:val="zh-CN"/>
          <w14:textFill>
            <w14:solidFill>
              <w14:schemeClr w14:val="tx1"/>
            </w14:solidFill>
          </w14:textFill>
        </w:rPr>
        <w:t>。</w:t>
      </w:r>
    </w:p>
    <w:p>
      <w:pPr>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2.2 中标</w:t>
      </w:r>
      <w:r>
        <w:rPr>
          <w:rFonts w:hint="eastAsia" w:ascii="仿宋" w:hAnsi="仿宋" w:eastAsia="仿宋" w:cs="Arial"/>
          <w:color w:val="000000" w:themeColor="text1"/>
          <w:kern w:val="0"/>
          <w:sz w:val="24"/>
          <w:lang w:val="en-US" w:eastAsia="zh-CN"/>
          <w14:textFill>
            <w14:solidFill>
              <w14:schemeClr w14:val="tx1"/>
            </w14:solidFill>
          </w14:textFill>
        </w:rPr>
        <w:t>折扣率</w:t>
      </w:r>
      <w:r>
        <w:rPr>
          <w:rFonts w:hint="eastAsia" w:ascii="仿宋" w:hAnsi="仿宋" w:eastAsia="仿宋" w:cs="Arial"/>
          <w:color w:val="000000" w:themeColor="text1"/>
          <w:kern w:val="0"/>
          <w:sz w:val="24"/>
          <w14:textFill>
            <w14:solidFill>
              <w14:schemeClr w14:val="tx1"/>
            </w14:solidFill>
          </w14:textFill>
        </w:rPr>
        <w:t>（大写）：</w:t>
      </w:r>
      <w:r>
        <w:rPr>
          <w:rFonts w:hint="eastAsia" w:ascii="仿宋" w:hAnsi="仿宋" w:eastAsia="仿宋" w:cs="Arial"/>
          <w:color w:val="000000" w:themeColor="text1"/>
          <w:kern w:val="0"/>
          <w:sz w:val="24"/>
          <w:u w:val="single"/>
          <w14:textFill>
            <w14:solidFill>
              <w14:schemeClr w14:val="tx1"/>
            </w14:solidFill>
          </w14:textFill>
        </w:rPr>
        <w:t xml:space="preserve">  百分之 </w:t>
      </w:r>
      <w:r>
        <w:rPr>
          <w:rFonts w:hint="eastAsia" w:ascii="仿宋" w:hAnsi="仿宋" w:eastAsia="仿宋" w:cs="Arial"/>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Arial"/>
          <w:color w:val="000000" w:themeColor="text1"/>
          <w:kern w:val="0"/>
          <w:sz w:val="24"/>
          <w:u w:val="single"/>
          <w14:textFill>
            <w14:solidFill>
              <w14:schemeClr w14:val="tx1"/>
            </w14:solidFill>
          </w14:textFill>
        </w:rPr>
        <w:t xml:space="preserve">     </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u w:val="single"/>
          <w14:textFill>
            <w14:solidFill>
              <w14:schemeClr w14:val="tx1"/>
            </w14:solidFill>
          </w14:textFill>
        </w:rPr>
        <w:t xml:space="preserve">     % </w:t>
      </w:r>
      <w:r>
        <w:rPr>
          <w:rFonts w:hint="eastAsia" w:ascii="仿宋" w:hAnsi="仿宋" w:eastAsia="仿宋" w:cs="Arial"/>
          <w:color w:val="000000" w:themeColor="text1"/>
          <w:kern w:val="0"/>
          <w:sz w:val="24"/>
          <w14:textFill>
            <w14:solidFill>
              <w14:schemeClr w14:val="tx1"/>
            </w14:solidFill>
          </w14:textFill>
        </w:rPr>
        <w:t>）。合同单价详见附表。</w:t>
      </w:r>
      <w:r>
        <w:rPr>
          <w:rFonts w:hint="eastAsia" w:ascii="仿宋" w:hAnsi="仿宋" w:eastAsia="仿宋" w:cs="仿宋"/>
          <w:color w:val="000000" w:themeColor="text1"/>
          <w:kern w:val="0"/>
          <w:sz w:val="24"/>
          <w14:textFill>
            <w14:solidFill>
              <w14:schemeClr w14:val="tx1"/>
            </w14:solidFill>
          </w14:textFill>
        </w:rPr>
        <w:t>结算时，单价不予调整，货款按实际供货数量乘以单价乘以</w:t>
      </w:r>
      <w:r>
        <w:rPr>
          <w:rFonts w:hint="eastAsia" w:ascii="仿宋" w:hAnsi="仿宋" w:eastAsia="仿宋" w:cs="仿宋"/>
          <w:color w:val="000000" w:themeColor="text1"/>
          <w:kern w:val="0"/>
          <w:sz w:val="24"/>
          <w14:textFill>
            <w14:solidFill>
              <w14:schemeClr w14:val="tx1"/>
            </w14:solidFill>
          </w14:textFill>
        </w:rPr>
        <w:t>折扣</w:t>
      </w:r>
      <w:r>
        <w:rPr>
          <w:rFonts w:hint="eastAsia" w:ascii="仿宋" w:hAnsi="仿宋" w:eastAsia="仿宋" w:cs="仿宋"/>
          <w:color w:val="000000" w:themeColor="text1"/>
          <w:kern w:val="0"/>
          <w:sz w:val="24"/>
          <w:lang w:val="en-US" w:eastAsia="zh-CN"/>
          <w14:textFill>
            <w14:solidFill>
              <w14:schemeClr w14:val="tx1"/>
            </w14:solidFill>
          </w14:textFill>
        </w:rPr>
        <w:t>率</w:t>
      </w:r>
      <w:r>
        <w:rPr>
          <w:rFonts w:hint="eastAsia" w:ascii="仿宋" w:hAnsi="仿宋" w:eastAsia="仿宋" w:cs="仿宋"/>
          <w:color w:val="000000" w:themeColor="text1"/>
          <w:kern w:val="0"/>
          <w:sz w:val="24"/>
          <w14:textFill>
            <w14:solidFill>
              <w14:schemeClr w14:val="tx1"/>
            </w14:solidFill>
          </w14:textFill>
        </w:rPr>
        <w:t>计算。</w:t>
      </w:r>
    </w:p>
    <w:p>
      <w:pPr>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 xml:space="preserve">2.3 </w:t>
      </w:r>
      <w:r>
        <w:rPr>
          <w:rFonts w:hint="eastAsia" w:ascii="仿宋" w:hAnsi="仿宋" w:eastAsia="仿宋" w:cs="Arial"/>
          <w:bCs/>
          <w:color w:val="000000" w:themeColor="text1"/>
          <w:kern w:val="0"/>
          <w:sz w:val="24"/>
          <w14:textFill>
            <w14:solidFill>
              <w14:schemeClr w14:val="tx1"/>
            </w14:solidFill>
          </w14:textFill>
        </w:rPr>
        <w:t>付款方式及时间：合同签订后，每批货到仓库（工地）验收合格后，在一个月内支付该批货款的97.5%（发票和货物清单同时提供，后续付款以此类推），剩余2.5%</w:t>
      </w:r>
      <w:r>
        <w:rPr>
          <w:rFonts w:hint="eastAsia" w:ascii="仿宋" w:hAnsi="仿宋" w:eastAsia="仿宋" w:cs="Arial"/>
          <w:bCs/>
          <w:color w:val="000000" w:themeColor="text1"/>
          <w:kern w:val="0"/>
          <w:sz w:val="24"/>
          <w:lang w:val="en-US" w:eastAsia="zh-CN"/>
          <w14:textFill>
            <w14:solidFill>
              <w14:schemeClr w14:val="tx1"/>
            </w14:solidFill>
          </w14:textFill>
        </w:rPr>
        <w:t>不计利息</w:t>
      </w:r>
      <w:r>
        <w:rPr>
          <w:rFonts w:hint="eastAsia" w:ascii="仿宋" w:hAnsi="仿宋" w:eastAsia="仿宋" w:cs="Arial"/>
          <w:bCs/>
          <w:color w:val="000000" w:themeColor="text1"/>
          <w:kern w:val="0"/>
          <w:sz w:val="24"/>
          <w14:textFill>
            <w14:solidFill>
              <w14:schemeClr w14:val="tx1"/>
            </w14:solidFill>
          </w14:textFill>
        </w:rPr>
        <w:t>待质保期满后7个工作日内一次性付清。</w:t>
      </w:r>
      <w:r>
        <w:rPr>
          <w:rFonts w:hint="eastAsia" w:ascii="仿宋" w:hAnsi="仿宋" w:eastAsia="仿宋" w:cs="宋体"/>
          <w:color w:val="000000" w:themeColor="text1"/>
          <w:kern w:val="0"/>
          <w:sz w:val="24"/>
          <w14:textFill>
            <w14:solidFill>
              <w14:schemeClr w14:val="tx1"/>
            </w14:solidFill>
          </w14:textFill>
        </w:rPr>
        <w:t xml:space="preserve"> </w:t>
      </w:r>
    </w:p>
    <w:p>
      <w:pPr>
        <w:widowControl/>
        <w:snapToGrid w:val="0"/>
        <w:spacing w:line="360" w:lineRule="auto"/>
        <w:ind w:left="719" w:leftChars="228" w:hanging="240" w:hangingChars="100"/>
        <w:jc w:val="left"/>
        <w:rPr>
          <w:rFonts w:ascii="仿宋_GB2312" w:hAnsi="宋体" w:eastAsia="仿宋_GB2312" w:cs="Arial"/>
          <w:color w:val="000000" w:themeColor="text1"/>
          <w:kern w:val="0"/>
          <w:sz w:val="24"/>
          <w:szCs w:val="2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2.3 </w:t>
      </w:r>
      <w:r>
        <w:rPr>
          <w:rFonts w:hint="eastAsia" w:ascii="仿宋_GB2312" w:hAnsi="宋体" w:eastAsia="仿宋_GB2312" w:cs="Arial"/>
          <w:color w:val="000000" w:themeColor="text1"/>
          <w:kern w:val="0"/>
          <w:sz w:val="24"/>
          <w14:textFill>
            <w14:solidFill>
              <w14:schemeClr w14:val="tx1"/>
            </w14:solidFill>
          </w14:textFill>
        </w:rPr>
        <w:t>乙方在收到中标通知书5天内向甲方交纳</w:t>
      </w:r>
      <w:r>
        <w:rPr>
          <w:rFonts w:hint="eastAsia" w:ascii="仿宋_GB2312" w:hAnsi="宋体" w:eastAsia="仿宋_GB2312" w:cs="Arial"/>
          <w:color w:val="000000" w:themeColor="text1"/>
          <w:kern w:val="0"/>
          <w:sz w:val="24"/>
          <w:lang w:val="en-US" w:eastAsia="zh-CN"/>
          <w14:textFill>
            <w14:solidFill>
              <w14:schemeClr w14:val="tx1"/>
            </w14:solidFill>
          </w14:textFill>
        </w:rPr>
        <w:t>叁</w:t>
      </w:r>
      <w:r>
        <w:rPr>
          <w:rFonts w:hint="eastAsia" w:ascii="仿宋_GB2312" w:hAnsi="宋体" w:eastAsia="仿宋_GB2312" w:cs="Arial"/>
          <w:color w:val="000000" w:themeColor="text1"/>
          <w:kern w:val="0"/>
          <w:sz w:val="24"/>
          <w14:textFill>
            <w14:solidFill>
              <w14:schemeClr w14:val="tx1"/>
            </w14:solidFill>
          </w14:textFill>
        </w:rPr>
        <w:t>万元</w:t>
      </w:r>
      <w:r>
        <w:rPr>
          <w:rFonts w:hint="eastAsia" w:ascii="仿宋" w:hAnsi="仿宋" w:eastAsia="仿宋" w:cs="Arial"/>
          <w:bCs/>
          <w:color w:val="000000" w:themeColor="text1"/>
          <w:kern w:val="0"/>
          <w:sz w:val="24"/>
          <w:u w:val="single"/>
          <w14:textFill>
            <w14:solidFill>
              <w14:schemeClr w14:val="tx1"/>
            </w14:solidFill>
          </w14:textFill>
        </w:rPr>
        <w:t>（￥：</w:t>
      </w:r>
      <w:r>
        <w:rPr>
          <w:rFonts w:hint="eastAsia" w:ascii="仿宋_GB2312" w:hAnsi="宋体" w:eastAsia="仿宋_GB2312" w:cs="Arial"/>
          <w:color w:val="000000" w:themeColor="text1"/>
          <w:kern w:val="0"/>
          <w:sz w:val="24"/>
          <w:highlight w:val="none"/>
          <w:u w:val="single"/>
          <w:lang w:val="en-US" w:eastAsia="zh-CN"/>
          <w14:textFill>
            <w14:solidFill>
              <w14:schemeClr w14:val="tx1"/>
            </w14:solidFill>
          </w14:textFill>
        </w:rPr>
        <w:t>30000</w:t>
      </w:r>
      <w:r>
        <w:rPr>
          <w:rFonts w:hint="eastAsia" w:ascii="仿宋" w:hAnsi="仿宋" w:eastAsia="仿宋" w:cs="Arial"/>
          <w:bCs/>
          <w:color w:val="000000" w:themeColor="text1"/>
          <w:kern w:val="0"/>
          <w:sz w:val="24"/>
          <w:u w:val="single"/>
          <w14:textFill>
            <w14:solidFill>
              <w14:schemeClr w14:val="tx1"/>
            </w14:solidFill>
          </w14:textFill>
        </w:rPr>
        <w:t>元）</w:t>
      </w:r>
      <w:r>
        <w:rPr>
          <w:rFonts w:hint="eastAsia" w:ascii="仿宋_GB2312" w:hAnsi="宋体" w:eastAsia="仿宋_GB2312" w:cs="Arial"/>
          <w:color w:val="000000" w:themeColor="text1"/>
          <w:kern w:val="0"/>
          <w:sz w:val="24"/>
          <w14:textFill>
            <w14:solidFill>
              <w14:schemeClr w14:val="tx1"/>
            </w14:solidFill>
          </w14:textFill>
        </w:rPr>
        <w:t>履约保证金。</w:t>
      </w:r>
    </w:p>
    <w:p>
      <w:pPr>
        <w:widowControl/>
        <w:snapToGrid w:val="0"/>
        <w:spacing w:line="360" w:lineRule="auto"/>
        <w:ind w:firstLine="480" w:firstLineChars="200"/>
        <w:jc w:val="left"/>
        <w:rPr>
          <w:rFonts w:hint="eastAsia" w:ascii="仿宋_GB2312" w:hAnsi="宋体" w:eastAsia="仿宋_GB2312" w:cs="Arial"/>
          <w:color w:val="000000" w:themeColor="text1"/>
          <w:kern w:val="0"/>
          <w:sz w:val="24"/>
          <w14:textFill>
            <w14:solidFill>
              <w14:schemeClr w14:val="tx1"/>
            </w14:solidFill>
          </w14:textFill>
        </w:rPr>
      </w:pPr>
      <w:r>
        <w:rPr>
          <w:rFonts w:hint="eastAsia" w:ascii="仿宋_GB2312" w:hAnsi="宋体" w:eastAsia="仿宋_GB2312" w:cs="Arial"/>
          <w:color w:val="000000" w:themeColor="text1"/>
          <w:kern w:val="0"/>
          <w:sz w:val="24"/>
          <w14:textFill>
            <w14:solidFill>
              <w14:schemeClr w14:val="tx1"/>
            </w14:solidFill>
          </w14:textFill>
        </w:rPr>
        <w:t xml:space="preserve">2.4 </w:t>
      </w:r>
      <w:r>
        <w:rPr>
          <w:rFonts w:ascii="仿宋_GB2312" w:hAnsi="仿宋_GB2312" w:eastAsia="仿宋" w:cs="仿宋_GB2312"/>
          <w:color w:val="000000" w:themeColor="text1"/>
          <w:sz w:val="24"/>
          <w14:textFill>
            <w14:solidFill>
              <w14:schemeClr w14:val="tx1"/>
            </w14:solidFill>
          </w14:textFill>
        </w:rPr>
        <w:t>履约保证金</w:t>
      </w:r>
      <w:r>
        <w:rPr>
          <w:rFonts w:hint="eastAsia" w:ascii="仿宋_GB2312" w:hAnsi="仿宋_GB2312" w:eastAsia="仿宋" w:cs="仿宋_GB2312"/>
          <w:color w:val="000000" w:themeColor="text1"/>
          <w:sz w:val="24"/>
          <w14:textFill>
            <w14:solidFill>
              <w14:schemeClr w14:val="tx1"/>
            </w14:solidFill>
          </w14:textFill>
        </w:rPr>
        <w:t>在合同履约结束</w:t>
      </w:r>
      <w:r>
        <w:rPr>
          <w:rFonts w:ascii="仿宋_GB2312" w:hAnsi="仿宋_GB2312" w:eastAsia="仿宋" w:cs="仿宋_GB2312"/>
          <w:color w:val="000000" w:themeColor="text1"/>
          <w:sz w:val="24"/>
          <w14:textFill>
            <w14:solidFill>
              <w14:schemeClr w14:val="tx1"/>
            </w14:solidFill>
          </w14:textFill>
        </w:rPr>
        <w:t>后</w:t>
      </w:r>
      <w:r>
        <w:rPr>
          <w:rFonts w:hint="eastAsia" w:ascii="仿宋_GB2312" w:hAnsi="仿宋_GB2312" w:eastAsia="仿宋" w:cs="仿宋_GB2312"/>
          <w:color w:val="000000" w:themeColor="text1"/>
          <w:sz w:val="24"/>
          <w14:textFill>
            <w14:solidFill>
              <w14:schemeClr w14:val="tx1"/>
            </w14:solidFill>
          </w14:textFill>
        </w:rPr>
        <w:t>30</w:t>
      </w:r>
      <w:r>
        <w:rPr>
          <w:rFonts w:ascii="仿宋_GB2312" w:hAnsi="仿宋_GB2312" w:eastAsia="仿宋" w:cs="仿宋_GB2312"/>
          <w:color w:val="000000" w:themeColor="text1"/>
          <w:sz w:val="24"/>
          <w14:textFill>
            <w14:solidFill>
              <w14:schemeClr w14:val="tx1"/>
            </w14:solidFill>
          </w14:textFill>
        </w:rPr>
        <w:t>日内无息退还</w:t>
      </w:r>
      <w:r>
        <w:rPr>
          <w:rFonts w:hint="eastAsia" w:ascii="仿宋_GB2312" w:hAnsi="宋体" w:eastAsia="仿宋_GB2312" w:cs="Arial"/>
          <w:color w:val="000000" w:themeColor="text1"/>
          <w:kern w:val="0"/>
          <w:sz w:val="24"/>
          <w14:textFill>
            <w14:solidFill>
              <w14:schemeClr w14:val="tx1"/>
            </w14:solidFill>
          </w14:textFill>
        </w:rPr>
        <w:t>。</w:t>
      </w:r>
    </w:p>
    <w:p>
      <w:pPr>
        <w:widowControl/>
        <w:snapToGrid w:val="0"/>
        <w:spacing w:line="360" w:lineRule="auto"/>
        <w:ind w:firstLine="480" w:firstLineChars="200"/>
        <w:jc w:val="left"/>
        <w:rPr>
          <w:rFonts w:hint="eastAsia" w:ascii="仿宋_GB2312" w:hAnsi="仿宋_GB2312" w:eastAsia="仿宋" w:cs="仿宋_GB2312"/>
          <w:color w:val="000000" w:themeColor="text1"/>
          <w:sz w:val="24"/>
          <w14:textFill>
            <w14:solidFill>
              <w14:schemeClr w14:val="tx1"/>
            </w14:solidFill>
          </w14:textFill>
        </w:rPr>
      </w:pPr>
      <w:r>
        <w:rPr>
          <w:rFonts w:hint="eastAsia" w:ascii="仿宋_GB2312" w:hAnsi="仿宋_GB2312" w:eastAsia="仿宋" w:cs="仿宋_GB2312"/>
          <w:color w:val="000000" w:themeColor="text1"/>
          <w:sz w:val="24"/>
          <w14:textFill>
            <w14:solidFill>
              <w14:schemeClr w14:val="tx1"/>
            </w14:solidFill>
          </w14:textFill>
        </w:rPr>
        <w:t>2.5甲方在任何时候都有权从履约保证金中扣除因乙方违约而导致损失的金额或违约金。乙方应在接到扣除履约保证金通知后一周内补足所扣差额，以保证承包期间履约保证金的完整。</w:t>
      </w:r>
    </w:p>
    <w:p>
      <w:pPr>
        <w:widowControl/>
        <w:snapToGrid w:val="0"/>
        <w:spacing w:line="360" w:lineRule="auto"/>
        <w:ind w:firstLine="480" w:firstLineChars="200"/>
        <w:jc w:val="left"/>
        <w:rPr>
          <w:rFonts w:ascii="仿宋_GB2312" w:hAnsi="仿宋_GB2312" w:eastAsia="仿宋" w:cs="仿宋_GB2312"/>
          <w:color w:val="000000" w:themeColor="text1"/>
          <w:sz w:val="24"/>
          <w14:textFill>
            <w14:solidFill>
              <w14:schemeClr w14:val="tx1"/>
            </w14:solidFill>
          </w14:textFill>
        </w:rPr>
      </w:pPr>
      <w:r>
        <w:rPr>
          <w:rFonts w:hint="eastAsia" w:ascii="仿宋_GB2312" w:hAnsi="仿宋_GB2312" w:eastAsia="仿宋" w:cs="仿宋_GB2312"/>
          <w:color w:val="000000" w:themeColor="text1"/>
          <w:sz w:val="24"/>
          <w14:textFill>
            <w14:solidFill>
              <w14:schemeClr w14:val="tx1"/>
            </w14:solidFill>
          </w14:textFill>
        </w:rPr>
        <w:t>2.6合同履行期间，可能需提供其他</w:t>
      </w:r>
      <w:r>
        <w:rPr>
          <w:rFonts w:hint="eastAsia" w:ascii="仿宋_GB2312" w:hAnsi="仿宋_GB2312" w:eastAsia="仿宋" w:cs="仿宋_GB2312"/>
          <w:color w:val="000000" w:themeColor="text1"/>
          <w:sz w:val="24"/>
          <w:lang w:val="zh-CN"/>
          <w14:textFill>
            <w14:solidFill>
              <w14:schemeClr w14:val="tx1"/>
            </w14:solidFill>
          </w14:textFill>
        </w:rPr>
        <w:t>本清单</w:t>
      </w:r>
      <w:r>
        <w:rPr>
          <w:rFonts w:hint="eastAsia" w:ascii="仿宋_GB2312" w:hAnsi="仿宋_GB2312" w:eastAsia="仿宋" w:cs="仿宋_GB2312"/>
          <w:color w:val="000000" w:themeColor="text1"/>
          <w:sz w:val="24"/>
          <w14:textFill>
            <w14:solidFill>
              <w14:schemeClr w14:val="tx1"/>
            </w14:solidFill>
          </w14:textFill>
        </w:rPr>
        <w:t>中未列明的同一系列产品，乙方不得拒绝。单价经双方协商一致后且不得高于市场价，结算时按中标</w:t>
      </w:r>
      <w:r>
        <w:rPr>
          <w:rFonts w:hint="eastAsia" w:ascii="仿宋_GB2312" w:hAnsi="仿宋_GB2312" w:eastAsia="仿宋" w:cs="仿宋_GB2312"/>
          <w:color w:val="000000" w:themeColor="text1"/>
          <w:sz w:val="24"/>
          <w14:textFill>
            <w14:solidFill>
              <w14:schemeClr w14:val="tx1"/>
            </w14:solidFill>
          </w14:textFill>
        </w:rPr>
        <w:t>折扣</w:t>
      </w:r>
      <w:r>
        <w:rPr>
          <w:rFonts w:hint="eastAsia" w:ascii="仿宋_GB2312" w:hAnsi="仿宋_GB2312" w:eastAsia="仿宋" w:cs="仿宋_GB2312"/>
          <w:color w:val="000000" w:themeColor="text1"/>
          <w:sz w:val="24"/>
          <w:lang w:val="en-US" w:eastAsia="zh-CN"/>
          <w14:textFill>
            <w14:solidFill>
              <w14:schemeClr w14:val="tx1"/>
            </w14:solidFill>
          </w14:textFill>
        </w:rPr>
        <w:t>率</w:t>
      </w:r>
      <w:r>
        <w:rPr>
          <w:rFonts w:hint="eastAsia" w:ascii="仿宋_GB2312" w:hAnsi="仿宋_GB2312" w:eastAsia="仿宋" w:cs="仿宋_GB2312"/>
          <w:color w:val="000000" w:themeColor="text1"/>
          <w:sz w:val="24"/>
          <w14:textFill>
            <w14:solidFill>
              <w14:schemeClr w14:val="tx1"/>
            </w14:solidFill>
          </w14:textFill>
        </w:rPr>
        <w:t>计算货款。</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三、技术资料</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3.1 乙方应按招标文件规定的要求、时间向甲方提供使用货物的有关技术资料。</w:t>
      </w:r>
    </w:p>
    <w:p>
      <w:pPr>
        <w:widowControl/>
        <w:snapToGrid w:val="0"/>
        <w:spacing w:line="360" w:lineRule="auto"/>
        <w:ind w:firstLine="480" w:firstLineChars="200"/>
        <w:jc w:val="lef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
        <w:ind w:firstLine="480" w:firstLineChars="200"/>
        <w:rPr>
          <w:rFonts w:hint="default" w:eastAsia="仿宋"/>
          <w:color w:val="000000" w:themeColor="text1"/>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3.3中标后，乙方须按照投标文件中提供的参与打分项中所有承诺的事宜来履行合同。</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四、知识产权</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4.1 乙方保证所提供的货物或其任何一部分均不侵犯任何第三方的知识产权</w:t>
      </w:r>
      <w:r>
        <w:rPr>
          <w:rFonts w:hint="eastAsia" w:ascii="仿宋" w:hAnsi="仿宋" w:eastAsia="仿宋" w:cs="宋体"/>
          <w:bCs/>
          <w:color w:val="000000" w:themeColor="text1"/>
          <w:kern w:val="0"/>
          <w:sz w:val="24"/>
          <w14:textFill>
            <w14:solidFill>
              <w14:schemeClr w14:val="tx1"/>
            </w14:solidFill>
          </w14:textFill>
        </w:rPr>
        <w:t>。</w:t>
      </w:r>
    </w:p>
    <w:p>
      <w:pPr>
        <w:widowControl/>
        <w:snapToGrid w:val="0"/>
        <w:spacing w:line="360" w:lineRule="auto"/>
        <w:ind w:firstLine="482"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五、转包或分包</w:t>
      </w:r>
    </w:p>
    <w:p>
      <w:pPr>
        <w:widowControl/>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5.1本合同范围的货物，应由乙方直接供应，不得转让或分包给他人供应。</w:t>
      </w:r>
    </w:p>
    <w:p>
      <w:pPr>
        <w:widowControl/>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5.2如有转让或分包行为，甲方有权解除合同并追究其相应法律责任。</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六、交货时间、交货方式、交货地点及服务期限</w:t>
      </w:r>
    </w:p>
    <w:p>
      <w:pPr>
        <w:widowControl/>
        <w:snapToGrid w:val="0"/>
        <w:spacing w:line="360" w:lineRule="auto"/>
        <w:ind w:firstLine="480" w:firstLineChars="200"/>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6.1 交货时间：</w:t>
      </w:r>
      <w:r>
        <w:rPr>
          <w:rFonts w:hint="eastAsia" w:ascii="仿宋" w:hAnsi="仿宋" w:eastAsia="仿宋" w:cs="仿宋"/>
          <w:color w:val="000000" w:themeColor="text1"/>
          <w:sz w:val="24"/>
          <w14:textFill>
            <w14:solidFill>
              <w14:schemeClr w14:val="tx1"/>
            </w14:solidFill>
          </w14:textFill>
        </w:rPr>
        <w:t>接到采购人通知后</w:t>
      </w:r>
      <w:r>
        <w:rPr>
          <w:rFonts w:hint="eastAsia" w:ascii="仿宋" w:hAnsi="仿宋" w:eastAsia="仿宋" w:cs="仿宋"/>
          <w:color w:val="000000" w:themeColor="text1"/>
          <w:sz w:val="24"/>
          <w:lang w:val="en-US" w:eastAsia="zh-CN"/>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天内完成交货</w:t>
      </w:r>
    </w:p>
    <w:p>
      <w:pPr>
        <w:widowControl/>
        <w:snapToGrid w:val="0"/>
        <w:spacing w:line="360" w:lineRule="auto"/>
        <w:ind w:firstLine="480" w:firstLineChars="200"/>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6.2 交货方式：目的地交货</w:t>
      </w:r>
    </w:p>
    <w:p>
      <w:pPr>
        <w:widowControl/>
        <w:snapToGrid w:val="0"/>
        <w:spacing w:line="360" w:lineRule="auto"/>
        <w:ind w:firstLine="480" w:firstLineChars="200"/>
        <w:jc w:val="left"/>
        <w:rPr>
          <w:rFonts w:hint="eastAsia"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6.3 交货地点：采购人指定地点</w:t>
      </w:r>
    </w:p>
    <w:p>
      <w:pPr>
        <w:widowControl/>
        <w:snapToGrid w:val="0"/>
        <w:spacing w:line="360" w:lineRule="auto"/>
        <w:ind w:left="239" w:leftChars="114" w:firstLine="240" w:firstLineChars="1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6.4 服务期限：本合同时间为</w:t>
      </w:r>
      <w:r>
        <w:rPr>
          <w:rFonts w:hint="eastAsia" w:ascii="仿宋" w:hAnsi="仿宋" w:eastAsia="仿宋" w:cs="宋体"/>
          <w:bCs/>
          <w:color w:val="000000" w:themeColor="text1"/>
          <w:kern w:val="0"/>
          <w:sz w:val="24"/>
          <w:u w:val="single"/>
          <w14:textFill>
            <w14:solidFill>
              <w14:schemeClr w14:val="tx1"/>
            </w14:solidFill>
          </w14:textFill>
        </w:rPr>
        <w:t xml:space="preserve">    年   月   日至    年    月     日</w:t>
      </w:r>
      <w:r>
        <w:rPr>
          <w:rFonts w:hint="eastAsia" w:ascii="宋体" w:hAnsi="宋体"/>
          <w:color w:val="000000" w:themeColor="text1"/>
          <w:szCs w:val="21"/>
          <w14:textFill>
            <w14:solidFill>
              <w14:schemeClr w14:val="tx1"/>
            </w14:solidFill>
          </w14:textFill>
        </w:rPr>
        <w:t>；</w:t>
      </w:r>
      <w:r>
        <w:rPr>
          <w:rFonts w:hint="eastAsia" w:ascii="仿宋" w:hAnsi="仿宋" w:eastAsia="仿宋" w:cs="宋体"/>
          <w:bCs/>
          <w:color w:val="000000" w:themeColor="text1"/>
          <w:kern w:val="0"/>
          <w:sz w:val="24"/>
          <w14:textFill>
            <w14:solidFill>
              <w14:schemeClr w14:val="tx1"/>
            </w14:solidFill>
          </w14:textFill>
        </w:rPr>
        <w:t>双方约定：</w:t>
      </w:r>
      <w:r>
        <w:rPr>
          <w:rFonts w:hint="eastAsia" w:ascii="Calibri" w:hAnsi="Calibri" w:eastAsia="仿宋" w:cs="Calibri"/>
          <w:bCs/>
          <w:color w:val="000000" w:themeColor="text1"/>
          <w:kern w:val="0"/>
          <w:sz w:val="24"/>
          <w14:textFill>
            <w14:solidFill>
              <w14:schemeClr w14:val="tx1"/>
            </w14:solidFill>
          </w14:textFill>
        </w:rPr>
        <w:t>①合同服务期内，供货价款一经达到合同总价款则采购合同自动终止。②合同服务时间到期，若供货价款达到合同总价款的60%及以上的，本采购合同终止执行；③合同服务时间到期，若供货价款未达合同总价款的60%，经双方协商一致，可延长半年服务时间。延长服务期间，若供货价款达到合同总价款，则延长期自动终止；延长服务时间到期，采购合同终止执行</w:t>
      </w:r>
      <w:r>
        <w:rPr>
          <w:rFonts w:hint="eastAsia" w:ascii="仿宋" w:hAnsi="仿宋" w:eastAsia="仿宋" w:cs="仿宋"/>
          <w:color w:val="000000" w:themeColor="text1"/>
          <w:kern w:val="0"/>
          <w:sz w:val="24"/>
          <w14:textFill>
            <w14:solidFill>
              <w14:schemeClr w14:val="tx1"/>
            </w14:solidFill>
          </w14:textFill>
        </w:rPr>
        <w:t>。</w:t>
      </w:r>
    </w:p>
    <w:p>
      <w:pPr>
        <w:pStyle w:val="2"/>
        <w:ind w:firstLine="480" w:firstLineChars="200"/>
        <w:rPr>
          <w:rFonts w:hint="default"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6.5</w:t>
      </w:r>
      <w:r>
        <w:rPr>
          <w:rFonts w:hint="eastAsia" w:ascii="仿宋" w:hAnsi="仿宋" w:eastAsia="仿宋" w:cs="宋体"/>
          <w:bCs/>
          <w:color w:val="000000" w:themeColor="text1"/>
          <w:kern w:val="0"/>
          <w:sz w:val="24"/>
          <w:highlight w:val="none"/>
          <w:lang w:eastAsia="zh-CN"/>
          <w14:textFill>
            <w14:solidFill>
              <w14:schemeClr w14:val="tx1"/>
            </w14:solidFill>
          </w14:textFill>
        </w:rPr>
        <w:t>甲方</w:t>
      </w:r>
      <w:r>
        <w:rPr>
          <w:rFonts w:hint="eastAsia" w:ascii="仿宋" w:hAnsi="仿宋" w:eastAsia="仿宋" w:cs="宋体"/>
          <w:bCs/>
          <w:color w:val="000000" w:themeColor="text1"/>
          <w:kern w:val="0"/>
          <w:sz w:val="24"/>
          <w:highlight w:val="none"/>
          <w14:textFill>
            <w14:solidFill>
              <w14:schemeClr w14:val="tx1"/>
            </w14:solidFill>
          </w14:textFill>
        </w:rPr>
        <w:t>将对</w:t>
      </w:r>
      <w:r>
        <w:rPr>
          <w:rFonts w:hint="eastAsia" w:ascii="仿宋" w:hAnsi="仿宋" w:eastAsia="仿宋" w:cs="宋体"/>
          <w:bCs/>
          <w:color w:val="000000" w:themeColor="text1"/>
          <w:kern w:val="0"/>
          <w:sz w:val="24"/>
          <w:highlight w:val="none"/>
          <w:lang w:eastAsia="zh-CN"/>
          <w14:textFill>
            <w14:solidFill>
              <w14:schemeClr w14:val="tx1"/>
            </w14:solidFill>
          </w14:textFill>
        </w:rPr>
        <w:t>乙方</w:t>
      </w:r>
      <w:r>
        <w:rPr>
          <w:rFonts w:hint="eastAsia" w:ascii="仿宋" w:hAnsi="仿宋" w:eastAsia="仿宋" w:cs="宋体"/>
          <w:bCs/>
          <w:color w:val="000000" w:themeColor="text1"/>
          <w:kern w:val="0"/>
          <w:sz w:val="24"/>
          <w:highlight w:val="none"/>
          <w14:textFill>
            <w14:solidFill>
              <w14:schemeClr w14:val="tx1"/>
            </w14:solidFill>
          </w14:textFill>
        </w:rPr>
        <w:t>的所有样品进行封存，作为验收的依据。</w:t>
      </w:r>
    </w:p>
    <w:p>
      <w:pPr>
        <w:widowControl/>
        <w:snapToGrid w:val="0"/>
        <w:spacing w:line="360" w:lineRule="auto"/>
        <w:ind w:left="239" w:leftChars="114" w:firstLine="240" w:firstLineChars="100"/>
        <w:jc w:val="left"/>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6.6</w:t>
      </w:r>
      <w:r>
        <w:rPr>
          <w:rFonts w:hint="eastAsia" w:ascii="仿宋" w:hAnsi="仿宋" w:eastAsia="仿宋" w:cs="宋体"/>
          <w:bCs/>
          <w:color w:val="000000" w:themeColor="text1"/>
          <w:kern w:val="0"/>
          <w:sz w:val="24"/>
          <w:highlight w:val="none"/>
          <w:lang w:eastAsia="zh-CN"/>
          <w14:textFill>
            <w14:solidFill>
              <w14:schemeClr w14:val="tx1"/>
            </w14:solidFill>
          </w14:textFill>
        </w:rPr>
        <w:t>乙方在供货时提供</w:t>
      </w:r>
      <w:r>
        <w:rPr>
          <w:rFonts w:hint="eastAsia" w:ascii="仿宋" w:hAnsi="仿宋" w:eastAsia="仿宋" w:cs="宋体"/>
          <w:bCs/>
          <w:color w:val="000000" w:themeColor="text1"/>
          <w:kern w:val="0"/>
          <w:sz w:val="24"/>
          <w:highlight w:val="none"/>
          <w:lang w:val="en-US" w:eastAsia="zh-CN"/>
          <w14:textFill>
            <w14:solidFill>
              <w14:schemeClr w14:val="tx1"/>
            </w14:solidFill>
          </w14:textFill>
        </w:rPr>
        <w:t>的</w:t>
      </w:r>
      <w:r>
        <w:rPr>
          <w:rFonts w:hint="eastAsia" w:ascii="仿宋" w:hAnsi="仿宋" w:eastAsia="仿宋" w:cs="宋体"/>
          <w:bCs/>
          <w:color w:val="000000" w:themeColor="text1"/>
          <w:kern w:val="0"/>
          <w:sz w:val="24"/>
          <w:highlight w:val="none"/>
          <w14:textFill>
            <w14:solidFill>
              <w14:schemeClr w14:val="tx1"/>
            </w14:solidFill>
          </w14:textFill>
        </w:rPr>
        <w:t>智能水表（无线）</w:t>
      </w:r>
      <w:r>
        <w:rPr>
          <w:rFonts w:hint="eastAsia" w:ascii="仿宋" w:hAnsi="仿宋" w:eastAsia="仿宋" w:cs="宋体"/>
          <w:bCs/>
          <w:color w:val="000000" w:themeColor="text1"/>
          <w:kern w:val="0"/>
          <w:sz w:val="24"/>
          <w:highlight w:val="none"/>
          <w:lang w:eastAsia="zh-CN"/>
          <w14:textFill>
            <w14:solidFill>
              <w14:schemeClr w14:val="tx1"/>
            </w14:solidFill>
          </w14:textFill>
        </w:rPr>
        <w:t>表壳材质必须与投标时承诺的</w:t>
      </w:r>
      <w:r>
        <w:rPr>
          <w:rFonts w:hint="eastAsia" w:ascii="仿宋" w:hAnsi="仿宋" w:eastAsia="仿宋" w:cs="宋体"/>
          <w:bCs/>
          <w:color w:val="000000" w:themeColor="text1"/>
          <w:kern w:val="0"/>
          <w:sz w:val="24"/>
          <w:highlight w:val="none"/>
          <w:lang w:val="en-US" w:eastAsia="zh-CN"/>
          <w14:textFill>
            <w14:solidFill>
              <w14:schemeClr w14:val="tx1"/>
            </w14:solidFill>
          </w14:textFill>
        </w:rPr>
        <w:t>DN20</w:t>
      </w:r>
      <w:r>
        <w:rPr>
          <w:rFonts w:hint="eastAsia" w:ascii="仿宋" w:hAnsi="仿宋" w:eastAsia="仿宋" w:cs="宋体"/>
          <w:bCs/>
          <w:color w:val="000000" w:themeColor="text1"/>
          <w:kern w:val="0"/>
          <w:sz w:val="24"/>
          <w:highlight w:val="none"/>
          <w:lang w:eastAsia="zh-CN"/>
          <w14:textFill>
            <w14:solidFill>
              <w14:schemeClr w14:val="tx1"/>
            </w14:solidFill>
          </w14:textFill>
        </w:rPr>
        <w:t>样品的表壳材质一致。</w:t>
      </w:r>
    </w:p>
    <w:p>
      <w:pPr>
        <w:pStyle w:val="3"/>
        <w:ind w:firstLine="562" w:firstLineChars="20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 xml:space="preserve">6.7 </w:t>
      </w:r>
      <w:r>
        <w:rPr>
          <w:rFonts w:hint="eastAsia" w:ascii="仿宋" w:hAnsi="仿宋" w:eastAsia="仿宋" w:cs="仿宋"/>
          <w:b/>
          <w:bCs/>
          <w:color w:val="000000" w:themeColor="text1"/>
          <w:spacing w:val="20"/>
          <w:kern w:val="0"/>
          <w:sz w:val="24"/>
          <w:szCs w:val="24"/>
          <w:lang w:val="en-US" w:eastAsia="zh-CN" w:bidi="ar-SA"/>
          <w14:textFill>
            <w14:solidFill>
              <w14:schemeClr w14:val="tx1"/>
            </w14:solidFill>
          </w14:textFill>
        </w:rPr>
        <w:t>所有提供的货物必须符合GB/T 5750.6-2006 《生活饮用水标准检验方法 金属指标》。</w:t>
      </w:r>
    </w:p>
    <w:p>
      <w:pPr>
        <w:widowControl/>
        <w:snapToGrid w:val="0"/>
        <w:spacing w:line="360" w:lineRule="auto"/>
        <w:ind w:firstLine="482" w:firstLineChars="200"/>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七、货物检验及约定事项：</w:t>
      </w:r>
    </w:p>
    <w:p>
      <w:pPr>
        <w:widowControl/>
        <w:snapToGrid w:val="0"/>
        <w:spacing w:line="360" w:lineRule="auto"/>
        <w:ind w:firstLine="480" w:firstLineChars="200"/>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7.1若有必要，交货时甲方将会同天台水务集团企管部、监管办、审计部等有关部门以及聘请的技术顾问履行监督责任。合同货物从验收合格次日起7天内，出现非甲方人为因素造成的无法排除的故障，由乙方予以调换。</w:t>
      </w:r>
    </w:p>
    <w:p>
      <w:pPr>
        <w:widowControl/>
        <w:snapToGrid w:val="0"/>
        <w:spacing w:line="360" w:lineRule="auto"/>
        <w:ind w:firstLine="480" w:firstLineChars="200"/>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7.2甲方认为有必要对产品的生产、出厂等过程中需派人到生产厂家进行监制或在货物发货前进行预验收，乙方应给于积极配合。</w:t>
      </w:r>
    </w:p>
    <w:p>
      <w:pPr>
        <w:widowControl/>
        <w:snapToGrid w:val="0"/>
        <w:spacing w:line="360" w:lineRule="auto"/>
        <w:ind w:firstLine="480" w:firstLineChars="200"/>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7.3甲方若对产品质量有怀疑或该批次货物安装后因质量问题损坏较多时，可随机取样送国家质量监督检验中心</w:t>
      </w:r>
      <w:r>
        <w:rPr>
          <w:rFonts w:hint="eastAsia" w:ascii="仿宋" w:hAnsi="仿宋" w:eastAsia="仿宋" w:cs="宋体"/>
          <w:b/>
          <w:color w:val="000000" w:themeColor="text1"/>
          <w:kern w:val="0"/>
          <w:sz w:val="24"/>
          <w14:textFill>
            <w14:solidFill>
              <w14:schemeClr w14:val="tx1"/>
            </w14:solidFill>
          </w14:textFill>
        </w:rPr>
        <w:t>或具有相应资质</w:t>
      </w:r>
      <w:r>
        <w:rPr>
          <w:rFonts w:hint="eastAsia" w:ascii="仿宋" w:hAnsi="仿宋" w:eastAsia="仿宋" w:cs="宋体"/>
          <w:bCs/>
          <w:color w:val="000000" w:themeColor="text1"/>
          <w:kern w:val="0"/>
          <w:sz w:val="24"/>
          <w14:textFill>
            <w14:solidFill>
              <w14:schemeClr w14:val="tx1"/>
            </w14:solidFill>
          </w14:textFill>
        </w:rPr>
        <w:t>的单位检测。</w:t>
      </w:r>
      <w:r>
        <w:rPr>
          <w:rFonts w:hint="eastAsia" w:ascii="仿宋" w:hAnsi="仿宋" w:eastAsia="仿宋" w:cs="宋体"/>
          <w:b/>
          <w:color w:val="000000" w:themeColor="text1"/>
          <w:kern w:val="0"/>
          <w:sz w:val="24"/>
          <w14:textFill>
            <w14:solidFill>
              <w14:schemeClr w14:val="tx1"/>
            </w14:solidFill>
          </w14:textFill>
        </w:rPr>
        <w:t>所涉及的所有费用（包括检验费用、路途运输等）均由乙方承担。</w:t>
      </w:r>
      <w:r>
        <w:rPr>
          <w:rFonts w:hint="eastAsia" w:ascii="仿宋" w:hAnsi="仿宋" w:eastAsia="仿宋" w:cs="宋体"/>
          <w:bCs/>
          <w:color w:val="000000" w:themeColor="text1"/>
          <w:kern w:val="0"/>
          <w:sz w:val="24"/>
          <w14:textFill>
            <w14:solidFill>
              <w14:schemeClr w14:val="tx1"/>
            </w14:solidFill>
          </w14:textFill>
        </w:rPr>
        <w:t>如检测不合格，乙方承担相应的法律责任。</w:t>
      </w:r>
    </w:p>
    <w:p>
      <w:pPr>
        <w:widowControl/>
        <w:snapToGrid w:val="0"/>
        <w:spacing w:line="360" w:lineRule="auto"/>
        <w:ind w:firstLine="482" w:firstLineChars="200"/>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具体约定事项如下：</w:t>
      </w:r>
    </w:p>
    <w:p>
      <w:pPr>
        <w:widowControl/>
        <w:snapToGrid w:val="0"/>
        <w:spacing w:line="360" w:lineRule="auto"/>
        <w:ind w:firstLine="482" w:firstLineChars="200"/>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①甲方要做好各批次货物的保管、登记，并做好随机抽样送检工作。甲方可以组织货物质量送检工作，送检时应会同乙方、及天台水务集团相关部室共同参与，并做好记录。（抽检合格的情况下一般不再抽检，但保留多次抽检的权利）若遇已安装货物因质量问题损坏较多时，可适当增加送检次数。</w:t>
      </w:r>
    </w:p>
    <w:p>
      <w:pPr>
        <w:widowControl/>
        <w:snapToGrid w:val="0"/>
        <w:spacing w:line="360" w:lineRule="auto"/>
        <w:ind w:firstLine="482" w:firstLineChars="200"/>
        <w:jc w:val="left"/>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②如果第一次抽检，检验质量不合格，乙方没有异议的，则认定乙方提供的产品质量不合格；如果乙方对第一次抽检结果有异议的，甲方可从仓库保存的货物中随机抽样提取货物进行第二次检验。如果连续二次检验质量不合格，则认乙方提供的产品质量不合格。</w:t>
      </w:r>
    </w:p>
    <w:p>
      <w:pPr>
        <w:widowControl/>
        <w:snapToGrid w:val="0"/>
        <w:spacing w:line="360" w:lineRule="auto"/>
        <w:ind w:firstLine="480" w:firstLineChars="200"/>
        <w:jc w:val="left"/>
        <w:rPr>
          <w:rFonts w:ascii="仿宋" w:hAnsi="仿宋" w:eastAsia="仿宋" w:cs="宋体"/>
          <w:bCs/>
          <w:color w:val="000000" w:themeColor="text1"/>
          <w:kern w:val="0"/>
          <w:sz w:val="24"/>
          <w14:textFill>
            <w14:solidFill>
              <w14:schemeClr w14:val="tx1"/>
            </w14:solidFill>
          </w14:textFill>
        </w:rPr>
      </w:pPr>
      <w:r>
        <w:rPr>
          <w:rFonts w:hint="eastAsia" w:ascii="仿宋" w:hAnsi="仿宋" w:eastAsia="仿宋" w:cs="宋体"/>
          <w:bCs/>
          <w:color w:val="000000" w:themeColor="text1"/>
          <w:kern w:val="0"/>
          <w:sz w:val="24"/>
          <w14:textFill>
            <w14:solidFill>
              <w14:schemeClr w14:val="tx1"/>
            </w14:solidFill>
          </w14:textFill>
        </w:rPr>
        <w:t>八、货物包装、发运及运输</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8.1 乙方应在货物发运前对其进行满足运输距离、防潮、防震、防锈、防破损和装卸等要求进行包装，以保证货物安全运达甲方指定地点。</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8.2 使用说明书、质量检验证明书、随配附件和工具以及清单一并附于货物内。</w:t>
      </w:r>
    </w:p>
    <w:p>
      <w:pPr>
        <w:widowControl/>
        <w:snapToGrid w:val="0"/>
        <w:spacing w:line="360" w:lineRule="auto"/>
        <w:ind w:firstLine="468" w:firstLineChars="200"/>
        <w:jc w:val="left"/>
        <w:rPr>
          <w:rFonts w:ascii="仿宋" w:hAnsi="仿宋" w:eastAsia="仿宋" w:cs="宋体"/>
          <w:color w:val="000000" w:themeColor="text1"/>
          <w:spacing w:val="-3"/>
          <w:kern w:val="0"/>
          <w:sz w:val="14"/>
          <w:szCs w:val="14"/>
          <w14:textFill>
            <w14:solidFill>
              <w14:schemeClr w14:val="tx1"/>
            </w14:solidFill>
          </w14:textFill>
        </w:rPr>
      </w:pPr>
      <w:r>
        <w:rPr>
          <w:rFonts w:hint="eastAsia" w:ascii="仿宋" w:hAnsi="仿宋" w:eastAsia="仿宋" w:cs="宋体"/>
          <w:color w:val="000000" w:themeColor="text1"/>
          <w:spacing w:val="-3"/>
          <w:kern w:val="0"/>
          <w:sz w:val="24"/>
          <w14:textFill>
            <w14:solidFill>
              <w14:schemeClr w14:val="tx1"/>
            </w14:solidFill>
          </w14:textFill>
        </w:rPr>
        <w:t>8.3 乙方在货物发运手续办理完毕后</w:t>
      </w:r>
      <w:r>
        <w:rPr>
          <w:rFonts w:hint="eastAsia" w:ascii="仿宋" w:hAnsi="仿宋" w:eastAsia="仿宋" w:cs="宋体"/>
          <w:color w:val="000000" w:themeColor="text1"/>
          <w:spacing w:val="-3"/>
          <w:kern w:val="0"/>
          <w:sz w:val="24"/>
          <w:u w:val="single"/>
          <w14:textFill>
            <w14:solidFill>
              <w14:schemeClr w14:val="tx1"/>
            </w14:solidFill>
          </w14:textFill>
        </w:rPr>
        <w:t xml:space="preserve">  </w:t>
      </w:r>
      <w:r>
        <w:rPr>
          <w:rFonts w:hint="eastAsia" w:ascii="仿宋" w:hAnsi="仿宋" w:eastAsia="仿宋" w:cs="宋体"/>
          <w:color w:val="000000" w:themeColor="text1"/>
          <w:spacing w:val="-3"/>
          <w:kern w:val="0"/>
          <w:sz w:val="24"/>
          <w14:textFill>
            <w14:solidFill>
              <w14:schemeClr w14:val="tx1"/>
            </w14:solidFill>
          </w14:textFill>
        </w:rPr>
        <w:t>小时内或货到甲方</w:t>
      </w:r>
      <w:r>
        <w:rPr>
          <w:rFonts w:hint="eastAsia" w:ascii="仿宋" w:hAnsi="仿宋" w:eastAsia="仿宋" w:cs="宋体"/>
          <w:color w:val="000000" w:themeColor="text1"/>
          <w:spacing w:val="-3"/>
          <w:kern w:val="0"/>
          <w:sz w:val="24"/>
          <w:u w:val="single"/>
          <w14:textFill>
            <w14:solidFill>
              <w14:schemeClr w14:val="tx1"/>
            </w14:solidFill>
          </w14:textFill>
        </w:rPr>
        <w:t xml:space="preserve">  </w:t>
      </w:r>
      <w:r>
        <w:rPr>
          <w:rFonts w:hint="eastAsia" w:ascii="仿宋" w:hAnsi="仿宋" w:eastAsia="仿宋" w:cs="宋体"/>
          <w:color w:val="000000" w:themeColor="text1"/>
          <w:spacing w:val="-3"/>
          <w:kern w:val="0"/>
          <w:sz w:val="24"/>
          <w14:textFill>
            <w14:solidFill>
              <w14:schemeClr w14:val="tx1"/>
            </w14:solidFill>
          </w14:textFill>
        </w:rPr>
        <w:t>小时前通知甲方，以准备接货。</w:t>
      </w:r>
    </w:p>
    <w:p>
      <w:pPr>
        <w:widowControl/>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8.4 货物在交付甲方前发生的风险均由乙方负责。</w:t>
      </w:r>
    </w:p>
    <w:p>
      <w:pPr>
        <w:widowControl/>
        <w:snapToGrid w:val="0"/>
        <w:spacing w:line="360" w:lineRule="auto"/>
        <w:ind w:firstLine="468" w:firstLineChars="200"/>
        <w:jc w:val="left"/>
        <w:rPr>
          <w:rFonts w:ascii="仿宋" w:hAnsi="仿宋" w:eastAsia="仿宋" w:cs="宋体"/>
          <w:color w:val="000000" w:themeColor="text1"/>
          <w:spacing w:val="-3"/>
          <w:kern w:val="0"/>
          <w:sz w:val="24"/>
          <w14:textFill>
            <w14:solidFill>
              <w14:schemeClr w14:val="tx1"/>
            </w14:solidFill>
          </w14:textFill>
        </w:rPr>
      </w:pPr>
      <w:r>
        <w:rPr>
          <w:rFonts w:hint="eastAsia" w:ascii="仿宋" w:hAnsi="仿宋" w:eastAsia="仿宋" w:cs="宋体"/>
          <w:color w:val="000000" w:themeColor="text1"/>
          <w:spacing w:val="-3"/>
          <w:kern w:val="0"/>
          <w:sz w:val="24"/>
          <w14:textFill>
            <w14:solidFill>
              <w14:schemeClr w14:val="tx1"/>
            </w14:solidFill>
          </w14:textFill>
        </w:rPr>
        <w:t>8.5 货物的运输及运输保险费、二次搬运检验费、货到卸车费均由乙方承担。</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九、调试和验收</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9.1 甲方对乙方提交的货物依据招标文件的技术规格要求和国家有关质量标准在</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个工作日内进行现场初步验收，外观、说明书符合招标文件技术要求的，给予签收，初步验收不合格的不予签收。</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9.2 乙方交货前应对产品作出全面检查和对验收文件进行整理，并列出清单，作为甲方收货验收和使用的技术条件依据，检验的结果应随货物交付甲方。</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9.3 乙方提供的货物在使用前如需进行调试的，乙方负责免费指导安装并培训甲方的使用操作人员，以达到能够使用货物，并符合技术要求，甲方才做最终验收。</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9.4 对技术复杂的货物，乙方应请国家认可的专业检测机构参与初步验收及最终验收，并由其出具质量检测报告。</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9.5 验收时乙方必须在现场，验收完毕后作出验收结果报告；验收费用由乙方负责。</w:t>
      </w:r>
    </w:p>
    <w:p>
      <w:pPr>
        <w:widowControl/>
        <w:snapToGrid w:val="0"/>
        <w:spacing w:line="360" w:lineRule="auto"/>
        <w:ind w:firstLine="482"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十、税费承担</w:t>
      </w:r>
    </w:p>
    <w:p>
      <w:pPr>
        <w:widowControl/>
        <w:snapToGrid w:val="0"/>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10.1 本合同履行中相关的一切税费均由乙方承担。</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十一、质保期和售后服务</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11.1 </w:t>
      </w:r>
      <w:r>
        <w:rPr>
          <w:rFonts w:hint="eastAsia" w:ascii="仿宋" w:hAnsi="仿宋" w:eastAsia="仿宋" w:cs="宋体"/>
          <w:b/>
          <w:color w:val="000000" w:themeColor="text1"/>
          <w:kern w:val="0"/>
          <w:sz w:val="24"/>
          <w14:textFill>
            <w14:solidFill>
              <w14:schemeClr w14:val="tx1"/>
            </w14:solidFill>
          </w14:textFill>
        </w:rPr>
        <w:t>质保期</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在货到仓库（工地）验收合格后起算</w:t>
      </w:r>
      <w:r>
        <w:rPr>
          <w:rFonts w:hint="eastAsia" w:ascii="仿宋" w:hAnsi="仿宋" w:eastAsia="仿宋" w:cs="宋体"/>
          <w:color w:val="000000" w:themeColor="text1"/>
          <w:kern w:val="0"/>
          <w:sz w:val="24"/>
          <w14:textFill>
            <w14:solidFill>
              <w14:schemeClr w14:val="tx1"/>
            </w14:solidFill>
          </w14:textFill>
        </w:rPr>
        <w:t>）。</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11.2 乙方提供的货物存在质量问题，或者达不到技术要求的，根据实际情况，甲方有权选择以下办法处理：</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□⑴更换：由乙方承担所发生的全部费用。</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□⑵贬值处理：由甲乙双方合议定价。</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□⑶退货处理：乙方应退还甲方支付的合同款，同时应承担该货物的直接费用（运输、保险、检验、货款利息及银行手续费等）。</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11.3 如在使用过程中发生质量问题，乙方在接到甲方通知后在</w:t>
      </w:r>
      <w:r>
        <w:rPr>
          <w:rFonts w:hint="eastAsia" w:ascii="仿宋" w:hAnsi="仿宋" w:eastAsia="仿宋" w:cs="宋体"/>
          <w:color w:val="000000" w:themeColor="text1"/>
          <w:kern w:val="0"/>
          <w:sz w:val="24"/>
          <w:u w:val="single"/>
          <w14:textFill>
            <w14:solidFill>
              <w14:schemeClr w14:val="tx1"/>
            </w14:solidFill>
          </w14:textFill>
        </w:rPr>
        <w:t xml:space="preserve">   </w:t>
      </w:r>
      <w:r>
        <w:rPr>
          <w:rFonts w:hint="eastAsia" w:ascii="仿宋" w:hAnsi="仿宋" w:eastAsia="仿宋" w:cs="宋体"/>
          <w:color w:val="000000" w:themeColor="text1"/>
          <w:kern w:val="0"/>
          <w:sz w:val="24"/>
          <w14:textFill>
            <w14:solidFill>
              <w14:schemeClr w14:val="tx1"/>
            </w14:solidFill>
          </w14:textFill>
        </w:rPr>
        <w:t>小时内到达甲方现场。</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11.4 在质保期内，乙方对货物出现的质量及安全问题负责处理解决并承担一切费用。</w:t>
      </w:r>
    </w:p>
    <w:p>
      <w:pPr>
        <w:widowControl/>
        <w:snapToGrid w:val="0"/>
        <w:spacing w:line="360" w:lineRule="auto"/>
        <w:ind w:firstLine="480" w:firstLineChars="200"/>
        <w:jc w:val="left"/>
        <w:rPr>
          <w:rFonts w:eastAsia="仿宋"/>
          <w:color w:val="000000" w:themeColor="text1"/>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11.5货物在质保期内，因人为因素出现的故障不在免费保修范围内。超过质保期的，乙方仍应负责维修，维修可收部件成本费。</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十二、违约责任</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12.1 甲方无正当理由拒收货物的，向乙方支付拒收货物总值的百分之</w:t>
      </w:r>
      <w:r>
        <w:rPr>
          <w:rFonts w:hint="eastAsia" w:ascii="仿宋" w:hAnsi="仿宋" w:eastAsia="仿宋" w:cs="宋体"/>
          <w:color w:val="000000" w:themeColor="text1"/>
          <w:kern w:val="0"/>
          <w:sz w:val="24"/>
          <w:u w:val="single"/>
          <w14:textFill>
            <w14:solidFill>
              <w14:schemeClr w14:val="tx1"/>
            </w14:solidFill>
          </w14:textFill>
        </w:rPr>
        <w:t xml:space="preserve">  五　</w:t>
      </w:r>
      <w:r>
        <w:rPr>
          <w:rFonts w:hint="eastAsia" w:ascii="仿宋" w:hAnsi="仿宋" w:eastAsia="仿宋" w:cs="宋体"/>
          <w:color w:val="000000" w:themeColor="text1"/>
          <w:kern w:val="0"/>
          <w:sz w:val="24"/>
          <w14:textFill>
            <w14:solidFill>
              <w14:schemeClr w14:val="tx1"/>
            </w14:solidFill>
          </w14:textFill>
        </w:rPr>
        <w:t>违约金。</w:t>
      </w:r>
    </w:p>
    <w:p>
      <w:pPr>
        <w:widowControl/>
        <w:snapToGrid w:val="0"/>
        <w:spacing w:line="360" w:lineRule="auto"/>
        <w:ind w:firstLine="464" w:firstLineChars="200"/>
        <w:jc w:val="left"/>
        <w:rPr>
          <w:rFonts w:ascii="仿宋" w:hAnsi="仿宋" w:eastAsia="仿宋" w:cs="宋体"/>
          <w:color w:val="000000" w:themeColor="text1"/>
          <w:spacing w:val="-4"/>
          <w:kern w:val="0"/>
          <w:sz w:val="14"/>
          <w:szCs w:val="14"/>
          <w14:textFill>
            <w14:solidFill>
              <w14:schemeClr w14:val="tx1"/>
            </w14:solidFill>
          </w14:textFill>
        </w:rPr>
      </w:pPr>
      <w:r>
        <w:rPr>
          <w:rFonts w:hint="eastAsia" w:ascii="仿宋" w:hAnsi="仿宋" w:eastAsia="仿宋" w:cs="宋体"/>
          <w:color w:val="000000" w:themeColor="text1"/>
          <w:spacing w:val="-4"/>
          <w:kern w:val="0"/>
          <w:sz w:val="24"/>
          <w14:textFill>
            <w14:solidFill>
              <w14:schemeClr w14:val="tx1"/>
            </w14:solidFill>
          </w14:textFill>
        </w:rPr>
        <w:t>12.2 甲方无故逾期验收或逾期付款的，应按逾期付款总额每日千分之</w:t>
      </w:r>
      <w:r>
        <w:rPr>
          <w:rFonts w:hint="eastAsia" w:ascii="仿宋" w:hAnsi="仿宋" w:eastAsia="仿宋" w:cs="宋体"/>
          <w:color w:val="000000" w:themeColor="text1"/>
          <w:spacing w:val="-4"/>
          <w:kern w:val="0"/>
          <w:sz w:val="24"/>
          <w:u w:val="single"/>
          <w14:textFill>
            <w14:solidFill>
              <w14:schemeClr w14:val="tx1"/>
            </w14:solidFill>
          </w14:textFill>
        </w:rPr>
        <w:t xml:space="preserve"> 二 </w:t>
      </w:r>
      <w:r>
        <w:rPr>
          <w:rFonts w:hint="eastAsia" w:ascii="仿宋" w:hAnsi="仿宋" w:eastAsia="仿宋" w:cs="宋体"/>
          <w:color w:val="000000" w:themeColor="text1"/>
          <w:spacing w:val="-4"/>
          <w:kern w:val="0"/>
          <w:sz w:val="24"/>
          <w14:textFill>
            <w14:solidFill>
              <w14:schemeClr w14:val="tx1"/>
            </w14:solidFill>
          </w14:textFill>
        </w:rPr>
        <w:t>向乙方支付违约金。</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12.3 乙方逾期交付货物的，应按逾期交货总额每日千分之</w:t>
      </w:r>
      <w:r>
        <w:rPr>
          <w:rFonts w:hint="eastAsia" w:ascii="仿宋" w:hAnsi="仿宋" w:eastAsia="仿宋" w:cs="宋体"/>
          <w:color w:val="000000" w:themeColor="text1"/>
          <w:kern w:val="0"/>
          <w:sz w:val="24"/>
          <w:u w:val="single"/>
          <w14:textFill>
            <w14:solidFill>
              <w14:schemeClr w14:val="tx1"/>
            </w14:solidFill>
          </w14:textFill>
        </w:rPr>
        <w:t xml:space="preserve"> 二 </w:t>
      </w:r>
      <w:r>
        <w:rPr>
          <w:rFonts w:hint="eastAsia" w:ascii="仿宋" w:hAnsi="仿宋" w:eastAsia="仿宋" w:cs="宋体"/>
          <w:color w:val="000000" w:themeColor="text1"/>
          <w:kern w:val="0"/>
          <w:sz w:val="24"/>
          <w14:textFill>
            <w14:solidFill>
              <w14:schemeClr w14:val="tx1"/>
            </w14:solidFill>
          </w14:textFill>
        </w:rPr>
        <w:t>向甲方支付违约金，由甲方从待付货款中扣除。逾期超过约定日期</w:t>
      </w:r>
      <w:r>
        <w:rPr>
          <w:rFonts w:hint="eastAsia" w:ascii="仿宋" w:hAnsi="仿宋" w:eastAsia="仿宋" w:cs="宋体"/>
          <w:color w:val="000000" w:themeColor="text1"/>
          <w:kern w:val="0"/>
          <w:sz w:val="24"/>
          <w:u w:val="single"/>
          <w14:textFill>
            <w14:solidFill>
              <w14:schemeClr w14:val="tx1"/>
            </w14:solidFill>
          </w14:textFill>
        </w:rPr>
        <w:t xml:space="preserve"> 15  </w:t>
      </w:r>
      <w:r>
        <w:rPr>
          <w:rFonts w:hint="eastAsia" w:ascii="仿宋" w:hAnsi="仿宋" w:eastAsia="仿宋" w:cs="宋体"/>
          <w:color w:val="000000" w:themeColor="text1"/>
          <w:kern w:val="0"/>
          <w:sz w:val="24"/>
          <w14:textFill>
            <w14:solidFill>
              <w14:schemeClr w14:val="tx1"/>
            </w14:solidFill>
          </w14:textFill>
        </w:rPr>
        <w:t>个工作日不能交货的，甲方可解除本合同。乙方因逾期交货或因其他违约行为导致甲方解除合同的，乙方应向甲方支付合同总值百分之</w:t>
      </w:r>
      <w:r>
        <w:rPr>
          <w:rFonts w:hint="eastAsia" w:ascii="仿宋" w:hAnsi="仿宋" w:eastAsia="仿宋" w:cs="宋体"/>
          <w:color w:val="000000" w:themeColor="text1"/>
          <w:kern w:val="0"/>
          <w:sz w:val="24"/>
          <w:u w:val="single"/>
          <w14:textFill>
            <w14:solidFill>
              <w14:schemeClr w14:val="tx1"/>
            </w14:solidFill>
          </w14:textFill>
        </w:rPr>
        <w:t xml:space="preserve">  五　</w:t>
      </w:r>
      <w:r>
        <w:rPr>
          <w:rFonts w:hint="eastAsia" w:ascii="仿宋" w:hAnsi="仿宋" w:eastAsia="仿宋" w:cs="宋体"/>
          <w:color w:val="000000" w:themeColor="text1"/>
          <w:kern w:val="0"/>
          <w:sz w:val="24"/>
          <w14:textFill>
            <w14:solidFill>
              <w14:schemeClr w14:val="tx1"/>
            </w14:solidFill>
          </w14:textFill>
        </w:rPr>
        <w:t xml:space="preserve">的违约金，如造成甲方损失超过违约金的，超出部分由乙方继续承担赔偿责任。 </w:t>
      </w:r>
    </w:p>
    <w:p>
      <w:pPr>
        <w:widowControl/>
        <w:snapToGrid w:val="0"/>
        <w:spacing w:line="360" w:lineRule="auto"/>
        <w:ind w:firstLine="480" w:firstLineChars="200"/>
        <w:jc w:val="lef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12.4 乙方所交的货物品种、型号、规格、技术参数、质量不符合合同约定及招标文件规定标准的，甲方有权拒收该货物，乙方愿意更换货物但逾期交货的，按乙方逾期交货处理。乙方拒绝更换货物的，甲方可单方面解除合同。</w:t>
      </w:r>
    </w:p>
    <w:p>
      <w:pPr>
        <w:widowControl/>
        <w:snapToGrid w:val="0"/>
        <w:spacing w:line="360" w:lineRule="auto"/>
        <w:ind w:firstLine="480" w:firstLineChars="200"/>
        <w:jc w:val="left"/>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12.5 如有转让、分包或委托交付行为，甲方有权解除合同，履约保证金不予退还。如造成损失超过履约保证金金额的，超出部分由乙方继续承担赔偿责任。</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十三、不可抗力事件处理</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13.1 在合同有效期内，任何一方因不可抗力事件导致不能履行合同，则合同履行期可延长，其延长期与不可抗力影响期相同。</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13.2 不可抗力事件发生后，应立即通知对方，并寄送有关权威机构出具的证明。</w:t>
      </w:r>
    </w:p>
    <w:p>
      <w:pPr>
        <w:widowControl/>
        <w:snapToGrid w:val="0"/>
        <w:spacing w:line="360" w:lineRule="auto"/>
        <w:ind w:firstLine="480"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13.3 不可抗力事件延续</w:t>
      </w:r>
      <w:r>
        <w:rPr>
          <w:rFonts w:hint="eastAsia" w:ascii="仿宋" w:hAnsi="仿宋" w:eastAsia="仿宋" w:cs="宋体"/>
          <w:color w:val="000000" w:themeColor="text1"/>
          <w:kern w:val="0"/>
          <w:sz w:val="24"/>
          <w:u w:val="single"/>
          <w14:textFill>
            <w14:solidFill>
              <w14:schemeClr w14:val="tx1"/>
            </w14:solidFill>
          </w14:textFill>
        </w:rPr>
        <w:t xml:space="preserve">  30  </w:t>
      </w:r>
      <w:r>
        <w:rPr>
          <w:rFonts w:hint="eastAsia" w:ascii="仿宋" w:hAnsi="仿宋" w:eastAsia="仿宋" w:cs="宋体"/>
          <w:color w:val="000000" w:themeColor="text1"/>
          <w:kern w:val="0"/>
          <w:sz w:val="24"/>
          <w14:textFill>
            <w14:solidFill>
              <w14:schemeClr w14:val="tx1"/>
            </w14:solidFill>
          </w14:textFill>
        </w:rPr>
        <w:t>天以上，双方应通过友好协商，确定是否继续履行合同。</w:t>
      </w:r>
    </w:p>
    <w:p>
      <w:pPr>
        <w:widowControl/>
        <w:snapToGrid w:val="0"/>
        <w:spacing w:line="360" w:lineRule="auto"/>
        <w:ind w:firstLine="482" w:firstLineChars="200"/>
        <w:jc w:val="left"/>
        <w:rPr>
          <w:rFonts w:ascii="仿宋" w:hAnsi="仿宋" w:eastAsia="仿宋" w:cs="宋体"/>
          <w:color w:val="000000" w:themeColor="text1"/>
          <w:kern w:val="0"/>
          <w:sz w:val="14"/>
          <w:szCs w:val="1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十四、争议处理</w:t>
      </w:r>
    </w:p>
    <w:p>
      <w:pPr>
        <w:widowControl/>
        <w:snapToGrid w:val="0"/>
        <w:spacing w:line="360" w:lineRule="auto"/>
        <w:ind w:firstLine="240" w:firstLineChars="100"/>
        <w:jc w:val="left"/>
        <w:rPr>
          <w:rFonts w:ascii="Arial" w:hAnsi="Arial" w:cs="Arial"/>
          <w:color w:val="000000" w:themeColor="text1"/>
          <w:kern w:val="0"/>
          <w:sz w:val="14"/>
          <w:szCs w:val="1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14.1 双方在履行合同中所发生的一切争议，应通过协商解决。如协商不成，可向合同签订地法院起诉。本合同签订地为浙江省天台县。</w:t>
      </w:r>
    </w:p>
    <w:p>
      <w:pPr>
        <w:widowControl/>
        <w:snapToGrid w:val="0"/>
        <w:spacing w:line="360" w:lineRule="auto"/>
        <w:jc w:val="lef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十五、合同生效及其它</w:t>
      </w:r>
    </w:p>
    <w:p>
      <w:pPr>
        <w:widowControl/>
        <w:snapToGrid w:val="0"/>
        <w:spacing w:line="360" w:lineRule="auto"/>
        <w:ind w:firstLine="240" w:firstLineChars="1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15.1 合同经双方法定代表人（负责人）或授权委托代理人签字并加盖单位公章后生效。</w:t>
      </w:r>
    </w:p>
    <w:p>
      <w:pPr>
        <w:widowControl/>
        <w:snapToGrid w:val="0"/>
        <w:spacing w:line="360" w:lineRule="auto"/>
        <w:ind w:firstLine="240" w:firstLineChars="1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15.2有关本合同中未写明的内容以本项目招标文件的规定为准。</w:t>
      </w:r>
    </w:p>
    <w:p>
      <w:pPr>
        <w:widowControl/>
        <w:snapToGrid w:val="0"/>
        <w:spacing w:line="360" w:lineRule="auto"/>
        <w:ind w:firstLine="240" w:firstLineChars="1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15.3 本合同未尽事宜，双方协商解决。</w:t>
      </w:r>
    </w:p>
    <w:p>
      <w:pPr>
        <w:widowControl/>
        <w:snapToGrid w:val="0"/>
        <w:spacing w:line="360" w:lineRule="auto"/>
        <w:ind w:firstLine="240" w:firstLineChars="1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15.4 本合同一式四份，具有同等法律效力，甲方执三份乙方执一份。</w:t>
      </w:r>
    </w:p>
    <w:p>
      <w:pPr>
        <w:widowControl/>
        <w:snapToGrid w:val="0"/>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附：1、产品清单和单价表。</w:t>
      </w:r>
    </w:p>
    <w:p>
      <w:pPr>
        <w:widowControl/>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2、水务集团材料采购廉政合同。</w:t>
      </w:r>
    </w:p>
    <w:p>
      <w:pPr>
        <w:widowControl/>
        <w:snapToGrid w:val="0"/>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甲方（盖章）：</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乙方（盖章）：</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地址：</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法定代表人（负责人）：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法定代表人（负责人）：</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委托代理人：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委托代理人：</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账户名称：</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账户名称：</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开户银行：</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开户银行：</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账号：</w:t>
      </w:r>
      <w:r>
        <w:rPr>
          <w:rFonts w:hint="eastAsia" w:ascii="仿宋" w:hAnsi="仿宋" w:eastAsia="仿宋" w:cs="仿宋"/>
          <w:color w:val="000000" w:themeColor="text1"/>
          <w:kern w:val="0"/>
          <w:sz w:val="24"/>
          <w:u w:val="single"/>
          <w14:textFill>
            <w14:solidFill>
              <w14:schemeClr w14:val="tx1"/>
            </w14:solidFill>
          </w14:textFill>
        </w:rPr>
        <w:t>　　　　　　　　　　　　　　　</w:t>
      </w:r>
      <w:r>
        <w:rPr>
          <w:rFonts w:hint="eastAsia" w:ascii="仿宋" w:hAnsi="仿宋" w:eastAsia="仿宋" w:cs="仿宋"/>
          <w:color w:val="000000" w:themeColor="text1"/>
          <w:kern w:val="0"/>
          <w:sz w:val="24"/>
          <w14:textFill>
            <w14:solidFill>
              <w14:schemeClr w14:val="tx1"/>
            </w14:solidFill>
          </w14:textFill>
        </w:rPr>
        <w:t>　 账号：</w:t>
      </w:r>
      <w:r>
        <w:rPr>
          <w:rFonts w:hint="eastAsia" w:ascii="仿宋" w:hAnsi="仿宋" w:eastAsia="仿宋" w:cs="仿宋"/>
          <w:color w:val="000000" w:themeColor="text1"/>
          <w:kern w:val="0"/>
          <w:sz w:val="24"/>
          <w:u w:val="single"/>
          <w14:textFill>
            <w14:solidFill>
              <w14:schemeClr w14:val="tx1"/>
            </w14:solidFill>
          </w14:textFill>
        </w:rPr>
        <w:t xml:space="preserve">                                    </w:t>
      </w:r>
    </w:p>
    <w:p>
      <w:pPr>
        <w:widowControl/>
        <w:snapToGrid w:val="0"/>
        <w:spacing w:line="360" w:lineRule="auto"/>
        <w:jc w:val="left"/>
        <w:rPr>
          <w:rFonts w:hint="eastAsia"/>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签订时间：</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签订地点：</w:t>
      </w:r>
      <w:r>
        <w:rPr>
          <w:rFonts w:hint="eastAsia" w:ascii="仿宋" w:hAnsi="仿宋" w:eastAsia="仿宋" w:cs="仿宋"/>
          <w:color w:val="000000" w:themeColor="text1"/>
          <w:kern w:val="0"/>
          <w:sz w:val="24"/>
          <w:u w:val="single"/>
          <w14:textFill>
            <w14:solidFill>
              <w14:schemeClr w14:val="tx1"/>
            </w14:solidFill>
          </w14:textFill>
        </w:rPr>
        <w:t xml:space="preserve">    浙江省天台县                                             </w:t>
      </w:r>
    </w:p>
    <w:p>
      <w:pPr>
        <w:jc w:val="both"/>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pStyle w:val="2"/>
        <w:rPr>
          <w:rFonts w:hint="eastAsia" w:ascii="黑体" w:hAnsi="黑体" w:eastAsia="黑体" w:cs="黑体"/>
          <w:b/>
          <w:bCs/>
          <w:color w:val="000000" w:themeColor="text1"/>
          <w:sz w:val="32"/>
          <w:szCs w:val="32"/>
          <w:highlight w:val="none"/>
          <w:lang w:eastAsia="zh-CN"/>
          <w14:textFill>
            <w14:solidFill>
              <w14:schemeClr w14:val="tx1"/>
            </w14:solidFill>
          </w14:textFill>
        </w:rPr>
      </w:pPr>
    </w:p>
    <w:p>
      <w:pPr>
        <w:ind w:firstLine="3213" w:firstLineChars="1000"/>
        <w:jc w:val="both"/>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lang w:eastAsia="zh-CN"/>
          <w14:textFill>
            <w14:solidFill>
              <w14:schemeClr w14:val="tx1"/>
            </w14:solidFill>
          </w14:textFill>
        </w:rPr>
        <w:t>水务集团</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sz w:val="32"/>
          <w:szCs w:val="32"/>
          <w:highlight w:val="none"/>
          <w:lang w:eastAsia="zh-CN"/>
          <w14:textFill>
            <w14:solidFill>
              <w14:schemeClr w14:val="tx1"/>
            </w14:solidFill>
          </w14:textFill>
        </w:rPr>
        <w:t>廉政合同</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乙方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为加强</w:t>
      </w:r>
      <w:r>
        <w:rPr>
          <w:rFonts w:hint="eastAsia" w:ascii="仿宋" w:hAnsi="仿宋" w:eastAsia="仿宋" w:cs="仿宋"/>
          <w:color w:val="000000" w:themeColor="text1"/>
          <w:sz w:val="28"/>
          <w:szCs w:val="28"/>
          <w:highlight w:val="none"/>
          <w:lang w:eastAsia="zh-CN"/>
          <w14:textFill>
            <w14:solidFill>
              <w14:schemeClr w14:val="tx1"/>
            </w14:solidFill>
          </w14:textFill>
        </w:rPr>
        <w:t>合同履行</w:t>
      </w:r>
      <w:r>
        <w:rPr>
          <w:rFonts w:hint="eastAsia" w:ascii="仿宋" w:hAnsi="仿宋" w:eastAsia="仿宋" w:cs="仿宋"/>
          <w:color w:val="000000" w:themeColor="text1"/>
          <w:sz w:val="28"/>
          <w:szCs w:val="28"/>
          <w:highlight w:val="none"/>
          <w14:textFill>
            <w14:solidFill>
              <w14:schemeClr w14:val="tx1"/>
            </w14:solidFill>
          </w14:textFill>
        </w:rPr>
        <w:t>中的廉政建设</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确保</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天台县正源水务建设有限公司2023年智能水表采购项目</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的廉政实施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防止发生各种谋取不正当利益的违法违纪行为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保护国家、集体和当事人的合法权益</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根据廉政建设</w:t>
      </w:r>
      <w:r>
        <w:rPr>
          <w:rFonts w:hint="eastAsia" w:ascii="仿宋" w:hAnsi="仿宋" w:eastAsia="仿宋" w:cs="仿宋"/>
          <w:color w:val="000000" w:themeColor="text1"/>
          <w:sz w:val="28"/>
          <w:szCs w:val="28"/>
          <w:highlight w:val="none"/>
          <w:lang w:eastAsia="zh-CN"/>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规定</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特订立本</w:t>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第一条 甲乙双方的责任</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应严格遵守国家关于</w:t>
      </w:r>
      <w:r>
        <w:rPr>
          <w:rFonts w:hint="eastAsia" w:ascii="仿宋" w:hAnsi="仿宋" w:eastAsia="仿宋" w:cs="仿宋"/>
          <w:color w:val="000000" w:themeColor="text1"/>
          <w:sz w:val="28"/>
          <w:szCs w:val="28"/>
          <w:highlight w:val="none"/>
          <w:lang w:eastAsia="zh-CN"/>
          <w14:textFill>
            <w14:solidFill>
              <w14:schemeClr w14:val="tx1"/>
            </w14:solidFill>
          </w14:textFill>
        </w:rPr>
        <w:t>合同</w:t>
      </w:r>
      <w:r>
        <w:rPr>
          <w:rFonts w:hint="eastAsia" w:ascii="仿宋" w:hAnsi="仿宋" w:eastAsia="仿宋" w:cs="仿宋"/>
          <w:color w:val="000000" w:themeColor="text1"/>
          <w:sz w:val="28"/>
          <w:szCs w:val="28"/>
          <w:highlight w:val="none"/>
          <w14:textFill>
            <w14:solidFill>
              <w14:schemeClr w14:val="tx1"/>
            </w14:solidFill>
          </w14:textFill>
        </w:rPr>
        <w:t>的有关法律、法规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相关政策以及廉政建设的各项规定。</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二</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严格</w:t>
      </w:r>
      <w:r>
        <w:rPr>
          <w:rFonts w:hint="eastAsia" w:ascii="仿宋" w:hAnsi="仿宋" w:eastAsia="仿宋" w:cs="仿宋"/>
          <w:color w:val="000000" w:themeColor="text1"/>
          <w:sz w:val="28"/>
          <w:szCs w:val="28"/>
          <w:highlight w:val="none"/>
          <w:lang w:eastAsia="zh-CN"/>
          <w14:textFill>
            <w14:solidFill>
              <w14:schemeClr w14:val="tx1"/>
            </w14:solidFill>
          </w14:textFill>
        </w:rPr>
        <w:t>履</w:t>
      </w:r>
      <w:r>
        <w:rPr>
          <w:rFonts w:hint="eastAsia" w:ascii="仿宋" w:hAnsi="仿宋" w:eastAsia="仿宋" w:cs="仿宋"/>
          <w:color w:val="000000" w:themeColor="text1"/>
          <w:sz w:val="28"/>
          <w:szCs w:val="28"/>
          <w:highlight w:val="none"/>
          <w14:textFill>
            <w14:solidFill>
              <w14:schemeClr w14:val="tx1"/>
            </w14:solidFill>
          </w14:textFill>
        </w:rPr>
        <w:t>行</w:t>
      </w:r>
      <w:r>
        <w:rPr>
          <w:rFonts w:hint="eastAsia" w:ascii="仿宋" w:hAnsi="仿宋" w:eastAsia="仿宋" w:cs="仿宋"/>
          <w:color w:val="000000" w:themeColor="text1"/>
          <w:sz w:val="28"/>
          <w:szCs w:val="28"/>
          <w:highlight w:val="none"/>
          <w:lang w:val="en-US" w:eastAsia="zh-CN"/>
          <w14:textFill>
            <w14:solidFill>
              <w14:schemeClr w14:val="tx1"/>
            </w14:solidFill>
          </w14:textFill>
        </w:rPr>
        <w:t>项目</w:t>
      </w:r>
      <w:r>
        <w:rPr>
          <w:rFonts w:hint="eastAsia" w:ascii="仿宋" w:hAnsi="仿宋" w:eastAsia="仿宋" w:cs="仿宋"/>
          <w:color w:val="000000" w:themeColor="text1"/>
          <w:sz w:val="28"/>
          <w:szCs w:val="28"/>
          <w:highlight w:val="none"/>
          <w14:textFill>
            <w14:solidFill>
              <w14:schemeClr w14:val="tx1"/>
            </w14:solidFill>
          </w14:textFill>
        </w:rPr>
        <w:t>合同文件</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自觉按合同办事。</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三</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必须坚持公开、公平、公正、诚信、透明的原则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不得为获取不正当的利益</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损害国家、集体和对方利益。</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四</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发现对方在</w:t>
      </w:r>
      <w:r>
        <w:rPr>
          <w:rFonts w:hint="eastAsia" w:ascii="仿宋" w:hAnsi="仿宋" w:eastAsia="仿宋" w:cs="仿宋"/>
          <w:color w:val="000000" w:themeColor="text1"/>
          <w:sz w:val="28"/>
          <w:szCs w:val="28"/>
          <w:highlight w:val="none"/>
          <w:lang w:eastAsia="zh-CN"/>
          <w14:textFill>
            <w14:solidFill>
              <w14:schemeClr w14:val="tx1"/>
            </w14:solidFill>
          </w14:textFill>
        </w:rPr>
        <w:t>合同履行</w:t>
      </w:r>
      <w:r>
        <w:rPr>
          <w:rFonts w:hint="eastAsia" w:ascii="仿宋" w:hAnsi="仿宋" w:eastAsia="仿宋" w:cs="仿宋"/>
          <w:color w:val="000000" w:themeColor="text1"/>
          <w:sz w:val="28"/>
          <w:szCs w:val="28"/>
          <w:highlight w:val="none"/>
          <w14:textFill>
            <w14:solidFill>
              <w14:schemeClr w14:val="tx1"/>
            </w14:solidFill>
          </w14:textFill>
        </w:rPr>
        <w:t>中有违规、违纪、违法行为的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应及时提醒对方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情节严重的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应</w:t>
      </w:r>
      <w:r>
        <w:rPr>
          <w:rFonts w:hint="eastAsia" w:ascii="仿宋" w:hAnsi="仿宋" w:eastAsia="仿宋" w:cs="仿宋"/>
          <w:color w:val="000000" w:themeColor="text1"/>
          <w:sz w:val="28"/>
          <w:szCs w:val="28"/>
          <w:highlight w:val="none"/>
          <w:lang w:eastAsia="zh-CN"/>
          <w14:textFill>
            <w14:solidFill>
              <w14:schemeClr w14:val="tx1"/>
            </w14:solidFill>
          </w14:textFill>
        </w:rPr>
        <w:t>及时向集团业务</w:t>
      </w:r>
      <w:r>
        <w:rPr>
          <w:rFonts w:hint="eastAsia" w:ascii="仿宋" w:hAnsi="仿宋" w:eastAsia="仿宋" w:cs="仿宋"/>
          <w:color w:val="000000" w:themeColor="text1"/>
          <w:sz w:val="28"/>
          <w:szCs w:val="28"/>
          <w:highlight w:val="none"/>
          <w14:textFill>
            <w14:solidFill>
              <w14:schemeClr w14:val="tx1"/>
            </w14:solidFill>
          </w14:textFill>
        </w:rPr>
        <w:t>主管部门</w:t>
      </w:r>
      <w:r>
        <w:rPr>
          <w:rFonts w:hint="eastAsia" w:ascii="仿宋" w:hAnsi="仿宋" w:eastAsia="仿宋" w:cs="仿宋"/>
          <w:color w:val="000000" w:themeColor="text1"/>
          <w:sz w:val="28"/>
          <w:szCs w:val="28"/>
          <w:highlight w:val="none"/>
          <w:lang w:eastAsia="zh-CN"/>
          <w14:textFill>
            <w14:solidFill>
              <w14:schemeClr w14:val="tx1"/>
            </w14:solidFill>
          </w14:textFill>
        </w:rPr>
        <w:t>、监审部、集团纪委或上级</w:t>
      </w:r>
      <w:r>
        <w:rPr>
          <w:rFonts w:hint="eastAsia" w:ascii="仿宋" w:hAnsi="仿宋" w:eastAsia="仿宋" w:cs="仿宋"/>
          <w:color w:val="000000" w:themeColor="text1"/>
          <w:sz w:val="28"/>
          <w:szCs w:val="28"/>
          <w:highlight w:val="none"/>
          <w14:textFill>
            <w14:solidFill>
              <w14:schemeClr w14:val="tx1"/>
            </w14:solidFill>
          </w14:textFill>
        </w:rPr>
        <w:t>纪检监察、司法等有关机关举报。</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第二条 甲方的责任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及其工作人员</w:t>
      </w:r>
      <w:r>
        <w:rPr>
          <w:rFonts w:hint="eastAsia" w:ascii="仿宋" w:hAnsi="仿宋" w:eastAsia="仿宋" w:cs="仿宋"/>
          <w:color w:val="000000" w:themeColor="text1"/>
          <w:sz w:val="28"/>
          <w:szCs w:val="28"/>
          <w:highlight w:val="none"/>
          <w14:textFill>
            <w14:solidFill>
              <w14:schemeClr w14:val="tx1"/>
            </w14:solidFill>
          </w14:textFill>
        </w:rPr>
        <w:t>在</w:t>
      </w:r>
      <w:r>
        <w:rPr>
          <w:rFonts w:hint="eastAsia" w:ascii="仿宋" w:hAnsi="仿宋" w:eastAsia="仿宋" w:cs="仿宋"/>
          <w:color w:val="000000" w:themeColor="text1"/>
          <w:sz w:val="28"/>
          <w:szCs w:val="28"/>
          <w:highlight w:val="none"/>
          <w:lang w:eastAsia="zh-CN"/>
          <w14:textFill>
            <w14:solidFill>
              <w14:schemeClr w14:val="tx1"/>
            </w14:solidFill>
          </w14:textFill>
        </w:rPr>
        <w:t>合同履行中</w:t>
      </w:r>
      <w:r>
        <w:rPr>
          <w:rFonts w:hint="eastAsia" w:ascii="仿宋" w:hAnsi="仿宋" w:eastAsia="仿宋" w:cs="仿宋"/>
          <w:color w:val="000000" w:themeColor="text1"/>
          <w:sz w:val="28"/>
          <w:szCs w:val="28"/>
          <w:highlight w:val="none"/>
          <w14:textFill>
            <w14:solidFill>
              <w14:schemeClr w14:val="tx1"/>
            </w14:solidFill>
          </w14:textFill>
        </w:rPr>
        <w:t>应遵守以下规定</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不准向乙方和相关单位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个人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索要或接受回扣、礼金、有价证券、贵重物品和好处费、感谢费等。</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二</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不准在乙方和相关单位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个人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报销任何应由甲方或个人支付的费用。</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三</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不准要求、暗示或接受乙方和相关单位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个人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为个人装修住房、婚丧嫁娶、配偶子女的工作安排以及出国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、旅游等提供方便。</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四</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不准违反合同约定而使用乙方和相关单位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个人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提供的通信、交通工具和高档办公用品。</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五</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不准参加有可能影响公正</w:t>
      </w:r>
      <w:r>
        <w:rPr>
          <w:rFonts w:hint="eastAsia" w:ascii="仿宋" w:hAnsi="仿宋" w:eastAsia="仿宋" w:cs="仿宋"/>
          <w:color w:val="000000" w:themeColor="text1"/>
          <w:sz w:val="28"/>
          <w:szCs w:val="28"/>
          <w:highlight w:val="none"/>
          <w:lang w:eastAsia="zh-CN"/>
          <w14:textFill>
            <w14:solidFill>
              <w14:schemeClr w14:val="tx1"/>
            </w14:solidFill>
          </w14:textFill>
        </w:rPr>
        <w:t>履行公务</w:t>
      </w:r>
      <w:r>
        <w:rPr>
          <w:rFonts w:hint="eastAsia" w:ascii="仿宋" w:hAnsi="仿宋" w:eastAsia="仿宋" w:cs="仿宋"/>
          <w:color w:val="000000" w:themeColor="text1"/>
          <w:sz w:val="28"/>
          <w:szCs w:val="28"/>
          <w:highlight w:val="none"/>
          <w14:textFill>
            <w14:solidFill>
              <w14:schemeClr w14:val="tx1"/>
            </w14:solidFill>
          </w14:textFill>
        </w:rPr>
        <w:t>的乙方和相关单位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个人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的宴请、健身、娱乐等活动。</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w:t>
      </w:r>
      <w:r>
        <w:rPr>
          <w:rFonts w:hint="eastAsia" w:ascii="仿宋" w:hAnsi="仿宋" w:eastAsia="仿宋" w:cs="仿宋"/>
          <w:color w:val="000000" w:themeColor="text1"/>
          <w:sz w:val="28"/>
          <w:szCs w:val="28"/>
          <w:highlight w:val="none"/>
          <w:lang w:val="en-US" w:eastAsia="zh-CN"/>
          <w14:textFill>
            <w14:solidFill>
              <w14:schemeClr w14:val="tx1"/>
            </w14:solidFill>
          </w14:textFill>
        </w:rPr>
        <w:t>营私舞弊，不准利用职权私自为本项目安排、从事与本项目有关的各种有偿中介或者经济活动，包括但不限于推荐本人及其</w:t>
      </w:r>
      <w:r>
        <w:rPr>
          <w:rFonts w:hint="eastAsia" w:ascii="仿宋" w:hAnsi="仿宋" w:eastAsia="仿宋" w:cs="仿宋"/>
          <w:color w:val="000000" w:themeColor="text1"/>
          <w:sz w:val="28"/>
          <w:szCs w:val="28"/>
          <w:highlight w:val="none"/>
          <w14:textFill>
            <w14:solidFill>
              <w14:schemeClr w14:val="tx1"/>
            </w14:solidFill>
          </w14:textFill>
        </w:rPr>
        <w:t>配偶、子女、</w:t>
      </w:r>
      <w:r>
        <w:rPr>
          <w:rFonts w:hint="eastAsia" w:ascii="仿宋" w:hAnsi="仿宋" w:eastAsia="仿宋" w:cs="仿宋"/>
          <w:color w:val="000000" w:themeColor="text1"/>
          <w:sz w:val="28"/>
          <w:szCs w:val="28"/>
          <w:highlight w:val="none"/>
          <w:lang w:val="en-US" w:eastAsia="zh-CN"/>
          <w14:textFill>
            <w14:solidFill>
              <w14:schemeClr w14:val="tx1"/>
            </w14:solidFill>
          </w14:textFill>
        </w:rPr>
        <w:t>利益相关人参与</w:t>
      </w:r>
      <w:r>
        <w:rPr>
          <w:rFonts w:hint="eastAsia" w:ascii="仿宋" w:hAnsi="仿宋" w:eastAsia="仿宋" w:cs="仿宋"/>
          <w:color w:val="000000" w:themeColor="text1"/>
          <w:sz w:val="28"/>
          <w:szCs w:val="28"/>
          <w:highlight w:val="none"/>
          <w:lang w:eastAsia="zh-CN"/>
          <w14:textFill>
            <w14:solidFill>
              <w14:schemeClr w14:val="tx1"/>
            </w14:solidFill>
          </w14:textFill>
        </w:rPr>
        <w:t>和</w:t>
      </w:r>
      <w:r>
        <w:rPr>
          <w:rFonts w:hint="eastAsia" w:ascii="仿宋" w:hAnsi="仿宋" w:eastAsia="仿宋" w:cs="仿宋"/>
          <w:color w:val="000000" w:themeColor="text1"/>
          <w:sz w:val="28"/>
          <w:szCs w:val="28"/>
          <w:highlight w:val="none"/>
          <w14:textFill>
            <w14:solidFill>
              <w14:schemeClr w14:val="tx1"/>
            </w14:solidFill>
          </w14:textFill>
        </w:rPr>
        <w:t>合同有关的设备、材料、工程分包、劳务等经济活动。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第三条 乙方的责任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应与甲方保持正常的业务交往</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并遵守以下规定</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不准以任何理由向甲方及其工作人员</w:t>
      </w:r>
      <w:r>
        <w:rPr>
          <w:rFonts w:hint="eastAsia" w:ascii="仿宋" w:hAnsi="仿宋" w:eastAsia="仿宋" w:cs="仿宋"/>
          <w:color w:val="000000" w:themeColor="text1"/>
          <w:sz w:val="28"/>
          <w:szCs w:val="28"/>
          <w:highlight w:val="none"/>
          <w:lang w:val="en-US" w:eastAsia="zh-CN"/>
          <w14:textFill>
            <w14:solidFill>
              <w14:schemeClr w14:val="tx1"/>
            </w14:solidFill>
          </w14:textFill>
        </w:rPr>
        <w:t>行贿</w:t>
      </w:r>
      <w:r>
        <w:rPr>
          <w:rFonts w:hint="eastAsia" w:ascii="仿宋" w:hAnsi="仿宋" w:eastAsia="仿宋" w:cs="仿宋"/>
          <w:color w:val="000000" w:themeColor="text1"/>
          <w:sz w:val="28"/>
          <w:szCs w:val="28"/>
          <w:highlight w:val="none"/>
          <w14:textFill>
            <w14:solidFill>
              <w14:schemeClr w14:val="tx1"/>
            </w14:solidFill>
          </w14:textFill>
        </w:rPr>
        <w:t>或赠送礼金、有价证券、贵重物品及回扣、好处费、感谢费等。</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二</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不准以任何理由为甲方及其工作人员报销应由对方或个人支付的费用。</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三</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不准接受或暗示为甲方及其工作人员装修住房、婚丧嫁娶、配偶子女的工作安排以及出国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境</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、旅游等提供方便。</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四</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w:t>
      </w:r>
      <w:r>
        <w:rPr>
          <w:rFonts w:hint="eastAsia" w:ascii="仿宋" w:hAnsi="仿宋" w:eastAsia="仿宋" w:cs="仿宋"/>
          <w:color w:val="000000" w:themeColor="text1"/>
          <w:sz w:val="28"/>
          <w:szCs w:val="28"/>
          <w:highlight w:val="none"/>
          <w:lang w:val="en-US" w:eastAsia="zh-CN"/>
          <w14:textFill>
            <w14:solidFill>
              <w14:schemeClr w14:val="tx1"/>
            </w14:solidFill>
          </w14:textFill>
        </w:rPr>
        <w:t>为</w:t>
      </w:r>
      <w:r>
        <w:rPr>
          <w:rFonts w:hint="eastAsia" w:ascii="仿宋" w:hAnsi="仿宋" w:eastAsia="仿宋" w:cs="仿宋"/>
          <w:color w:val="000000" w:themeColor="text1"/>
          <w:sz w:val="28"/>
          <w:szCs w:val="28"/>
          <w:highlight w:val="none"/>
          <w14:textFill>
            <w14:solidFill>
              <w14:schemeClr w14:val="tx1"/>
            </w14:solidFill>
          </w14:textFill>
        </w:rPr>
        <w:t>甲方及其工作人员提供通信、交通工具和高档办公用品。</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五</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不准以任何理由为甲方及其工作人员</w:t>
      </w:r>
      <w:r>
        <w:rPr>
          <w:rFonts w:hint="eastAsia" w:ascii="仿宋" w:hAnsi="仿宋" w:eastAsia="仿宋" w:cs="仿宋"/>
          <w:color w:val="000000" w:themeColor="text1"/>
          <w:sz w:val="28"/>
          <w:szCs w:val="28"/>
          <w:highlight w:val="none"/>
          <w:lang w:val="en-US" w:eastAsia="zh-CN"/>
          <w14:textFill>
            <w14:solidFill>
              <w14:schemeClr w14:val="tx1"/>
            </w14:solidFill>
          </w14:textFill>
        </w:rPr>
        <w:t>组织</w:t>
      </w:r>
      <w:r>
        <w:rPr>
          <w:rFonts w:hint="eastAsia" w:ascii="仿宋" w:hAnsi="仿宋" w:eastAsia="仿宋" w:cs="仿宋"/>
          <w:color w:val="000000" w:themeColor="text1"/>
          <w:sz w:val="28"/>
          <w:szCs w:val="28"/>
          <w:highlight w:val="none"/>
          <w14:textFill>
            <w14:solidFill>
              <w14:schemeClr w14:val="tx1"/>
            </w14:solidFill>
          </w14:textFill>
        </w:rPr>
        <w:t>有可能影响公正</w:t>
      </w:r>
      <w:r>
        <w:rPr>
          <w:rFonts w:hint="eastAsia" w:ascii="仿宋" w:hAnsi="仿宋" w:eastAsia="仿宋" w:cs="仿宋"/>
          <w:color w:val="000000" w:themeColor="text1"/>
          <w:sz w:val="28"/>
          <w:szCs w:val="28"/>
          <w:highlight w:val="none"/>
          <w:lang w:eastAsia="zh-CN"/>
          <w14:textFill>
            <w14:solidFill>
              <w14:schemeClr w14:val="tx1"/>
            </w14:solidFill>
          </w14:textFill>
        </w:rPr>
        <w:t>履行公务</w:t>
      </w:r>
      <w:r>
        <w:rPr>
          <w:rFonts w:hint="eastAsia" w:ascii="仿宋" w:hAnsi="仿宋" w:eastAsia="仿宋" w:cs="仿宋"/>
          <w:color w:val="000000" w:themeColor="text1"/>
          <w:sz w:val="28"/>
          <w:szCs w:val="28"/>
          <w:highlight w:val="none"/>
          <w14:textFill>
            <w14:solidFill>
              <w14:schemeClr w14:val="tx1"/>
            </w14:solidFill>
          </w14:textFill>
        </w:rPr>
        <w:t>的宴请、健身、娱乐等活动。</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第四条 违约责任</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一</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甲方工作人员有违反本责任书</w:t>
      </w:r>
      <w:r>
        <w:rPr>
          <w:rFonts w:hint="eastAsia" w:ascii="仿宋" w:hAnsi="仿宋" w:eastAsia="仿宋" w:cs="仿宋"/>
          <w:color w:val="000000" w:themeColor="text1"/>
          <w:sz w:val="28"/>
          <w:szCs w:val="28"/>
          <w:highlight w:val="none"/>
          <w:lang w:eastAsia="zh-CN"/>
          <w14:textFill>
            <w14:solidFill>
              <w14:schemeClr w14:val="tx1"/>
            </w14:solidFill>
          </w14:textFill>
        </w:rPr>
        <w:t>第一、第二条</w:t>
      </w:r>
      <w:r>
        <w:rPr>
          <w:rFonts w:hint="eastAsia" w:ascii="仿宋" w:hAnsi="仿宋" w:eastAsia="仿宋" w:cs="仿宋"/>
          <w:color w:val="000000" w:themeColor="text1"/>
          <w:sz w:val="28"/>
          <w:szCs w:val="28"/>
          <w:highlight w:val="none"/>
          <w14:textFill>
            <w14:solidFill>
              <w14:schemeClr w14:val="tx1"/>
            </w14:solidFill>
          </w14:textFill>
        </w:rPr>
        <w:t>行为的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按照管理权限</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依据有关法律法规和规定给予党纪、政纪处分或组织处理</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涉嫌犯罪的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移交司法机关追究刑事责任</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给乙方单位造成经济损失的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应予以赔偿。</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二</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乙方工作人员有违反本责任书</w:t>
      </w:r>
      <w:r>
        <w:rPr>
          <w:rFonts w:hint="eastAsia" w:ascii="仿宋" w:hAnsi="仿宋" w:eastAsia="仿宋" w:cs="仿宋"/>
          <w:color w:val="000000" w:themeColor="text1"/>
          <w:sz w:val="28"/>
          <w:szCs w:val="28"/>
          <w:highlight w:val="none"/>
          <w:lang w:eastAsia="zh-CN"/>
          <w14:textFill>
            <w14:solidFill>
              <w14:schemeClr w14:val="tx1"/>
            </w14:solidFill>
          </w14:textFill>
        </w:rPr>
        <w:t>第一、第三条</w:t>
      </w:r>
      <w:r>
        <w:rPr>
          <w:rFonts w:hint="eastAsia" w:ascii="仿宋" w:hAnsi="仿宋" w:eastAsia="仿宋" w:cs="仿宋"/>
          <w:color w:val="000000" w:themeColor="text1"/>
          <w:sz w:val="28"/>
          <w:szCs w:val="28"/>
          <w:highlight w:val="none"/>
          <w14:textFill>
            <w14:solidFill>
              <w14:schemeClr w14:val="tx1"/>
            </w14:solidFill>
          </w14:textFill>
        </w:rPr>
        <w:t>行为的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按照管理权限</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依据有关法律法规和规定给予党纪、政纪处分或组织处理</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情节严重的，给予乙方3-5年内列入本集团参标黑名单处罚；</w:t>
      </w:r>
      <w:r>
        <w:rPr>
          <w:rFonts w:hint="eastAsia" w:ascii="仿宋" w:hAnsi="仿宋" w:eastAsia="仿宋" w:cs="仿宋"/>
          <w:color w:val="000000" w:themeColor="text1"/>
          <w:sz w:val="28"/>
          <w:szCs w:val="28"/>
          <w:highlight w:val="none"/>
          <w14:textFill>
            <w14:solidFill>
              <w14:schemeClr w14:val="tx1"/>
            </w14:solidFill>
          </w14:textFill>
        </w:rPr>
        <w:t>涉嫌犯罪的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移交司法机关追究刑事责任</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给甲方单位造成经济损失的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应予以赔偿。</w:t>
      </w:r>
    </w:p>
    <w:p>
      <w:pP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（三）乙方工作人员有违反本责任书第三条责任行为中任何一条规定的，第一次扣除1000元违约金，第二次发现结束合同。</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第五条</w:t>
      </w:r>
      <w:r>
        <w:rPr>
          <w:rFonts w:hint="eastAsia" w:ascii="仿宋" w:hAnsi="仿宋" w:eastAsia="仿宋" w:cs="仿宋"/>
          <w:color w:val="000000" w:themeColor="text1"/>
          <w:sz w:val="28"/>
          <w:szCs w:val="28"/>
          <w:highlight w:val="none"/>
          <w14:textFill>
            <w14:solidFill>
              <w14:schemeClr w14:val="tx1"/>
            </w14:solidFill>
          </w14:textFill>
        </w:rPr>
        <w:t xml:space="preserve"> 本</w:t>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w:t>
      </w:r>
      <w:r>
        <w:rPr>
          <w:rFonts w:hint="eastAsia" w:ascii="仿宋" w:hAnsi="仿宋" w:eastAsia="仿宋" w:cs="仿宋"/>
          <w:color w:val="000000" w:themeColor="text1"/>
          <w:sz w:val="28"/>
          <w:szCs w:val="28"/>
          <w:highlight w:val="none"/>
          <w14:textFill>
            <w14:solidFill>
              <w14:schemeClr w14:val="tx1"/>
            </w14:solidFill>
          </w14:textFill>
        </w:rPr>
        <w:t>作为</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合同的附件</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与</w:t>
      </w:r>
      <w:r>
        <w:rPr>
          <w:rFonts w:hint="eastAsia" w:ascii="仿宋" w:hAnsi="仿宋" w:eastAsia="仿宋" w:cs="仿宋"/>
          <w:color w:val="000000" w:themeColor="text1"/>
          <w:sz w:val="28"/>
          <w:szCs w:val="28"/>
          <w:highlight w:val="none"/>
          <w:lang w:val="en-US" w:eastAsia="zh-CN"/>
          <w14:textFill>
            <w14:solidFill>
              <w14:schemeClr w14:val="tx1"/>
            </w14:solidFill>
          </w14:textFill>
        </w:rPr>
        <w:t>主</w:t>
      </w:r>
      <w:r>
        <w:rPr>
          <w:rFonts w:hint="eastAsia" w:ascii="仿宋" w:hAnsi="仿宋" w:eastAsia="仿宋" w:cs="仿宋"/>
          <w:color w:val="000000" w:themeColor="text1"/>
          <w:sz w:val="28"/>
          <w:szCs w:val="28"/>
          <w:highlight w:val="none"/>
          <w14:textFill>
            <w14:solidFill>
              <w14:schemeClr w14:val="tx1"/>
            </w14:solidFill>
          </w14:textFill>
        </w:rPr>
        <w:t>合同具有同等法律效力。经双方签署后立即生效。</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第</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bCs/>
          <w:color w:val="000000" w:themeColor="text1"/>
          <w:sz w:val="28"/>
          <w:szCs w:val="28"/>
          <w:highlight w:val="none"/>
          <w14:textFill>
            <w14:solidFill>
              <w14:schemeClr w14:val="tx1"/>
            </w14:solidFill>
          </w14:textFill>
        </w:rPr>
        <w:t>条</w:t>
      </w:r>
      <w:r>
        <w:rPr>
          <w:rFonts w:hint="eastAsia" w:ascii="仿宋" w:hAnsi="仿宋" w:eastAsia="仿宋" w:cs="仿宋"/>
          <w:color w:val="000000" w:themeColor="text1"/>
          <w:sz w:val="28"/>
          <w:szCs w:val="28"/>
          <w:highlight w:val="none"/>
          <w14:textFill>
            <w14:solidFill>
              <w14:schemeClr w14:val="tx1"/>
            </w14:solidFill>
          </w14:textFill>
        </w:rPr>
        <w:t xml:space="preserve"> 本责任书一式四份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由甲乙双方各执一份</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送交甲乙双方的监督单位各一份。</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甲方单位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盖章</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乙方单位</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盖章</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法定代表人（授权人）:           法定代表人（授权人）:</w:t>
      </w:r>
    </w:p>
    <w:p>
      <w:pPr>
        <w:ind w:firstLine="1400" w:firstLineChars="5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（签章）                        （签章）</w:t>
      </w:r>
    </w:p>
    <w:p>
      <w:pPr>
        <w:rPr>
          <w:rFonts w:hint="eastAsia" w:ascii="仿宋" w:hAnsi="仿宋" w:eastAsia="仿宋" w:cs="仿宋"/>
          <w:color w:val="000000" w:themeColor="text1"/>
          <w:sz w:val="28"/>
          <w:szCs w:val="28"/>
          <w:highlight w:val="none"/>
          <w14:textFill>
            <w14:solidFill>
              <w14:schemeClr w14:val="tx1"/>
            </w14:solidFill>
          </w14:textFill>
        </w:rPr>
      </w:pPr>
    </w:p>
    <w:p>
      <w:pPr>
        <w:ind w:firstLine="6440" w:firstLineChars="23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pPr>
        <w:pStyle w:val="2"/>
        <w:rPr>
          <w:rFonts w:hint="eastAsia" w:ascii="仿宋_GB2312" w:eastAsia="仿宋_GB2312"/>
          <w:b/>
          <w:bCs/>
          <w:color w:val="000000" w:themeColor="text1"/>
          <w:sz w:val="36"/>
          <w:szCs w:val="32"/>
          <w:highlight w:val="none"/>
          <w:lang w:val="en-US" w:eastAsia="zh-CN"/>
          <w14:textFill>
            <w14:solidFill>
              <w14:schemeClr w14:val="tx1"/>
            </w14:solidFill>
          </w14:textFill>
        </w:rPr>
      </w:pPr>
    </w:p>
    <w:p>
      <w:pPr>
        <w:spacing w:before="312" w:beforeLines="100" w:line="600" w:lineRule="exact"/>
        <w:jc w:val="both"/>
        <w:rPr>
          <w:rFonts w:hint="eastAsia" w:ascii="仿宋_GB2312" w:eastAsia="仿宋_GB2312"/>
          <w:b/>
          <w:bCs/>
          <w:color w:val="000000" w:themeColor="text1"/>
          <w:sz w:val="36"/>
          <w:szCs w:val="32"/>
          <w:highlight w:val="none"/>
          <w14:textFill>
            <w14:solidFill>
              <w14:schemeClr w14:val="tx1"/>
            </w14:solidFill>
          </w14:textFill>
        </w:rPr>
      </w:pPr>
    </w:p>
    <w:p>
      <w:pPr>
        <w:pStyle w:val="2"/>
        <w:rPr>
          <w:rFonts w:hint="eastAsia" w:ascii="仿宋_GB2312" w:eastAsia="仿宋_GB2312"/>
          <w:b/>
          <w:bCs/>
          <w:color w:val="000000" w:themeColor="text1"/>
          <w:sz w:val="36"/>
          <w:szCs w:val="32"/>
          <w:highlight w:val="none"/>
          <w14:textFill>
            <w14:solidFill>
              <w14:schemeClr w14:val="tx1"/>
            </w14:solidFill>
          </w14:textFill>
        </w:rPr>
      </w:pPr>
    </w:p>
    <w:p>
      <w:pPr>
        <w:pStyle w:val="2"/>
        <w:rPr>
          <w:rFonts w:hint="eastAsia" w:ascii="仿宋_GB2312" w:eastAsia="仿宋_GB2312"/>
          <w:b/>
          <w:bCs/>
          <w:color w:val="000000" w:themeColor="text1"/>
          <w:sz w:val="36"/>
          <w:szCs w:val="32"/>
          <w:highlight w:val="none"/>
          <w14:textFill>
            <w14:solidFill>
              <w14:schemeClr w14:val="tx1"/>
            </w14:solidFill>
          </w14:textFill>
        </w:rPr>
      </w:pPr>
    </w:p>
    <w:p>
      <w:pPr>
        <w:pStyle w:val="2"/>
        <w:rPr>
          <w:rFonts w:hint="eastAsia" w:ascii="仿宋_GB2312" w:eastAsia="仿宋_GB2312"/>
          <w:b/>
          <w:bCs/>
          <w:color w:val="000000" w:themeColor="text1"/>
          <w:sz w:val="36"/>
          <w:szCs w:val="32"/>
          <w:highlight w:val="none"/>
          <w14:textFill>
            <w14:solidFill>
              <w14:schemeClr w14:val="tx1"/>
            </w14:solidFill>
          </w14:textFill>
        </w:rPr>
      </w:pPr>
    </w:p>
    <w:p>
      <w:pPr>
        <w:pStyle w:val="2"/>
        <w:rPr>
          <w:rFonts w:hint="eastAsia" w:ascii="仿宋_GB2312" w:eastAsia="仿宋_GB2312"/>
          <w:b/>
          <w:bCs/>
          <w:color w:val="000000" w:themeColor="text1"/>
          <w:sz w:val="36"/>
          <w:szCs w:val="32"/>
          <w:highlight w:val="none"/>
          <w14:textFill>
            <w14:solidFill>
              <w14:schemeClr w14:val="tx1"/>
            </w14:solidFill>
          </w14:textFill>
        </w:rPr>
      </w:pPr>
    </w:p>
    <w:p>
      <w:pPr>
        <w:pStyle w:val="2"/>
        <w:rPr>
          <w:rFonts w:hint="eastAsia" w:ascii="仿宋_GB2312" w:eastAsia="仿宋_GB2312"/>
          <w:b/>
          <w:bCs/>
          <w:color w:val="000000" w:themeColor="text1"/>
          <w:sz w:val="36"/>
          <w:szCs w:val="32"/>
          <w:highlight w:val="none"/>
          <w14:textFill>
            <w14:solidFill>
              <w14:schemeClr w14:val="tx1"/>
            </w14:solidFill>
          </w14:textFill>
        </w:rPr>
      </w:pPr>
    </w:p>
    <w:p>
      <w:pPr>
        <w:spacing w:before="312" w:beforeLines="100" w:line="600" w:lineRule="exact"/>
        <w:jc w:val="center"/>
        <w:rPr>
          <w:rFonts w:hint="eastAsia" w:ascii="仿宋_GB2312" w:eastAsia="仿宋_GB2312"/>
          <w:b/>
          <w:bCs/>
          <w:color w:val="000000" w:themeColor="text1"/>
          <w:sz w:val="36"/>
          <w:szCs w:val="32"/>
          <w:highlight w:val="none"/>
          <w14:textFill>
            <w14:solidFill>
              <w14:schemeClr w14:val="tx1"/>
            </w14:solidFill>
          </w14:textFill>
        </w:rPr>
      </w:pPr>
      <w:r>
        <w:rPr>
          <w:rFonts w:hint="eastAsia" w:ascii="仿宋_GB2312" w:eastAsia="仿宋_GB2312"/>
          <w:b/>
          <w:bCs/>
          <w:color w:val="000000" w:themeColor="text1"/>
          <w:sz w:val="36"/>
          <w:szCs w:val="32"/>
          <w:highlight w:val="none"/>
          <w14:textFill>
            <w14:solidFill>
              <w14:schemeClr w14:val="tx1"/>
            </w14:solidFill>
          </w14:textFill>
        </w:rPr>
        <w:t>第四章  招标内容及需求</w:t>
      </w:r>
    </w:p>
    <w:p>
      <w:pPr>
        <w:pStyle w:val="11"/>
        <w:tabs>
          <w:tab w:val="left" w:pos="518"/>
        </w:tabs>
        <w:spacing w:line="360" w:lineRule="auto"/>
        <w:ind w:firstLine="0"/>
        <w:jc w:val="both"/>
        <w:rPr>
          <w:b/>
          <w:bCs/>
          <w:color w:val="000000" w:themeColor="text1"/>
          <w:sz w:val="24"/>
          <w:szCs w:val="24"/>
          <w14:textFill>
            <w14:solidFill>
              <w14:schemeClr w14:val="tx1"/>
            </w14:solidFill>
          </w14:textFill>
        </w:rPr>
      </w:pPr>
      <w:bookmarkStart w:id="0" w:name="bookmark22"/>
      <w:bookmarkStart w:id="1" w:name="_Toc53927161"/>
      <w:bookmarkStart w:id="2" w:name="_Toc299347524"/>
      <w:r>
        <w:rPr>
          <w:rFonts w:hint="eastAsia"/>
          <w:b/>
          <w:bCs/>
          <w:color w:val="000000" w:themeColor="text1"/>
          <w:sz w:val="24"/>
          <w:szCs w:val="24"/>
          <w14:textFill>
            <w14:solidFill>
              <w14:schemeClr w14:val="tx1"/>
            </w14:solidFill>
          </w14:textFill>
        </w:rPr>
        <w:t>一</w:t>
      </w:r>
      <w:bookmarkEnd w:id="0"/>
      <w:r>
        <w:rPr>
          <w:rFonts w:hint="eastAsia"/>
          <w:b/>
          <w:bCs/>
          <w:color w:val="000000" w:themeColor="text1"/>
          <w:sz w:val="24"/>
          <w:szCs w:val="24"/>
          <w14:textFill>
            <w14:solidFill>
              <w14:schemeClr w14:val="tx1"/>
            </w14:solidFill>
          </w14:textFill>
        </w:rPr>
        <w:t>、釆购清单</w:t>
      </w:r>
    </w:p>
    <w:tbl>
      <w:tblPr>
        <w:tblStyle w:val="9"/>
        <w:tblW w:w="0" w:type="auto"/>
        <w:jc w:val="center"/>
        <w:tblLayout w:type="fixed"/>
        <w:tblCellMar>
          <w:top w:w="0" w:type="dxa"/>
          <w:left w:w="108" w:type="dxa"/>
          <w:bottom w:w="0" w:type="dxa"/>
          <w:right w:w="108" w:type="dxa"/>
        </w:tblCellMar>
      </w:tblPr>
      <w:tblGrid>
        <w:gridCol w:w="895"/>
        <w:gridCol w:w="1237"/>
        <w:gridCol w:w="1550"/>
        <w:gridCol w:w="1800"/>
        <w:gridCol w:w="3041"/>
      </w:tblGrid>
      <w:tr>
        <w:tblPrEx>
          <w:tblCellMar>
            <w:top w:w="0" w:type="dxa"/>
            <w:left w:w="108" w:type="dxa"/>
            <w:bottom w:w="0" w:type="dxa"/>
            <w:right w:w="108" w:type="dxa"/>
          </w:tblCellMar>
        </w:tblPrEx>
        <w:trPr>
          <w:trHeight w:val="454"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zh-CN" w:eastAsia="zh-TW"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编 号</w:t>
            </w:r>
          </w:p>
        </w:tc>
        <w:tc>
          <w:tcPr>
            <w:tcW w:w="12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zh-CN" w:eastAsia="zh-TW"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名 称</w:t>
            </w: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规 格</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单位（只）</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单价上限价（元/只）</w:t>
            </w:r>
          </w:p>
        </w:tc>
      </w:tr>
      <w:tr>
        <w:tblPrEx>
          <w:tblCellMar>
            <w:top w:w="0" w:type="dxa"/>
            <w:left w:w="108" w:type="dxa"/>
            <w:bottom w:w="0" w:type="dxa"/>
            <w:right w:w="108" w:type="dxa"/>
          </w:tblCellMar>
        </w:tblPrEx>
        <w:trPr>
          <w:trHeight w:val="37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zh-CN" w:eastAsia="zh-TW"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37"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TW" w:bidi="zh-TW"/>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智能水表（无线）</w:t>
            </w: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DN15</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 xml:space="preserve"> 280</w:t>
            </w:r>
          </w:p>
        </w:tc>
      </w:tr>
      <w:tr>
        <w:tblPrEx>
          <w:tblCellMar>
            <w:top w:w="0" w:type="dxa"/>
            <w:left w:w="108" w:type="dxa"/>
            <w:bottom w:w="0" w:type="dxa"/>
            <w:right w:w="108" w:type="dxa"/>
          </w:tblCellMar>
        </w:tblPrEx>
        <w:trPr>
          <w:trHeight w:val="40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37"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color w:val="000000" w:themeColor="text1"/>
                <w:lang w:val="en-US" w:eastAsia="zh-CN"/>
                <w14:textFill>
                  <w14:solidFill>
                    <w14:schemeClr w14:val="tx1"/>
                  </w14:solidFill>
                </w14:textFill>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DN20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300</w:t>
            </w:r>
          </w:p>
        </w:tc>
      </w:tr>
      <w:tr>
        <w:tblPrEx>
          <w:tblCellMar>
            <w:top w:w="0" w:type="dxa"/>
            <w:left w:w="108" w:type="dxa"/>
            <w:bottom w:w="0" w:type="dxa"/>
            <w:right w:w="108" w:type="dxa"/>
          </w:tblCellMar>
        </w:tblPrEx>
        <w:trPr>
          <w:trHeight w:val="34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237"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000000" w:themeColor="text1"/>
                <w:lang w:val="en-US" w:eastAsia="zh-CN"/>
                <w14:textFill>
                  <w14:solidFill>
                    <w14:schemeClr w14:val="tx1"/>
                  </w14:solidFill>
                </w14:textFill>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DN25 </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320</w:t>
            </w:r>
          </w:p>
        </w:tc>
      </w:tr>
      <w:tr>
        <w:tblPrEx>
          <w:tblCellMar>
            <w:top w:w="0" w:type="dxa"/>
            <w:left w:w="108" w:type="dxa"/>
            <w:bottom w:w="0" w:type="dxa"/>
            <w:right w:w="108" w:type="dxa"/>
          </w:tblCellMar>
        </w:tblPrEx>
        <w:trPr>
          <w:trHeight w:val="304"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237"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DN40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 xml:space="preserve"> 1300</w:t>
            </w:r>
          </w:p>
        </w:tc>
      </w:tr>
      <w:tr>
        <w:tblPrEx>
          <w:tblCellMar>
            <w:top w:w="0" w:type="dxa"/>
            <w:left w:w="108" w:type="dxa"/>
            <w:bottom w:w="0" w:type="dxa"/>
            <w:right w:w="108" w:type="dxa"/>
          </w:tblCellMar>
        </w:tblPrEx>
        <w:trPr>
          <w:trHeight w:val="34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237"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DN50 </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1900</w:t>
            </w:r>
          </w:p>
        </w:tc>
      </w:tr>
      <w:tr>
        <w:tblPrEx>
          <w:tblCellMar>
            <w:top w:w="0" w:type="dxa"/>
            <w:left w:w="108" w:type="dxa"/>
            <w:bottom w:w="0" w:type="dxa"/>
            <w:right w:w="108" w:type="dxa"/>
          </w:tblCellMar>
        </w:tblPrEx>
        <w:trPr>
          <w:trHeight w:val="34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237"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DN80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2300</w:t>
            </w:r>
          </w:p>
        </w:tc>
      </w:tr>
      <w:tr>
        <w:tblPrEx>
          <w:tblCellMar>
            <w:top w:w="0" w:type="dxa"/>
            <w:left w:w="108" w:type="dxa"/>
            <w:bottom w:w="0" w:type="dxa"/>
            <w:right w:w="108" w:type="dxa"/>
          </w:tblCellMar>
        </w:tblPrEx>
        <w:trPr>
          <w:trHeight w:val="319"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237"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
                <w:bCs/>
                <w:color w:val="000000" w:themeColor="text1"/>
                <w:sz w:val="24"/>
                <w:szCs w:val="24"/>
                <w:lang w:val="en-US" w:eastAsia="zh-CN" w:bidi="zh-TW"/>
                <w14:textFill>
                  <w14:solidFill>
                    <w14:schemeClr w14:val="tx1"/>
                  </w14:solidFill>
                </w14:textFill>
              </w:rPr>
            </w:pPr>
          </w:p>
        </w:tc>
        <w:tc>
          <w:tcPr>
            <w:tcW w:w="15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DN100</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lang w:val="en-US" w:eastAsia="zh-CN" w:bidi="zh-TW"/>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0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cs="宋体"/>
                <w:bCs/>
                <w:color w:val="000000" w:themeColor="text1"/>
                <w:sz w:val="24"/>
                <w:lang w:val="en-US" w:eastAsia="zh-CN"/>
                <w14:textFill>
                  <w14:solidFill>
                    <w14:schemeClr w14:val="tx1"/>
                  </w14:solidFill>
                </w14:textFill>
              </w:rPr>
              <w:t>2600</w:t>
            </w:r>
          </w:p>
        </w:tc>
      </w:tr>
      <w:bookmarkEnd w:id="1"/>
      <w:bookmarkEnd w:id="2"/>
    </w:tbl>
    <w:p>
      <w:pPr>
        <w:widowControl/>
        <w:snapToGrid w:val="0"/>
        <w:spacing w:line="360" w:lineRule="auto"/>
        <w:ind w:left="239" w:leftChars="114" w:firstLine="240" w:firstLineChars="100"/>
        <w:jc w:val="left"/>
        <w:rPr>
          <w:rFonts w:hint="default" w:ascii="宋体" w:hAnsi="宋体" w:eastAsia="宋体" w:cs="Times New Roman"/>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b w:val="0"/>
          <w:bCs w:val="0"/>
          <w:color w:val="000000" w:themeColor="text1"/>
          <w:sz w:val="24"/>
          <w:highlight w:val="none"/>
          <w:lang w:val="en-US" w:eastAsia="zh-CN"/>
          <w14:textFill>
            <w14:solidFill>
              <w14:schemeClr w14:val="tx1"/>
            </w14:solidFill>
          </w14:textFill>
        </w:rPr>
        <w:t>实际供货数量按采购人实际使用需求为准，结算时以实际供货结算。合同服务时间到期，若支付价款不足合同总价款的60%，经双方协商一致，可延长半年服务时间后终止采购合同；若支付价款超出合同</w:t>
      </w: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总价款的60%，则采购合同自动终止。安装过程及中间连接等发生的损耗、由各投标人在投标报价时综合考虑，不再另行计取。采购合同履行期间，采购人支付至合同总价款则采购合同自动终止。</w:t>
      </w:r>
    </w:p>
    <w:p>
      <w:pPr>
        <w:keepNext w:val="0"/>
        <w:keepLines w:val="0"/>
        <w:pageBreakBefore w:val="0"/>
        <w:widowControl w:val="0"/>
        <w:kinsoku/>
        <w:wordWrap/>
        <w:overflowPunct/>
        <w:topLinePunct w:val="0"/>
        <w:autoSpaceDE/>
        <w:autoSpaceDN/>
        <w:bidi w:val="0"/>
        <w:adjustRightInd/>
        <w:spacing w:line="430" w:lineRule="exact"/>
        <w:ind w:right="0" w:rightChars="0" w:firstLine="480" w:firstLineChars="200"/>
        <w:textAlignment w:val="auto"/>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2、合同履行期间，可能需提供其他本清单中未列明的智能水表，中标人不得拒绝。单价经双方协商一致后且不得高于市场价，结算时按中标</w:t>
      </w: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折扣率</w:t>
      </w: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计算货款。供应商报价时应自行考虑相关风险。</w:t>
      </w:r>
    </w:p>
    <w:p>
      <w:pPr>
        <w:keepNext w:val="0"/>
        <w:keepLines w:val="0"/>
        <w:pageBreakBefore w:val="0"/>
        <w:widowControl w:val="0"/>
        <w:kinsoku/>
        <w:wordWrap/>
        <w:overflowPunct/>
        <w:topLinePunct w:val="0"/>
        <w:autoSpaceDE/>
        <w:autoSpaceDN/>
        <w:bidi w:val="0"/>
        <w:adjustRightInd/>
        <w:spacing w:line="430" w:lineRule="exact"/>
        <w:ind w:right="0" w:rightChars="0" w:firstLine="480" w:firstLineChars="200"/>
        <w:textAlignment w:val="auto"/>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3、中标后中标人提供的智能水表（无线）DN15-DN25必须取得浙江省市场监督管理局或台州市市场监督管理局授权的第三方检测机构的强制检定证书，授权区域需为浙江省或台州市。</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智能水表（无线</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w:t>
      </w:r>
      <w:r>
        <w:rPr>
          <w:rFonts w:hint="eastAsia" w:ascii="宋体" w:hAnsi="宋体" w:eastAsia="宋体" w:cs="Times New Roman"/>
          <w:b w:val="0"/>
          <w:bCs w:val="0"/>
          <w:color w:val="000000" w:themeColor="text1"/>
          <w:sz w:val="24"/>
          <w:highlight w:val="none"/>
          <w:lang w:val="en-US" w:eastAsia="zh-CN"/>
          <w14:textFill>
            <w14:solidFill>
              <w14:schemeClr w14:val="tx1"/>
            </w14:solidFill>
          </w14:textFill>
        </w:rPr>
        <w:t>DN15-DN25必须包含所有检测相关费用。</w:t>
      </w:r>
    </w:p>
    <w:p>
      <w:pPr>
        <w:pStyle w:val="3"/>
        <w:ind w:firstLine="480" w:firstLineChars="200"/>
        <w:rPr>
          <w:rFonts w:hint="default" w:ascii="宋体" w:hAnsi="宋体"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0"/>
          <w:kern w:val="2"/>
          <w:sz w:val="24"/>
          <w:szCs w:val="24"/>
          <w:highlight w:val="none"/>
          <w:lang w:val="en-US" w:eastAsia="zh-CN" w:bidi="ar-SA"/>
          <w14:textFill>
            <w14:solidFill>
              <w14:schemeClr w14:val="tx1"/>
            </w14:solidFill>
          </w14:textFill>
        </w:rPr>
        <w:t>4、智能水表（无线）DN40-DN100大表使用WS螺翼式基表。</w:t>
      </w:r>
    </w:p>
    <w:p>
      <w:pPr>
        <w:keepNext w:val="0"/>
        <w:keepLines w:val="0"/>
        <w:pageBreakBefore w:val="0"/>
        <w:widowControl w:val="0"/>
        <w:kinsoku/>
        <w:wordWrap/>
        <w:overflowPunct/>
        <w:topLinePunct w:val="0"/>
        <w:autoSpaceDE/>
        <w:autoSpaceDN/>
        <w:bidi w:val="0"/>
        <w:adjustRightInd/>
        <w:spacing w:line="430" w:lineRule="exact"/>
        <w:ind w:right="0" w:rightChars="0"/>
        <w:textAlignment w:val="auto"/>
        <w:rPr>
          <w:rFonts w:hint="eastAsia" w:ascii="宋体" w:hAnsi="宋体" w:eastAsia="宋体" w:cs="Times New Roman"/>
          <w:b/>
          <w:bCs/>
          <w:color w:val="000000" w:themeColor="text1"/>
          <w:sz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二、项目总体要求</w:t>
      </w:r>
    </w:p>
    <w:p>
      <w:pPr>
        <w:pStyle w:val="11"/>
        <w:spacing w:line="360" w:lineRule="auto"/>
        <w:ind w:firstLine="480" w:firstLineChars="20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1、</w:t>
      </w:r>
      <w:r>
        <w:rPr>
          <w:rFonts w:hint="eastAsia"/>
          <w:color w:val="000000" w:themeColor="text1"/>
          <w:sz w:val="24"/>
          <w:szCs w:val="24"/>
          <w:highlight w:val="none"/>
          <w14:textFill>
            <w14:solidFill>
              <w14:schemeClr w14:val="tx1"/>
            </w14:solidFill>
          </w14:textFill>
        </w:rPr>
        <w:t>本技术规范要求提出的是最低限度的基本技术要求，并未对所有技术细节作出规定，供应商应提供符合本技术要求和国家标准、行业标准的优质产品。</w:t>
      </w:r>
    </w:p>
    <w:p>
      <w:pPr>
        <w:pStyle w:val="11"/>
        <w:spacing w:line="360" w:lineRule="auto"/>
        <w:ind w:firstLine="480" w:firstLineChars="20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bidi="en-US"/>
          <w14:textFill>
            <w14:solidFill>
              <w14:schemeClr w14:val="tx1"/>
            </w14:solidFill>
          </w14:textFill>
        </w:rPr>
        <w:t>2、</w:t>
      </w:r>
      <w:r>
        <w:rPr>
          <w:rFonts w:hint="eastAsia"/>
          <w:color w:val="000000" w:themeColor="text1"/>
          <w:sz w:val="24"/>
          <w:szCs w:val="24"/>
          <w:highlight w:val="none"/>
          <w14:textFill>
            <w14:solidFill>
              <w14:schemeClr w14:val="tx1"/>
            </w14:solidFill>
          </w14:textFill>
        </w:rPr>
        <w:t>供应商产品与本技术要求不一致时，供应商应在投标文件中予以说明，并由评标委员会鉴定供应商产品能否达到要求。如供应商没有在投标文件中提出异议，则视为供应商提供的产品 完全按照本招标文件要求。</w:t>
      </w:r>
    </w:p>
    <w:p>
      <w:pPr>
        <w:pStyle w:val="11"/>
        <w:spacing w:line="360" w:lineRule="auto"/>
        <w:ind w:firstLine="480" w:firstLineChars="20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技术要求及标准的执行</w:t>
      </w:r>
    </w:p>
    <w:p>
      <w:pPr>
        <w:pStyle w:val="11"/>
        <w:spacing w:line="360" w:lineRule="auto"/>
        <w:ind w:firstLine="480" w:firstLineChars="20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供应商提供的产品应标明所执行的质量标准，若同一标准已颁发新标准，则按最新标准执行。若同一产品同时有几个标准（国际标准、国家标准、行业标准、企业标准等），则按最高层次的标准执行。</w:t>
      </w:r>
    </w:p>
    <w:p>
      <w:pPr>
        <w:pStyle w:val="11"/>
        <w:spacing w:line="360" w:lineRule="auto"/>
        <w:ind w:firstLine="480" w:firstLineChars="20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供应商须按国家有关规定及标准完成本次</w:t>
      </w:r>
      <w:r>
        <w:rPr>
          <w:rFonts w:hint="eastAsia"/>
          <w:color w:val="000000" w:themeColor="text1"/>
          <w:sz w:val="24"/>
          <w:szCs w:val="24"/>
          <w:highlight w:val="none"/>
          <w:lang w:eastAsia="zh-CN"/>
          <w14:textFill>
            <w14:solidFill>
              <w14:schemeClr w14:val="tx1"/>
            </w14:solidFill>
          </w14:textFill>
        </w:rPr>
        <w:t>采</w:t>
      </w:r>
      <w:r>
        <w:rPr>
          <w:rFonts w:hint="eastAsia"/>
          <w:color w:val="000000" w:themeColor="text1"/>
          <w:sz w:val="24"/>
          <w:szCs w:val="24"/>
          <w:highlight w:val="none"/>
          <w14:textFill>
            <w14:solidFill>
              <w14:schemeClr w14:val="tx1"/>
            </w14:solidFill>
          </w14:textFill>
        </w:rPr>
        <w:t>购产品的供货、运输、装卸、就位、调试、技术培训、检验、通过有关部门验收、维保期服务、产品终身维修等各项工作，并保证投标产品使用的安全性能与检测结果的可靠性。如中标，</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及制造商对中标产品使用的安全性能与可靠性负全部责任。</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须随产品提供使用说明书与维保卡。供应商提供相关数据与说明，投标文件须对下列要求作出实质性回应。</w:t>
      </w:r>
    </w:p>
    <w:p>
      <w:pPr>
        <w:pStyle w:val="11"/>
        <w:spacing w:line="360" w:lineRule="auto"/>
        <w:ind w:firstLine="482" w:firstLineChars="200"/>
        <w:jc w:val="both"/>
        <w:rPr>
          <w:rFonts w:hint="eastAsia"/>
          <w:b/>
          <w:bCs/>
          <w:color w:val="000000" w:themeColor="text1"/>
          <w:sz w:val="24"/>
          <w:szCs w:val="24"/>
          <w:highlight w:val="none"/>
          <w:u w:val="none"/>
          <w:lang w:eastAsia="zh-CN"/>
          <w14:textFill>
            <w14:solidFill>
              <w14:schemeClr w14:val="tx1"/>
            </w14:solidFill>
          </w14:textFill>
        </w:rPr>
      </w:pPr>
      <w:r>
        <w:rPr>
          <w:rFonts w:hint="eastAsia"/>
          <w:b/>
          <w:bCs/>
          <w:color w:val="000000" w:themeColor="text1"/>
          <w:sz w:val="24"/>
          <w:szCs w:val="24"/>
          <w:highlight w:val="none"/>
          <w:u w:val="none"/>
          <w:lang w:val="en-US" w:eastAsia="zh-CN"/>
          <w14:textFill>
            <w14:solidFill>
              <w14:schemeClr w14:val="tx1"/>
            </w14:solidFill>
          </w14:textFill>
        </w:rPr>
        <w:t>5、</w:t>
      </w:r>
      <w:r>
        <w:rPr>
          <w:rFonts w:hint="eastAsia"/>
          <w:b/>
          <w:bCs/>
          <w:color w:val="000000" w:themeColor="text1"/>
          <w:sz w:val="24"/>
          <w:szCs w:val="24"/>
          <w:highlight w:val="none"/>
          <w:u w:val="none"/>
          <w14:textFill>
            <w14:solidFill>
              <w14:schemeClr w14:val="tx1"/>
            </w14:solidFill>
          </w14:textFill>
        </w:rPr>
        <w:t>所有参数是为了对拟投标的货物的技术指标和功能要求更好的说明，欢迎其他能满足本项目技术需求且性</w:t>
      </w:r>
      <w:r>
        <w:rPr>
          <w:rFonts w:hint="eastAsia"/>
          <w:b/>
          <w:bCs/>
          <w:color w:val="000000" w:themeColor="text1"/>
          <w:sz w:val="24"/>
          <w:szCs w:val="24"/>
          <w:highlight w:val="none"/>
          <w:u w:val="none"/>
          <w:lang w:eastAsia="zh-CN"/>
          <w14:textFill>
            <w14:solidFill>
              <w14:schemeClr w14:val="tx1"/>
            </w14:solidFill>
          </w14:textFill>
        </w:rPr>
        <w:t>能</w:t>
      </w:r>
      <w:r>
        <w:rPr>
          <w:rFonts w:hint="eastAsia"/>
          <w:b/>
          <w:bCs/>
          <w:color w:val="000000" w:themeColor="text1"/>
          <w:sz w:val="24"/>
          <w:szCs w:val="24"/>
          <w:highlight w:val="none"/>
          <w:u w:val="none"/>
          <w14:textFill>
            <w14:solidFill>
              <w14:schemeClr w14:val="tx1"/>
            </w14:solidFill>
          </w14:textFill>
        </w:rPr>
        <w:t>相当的产品参加。产品性能是否相当由评标委员会按少数服从多数原则认</w:t>
      </w:r>
      <w:r>
        <w:rPr>
          <w:rFonts w:hint="eastAsia"/>
          <w:b/>
          <w:bCs/>
          <w:color w:val="000000" w:themeColor="text1"/>
          <w:sz w:val="24"/>
          <w:szCs w:val="24"/>
          <w:highlight w:val="none"/>
          <w:u w:val="none"/>
          <w:lang w:eastAsia="zh-CN"/>
          <w14:textFill>
            <w14:solidFill>
              <w14:schemeClr w14:val="tx1"/>
            </w14:solidFill>
          </w14:textFill>
        </w:rPr>
        <w:t>定。</w:t>
      </w:r>
    </w:p>
    <w:p>
      <w:pPr>
        <w:pStyle w:val="11"/>
        <w:numPr>
          <w:ilvl w:val="0"/>
          <w:numId w:val="1"/>
        </w:numPr>
        <w:tabs>
          <w:tab w:val="left" w:pos="844"/>
        </w:tabs>
        <w:spacing w:line="360" w:lineRule="auto"/>
        <w:ind w:firstLine="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技术要求</w:t>
      </w:r>
    </w:p>
    <w:p>
      <w:pPr>
        <w:widowControl/>
        <w:autoSpaceDE w:val="0"/>
        <w:autoSpaceDN w:val="0"/>
        <w:adjustRightInd w:val="0"/>
        <w:snapToGrid w:val="0"/>
        <w:spacing w:line="440" w:lineRule="atLeast"/>
        <w:ind w:left="239" w:leftChars="114" w:firstLine="240" w:firstLineChars="100"/>
        <w:textAlignment w:val="bottom"/>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结合目前我县新建小区以及老旧小区的现状，今后我公司拟全部采用无线智能远传水表。</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1、对采购的无线智能远传水表的技术要求简单如下：</w:t>
      </w:r>
    </w:p>
    <w:p>
      <w:pPr>
        <w:widowControl/>
        <w:autoSpaceDE w:val="0"/>
        <w:autoSpaceDN w:val="0"/>
        <w:adjustRightInd w:val="0"/>
        <w:snapToGrid w:val="0"/>
        <w:spacing w:line="440" w:lineRule="atLeast"/>
        <w:ind w:firstLine="480" w:firstLineChars="200"/>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1.1 </w:t>
      </w:r>
      <w:r>
        <w:rPr>
          <w:rFonts w:hint="eastAsia" w:ascii="宋体" w:hAnsi="宋体" w:eastAsia="宋体" w:cs="宋体"/>
          <w:bCs/>
          <w:color w:val="000000" w:themeColor="text1"/>
          <w:sz w:val="24"/>
          <w:szCs w:val="24"/>
          <w:highlight w:val="none"/>
          <w14:textFill>
            <w14:solidFill>
              <w14:schemeClr w14:val="tx1"/>
            </w14:solidFill>
          </w14:textFill>
        </w:rPr>
        <w:t>耐久性：电子远传水表应能承受按GB/T 778.3-1996第8章和第10.1.3.5条规定的加速磨损试验</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GB/T 778.5-2018</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第五部分：安装要求</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1.2 </w:t>
      </w:r>
      <w:r>
        <w:rPr>
          <w:rFonts w:hint="eastAsia" w:ascii="宋体" w:hAnsi="宋体" w:eastAsia="宋体" w:cs="宋体"/>
          <w:bCs/>
          <w:color w:val="000000" w:themeColor="text1"/>
          <w:sz w:val="24"/>
          <w:szCs w:val="24"/>
          <w:highlight w:val="none"/>
          <w14:textFill>
            <w14:solidFill>
              <w14:schemeClr w14:val="tx1"/>
            </w14:solidFill>
          </w14:textFill>
        </w:rPr>
        <w:t>电源影响：电池电源中断时，电子远传水表不应损坏和丢失内存数据，电源恢复后能正常工作。</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1.3 </w:t>
      </w:r>
      <w:r>
        <w:rPr>
          <w:rFonts w:hint="eastAsia" w:ascii="宋体" w:hAnsi="宋体" w:eastAsia="宋体" w:cs="宋体"/>
          <w:bCs/>
          <w:color w:val="000000" w:themeColor="text1"/>
          <w:sz w:val="24"/>
          <w:szCs w:val="24"/>
          <w:highlight w:val="none"/>
          <w14:textFill>
            <w14:solidFill>
              <w14:schemeClr w14:val="tx1"/>
            </w14:solidFill>
          </w14:textFill>
        </w:rPr>
        <w:t>电子装置可靠性：在规定的使用条件下，电子远传水表电子装置的平均无故障工作时间（MTBF）应不小于4000h。</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1.4 </w:t>
      </w:r>
      <w:r>
        <w:rPr>
          <w:rFonts w:hint="eastAsia" w:ascii="宋体" w:hAnsi="宋体" w:eastAsia="宋体" w:cs="宋体"/>
          <w:bCs/>
          <w:color w:val="000000" w:themeColor="text1"/>
          <w:sz w:val="24"/>
          <w:szCs w:val="24"/>
          <w:highlight w:val="none"/>
          <w14:textFill>
            <w14:solidFill>
              <w14:schemeClr w14:val="tx1"/>
            </w14:solidFill>
          </w14:textFill>
        </w:rPr>
        <w:t>抗运输冲击性能：在运输包装条件下，电子远传水表经JB/T9329</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废止</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规定的模拟运输连续冲击和自由跌落试验后，不应损坏和丢失信息，能正常工作。</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1.5 </w:t>
      </w:r>
      <w:r>
        <w:rPr>
          <w:rFonts w:hint="eastAsia" w:ascii="宋体" w:hAnsi="宋体" w:eastAsia="宋体" w:cs="宋体"/>
          <w:bCs/>
          <w:color w:val="000000" w:themeColor="text1"/>
          <w:sz w:val="24"/>
          <w:szCs w:val="24"/>
          <w:highlight w:val="none"/>
          <w14:textFill>
            <w14:solidFill>
              <w14:schemeClr w14:val="tx1"/>
            </w14:solidFill>
          </w14:textFill>
        </w:rPr>
        <w:t>防水防潮功能：水表为防水设计，必须有经过国家相关部门防水防潮检验的试验报告。</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1.6 </w:t>
      </w:r>
      <w:r>
        <w:rPr>
          <w:rFonts w:hint="eastAsia" w:ascii="宋体" w:hAnsi="宋体" w:eastAsia="宋体" w:cs="宋体"/>
          <w:bCs/>
          <w:color w:val="000000" w:themeColor="text1"/>
          <w:sz w:val="24"/>
          <w:szCs w:val="24"/>
          <w:highlight w:val="none"/>
          <w14:textFill>
            <w14:solidFill>
              <w14:schemeClr w14:val="tx1"/>
            </w14:solidFill>
          </w14:textFill>
        </w:rPr>
        <w:t>防磁干扰功能：智能水表有电磁干扰指标，当受到外部电磁干扰时，不应损坏和丢失内存数据</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1.7 </w:t>
      </w:r>
      <w:r>
        <w:rPr>
          <w:rFonts w:hint="eastAsia" w:ascii="宋体" w:hAnsi="宋体" w:eastAsia="宋体" w:cs="宋体"/>
          <w:bCs/>
          <w:color w:val="000000" w:themeColor="text1"/>
          <w:sz w:val="24"/>
          <w:szCs w:val="24"/>
          <w:highlight w:val="none"/>
          <w14:textFill>
            <w14:solidFill>
              <w14:schemeClr w14:val="tx1"/>
            </w14:solidFill>
          </w14:textFill>
        </w:rPr>
        <w:t>便于维护功能：若水表机芯模糊或计量不准确，机械部分能独立拆开，不影响电子部分的情况</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可以进行</w:t>
      </w:r>
      <w:r>
        <w:rPr>
          <w:rFonts w:hint="eastAsia" w:ascii="宋体" w:hAnsi="宋体" w:eastAsia="宋体" w:cs="宋体"/>
          <w:bCs/>
          <w:color w:val="000000" w:themeColor="text1"/>
          <w:sz w:val="24"/>
          <w:szCs w:val="24"/>
          <w:highlight w:val="none"/>
          <w14:textFill>
            <w14:solidFill>
              <w14:schemeClr w14:val="tx1"/>
            </w14:solidFill>
          </w14:textFill>
        </w:rPr>
        <w:t>更换</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1.8 电池寿命：满足电池使用寿命在6年以上。</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1.9 尺寸相关：智能水表安装尺寸和普通水表安装尺寸一致，可相互替换使用。</w:t>
      </w:r>
    </w:p>
    <w:p>
      <w:pPr>
        <w:widowControl/>
        <w:autoSpaceDE w:val="0"/>
        <w:autoSpaceDN w:val="0"/>
        <w:adjustRightInd w:val="0"/>
        <w:snapToGrid w:val="0"/>
        <w:spacing w:line="440" w:lineRule="atLeast"/>
        <w:ind w:firstLine="480" w:firstLineChars="200"/>
        <w:textAlignment w:val="bottom"/>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1.10 如采购人以后建立智能表统一数据对接平台，中标人需无条件接受。</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val="0"/>
          <w:color w:val="000000" w:themeColor="text1"/>
          <w:sz w:val="24"/>
          <w:szCs w:val="24"/>
          <w:highlight w:val="none"/>
          <w14:textFill>
            <w14:solidFill>
              <w14:schemeClr w14:val="tx1"/>
            </w14:solidFill>
          </w14:textFill>
        </w:rPr>
        <w:t>、技术标准</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货物所有指标应符合以下国家或行业相关标准的最新版本：</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2.1 </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GB</w:t>
      </w:r>
      <w:r>
        <w:rPr>
          <w:rFonts w:hint="eastAsia" w:ascii="宋体" w:hAnsi="宋体"/>
          <w:color w:val="000000" w:themeColor="text1"/>
          <w:sz w:val="24"/>
          <w:highlight w:val="none"/>
          <w:lang w:val="zh-CN"/>
          <w14:textFill>
            <w14:solidFill>
              <w14:schemeClr w14:val="tx1"/>
            </w14:solidFill>
          </w14:textFill>
        </w:rPr>
        <w:t>/T778</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18</w:t>
      </w:r>
      <w:r>
        <w:rPr>
          <w:rFonts w:hint="eastAsia" w:ascii="宋体" w:hAnsi="宋体"/>
          <w:color w:val="000000" w:themeColor="text1"/>
          <w:sz w:val="24"/>
          <w:highlight w:val="none"/>
          <w:lang w:val="zh-CN"/>
          <w14:textFill>
            <w14:solidFill>
              <w14:schemeClr w14:val="tx1"/>
            </w14:solidFill>
          </w14:textFill>
        </w:rPr>
        <w:t>《饮用冷水水表和热水水表》</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2.2 JJG 162-2019</w:t>
      </w:r>
      <w:r>
        <w:rPr>
          <w:rFonts w:hint="eastAsia" w:ascii="宋体" w:hAnsi="宋体"/>
          <w:color w:val="000000" w:themeColor="text1"/>
          <w:sz w:val="24"/>
          <w:highlight w:val="none"/>
          <w:lang w:val="zh-CN"/>
          <w14:textFill>
            <w14:solidFill>
              <w14:schemeClr w14:val="tx1"/>
            </w14:solidFill>
          </w14:textFill>
        </w:rPr>
        <w:t xml:space="preserve">   《冷水水表</w:t>
      </w:r>
      <w:r>
        <w:rPr>
          <w:rFonts w:hint="eastAsia" w:ascii="宋体" w:hAnsi="宋体"/>
          <w:color w:val="000000" w:themeColor="text1"/>
          <w:sz w:val="24"/>
          <w:highlight w:val="none"/>
          <w14:textFill>
            <w14:solidFill>
              <w14:schemeClr w14:val="tx1"/>
            </w14:solidFill>
          </w14:textFill>
        </w:rPr>
        <w:t>检定规程</w:t>
      </w:r>
      <w:r>
        <w:rPr>
          <w:rFonts w:hint="eastAsia" w:ascii="宋体" w:hAnsi="宋体"/>
          <w:color w:val="000000" w:themeColor="text1"/>
          <w:sz w:val="24"/>
          <w:highlight w:val="none"/>
          <w:lang w:val="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2.3  </w:t>
      </w:r>
      <w:r>
        <w:rPr>
          <w:rFonts w:hint="eastAsia" w:ascii="宋体" w:hAnsi="宋体" w:eastAsia="宋体" w:cs="宋体"/>
          <w:bCs/>
          <w:color w:val="000000" w:themeColor="text1"/>
          <w:sz w:val="24"/>
          <w:szCs w:val="24"/>
          <w:highlight w:val="none"/>
          <w14:textFill>
            <w14:solidFill>
              <w14:schemeClr w14:val="tx1"/>
            </w14:solidFill>
          </w14:textFill>
        </w:rPr>
        <w:t>CJ/T224《电子远传水表》</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2.4 </w:t>
      </w:r>
      <w:r>
        <w:rPr>
          <w:rFonts w:hint="eastAsia" w:ascii="宋体" w:hAnsi="宋体" w:eastAsia="宋体" w:cs="宋体"/>
          <w:bCs/>
          <w:color w:val="000000" w:themeColor="text1"/>
          <w:sz w:val="24"/>
          <w:szCs w:val="24"/>
          <w:highlight w:val="none"/>
          <w14:textFill>
            <w14:solidFill>
              <w14:schemeClr w14:val="tx1"/>
            </w14:solidFill>
          </w14:textFill>
        </w:rPr>
        <w:t xml:space="preserve"> CMA/WM778《小口径饮用水冷水表表壳技术规范》</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2.5 </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JG/T 162</w:t>
      </w:r>
      <w:r>
        <w:rPr>
          <w:rFonts w:hint="eastAsia" w:ascii="宋体" w:hAnsi="宋体"/>
          <w:color w:val="000000" w:themeColor="text1"/>
          <w:sz w:val="24"/>
          <w:highlight w:val="none"/>
          <w14:textFill>
            <w14:solidFill>
              <w14:schemeClr w14:val="tx1"/>
            </w14:solidFill>
          </w14:textFill>
        </w:rPr>
        <w:t>-2017</w:t>
      </w:r>
      <w:r>
        <w:rPr>
          <w:rFonts w:hint="eastAsia"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民用建筑</w:t>
      </w:r>
      <w:r>
        <w:rPr>
          <w:rFonts w:hint="eastAsia" w:ascii="宋体" w:hAnsi="宋体"/>
          <w:color w:val="000000" w:themeColor="text1"/>
          <w:sz w:val="24"/>
          <w:highlight w:val="none"/>
          <w:lang w:val="zh-CN"/>
          <w14:textFill>
            <w14:solidFill>
              <w14:schemeClr w14:val="tx1"/>
            </w14:solidFill>
          </w14:textFill>
        </w:rPr>
        <w:t>远传抄表系统》</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2.6  </w:t>
      </w:r>
      <w:r>
        <w:rPr>
          <w:rFonts w:hint="eastAsia" w:ascii="宋体" w:hAnsi="宋体" w:eastAsia="宋体" w:cs="宋体"/>
          <w:bCs/>
          <w:color w:val="000000" w:themeColor="text1"/>
          <w:sz w:val="24"/>
          <w:szCs w:val="24"/>
          <w:highlight w:val="none"/>
          <w14:textFill>
            <w14:solidFill>
              <w14:schemeClr w14:val="tx1"/>
            </w14:solidFill>
          </w14:textFill>
        </w:rPr>
        <w:t>JJG 162-20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9《</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饮用</w:t>
      </w:r>
      <w:r>
        <w:rPr>
          <w:rFonts w:hint="eastAsia" w:ascii="宋体" w:hAnsi="宋体" w:eastAsia="宋体" w:cs="宋体"/>
          <w:bCs/>
          <w:color w:val="000000" w:themeColor="text1"/>
          <w:sz w:val="24"/>
          <w:szCs w:val="24"/>
          <w:highlight w:val="none"/>
          <w14:textFill>
            <w14:solidFill>
              <w14:schemeClr w14:val="tx1"/>
            </w14:solidFill>
          </w14:textFill>
        </w:rPr>
        <w:t>冷水水表检定规程》</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2.7 </w:t>
      </w:r>
      <w:r>
        <w:rPr>
          <w:rFonts w:hint="eastAsia" w:ascii="宋体" w:hAnsi="宋体" w:eastAsia="宋体" w:cs="宋体"/>
          <w:bCs/>
          <w:color w:val="000000" w:themeColor="text1"/>
          <w:sz w:val="24"/>
          <w:szCs w:val="24"/>
          <w:highlight w:val="none"/>
          <w14:textFill>
            <w14:solidFill>
              <w14:schemeClr w14:val="tx1"/>
            </w14:solidFill>
          </w14:textFill>
        </w:rPr>
        <w:t xml:space="preserve"> CJ266-2008《饮用水冷水水表安全规则》</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2.8 </w:t>
      </w:r>
      <w:r>
        <w:rPr>
          <w:rFonts w:hint="eastAsia" w:ascii="宋体" w:hAnsi="宋体" w:eastAsia="宋体" w:cs="宋体"/>
          <w:bCs/>
          <w:color w:val="000000" w:themeColor="text1"/>
          <w:sz w:val="24"/>
          <w:szCs w:val="24"/>
          <w:highlight w:val="none"/>
          <w14:textFill>
            <w14:solidFill>
              <w14:schemeClr w14:val="tx1"/>
            </w14:solidFill>
          </w14:textFill>
        </w:rPr>
        <w:t xml:space="preserve"> GB/T 17219《生活饮用水输配水设备及防护材料的安全性评价标准》</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val="0"/>
          <w:color w:val="000000" w:themeColor="text1"/>
          <w:sz w:val="24"/>
          <w:szCs w:val="24"/>
          <w:highlight w:val="none"/>
          <w14:textFill>
            <w14:solidFill>
              <w14:schemeClr w14:val="tx1"/>
            </w14:solidFill>
          </w14:textFill>
        </w:rPr>
        <w:t>、水表基表要求</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val="0"/>
          <w:color w:val="000000" w:themeColor="text1"/>
          <w:sz w:val="24"/>
          <w:szCs w:val="24"/>
          <w:highlight w:val="none"/>
          <w14:textFill>
            <w14:solidFill>
              <w14:schemeClr w14:val="tx1"/>
            </w14:solidFill>
          </w14:textFill>
        </w:rPr>
        <w:t>水表计量特性</w:t>
      </w:r>
    </w:p>
    <w:p>
      <w:pPr>
        <w:keepNext w:val="0"/>
        <w:keepLines w:val="0"/>
        <w:pageBreakBefore w:val="0"/>
        <w:widowControl/>
        <w:kinsoku/>
        <w:wordWrap/>
        <w:overflowPunct/>
        <w:topLinePunct w:val="0"/>
        <w:autoSpaceDE w:val="0"/>
        <w:autoSpaceDN w:val="0"/>
        <w:bidi w:val="0"/>
        <w:adjustRightInd w:val="0"/>
        <w:snapToGrid w:val="0"/>
        <w:spacing w:line="400" w:lineRule="exact"/>
        <w:ind w:firstLine="240" w:firstLineChars="100"/>
        <w:textAlignment w:val="bottom"/>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（1）常用流</w:t>
      </w:r>
      <w:r>
        <w:rPr>
          <w:rFonts w:hint="eastAsia" w:ascii="宋体" w:hAnsi="宋体" w:cs="宋体"/>
          <w:color w:val="000000" w:themeColor="text1"/>
          <w:kern w:val="0"/>
          <w:sz w:val="24"/>
          <w:highlight w:val="none"/>
          <w14:textFill>
            <w14:solidFill>
              <w14:schemeClr w14:val="tx1"/>
            </w14:solidFill>
          </w14:textFill>
        </w:rPr>
        <w:t>量（Q3），量程比（Q3/Q1）的值按下表执行</w:t>
      </w:r>
    </w:p>
    <w:tbl>
      <w:tblPr>
        <w:tblStyle w:val="9"/>
        <w:tblW w:w="0" w:type="auto"/>
        <w:jc w:val="center"/>
        <w:tblLayout w:type="fixed"/>
        <w:tblCellMar>
          <w:top w:w="0" w:type="dxa"/>
          <w:left w:w="0" w:type="dxa"/>
          <w:bottom w:w="0" w:type="dxa"/>
          <w:right w:w="0" w:type="dxa"/>
        </w:tblCellMar>
      </w:tblPr>
      <w:tblGrid>
        <w:gridCol w:w="1911"/>
        <w:gridCol w:w="1943"/>
        <w:gridCol w:w="1920"/>
        <w:gridCol w:w="1920"/>
      </w:tblGrid>
      <w:tr>
        <w:tblPrEx>
          <w:tblCellMar>
            <w:top w:w="0" w:type="dxa"/>
            <w:left w:w="0" w:type="dxa"/>
            <w:bottom w:w="0" w:type="dxa"/>
            <w:right w:w="0" w:type="dxa"/>
          </w:tblCellMar>
        </w:tblPrEx>
        <w:trPr>
          <w:trHeight w:val="163" w:hRule="atLeast"/>
          <w:jc w:val="center"/>
        </w:trPr>
        <w:tc>
          <w:tcPr>
            <w:tcW w:w="191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口径</w:t>
            </w:r>
          </w:p>
        </w:tc>
        <w:tc>
          <w:tcPr>
            <w:tcW w:w="19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Q3(m3/h)</w:t>
            </w:r>
          </w:p>
        </w:tc>
        <w:tc>
          <w:tcPr>
            <w:tcW w:w="19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Q3/Q1</w:t>
            </w:r>
          </w:p>
        </w:tc>
        <w:tc>
          <w:tcPr>
            <w:tcW w:w="19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Q2/Q1</w:t>
            </w:r>
          </w:p>
        </w:tc>
      </w:tr>
      <w:tr>
        <w:tblPrEx>
          <w:tblCellMar>
            <w:top w:w="0" w:type="dxa"/>
            <w:left w:w="0" w:type="dxa"/>
            <w:bottom w:w="0" w:type="dxa"/>
            <w:right w:w="0" w:type="dxa"/>
          </w:tblCellMar>
        </w:tblPrEx>
        <w:trPr>
          <w:trHeight w:val="163" w:hRule="atLeast"/>
          <w:jc w:val="center"/>
        </w:trPr>
        <w:tc>
          <w:tcPr>
            <w:tcW w:w="191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DN15</w:t>
            </w:r>
          </w:p>
        </w:tc>
        <w:tc>
          <w:tcPr>
            <w:tcW w:w="19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w:t>
            </w:r>
          </w:p>
        </w:tc>
        <w:tc>
          <w:tcPr>
            <w:tcW w:w="19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w:t>
            </w:r>
          </w:p>
        </w:tc>
        <w:tc>
          <w:tcPr>
            <w:tcW w:w="19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r>
      <w:tr>
        <w:tblPrEx>
          <w:tblCellMar>
            <w:top w:w="0" w:type="dxa"/>
            <w:left w:w="0" w:type="dxa"/>
            <w:bottom w:w="0" w:type="dxa"/>
            <w:right w:w="0" w:type="dxa"/>
          </w:tblCellMar>
        </w:tblPrEx>
        <w:trPr>
          <w:trHeight w:val="163" w:hRule="atLeast"/>
          <w:jc w:val="center"/>
        </w:trPr>
        <w:tc>
          <w:tcPr>
            <w:tcW w:w="191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DN20</w:t>
            </w:r>
          </w:p>
        </w:tc>
        <w:tc>
          <w:tcPr>
            <w:tcW w:w="19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19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≥100</w:t>
            </w:r>
          </w:p>
        </w:tc>
        <w:tc>
          <w:tcPr>
            <w:tcW w:w="192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w:t>
            </w:r>
          </w:p>
        </w:tc>
      </w:tr>
    </w:tbl>
    <w:p>
      <w:pPr>
        <w:keepNext w:val="0"/>
        <w:keepLines w:val="0"/>
        <w:pageBreakBefore w:val="0"/>
        <w:widowControl/>
        <w:kinsoku/>
        <w:wordWrap/>
        <w:overflowPunct/>
        <w:topLinePunct w:val="0"/>
        <w:bidi w:val="0"/>
        <w:spacing w:line="40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（2）常用流量（Q3）与过载流量（Q4）的关系Q4/Q3=1.25。</w:t>
      </w:r>
    </w:p>
    <w:p>
      <w:pPr>
        <w:keepNext w:val="0"/>
        <w:keepLines w:val="0"/>
        <w:pageBreakBefore w:val="0"/>
        <w:widowControl/>
        <w:kinsoku/>
        <w:wordWrap/>
        <w:overflowPunct/>
        <w:topLinePunct w:val="0"/>
        <w:bidi w:val="0"/>
        <w:spacing w:line="40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（3）水表的准确度等级为2级及以上。</w:t>
      </w:r>
    </w:p>
    <w:p>
      <w:pPr>
        <w:keepNext w:val="0"/>
        <w:keepLines w:val="0"/>
        <w:pageBreakBefore w:val="0"/>
        <w:widowControl/>
        <w:kinsoku/>
        <w:wordWrap/>
        <w:overflowPunct/>
        <w:topLinePunct w:val="0"/>
        <w:bidi w:val="0"/>
        <w:spacing w:line="40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（4）水温应在水表的入口处测量，温度等级为T30。</w:t>
      </w:r>
    </w:p>
    <w:p>
      <w:pPr>
        <w:keepNext w:val="0"/>
        <w:keepLines w:val="0"/>
        <w:pageBreakBefore w:val="0"/>
        <w:widowControl/>
        <w:kinsoku/>
        <w:wordWrap/>
        <w:overflowPunct/>
        <w:topLinePunct w:val="0"/>
        <w:bidi w:val="0"/>
        <w:spacing w:line="40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）最大允许压力：≥1Mpa。</w:t>
      </w:r>
    </w:p>
    <w:p>
      <w:pPr>
        <w:keepNext w:val="0"/>
        <w:keepLines w:val="0"/>
        <w:pageBreakBefore w:val="0"/>
        <w:widowControl/>
        <w:kinsoku/>
        <w:wordWrap/>
        <w:overflowPunct/>
        <w:topLinePunct w:val="0"/>
        <w:bidi w:val="0"/>
        <w:spacing w:line="400" w:lineRule="exact"/>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）压力损失：</w:t>
      </w:r>
      <w:r>
        <w:rPr>
          <w:rFonts w:hint="eastAsia" w:ascii="宋体" w:hAnsi="宋体" w:eastAsia="宋体" w:cs="宋体"/>
          <w:color w:val="000000" w:themeColor="text1"/>
          <w:kern w:val="0"/>
          <w:sz w:val="24"/>
          <w:highlight w:val="none"/>
          <w14:textFill>
            <w14:solidFill>
              <w14:schemeClr w14:val="tx1"/>
            </w14:solidFill>
          </w14:textFill>
        </w:rPr>
        <w:t>≤0.063MPa</w:t>
      </w:r>
    </w:p>
    <w:p>
      <w:pPr>
        <w:keepNext w:val="0"/>
        <w:keepLines w:val="0"/>
        <w:pageBreakBefore w:val="0"/>
        <w:widowControl/>
        <w:kinsoku/>
        <w:wordWrap/>
        <w:overflowPunct/>
        <w:topLinePunct w:val="0"/>
        <w:bidi w:val="0"/>
        <w:spacing w:line="400" w:lineRule="exact"/>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低区的最大允许误差为±5%，高区的最大允许误差为±2%（水温小于等于30℃时）。</w:t>
      </w:r>
    </w:p>
    <w:p>
      <w:pPr>
        <w:keepNext w:val="0"/>
        <w:keepLines w:val="0"/>
        <w:pageBreakBefore w:val="0"/>
        <w:widowControl/>
        <w:kinsoku/>
        <w:wordWrap/>
        <w:overflowPunct/>
        <w:topLinePunct w:val="0"/>
        <w:bidi w:val="0"/>
        <w:spacing w:line="400" w:lineRule="exact"/>
        <w:ind w:firstLine="241" w:firstLineChars="1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4"/>
          <w:highlight w:val="none"/>
          <w14:textFill>
            <w14:solidFill>
              <w14:schemeClr w14:val="tx1"/>
            </w14:solidFill>
          </w14:textFill>
        </w:rPr>
        <w:t>.2 水表技术特性及材料要求</w:t>
      </w:r>
    </w:p>
    <w:p>
      <w:pPr>
        <w:keepNext w:val="0"/>
        <w:keepLines w:val="0"/>
        <w:pageBreakBefore w:val="0"/>
        <w:widowControl/>
        <w:kinsoku/>
        <w:wordWrap/>
        <w:overflowPunct/>
        <w:topLinePunct w:val="0"/>
        <w:bidi w:val="0"/>
        <w:spacing w:line="400" w:lineRule="exact"/>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（1）水表口径和总尺寸</w:t>
      </w:r>
    </w:p>
    <w:p>
      <w:pPr>
        <w:keepNext w:val="0"/>
        <w:keepLines w:val="0"/>
        <w:pageBreakBefore w:val="0"/>
        <w:widowControl/>
        <w:kinsoku/>
        <w:wordWrap/>
        <w:overflowPunct/>
        <w:topLinePunct w:val="0"/>
        <w:bidi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水表的口径</w:t>
      </w:r>
      <w:r>
        <w:rPr>
          <w:rFonts w:hint="eastAsia" w:ascii="宋体" w:hAnsi="宋体" w:cs="宋体"/>
          <w:color w:val="000000" w:themeColor="text1"/>
          <w:kern w:val="0"/>
          <w:sz w:val="24"/>
          <w:highlight w:val="none"/>
          <w14:textFill>
            <w14:solidFill>
              <w14:schemeClr w14:val="tx1"/>
            </w14:solidFill>
          </w14:textFill>
        </w:rPr>
        <w:t>以连接端的螺纹尺寸的公称通径表示。每一种水表口径均相应有一组固定的总尺寸，水表尺寸要求按下表执行：</w:t>
      </w:r>
    </w:p>
    <w:tbl>
      <w:tblPr>
        <w:tblStyle w:val="9"/>
        <w:tblW w:w="0" w:type="auto"/>
        <w:jc w:val="center"/>
        <w:tblLayout w:type="fixed"/>
        <w:tblCellMar>
          <w:top w:w="0" w:type="dxa"/>
          <w:left w:w="0" w:type="dxa"/>
          <w:bottom w:w="0" w:type="dxa"/>
          <w:right w:w="0" w:type="dxa"/>
        </w:tblCellMar>
      </w:tblPr>
      <w:tblGrid>
        <w:gridCol w:w="3268"/>
        <w:gridCol w:w="2335"/>
        <w:gridCol w:w="2335"/>
      </w:tblGrid>
      <w:tr>
        <w:tblPrEx>
          <w:tblCellMar>
            <w:top w:w="0" w:type="dxa"/>
            <w:left w:w="0" w:type="dxa"/>
            <w:bottom w:w="0" w:type="dxa"/>
            <w:right w:w="0" w:type="dxa"/>
          </w:tblCellMar>
        </w:tblPrEx>
        <w:trPr>
          <w:trHeight w:val="315" w:hRule="atLeast"/>
          <w:jc w:val="center"/>
        </w:trPr>
        <w:tc>
          <w:tcPr>
            <w:tcW w:w="32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公称通径</w:t>
            </w:r>
          </w:p>
        </w:tc>
        <w:tc>
          <w:tcPr>
            <w:tcW w:w="2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DN15</w:t>
            </w:r>
          </w:p>
        </w:tc>
        <w:tc>
          <w:tcPr>
            <w:tcW w:w="2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DN20</w:t>
            </w:r>
          </w:p>
        </w:tc>
      </w:tr>
      <w:tr>
        <w:tblPrEx>
          <w:tblCellMar>
            <w:top w:w="0" w:type="dxa"/>
            <w:left w:w="0" w:type="dxa"/>
            <w:bottom w:w="0" w:type="dxa"/>
            <w:right w:w="0" w:type="dxa"/>
          </w:tblCellMar>
        </w:tblPrEx>
        <w:trPr>
          <w:trHeight w:val="323" w:hRule="atLeast"/>
          <w:jc w:val="center"/>
        </w:trPr>
        <w:tc>
          <w:tcPr>
            <w:tcW w:w="32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长度（mm）</w:t>
            </w:r>
          </w:p>
        </w:tc>
        <w:tc>
          <w:tcPr>
            <w:tcW w:w="2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165</w:t>
            </w:r>
          </w:p>
        </w:tc>
        <w:tc>
          <w:tcPr>
            <w:tcW w:w="2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195</w:t>
            </w:r>
          </w:p>
        </w:tc>
      </w:tr>
      <w:tr>
        <w:tblPrEx>
          <w:tblCellMar>
            <w:top w:w="0" w:type="dxa"/>
            <w:left w:w="0" w:type="dxa"/>
            <w:bottom w:w="0" w:type="dxa"/>
            <w:right w:w="0" w:type="dxa"/>
          </w:tblCellMar>
        </w:tblPrEx>
        <w:trPr>
          <w:trHeight w:val="323" w:hRule="atLeast"/>
          <w:jc w:val="center"/>
        </w:trPr>
        <w:tc>
          <w:tcPr>
            <w:tcW w:w="326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螺栓数量及规格</w:t>
            </w:r>
          </w:p>
        </w:tc>
        <w:tc>
          <w:tcPr>
            <w:tcW w:w="2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螺纹连接</w:t>
            </w:r>
          </w:p>
        </w:tc>
        <w:tc>
          <w:tcPr>
            <w:tcW w:w="23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bidi w:val="0"/>
              <w:spacing w:line="400" w:lineRule="exact"/>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螺纹连接</w:t>
            </w:r>
          </w:p>
        </w:tc>
      </w:tr>
    </w:tbl>
    <w:p>
      <w:pPr>
        <w:keepNext w:val="0"/>
        <w:keepLines w:val="0"/>
        <w:pageBreakBefore w:val="0"/>
        <w:widowControl/>
        <w:kinsoku/>
        <w:wordWrap/>
        <w:overflowPunct/>
        <w:topLinePunct w:val="0"/>
        <w:bidi w:val="0"/>
        <w:spacing w:line="400" w:lineRule="exact"/>
        <w:ind w:firstLine="10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备注：长度公差按GB/T778.4执行。</w:t>
      </w:r>
    </w:p>
    <w:p>
      <w:pPr>
        <w:keepNext w:val="0"/>
        <w:keepLines w:val="0"/>
        <w:pageBreakBefore w:val="0"/>
        <w:widowControl/>
        <w:numPr>
          <w:ilvl w:val="0"/>
          <w:numId w:val="0"/>
        </w:numPr>
        <w:kinsoku/>
        <w:wordWrap/>
        <w:overflowPunct/>
        <w:topLinePunct w:val="0"/>
        <w:bidi w:val="0"/>
        <w:spacing w:line="400" w:lineRule="exact"/>
        <w:ind w:firstLine="240" w:firstLineChars="10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水表表壳材料应为球墨铸铁</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不锈钢、铜</w:t>
      </w:r>
      <w:r>
        <w:rPr>
          <w:rFonts w:hint="eastAsia" w:ascii="宋体" w:hAnsi="宋体" w:cs="宋体"/>
          <w:color w:val="000000" w:themeColor="text1"/>
          <w:kern w:val="0"/>
          <w:sz w:val="24"/>
          <w:highlight w:val="none"/>
          <w14:textFill>
            <w14:solidFill>
              <w14:schemeClr w14:val="tx1"/>
            </w14:solidFill>
          </w14:textFill>
        </w:rPr>
        <w:t>,符合国家标准GB/T 1348</w:t>
      </w:r>
      <w:r>
        <w:rPr>
          <w:rFonts w:hint="eastAsia" w:ascii="宋体" w:hAnsi="宋体" w:cs="宋体"/>
          <w:color w:val="000000" w:themeColor="text1"/>
          <w:kern w:val="0"/>
          <w:sz w:val="24"/>
          <w:highlight w:val="none"/>
          <w:lang w:val="en-US" w:eastAsia="zh-CN"/>
          <w14:textFill>
            <w14:solidFill>
              <w14:schemeClr w14:val="tx1"/>
            </w14:solidFill>
          </w14:textFill>
        </w:rPr>
        <w:t>-2019</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bidi w:val="0"/>
        <w:spacing w:line="40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水表连接螺母和管接头材料应为铸造铅黄铜</w:t>
      </w:r>
      <w:r>
        <w:rPr>
          <w:rFonts w:hint="eastAsia" w:ascii="宋体" w:hAnsi="宋体" w:cs="宋体"/>
          <w:color w:val="000000" w:themeColor="text1"/>
          <w:kern w:val="0"/>
          <w:sz w:val="24"/>
          <w:highlight w:val="none"/>
          <w:lang w:val="en-US" w:eastAsia="zh-CN"/>
          <w14:textFill>
            <w14:solidFill>
              <w14:schemeClr w14:val="tx1"/>
            </w14:solidFill>
          </w14:textFill>
        </w:rPr>
        <w:t>或不锈钢</w:t>
      </w:r>
      <w:r>
        <w:rPr>
          <w:rFonts w:hint="eastAsia" w:ascii="宋体" w:hAnsi="宋体" w:cs="宋体"/>
          <w:color w:val="000000" w:themeColor="text1"/>
          <w:kern w:val="0"/>
          <w:sz w:val="24"/>
          <w:highlight w:val="none"/>
          <w14:textFill>
            <w14:solidFill>
              <w14:schemeClr w14:val="tx1"/>
            </w14:solidFill>
          </w14:textFill>
        </w:rPr>
        <w:t>，符合国家标准GB/T 1176</w:t>
      </w:r>
      <w:r>
        <w:rPr>
          <w:rFonts w:hint="eastAsia" w:ascii="宋体" w:hAnsi="宋体" w:cs="宋体"/>
          <w:color w:val="000000" w:themeColor="text1"/>
          <w:kern w:val="0"/>
          <w:sz w:val="24"/>
          <w:highlight w:val="none"/>
          <w:lang w:val="en-US" w:eastAsia="zh-CN"/>
          <w14:textFill>
            <w14:solidFill>
              <w14:schemeClr w14:val="tx1"/>
            </w14:solidFill>
          </w14:textFill>
        </w:rPr>
        <w:t>-2013</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bidi w:val="0"/>
        <w:spacing w:line="400" w:lineRule="exact"/>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表芯材质为耐磨工程塑料材料。水表内所有接触水的零部件应采用通常认为是无毒、无污染、无生物活性的材料制造，符合符合建设行业标准《饮用水冷水水表安全规则（CJ266-2008）》。整体水表的制造材料应抗内、外部腐蚀。</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 指示装置类型：模拟和数字组合式指示装置，数字的可见高度至少应为4mm，数字的可见宽度至少应为3mm。便于清晰观看。</w:t>
      </w:r>
    </w:p>
    <w:p>
      <w:pPr>
        <w:keepNext w:val="0"/>
        <w:keepLines w:val="0"/>
        <w:pageBreakBefore w:val="0"/>
        <w:kinsoku/>
        <w:wordWrap/>
        <w:overflowPunct/>
        <w:topLinePunct w:val="0"/>
        <w:bidi w:val="0"/>
        <w:spacing w:before="1" w:line="400" w:lineRule="exact"/>
        <w:rPr>
          <w:color w:val="000000" w:themeColor="text1"/>
          <w:sz w:val="11"/>
          <w:szCs w:val="11"/>
          <w:highlight w:val="none"/>
          <w14:textFill>
            <w14:solidFill>
              <w14:schemeClr w14:val="tx1"/>
            </w14:solidFill>
          </w14:textFill>
        </w:rPr>
      </w:pPr>
    </w:p>
    <w:p>
      <w:pPr>
        <w:keepNext w:val="0"/>
        <w:keepLines w:val="0"/>
        <w:pageBreakBefore w:val="0"/>
        <w:widowControl/>
        <w:numPr>
          <w:ilvl w:val="0"/>
          <w:numId w:val="2"/>
        </w:numPr>
        <w:kinsoku/>
        <w:wordWrap/>
        <w:overflowPunct/>
        <w:topLinePunct w:val="0"/>
        <w:bidi w:val="0"/>
        <w:spacing w:line="400" w:lineRule="exact"/>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字轮位数：</w:t>
      </w:r>
      <w:r>
        <w:rPr>
          <w:rFonts w:hint="eastAsia" w:ascii="宋体" w:hAnsi="宋体" w:cs="宋体"/>
          <w:color w:val="000000" w:themeColor="text1"/>
          <w:kern w:val="0"/>
          <w:sz w:val="24"/>
          <w:highlight w:val="none"/>
          <w:lang w:val="en-US" w:eastAsia="zh-CN"/>
          <w14:textFill>
            <w14:solidFill>
              <w14:schemeClr w14:val="tx1"/>
            </w14:solidFill>
          </w14:textFill>
        </w:rPr>
        <w:t>根据</w:t>
      </w:r>
      <w:r>
        <w:rPr>
          <w:rFonts w:hint="eastAsia" w:ascii="宋体" w:hAnsi="宋体" w:cs="宋体"/>
          <w:color w:val="000000" w:themeColor="text1"/>
          <w:kern w:val="0"/>
          <w:sz w:val="24"/>
          <w:highlight w:val="none"/>
          <w14:textFill>
            <w14:solidFill>
              <w14:schemeClr w14:val="tx1"/>
            </w14:solidFill>
          </w14:textFill>
        </w:rPr>
        <w:t>GB/T</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8.</w:t>
      </w:r>
      <w:r>
        <w:rPr>
          <w:rFonts w:hint="eastAsia" w:ascii="宋体" w:hAnsi="宋体" w:cs="宋体"/>
          <w:color w:val="000000" w:themeColor="text1"/>
          <w:kern w:val="0"/>
          <w:sz w:val="24"/>
          <w:highlight w:val="none"/>
          <w:lang w:val="en-US" w:eastAsia="zh-CN"/>
          <w14:textFill>
            <w14:solidFill>
              <w14:schemeClr w14:val="tx1"/>
            </w14:solidFill>
          </w14:textFill>
        </w:rPr>
        <w:t>1-2018规定，常用流量小于6.3m³/h,采用4位整数。</w:t>
      </w:r>
    </w:p>
    <w:p>
      <w:pPr>
        <w:keepNext w:val="0"/>
        <w:keepLines w:val="0"/>
        <w:pageBreakBefore w:val="0"/>
        <w:widowControl/>
        <w:numPr>
          <w:ilvl w:val="0"/>
          <w:numId w:val="2"/>
        </w:numPr>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水表预留铅封口。</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）标志：在水表表盘上按招标方要求印制相关字样和条形码。</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、水表电子设备要求</w:t>
      </w:r>
    </w:p>
    <w:p>
      <w:pPr>
        <w:keepNext w:val="0"/>
        <w:keepLines w:val="0"/>
        <w:pageBreakBefore w:val="0"/>
        <w:tabs>
          <w:tab w:val="left" w:pos="-200"/>
        </w:tabs>
        <w:kinsoku/>
        <w:wordWrap/>
        <w:overflowPunct/>
        <w:topLinePunct w:val="0"/>
        <w:bidi w:val="0"/>
        <w:spacing w:line="4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.1远传水表采用使用无磁传感原理的远传水表</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.2日上报成功率：＞99.9% ，抄读准确率：＞99.9%（响应方应提供相关的证明材料）。</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.3年故障率＜1%。</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.4温度范围：适应工作环境温度范围，0.1℃～55℃。</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.5湿度范围：水表适应工作环境湿度范围， 40℃时为 0%～100%，远传读数装置在 40℃至少为 93%。</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.6安装环境等级：户外 O 级或C级、建筑物类 B 级。</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.7电磁环境等级：E1 级。</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 xml:space="preserve">.8防水等级：IP68，不进灰尘，满足长期浸水的要求。 </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.9数据采集精度：精确到 L位，即满行度 99999.999m³。</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.10内置电池：电池可独立更换，在上报频次为 1 次/日时，保证使用 6 年。</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.11数据存储：可存储数据≥30 天，当存满存储介质时，新采集的数据自动覆盖最早数据</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.12远传水表应能人工抄读，水表电子设备不得破坏基表结构，不得影响人工抄读到 L位。</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.13通讯方式：采用本地通信运营商的 NB-IoT 网络实现数据传输，并提供属地化日常通信运维服务；必须可无缝接入远传水表管理平台,按采购方制定的通讯协议标准生产。</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.14模块标识的印刷：在电子模块上按采购人要求印制相关标识和条形码。</w:t>
      </w:r>
    </w:p>
    <w:p>
      <w:pPr>
        <w:keepNext w:val="0"/>
        <w:keepLines w:val="0"/>
        <w:pageBreakBefore w:val="0"/>
        <w:widowControl/>
        <w:kinsoku/>
        <w:wordWrap/>
        <w:overflowPunct/>
        <w:topLinePunct w:val="0"/>
        <w:bidi w:val="0"/>
        <w:spacing w:line="400" w:lineRule="exac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5</w:t>
      </w:r>
      <w:r>
        <w:rPr>
          <w:rFonts w:hint="eastAsia" w:ascii="宋体" w:hAnsi="宋体" w:cs="宋体"/>
          <w:b/>
          <w:bCs/>
          <w:color w:val="000000" w:themeColor="text1"/>
          <w:kern w:val="0"/>
          <w:sz w:val="24"/>
          <w:highlight w:val="none"/>
          <w14:textFill>
            <w14:solidFill>
              <w14:schemeClr w14:val="tx1"/>
            </w14:solidFill>
          </w14:textFill>
        </w:rPr>
        <w:t>、电子设备功能要求</w:t>
      </w:r>
    </w:p>
    <w:p>
      <w:pPr>
        <w:keepNext w:val="0"/>
        <w:keepLines w:val="0"/>
        <w:pageBreakBefore w:val="0"/>
        <w:widowControl/>
        <w:kinsoku/>
        <w:wordWrap/>
        <w:overflowPunct/>
        <w:topLinePunct w:val="0"/>
        <w:bidi w:val="0"/>
        <w:spacing w:line="4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电子设备功能所涉及的数据内容和格式，应符合DN15-DN20口径智能水表（NB-IoT）型式的功能技术要求。</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.1 周期上报：</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每日周期上报：上报前一天 24 小时数据，数据包含每 30 分钟记录一次的数据，共 48个记录信息等。</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高频周期上报：可通过平台设置或更改发送频率，最小做到每小时周期上报，数据包含上报周期内的每 30 分钟记录一次的数据信息等。</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密集数据采集：从设置的起始时间算起4个小时，每5分钟一个点，共48个点累计流量。</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补包功能：当本次数据上报不成功时，下个上报周期数据自动补包，在数据有效保存期内的数据都可以补包。</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数据上报消息：数据上报消息要求在一个完整的消息报文中上送。</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设置功能：可通过应用平台或手持设备进行设置。</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周期上报离散设置：通过随机离散，把上报的时间点离散，最小估长10S， 默认0点到8点内离散。</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上报重发机制设置：上报不成功，水表数据进行重发，重发次数可设。</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水表编号设置：可通过近端手持设备或应用平台，设置水表内电子编号。</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IP、端口设置：可通过近端手持设备或应用平台，设置 IP、端口。</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报警功能：可对电池欠压、过流流量、反流流量进行告警。</w:t>
      </w:r>
    </w:p>
    <w:p>
      <w:pPr>
        <w:keepNext w:val="0"/>
        <w:keepLines w:val="0"/>
        <w:pageBreakBefore w:val="0"/>
        <w:widowControl/>
        <w:kinsoku/>
        <w:wordWrap/>
        <w:overflowPunct/>
        <w:topLinePunct w:val="0"/>
        <w:bidi w:val="0"/>
        <w:spacing w:line="400" w:lineRule="exac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时间校对：数据周期上报时，可通过 NB-IoT 芯片进行校对。</w:t>
      </w:r>
    </w:p>
    <w:p>
      <w:pPr>
        <w:keepNext w:val="0"/>
        <w:keepLines w:val="0"/>
        <w:pageBreakBefore w:val="0"/>
        <w:kinsoku/>
        <w:wordWrap/>
        <w:overflowPunct/>
        <w:topLinePunct w:val="0"/>
        <w:bidi w:val="0"/>
        <w:spacing w:line="40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数据加密：采用 128 位高级加密标准，AES-128 加密、解密算法。</w:t>
      </w:r>
    </w:p>
    <w:p>
      <w:pPr>
        <w:keepNext w:val="0"/>
        <w:keepLines w:val="0"/>
        <w:pageBreakBefore w:val="0"/>
        <w:widowControl/>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验收及检测要求</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1、一般要求</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bookmarkStart w:id="3" w:name="_Toc405450944"/>
      <w:bookmarkStart w:id="4" w:name="_Toc405457110"/>
      <w:bookmarkStart w:id="5" w:name="_Toc400600027"/>
      <w:bookmarkStart w:id="6" w:name="_Toc400268725"/>
      <w:bookmarkStart w:id="7" w:name="_Toc400268001"/>
      <w:bookmarkStart w:id="8" w:name="_Toc405451480"/>
      <w:bookmarkStart w:id="9" w:name="_Toc409586791"/>
      <w:bookmarkStart w:id="10" w:name="_Toc405450564"/>
      <w:bookmarkStart w:id="11" w:name="_Toc400268986"/>
      <w:r>
        <w:rPr>
          <w:rFonts w:hint="eastAsia" w:ascii="宋体" w:hAnsi="宋体" w:eastAsia="宋体" w:cs="宋体"/>
          <w:bCs/>
          <w:color w:val="000000" w:themeColor="text1"/>
          <w:sz w:val="24"/>
          <w:szCs w:val="24"/>
          <w:highlight w:val="none"/>
          <w14:textFill>
            <w14:solidFill>
              <w14:schemeClr w14:val="tx1"/>
            </w14:solidFill>
          </w14:textFill>
        </w:rPr>
        <w:t>1.1投标人应提供的资料</w:t>
      </w:r>
      <w:bookmarkEnd w:id="3"/>
      <w:bookmarkEnd w:id="4"/>
      <w:bookmarkEnd w:id="5"/>
      <w:bookmarkEnd w:id="6"/>
      <w:bookmarkEnd w:id="7"/>
      <w:bookmarkEnd w:id="8"/>
      <w:bookmarkEnd w:id="9"/>
      <w:bookmarkEnd w:id="10"/>
      <w:bookmarkEnd w:id="11"/>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样本、操作及维修保养手册；</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机械组装图、基础图等主要材料说明；</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检查报告及合格证书；</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性能检验报告；</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泄漏检验报告；</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水压强度</w:t>
      </w:r>
      <w:r>
        <w:rPr>
          <w:rFonts w:hint="eastAsia" w:ascii="宋体" w:hAnsi="宋体" w:eastAsia="宋体" w:cs="宋体"/>
          <w:bCs/>
          <w:color w:val="000000" w:themeColor="text1"/>
          <w:sz w:val="24"/>
          <w:szCs w:val="24"/>
          <w:highlight w:val="none"/>
          <w14:textFill>
            <w14:solidFill>
              <w14:schemeClr w14:val="tx1"/>
            </w14:solidFill>
          </w14:textFill>
        </w:rPr>
        <w:t>试验报告；</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设计和制造验收合格证书；</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提供安装性能参数线。</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1.2检查与验收</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（1）检查</w:t>
      </w:r>
    </w:p>
    <w:p>
      <w:pPr>
        <w:keepNext w:val="0"/>
        <w:keepLines w:val="0"/>
        <w:pageBreakBefore w:val="0"/>
        <w:numPr>
          <w:ilvl w:val="0"/>
          <w:numId w:val="0"/>
        </w:numPr>
        <w:kinsoku/>
        <w:wordWrap/>
        <w:overflowPunct/>
        <w:topLinePunct w:val="0"/>
        <w:bidi w:val="0"/>
        <w:spacing w:line="400" w:lineRule="exact"/>
        <w:ind w:firstLine="720" w:firstLineChars="3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制造完毕，试压前，</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应通知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在制造厂进行</w:t>
      </w:r>
      <w:r>
        <w:rPr>
          <w:rFonts w:hint="eastAsia" w:ascii="宋体" w:hAnsi="宋体" w:eastAsia="宋体" w:cs="宋体"/>
          <w:bCs/>
          <w:color w:val="000000" w:themeColor="text1"/>
          <w:sz w:val="24"/>
          <w:szCs w:val="24"/>
          <w:highlight w:val="none"/>
          <w:lang w:eastAsia="zh-CN"/>
          <w14:textFill>
            <w14:solidFill>
              <w14:schemeClr w14:val="tx1"/>
            </w14:solidFill>
          </w14:textFill>
        </w:rPr>
        <w:t>检查。采购人除按规定性能、技术要求逐一检查外，还对水表的水压强度试验进行现场监督，水表应能承受 1.6 倍最大允许工作压力，不少于1分钟的水压强度试验，并无渗漏现象。</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（2）现场验收</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设备进入现场后，由采购人委派人员进行全面检查，并可对每种规格类型</w:t>
      </w: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进行抽样检查（包括试压，费用由</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承担），当发现一台某一部件或试压不合格，则双倍数量检查。凡是检查不合格的产品，投标人应负责修理或更换，当延误了安装时间而造成的损失</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有权要求赔偿。</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bookmarkStart w:id="12" w:name="_Toc405450571"/>
      <w:bookmarkStart w:id="13" w:name="_Toc405451487"/>
      <w:bookmarkStart w:id="14" w:name="_Toc400268008"/>
      <w:bookmarkStart w:id="15" w:name="_Toc409586798"/>
      <w:bookmarkStart w:id="16" w:name="_Toc400600034"/>
      <w:bookmarkStart w:id="17" w:name="_Toc405457117"/>
      <w:bookmarkStart w:id="18" w:name="_Toc400268993"/>
      <w:bookmarkStart w:id="19" w:name="_Toc400268732"/>
      <w:r>
        <w:rPr>
          <w:rFonts w:hint="eastAsia" w:ascii="宋体" w:hAnsi="宋体" w:eastAsia="宋体" w:cs="宋体"/>
          <w:bCs/>
          <w:color w:val="000000" w:themeColor="text1"/>
          <w:sz w:val="24"/>
          <w:szCs w:val="24"/>
          <w:highlight w:val="none"/>
          <w14:textFill>
            <w14:solidFill>
              <w14:schemeClr w14:val="tx1"/>
            </w14:solidFill>
          </w14:textFill>
        </w:rPr>
        <w:t>1.3设备的保修及拒收</w:t>
      </w:r>
      <w:bookmarkEnd w:id="12"/>
      <w:bookmarkEnd w:id="13"/>
      <w:bookmarkEnd w:id="14"/>
      <w:bookmarkEnd w:id="15"/>
      <w:bookmarkEnd w:id="16"/>
      <w:bookmarkEnd w:id="17"/>
      <w:bookmarkEnd w:id="18"/>
      <w:bookmarkEnd w:id="19"/>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设备到货经检查发现损坏或不符合本标书要求，</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有权提出更换，拒收和索赔要求；在技术规定的保修期内发现部件不符合本标书要求或发生损坏，</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14:textFill>
            <w14:solidFill>
              <w14:schemeClr w14:val="tx1"/>
            </w14:solidFill>
          </w14:textFill>
        </w:rPr>
        <w:t>人应负责及时维修或更换；由此产生的费用和损失均由</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14:textFill>
            <w14:solidFill>
              <w14:schemeClr w14:val="tx1"/>
            </w14:solidFill>
          </w14:textFill>
        </w:rPr>
        <w:t>人负责。</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1.4技术培训</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当合同生效后，</w:t>
      </w:r>
      <w:r>
        <w:rPr>
          <w:rFonts w:hint="eastAsia" w:ascii="宋体" w:hAnsi="宋体" w:eastAsia="宋体" w:cs="宋体"/>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Cs/>
          <w:color w:val="000000" w:themeColor="text1"/>
          <w:sz w:val="24"/>
          <w:szCs w:val="24"/>
          <w:highlight w:val="none"/>
          <w14:textFill>
            <w14:solidFill>
              <w14:schemeClr w14:val="tx1"/>
            </w14:solidFill>
          </w14:textFill>
        </w:rPr>
        <w:t>人应负责对</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人员进行技术培训，以使</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能掌握设备的装配和维护。</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的检测</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2.1 每台</w:t>
      </w: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都须经过专业检测人员按照</w:t>
      </w: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检测标准进行压力试验,壳体试验和密封试验。</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2.2 每台</w:t>
      </w:r>
      <w:r>
        <w:rPr>
          <w:rFonts w:hint="eastAsia" w:ascii="宋体" w:hAnsi="宋体" w:eastAsia="宋体" w:cs="宋体"/>
          <w:bCs/>
          <w:color w:val="000000" w:themeColor="text1"/>
          <w:sz w:val="24"/>
          <w:szCs w:val="24"/>
          <w:highlight w:val="none"/>
          <w:lang w:eastAsia="zh-CN"/>
          <w14:textFill>
            <w14:solidFill>
              <w14:schemeClr w14:val="tx1"/>
            </w14:solidFill>
          </w14:textFill>
        </w:rPr>
        <w:t>水表</w:t>
      </w:r>
      <w:r>
        <w:rPr>
          <w:rFonts w:hint="eastAsia" w:ascii="宋体" w:hAnsi="宋体" w:eastAsia="宋体" w:cs="宋体"/>
          <w:bCs/>
          <w:color w:val="000000" w:themeColor="text1"/>
          <w:sz w:val="24"/>
          <w:szCs w:val="24"/>
          <w:highlight w:val="none"/>
          <w14:textFill>
            <w14:solidFill>
              <w14:schemeClr w14:val="tx1"/>
            </w14:solidFill>
          </w14:textFill>
        </w:rPr>
        <w:t>都需经过公司的最终检验人员的检验，合格后，出具检验合格证书、质量保证书和安装说明书。</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2.3 </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有权对招标产品在生产期间的生产、装配、试压等活动进行检测。</w:t>
      </w:r>
    </w:p>
    <w:p>
      <w:pPr>
        <w:pStyle w:val="6"/>
        <w:keepNext w:val="0"/>
        <w:keepLines w:val="0"/>
        <w:pageBreakBefore w:val="0"/>
        <w:kinsoku/>
        <w:wordWrap/>
        <w:overflowPunct/>
        <w:topLinePunct w:val="0"/>
        <w:bidi w:val="0"/>
        <w:spacing w:line="400" w:lineRule="exact"/>
        <w:ind w:left="0" w:leftChars="0" w:right="1470"/>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kern w:val="2"/>
          <w:sz w:val="24"/>
          <w:szCs w:val="24"/>
          <w:highlight w:val="none"/>
          <w14:textFill>
            <w14:solidFill>
              <w14:schemeClr w14:val="tx1"/>
            </w14:solidFill>
          </w14:textFill>
        </w:rPr>
        <w:t>、质量保证和标准</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质量要求</w:t>
      </w:r>
      <w:r>
        <w:rPr>
          <w:rFonts w:hint="eastAsia" w:ascii="宋体" w:hAnsi="宋体" w:eastAsia="宋体" w:cs="宋体"/>
          <w:bCs/>
          <w:color w:val="000000" w:themeColor="text1"/>
          <w:sz w:val="24"/>
          <w:szCs w:val="24"/>
          <w:highlight w:val="none"/>
          <w14:textFill>
            <w14:solidFill>
              <w14:schemeClr w14:val="tx1"/>
            </w14:solidFill>
          </w14:textFill>
        </w:rPr>
        <w:t>：符合国标或行业标准。</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每批次到货必须附</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产品检验报告单、送货单</w:t>
      </w:r>
      <w:r>
        <w:rPr>
          <w:rFonts w:hint="eastAsia" w:ascii="宋体" w:hAnsi="宋体" w:eastAsia="宋体" w:cs="宋体"/>
          <w:bCs/>
          <w:color w:val="000000" w:themeColor="text1"/>
          <w:sz w:val="24"/>
          <w:szCs w:val="24"/>
          <w:highlight w:val="none"/>
          <w:lang w:eastAsia="zh-CN"/>
          <w14:textFill>
            <w14:solidFill>
              <w14:schemeClr w14:val="tx1"/>
            </w14:solidFill>
          </w14:textFill>
        </w:rPr>
        <w:t>；货物</w:t>
      </w:r>
      <w:r>
        <w:rPr>
          <w:rFonts w:hint="eastAsia" w:ascii="宋体" w:hAnsi="宋体" w:eastAsia="宋体" w:cs="宋体"/>
          <w:bCs/>
          <w:color w:val="000000" w:themeColor="text1"/>
          <w:sz w:val="24"/>
          <w:szCs w:val="24"/>
          <w:highlight w:val="none"/>
          <w14:textFill>
            <w14:solidFill>
              <w14:schemeClr w14:val="tx1"/>
            </w14:solidFill>
          </w14:textFill>
        </w:rPr>
        <w:t>进入现场后，由采购人委派人员进行全面检查，并可对每种规格进行抽样检查（费用由</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承担），当发现某一部件不合格，则双倍数量检查。凡是检查不合格的产品，投标人应负责修理或更换，当延误了安装时间而造成的损失</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有权要求赔偿。</w:t>
      </w:r>
    </w:p>
    <w:p>
      <w:pPr>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产品检验过程中，由于质量不合格或运输等原因所造成的一切费用均由供应商负责。</w:t>
      </w:r>
    </w:p>
    <w:p>
      <w:pPr>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成交供应商须对因投标产品使用期内的固有缺陷和瑕疵承担责任。</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设备的保修及拒收</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jc w:val="left"/>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设备到货经检查发现损坏或不符合本标书要求，</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有权提出更换，拒收和索赔要求；在技术规定的保修期内发现部件不符合本标书要求或发生损坏，</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应负责及时维修或更换；由此产生的费用和损失均由</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负责。</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技术培训</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当合同生效后，投标人应负责对</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人员进行技术培训，以使</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能掌握设备的装配和维护。</w:t>
      </w:r>
    </w:p>
    <w:p>
      <w:pPr>
        <w:keepNext w:val="0"/>
        <w:keepLines w:val="0"/>
        <w:pageBreakBefore w:val="0"/>
        <w:kinsoku/>
        <w:wordWrap/>
        <w:overflowPunct/>
        <w:topLinePunct w:val="0"/>
        <w:bidi w:val="0"/>
        <w:snapToGrid w:val="0"/>
        <w:spacing w:line="400" w:lineRule="exac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六、商务条款</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1、本项目所有产品的生产、供货、技术服务培训等，费用包含在投标单价中，投标人自行考虑该风险。</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2、本项目按实际数量结算，成交后实行固定单价，该投标报价在合同执行期间是固定不变的，中标人不得以任何理由予以变更。</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3、使用单位将根据实际需要，向</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分批采购，各投标单位请在报价中充分考虑分批发货可能增加的运费及相关费用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合同签订后，</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每批次交货时间自采购人发出通知之后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lang w:eastAsia="zh-CN"/>
          <w14:textFill>
            <w14:solidFill>
              <w14:schemeClr w14:val="tx1"/>
            </w14:solidFill>
          </w14:textFill>
        </w:rPr>
        <w:t>天</w:t>
      </w:r>
      <w:r>
        <w:rPr>
          <w:rFonts w:hint="eastAsia" w:ascii="宋体" w:hAnsi="宋体" w:eastAsia="宋体" w:cs="宋体"/>
          <w:bCs/>
          <w:color w:val="000000" w:themeColor="text1"/>
          <w:sz w:val="24"/>
          <w:szCs w:val="24"/>
          <w:highlight w:val="none"/>
          <w14:textFill>
            <w14:solidFill>
              <w14:schemeClr w14:val="tx1"/>
            </w14:solidFill>
          </w14:textFill>
        </w:rPr>
        <w:t>内（交货期自采购人发出通知后，即日开始计算）。</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有确保管材质量不可推卸的责任，在安装、调试、检验时，应派遣全权代表参加并加以指导，如发现质量问题，代表必须负责处理至</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满意为止。</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4、本次采购货物的报价应包括材料运至</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指定的地点（一个以上不同地点）产生相应的费用</w:t>
      </w:r>
      <w:r>
        <w:rPr>
          <w:rFonts w:hint="eastAsia" w:ascii="宋体" w:hAnsi="宋体" w:eastAsia="宋体" w:cs="宋体"/>
          <w:b/>
          <w:bCs/>
          <w:color w:val="000000" w:themeColor="text1"/>
          <w:sz w:val="24"/>
          <w:szCs w:val="24"/>
          <w:highlight w:val="none"/>
          <w14:textFill>
            <w14:solidFill>
              <w14:schemeClr w14:val="tx1"/>
            </w14:solidFill>
          </w14:textFill>
        </w:rPr>
        <w:t>（包含卸车费用）</w:t>
      </w:r>
      <w:r>
        <w:rPr>
          <w:rFonts w:hint="eastAsia" w:ascii="宋体" w:hAnsi="宋体" w:eastAsia="宋体" w:cs="宋体"/>
          <w:bCs/>
          <w:color w:val="000000" w:themeColor="text1"/>
          <w:sz w:val="24"/>
          <w:szCs w:val="24"/>
          <w:highlight w:val="none"/>
          <w14:textFill>
            <w14:solidFill>
              <w14:schemeClr w14:val="tx1"/>
            </w14:solidFill>
          </w14:textFill>
        </w:rPr>
        <w:t>，投标供应商应自行考虑，计入合同单价，结算不予调整。</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有权对</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的生产情况进行突击检查，</w:t>
      </w:r>
      <w:r>
        <w:rPr>
          <w:rFonts w:hint="eastAsia" w:ascii="宋体" w:hAnsi="宋体" w:eastAsia="宋体" w:cs="宋体"/>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Cs/>
          <w:color w:val="000000" w:themeColor="text1"/>
          <w:sz w:val="24"/>
          <w:szCs w:val="24"/>
          <w:highlight w:val="none"/>
          <w14:textFill>
            <w14:solidFill>
              <w14:schemeClr w14:val="tx1"/>
            </w14:solidFill>
          </w14:textFill>
        </w:rPr>
        <w:t>必须配合</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的突击检查工作，否则</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有权中止合同。</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6、每批货物</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bCs w:val="0"/>
          <w:color w:val="000000" w:themeColor="text1"/>
          <w:sz w:val="24"/>
          <w:szCs w:val="24"/>
          <w:highlight w:val="none"/>
          <w14:textFill>
            <w14:solidFill>
              <w14:schemeClr w14:val="tx1"/>
            </w14:solidFill>
          </w14:textFill>
        </w:rPr>
        <w:t>可以随机抽取样品送至有资质的第三方检测单位对产品进行检测，运费及各项相关检测费用均由中标人承担，检验不合格的本批货物全部退货并赔偿</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bCs w:val="0"/>
          <w:color w:val="000000" w:themeColor="text1"/>
          <w:sz w:val="24"/>
          <w:szCs w:val="24"/>
          <w:highlight w:val="none"/>
          <w14:textFill>
            <w14:solidFill>
              <w14:schemeClr w14:val="tx1"/>
            </w14:solidFill>
          </w14:textFill>
        </w:rPr>
        <w:t>所有损失，同时没收30%的履约保证金；如合同期内出现两次产品检验不合格的情况</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采购人</w:t>
      </w:r>
      <w:r>
        <w:rPr>
          <w:rFonts w:hint="eastAsia" w:ascii="宋体" w:hAnsi="宋体" w:eastAsia="宋体" w:cs="宋体"/>
          <w:b/>
          <w:bCs w:val="0"/>
          <w:color w:val="000000" w:themeColor="text1"/>
          <w:sz w:val="24"/>
          <w:szCs w:val="24"/>
          <w:highlight w:val="none"/>
          <w14:textFill>
            <w14:solidFill>
              <w14:schemeClr w14:val="tx1"/>
            </w14:solidFill>
          </w14:textFill>
        </w:rPr>
        <w:t>有权终止合同并没收全部履约保证金。</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2" w:firstLineChars="200"/>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中标人必须向采购人提供产品说明书、质量保证书、相关检测报告等相关资料，货物送达采购人指定地点时，应由项目实施单位代表进行当场验货，并签字确认。</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400" w:lineRule="exact"/>
        <w:ind w:left="-210" w:leftChars="0" w:firstLine="480" w:firstLineChars="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如中标人延误交货时间（接到</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通知后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14:textFill>
            <w14:solidFill>
              <w14:schemeClr w14:val="tx1"/>
            </w14:solidFill>
          </w14:textFill>
        </w:rPr>
        <w:t>天内完成交货），除人力不可抗拒因素（不包括原材料上涨、环保因素以及雾霾等）外，乙方不能按期交货（</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包括但不仅限于</w:t>
      </w:r>
      <w:r>
        <w:rPr>
          <w:rFonts w:hint="eastAsia" w:ascii="宋体" w:hAnsi="宋体" w:eastAsia="宋体" w:cs="宋体"/>
          <w:bCs/>
          <w:color w:val="000000" w:themeColor="text1"/>
          <w:sz w:val="24"/>
          <w:szCs w:val="24"/>
          <w:highlight w:val="none"/>
          <w14:textFill>
            <w14:solidFill>
              <w14:schemeClr w14:val="tx1"/>
            </w14:solidFill>
          </w14:textFill>
        </w:rPr>
        <w:t>因运输、生产或其他原因，造成本公司安装中需用货物而影响工程交付使用）时，乙方必须向甲方支付延期交货或延期交付使用的违约金，具体标准按合同总价每日千分之二计算。</w:t>
      </w:r>
    </w:p>
    <w:p>
      <w:pPr>
        <w:keepNext w:val="0"/>
        <w:keepLines w:val="0"/>
        <w:pageBreakBefore w:val="0"/>
        <w:widowControl/>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七</w:t>
      </w:r>
      <w:r>
        <w:rPr>
          <w:rFonts w:hint="eastAsia" w:ascii="宋体" w:hAnsi="宋体" w:eastAsia="宋体" w:cs="宋体"/>
          <w:b/>
          <w:bCs w:val="0"/>
          <w:color w:val="000000" w:themeColor="text1"/>
          <w:sz w:val="24"/>
          <w:szCs w:val="24"/>
          <w:highlight w:val="none"/>
          <w14:textFill>
            <w14:solidFill>
              <w14:schemeClr w14:val="tx1"/>
            </w14:solidFill>
          </w14:textFill>
        </w:rPr>
        <w:t>、免费质保期：</w:t>
      </w:r>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最后一批货供货完毕并验收合格后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lang w:eastAsia="zh-CN"/>
          <w14:textFill>
            <w14:solidFill>
              <w14:schemeClr w14:val="tx1"/>
            </w14:solidFill>
          </w14:textFill>
        </w:rPr>
        <w:t>（含通信费）</w:t>
      </w:r>
      <w:r>
        <w:rPr>
          <w:rFonts w:hint="eastAsia" w:ascii="宋体" w:hAnsi="宋体" w:eastAsia="宋体" w:cs="宋体"/>
          <w:bCs/>
          <w:color w:val="000000" w:themeColor="text1"/>
          <w:sz w:val="24"/>
          <w:szCs w:val="24"/>
          <w:highlight w:val="none"/>
          <w14:textFill>
            <w14:solidFill>
              <w14:schemeClr w14:val="tx1"/>
            </w14:solidFill>
          </w14:textFill>
        </w:rPr>
        <w:t>。质保期内出现质量问题，各投标人应在</w:t>
      </w:r>
      <w:r>
        <w:rPr>
          <w:rFonts w:hint="eastAsia" w:ascii="宋体" w:hAnsi="宋体" w:eastAsia="宋体" w:cs="宋体"/>
          <w:bCs/>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Cs/>
          <w:color w:val="000000" w:themeColor="text1"/>
          <w:sz w:val="24"/>
          <w:szCs w:val="24"/>
          <w:highlight w:val="none"/>
          <w14:textFill>
            <w14:solidFill>
              <w14:schemeClr w14:val="tx1"/>
            </w14:solidFill>
          </w14:textFill>
        </w:rPr>
        <w:t>中承诺及时无偿提供保修服务或相关措施等。</w:t>
      </w:r>
    </w:p>
    <w:p>
      <w:pPr>
        <w:keepNext w:val="0"/>
        <w:keepLines w:val="0"/>
        <w:pageBreakBefore w:val="0"/>
        <w:kinsoku/>
        <w:wordWrap/>
        <w:overflowPunct/>
        <w:topLinePunct w:val="0"/>
        <w:bidi w:val="0"/>
        <w:spacing w:line="400" w:lineRule="exact"/>
        <w:rPr>
          <w:rFonts w:hint="eastAsia" w:ascii="宋体" w:hAnsi="宋体"/>
          <w:b/>
          <w:bCs/>
          <w:color w:val="000000" w:themeColor="text1"/>
          <w:sz w:val="24"/>
          <w:highlight w:val="none"/>
          <w14:textFill>
            <w14:solidFill>
              <w14:schemeClr w14:val="tx1"/>
            </w14:solidFill>
          </w14:textFill>
        </w:rPr>
      </w:pPr>
      <w:bookmarkStart w:id="20" w:name="_Toc236470252"/>
      <w:bookmarkStart w:id="21" w:name="_Toc325986592"/>
      <w:bookmarkStart w:id="22" w:name="_Toc330983990"/>
      <w:r>
        <w:rPr>
          <w:rFonts w:hint="eastAsia" w:ascii="宋体" w:hAnsi="宋体" w:eastAsia="宋体" w:cs="宋体"/>
          <w:b/>
          <w:bCs/>
          <w:color w:val="000000" w:themeColor="text1"/>
          <w:sz w:val="24"/>
          <w:szCs w:val="24"/>
          <w:highlight w:val="none"/>
          <w:lang w:eastAsia="zh-CN"/>
          <w14:textFill>
            <w14:solidFill>
              <w14:schemeClr w14:val="tx1"/>
            </w14:solidFill>
          </w14:textFill>
        </w:rPr>
        <w:t>八</w:t>
      </w:r>
      <w:r>
        <w:rPr>
          <w:rFonts w:hint="eastAsia" w:ascii="宋体" w:hAnsi="宋体"/>
          <w:b/>
          <w:bCs/>
          <w:color w:val="000000" w:themeColor="text1"/>
          <w:sz w:val="24"/>
          <w:highlight w:val="none"/>
          <w14:textFill>
            <w14:solidFill>
              <w14:schemeClr w14:val="tx1"/>
            </w14:solidFill>
          </w14:textFill>
        </w:rPr>
        <w:t>、样品提交要求</w:t>
      </w:r>
    </w:p>
    <w:tbl>
      <w:tblPr>
        <w:tblStyle w:val="9"/>
        <w:tblW w:w="0" w:type="auto"/>
        <w:jc w:val="center"/>
        <w:tblLayout w:type="fixed"/>
        <w:tblCellMar>
          <w:top w:w="0" w:type="dxa"/>
          <w:left w:w="108" w:type="dxa"/>
          <w:bottom w:w="0" w:type="dxa"/>
          <w:right w:w="108" w:type="dxa"/>
        </w:tblCellMar>
      </w:tblPr>
      <w:tblGrid>
        <w:gridCol w:w="895"/>
        <w:gridCol w:w="4181"/>
        <w:gridCol w:w="1710"/>
        <w:gridCol w:w="1710"/>
      </w:tblGrid>
      <w:tr>
        <w:tblPrEx>
          <w:tblCellMar>
            <w:top w:w="0" w:type="dxa"/>
            <w:left w:w="108" w:type="dxa"/>
            <w:bottom w:w="0" w:type="dxa"/>
            <w:right w:w="108" w:type="dxa"/>
          </w:tblCellMar>
        </w:tblPrEx>
        <w:trPr>
          <w:trHeight w:val="514"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val="0"/>
                <w:bCs w:val="0"/>
                <w:color w:val="000000" w:themeColor="text1"/>
                <w:sz w:val="24"/>
                <w:szCs w:val="24"/>
                <w:highlight w:val="none"/>
                <w:lang w:val="en-US" w:eastAsia="zh-CN" w:bidi="zh-TW"/>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zh-TW"/>
                <w14:textFill>
                  <w14:solidFill>
                    <w14:schemeClr w14:val="tx1"/>
                  </w14:solidFill>
                </w14:textFill>
              </w:rPr>
              <w:t>序号</w:t>
            </w:r>
          </w:p>
        </w:tc>
        <w:tc>
          <w:tcPr>
            <w:tcW w:w="41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ind w:firstLine="0" w:firstLineChars="0"/>
              <w:jc w:val="center"/>
              <w:rPr>
                <w:rFonts w:hint="eastAsia" w:ascii="宋体" w:cs="宋体"/>
                <w:b w:val="0"/>
                <w:bCs w:val="0"/>
                <w:color w:val="000000" w:themeColor="text1"/>
                <w:sz w:val="24"/>
                <w:highlight w:val="none"/>
                <w:lang w:eastAsia="zh-CN"/>
                <w14:textFill>
                  <w14:solidFill>
                    <w14:schemeClr w14:val="tx1"/>
                  </w14:solidFill>
                </w14:textFill>
              </w:rPr>
            </w:pPr>
            <w:r>
              <w:rPr>
                <w:rFonts w:hint="eastAsia" w:ascii="宋体" w:cs="宋体"/>
                <w:b w:val="0"/>
                <w:bCs w:val="0"/>
                <w:color w:val="000000" w:themeColor="text1"/>
                <w:sz w:val="24"/>
                <w:highlight w:val="none"/>
                <w:lang w:eastAsia="zh-CN"/>
                <w14:textFill>
                  <w14:solidFill>
                    <w14:schemeClr w14:val="tx1"/>
                  </w14:solidFill>
                </w14:textFill>
              </w:rPr>
              <w:t>名称</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宋体" w:cs="宋体"/>
                <w:b w:val="0"/>
                <w:bCs w:val="0"/>
                <w:color w:val="000000" w:themeColor="text1"/>
                <w:sz w:val="24"/>
                <w:highlight w:val="none"/>
                <w:lang w:val="en-US" w:eastAsia="zh-CN"/>
                <w14:textFill>
                  <w14:solidFill>
                    <w14:schemeClr w14:val="tx1"/>
                  </w14:solidFill>
                </w14:textFill>
              </w:rPr>
            </w:pPr>
            <w:r>
              <w:rPr>
                <w:rFonts w:hint="eastAsia" w:ascii="宋体" w:cs="宋体"/>
                <w:b w:val="0"/>
                <w:bCs w:val="0"/>
                <w:color w:val="000000" w:themeColor="text1"/>
                <w:sz w:val="24"/>
                <w:highlight w:val="none"/>
                <w:lang w:val="en-US" w:eastAsia="zh-CN"/>
                <w14:textFill>
                  <w14:solidFill>
                    <w14:schemeClr w14:val="tx1"/>
                  </w14:solidFill>
                </w14:textFill>
              </w:rPr>
              <w:t>规格（型号）</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eastAsia" w:ascii="宋体" w:cs="宋体"/>
                <w:b w:val="0"/>
                <w:bCs w:val="0"/>
                <w:color w:val="000000" w:themeColor="text1"/>
                <w:sz w:val="24"/>
                <w:highlight w:val="none"/>
                <w:lang w:val="en-US" w:eastAsia="zh-CN"/>
                <w14:textFill>
                  <w14:solidFill>
                    <w14:schemeClr w14:val="tx1"/>
                  </w14:solidFill>
                </w14:textFill>
              </w:rPr>
            </w:pPr>
            <w:r>
              <w:rPr>
                <w:rFonts w:hint="eastAsia" w:ascii="宋体" w:cs="宋体"/>
                <w:b w:val="0"/>
                <w:bCs w:val="0"/>
                <w:color w:val="000000" w:themeColor="text1"/>
                <w:sz w:val="24"/>
                <w:highlight w:val="none"/>
                <w:lang w:val="en-US" w:eastAsia="zh-CN"/>
                <w14:textFill>
                  <w14:solidFill>
                    <w14:schemeClr w14:val="tx1"/>
                  </w14:solidFill>
                </w14:textFill>
              </w:rPr>
              <w:t>数量</w:t>
            </w:r>
          </w:p>
        </w:tc>
      </w:tr>
      <w:tr>
        <w:tblPrEx>
          <w:tblCellMar>
            <w:top w:w="0" w:type="dxa"/>
            <w:left w:w="108" w:type="dxa"/>
            <w:bottom w:w="0" w:type="dxa"/>
            <w:right w:w="108" w:type="dxa"/>
          </w:tblCellMar>
        </w:tblPrEx>
        <w:trPr>
          <w:trHeight w:val="514" w:hRule="exact"/>
          <w:jc w:val="center"/>
        </w:trPr>
        <w:tc>
          <w:tcPr>
            <w:tcW w:w="8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default" w:ascii="宋体" w:hAnsi="宋体" w:eastAsia="宋体" w:cs="宋体"/>
                <w:b w:val="0"/>
                <w:bCs w:val="0"/>
                <w:color w:val="000000" w:themeColor="text1"/>
                <w:sz w:val="24"/>
                <w:szCs w:val="24"/>
                <w:highlight w:val="none"/>
                <w:lang w:val="en-US" w:eastAsia="zh-CN" w:bidi="zh-TW"/>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bidi="zh-TW"/>
                <w14:textFill>
                  <w14:solidFill>
                    <w14:schemeClr w14:val="tx1"/>
                  </w14:solidFill>
                </w14:textFill>
              </w:rPr>
              <w:t>1</w:t>
            </w:r>
          </w:p>
        </w:tc>
        <w:tc>
          <w:tcPr>
            <w:tcW w:w="418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ind w:firstLine="0" w:firstLineChars="0"/>
              <w:jc w:val="center"/>
              <w:rPr>
                <w:rFonts w:hint="eastAsia" w:ascii="宋体" w:hAnsi="宋体" w:eastAsia="宋体" w:cs="宋体"/>
                <w:b w:val="0"/>
                <w:bCs w:val="0"/>
                <w:color w:val="000000" w:themeColor="text1"/>
                <w:sz w:val="24"/>
                <w:szCs w:val="24"/>
                <w:highlight w:val="none"/>
                <w:lang w:val="en-US" w:eastAsia="zh-CN" w:bidi="zh-TW"/>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智能水表（无线）</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default" w:ascii="宋体" w:hAnsi="宋体" w:eastAsia="宋体" w:cs="宋体"/>
                <w:b w:val="0"/>
                <w:bCs w:val="0"/>
                <w:color w:val="000000" w:themeColor="text1"/>
                <w:sz w:val="24"/>
                <w:szCs w:val="24"/>
                <w:highlight w:val="none"/>
                <w:lang w:val="en-US" w:eastAsia="zh-CN" w:bidi="zh-TW"/>
                <w14:textFill>
                  <w14:solidFill>
                    <w14:schemeClr w14:val="tx1"/>
                  </w14:solidFill>
                </w14:textFill>
              </w:rPr>
            </w:pPr>
            <w:r>
              <w:rPr>
                <w:rFonts w:hint="eastAsia" w:ascii="宋体" w:cs="宋体"/>
                <w:b w:val="0"/>
                <w:bCs w:val="0"/>
                <w:color w:val="000000" w:themeColor="text1"/>
                <w:sz w:val="24"/>
                <w:highlight w:val="none"/>
                <w:lang w:val="en-US" w:eastAsia="zh-CN"/>
                <w14:textFill>
                  <w14:solidFill>
                    <w14:schemeClr w14:val="tx1"/>
                  </w14:solidFill>
                </w14:textFill>
              </w:rPr>
              <w:t xml:space="preserve"> DN20</w:t>
            </w:r>
          </w:p>
        </w:tc>
        <w:tc>
          <w:tcPr>
            <w:tcW w:w="171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400" w:lineRule="exact"/>
              <w:jc w:val="center"/>
              <w:rPr>
                <w:rFonts w:hint="default" w:ascii="宋体" w:cs="宋体"/>
                <w:b w:val="0"/>
                <w:bCs w:val="0"/>
                <w:color w:val="000000" w:themeColor="text1"/>
                <w:sz w:val="24"/>
                <w:highlight w:val="none"/>
                <w:lang w:val="en-US" w:eastAsia="zh-CN"/>
                <w14:textFill>
                  <w14:solidFill>
                    <w14:schemeClr w14:val="tx1"/>
                  </w14:solidFill>
                </w14:textFill>
              </w:rPr>
            </w:pPr>
            <w:r>
              <w:rPr>
                <w:rFonts w:hint="eastAsia" w:ascii="宋体" w:cs="宋体"/>
                <w:b w:val="0"/>
                <w:bCs w:val="0"/>
                <w:color w:val="000000" w:themeColor="text1"/>
                <w:sz w:val="24"/>
                <w:highlight w:val="none"/>
                <w:lang w:val="en-US" w:eastAsia="zh-CN"/>
                <w14:textFill>
                  <w14:solidFill>
                    <w14:schemeClr w14:val="tx1"/>
                  </w14:solidFill>
                </w14:textFill>
              </w:rPr>
              <w:t>1只</w:t>
            </w:r>
          </w:p>
        </w:tc>
      </w:tr>
    </w:tbl>
    <w:p>
      <w:pPr>
        <w:spacing w:line="360" w:lineRule="auto"/>
        <w:ind w:firstLine="482" w:firstLineChars="200"/>
        <w:rPr>
          <w:rFonts w:hint="eastAsia" w:ascii="宋体" w:hAnsi="宋体" w:eastAsia="宋体" w:cs="Times New Roman"/>
          <w:b/>
          <w:color w:val="000000" w:themeColor="text1"/>
          <w:sz w:val="24"/>
          <w14:textFill>
            <w14:solidFill>
              <w14:schemeClr w14:val="tx1"/>
            </w14:solidFill>
          </w14:textFill>
        </w:rPr>
      </w:pPr>
      <w:r>
        <w:rPr>
          <w:rFonts w:hint="eastAsia" w:ascii="宋体" w:hAnsi="宋体" w:eastAsia="宋体" w:cs="Times New Roman"/>
          <w:b/>
          <w:color w:val="000000" w:themeColor="text1"/>
          <w:sz w:val="24"/>
          <w:lang w:val="en-US" w:eastAsia="zh-CN"/>
          <w14:textFill>
            <w14:solidFill>
              <w14:schemeClr w14:val="tx1"/>
            </w14:solidFill>
          </w14:textFill>
        </w:rPr>
        <w:t>1、</w:t>
      </w:r>
      <w:r>
        <w:rPr>
          <w:rFonts w:hint="eastAsia" w:ascii="宋体" w:hAnsi="宋体" w:eastAsia="宋体" w:cs="Times New Roman"/>
          <w:b/>
          <w:color w:val="000000" w:themeColor="text1"/>
          <w:sz w:val="24"/>
          <w14:textFill>
            <w14:solidFill>
              <w14:schemeClr w14:val="tx1"/>
            </w14:solidFill>
          </w14:textFill>
        </w:rPr>
        <w:t>样品提交要求：投标人</w:t>
      </w:r>
      <w:r>
        <w:rPr>
          <w:rFonts w:hint="eastAsia" w:ascii="宋体" w:hAnsi="宋体" w:eastAsia="宋体" w:cs="Times New Roman"/>
          <w:b/>
          <w:color w:val="000000" w:themeColor="text1"/>
          <w:sz w:val="24"/>
          <w:lang w:val="en-US" w:eastAsia="zh-CN"/>
          <w14:textFill>
            <w14:solidFill>
              <w14:schemeClr w14:val="tx1"/>
            </w14:solidFill>
          </w14:textFill>
        </w:rPr>
        <w:t>需要要求</w:t>
      </w:r>
      <w:r>
        <w:rPr>
          <w:rFonts w:hint="eastAsia" w:ascii="宋体" w:hAnsi="宋体" w:eastAsia="宋体" w:cs="Times New Roman"/>
          <w:b/>
          <w:color w:val="000000" w:themeColor="text1"/>
          <w:sz w:val="24"/>
          <w14:textFill>
            <w14:solidFill>
              <w14:schemeClr w14:val="tx1"/>
            </w14:solidFill>
          </w14:textFill>
        </w:rPr>
        <w:t>应提供实物样品。实物样品应在</w:t>
      </w:r>
      <w:r>
        <w:rPr>
          <w:rFonts w:hint="eastAsia" w:ascii="宋体" w:hAnsi="宋体" w:eastAsia="宋体" w:cs="Times New Roman"/>
          <w:b/>
          <w:color w:val="000000" w:themeColor="text1"/>
          <w:sz w:val="24"/>
          <w:lang w:eastAsia="zh-CN"/>
          <w14:textFill>
            <w14:solidFill>
              <w14:schemeClr w14:val="tx1"/>
            </w14:solidFill>
          </w14:textFill>
        </w:rPr>
        <w:t>2023年</w:t>
      </w:r>
      <w:r>
        <w:rPr>
          <w:rFonts w:hint="eastAsia" w:ascii="宋体" w:hAnsi="宋体" w:eastAsia="宋体" w:cs="Times New Roman"/>
          <w:b/>
          <w:color w:val="000000" w:themeColor="text1"/>
          <w:sz w:val="24"/>
          <w:lang w:val="en-US" w:eastAsia="zh-CN"/>
          <w14:textFill>
            <w14:solidFill>
              <w14:schemeClr w14:val="tx1"/>
            </w14:solidFill>
          </w14:textFill>
        </w:rPr>
        <w:t xml:space="preserve">  </w:t>
      </w:r>
      <w:r>
        <w:rPr>
          <w:rFonts w:hint="eastAsia" w:ascii="宋体" w:hAnsi="宋体" w:eastAsia="宋体" w:cs="Times New Roman"/>
          <w:b/>
          <w:color w:val="000000" w:themeColor="text1"/>
          <w:sz w:val="24"/>
          <w14:textFill>
            <w14:solidFill>
              <w14:schemeClr w14:val="tx1"/>
            </w14:solidFill>
          </w14:textFill>
        </w:rPr>
        <w:t>月</w:t>
      </w:r>
      <w:r>
        <w:rPr>
          <w:rFonts w:hint="eastAsia" w:ascii="宋体" w:hAnsi="宋体" w:eastAsia="宋体" w:cs="Times New Roman"/>
          <w:b/>
          <w:color w:val="000000" w:themeColor="text1"/>
          <w:sz w:val="24"/>
          <w:lang w:val="en-US" w:eastAsia="zh-CN"/>
          <w14:textFill>
            <w14:solidFill>
              <w14:schemeClr w14:val="tx1"/>
            </w14:solidFill>
          </w14:textFill>
        </w:rPr>
        <w:t xml:space="preserve">   </w:t>
      </w:r>
      <w:r>
        <w:rPr>
          <w:rFonts w:hint="eastAsia" w:ascii="宋体" w:hAnsi="宋体" w:eastAsia="宋体" w:cs="Times New Roman"/>
          <w:b/>
          <w:color w:val="000000" w:themeColor="text1"/>
          <w:sz w:val="24"/>
          <w14:textFill>
            <w14:solidFill>
              <w14:schemeClr w14:val="tx1"/>
            </w14:solidFill>
          </w14:textFill>
        </w:rPr>
        <w:t>日</w:t>
      </w:r>
      <w:r>
        <w:rPr>
          <w:rFonts w:hint="eastAsia" w:ascii="宋体" w:hAnsi="宋体" w:eastAsia="宋体" w:cs="Times New Roman"/>
          <w:b/>
          <w:color w:val="000000" w:themeColor="text1"/>
          <w:sz w:val="24"/>
          <w:lang w:val="en-US" w:eastAsia="zh-CN"/>
          <w14:textFill>
            <w14:solidFill>
              <w14:schemeClr w14:val="tx1"/>
            </w14:solidFill>
          </w14:textFill>
        </w:rPr>
        <w:t>17</w:t>
      </w:r>
      <w:r>
        <w:rPr>
          <w:rFonts w:hint="eastAsia" w:ascii="宋体" w:hAnsi="宋体" w:eastAsia="宋体" w:cs="Times New Roman"/>
          <w:b/>
          <w:color w:val="000000" w:themeColor="text1"/>
          <w:sz w:val="24"/>
          <w14:textFill>
            <w14:solidFill>
              <w14:schemeClr w14:val="tx1"/>
            </w14:solidFill>
          </w14:textFill>
        </w:rPr>
        <w:t>：</w:t>
      </w:r>
      <w:r>
        <w:rPr>
          <w:rFonts w:hint="eastAsia" w:ascii="宋体" w:hAnsi="宋体" w:eastAsia="宋体" w:cs="Times New Roman"/>
          <w:b/>
          <w:color w:val="000000" w:themeColor="text1"/>
          <w:sz w:val="24"/>
          <w:lang w:val="en-US" w:eastAsia="zh-CN"/>
          <w14:textFill>
            <w14:solidFill>
              <w14:schemeClr w14:val="tx1"/>
            </w14:solidFill>
          </w14:textFill>
        </w:rPr>
        <w:t>30</w:t>
      </w:r>
      <w:r>
        <w:rPr>
          <w:rFonts w:hint="eastAsia" w:ascii="宋体" w:hAnsi="宋体" w:eastAsia="宋体" w:cs="Times New Roman"/>
          <w:b/>
          <w:color w:val="000000" w:themeColor="text1"/>
          <w:sz w:val="24"/>
          <w14:textFill>
            <w14:solidFill>
              <w14:schemeClr w14:val="tx1"/>
            </w14:solidFill>
          </w14:textFill>
        </w:rPr>
        <w:t>前邮寄至浙江祥泽招标代理有限公司（浙江省天台县西演茅村14巷3</w:t>
      </w:r>
      <w:r>
        <w:rPr>
          <w:rFonts w:hint="eastAsia" w:ascii="宋体" w:hAnsi="宋体" w:eastAsia="宋体" w:cs="Times New Roman"/>
          <w:b/>
          <w:color w:val="000000" w:themeColor="text1"/>
          <w:sz w:val="24"/>
          <w:lang w:val="en-US" w:eastAsia="zh-CN"/>
          <w14:textFill>
            <w14:solidFill>
              <w14:schemeClr w14:val="tx1"/>
            </w14:solidFill>
          </w14:textFill>
        </w:rPr>
        <w:t>9</w:t>
      </w:r>
      <w:r>
        <w:rPr>
          <w:rFonts w:hint="eastAsia" w:ascii="宋体" w:hAnsi="宋体" w:eastAsia="宋体" w:cs="Times New Roman"/>
          <w:b/>
          <w:color w:val="000000" w:themeColor="text1"/>
          <w:sz w:val="24"/>
          <w14:textFill>
            <w14:solidFill>
              <w14:schemeClr w14:val="tx1"/>
            </w14:solidFill>
          </w14:textFill>
        </w:rPr>
        <w:t>号，接收人：</w:t>
      </w:r>
      <w:r>
        <w:rPr>
          <w:rFonts w:hint="eastAsia" w:ascii="宋体" w:hAnsi="宋体" w:eastAsia="宋体" w:cs="Times New Roman"/>
          <w:b/>
          <w:color w:val="000000" w:themeColor="text1"/>
          <w:sz w:val="24"/>
          <w:lang w:val="en-US" w:eastAsia="zh-CN"/>
          <w14:textFill>
            <w14:solidFill>
              <w14:schemeClr w14:val="tx1"/>
            </w14:solidFill>
          </w14:textFill>
        </w:rPr>
        <w:t>庞雅晴</w:t>
      </w:r>
      <w:r>
        <w:rPr>
          <w:rFonts w:hint="eastAsia" w:ascii="宋体" w:hAnsi="宋体" w:eastAsia="宋体" w:cs="Times New Roman"/>
          <w:b/>
          <w:color w:val="000000" w:themeColor="text1"/>
          <w:sz w:val="24"/>
          <w14:textFill>
            <w14:solidFill>
              <w14:schemeClr w14:val="tx1"/>
            </w14:solidFill>
          </w14:textFill>
        </w:rPr>
        <w:t>，电话：</w:t>
      </w:r>
      <w:r>
        <w:rPr>
          <w:rFonts w:hint="eastAsia" w:ascii="宋体" w:hAnsi="宋体" w:eastAsia="宋体" w:cs="Times New Roman"/>
          <w:b/>
          <w:color w:val="000000" w:themeColor="text1"/>
          <w:sz w:val="24"/>
          <w:lang w:val="en-US" w:eastAsia="zh-CN"/>
          <w14:textFill>
            <w14:solidFill>
              <w14:schemeClr w14:val="tx1"/>
            </w14:solidFill>
          </w14:textFill>
        </w:rPr>
        <w:t>18668113738</w:t>
      </w:r>
      <w:r>
        <w:rPr>
          <w:rFonts w:hint="eastAsia" w:ascii="宋体" w:hAnsi="宋体" w:eastAsia="宋体" w:cs="Times New Roman"/>
          <w:b/>
          <w:color w:val="000000" w:themeColor="text1"/>
          <w:sz w:val="24"/>
          <w14:textFill>
            <w14:solidFill>
              <w14:schemeClr w14:val="tx1"/>
            </w14:solidFill>
          </w14:textFill>
        </w:rPr>
        <w:t>）。投标人需把样品统一放进包装箱内并贴上投标人名称。</w:t>
      </w:r>
    </w:p>
    <w:p>
      <w:pPr>
        <w:keepNext w:val="0"/>
        <w:keepLines w:val="0"/>
        <w:pageBreakBefore w:val="0"/>
        <w:kinsoku/>
        <w:wordWrap/>
        <w:overflowPunct/>
        <w:topLinePunct w:val="0"/>
        <w:bidi w:val="0"/>
        <w:snapToGrid w:val="0"/>
        <w:spacing w:before="156" w:beforeLines="50" w:line="400" w:lineRule="exact"/>
        <w:ind w:firstLine="240" w:firstLineChars="100"/>
        <w:jc w:val="left"/>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开标结束后，采购人将对中标候选人的所有样品进行封存，作为验收的依据。</w:t>
      </w:r>
    </w:p>
    <w:p>
      <w:pPr>
        <w:keepNext w:val="0"/>
        <w:keepLines w:val="0"/>
        <w:pageBreakBefore w:val="0"/>
        <w:kinsoku/>
        <w:wordWrap/>
        <w:overflowPunct/>
        <w:topLinePunct w:val="0"/>
        <w:bidi w:val="0"/>
        <w:snapToGrid w:val="0"/>
        <w:spacing w:before="156" w:beforeLines="50" w:line="400" w:lineRule="exact"/>
        <w:ind w:firstLine="240" w:firstLineChars="100"/>
        <w:jc w:val="left"/>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中标人在供货时提供</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eastAsia="宋体" w:cs="宋体"/>
          <w:i w:val="0"/>
          <w:iCs w:val="0"/>
          <w:color w:val="000000" w:themeColor="text1"/>
          <w:sz w:val="24"/>
          <w:szCs w:val="24"/>
          <w:highlight w:val="none"/>
          <w:u w:val="none"/>
          <w14:textFill>
            <w14:solidFill>
              <w14:schemeClr w14:val="tx1"/>
            </w14:solidFill>
          </w14:textFill>
        </w:rPr>
        <w:t>智能水表（无线）</w:t>
      </w:r>
      <w: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t>表壳材质必须与投标时承诺的</w:t>
      </w:r>
      <w:r>
        <w:rPr>
          <w:rFonts w:hint="eastAsia" w:ascii="宋体" w:cs="宋体"/>
          <w:b w:val="0"/>
          <w:bCs w:val="0"/>
          <w:color w:val="000000" w:themeColor="text1"/>
          <w:sz w:val="24"/>
          <w:highlight w:val="none"/>
          <w:lang w:val="en-US" w:eastAsia="zh-CN"/>
          <w14:textFill>
            <w14:solidFill>
              <w14:schemeClr w14:val="tx1"/>
            </w14:solidFill>
          </w14:textFill>
        </w:rPr>
        <w:t>DN20</w:t>
      </w:r>
      <w:r>
        <w:rPr>
          <w:rFonts w:hint="eastAsia" w:ascii="宋体" w:hAnsi="宋体" w:eastAsia="宋体" w:cs="宋体"/>
          <w:i w:val="0"/>
          <w:iCs w:val="0"/>
          <w:color w:val="000000" w:themeColor="text1"/>
          <w:sz w:val="24"/>
          <w:szCs w:val="24"/>
          <w:highlight w:val="none"/>
          <w:u w:val="none"/>
          <w:lang w:eastAsia="zh-CN"/>
          <w14:textFill>
            <w14:solidFill>
              <w14:schemeClr w14:val="tx1"/>
            </w14:solidFill>
          </w14:textFill>
        </w:rPr>
        <w:t>样品的表壳材质一致。</w:t>
      </w:r>
    </w:p>
    <w:p>
      <w:pPr>
        <w:keepNext w:val="0"/>
        <w:keepLines w:val="0"/>
        <w:pageBreakBefore w:val="0"/>
        <w:kinsoku/>
        <w:wordWrap/>
        <w:overflowPunct/>
        <w:topLinePunct w:val="0"/>
        <w:bidi w:val="0"/>
        <w:snapToGrid w:val="0"/>
        <w:spacing w:before="156" w:beforeLines="50" w:line="400" w:lineRule="exact"/>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4、未中标样品需寄回的，邮费自理。</w:t>
      </w:r>
      <w:r>
        <w:rPr>
          <w:rFonts w:hint="eastAsia" w:ascii="宋体" w:hAnsi="宋体"/>
          <w:color w:val="000000" w:themeColor="text1"/>
          <w:sz w:val="24"/>
          <w:highlight w:val="none"/>
          <w14:textFill>
            <w14:solidFill>
              <w14:schemeClr w14:val="tx1"/>
            </w14:solidFill>
          </w14:textFill>
        </w:rPr>
        <w:br w:type="textWrapping"/>
      </w:r>
      <w:r>
        <w:rPr>
          <w:rFonts w:hint="eastAsia" w:ascii="宋体" w:hAnsi="宋体"/>
          <w:color w:val="000000" w:themeColor="text1"/>
          <w:sz w:val="24"/>
          <w:highlight w:val="none"/>
          <w:lang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、付款方</w:t>
      </w:r>
      <w:r>
        <w:rPr>
          <w:rFonts w:hint="eastAsia" w:ascii="宋体" w:hAnsi="宋体" w:cs="宋体"/>
          <w:b/>
          <w:color w:val="000000" w:themeColor="text1"/>
          <w:sz w:val="24"/>
          <w:highlight w:val="none"/>
          <w14:textFill>
            <w14:solidFill>
              <w14:schemeClr w14:val="tx1"/>
            </w14:solidFill>
          </w14:textFill>
        </w:rPr>
        <w:t>式</w:t>
      </w:r>
      <w:bookmarkEnd w:id="20"/>
      <w:r>
        <w:rPr>
          <w:rFonts w:hint="eastAsia" w:ascii="宋体" w:hAnsi="宋体" w:cs="宋体"/>
          <w:color w:val="000000" w:themeColor="text1"/>
          <w:sz w:val="24"/>
          <w:highlight w:val="none"/>
          <w14:textFill>
            <w14:solidFill>
              <w14:schemeClr w14:val="tx1"/>
            </w14:solidFill>
          </w14:textFill>
        </w:rPr>
        <w:t>：</w:t>
      </w:r>
      <w:bookmarkEnd w:id="21"/>
      <w:bookmarkEnd w:id="22"/>
    </w:p>
    <w:p>
      <w:pPr>
        <w:keepNext w:val="0"/>
        <w:keepLines w:val="0"/>
        <w:pageBreakBefore w:val="0"/>
        <w:kinsoku/>
        <w:wordWrap/>
        <w:overflowPunct/>
        <w:topLinePunct w:val="0"/>
        <w:bidi w:val="0"/>
        <w:spacing w:line="400" w:lineRule="exact"/>
        <w:ind w:firstLine="600" w:firstLineChars="250"/>
        <w:rPr>
          <w:color w:val="000000" w:themeColor="text1"/>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合同签订后，每批货到仓库（工地）验收合格后，在一个月内支付该批货款的9</w:t>
      </w:r>
      <w:r>
        <w:rPr>
          <w:rFonts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.5%（发票和货物清单同时提供，以后付款以此类推），剩余2</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5%待质保期满后7个工作日内一次性付清。</w:t>
      </w:r>
    </w:p>
    <w:p>
      <w:pPr>
        <w:keepNext w:val="0"/>
        <w:keepLines w:val="0"/>
        <w:pageBreakBefore w:val="0"/>
        <w:kinsoku/>
        <w:wordWrap/>
        <w:overflowPunct/>
        <w:topLinePunct w:val="0"/>
        <w:bidi w:val="0"/>
        <w:spacing w:line="400" w:lineRule="exact"/>
        <w:ind w:firstLine="281" w:firstLineChars="100"/>
        <w:rPr>
          <w:rFonts w:hint="eastAsia"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说明：本章所有内容必须实质性响应，否则作无效标处理。</w:t>
      </w:r>
    </w:p>
    <w:p>
      <w:pPr>
        <w:pStyle w:val="7"/>
        <w:keepNext w:val="0"/>
        <w:keepLines w:val="0"/>
        <w:pageBreakBefore w:val="0"/>
        <w:kinsoku/>
        <w:wordWrap/>
        <w:overflowPunct/>
        <w:topLinePunct w:val="0"/>
        <w:bidi w:val="0"/>
        <w:snapToGrid w:val="0"/>
        <w:spacing w:line="400" w:lineRule="exact"/>
        <w:rPr>
          <w:rFonts w:ascii="仿宋_GB2312" w:eastAsia="仿宋_GB2312"/>
          <w:color w:val="000000" w:themeColor="text1"/>
          <w:sz w:val="28"/>
          <w:szCs w:val="28"/>
          <w:highlight w:val="none"/>
          <w14:textFill>
            <w14:solidFill>
              <w14:schemeClr w14:val="tx1"/>
            </w14:solidFill>
          </w14:textFill>
        </w:rPr>
        <w:sectPr>
          <w:pgSz w:w="11906" w:h="16838"/>
          <w:pgMar w:top="1134" w:right="1134" w:bottom="1134" w:left="1134" w:header="851" w:footer="992" w:gutter="0"/>
          <w:pgNumType w:fmt="decimal"/>
          <w:cols w:space="720" w:num="1"/>
          <w:docGrid w:type="lines" w:linePitch="312" w:charSpace="0"/>
        </w:sectPr>
      </w:pPr>
    </w:p>
    <w:p>
      <w:pPr>
        <w:pStyle w:val="7"/>
        <w:snapToGrid w:val="0"/>
        <w:jc w:val="center"/>
        <w:rPr>
          <w:rFonts w:ascii="仿宋_GB2312" w:eastAsia="仿宋_GB2312"/>
          <w:b/>
          <w:color w:val="000000" w:themeColor="text1"/>
          <w:sz w:val="36"/>
          <w:szCs w:val="36"/>
          <w:highlight w:val="none"/>
          <w14:textFill>
            <w14:solidFill>
              <w14:schemeClr w14:val="tx1"/>
            </w14:solidFill>
          </w14:textFill>
        </w:rPr>
      </w:pPr>
      <w:r>
        <w:rPr>
          <w:rFonts w:ascii="仿宋_GB2312" w:eastAsia="仿宋_GB2312"/>
          <w:b/>
          <w:color w:val="000000" w:themeColor="text1"/>
          <w:sz w:val="36"/>
          <w:szCs w:val="36"/>
          <w:highlight w:val="none"/>
          <w14:textFill>
            <w14:solidFill>
              <w14:schemeClr w14:val="tx1"/>
            </w14:solidFill>
          </w14:textFill>
        </w:rPr>
        <w:t>第五章 评标办法及评分标准</w:t>
      </w:r>
    </w:p>
    <w:p>
      <w:pPr>
        <w:pStyle w:val="7"/>
        <w:snapToGrid w:val="0"/>
        <w:spacing w:before="156" w:beforeLines="50" w:after="156" w:afterLines="50"/>
        <w:rPr>
          <w:rFonts w:ascii="仿宋_GB2312" w:eastAsia="仿宋_GB2312"/>
          <w:b/>
          <w:color w:val="000000" w:themeColor="text1"/>
          <w:sz w:val="28"/>
          <w:szCs w:val="28"/>
          <w:highlight w:val="none"/>
          <w14:textFill>
            <w14:solidFill>
              <w14:schemeClr w14:val="tx1"/>
            </w14:solidFill>
          </w14:textFill>
        </w:rPr>
      </w:pPr>
      <w:r>
        <w:rPr>
          <w:rFonts w:ascii="仿宋_GB2312" w:eastAsia="仿宋_GB2312"/>
          <w:b/>
          <w:color w:val="000000" w:themeColor="text1"/>
          <w:sz w:val="28"/>
          <w:szCs w:val="28"/>
          <w:highlight w:val="none"/>
          <w14:textFill>
            <w14:solidFill>
              <w14:schemeClr w14:val="tx1"/>
            </w14:solidFill>
          </w14:textFill>
        </w:rPr>
        <w:t>一、评标原则</w:t>
      </w:r>
    </w:p>
    <w:p>
      <w:pPr>
        <w:pStyle w:val="7"/>
        <w:snapToGrid w:val="0"/>
        <w:ind w:firstLine="240" w:firstLineChars="100"/>
        <w:rPr>
          <w:rFonts w:ascii="仿宋_GB2312" w:eastAsia="仿宋_GB2312"/>
          <w:color w:val="000000" w:themeColor="text1"/>
          <w:sz w:val="24"/>
          <w:highlight w:val="none"/>
          <w14:textFill>
            <w14:solidFill>
              <w14:schemeClr w14:val="tx1"/>
            </w14:solidFill>
          </w14:textFill>
        </w:rPr>
      </w:pPr>
      <w:r>
        <w:rPr>
          <w:rFonts w:ascii="仿宋_GB2312" w:eastAsia="仿宋_GB2312"/>
          <w:color w:val="000000" w:themeColor="text1"/>
          <w:sz w:val="24"/>
          <w:highlight w:val="none"/>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7"/>
        <w:snapToGrid w:val="0"/>
        <w:spacing w:before="156" w:beforeLines="50"/>
        <w:rPr>
          <w:rFonts w:ascii="仿宋_GB2312" w:eastAsia="仿宋_GB2312"/>
          <w:b/>
          <w:color w:val="000000" w:themeColor="text1"/>
          <w:sz w:val="28"/>
          <w:szCs w:val="28"/>
          <w:highlight w:val="none"/>
          <w14:textFill>
            <w14:solidFill>
              <w14:schemeClr w14:val="tx1"/>
            </w14:solidFill>
          </w14:textFill>
        </w:rPr>
      </w:pPr>
      <w:r>
        <w:rPr>
          <w:rFonts w:ascii="仿宋_GB2312" w:eastAsia="仿宋_GB2312"/>
          <w:b/>
          <w:color w:val="000000" w:themeColor="text1"/>
          <w:sz w:val="28"/>
          <w:szCs w:val="28"/>
          <w:highlight w:val="none"/>
          <w14:textFill>
            <w14:solidFill>
              <w14:schemeClr w14:val="tx1"/>
            </w14:solidFill>
          </w14:textFill>
        </w:rPr>
        <w:t>二、评标办法：采用综合评分法总得分为100分，其中技术得分</w:t>
      </w:r>
      <w:r>
        <w:rPr>
          <w:rFonts w:hint="eastAsia" w:ascii="仿宋_GB2312" w:eastAsia="仿宋_GB2312"/>
          <w:b/>
          <w:color w:val="000000" w:themeColor="text1"/>
          <w:sz w:val="28"/>
          <w:szCs w:val="28"/>
          <w:highlight w:val="none"/>
          <w:lang w:val="en-US" w:eastAsia="zh-CN"/>
          <w14:textFill>
            <w14:solidFill>
              <w14:schemeClr w14:val="tx1"/>
            </w14:solidFill>
          </w14:textFill>
        </w:rPr>
        <w:t>6</w:t>
      </w:r>
      <w:r>
        <w:rPr>
          <w:rFonts w:hint="eastAsia" w:ascii="仿宋_GB2312" w:eastAsia="仿宋_GB2312"/>
          <w:b/>
          <w:color w:val="000000" w:themeColor="text1"/>
          <w:sz w:val="28"/>
          <w:szCs w:val="28"/>
          <w:highlight w:val="none"/>
          <w14:textFill>
            <w14:solidFill>
              <w14:schemeClr w14:val="tx1"/>
            </w14:solidFill>
          </w14:textFill>
        </w:rPr>
        <w:t>0</w:t>
      </w:r>
      <w:r>
        <w:rPr>
          <w:rFonts w:ascii="仿宋_GB2312" w:eastAsia="仿宋_GB2312"/>
          <w:b/>
          <w:color w:val="000000" w:themeColor="text1"/>
          <w:sz w:val="28"/>
          <w:szCs w:val="28"/>
          <w:highlight w:val="none"/>
          <w14:textFill>
            <w14:solidFill>
              <w14:schemeClr w14:val="tx1"/>
            </w14:solidFill>
          </w14:textFill>
        </w:rPr>
        <w:t>分，价格得分</w:t>
      </w:r>
      <w:r>
        <w:rPr>
          <w:rFonts w:hint="eastAsia" w:ascii="仿宋_GB2312" w:eastAsia="仿宋_GB2312"/>
          <w:b/>
          <w:color w:val="000000" w:themeColor="text1"/>
          <w:sz w:val="28"/>
          <w:szCs w:val="28"/>
          <w:highlight w:val="none"/>
          <w:lang w:val="en-US" w:eastAsia="zh-CN"/>
          <w14:textFill>
            <w14:solidFill>
              <w14:schemeClr w14:val="tx1"/>
            </w14:solidFill>
          </w14:textFill>
        </w:rPr>
        <w:t>4</w:t>
      </w:r>
      <w:r>
        <w:rPr>
          <w:rFonts w:hint="eastAsia" w:ascii="仿宋_GB2312" w:eastAsia="仿宋_GB2312"/>
          <w:b/>
          <w:color w:val="000000" w:themeColor="text1"/>
          <w:sz w:val="28"/>
          <w:szCs w:val="28"/>
          <w:highlight w:val="none"/>
          <w14:textFill>
            <w14:solidFill>
              <w14:schemeClr w14:val="tx1"/>
            </w14:solidFill>
          </w14:textFill>
        </w:rPr>
        <w:t>0</w:t>
      </w:r>
      <w:r>
        <w:rPr>
          <w:rFonts w:ascii="仿宋_GB2312" w:eastAsia="仿宋_GB2312"/>
          <w:b/>
          <w:color w:val="000000" w:themeColor="text1"/>
          <w:sz w:val="28"/>
          <w:szCs w:val="28"/>
          <w:highlight w:val="none"/>
          <w14:textFill>
            <w14:solidFill>
              <w14:schemeClr w14:val="tx1"/>
            </w14:solidFill>
          </w14:textFill>
        </w:rPr>
        <w:t>分</w:t>
      </w:r>
    </w:p>
    <w:p>
      <w:pPr>
        <w:autoSpaceDE w:val="0"/>
        <w:autoSpaceDN w:val="0"/>
        <w:adjustRightInd w:val="0"/>
        <w:spacing w:before="156" w:line="400" w:lineRule="exact"/>
        <w:rPr>
          <w:rFonts w:hint="eastAsia" w:ascii="仿宋_GB2312" w:eastAsia="仿宋_GB2312" w:cs="仿宋_GB2312"/>
          <w:b/>
          <w:bCs/>
          <w:color w:val="000000" w:themeColor="text1"/>
          <w:sz w:val="24"/>
          <w:highlight w:val="none"/>
          <w:lang w:val="zh-CN"/>
          <w14:textFill>
            <w14:solidFill>
              <w14:schemeClr w14:val="tx1"/>
            </w14:solidFill>
          </w14:textFill>
        </w:rPr>
      </w:pPr>
      <w:r>
        <w:rPr>
          <w:rFonts w:hint="eastAsia" w:ascii="仿宋_GB2312" w:eastAsia="仿宋_GB2312" w:cs="仿宋_GB2312"/>
          <w:b/>
          <w:bCs/>
          <w:color w:val="000000" w:themeColor="text1"/>
          <w:sz w:val="24"/>
          <w:highlight w:val="none"/>
          <w:lang w:val="zh-CN"/>
          <w14:textFill>
            <w14:solidFill>
              <w14:schemeClr w14:val="tx1"/>
            </w14:solidFill>
          </w14:textFill>
        </w:rPr>
        <w:t>（一）评标要求</w:t>
      </w:r>
    </w:p>
    <w:p>
      <w:pPr>
        <w:autoSpaceDE w:val="0"/>
        <w:autoSpaceDN w:val="0"/>
        <w:adjustRightInd w:val="0"/>
        <w:spacing w:before="156" w:line="400" w:lineRule="exact"/>
        <w:ind w:firstLine="235" w:firstLineChars="98"/>
        <w:rPr>
          <w:rFonts w:hint="eastAsia" w:ascii="仿宋_GB2312" w:eastAsia="仿宋_GB2312" w:cs="仿宋_GB2312"/>
          <w:color w:val="000000" w:themeColor="text1"/>
          <w:sz w:val="24"/>
          <w:highlight w:val="none"/>
          <w:lang w:val="zh-CN"/>
          <w14:textFill>
            <w14:solidFill>
              <w14:schemeClr w14:val="tx1"/>
            </w14:solidFill>
          </w14:textFill>
        </w:rPr>
      </w:pPr>
      <w:r>
        <w:rPr>
          <w:rFonts w:hint="eastAsia" w:ascii="仿宋_GB2312" w:eastAsia="仿宋_GB2312" w:cs="仿宋_GB2312"/>
          <w:bCs/>
          <w:color w:val="000000" w:themeColor="text1"/>
          <w:sz w:val="24"/>
          <w:highlight w:val="none"/>
          <w:lang w:val="zh-CN"/>
          <w14:textFill>
            <w14:solidFill>
              <w14:schemeClr w14:val="tx1"/>
            </w14:solidFill>
          </w14:textFill>
        </w:rPr>
        <w:t>1、</w:t>
      </w:r>
      <w:r>
        <w:rPr>
          <w:rFonts w:hint="eastAsia" w:ascii="仿宋_GB2312" w:eastAsia="仿宋_GB2312" w:cs="仿宋_GB2312"/>
          <w:color w:val="000000" w:themeColor="text1"/>
          <w:sz w:val="24"/>
          <w:highlight w:val="none"/>
          <w:lang w:val="zh-CN"/>
          <w14:textFill>
            <w14:solidFill>
              <w14:schemeClr w14:val="tx1"/>
            </w14:solidFill>
          </w14:textFill>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line="400" w:lineRule="exact"/>
        <w:ind w:firstLine="240" w:firstLineChars="100"/>
        <w:rPr>
          <w:rFonts w:hint="eastAsia" w:ascii="仿宋_GB2312" w:eastAsia="仿宋_GB2312" w:cs="仿宋_GB2312"/>
          <w:color w:val="000000" w:themeColor="text1"/>
          <w:sz w:val="24"/>
          <w:highlight w:val="none"/>
          <w:lang w:val="zh-CN"/>
          <w14:textFill>
            <w14:solidFill>
              <w14:schemeClr w14:val="tx1"/>
            </w14:solidFill>
          </w14:textFill>
        </w:rPr>
      </w:pPr>
      <w:r>
        <w:rPr>
          <w:rFonts w:hint="eastAsia" w:ascii="仿宋_GB2312" w:eastAsia="仿宋_GB2312" w:cs="仿宋_GB2312"/>
          <w:color w:val="000000" w:themeColor="text1"/>
          <w:sz w:val="24"/>
          <w:highlight w:val="none"/>
          <w:lang w:val="zh-CN"/>
          <w14:textFill>
            <w14:solidFill>
              <w14:schemeClr w14:val="tx1"/>
            </w14:solidFill>
          </w14:textFill>
        </w:rPr>
        <w:t>2、总得分为100分。在规定的分值范围内由评委自行评定打分。</w:t>
      </w:r>
    </w:p>
    <w:p>
      <w:pPr>
        <w:autoSpaceDE w:val="0"/>
        <w:autoSpaceDN w:val="0"/>
        <w:adjustRightInd w:val="0"/>
        <w:spacing w:before="156" w:line="400" w:lineRule="exact"/>
        <w:ind w:firstLine="240" w:firstLineChars="100"/>
        <w:rPr>
          <w:rFonts w:hint="eastAsia" w:ascii="仿宋_GB2312" w:eastAsia="仿宋_GB2312" w:cs="仿宋_GB2312"/>
          <w:color w:val="000000" w:themeColor="text1"/>
          <w:sz w:val="24"/>
          <w:highlight w:val="none"/>
          <w:lang w:val="zh-CN"/>
          <w14:textFill>
            <w14:solidFill>
              <w14:schemeClr w14:val="tx1"/>
            </w14:solidFill>
          </w14:textFill>
        </w:rPr>
      </w:pPr>
      <w:r>
        <w:rPr>
          <w:rFonts w:hint="eastAsia" w:ascii="仿宋_GB2312" w:eastAsia="仿宋_GB2312" w:cs="仿宋_GB2312"/>
          <w:color w:val="000000" w:themeColor="text1"/>
          <w:sz w:val="24"/>
          <w:highlight w:val="none"/>
          <w:lang w:val="zh-CN"/>
          <w14:textFill>
            <w14:solidFill>
              <w14:schemeClr w14:val="tx1"/>
            </w14:solidFill>
          </w14:textFill>
        </w:rPr>
        <w:t>3、根据评委打分累计后再取平均分作为投标人的最终得分。</w:t>
      </w:r>
    </w:p>
    <w:p>
      <w:pPr>
        <w:autoSpaceDE w:val="0"/>
        <w:autoSpaceDN w:val="0"/>
        <w:adjustRightInd w:val="0"/>
        <w:spacing w:before="156" w:line="400" w:lineRule="exact"/>
        <w:ind w:firstLine="240" w:firstLineChars="100"/>
        <w:rPr>
          <w:rFonts w:hint="eastAsia" w:ascii="仿宋_GB2312" w:eastAsia="仿宋_GB2312" w:cs="仿宋_GB2312"/>
          <w:color w:val="000000" w:themeColor="text1"/>
          <w:sz w:val="24"/>
          <w:highlight w:val="none"/>
          <w:lang w:val="zh-CN"/>
          <w14:textFill>
            <w14:solidFill>
              <w14:schemeClr w14:val="tx1"/>
            </w14:solidFill>
          </w14:textFill>
        </w:rPr>
      </w:pPr>
      <w:r>
        <w:rPr>
          <w:rFonts w:hint="eastAsia" w:ascii="仿宋_GB2312" w:eastAsia="仿宋_GB2312" w:cs="仿宋_GB2312"/>
          <w:color w:val="000000" w:themeColor="text1"/>
          <w:sz w:val="24"/>
          <w:highlight w:val="none"/>
          <w:lang w:val="zh-CN"/>
          <w14:textFill>
            <w14:solidFill>
              <w14:schemeClr w14:val="tx1"/>
            </w14:solidFill>
          </w14:textFill>
        </w:rPr>
        <w:t>4、所有计算结果小数点后保留1位，第2位四舍五入。</w:t>
      </w:r>
    </w:p>
    <w:p>
      <w:pPr>
        <w:spacing w:line="440" w:lineRule="exact"/>
        <w:rPr>
          <w:rFonts w:hint="eastAsia" w:ascii="仿宋_GB2312" w:hAnsi="Courier New" w:eastAsia="仿宋_GB2312"/>
          <w:b/>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（二）评标</w:t>
      </w:r>
    </w:p>
    <w:p>
      <w:pPr>
        <w:spacing w:after="156" w:afterLines="50" w:line="440" w:lineRule="exact"/>
        <w:ind w:firstLine="236" w:firstLineChars="98"/>
        <w:rPr>
          <w:rFonts w:hint="eastAsia" w:ascii="仿宋_GB2312" w:hAnsi="Courier New" w:eastAsia="仿宋_GB2312"/>
          <w:color w:val="000000" w:themeColor="text1"/>
          <w:sz w:val="24"/>
          <w:highlight w:val="none"/>
          <w14:textFill>
            <w14:solidFill>
              <w14:schemeClr w14:val="tx1"/>
            </w14:solidFill>
          </w14:textFill>
        </w:rPr>
      </w:pPr>
      <w:r>
        <w:rPr>
          <w:rFonts w:ascii="仿宋_GB2312" w:hAnsi="Courier New" w:eastAsia="仿宋_GB2312"/>
          <w:b/>
          <w:color w:val="000000" w:themeColor="text1"/>
          <w:sz w:val="24"/>
          <w:highlight w:val="none"/>
          <w14:textFill>
            <w14:solidFill>
              <w14:schemeClr w14:val="tx1"/>
            </w14:solidFill>
          </w14:textFill>
        </w:rPr>
        <w:t>1</w:t>
      </w:r>
      <w:r>
        <w:rPr>
          <w:rFonts w:hint="eastAsia" w:ascii="仿宋_GB2312" w:hAnsi="Courier New" w:eastAsia="仿宋_GB2312"/>
          <w:b/>
          <w:color w:val="000000" w:themeColor="text1"/>
          <w:sz w:val="24"/>
          <w:highlight w:val="none"/>
          <w14:textFill>
            <w14:solidFill>
              <w14:schemeClr w14:val="tx1"/>
            </w14:solidFill>
          </w14:textFill>
        </w:rPr>
        <w:t>、商务文件评审</w:t>
      </w:r>
    </w:p>
    <w:p>
      <w:pPr>
        <w:snapToGrid w:val="0"/>
        <w:spacing w:line="400" w:lineRule="exact"/>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评标委员会对投标人的商务文件的完整性、合法性、资格条件等进行审查。合格的进入技术文件评审，不合格的按无效标处理不再进入技术文件评审。</w:t>
      </w:r>
    </w:p>
    <w:p>
      <w:pPr>
        <w:spacing w:after="156" w:afterLines="50" w:line="440" w:lineRule="exact"/>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 xml:space="preserve">  2、样品和技术文件评审</w:t>
      </w:r>
    </w:p>
    <w:p>
      <w:pPr>
        <w:snapToGrid w:val="0"/>
        <w:spacing w:line="400" w:lineRule="exact"/>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2.1评标委员会审查各投标人样品及技术文件中产品性能、售后服务承诺内容等是否响应招标文件要求。如果样品或技术文件实质上不响应招标文件各项要求，评标委员会将按无效标处理。</w:t>
      </w:r>
    </w:p>
    <w:p>
      <w:pPr>
        <w:snapToGrid w:val="0"/>
        <w:spacing w:line="400" w:lineRule="exact"/>
        <w:ind w:firstLine="240" w:firstLineChars="100"/>
        <w:rPr>
          <w:rFonts w:hint="eastAsia"/>
          <w:color w:val="000000" w:themeColor="text1"/>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2.2样品的评审原则根据项目具体评定。</w:t>
      </w:r>
    </w:p>
    <w:p>
      <w:pPr>
        <w:spacing w:after="156" w:afterLines="50" w:line="440" w:lineRule="exact"/>
        <w:ind w:firstLine="236" w:firstLineChars="98"/>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2.3技术得分（含样品得分）计算方法如下</w:t>
      </w:r>
      <w:r>
        <w:rPr>
          <w:rFonts w:hint="eastAsia" w:ascii="仿宋_GB2312" w:hAnsi="Courier New" w:eastAsia="仿宋_GB2312"/>
          <w:color w:val="000000" w:themeColor="text1"/>
          <w:sz w:val="24"/>
          <w:highlight w:val="none"/>
          <w14:textFill>
            <w14:solidFill>
              <w14:schemeClr w14:val="tx1"/>
            </w14:solidFill>
          </w14:textFill>
        </w:rPr>
        <w:t xml:space="preserve">： </w:t>
      </w:r>
    </w:p>
    <w:p>
      <w:pPr>
        <w:autoSpaceDE w:val="0"/>
        <w:autoSpaceDN w:val="0"/>
        <w:adjustRightInd w:val="0"/>
        <w:spacing w:before="156" w:line="400" w:lineRule="exact"/>
        <w:ind w:firstLine="240" w:firstLineChars="100"/>
        <w:rPr>
          <w:rFonts w:hint="eastAsia" w:ascii="仿宋_GB2312" w:eastAsia="仿宋_GB2312" w:cs="仿宋_GB2312"/>
          <w:color w:val="000000" w:themeColor="text1"/>
          <w:sz w:val="24"/>
          <w:highlight w:val="none"/>
          <w:lang w:val="zh-CN"/>
          <w14:textFill>
            <w14:solidFill>
              <w14:schemeClr w14:val="tx1"/>
            </w14:solidFill>
          </w14:textFill>
        </w:rPr>
      </w:pPr>
      <w:r>
        <w:rPr>
          <w:rFonts w:hint="eastAsia" w:ascii="仿宋_GB2312" w:eastAsia="仿宋_GB2312" w:cs="仿宋_GB2312"/>
          <w:color w:val="000000" w:themeColor="text1"/>
          <w:sz w:val="24"/>
          <w:highlight w:val="none"/>
          <w:lang w:val="zh-CN"/>
          <w14:textFill>
            <w14:solidFill>
              <w14:schemeClr w14:val="tx1"/>
            </w14:solidFill>
          </w14:textFill>
        </w:rPr>
        <w:t>①技术评定分值为</w:t>
      </w:r>
      <w:r>
        <w:rPr>
          <w:rFonts w:hint="eastAsia" w:asci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eastAsia="仿宋_GB2312" w:cs="仿宋_GB2312"/>
          <w:color w:val="000000" w:themeColor="text1"/>
          <w:sz w:val="24"/>
          <w:highlight w:val="none"/>
          <w:lang w:val="zh-CN"/>
          <w14:textFill>
            <w14:solidFill>
              <w14:schemeClr w14:val="tx1"/>
            </w14:solidFill>
          </w14:textFill>
        </w:rPr>
        <w:t>0分。</w:t>
      </w:r>
    </w:p>
    <w:p>
      <w:pPr>
        <w:autoSpaceDE w:val="0"/>
        <w:autoSpaceDN w:val="0"/>
        <w:adjustRightInd w:val="0"/>
        <w:spacing w:before="156" w:line="400" w:lineRule="exact"/>
        <w:ind w:firstLine="240" w:firstLineChars="100"/>
        <w:rPr>
          <w:rFonts w:hint="eastAsia" w:ascii="仿宋_GB2312" w:eastAsia="仿宋_GB2312" w:cs="仿宋_GB2312"/>
          <w:color w:val="000000" w:themeColor="text1"/>
          <w:sz w:val="24"/>
          <w:highlight w:val="none"/>
          <w:lang w:val="zh-CN"/>
          <w14:textFill>
            <w14:solidFill>
              <w14:schemeClr w14:val="tx1"/>
            </w14:solidFill>
          </w14:textFill>
        </w:rPr>
      </w:pPr>
      <w:r>
        <w:rPr>
          <w:rFonts w:hint="eastAsia" w:ascii="仿宋_GB2312" w:eastAsia="仿宋_GB2312" w:cs="仿宋_GB2312"/>
          <w:color w:val="000000" w:themeColor="text1"/>
          <w:sz w:val="24"/>
          <w:highlight w:val="none"/>
          <w:lang w:val="zh-CN"/>
          <w14:textFill>
            <w14:solidFill>
              <w14:schemeClr w14:val="tx1"/>
            </w14:solidFill>
          </w14:textFill>
        </w:rPr>
        <w:t>②评标委员会按评分标准（详见表）中的内容，对各</w:t>
      </w:r>
      <w:r>
        <w:rPr>
          <w:rFonts w:hint="eastAsia" w:ascii="仿宋_GB2312" w:hAnsi="Courier New" w:eastAsia="仿宋_GB2312"/>
          <w:color w:val="000000" w:themeColor="text1"/>
          <w:sz w:val="24"/>
          <w:highlight w:val="none"/>
          <w14:textFill>
            <w14:solidFill>
              <w14:schemeClr w14:val="tx1"/>
            </w14:solidFill>
          </w14:textFill>
        </w:rPr>
        <w:t>投标人的样品和技术文件</w:t>
      </w:r>
      <w:r>
        <w:rPr>
          <w:rFonts w:hint="eastAsia" w:ascii="仿宋_GB2312" w:eastAsia="仿宋_GB2312" w:cs="仿宋_GB2312"/>
          <w:color w:val="000000" w:themeColor="text1"/>
          <w:sz w:val="24"/>
          <w:highlight w:val="none"/>
          <w:lang w:val="zh-CN"/>
          <w14:textFill>
            <w14:solidFill>
              <w14:schemeClr w14:val="tx1"/>
            </w14:solidFill>
          </w14:textFill>
        </w:rPr>
        <w:t>进行评审打分，合计得出各投标人的技术得分。</w:t>
      </w:r>
    </w:p>
    <w:p>
      <w:pPr>
        <w:pStyle w:val="3"/>
        <w:ind w:firstLine="240" w:firstLineChars="100"/>
        <w:rPr>
          <w:rFonts w:hint="eastAsia"/>
          <w:color w:val="000000" w:themeColor="text1"/>
          <w:highlight w:val="none"/>
          <w:lang w:val="zh-CN"/>
          <w14:textFill>
            <w14:solidFill>
              <w14:schemeClr w14:val="tx1"/>
            </w14:solidFill>
          </w14:textFill>
        </w:rPr>
      </w:pPr>
      <w:r>
        <w:rPr>
          <w:rFonts w:hint="eastAsia" w:ascii="仿宋_GB2312" w:hAnsi="Times New Roman" w:eastAsia="仿宋_GB2312" w:cs="仿宋_GB2312"/>
          <w:b w:val="0"/>
          <w:bCs w:val="0"/>
          <w:color w:val="000000" w:themeColor="text1"/>
          <w:spacing w:val="0"/>
          <w:kern w:val="2"/>
          <w:sz w:val="24"/>
          <w:szCs w:val="24"/>
          <w:highlight w:val="none"/>
          <w:lang w:val="zh-CN" w:eastAsia="zh-CN" w:bidi="ar-SA"/>
          <w14:textFill>
            <w14:solidFill>
              <w14:schemeClr w14:val="tx1"/>
            </w14:solidFill>
          </w14:textFill>
        </w:rPr>
        <w:t>③各投标人的样品得分和技术得分由评委自行评议，样品得分和技术得分评分的最终得分为所有评委评分的平均值。</w:t>
      </w:r>
    </w:p>
    <w:p>
      <w:pPr>
        <w:spacing w:after="156" w:afterLines="50" w:line="340" w:lineRule="exact"/>
        <w:rPr>
          <w:rFonts w:hint="eastAsia" w:ascii="仿宋_GB2312" w:hAnsi="Courier New" w:eastAsia="仿宋_GB2312"/>
          <w:b/>
          <w:color w:val="000000" w:themeColor="text1"/>
          <w:sz w:val="24"/>
          <w:highlight w:val="none"/>
          <w14:textFill>
            <w14:solidFill>
              <w14:schemeClr w14:val="tx1"/>
            </w14:solidFill>
          </w14:textFill>
        </w:rPr>
      </w:pPr>
    </w:p>
    <w:tbl>
      <w:tblPr>
        <w:tblStyle w:val="9"/>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86"/>
        <w:gridCol w:w="715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5" w:type="dxa"/>
            <w:noWrap w:val="0"/>
            <w:vAlign w:val="center"/>
          </w:tcPr>
          <w:p>
            <w:pPr>
              <w:widowControl/>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序号</w:t>
            </w:r>
          </w:p>
        </w:tc>
        <w:tc>
          <w:tcPr>
            <w:tcW w:w="1486" w:type="dxa"/>
            <w:noWrap w:val="0"/>
            <w:vAlign w:val="center"/>
          </w:tcPr>
          <w:p>
            <w:pPr>
              <w:widowControl/>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评标项</w:t>
            </w:r>
          </w:p>
        </w:tc>
        <w:tc>
          <w:tcPr>
            <w:tcW w:w="7157" w:type="dxa"/>
            <w:noWrap w:val="0"/>
            <w:vAlign w:val="center"/>
          </w:tcPr>
          <w:p>
            <w:pPr>
              <w:widowControl/>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细则内容</w:t>
            </w:r>
          </w:p>
        </w:tc>
        <w:tc>
          <w:tcPr>
            <w:tcW w:w="851" w:type="dxa"/>
            <w:noWrap w:val="0"/>
            <w:vAlign w:val="center"/>
          </w:tcPr>
          <w:p>
            <w:pPr>
              <w:widowControl/>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55" w:type="dxa"/>
            <w:noWrap w:val="0"/>
            <w:vAlign w:val="center"/>
          </w:tcPr>
          <w:p>
            <w:pPr>
              <w:widowControl/>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486" w:type="dxa"/>
            <w:noWrap w:val="0"/>
            <w:vAlign w:val="center"/>
          </w:tcPr>
          <w:p>
            <w:pPr>
              <w:widowControl/>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资信证书                                                                                                                                </w:t>
            </w:r>
          </w:p>
          <w:p>
            <w:pPr>
              <w:widowControl/>
              <w:jc w:val="center"/>
              <w:rPr>
                <w:rFonts w:ascii="宋体" w:hAnsi="宋体"/>
                <w:color w:val="000000" w:themeColor="text1"/>
                <w:szCs w:val="21"/>
                <w:highlight w:val="none"/>
                <w14:textFill>
                  <w14:solidFill>
                    <w14:schemeClr w14:val="tx1"/>
                  </w14:solidFill>
                </w14:textFill>
              </w:rPr>
            </w:pPr>
          </w:p>
        </w:tc>
        <w:tc>
          <w:tcPr>
            <w:tcW w:w="7157" w:type="dxa"/>
            <w:noWrap w:val="0"/>
            <w:vAlign w:val="center"/>
          </w:tcPr>
          <w:p>
            <w:pPr>
              <w:numPr>
                <w:ilvl w:val="0"/>
                <w:numId w:val="0"/>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具有质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量管理体系认证证书的得1分，</w:t>
            </w:r>
          </w:p>
          <w:p>
            <w:pPr>
              <w:numPr>
                <w:ilvl w:val="0"/>
                <w:numId w:val="0"/>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具有环境管理体系认证证书的得1分，</w:t>
            </w:r>
          </w:p>
          <w:p>
            <w:pPr>
              <w:numPr>
                <w:ilvl w:val="0"/>
                <w:numId w:val="0"/>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具有职业健康安全管理体系认证证书的得1分，</w:t>
            </w:r>
          </w:p>
          <w:p>
            <w:pPr>
              <w:numPr>
                <w:ilvl w:val="0"/>
                <w:numId w:val="0"/>
              </w:numPr>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具有</w:t>
            </w:r>
            <w:r>
              <w:rPr>
                <w:rFonts w:hint="eastAsia" w:ascii="宋体" w:hAnsi="宋体" w:eastAsia="宋体" w:cs="宋体"/>
                <w:color w:val="000000" w:themeColor="text1"/>
                <w:szCs w:val="21"/>
                <w:highlight w:val="none"/>
                <w14:textFill>
                  <w14:solidFill>
                    <w14:schemeClr w14:val="tx1"/>
                  </w14:solidFill>
                </w14:textFill>
              </w:rPr>
              <w:t>测量管理体系认证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证书的得1分</w:t>
            </w:r>
            <w:r>
              <w:rPr>
                <w:rFonts w:hint="eastAsia" w:ascii="Times New Roman" w:hAnsi="Times New Roman" w:eastAsia="宋体" w:cs="Times New Roman"/>
                <w:color w:val="000000" w:themeColor="text1"/>
                <w:highlight w:val="none"/>
                <w:lang w:val="zh-CN" w:eastAsia="zh-CN"/>
                <w14:textFill>
                  <w14:solidFill>
                    <w14:schemeClr w14:val="tx1"/>
                  </w14:solidFill>
                </w14:textFill>
              </w:rPr>
              <w:t>，</w:t>
            </w:r>
          </w:p>
          <w:p>
            <w:pPr>
              <w:numPr>
                <w:ilvl w:val="0"/>
                <w:numId w:val="0"/>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投标人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具有</w:t>
            </w:r>
            <w:r>
              <w:rPr>
                <w:rFonts w:hint="eastAsia" w:ascii="Times New Roman" w:hAnsi="Times New Roman" w:eastAsia="宋体" w:cs="Times New Roman"/>
                <w:color w:val="000000" w:themeColor="text1"/>
                <w:highlight w:val="none"/>
                <w:lang w:val="zh-CN" w:eastAsia="zh-CN"/>
                <w14:textFill>
                  <w14:solidFill>
                    <w14:schemeClr w14:val="tx1"/>
                  </w14:solidFill>
                </w14:textFill>
              </w:rPr>
              <w:t>高新技术企业证书的得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1分，</w:t>
            </w:r>
          </w:p>
          <w:p>
            <w:pPr>
              <w:numPr>
                <w:ilvl w:val="0"/>
                <w:numId w:val="0"/>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zh-CN" w:eastAsia="zh-CN"/>
                <w14:textFill>
                  <w14:solidFill>
                    <w14:schemeClr w14:val="tx1"/>
                  </w14:solidFill>
                </w14:textFill>
              </w:rPr>
              <w:t>投标人的服务水平满足售后服务五星级认证的得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numPr>
                <w:ilvl w:val="0"/>
                <w:numId w:val="0"/>
              </w:numPr>
              <w:rPr>
                <w:rFonts w:hint="eastAsia" w:ascii="宋体" w:hAnsi="宋体"/>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（以上需提供相关证明材料复印件加盖投标单位公章，否则不得分）</w:t>
            </w:r>
          </w:p>
        </w:tc>
        <w:tc>
          <w:tcPr>
            <w:tcW w:w="851" w:type="dxa"/>
            <w:noWrap w:val="0"/>
            <w:vAlign w:val="center"/>
          </w:tcPr>
          <w:p>
            <w:pPr>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55" w:type="dxa"/>
            <w:noWrap w:val="0"/>
            <w:vAlign w:val="center"/>
          </w:tcPr>
          <w:p>
            <w:pPr>
              <w:widowControl/>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486" w:type="dxa"/>
            <w:noWrap w:val="0"/>
            <w:vAlign w:val="center"/>
          </w:tcPr>
          <w:p>
            <w:pPr>
              <w:widowControl/>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投标产品证书</w:t>
            </w:r>
          </w:p>
        </w:tc>
        <w:tc>
          <w:tcPr>
            <w:tcW w:w="7157" w:type="dxa"/>
            <w:noWrap w:val="0"/>
            <w:vAlign w:val="center"/>
          </w:tcPr>
          <w:p>
            <w:pPr>
              <w:pStyle w:val="3"/>
              <w:numPr>
                <w:ilvl w:val="0"/>
                <w:numId w:val="4"/>
              </w:numP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水表流动剖面敏感度等级符合U0DO得1分；（提供产品型式评价报告）</w:t>
            </w:r>
          </w:p>
          <w:p>
            <w:pPr>
              <w:numPr>
                <w:ilvl w:val="0"/>
                <w:numId w:val="4"/>
              </w:numPr>
              <w:ind w:left="0" w:leftChars="0" w:firstLine="0" w:firstLineChars="0"/>
              <w:rPr>
                <w:rFonts w:hint="eastAsia"/>
                <w:color w:val="000000" w:themeColor="text1"/>
                <w:kern w:val="0"/>
                <w:highlight w:val="none"/>
                <w:lang w:eastAsia="zh-CN"/>
                <w14:textFill>
                  <w14:solidFill>
                    <w14:schemeClr w14:val="tx1"/>
                  </w14:solidFill>
                </w14:textFill>
              </w:rPr>
            </w:pPr>
            <w:r>
              <w:rPr>
                <w:rFonts w:hint="eastAsia"/>
                <w:color w:val="000000" w:themeColor="text1"/>
                <w:kern w:val="0"/>
                <w:highlight w:val="none"/>
                <w:lang w:eastAsia="zh-CN"/>
                <w14:textFill>
                  <w14:solidFill>
                    <w14:schemeClr w14:val="tx1"/>
                  </w14:solidFill>
                </w14:textFill>
              </w:rPr>
              <w:t>具有对产品IP68防水等级获得相关部门检测报告的得1分；</w:t>
            </w:r>
          </w:p>
          <w:p>
            <w:pPr>
              <w:numPr>
                <w:ilvl w:val="0"/>
                <w:numId w:val="4"/>
              </w:numPr>
              <w:ind w:left="0" w:leftChars="0" w:firstLine="0" w:firstLineChars="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无线智能水表产品</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通过华为技术认证的得1分</w:t>
            </w:r>
          </w:p>
          <w:p>
            <w:pPr>
              <w:numPr>
                <w:ilvl w:val="0"/>
                <w:numId w:val="0"/>
              </w:numPr>
              <w:ind w:leftChars="0"/>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（以上需提供相关证书或证明材料复印件加盖投标单位公章，否则不得分）</w:t>
            </w:r>
          </w:p>
        </w:tc>
        <w:tc>
          <w:tcPr>
            <w:tcW w:w="851" w:type="dxa"/>
            <w:noWrap w:val="0"/>
            <w:vAlign w:val="center"/>
          </w:tcPr>
          <w:p>
            <w:pPr>
              <w:jc w:val="center"/>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55" w:type="dxa"/>
            <w:noWrap w:val="0"/>
            <w:vAlign w:val="center"/>
          </w:tcPr>
          <w:p>
            <w:pPr>
              <w:widowControl/>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486" w:type="dxa"/>
            <w:noWrap w:val="0"/>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样品分</w:t>
            </w:r>
          </w:p>
        </w:tc>
        <w:tc>
          <w:tcPr>
            <w:tcW w:w="7157" w:type="dxa"/>
            <w:noWrap w:val="0"/>
            <w:vAlign w:val="center"/>
          </w:tcPr>
          <w:p>
            <w:pPr>
              <w:pStyle w:val="3"/>
              <w:numPr>
                <w:ilvl w:val="0"/>
                <w:numId w:val="5"/>
              </w:numP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对投标人提供的样品水表表壳材质打分，不锈钢表壳得2分，铸造黄铅铜表壳得3分。</w:t>
            </w:r>
          </w:p>
          <w:p>
            <w:pPr>
              <w:pStyle w:val="3"/>
              <w:numPr>
                <w:ilvl w:val="0"/>
                <w:numId w:val="5"/>
              </w:numPr>
              <w:ind w:left="0" w:leftChars="0" w:firstLine="0" w:firstLineChars="0"/>
              <w:rPr>
                <w:rFonts w:hint="eastAsia" w:ascii="Times New Roman" w:hAnsi="Times New Roman" w:eastAsia="宋体" w:cs="Times New Roman"/>
                <w:b w:val="0"/>
                <w:bCs w:val="0"/>
                <w:color w:val="000000" w:themeColor="text1"/>
                <w:spacing w:val="0"/>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zh-CN" w:eastAsia="zh-CN" w:bidi="ar-SA"/>
                <w14:textFill>
                  <w14:solidFill>
                    <w14:schemeClr w14:val="tx1"/>
                  </w14:solidFill>
                </w14:textFill>
              </w:rPr>
              <w:t>对投标人提供的样品从水表表罩是否具有有效的防拆性能。</w:t>
            </w:r>
            <w:r>
              <w:rPr>
                <w:rFonts w:hint="default"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电子部分可拆卸、无灌胶，可打开查看</w:t>
            </w:r>
            <w:r>
              <w:rPr>
                <w:rFonts w:hint="eastAsia" w:ascii="Times New Roman" w:hAnsi="Times New Roman" w:eastAsia="宋体" w:cs="Times New Roman"/>
                <w:b w:val="0"/>
                <w:bCs w:val="0"/>
                <w:color w:val="000000" w:themeColor="text1"/>
                <w:spacing w:val="0"/>
                <w:kern w:val="2"/>
                <w:sz w:val="21"/>
                <w:szCs w:val="24"/>
                <w:highlight w:val="none"/>
                <w:lang w:val="zh-CN" w:eastAsia="zh-CN" w:bidi="ar-SA"/>
                <w14:textFill>
                  <w14:solidFill>
                    <w14:schemeClr w14:val="tx1"/>
                  </w14:solidFill>
                </w14:textFill>
              </w:rPr>
              <w:t>（</w:t>
            </w: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0-4</w:t>
            </w:r>
            <w:r>
              <w:rPr>
                <w:rFonts w:hint="eastAsia" w:ascii="Times New Roman" w:hAnsi="Times New Roman" w:eastAsia="宋体" w:cs="Times New Roman"/>
                <w:b w:val="0"/>
                <w:bCs w:val="0"/>
                <w:color w:val="000000" w:themeColor="text1"/>
                <w:spacing w:val="0"/>
                <w:kern w:val="2"/>
                <w:sz w:val="21"/>
                <w:szCs w:val="24"/>
                <w:highlight w:val="none"/>
                <w:lang w:val="zh-CN" w:eastAsia="zh-CN" w:bidi="ar-SA"/>
                <w14:textFill>
                  <w14:solidFill>
                    <w14:schemeClr w14:val="tx1"/>
                  </w14:solidFill>
                </w14:textFill>
              </w:rPr>
              <w:t>）</w:t>
            </w:r>
          </w:p>
          <w:p>
            <w:pPr>
              <w:pStyle w:val="3"/>
              <w:numPr>
                <w:ilvl w:val="0"/>
                <w:numId w:val="0"/>
              </w:numPr>
              <w:ind w:leftChars="0"/>
              <w:rPr>
                <w:rFonts w:hint="eastAsia"/>
                <w:color w:val="000000" w:themeColor="text1"/>
                <w:highlight w:val="none"/>
                <w14:textFill>
                  <w14:solidFill>
                    <w14:schemeClr w14:val="tx1"/>
                  </w14:solidFill>
                </w14:textFill>
              </w:rPr>
            </w:pP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3、</w:t>
            </w:r>
            <w:r>
              <w:rPr>
                <w:rFonts w:hint="eastAsia" w:ascii="Times New Roman" w:hAnsi="Times New Roman" w:eastAsia="宋体" w:cs="Times New Roman"/>
                <w:b w:val="0"/>
                <w:bCs w:val="0"/>
                <w:color w:val="000000" w:themeColor="text1"/>
                <w:spacing w:val="0"/>
                <w:kern w:val="2"/>
                <w:sz w:val="21"/>
                <w:szCs w:val="24"/>
                <w:highlight w:val="none"/>
                <w:lang w:val="zh-CN" w:eastAsia="zh-CN" w:bidi="ar-SA"/>
                <w14:textFill>
                  <w14:solidFill>
                    <w14:schemeClr w14:val="tx1"/>
                  </w14:solidFill>
                </w14:textFill>
              </w:rPr>
              <w:t>机芯、水表度盘整体美观度及条形码、数字编号的一致性、机芯计数器、水表的外观、防腐涂层、数字显示、制造精细程度、制作工艺等（</w:t>
            </w:r>
            <w:r>
              <w:rPr>
                <w:rFonts w:hint="eastAsia" w:ascii="Times New Roman" w:hAnsi="Times New Roman" w:eastAsia="宋体" w:cs="Times New Roman"/>
                <w:b w:val="0"/>
                <w:bCs w:val="0"/>
                <w:color w:val="000000" w:themeColor="text1"/>
                <w:spacing w:val="0"/>
                <w:kern w:val="2"/>
                <w:sz w:val="21"/>
                <w:szCs w:val="24"/>
                <w:highlight w:val="none"/>
                <w:lang w:val="en-US" w:eastAsia="zh-CN" w:bidi="ar-SA"/>
                <w14:textFill>
                  <w14:solidFill>
                    <w14:schemeClr w14:val="tx1"/>
                  </w14:solidFill>
                </w14:textFill>
              </w:rPr>
              <w:t>0-4</w:t>
            </w:r>
            <w:r>
              <w:rPr>
                <w:rFonts w:hint="eastAsia" w:ascii="Times New Roman" w:hAnsi="Times New Roman" w:eastAsia="宋体" w:cs="Times New Roman"/>
                <w:b w:val="0"/>
                <w:bCs w:val="0"/>
                <w:color w:val="000000" w:themeColor="text1"/>
                <w:spacing w:val="0"/>
                <w:kern w:val="2"/>
                <w:sz w:val="21"/>
                <w:szCs w:val="24"/>
                <w:highlight w:val="none"/>
                <w:lang w:val="zh-CN" w:eastAsia="zh-CN" w:bidi="ar-SA"/>
                <w14:textFill>
                  <w14:solidFill>
                    <w14:schemeClr w14:val="tx1"/>
                  </w14:solidFill>
                </w14:textFill>
              </w:rPr>
              <w:t>）</w:t>
            </w:r>
          </w:p>
        </w:tc>
        <w:tc>
          <w:tcPr>
            <w:tcW w:w="851" w:type="dxa"/>
            <w:noWrap w:val="0"/>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w:t>
            </w:r>
            <w:r>
              <w:rPr>
                <w:rFonts w:hint="eastAsia" w:ascii="宋体" w:hAnsi="宋体"/>
                <w:color w:val="000000" w:themeColor="text1"/>
                <w:highlight w:val="none"/>
                <w:lang w:val="en-US" w:eastAsia="zh-CN"/>
                <w14:textFill>
                  <w14:solidFill>
                    <w14:schemeClr w14:val="tx1"/>
                  </w14:solidFill>
                </w14:textFill>
              </w:rPr>
              <w:t>11</w:t>
            </w:r>
            <w:r>
              <w:rPr>
                <w:rFonts w:hint="eastAsia" w:ascii="宋体" w:hAnsi="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5" w:type="dxa"/>
            <w:noWrap w:val="0"/>
            <w:vAlign w:val="center"/>
          </w:tcPr>
          <w:p>
            <w:pPr>
              <w:widowControl/>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1486" w:type="dxa"/>
            <w:noWrap w:val="0"/>
            <w:vAlign w:val="center"/>
          </w:tcPr>
          <w:p>
            <w:pPr>
              <w:widowControl/>
              <w:jc w:val="center"/>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t>配套软件质量</w:t>
            </w:r>
          </w:p>
        </w:tc>
        <w:tc>
          <w:tcPr>
            <w:tcW w:w="7157" w:type="dxa"/>
            <w:noWrap w:val="0"/>
            <w:vAlign w:val="center"/>
          </w:tcPr>
          <w:p>
            <w:pPr>
              <w:pStyle w:val="3"/>
              <w:numPr>
                <w:ilvl w:val="0"/>
                <w:numId w:val="0"/>
              </w:numPr>
              <w:ind w:leftChars="0"/>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t>根据供应商对配套软件系统的支持情况，软件技术实力，监测平台的建立和使用维护等承诺内容进行打分：</w:t>
            </w:r>
          </w:p>
          <w:p>
            <w:pPr>
              <w:pStyle w:val="3"/>
              <w:numPr>
                <w:ilvl w:val="0"/>
                <w:numId w:val="6"/>
              </w:numPr>
              <w:ind w:leftChars="0"/>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t>配套软件必须提供云平台（若业主有需求，中标方必须无条件开放端口，配合业主实现平台对接）4分；</w:t>
            </w:r>
          </w:p>
          <w:p>
            <w:pPr>
              <w:pStyle w:val="3"/>
              <w:numPr>
                <w:ilvl w:val="0"/>
                <w:numId w:val="6"/>
              </w:numPr>
              <w:ind w:leftChars="0"/>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Times New Roman"/>
                <w:b w:val="0"/>
                <w:bCs w:val="0"/>
                <w:color w:val="000000" w:themeColor="text1"/>
                <w:spacing w:val="0"/>
                <w:kern w:val="2"/>
                <w:sz w:val="21"/>
                <w:szCs w:val="21"/>
                <w:highlight w:val="none"/>
                <w:lang w:val="en-US" w:eastAsia="zh-CN" w:bidi="ar-SA"/>
                <w14:textFill>
                  <w14:solidFill>
                    <w14:schemeClr w14:val="tx1"/>
                  </w14:solidFill>
                </w14:textFill>
              </w:rPr>
              <w:t>数据采集的成功率、故障率（数据可形成表格形式）2分。</w:t>
            </w:r>
          </w:p>
        </w:tc>
        <w:tc>
          <w:tcPr>
            <w:tcW w:w="851" w:type="dxa"/>
            <w:noWrap w:val="0"/>
            <w:vAlign w:val="center"/>
          </w:tcPr>
          <w:p>
            <w:pPr>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5" w:type="dxa"/>
            <w:noWrap w:val="0"/>
            <w:vAlign w:val="center"/>
          </w:tcPr>
          <w:p>
            <w:pPr>
              <w:widowControl/>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1486" w:type="dxa"/>
            <w:noWrap w:val="0"/>
            <w:vAlign w:val="center"/>
          </w:tcPr>
          <w:p>
            <w:pPr>
              <w:widowControl/>
              <w:jc w:val="center"/>
              <w:rPr>
                <w:rFonts w:hint="eastAsia" w:ascii="宋体" w:hAnsi="宋体"/>
                <w:bCs/>
                <w:color w:val="000000" w:themeColor="text1"/>
                <w:szCs w:val="21"/>
                <w:highlight w:val="none"/>
                <w:u w:val="none" w:color="FFFFFF"/>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产品</w:t>
            </w:r>
            <w:r>
              <w:rPr>
                <w:rFonts w:ascii="宋体" w:hAnsi="宋体"/>
                <w:bCs/>
                <w:color w:val="000000" w:themeColor="text1"/>
                <w:szCs w:val="21"/>
                <w:highlight w:val="none"/>
                <w14:textFill>
                  <w14:solidFill>
                    <w14:schemeClr w14:val="tx1"/>
                  </w14:solidFill>
                </w14:textFill>
              </w:rPr>
              <w:t>制造工艺</w:t>
            </w:r>
          </w:p>
        </w:tc>
        <w:tc>
          <w:tcPr>
            <w:tcW w:w="7157" w:type="dxa"/>
            <w:noWrap w:val="0"/>
            <w:vAlign w:val="center"/>
          </w:tcPr>
          <w:p>
            <w:pPr>
              <w:rPr>
                <w:rFonts w:hint="eastAsia"/>
                <w:color w:val="000000" w:themeColor="text1"/>
                <w:highlight w:val="none"/>
                <w:lang w:val="zh-CN"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对所投产品铸件采用的机械造型、铸造工艺、防腐工艺及水平先进、</w:t>
            </w:r>
            <w:r>
              <w:rPr>
                <w:rFonts w:hint="eastAsia" w:ascii="宋体" w:hAnsi="宋体" w:eastAsia="宋体" w:cs="宋体"/>
                <w:b w:val="0"/>
                <w:bCs w:val="0"/>
                <w:color w:val="000000" w:themeColor="text1"/>
                <w:spacing w:val="0"/>
                <w:kern w:val="2"/>
                <w:sz w:val="21"/>
                <w:szCs w:val="21"/>
                <w:highlight w:val="none"/>
                <w:lang w:val="zh-CN" w:eastAsia="zh-CN" w:bidi="ar-SA"/>
                <w14:textFill>
                  <w14:solidFill>
                    <w14:schemeClr w14:val="tx1"/>
                  </w14:solidFill>
                </w14:textFill>
              </w:rPr>
              <w:t>水表及配件的工艺</w:t>
            </w:r>
            <w:r>
              <w:rPr>
                <w:rFonts w:hint="eastAsia" w:ascii="宋体" w:hAnsi="宋体" w:cs="宋体"/>
                <w:color w:val="000000" w:themeColor="text1"/>
                <w:szCs w:val="21"/>
                <w:highlight w:val="none"/>
                <w:lang w:eastAsia="zh-CN"/>
                <w14:textFill>
                  <w14:solidFill>
                    <w14:schemeClr w14:val="tx1"/>
                  </w14:solidFill>
                </w14:textFill>
              </w:rPr>
              <w:t>铸造及铸件的互换性进行评分。</w:t>
            </w:r>
          </w:p>
        </w:tc>
        <w:tc>
          <w:tcPr>
            <w:tcW w:w="851" w:type="dxa"/>
            <w:noWrap w:val="0"/>
            <w:vAlign w:val="center"/>
          </w:tcPr>
          <w:p>
            <w:pPr>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55" w:type="dxa"/>
            <w:noWrap w:val="0"/>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1486" w:type="dxa"/>
            <w:noWrap w:val="0"/>
            <w:vAlign w:val="center"/>
          </w:tcPr>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产品质量保障</w:t>
            </w:r>
          </w:p>
          <w:p>
            <w:pPr>
              <w:widowControl/>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及性能</w:t>
            </w:r>
          </w:p>
        </w:tc>
        <w:tc>
          <w:tcPr>
            <w:tcW w:w="7157" w:type="dxa"/>
            <w:noWrap w:val="0"/>
            <w:vAlign w:val="center"/>
          </w:tcPr>
          <w:p>
            <w:pPr>
              <w:numPr>
                <w:ilvl w:val="0"/>
                <w:numId w:val="0"/>
              </w:numPr>
              <w:rPr>
                <w:rFonts w:hint="eastAsia" w:ascii="Times New Roman" w:hAnsi="Times New Roman" w:eastAsia="宋体" w:cs="Times New Roman"/>
                <w:color w:val="000000" w:themeColor="text1"/>
                <w:highlight w:val="none"/>
                <w:lang w:val="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严密的质量监控措施，质量检测设施，质量检验流程；根据投标产品耐腐蚀、材质、宽度、水压强度、密封情况、使用寿命、本项目实施人员资格情况等方面性能的先进性、可靠性</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等</w:t>
            </w:r>
            <w:r>
              <w:rPr>
                <w:rFonts w:hint="eastAsia" w:ascii="Times New Roman" w:hAnsi="Times New Roman" w:eastAsia="宋体" w:cs="Times New Roman"/>
                <w:color w:val="000000" w:themeColor="text1"/>
                <w:highlight w:val="none"/>
                <w:lang w:val="zh-CN"/>
                <w14:textFill>
                  <w14:solidFill>
                    <w14:schemeClr w14:val="tx1"/>
                  </w14:solidFill>
                </w14:textFill>
              </w:rPr>
              <w:t>情况进行打分。（须提供相关证明材料及设备情况说明）</w:t>
            </w:r>
          </w:p>
        </w:tc>
        <w:tc>
          <w:tcPr>
            <w:tcW w:w="851" w:type="dxa"/>
            <w:noWrap w:val="0"/>
            <w:vAlign w:val="center"/>
          </w:tcPr>
          <w:p>
            <w:pPr>
              <w:jc w:val="center"/>
              <w:rPr>
                <w:rFonts w:hint="default" w:ascii="宋体" w:hAnsi="宋体"/>
                <w:color w:val="000000" w:themeColor="text1"/>
                <w:highlight w:val="none"/>
                <w:lang w:val="en-US"/>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5" w:type="dxa"/>
            <w:noWrap w:val="0"/>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1486" w:type="dxa"/>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供货</w:t>
            </w:r>
            <w:r>
              <w:rPr>
                <w:rFonts w:ascii="宋体" w:hAnsi="宋体"/>
                <w:color w:val="000000" w:themeColor="text1"/>
                <w:szCs w:val="21"/>
                <w:highlight w:val="none"/>
                <w14:textFill>
                  <w14:solidFill>
                    <w14:schemeClr w14:val="tx1"/>
                  </w14:solidFill>
                </w14:textFill>
              </w:rPr>
              <w:t>实施方案</w:t>
            </w:r>
          </w:p>
        </w:tc>
        <w:tc>
          <w:tcPr>
            <w:tcW w:w="7157" w:type="dxa"/>
            <w:noWrap w:val="0"/>
            <w:vAlign w:val="center"/>
          </w:tcPr>
          <w:p>
            <w:pPr>
              <w:numPr>
                <w:ilvl w:val="0"/>
                <w:numId w:val="0"/>
              </w:numPr>
              <w:rPr>
                <w:rFonts w:hint="eastAsia" w:ascii="Times New Roman" w:hAnsi="Times New Roman" w:eastAsia="宋体" w:cs="Times New Roman"/>
                <w:color w:val="000000" w:themeColor="text1"/>
                <w:highlight w:val="none"/>
                <w:lang w:val="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根据投标人对选用原材料的保证措施、产品生产组织、供货计划安排、运输资源配置、贮运组织、验收配合、服务承诺等满足要求的措施及承诺等方面进行打分。</w:t>
            </w:r>
          </w:p>
        </w:tc>
        <w:tc>
          <w:tcPr>
            <w:tcW w:w="851" w:type="dxa"/>
            <w:noWrap w:val="0"/>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55" w:type="dxa"/>
            <w:noWrap w:val="0"/>
            <w:vAlign w:val="center"/>
          </w:tcPr>
          <w:p>
            <w:pPr>
              <w:widowControl/>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1486" w:type="dxa"/>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业绩合同</w:t>
            </w:r>
          </w:p>
        </w:tc>
        <w:tc>
          <w:tcPr>
            <w:tcW w:w="7157" w:type="dxa"/>
            <w:noWrap w:val="0"/>
            <w:vAlign w:val="center"/>
          </w:tcPr>
          <w:p>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投标人自20</w:t>
            </w: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年以来（以合同签订日期为准）实施过类似项目业绩（需为本项目金额50%及以上的合同），每提供一个合同及相对应的中标通知书得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分，最高得</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（需提供合同复印件及对应中标通知书复印件加盖投标单位公章，</w:t>
            </w:r>
          </w:p>
          <w:p>
            <w:pPr>
              <w:widowControl/>
              <w:jc w:val="lef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如为单价合同，</w:t>
            </w:r>
            <w:r>
              <w:rPr>
                <w:rFonts w:hint="eastAsia" w:ascii="宋体" w:hAnsi="宋体"/>
                <w:color w:val="000000" w:themeColor="text1"/>
                <w:szCs w:val="21"/>
                <w:highlight w:val="none"/>
                <w14:textFill>
                  <w14:solidFill>
                    <w14:schemeClr w14:val="tx1"/>
                  </w14:solidFill>
                </w14:textFill>
              </w:rPr>
              <w:t>需提供合同复印件、对应中标通知书复印件及能佐证供货金额的发票复印件（合同期内供货总金额达本项目金额50%及以上），否则不得分。）</w:t>
            </w:r>
          </w:p>
        </w:tc>
        <w:tc>
          <w:tcPr>
            <w:tcW w:w="851" w:type="dxa"/>
            <w:noWrap w:val="0"/>
            <w:vAlign w:val="center"/>
          </w:tcPr>
          <w:p>
            <w:pPr>
              <w:widowControl/>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55" w:type="dxa"/>
            <w:noWrap w:val="0"/>
            <w:vAlign w:val="center"/>
          </w:tcPr>
          <w:p>
            <w:pPr>
              <w:widowControl/>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9</w:t>
            </w:r>
          </w:p>
        </w:tc>
        <w:tc>
          <w:tcPr>
            <w:tcW w:w="1486" w:type="dxa"/>
            <w:noWrap w:val="0"/>
            <w:vAlign w:val="center"/>
          </w:tcPr>
          <w:p>
            <w:pPr>
              <w:spacing w:line="300" w:lineRule="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备品备件供应方案</w:t>
            </w:r>
          </w:p>
        </w:tc>
        <w:tc>
          <w:tcPr>
            <w:tcW w:w="7157" w:type="dxa"/>
            <w:noWrap w:val="0"/>
            <w:vAlign w:val="center"/>
          </w:tcPr>
          <w:p>
            <w:pP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在免费保修期六年内，耗材和备品备件更换的优惠条件（包括维修人员费用以及零配件和耗材的详细免费清单）等进行打分。</w:t>
            </w:r>
          </w:p>
        </w:tc>
        <w:tc>
          <w:tcPr>
            <w:tcW w:w="851" w:type="dxa"/>
            <w:noWrap w:val="0"/>
            <w:vAlign w:val="center"/>
          </w:tcPr>
          <w:p>
            <w:pPr>
              <w:spacing w:line="300" w:lineRule="auto"/>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55" w:type="dxa"/>
            <w:noWrap w:val="0"/>
            <w:vAlign w:val="center"/>
          </w:tcPr>
          <w:p>
            <w:pPr>
              <w:widowControl/>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10</w:t>
            </w:r>
          </w:p>
        </w:tc>
        <w:tc>
          <w:tcPr>
            <w:tcW w:w="1486" w:type="dxa"/>
            <w:noWrap w:val="0"/>
            <w:vAlign w:val="center"/>
          </w:tcPr>
          <w:p>
            <w:pPr>
              <w:spacing w:line="300" w:lineRule="auto"/>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免费质保期</w:t>
            </w:r>
          </w:p>
        </w:tc>
        <w:tc>
          <w:tcPr>
            <w:tcW w:w="7157" w:type="dxa"/>
            <w:noWrap w:val="0"/>
            <w:vAlign w:val="center"/>
          </w:tcPr>
          <w:p>
            <w:pP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投标产品免费质保期为</w:t>
            </w:r>
            <w:r>
              <w:rPr>
                <w:rFonts w:hint="eastAsia" w:ascii="宋体" w:hAnsi="宋体"/>
                <w:color w:val="000000" w:themeColor="text1"/>
                <w:szCs w:val="21"/>
                <w:highlight w:val="none"/>
                <w:lang w:eastAsia="zh-CN"/>
                <w14:textFill>
                  <w14:solidFill>
                    <w14:schemeClr w14:val="tx1"/>
                  </w14:solidFill>
                </w14:textFill>
              </w:rPr>
              <w:t>六年</w:t>
            </w:r>
            <w:r>
              <w:rPr>
                <w:rFonts w:hint="eastAsia" w:ascii="宋体" w:hAnsi="宋体"/>
                <w:color w:val="000000" w:themeColor="text1"/>
                <w:szCs w:val="21"/>
                <w:highlight w:val="none"/>
                <w14:textFill>
                  <w14:solidFill>
                    <w14:schemeClr w14:val="tx1"/>
                  </w14:solidFill>
                </w14:textFill>
              </w:rPr>
              <w:t>，在原有基础上每延长一年的加1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分，最多加</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免费保修期含通信费</w:t>
            </w:r>
            <w:r>
              <w:rPr>
                <w:rFonts w:hint="eastAsia" w:ascii="宋体" w:hAnsi="宋体"/>
                <w:color w:val="000000" w:themeColor="text1"/>
                <w:szCs w:val="21"/>
                <w:highlight w:val="none"/>
                <w:lang w:eastAsia="zh-CN"/>
                <w14:textFill>
                  <w14:solidFill>
                    <w14:schemeClr w14:val="tx1"/>
                  </w14:solidFill>
                </w14:textFill>
              </w:rPr>
              <w:t>）</w:t>
            </w:r>
          </w:p>
        </w:tc>
        <w:tc>
          <w:tcPr>
            <w:tcW w:w="851" w:type="dxa"/>
            <w:noWrap w:val="0"/>
            <w:vAlign w:val="center"/>
          </w:tcPr>
          <w:p>
            <w:pPr>
              <w:spacing w:line="300" w:lineRule="auto"/>
              <w:jc w:val="center"/>
              <w:rPr>
                <w:rFonts w:hint="eastAsia" w:ascii="宋体" w:hAnsi="宋体" w:eastAsia="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olor w:val="000000" w:themeColor="text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5" w:type="dxa"/>
            <w:noWrap w:val="0"/>
            <w:vAlign w:val="center"/>
          </w:tcPr>
          <w:p>
            <w:pPr>
              <w:widowControl/>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11</w:t>
            </w:r>
          </w:p>
        </w:tc>
        <w:tc>
          <w:tcPr>
            <w:tcW w:w="1486" w:type="dxa"/>
            <w:noWrap w:val="0"/>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售后服务方案</w:t>
            </w:r>
          </w:p>
          <w:p>
            <w:pPr>
              <w:rPr>
                <w:rFonts w:hint="eastAsia" w:ascii="宋体" w:hAnsi="宋体"/>
                <w:color w:val="000000" w:themeColor="text1"/>
                <w:szCs w:val="21"/>
                <w:highlight w:val="none"/>
                <w14:textFill>
                  <w14:solidFill>
                    <w14:schemeClr w14:val="tx1"/>
                  </w14:solidFill>
                </w14:textFill>
              </w:rPr>
            </w:pPr>
          </w:p>
        </w:tc>
        <w:tc>
          <w:tcPr>
            <w:tcW w:w="7157" w:type="dxa"/>
            <w:noWrap w:val="0"/>
            <w:vAlign w:val="center"/>
          </w:tcPr>
          <w:p>
            <w:pPr>
              <w:pStyle w:val="13"/>
              <w:ind w:firstLine="0" w:firstLineChars="0"/>
              <w:rPr>
                <w:rFonts w:hint="eastAsia" w:ascii="宋体" w:hAnsi="宋体"/>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投标人针对本项目的</w:t>
            </w:r>
            <w:r>
              <w:rPr>
                <w:rFonts w:ascii="宋体" w:hAnsi="宋体"/>
                <w:color w:val="000000" w:themeColor="text1"/>
                <w:szCs w:val="21"/>
                <w:highlight w:val="none"/>
                <w14:textFill>
                  <w14:solidFill>
                    <w14:schemeClr w14:val="tx1"/>
                  </w14:solidFill>
                </w14:textFill>
              </w:rPr>
              <w:t>售后服务方案和承诺</w:t>
            </w:r>
            <w:r>
              <w:rPr>
                <w:rFonts w:hint="eastAsia" w:ascii="宋体" w:hAnsi="宋体"/>
                <w:color w:val="000000" w:themeColor="text1"/>
                <w:szCs w:val="21"/>
                <w:highlight w:val="none"/>
                <w14:textFill>
                  <w14:solidFill>
                    <w14:schemeClr w14:val="tx1"/>
                  </w14:solidFill>
                </w14:textFill>
              </w:rPr>
              <w:t>，故障的响应速度、到场时间、</w:t>
            </w:r>
            <w:r>
              <w:rPr>
                <w:rFonts w:hint="eastAsia" w:ascii="宋体" w:hAnsi="宋体"/>
                <w:color w:val="000000" w:themeColor="text1"/>
                <w:szCs w:val="21"/>
                <w:highlight w:val="none"/>
                <w:lang w:eastAsia="zh-CN"/>
                <w14:textFill>
                  <w14:solidFill>
                    <w14:schemeClr w14:val="tx1"/>
                  </w14:solidFill>
                </w14:textFill>
              </w:rPr>
              <w:t>当地是否设有售后分支机构情况、</w:t>
            </w:r>
            <w:r>
              <w:rPr>
                <w:rFonts w:hint="eastAsia" w:ascii="宋体" w:hAnsi="宋体"/>
                <w:color w:val="000000" w:themeColor="text1"/>
                <w:szCs w:val="21"/>
                <w:highlight w:val="none"/>
                <w14:textFill>
                  <w14:solidFill>
                    <w14:schemeClr w14:val="tx1"/>
                  </w14:solidFill>
                </w14:textFill>
              </w:rPr>
              <w:t>投标人</w:t>
            </w:r>
            <w:r>
              <w:rPr>
                <w:rFonts w:ascii="宋体" w:hAnsi="宋体"/>
                <w:color w:val="000000" w:themeColor="text1"/>
                <w:szCs w:val="21"/>
                <w:highlight w:val="none"/>
                <w14:textFill>
                  <w14:solidFill>
                    <w14:schemeClr w14:val="tx1"/>
                  </w14:solidFill>
                </w14:textFill>
              </w:rPr>
              <w:t>提供免费的定期上门巡检</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保修服务、返修的及时性、品质问题的响应时间</w:t>
            </w:r>
            <w:r>
              <w:rPr>
                <w:rFonts w:hint="eastAsia" w:ascii="宋体" w:hAnsi="宋体"/>
                <w:color w:val="000000" w:themeColor="text1"/>
                <w:szCs w:val="21"/>
                <w:highlight w:val="none"/>
                <w14:textFill>
                  <w14:solidFill>
                    <w14:schemeClr w14:val="tx1"/>
                  </w14:solidFill>
                </w14:textFill>
              </w:rPr>
              <w:t>、安装培训、调试、施工指导等等情况进行</w:t>
            </w:r>
            <w:r>
              <w:rPr>
                <w:rFonts w:ascii="宋体" w:hAnsi="宋体"/>
                <w:color w:val="000000" w:themeColor="text1"/>
                <w:szCs w:val="21"/>
                <w:highlight w:val="none"/>
                <w14:textFill>
                  <w14:solidFill>
                    <w14:schemeClr w14:val="tx1"/>
                  </w14:solidFill>
                </w14:textFill>
              </w:rPr>
              <w:t>打分</w:t>
            </w:r>
            <w:r>
              <w:rPr>
                <w:rFonts w:hint="eastAsia" w:ascii="宋体" w:hAnsi="宋体"/>
                <w:color w:val="000000" w:themeColor="text1"/>
                <w:szCs w:val="21"/>
                <w:highlight w:val="none"/>
                <w14:textFill>
                  <w14:solidFill>
                    <w14:schemeClr w14:val="tx1"/>
                  </w14:solidFill>
                </w14:textFill>
              </w:rPr>
              <w:t xml:space="preserve">。  </w:t>
            </w:r>
          </w:p>
        </w:tc>
        <w:tc>
          <w:tcPr>
            <w:tcW w:w="851" w:type="dxa"/>
            <w:noWrap w:val="0"/>
            <w:vAlign w:val="center"/>
          </w:tcPr>
          <w:p>
            <w:pPr>
              <w:widowControl/>
              <w:jc w:val="center"/>
              <w:rPr>
                <w:rFonts w:hint="eastAsia" w:ascii="宋体" w:hAnsi="宋体" w:eastAsia="宋体"/>
                <w:color w:val="000000" w:themeColor="text1"/>
                <w:kern w:val="2"/>
                <w:sz w:val="21"/>
                <w:szCs w:val="24"/>
                <w:highlight w:val="none"/>
                <w:lang w:val="en-US" w:eastAsia="zh-CN" w:bidi="ar-SA"/>
                <w14:textFill>
                  <w14:solidFill>
                    <w14:schemeClr w14:val="tx1"/>
                  </w14:solidFill>
                </w14:textFill>
              </w:rPr>
            </w:pPr>
            <w:r>
              <w:rPr>
                <w:rFonts w:hint="eastAsia" w:ascii="宋体" w:hAnsi="宋体"/>
                <w:color w:val="000000" w:themeColor="text1"/>
                <w:highlight w:val="none"/>
                <w14:textFill>
                  <w14:solidFill>
                    <w14:schemeClr w14:val="tx1"/>
                  </w14:solidFill>
                </w14:textFill>
              </w:rPr>
              <w:t>0-</w:t>
            </w:r>
            <w:r>
              <w:rPr>
                <w:rFonts w:hint="eastAsia" w:ascii="宋体" w:hAnsi="宋体"/>
                <w:color w:val="000000" w:themeColor="text1"/>
                <w:highlight w:val="none"/>
                <w:lang w:val="en-US" w:eastAsia="zh-CN"/>
                <w14:textFill>
                  <w14:solidFill>
                    <w14:schemeClr w14:val="tx1"/>
                  </w14:solidFill>
                </w14:textFill>
              </w:rPr>
              <w:t>5</w:t>
            </w:r>
          </w:p>
        </w:tc>
      </w:tr>
    </w:tbl>
    <w:p>
      <w:pPr>
        <w:spacing w:after="156" w:afterLines="50" w:line="340" w:lineRule="exact"/>
        <w:ind w:firstLine="241" w:firstLineChars="100"/>
        <w:rPr>
          <w:rFonts w:hint="eastAsia" w:ascii="仿宋_GB2312" w:hAnsi="Courier New" w:eastAsia="仿宋_GB2312"/>
          <w:b/>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3、报价文件评审</w:t>
      </w:r>
    </w:p>
    <w:p>
      <w:pPr>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评标委员会对报价文件进行评审，如报价文件出现下列情形的按无效报价处理，该报价得分为零分，不予推荐为中标候选供应商。</w:t>
      </w:r>
    </w:p>
    <w:p>
      <w:pPr>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A、</w:t>
      </w:r>
      <w:r>
        <w:rPr>
          <w:rFonts w:hint="eastAsia" w:ascii="仿宋_GB2312" w:hAnsi="Courier New" w:eastAsia="仿宋_GB2312"/>
          <w:color w:val="000000" w:themeColor="text1"/>
          <w:sz w:val="24"/>
          <w:highlight w:val="none"/>
          <w:u w:val="single"/>
          <w14:textFill>
            <w14:solidFill>
              <w14:schemeClr w14:val="tx1"/>
            </w14:solidFill>
          </w14:textFill>
        </w:rPr>
        <w:t>投标函</w:t>
      </w:r>
      <w:r>
        <w:rPr>
          <w:rFonts w:hint="eastAsia" w:ascii="仿宋_GB2312" w:hAnsi="Courier New" w:eastAsia="仿宋_GB2312"/>
          <w:color w:val="000000" w:themeColor="text1"/>
          <w:sz w:val="24"/>
          <w:highlight w:val="none"/>
          <w14:textFill>
            <w14:solidFill>
              <w14:schemeClr w14:val="tx1"/>
            </w14:solidFill>
          </w14:textFill>
        </w:rPr>
        <w:t>、报价表内容填写不完整的；</w:t>
      </w:r>
    </w:p>
    <w:p>
      <w:pPr>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ascii="仿宋_GB2312" w:hAnsi="Courier New" w:eastAsia="仿宋_GB2312"/>
          <w:color w:val="000000" w:themeColor="text1"/>
          <w:sz w:val="24"/>
          <w:highlight w:val="none"/>
          <w14:textFill>
            <w14:solidFill>
              <w14:schemeClr w14:val="tx1"/>
            </w14:solidFill>
          </w14:textFill>
        </w:rPr>
        <w:t>B</w:t>
      </w:r>
      <w:r>
        <w:rPr>
          <w:rFonts w:hint="eastAsia" w:ascii="仿宋_GB2312" w:hAnsi="Courier New" w:eastAsia="仿宋_GB2312"/>
          <w:color w:val="000000" w:themeColor="text1"/>
          <w:sz w:val="24"/>
          <w:highlight w:val="none"/>
          <w14:textFill>
            <w14:solidFill>
              <w14:schemeClr w14:val="tx1"/>
            </w14:solidFill>
          </w14:textFill>
        </w:rPr>
        <w:t>、</w:t>
      </w:r>
      <w:r>
        <w:rPr>
          <w:rFonts w:hint="eastAsia" w:ascii="仿宋_GB2312" w:hAnsi="Courier New" w:eastAsia="仿宋_GB2312"/>
          <w:i/>
          <w:color w:val="000000" w:themeColor="text1"/>
          <w:sz w:val="24"/>
          <w:highlight w:val="none"/>
          <w:lang w:eastAsia="zh-CN"/>
          <w14:textFill>
            <w14:solidFill>
              <w14:schemeClr w14:val="tx1"/>
            </w14:solidFill>
          </w14:textFill>
        </w:rPr>
        <w:t>交货</w:t>
      </w:r>
      <w:r>
        <w:rPr>
          <w:rFonts w:hint="eastAsia" w:ascii="仿宋_GB2312" w:hAnsi="Courier New" w:eastAsia="仿宋_GB2312"/>
          <w:i/>
          <w:color w:val="000000" w:themeColor="text1"/>
          <w:sz w:val="24"/>
          <w:highlight w:val="none"/>
          <w14:textFill>
            <w14:solidFill>
              <w14:schemeClr w14:val="tx1"/>
            </w14:solidFill>
          </w14:textFill>
        </w:rPr>
        <w:t>期</w:t>
      </w:r>
      <w:r>
        <w:rPr>
          <w:rFonts w:hint="eastAsia" w:ascii="仿宋_GB2312" w:hAnsi="Courier New" w:eastAsia="仿宋_GB2312"/>
          <w:color w:val="000000" w:themeColor="text1"/>
          <w:sz w:val="24"/>
          <w:highlight w:val="none"/>
          <w14:textFill>
            <w14:solidFill>
              <w14:schemeClr w14:val="tx1"/>
            </w14:solidFill>
          </w14:textFill>
        </w:rPr>
        <w:t>等不符合招标文件要求的。</w:t>
      </w:r>
    </w:p>
    <w:p>
      <w:pPr>
        <w:spacing w:after="156" w:afterLines="50" w:line="440" w:lineRule="atLeast"/>
        <w:ind w:firstLine="236" w:firstLineChars="98"/>
        <w:rPr>
          <w:rFonts w:hint="eastAsia" w:ascii="仿宋_GB2312" w:hAnsi="Courier New" w:eastAsia="仿宋_GB2312"/>
          <w:b/>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 xml:space="preserve">3.1报价得分计算方法如下： </w:t>
      </w:r>
    </w:p>
    <w:p>
      <w:pPr>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①价格评定分值为</w:t>
      </w:r>
      <w:r>
        <w:rPr>
          <w:rFonts w:hint="eastAsia" w:ascii="仿宋_GB2312" w:eastAsia="仿宋_GB2312"/>
          <w:b/>
          <w:color w:val="000000" w:themeColor="text1"/>
          <w:sz w:val="24"/>
          <w:highlight w:val="none"/>
          <w:lang w:val="en-US" w:eastAsia="zh-CN"/>
          <w14:textFill>
            <w14:solidFill>
              <w14:schemeClr w14:val="tx1"/>
            </w14:solidFill>
          </w14:textFill>
        </w:rPr>
        <w:t>40</w:t>
      </w:r>
      <w:r>
        <w:rPr>
          <w:rFonts w:hint="eastAsia" w:ascii="仿宋_GB2312" w:hAnsi="Courier New" w:eastAsia="仿宋_GB2312"/>
          <w:color w:val="000000" w:themeColor="text1"/>
          <w:sz w:val="24"/>
          <w:highlight w:val="none"/>
          <w14:textFill>
            <w14:solidFill>
              <w14:schemeClr w14:val="tx1"/>
            </w14:solidFill>
          </w14:textFill>
        </w:rPr>
        <w:t>分。</w:t>
      </w:r>
    </w:p>
    <w:p>
      <w:pPr>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②评标基准价的确定：</w:t>
      </w:r>
    </w:p>
    <w:p>
      <w:pPr>
        <w:spacing w:line="340" w:lineRule="exact"/>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A、评标委员会认为投标人的报价明显低于其他通过符合性审查投标人的报价，而投标人不能在评标委员会要求的时间内作出合理书面说明且提供相关证明材料的，或者评标委员会认为其所作出的书面说明不合理的，该投标作无效标处理。</w:t>
      </w:r>
    </w:p>
    <w:p>
      <w:pPr>
        <w:spacing w:line="340" w:lineRule="exact"/>
        <w:ind w:firstLine="240" w:firstLineChars="100"/>
        <w:rPr>
          <w:rFonts w:hint="eastAsia" w:ascii="仿宋_GB2312" w:hAnsi="Courier New" w:eastAsia="仿宋_GB2312"/>
          <w:color w:val="000000" w:themeColor="text1"/>
          <w:sz w:val="24"/>
          <w:highlight w:val="none"/>
          <w:lang w:val="en-US" w:eastAsia="zh-CN"/>
          <w14:textFill>
            <w14:solidFill>
              <w14:schemeClr w14:val="tx1"/>
            </w14:solidFill>
          </w14:textFill>
        </w:rPr>
      </w:pPr>
      <w:r>
        <w:rPr>
          <w:rFonts w:hint="eastAsia" w:ascii="仿宋_GB2312" w:hAnsi="Courier New" w:eastAsia="仿宋_GB2312"/>
          <w:color w:val="000000" w:themeColor="text1"/>
          <w:sz w:val="24"/>
          <w:highlight w:val="none"/>
          <w:lang w:val="en-US" w:eastAsia="zh-CN"/>
          <w14:textFill>
            <w14:solidFill>
              <w14:schemeClr w14:val="tx1"/>
            </w14:solidFill>
          </w14:textFill>
        </w:rPr>
        <w:t>B、价格分统一采用低价优先法计算,即满足招标文件要求且</w:t>
      </w:r>
      <w:r>
        <w:rPr>
          <w:rFonts w:hint="eastAsia" w:ascii="仿宋_GB2312" w:hAnsi="Courier New" w:eastAsia="仿宋_GB2312"/>
          <w:color w:val="000000" w:themeColor="text1"/>
          <w:sz w:val="24"/>
          <w:highlight w:val="none"/>
          <w:lang w:val="en-US" w:eastAsia="zh-CN"/>
          <w14:textFill>
            <w14:solidFill>
              <w14:schemeClr w14:val="tx1"/>
            </w14:solidFill>
          </w14:textFill>
        </w:rPr>
        <w:t>折扣率最</w:t>
      </w:r>
      <w:r>
        <w:rPr>
          <w:rFonts w:hint="eastAsia" w:ascii="仿宋_GB2312" w:hAnsi="Courier New" w:eastAsia="仿宋_GB2312"/>
          <w:color w:val="000000" w:themeColor="text1"/>
          <w:sz w:val="24"/>
          <w:highlight w:val="none"/>
          <w:lang w:val="en-US" w:eastAsia="zh-CN"/>
          <w14:textFill>
            <w14:solidFill>
              <w14:schemeClr w14:val="tx1"/>
            </w14:solidFill>
          </w14:textFill>
        </w:rPr>
        <w:t>高的为评标基准</w:t>
      </w:r>
      <w:r>
        <w:rPr>
          <w:rFonts w:hint="eastAsia" w:ascii="仿宋_GB2312" w:hAnsi="Courier New" w:eastAsia="仿宋_GB2312"/>
          <w:color w:val="000000" w:themeColor="text1"/>
          <w:sz w:val="24"/>
          <w:highlight w:val="none"/>
          <w:lang w:val="en-US" w:eastAsia="zh-CN"/>
          <w14:textFill>
            <w14:solidFill>
              <w14:schemeClr w14:val="tx1"/>
            </w14:solidFill>
          </w14:textFill>
        </w:rPr>
        <w:t>折扣率</w:t>
      </w:r>
      <w:r>
        <w:rPr>
          <w:rFonts w:hint="eastAsia" w:ascii="仿宋_GB2312" w:hAnsi="Courier New" w:eastAsia="仿宋_GB2312"/>
          <w:color w:val="000000" w:themeColor="text1"/>
          <w:sz w:val="24"/>
          <w:highlight w:val="none"/>
          <w:lang w:val="en-US" w:eastAsia="zh-CN"/>
          <w14:textFill>
            <w14:solidFill>
              <w14:schemeClr w14:val="tx1"/>
            </w14:solidFill>
          </w14:textFill>
        </w:rPr>
        <w:t>,其价格分为满分。</w:t>
      </w:r>
    </w:p>
    <w:p>
      <w:pPr>
        <w:spacing w:line="340" w:lineRule="exact"/>
        <w:ind w:firstLine="240" w:firstLineChars="100"/>
        <w:rPr>
          <w:rFonts w:hint="eastAsia" w:ascii="仿宋_GB2312" w:hAnsi="Courier New" w:eastAsia="仿宋_GB2312"/>
          <w:color w:val="000000" w:themeColor="text1"/>
          <w:sz w:val="24"/>
          <w:highlight w:val="none"/>
          <w:lang w:val="en-US" w:eastAsia="zh-CN"/>
          <w14:textFill>
            <w14:solidFill>
              <w14:schemeClr w14:val="tx1"/>
            </w14:solidFill>
          </w14:textFill>
        </w:rPr>
      </w:pPr>
      <w:r>
        <w:rPr>
          <w:rFonts w:hint="eastAsia" w:ascii="仿宋_GB2312" w:hAnsi="Courier New" w:eastAsia="仿宋_GB2312"/>
          <w:color w:val="000000" w:themeColor="text1"/>
          <w:sz w:val="24"/>
          <w:highlight w:val="none"/>
          <w:lang w:val="en-US" w:eastAsia="zh-CN"/>
          <w14:textFill>
            <w14:solidFill>
              <w14:schemeClr w14:val="tx1"/>
            </w14:solidFill>
          </w14:textFill>
        </w:rPr>
        <w:t>投标人的价格分按照下列公式计算:报价得分=（评标基准</w:t>
      </w:r>
      <w:r>
        <w:rPr>
          <w:rFonts w:hint="eastAsia" w:ascii="仿宋_GB2312" w:hAnsi="Courier New" w:eastAsia="仿宋_GB2312"/>
          <w:color w:val="000000" w:themeColor="text1"/>
          <w:sz w:val="24"/>
          <w:highlight w:val="none"/>
          <w:lang w:val="en-US" w:eastAsia="zh-CN"/>
          <w14:textFill>
            <w14:solidFill>
              <w14:schemeClr w14:val="tx1"/>
            </w14:solidFill>
          </w14:textFill>
        </w:rPr>
        <w:t>折扣率</w:t>
      </w:r>
      <w:r>
        <w:rPr>
          <w:rFonts w:hint="eastAsia" w:ascii="仿宋_GB2312" w:hAnsi="Courier New" w:eastAsia="仿宋_GB2312"/>
          <w:color w:val="000000" w:themeColor="text1"/>
          <w:sz w:val="24"/>
          <w:highlight w:val="none"/>
          <w:lang w:val="en-US" w:eastAsia="zh-CN"/>
          <w14:textFill>
            <w14:solidFill>
              <w14:schemeClr w14:val="tx1"/>
            </w14:solidFill>
          </w14:textFill>
        </w:rPr>
        <w:t>）/（ 投标</w:t>
      </w:r>
      <w:r>
        <w:rPr>
          <w:rFonts w:hint="eastAsia" w:ascii="仿宋_GB2312" w:hAnsi="Courier New" w:eastAsia="仿宋_GB2312"/>
          <w:color w:val="000000" w:themeColor="text1"/>
          <w:sz w:val="24"/>
          <w:highlight w:val="none"/>
          <w:lang w:val="en-US" w:eastAsia="zh-CN"/>
          <w14:textFill>
            <w14:solidFill>
              <w14:schemeClr w14:val="tx1"/>
            </w14:solidFill>
          </w14:textFill>
        </w:rPr>
        <w:t>折扣率</w:t>
      </w:r>
      <w:r>
        <w:rPr>
          <w:rFonts w:hint="eastAsia" w:ascii="仿宋_GB2312" w:hAnsi="Courier New" w:eastAsia="仿宋_GB2312"/>
          <w:color w:val="000000" w:themeColor="text1"/>
          <w:sz w:val="24"/>
          <w:highlight w:val="none"/>
          <w:lang w:val="en-US" w:eastAsia="zh-CN"/>
          <w14:textFill>
            <w14:solidFill>
              <w14:schemeClr w14:val="tx1"/>
            </w14:solidFill>
          </w14:textFill>
        </w:rPr>
        <w:t>）×40%×100</w:t>
      </w:r>
    </w:p>
    <w:p>
      <w:pPr>
        <w:ind w:firstLine="240" w:firstLineChars="100"/>
        <w:rPr>
          <w:rFonts w:hint="eastAsia" w:ascii="仿宋_GB2312" w:hAnsi="Courier New" w:eastAsia="仿宋_GB2312"/>
          <w:color w:val="000000" w:themeColor="text1"/>
          <w:sz w:val="24"/>
          <w:highlight w:val="none"/>
          <w14:textFill>
            <w14:solidFill>
              <w14:schemeClr w14:val="tx1"/>
            </w14:solidFill>
          </w14:textFill>
        </w:rPr>
      </w:pPr>
      <w:r>
        <w:rPr>
          <w:rFonts w:hint="eastAsia" w:ascii="仿宋_GB2312" w:hAnsi="Courier New" w:eastAsia="仿宋_GB2312"/>
          <w:color w:val="000000" w:themeColor="text1"/>
          <w:sz w:val="24"/>
          <w:highlight w:val="none"/>
          <w14:textFill>
            <w14:solidFill>
              <w14:schemeClr w14:val="tx1"/>
            </w14:solidFill>
          </w14:textFill>
        </w:rPr>
        <w:t>③评标委员会评审复核过程中发现存在投标人自身原因引起的计算或结转差错、笔误，每发现一处报价得分扣0.3分。如因一处差错引起的连锁差错，只按一处差错扣分。</w:t>
      </w:r>
    </w:p>
    <w:p>
      <w:pPr>
        <w:spacing w:line="440" w:lineRule="atLeast"/>
        <w:rPr>
          <w:rFonts w:hint="eastAsia" w:ascii="仿宋_GB2312" w:hAnsi="Courier New" w:eastAsia="仿宋_GB2312"/>
          <w:b/>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 xml:space="preserve">  4、评委对各部分得分汇总,得出本项目各投标人的最终得分：</w:t>
      </w:r>
    </w:p>
    <w:p>
      <w:pPr>
        <w:spacing w:line="440" w:lineRule="atLeast"/>
        <w:rPr>
          <w:rFonts w:hint="eastAsia" w:ascii="仿宋_GB2312" w:hAnsi="Courier New" w:eastAsia="仿宋_GB2312"/>
          <w:b/>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 xml:space="preserve">     投标人的总得分=技术得分+报价得分</w:t>
      </w:r>
    </w:p>
    <w:p>
      <w:pPr>
        <w:spacing w:after="156" w:afterLines="50" w:line="440" w:lineRule="atLeast"/>
        <w:ind w:firstLine="236" w:firstLineChars="98"/>
        <w:rPr>
          <w:rFonts w:hint="eastAsia" w:ascii="仿宋_GB2312" w:hAnsi="Courier New" w:eastAsia="仿宋_GB2312"/>
          <w:b/>
          <w:color w:val="000000" w:themeColor="text1"/>
          <w:sz w:val="24"/>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5、中标候选供应商的确定：</w:t>
      </w:r>
    </w:p>
    <w:p>
      <w:pPr>
        <w:ind w:firstLine="236" w:firstLineChars="98"/>
        <w:rPr>
          <w:rFonts w:hint="eastAsia" w:ascii="仿宋_GB2312" w:hAnsi="宋体" w:eastAsia="仿宋_GB2312"/>
          <w:b/>
          <w:color w:val="000000" w:themeColor="text1"/>
          <w:sz w:val="36"/>
          <w:szCs w:val="36"/>
          <w:highlight w:val="none"/>
          <w14:textFill>
            <w14:solidFill>
              <w14:schemeClr w14:val="tx1"/>
            </w14:solidFill>
          </w14:textFill>
        </w:rPr>
      </w:pPr>
      <w:r>
        <w:rPr>
          <w:rFonts w:hint="eastAsia" w:ascii="仿宋_GB2312" w:hAnsi="Courier New" w:eastAsia="仿宋_GB2312"/>
          <w:b/>
          <w:color w:val="000000" w:themeColor="text1"/>
          <w:sz w:val="24"/>
          <w:highlight w:val="none"/>
          <w14:textFill>
            <w14:solidFill>
              <w14:schemeClr w14:val="tx1"/>
            </w14:solidFill>
          </w14:textFill>
        </w:rPr>
        <w:t>评标委员会按评标总得分由高到低顺序排列。推荐总得分最高的投标人为中标候选供应商；总得分相同的，取投标报价低者为中标候选供应商；总得分和投标报价都相同的，则抽签确定。</w:t>
      </w:r>
    </w:p>
    <w:p>
      <w:pPr>
        <w:spacing w:line="520" w:lineRule="exact"/>
        <w:jc w:val="center"/>
        <w:rPr>
          <w:rFonts w:hint="eastAsia" w:ascii="仿宋_GB2312" w:hAnsi="宋体" w:eastAsia="仿宋_GB2312"/>
          <w:b/>
          <w:color w:val="000000" w:themeColor="text1"/>
          <w:sz w:val="36"/>
          <w:szCs w:val="36"/>
          <w:highlight w:val="none"/>
          <w14:textFill>
            <w14:solidFill>
              <w14:schemeClr w14:val="tx1"/>
            </w14:solidFill>
          </w14:textFill>
        </w:rPr>
      </w:pPr>
    </w:p>
    <w:p>
      <w:pPr>
        <w:pStyle w:val="2"/>
        <w:rPr>
          <w:rFonts w:hint="eastAsia" w:ascii="FangSong_GB2312" w:hAnsi="宋体" w:eastAsia="FangSong_GB2312"/>
          <w:b/>
          <w:color w:val="000000" w:themeColor="text1"/>
          <w:sz w:val="36"/>
          <w:szCs w:val="36"/>
          <w:highlight w:val="none"/>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FangSong_GB2312">
    <w:altName w:val="仿宋"/>
    <w:panose1 w:val="00000000000000000000"/>
    <w:charset w:val="86"/>
    <w:family w:val="modern"/>
    <w:pitch w:val="default"/>
    <w:sig w:usb0="00000000" w:usb1="00000000" w:usb2="00000016" w:usb3="00000000" w:csb0="00040001" w:csb1="00000000"/>
  </w:font>
  <w:font w:name="MS PGothic">
    <w:panose1 w:val="020B0600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29250"/>
    <w:multiLevelType w:val="singleLevel"/>
    <w:tmpl w:val="93229250"/>
    <w:lvl w:ilvl="0" w:tentative="0">
      <w:start w:val="6"/>
      <w:numFmt w:val="decimal"/>
      <w:suff w:val="nothing"/>
      <w:lvlText w:val="（%1）"/>
      <w:lvlJc w:val="left"/>
    </w:lvl>
  </w:abstractNum>
  <w:abstractNum w:abstractNumId="1">
    <w:nsid w:val="9A86334E"/>
    <w:multiLevelType w:val="singleLevel"/>
    <w:tmpl w:val="9A86334E"/>
    <w:lvl w:ilvl="0" w:tentative="0">
      <w:start w:val="1"/>
      <w:numFmt w:val="decimal"/>
      <w:suff w:val="nothing"/>
      <w:lvlText w:val="%1、"/>
      <w:lvlJc w:val="left"/>
    </w:lvl>
  </w:abstractNum>
  <w:abstractNum w:abstractNumId="2">
    <w:nsid w:val="A5AA2AED"/>
    <w:multiLevelType w:val="singleLevel"/>
    <w:tmpl w:val="A5AA2AED"/>
    <w:lvl w:ilvl="0" w:tentative="0">
      <w:start w:val="7"/>
      <w:numFmt w:val="decimal"/>
      <w:suff w:val="nothing"/>
      <w:lvlText w:val="%1、"/>
      <w:lvlJc w:val="left"/>
      <w:pPr>
        <w:ind w:left="-210"/>
      </w:pPr>
    </w:lvl>
  </w:abstractNum>
  <w:abstractNum w:abstractNumId="3">
    <w:nsid w:val="CF9867BF"/>
    <w:multiLevelType w:val="singleLevel"/>
    <w:tmpl w:val="CF9867BF"/>
    <w:lvl w:ilvl="0" w:tentative="0">
      <w:start w:val="1"/>
      <w:numFmt w:val="decimal"/>
      <w:suff w:val="nothing"/>
      <w:lvlText w:val="%1、"/>
      <w:lvlJc w:val="left"/>
    </w:lvl>
  </w:abstractNum>
  <w:abstractNum w:abstractNumId="4">
    <w:nsid w:val="E642FEAE"/>
    <w:multiLevelType w:val="singleLevel"/>
    <w:tmpl w:val="E642FEAE"/>
    <w:lvl w:ilvl="0" w:tentative="0">
      <w:start w:val="1"/>
      <w:numFmt w:val="decimal"/>
      <w:suff w:val="nothing"/>
      <w:lvlText w:val="%1、"/>
      <w:lvlJc w:val="left"/>
    </w:lvl>
  </w:abstractNum>
  <w:abstractNum w:abstractNumId="5">
    <w:nsid w:val="44A69BFE"/>
    <w:multiLevelType w:val="singleLevel"/>
    <w:tmpl w:val="44A69BFE"/>
    <w:lvl w:ilvl="0" w:tentative="0">
      <w:start w:val="3"/>
      <w:numFmt w:val="chineseCounting"/>
      <w:suff w:val="nothing"/>
      <w:lvlText w:val="%1、"/>
      <w:lvlJc w:val="left"/>
      <w:rPr>
        <w:rFonts w:hint="eastAsia"/>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NjFjY2NjNTM5ZTlhYTFiYjNmNTg1YTY4MTdkYzYifQ=="/>
  </w:docVars>
  <w:rsids>
    <w:rsidRoot w:val="00000000"/>
    <w:rsid w:val="068800D6"/>
    <w:rsid w:val="4E93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无间隔1"/>
    <w:basedOn w:val="1"/>
    <w:qFormat/>
    <w:uiPriority w:val="99"/>
    <w:pPr>
      <w:widowControl/>
      <w:adjustRightInd w:val="0"/>
      <w:snapToGrid w:val="0"/>
      <w:jc w:val="left"/>
    </w:pPr>
    <w:rPr>
      <w:rFonts w:ascii="Tahoma" w:hAnsi="Tahoma" w:eastAsia="微软雅黑"/>
      <w:sz w:val="22"/>
      <w:szCs w:val="22"/>
    </w:rPr>
  </w:style>
  <w:style w:type="paragraph" w:styleId="3">
    <w:name w:val="Body Text"/>
    <w:basedOn w:val="1"/>
    <w:next w:val="4"/>
    <w:qFormat/>
    <w:uiPriority w:val="0"/>
    <w:rPr>
      <w:rFonts w:eastAsia="黑体" w:cs="Times New Roman"/>
      <w:b/>
      <w:bCs/>
      <w:spacing w:val="20"/>
      <w:kern w:val="52"/>
      <w:sz w:val="56"/>
      <w:szCs w:val="24"/>
    </w:rPr>
  </w:style>
  <w:style w:type="paragraph" w:styleId="4">
    <w:name w:val="Body Text First Indent"/>
    <w:basedOn w:val="3"/>
    <w:next w:val="5"/>
    <w:qFormat/>
    <w:uiPriority w:val="0"/>
    <w:pPr>
      <w:spacing w:line="312" w:lineRule="auto"/>
      <w:ind w:firstLine="420"/>
    </w:pPr>
    <w:rPr>
      <w:szCs w:val="24"/>
    </w:rPr>
  </w:style>
  <w:style w:type="paragraph" w:styleId="5">
    <w:name w:val="toc 6"/>
    <w:basedOn w:val="1"/>
    <w:next w:val="1"/>
    <w:qFormat/>
    <w:uiPriority w:val="39"/>
    <w:pPr>
      <w:ind w:left="1050"/>
      <w:jc w:val="left"/>
    </w:pPr>
    <w:rPr>
      <w:rFonts w:ascii="Calibri" w:hAnsi="Calibri" w:cs="Calibri"/>
      <w:sz w:val="18"/>
      <w:szCs w:val="18"/>
    </w:rPr>
  </w:style>
  <w:style w:type="paragraph" w:styleId="6">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7">
    <w:name w:val="Plain Text"/>
    <w:basedOn w:val="1"/>
    <w:next w:val="8"/>
    <w:qFormat/>
    <w:uiPriority w:val="99"/>
    <w:rPr>
      <w:rFonts w:ascii="宋体" w:hAnsi="Courier New"/>
      <w:szCs w:val="20"/>
    </w:rPr>
  </w:style>
  <w:style w:type="paragraph" w:styleId="8">
    <w:name w:val="index 7"/>
    <w:basedOn w:val="1"/>
    <w:next w:val="1"/>
    <w:qFormat/>
    <w:uiPriority w:val="0"/>
    <w:pPr>
      <w:autoSpaceDE/>
      <w:autoSpaceDN/>
      <w:adjustRightInd/>
      <w:ind w:left="1200" w:leftChars="1200"/>
    </w:pPr>
    <w:rPr>
      <w:color w:val="auto"/>
      <w:kern w:val="2"/>
      <w:szCs w:val="24"/>
    </w:rPr>
  </w:style>
  <w:style w:type="paragraph" w:customStyle="1" w:styleId="11">
    <w:name w:val="Body text|1"/>
    <w:basedOn w:val="1"/>
    <w:qFormat/>
    <w:uiPriority w:val="0"/>
    <w:pPr>
      <w:spacing w:line="463" w:lineRule="auto"/>
      <w:ind w:firstLine="400"/>
    </w:pPr>
    <w:rPr>
      <w:rFonts w:ascii="宋体" w:hAnsi="宋体" w:eastAsia="宋体" w:cs="宋体"/>
      <w:sz w:val="20"/>
      <w:szCs w:val="20"/>
      <w:lang w:val="zh-TW" w:eastAsia="zh-TW" w:bidi="zh-TW"/>
    </w:rPr>
  </w:style>
  <w:style w:type="paragraph" w:customStyle="1" w:styleId="12">
    <w:name w:val="Table Paragraph"/>
    <w:basedOn w:val="1"/>
    <w:qFormat/>
    <w:uiPriority w:val="1"/>
    <w:pPr>
      <w:jc w:val="left"/>
    </w:pPr>
    <w:rPr>
      <w:rFonts w:ascii="Calibri" w:hAnsi="Calibri"/>
      <w:kern w:val="0"/>
      <w:sz w:val="22"/>
      <w:szCs w:val="22"/>
      <w:lang w:eastAsia="en-US"/>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11781</Words>
  <Characters>12791</Characters>
  <Lines>0</Lines>
  <Paragraphs>0</Paragraphs>
  <TotalTime>0</TotalTime>
  <ScaleCrop>false</ScaleCrop>
  <LinksUpToDate>false</LinksUpToDate>
  <CharactersWithSpaces>13857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2023-05-18T02:39:00Z</dcterms:created>
  <dc:creator>Administrator</dc:creator>
  <cp:lastModifiedBy>Charles</cp:lastModifiedBy>
  <dcterms:modified xsi:type="dcterms:W3CDTF">2023-05-23T07:06:49Z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F139A3064B9646C19B0CC70E19A62B2D_12</vt:lpwstr>
  </property>
</Properties>
</file>