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center"/>
        <w:outlineLvl w:val="0"/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"/>
        </w:rPr>
        <w:t>关于加强要素保障加快海塘安澜千亿工程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center"/>
        <w:outlineLvl w:val="0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"/>
        </w:rPr>
        <w:t>项目建设的实施意见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101" w:right="0" w:firstLine="42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"/>
        </w:rPr>
        <w:t>总体要求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深入贯彻落实习近平总书记关于实施海岸带保护修复，建设生态海堤，提升抵御台风、风暴潮等海洋灾害能力的重要指示精神，围绕忠实践行“八八战略”、奋力打造“重要窗口”主题主线，立足我省海塘实际，加快实施海塘安澜千亿工程，加强海塘建设各类要素保障，提高项目行政审批时效，高质量建成安全可靠、绿色生态、功能综合、运行高效的海塘工程，切实增强人民群众的获得感、幸福感、安全感，为争创社会主义现代化先行省，高质量发展建设共同富裕示范区提供安全保障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"/>
        </w:rPr>
        <w:t>二、项目审批（核准）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outlineLvl w:val="0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一）审批权限。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《浙江省海塘安澜千亿工程建设规划》中新建（含提标加固）100年一遇及以上标准的海塘安澜工程建设项目，由省发展改革委审批（核准）；其余项目由设区市发展改革委或县（市、区）发展改革局审批（核准）。对列入《浙江省海塘安澜千亿工程建设规划》的项目，优先纳入省重点建设项目计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（二）审批依据。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海塘安澜工程建设项目按照《政府投资条例》（国务院令第712号）、《企业投资项目核准和备案管理条例》（国务院令第673号）、《浙江省政府投资项目管理办法》（省政府令第185号 省政府令第363号修订）等法规规章进行审批（核准）。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（三）简化审批。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简化政府投资的海塘安澜工程建设项目审批，只审批项目可行性研究报告和初步设计报告；应相关业主单位申请，可出具项目受理通知书。发展改革部门在审批可行性研究报告时，项目单位提供用地预审与选址意见书、行业主管部门审查意见、资金来源落实文件等材料，其他前置材料可在开工前完成。企业投资的海塘安澜工程建设项目采用项目核准制，核准项目申请报告和批复初步设计报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（四）行业审查</w:t>
      </w: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水利部门负责海塘安澜工程建设项目的可行性研究报告（项目申请报告）行业审查，发展改革部门联合水利部门对初步设计报告进行审查。水利部门牵头联合组建风浪潮沙、结构安全、生态、功能融合、投资概算等专家库，开展前期指导咨询等服务工作。省水利厅负责制定《浙江省海塘安澜千亿工程建设技术指南》等技术标准，组织开展基础资料收集和科研试验，分批发布关键技术研究成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（五）资金审核。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各地财政部门应在项目建议书阶段，评估项目预期绩效和财政承受能力，提出项目的资金筹划方案，在可研报批前落实地方资金，并在可研报批阶段，向省财政厅报送资金来源证明和资金补助申请文件，具体根据《浙江省海塘安澜工程建设项目财政资金管理实施细则》办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（六）项目会商。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由发展改革部门牵头，自然资源、财政、交通、农业农村、生态环境、文旅等部门以及项目所在地政府、项目评估单位共同参与，对审批权限范围内海塘项目的建设内容、规模及各类保障要素开展一揽子会商和服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黑体" w:cs="Times New Roman"/>
          <w:spacing w:val="0"/>
          <w:kern w:val="2"/>
          <w:sz w:val="30"/>
          <w:szCs w:val="30"/>
          <w:lang w:val="en-US" w:eastAsia="zh-CN" w:bidi="ar"/>
        </w:rPr>
        <w:t>三、要素保障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（七）空间布局。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海塘安澜千亿工程应纳入各地国土空间规划，优先保障海塘建设用地、用海，充分考虑海塘与道路、公园、文旅、码头、渔港等生态海岸带基础设施共建，与生态保护红线、湿地范围线等进行衔接，明确具体定位，优化工程布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（八）用地保障。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使用已经依法批准的建设用地进行建设的海塘项目，不再办理用地预审；需要办理规划选址的，由自然资源和规划部门对规划选址情况进行审查，核发建设项目用地预审与选址意见书。确因当地补充耕地能力不足、无法落实的，对符合条件的应支持地方申请使用省级统筹补充耕地指标，并积极向国家申请统筹补充耕地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（九）用海保障。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对已建顺岸海堤向海一侧开展镇压层加固、水闸（泵站）建设及施工围堰等，按非透水构筑物方式、50公顷以下进行用海审批。涉及历史围填海处置区域项目，优先保障建设用海，简化海域使用论证，可直接引用围填海历史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"/>
        </w:rPr>
        <w:t>遗留问题区域生态评估和生态修复报告相关结论。允许在提交省级及以下批准权限的用海申请时，同步提出减免海域使用金申请。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（十）砂石资源保障。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各地河湖库疏浚砂石综合利用优先保障用于海塘安澜千亿工程建设。沿海各县（市、区）应确定块石专用料场，确保储存量、开采量满足海塘安澜千亿工程建设需要，如现有块石料场无法满足要求，应新开辟块石料场，新设置的建筑石料采矿权必须在矿业权网上交易系统公开挂牌出让。新开辟块石料场应本着“就地就近”和“节省投资”的原则，由项目所在地人民政府组织协调，由自然资源主管部门办理出让登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50" w:lineRule="exact"/>
        <w:ind w:left="0" w:right="0" w:firstLine="643" w:firstLineChars="200"/>
        <w:jc w:val="left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（十一）资金保障。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各地财政部门要调整优化支出结构，加大海塘安澜千亿工程的财政投入。各地要按相关规定运用好政府专项债、政府产业基金等形式，依法合规筹措和保障项目资金，严禁新增政府隐性债务。要深化投融资改革，盘活海塘及其沿线各类资产，吸引社会资本参与投入海塘安澜工程建设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省级财政对“26+3”中的沿海县（市、区）及海岛地区的问题海塘建设项目水利部分核定投资后，按现行两类六档补助标准提高10个百分点［核定投资额×（50%×分类分档系数+10%）］给予倾斜支持，对其他海塘建设项目水利部分核定投资后，按现行两类六档补助标准（核定投资额×50%×分类分档系数）给予补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0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0"/>
          <w:szCs w:val="30"/>
          <w:lang w:val="en-US" w:eastAsia="zh-CN" w:bidi="ar"/>
        </w:rPr>
        <w:t>四、建设、运行和管理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（十二）鼓励改革创新。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积极探索生态海塘建设新路径，通过功能融合，促进安全与发展协同增效，支持符合生态文明建设理念和基本建设程序的创新改革举措。在确保“性质不改变、数量不减少、质量有提升”的前提下，鼓励对沿塘水系进行综合整治，支持开展沿塘土地综合整治；对近岸高滩进行生态保护修复和整治提升；支持建设海塘管理范围内的塘顶建设管理用房、亲水便民设施等配套设施。鼓励社会资本投入海塘安澜工程建设项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 w:firstLine="643" w:firstLineChars="200"/>
        <w:jc w:val="left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（十三）加强建设管理。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海塘安澜工程建设项目鼓励采用全过程工程咨询，鼓励项目单位在投资决策阶段即可启动开展全过程工程咨询服务，最大限度提升海塘安澜工程建设项目谋划决策、建设实施、综合管理的水平和效益。鼓励国有企业担任海塘安澜工程建设项目法人，负责项目前期、工程建设管理等工作。专用海塘由企业级别相应的同级政府统筹协调，地方政府做好指导督促。国资部门负责进一步落实国有企业海塘建设责任。全面推行智慧工地建设，加强在线动态管理。建立健全安全生产责任制，严格执行水利项目安全设施“三同时”制度，严防重特大安全生产事故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3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（十四）加强运行管理。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各地人民政府要进一步明确海塘产权，推行公益性海塘县域统管；依法对海塘工程办理不动产登记；加快已建海塘竣工验收等遗留问题的处置；推行集约管理和管养分离，培育一批海塘物业管理企业。建设“数字海塘”，与有关职能部门统筹完善沿海波浪、潮位站，构建智慧海塘管理体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kern w:val="2"/>
          <w:sz w:val="32"/>
          <w:szCs w:val="32"/>
          <w:lang w:val="en-US" w:eastAsia="zh-CN" w:bidi="ar"/>
        </w:rPr>
        <w:t>（十五）加强组织保障。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充分发挥省海塘安澜千亿工程协调小组作用，加强规划、政策、项目等各项工作的统筹协调，推动全面落实省委、省政府部署的各项任务。沿海各市县党委、政府对本行政区域内海塘安澜千亿工程建设负总责，加强组织领导和统筹协调，将其作为防范重大风险、践行生态文明建设的重要职责，明确海塘安澜千亿工程建设责任主体以及相关部门职责，建立健全指标体系、工作体系、政策体系、评价体系，层层压实责任，确保形成工作闭环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本实施意见自2023年3月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  <w:lang w:eastAsia="zh-CN" w:bidi="ar"/>
        </w:rPr>
        <w:t>31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E64BC"/>
    <w:multiLevelType w:val="multilevel"/>
    <w:tmpl w:val="5F7E64BC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黑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37331060"/>
    <w:rsid w:val="3733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line="240" w:lineRule="auto"/>
    </w:pPr>
    <w:rPr>
      <w:rFonts w:ascii="Calibri" w:hAnsi="Calibri" w:eastAsia="宋体" w:cs="Times New Roman"/>
      <w:spacing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2023-03-07T09:23:00Z</dcterms:created>
  <dc:creator>*</dc:creator>
  <cp:lastModifiedBy>*</cp:lastModifiedBy>
  <dcterms:modified xsi:type="dcterms:W3CDTF">2023-03-07T09:23:45Z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72DAF88AD72648BC8C2FB9929C972070</vt:lpwstr>
  </property>
</Properties>
</file>