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eastAsia="仿宋"/>
          <w:b/>
          <w:bCs/>
          <w:sz w:val="44"/>
          <w:szCs w:val="44"/>
        </w:rPr>
      </w:pPr>
      <w:r>
        <w:drawing>
          <wp:inline distT="0" distB="0" distL="114300" distR="114300">
            <wp:extent cx="722630" cy="668020"/>
            <wp:effectExtent l="0" t="0" r="1270" b="17780"/>
            <wp:docPr id="1" name="图片 1" descr="C:\Users\ADMINI~1\AppData\Local\Temp\WeChat Files\4aad7ac3dc4c84023064bbd5467e6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WeChat Files\4aad7ac3dc4c84023064bbd5467e6eb.png"/>
                    <pic:cNvPicPr>
                      <a:picLocks noChangeAspect="1"/>
                    </pic:cNvPicPr>
                  </pic:nvPicPr>
                  <pic:blipFill>
                    <a:blip r:embed="rId9"/>
                    <a:stretch>
                      <a:fillRect/>
                    </a:stretch>
                  </pic:blipFill>
                  <pic:spPr>
                    <a:xfrm>
                      <a:off x="0" y="0"/>
                      <a:ext cx="722630" cy="668020"/>
                    </a:xfrm>
                    <a:prstGeom prst="rect">
                      <a:avLst/>
                    </a:prstGeom>
                    <a:noFill/>
                    <a:ln w="9525">
                      <a:noFill/>
                    </a:ln>
                  </pic:spPr>
                </pic:pic>
              </a:graphicData>
            </a:graphic>
          </wp:inline>
        </w:drawing>
      </w:r>
    </w:p>
    <w:p>
      <w:pPr>
        <w:ind w:firstLine="0" w:firstLineChars="0"/>
        <w:jc w:val="center"/>
        <w:rPr>
          <w:rFonts w:ascii="黑体" w:hAnsi="黑体" w:eastAsia="黑体" w:cs="黑体"/>
          <w:b/>
          <w:bCs/>
          <w:sz w:val="44"/>
          <w:szCs w:val="44"/>
        </w:rPr>
      </w:pPr>
      <w:r>
        <w:rPr>
          <w:rFonts w:hint="eastAsia" w:ascii="黑体" w:hAnsi="黑体" w:eastAsia="黑体" w:cs="黑体"/>
          <w:b/>
          <w:bCs/>
          <w:sz w:val="44"/>
          <w:szCs w:val="44"/>
        </w:rPr>
        <w:t>杭州西湖风景名胜区</w:t>
      </w:r>
    </w:p>
    <w:p>
      <w:pPr>
        <w:ind w:firstLine="0" w:firstLineChars="0"/>
        <w:jc w:val="center"/>
        <w:rPr>
          <w:rFonts w:ascii="黑体" w:hAnsi="黑体" w:eastAsia="黑体" w:cs="黑体"/>
          <w:b/>
          <w:bCs/>
          <w:sz w:val="44"/>
          <w:szCs w:val="44"/>
        </w:rPr>
      </w:pPr>
      <w:r>
        <w:rPr>
          <w:rFonts w:hint="eastAsia" w:ascii="黑体" w:hAnsi="黑体" w:eastAsia="黑体" w:cs="黑体"/>
          <w:b/>
          <w:bCs/>
          <w:sz w:val="44"/>
          <w:szCs w:val="44"/>
        </w:rPr>
        <w:t>生态环境保护“十四五”规划</w:t>
      </w:r>
    </w:p>
    <w:p>
      <w:pPr>
        <w:pStyle w:val="11"/>
        <w:ind w:left="560" w:firstLine="480"/>
        <w:jc w:val="center"/>
        <w:rPr>
          <w:sz w:val="24"/>
          <w:szCs w:val="21"/>
        </w:rPr>
      </w:pPr>
    </w:p>
    <w:p>
      <w:pPr>
        <w:ind w:firstLine="480"/>
        <w:jc w:val="center"/>
        <w:rPr>
          <w:sz w:val="24"/>
          <w:szCs w:val="24"/>
        </w:rPr>
      </w:pPr>
    </w:p>
    <w:p>
      <w:pPr>
        <w:ind w:firstLine="480"/>
        <w:jc w:val="center"/>
        <w:rPr>
          <w:sz w:val="24"/>
          <w:szCs w:val="24"/>
        </w:rPr>
      </w:pPr>
    </w:p>
    <w:p>
      <w:pPr>
        <w:ind w:firstLine="480"/>
        <w:jc w:val="center"/>
        <w:rPr>
          <w:sz w:val="24"/>
          <w:szCs w:val="24"/>
        </w:rPr>
      </w:pPr>
    </w:p>
    <w:p>
      <w:pPr>
        <w:pStyle w:val="2"/>
        <w:ind w:left="560" w:firstLine="480"/>
        <w:rPr>
          <w:sz w:val="24"/>
          <w:szCs w:val="24"/>
        </w:rPr>
      </w:pPr>
    </w:p>
    <w:p/>
    <w:p>
      <w:pPr>
        <w:ind w:firstLine="0" w:firstLineChars="0"/>
        <w:jc w:val="center"/>
        <w:rPr>
          <w:rFonts w:eastAsia="黑体"/>
          <w:bCs/>
          <w:sz w:val="32"/>
          <w:szCs w:val="32"/>
        </w:rPr>
      </w:pPr>
      <w:r>
        <w:rPr>
          <w:sz w:val="24"/>
          <w:szCs w:val="24"/>
        </w:rPr>
        <w:drawing>
          <wp:inline distT="0" distB="0" distL="114300" distR="114300">
            <wp:extent cx="5153660" cy="2828925"/>
            <wp:effectExtent l="0" t="0" r="8890"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0"/>
                    <a:srcRect l="16904"/>
                    <a:stretch>
                      <a:fillRect/>
                    </a:stretch>
                  </pic:blipFill>
                  <pic:spPr>
                    <a:xfrm>
                      <a:off x="0" y="0"/>
                      <a:ext cx="5153660" cy="2828925"/>
                    </a:xfrm>
                    <a:prstGeom prst="rect">
                      <a:avLst/>
                    </a:prstGeom>
                    <a:noFill/>
                    <a:ln w="9525">
                      <a:noFill/>
                    </a:ln>
                  </pic:spPr>
                </pic:pic>
              </a:graphicData>
            </a:graphic>
          </wp:inline>
        </w:drawing>
      </w:r>
    </w:p>
    <w:p>
      <w:pPr>
        <w:ind w:firstLine="0" w:firstLineChars="0"/>
        <w:jc w:val="center"/>
        <w:rPr>
          <w:rFonts w:eastAsia="黑体"/>
          <w:bCs/>
          <w:szCs w:val="28"/>
        </w:rPr>
      </w:pPr>
    </w:p>
    <w:p>
      <w:pPr>
        <w:ind w:firstLine="0" w:firstLineChars="0"/>
        <w:jc w:val="center"/>
        <w:rPr>
          <w:rFonts w:eastAsia="黑体"/>
          <w:bCs/>
          <w:szCs w:val="28"/>
        </w:rPr>
      </w:pPr>
      <w:r>
        <w:rPr>
          <w:rFonts w:eastAsia="黑体"/>
          <w:bCs/>
          <w:szCs w:val="28"/>
        </w:rPr>
        <w:t>杭州西湖风景名胜区管委会</w:t>
      </w:r>
    </w:p>
    <w:p>
      <w:pPr>
        <w:ind w:firstLine="0" w:firstLineChars="0"/>
        <w:jc w:val="center"/>
        <w:rPr>
          <w:rFonts w:eastAsia="黑体"/>
          <w:bCs/>
          <w:szCs w:val="28"/>
        </w:rPr>
      </w:pPr>
      <w:r>
        <w:rPr>
          <w:rFonts w:eastAsia="黑体"/>
          <w:bCs/>
          <w:szCs w:val="28"/>
        </w:rPr>
        <w:t>二〇二</w:t>
      </w:r>
      <w:r>
        <w:rPr>
          <w:rFonts w:hint="eastAsia" w:eastAsia="黑体"/>
          <w:bCs/>
          <w:szCs w:val="28"/>
        </w:rPr>
        <w:t>一</w:t>
      </w:r>
      <w:r>
        <w:rPr>
          <w:rFonts w:eastAsia="黑体"/>
          <w:bCs/>
          <w:szCs w:val="28"/>
        </w:rPr>
        <w:t>年</w:t>
      </w:r>
      <w:r>
        <w:rPr>
          <w:rFonts w:hint="eastAsia" w:eastAsia="黑体"/>
          <w:bCs/>
          <w:szCs w:val="28"/>
        </w:rPr>
        <w:t>十</w:t>
      </w:r>
      <w:r>
        <w:rPr>
          <w:rFonts w:eastAsia="黑体"/>
          <w:bCs/>
          <w:szCs w:val="28"/>
        </w:rPr>
        <w:t>月</w:t>
      </w:r>
    </w:p>
    <w:p>
      <w:pPr>
        <w:ind w:firstLine="0" w:firstLineChars="0"/>
        <w:jc w:val="center"/>
        <w:outlineLvl w:val="0"/>
        <w:rPr>
          <w:rFonts w:ascii="黑体" w:hAnsi="黑体" w:eastAsia="黑体" w:cs="黑体"/>
          <w:b/>
          <w:bCs/>
          <w:sz w:val="32"/>
          <w:szCs w:val="24"/>
        </w:rPr>
        <w:sectPr>
          <w:pgSz w:w="11906" w:h="16838"/>
          <w:pgMar w:top="1440" w:right="1800" w:bottom="1440" w:left="1800" w:header="851" w:footer="992" w:gutter="0"/>
          <w:cols w:space="720" w:num="1"/>
          <w:docGrid w:type="lines" w:linePitch="312" w:charSpace="0"/>
        </w:sectPr>
      </w:pPr>
      <w:bookmarkStart w:id="0" w:name="_Toc13040"/>
      <w:bookmarkStart w:id="1" w:name="_Toc23269"/>
      <w:bookmarkStart w:id="2" w:name="_Toc10426"/>
    </w:p>
    <w:p>
      <w:pPr>
        <w:ind w:firstLine="0" w:firstLineChars="0"/>
        <w:jc w:val="center"/>
        <w:rPr>
          <w:rFonts w:ascii="黑体" w:hAnsi="黑体" w:eastAsia="黑体" w:cs="黑体"/>
          <w:b/>
          <w:bCs/>
          <w:sz w:val="32"/>
          <w:szCs w:val="24"/>
        </w:rPr>
      </w:pPr>
      <w:r>
        <w:rPr>
          <w:rFonts w:hint="eastAsia" w:ascii="黑体" w:hAnsi="黑体" w:eastAsia="黑体" w:cs="黑体"/>
          <w:b/>
          <w:bCs/>
          <w:sz w:val="32"/>
          <w:szCs w:val="24"/>
        </w:rPr>
        <w:t>前 言</w:t>
      </w:r>
      <w:bookmarkEnd w:id="0"/>
      <w:bookmarkEnd w:id="1"/>
      <w:bookmarkEnd w:id="2"/>
    </w:p>
    <w:p>
      <w:pPr>
        <w:pStyle w:val="2"/>
        <w:ind w:left="0" w:leftChars="0" w:firstLine="640"/>
        <w:rPr>
          <w:rFonts w:ascii="仿宋_GB2312" w:eastAsia="仿宋_GB2312"/>
          <w:sz w:val="32"/>
          <w:szCs w:val="32"/>
        </w:rPr>
      </w:pPr>
      <w:r>
        <w:rPr>
          <w:rFonts w:hint="eastAsia" w:ascii="仿宋_GB2312" w:eastAsia="仿宋_GB2312"/>
          <w:sz w:val="32"/>
          <w:szCs w:val="32"/>
        </w:rPr>
        <w:t>“十四五”时期是我国开启第二个百年</w:t>
      </w:r>
      <w:r>
        <w:rPr>
          <w:rFonts w:hint="eastAsia" w:ascii="仿宋_GB2312" w:eastAsia="仿宋_GB2312"/>
          <w:sz w:val="32"/>
          <w:szCs w:val="32"/>
          <w:lang w:eastAsia="zh-CN"/>
        </w:rPr>
        <w:t>奋斗</w:t>
      </w:r>
      <w:bookmarkStart w:id="925" w:name="_GoBack"/>
      <w:bookmarkEnd w:id="925"/>
      <w:r>
        <w:rPr>
          <w:rFonts w:hint="eastAsia" w:ascii="仿宋_GB2312" w:eastAsia="仿宋_GB2312"/>
          <w:sz w:val="32"/>
          <w:szCs w:val="32"/>
        </w:rPr>
        <w:t>目标，全面建设社会主义现代化国家新征程的开局起步期，党的十九届五中全会将“生态文明建设实现新进步”作为“十四五”时期经济社会发展主要目标。省委第十四届八次全会提出要基本实现人与自然和谐共生的现代化，生态环境质量、资源能源集约利用、美丽经济发展全面处于国内领先、国际先进水平，高质量建成“美丽中国先行示范区”，为推动生态环境高水平保护指明了战略方向。</w:t>
      </w:r>
    </w:p>
    <w:p>
      <w:pPr>
        <w:pStyle w:val="2"/>
        <w:ind w:left="0" w:leftChars="0" w:firstLine="640"/>
        <w:rPr>
          <w:rFonts w:ascii="仿宋_GB2312" w:eastAsia="仿宋_GB2312"/>
          <w:sz w:val="32"/>
          <w:szCs w:val="32"/>
        </w:rPr>
      </w:pPr>
      <w:r>
        <w:rPr>
          <w:rFonts w:hint="eastAsia" w:ascii="仿宋_GB2312" w:eastAsia="仿宋_GB2312"/>
          <w:sz w:val="32"/>
          <w:szCs w:val="32"/>
        </w:rPr>
        <w:t>为深入贯彻落实习近平总书记考察浙江、杭州时的重要讲话精神，杭州市委市政府按照“山水相融、湖城合璧、拥江枕河、人水相亲”的发展理念，优化调整管理体制机制，启动了西湖</w:t>
      </w:r>
      <w:r>
        <w:rPr>
          <w:rFonts w:hint="eastAsia" w:ascii="宋体" w:hAnsi="宋体" w:cs="宋体"/>
          <w:sz w:val="32"/>
          <w:szCs w:val="32"/>
        </w:rPr>
        <w:t>•</w:t>
      </w:r>
      <w:r>
        <w:rPr>
          <w:rFonts w:hint="eastAsia" w:ascii="仿宋_GB2312" w:eastAsia="仿宋_GB2312"/>
          <w:sz w:val="32"/>
          <w:szCs w:val="32"/>
        </w:rPr>
        <w:t>西溪一体化保护管理，全面破除“碎片化”现象。“十四五”时期是加快实现“双西合璧，精彩蝶变”的重要时期，新时期各项改革日益深入，数智发展日新月异，对西湖原生态保护和全域综合提升也提出了更高要求。</w:t>
      </w:r>
    </w:p>
    <w:p>
      <w:pPr>
        <w:pStyle w:val="2"/>
        <w:ind w:left="0" w:leftChars="0" w:firstLine="640"/>
        <w:rPr>
          <w:rFonts w:ascii="仿宋_GB2312" w:eastAsia="仿宋_GB2312"/>
          <w:sz w:val="32"/>
          <w:szCs w:val="32"/>
        </w:rPr>
      </w:pPr>
      <w:r>
        <w:rPr>
          <w:rFonts w:hint="eastAsia" w:ascii="仿宋_GB2312" w:eastAsia="仿宋_GB2312"/>
          <w:sz w:val="32"/>
          <w:szCs w:val="32"/>
        </w:rPr>
        <w:t>为积极探索和实践具有西湖景区特色的生态环境保护新道路，实现建设一流的“世界遗产地和著名旅游目的地”，准确把握景区发展新的阶段性特征至关重要。根据国家、省、市的“十四五”生态环境保护规划，结合景区实际，特编制《杭州西湖风景名胜区“十四五”生态环境保护规划》（以下简称“规划”）。本次规划范围为西湖景区全域，面积59.04平方公里。规划基准年为2020年，规划期限为2021-2025年。</w:t>
      </w:r>
    </w:p>
    <w:p>
      <w:pPr>
        <w:pStyle w:val="2"/>
        <w:ind w:left="0" w:leftChars="0" w:firstLine="640"/>
        <w:rPr>
          <w:rFonts w:ascii="仿宋_GB2312" w:eastAsia="仿宋_GB2312"/>
          <w:sz w:val="32"/>
          <w:szCs w:val="32"/>
        </w:rPr>
      </w:pPr>
      <w:r>
        <w:rPr>
          <w:rFonts w:hint="eastAsia" w:ascii="仿宋_GB2312" w:eastAsia="仿宋_GB2312"/>
          <w:sz w:val="32"/>
          <w:szCs w:val="32"/>
        </w:rPr>
        <w:t>规划全面回顾总结“十三五”期间西湖景区的主要工作成效，阐明“十四五”期间景区生态环境保护的主要目标，从科学保护自然生态环境、推动产业提质增效、积极应对气候变化、系统提升水生态环境、高标准建设“无废景区”、协同改善环境空气质量、奋力打造魅力窗口、提升整体智治水平八大方面提出重点任务、重点工程，推动生态环境品质提升。本规划是“十四五”时期西湖风景名胜区生态环境保护的重要指导性文件。</w:t>
      </w:r>
    </w:p>
    <w:p>
      <w:pPr>
        <w:pStyle w:val="2"/>
        <w:ind w:left="0" w:leftChars="0" w:firstLine="640"/>
        <w:rPr>
          <w:rFonts w:ascii="仿宋_GB2312" w:eastAsia="仿宋_GB2312"/>
          <w:sz w:val="32"/>
          <w:szCs w:val="32"/>
        </w:rPr>
      </w:pPr>
    </w:p>
    <w:p>
      <w:pPr>
        <w:spacing w:line="500" w:lineRule="exact"/>
        <w:sectPr>
          <w:footerReference r:id="rId5" w:type="default"/>
          <w:pgSz w:w="11906" w:h="16838"/>
          <w:pgMar w:top="1440" w:right="1800" w:bottom="1440" w:left="1800" w:header="851" w:footer="992" w:gutter="0"/>
          <w:pgNumType w:fmt="upperRoman" w:start="1"/>
          <w:cols w:space="720" w:num="1"/>
          <w:docGrid w:type="lines" w:linePitch="312" w:charSpace="0"/>
        </w:sectPr>
      </w:pPr>
    </w:p>
    <w:p>
      <w:pPr>
        <w:spacing w:line="360" w:lineRule="auto"/>
        <w:ind w:firstLine="0" w:firstLineChars="0"/>
        <w:jc w:val="center"/>
      </w:pPr>
      <w:r>
        <w:rPr>
          <w:rFonts w:hint="eastAsia" w:ascii="黑体" w:hAnsi="黑体" w:eastAsia="黑体" w:cs="黑体"/>
          <w:szCs w:val="32"/>
        </w:rPr>
        <w:t>目 录</w:t>
      </w:r>
    </w:p>
    <w:p>
      <w:pPr>
        <w:pStyle w:val="9"/>
        <w:tabs>
          <w:tab w:val="right" w:leader="dot" w:pos="8306"/>
        </w:tabs>
        <w:spacing w:line="360" w:lineRule="auto"/>
      </w:pPr>
      <w:r>
        <w:fldChar w:fldCharType="begin"/>
      </w:r>
      <w:r>
        <w:instrText xml:space="preserve">TOC \o "1-2" \h \u </w:instrText>
      </w:r>
      <w:r>
        <w:fldChar w:fldCharType="separate"/>
      </w:r>
      <w:r>
        <w:fldChar w:fldCharType="begin"/>
      </w:r>
      <w:r>
        <w:instrText xml:space="preserve"> HYPERLINK \l "_Toc13339" </w:instrText>
      </w:r>
      <w:r>
        <w:fldChar w:fldCharType="separate"/>
      </w:r>
      <w:r>
        <w:rPr>
          <w:rFonts w:hint="eastAsia"/>
        </w:rPr>
        <w:t>第一章 背景与形势</w:t>
      </w:r>
      <w:r>
        <w:tab/>
      </w:r>
      <w:r>
        <w:fldChar w:fldCharType="begin"/>
      </w:r>
      <w:r>
        <w:instrText xml:space="preserve"> PAGEREF _Toc13339 \h </w:instrText>
      </w:r>
      <w:r>
        <w:fldChar w:fldCharType="separate"/>
      </w:r>
      <w:r>
        <w:t>1</w:t>
      </w:r>
      <w:r>
        <w:fldChar w:fldCharType="end"/>
      </w:r>
      <w:r>
        <w:fldChar w:fldCharType="end"/>
      </w:r>
    </w:p>
    <w:p>
      <w:pPr>
        <w:pStyle w:val="10"/>
        <w:tabs>
          <w:tab w:val="right" w:leader="dot" w:pos="8306"/>
        </w:tabs>
        <w:spacing w:line="360" w:lineRule="auto"/>
        <w:ind w:firstLine="480"/>
      </w:pPr>
      <w:r>
        <w:fldChar w:fldCharType="begin"/>
      </w:r>
      <w:r>
        <w:instrText xml:space="preserve"> HYPERLINK \l "_Toc23705" </w:instrText>
      </w:r>
      <w:r>
        <w:fldChar w:fldCharType="separate"/>
      </w:r>
      <w:r>
        <w:t>一、</w:t>
      </w:r>
      <w:r>
        <w:rPr>
          <w:rFonts w:hint="eastAsia"/>
        </w:rPr>
        <w:t>“十三五”工作回顾</w:t>
      </w:r>
      <w:r>
        <w:tab/>
      </w:r>
      <w:r>
        <w:fldChar w:fldCharType="begin"/>
      </w:r>
      <w:r>
        <w:instrText xml:space="preserve"> PAGEREF _Toc23705 \h </w:instrText>
      </w:r>
      <w:r>
        <w:fldChar w:fldCharType="separate"/>
      </w:r>
      <w:r>
        <w:t>1</w:t>
      </w:r>
      <w:r>
        <w:fldChar w:fldCharType="end"/>
      </w:r>
      <w:r>
        <w:fldChar w:fldCharType="end"/>
      </w:r>
    </w:p>
    <w:p>
      <w:pPr>
        <w:pStyle w:val="10"/>
        <w:tabs>
          <w:tab w:val="right" w:leader="dot" w:pos="8306"/>
        </w:tabs>
        <w:spacing w:line="360" w:lineRule="auto"/>
        <w:ind w:firstLine="480"/>
      </w:pPr>
      <w:r>
        <w:fldChar w:fldCharType="begin"/>
      </w:r>
      <w:r>
        <w:instrText xml:space="preserve"> HYPERLINK \l "_Toc27296" </w:instrText>
      </w:r>
      <w:r>
        <w:fldChar w:fldCharType="separate"/>
      </w:r>
      <w:r>
        <w:rPr>
          <w:rFonts w:hint="eastAsia"/>
        </w:rPr>
        <w:t>二、主要问题分析</w:t>
      </w:r>
      <w:r>
        <w:tab/>
      </w:r>
      <w:r>
        <w:fldChar w:fldCharType="begin"/>
      </w:r>
      <w:r>
        <w:instrText xml:space="preserve"> PAGEREF _Toc27296 \h </w:instrText>
      </w:r>
      <w:r>
        <w:fldChar w:fldCharType="separate"/>
      </w:r>
      <w:r>
        <w:t>9</w:t>
      </w:r>
      <w:r>
        <w:fldChar w:fldCharType="end"/>
      </w:r>
      <w:r>
        <w:fldChar w:fldCharType="end"/>
      </w:r>
    </w:p>
    <w:p>
      <w:pPr>
        <w:pStyle w:val="10"/>
        <w:tabs>
          <w:tab w:val="right" w:leader="dot" w:pos="8306"/>
        </w:tabs>
        <w:spacing w:line="360" w:lineRule="auto"/>
        <w:ind w:firstLine="480"/>
      </w:pPr>
      <w:r>
        <w:fldChar w:fldCharType="begin"/>
      </w:r>
      <w:r>
        <w:instrText xml:space="preserve"> HYPERLINK \l "_Toc25525" </w:instrText>
      </w:r>
      <w:r>
        <w:fldChar w:fldCharType="separate"/>
      </w:r>
      <w:r>
        <w:rPr>
          <w:rFonts w:hint="eastAsia"/>
        </w:rPr>
        <w:t>三、“十四五”形势分析</w:t>
      </w:r>
      <w:r>
        <w:tab/>
      </w:r>
      <w:r>
        <w:fldChar w:fldCharType="begin"/>
      </w:r>
      <w:r>
        <w:instrText xml:space="preserve"> PAGEREF _Toc25525 \h </w:instrText>
      </w:r>
      <w:r>
        <w:fldChar w:fldCharType="separate"/>
      </w:r>
      <w:r>
        <w:t>10</w:t>
      </w:r>
      <w:r>
        <w:fldChar w:fldCharType="end"/>
      </w:r>
      <w:r>
        <w:fldChar w:fldCharType="end"/>
      </w:r>
    </w:p>
    <w:p>
      <w:pPr>
        <w:pStyle w:val="9"/>
        <w:tabs>
          <w:tab w:val="right" w:leader="dot" w:pos="8306"/>
        </w:tabs>
        <w:spacing w:line="360" w:lineRule="auto"/>
      </w:pPr>
      <w:r>
        <w:fldChar w:fldCharType="begin"/>
      </w:r>
      <w:r>
        <w:instrText xml:space="preserve"> HYPERLINK \l "_Toc8686" </w:instrText>
      </w:r>
      <w:r>
        <w:fldChar w:fldCharType="separate"/>
      </w:r>
      <w:r>
        <w:rPr>
          <w:rFonts w:hint="eastAsia"/>
        </w:rPr>
        <w:t>第二章 总体要求</w:t>
      </w:r>
      <w:r>
        <w:tab/>
      </w:r>
      <w:r>
        <w:fldChar w:fldCharType="begin"/>
      </w:r>
      <w:r>
        <w:instrText xml:space="preserve"> PAGEREF _Toc8686 \h </w:instrText>
      </w:r>
      <w:r>
        <w:fldChar w:fldCharType="separate"/>
      </w:r>
      <w:r>
        <w:t>13</w:t>
      </w:r>
      <w:r>
        <w:fldChar w:fldCharType="end"/>
      </w:r>
      <w:r>
        <w:fldChar w:fldCharType="end"/>
      </w:r>
    </w:p>
    <w:p>
      <w:pPr>
        <w:pStyle w:val="10"/>
        <w:tabs>
          <w:tab w:val="right" w:leader="dot" w:pos="8306"/>
        </w:tabs>
        <w:spacing w:line="360" w:lineRule="auto"/>
        <w:ind w:firstLine="480"/>
      </w:pPr>
      <w:r>
        <w:fldChar w:fldCharType="begin"/>
      </w:r>
      <w:r>
        <w:instrText xml:space="preserve"> HYPERLINK \l "_Toc29195" </w:instrText>
      </w:r>
      <w:r>
        <w:fldChar w:fldCharType="separate"/>
      </w:r>
      <w:r>
        <w:t>一、指导思想</w:t>
      </w:r>
      <w:r>
        <w:tab/>
      </w:r>
      <w:r>
        <w:fldChar w:fldCharType="begin"/>
      </w:r>
      <w:r>
        <w:instrText xml:space="preserve"> PAGEREF _Toc29195 \h </w:instrText>
      </w:r>
      <w:r>
        <w:fldChar w:fldCharType="separate"/>
      </w:r>
      <w:r>
        <w:t>13</w:t>
      </w:r>
      <w:r>
        <w:fldChar w:fldCharType="end"/>
      </w:r>
      <w:r>
        <w:fldChar w:fldCharType="end"/>
      </w:r>
    </w:p>
    <w:p>
      <w:pPr>
        <w:pStyle w:val="10"/>
        <w:tabs>
          <w:tab w:val="right" w:leader="dot" w:pos="8306"/>
        </w:tabs>
        <w:spacing w:line="360" w:lineRule="auto"/>
        <w:ind w:firstLine="480"/>
      </w:pPr>
      <w:r>
        <w:fldChar w:fldCharType="begin"/>
      </w:r>
      <w:r>
        <w:instrText xml:space="preserve"> HYPERLINK \l "_Toc3020" </w:instrText>
      </w:r>
      <w:r>
        <w:fldChar w:fldCharType="separate"/>
      </w:r>
      <w:r>
        <w:t>二、基本原则</w:t>
      </w:r>
      <w:r>
        <w:tab/>
      </w:r>
      <w:r>
        <w:fldChar w:fldCharType="begin"/>
      </w:r>
      <w:r>
        <w:instrText xml:space="preserve"> PAGEREF _Toc3020 \h </w:instrText>
      </w:r>
      <w:r>
        <w:fldChar w:fldCharType="separate"/>
      </w:r>
      <w:r>
        <w:t>13</w:t>
      </w:r>
      <w:r>
        <w:fldChar w:fldCharType="end"/>
      </w:r>
      <w:r>
        <w:fldChar w:fldCharType="end"/>
      </w:r>
    </w:p>
    <w:p>
      <w:pPr>
        <w:pStyle w:val="10"/>
        <w:tabs>
          <w:tab w:val="right" w:leader="dot" w:pos="8306"/>
        </w:tabs>
        <w:spacing w:line="360" w:lineRule="auto"/>
        <w:ind w:firstLine="480"/>
      </w:pPr>
      <w:r>
        <w:fldChar w:fldCharType="begin"/>
      </w:r>
      <w:r>
        <w:instrText xml:space="preserve"> HYPERLINK \l "_Toc24814" </w:instrText>
      </w:r>
      <w:r>
        <w:fldChar w:fldCharType="separate"/>
      </w:r>
      <w:r>
        <w:t>三、</w:t>
      </w:r>
      <w:r>
        <w:rPr>
          <w:rFonts w:hint="eastAsia"/>
        </w:rPr>
        <w:t>编制依据</w:t>
      </w:r>
      <w:r>
        <w:tab/>
      </w:r>
      <w:r>
        <w:fldChar w:fldCharType="begin"/>
      </w:r>
      <w:r>
        <w:instrText xml:space="preserve"> PAGEREF _Toc24814 \h </w:instrText>
      </w:r>
      <w:r>
        <w:fldChar w:fldCharType="separate"/>
      </w:r>
      <w:r>
        <w:t>14</w:t>
      </w:r>
      <w:r>
        <w:fldChar w:fldCharType="end"/>
      </w:r>
      <w:r>
        <w:fldChar w:fldCharType="end"/>
      </w:r>
    </w:p>
    <w:p>
      <w:pPr>
        <w:pStyle w:val="10"/>
        <w:tabs>
          <w:tab w:val="right" w:leader="dot" w:pos="8306"/>
        </w:tabs>
        <w:spacing w:line="360" w:lineRule="auto"/>
        <w:ind w:firstLine="480"/>
      </w:pPr>
      <w:r>
        <w:fldChar w:fldCharType="begin"/>
      </w:r>
      <w:r>
        <w:instrText xml:space="preserve"> HYPERLINK \l "_Toc30788" </w:instrText>
      </w:r>
      <w:r>
        <w:fldChar w:fldCharType="separate"/>
      </w:r>
      <w:r>
        <w:rPr>
          <w:rFonts w:hint="eastAsia"/>
        </w:rPr>
        <w:t>四</w:t>
      </w:r>
      <w:r>
        <w:t>、目标指标</w:t>
      </w:r>
      <w:r>
        <w:tab/>
      </w:r>
      <w:r>
        <w:fldChar w:fldCharType="begin"/>
      </w:r>
      <w:r>
        <w:instrText xml:space="preserve"> PAGEREF _Toc30788 \h </w:instrText>
      </w:r>
      <w:r>
        <w:fldChar w:fldCharType="separate"/>
      </w:r>
      <w:r>
        <w:t>16</w:t>
      </w:r>
      <w:r>
        <w:fldChar w:fldCharType="end"/>
      </w:r>
      <w:r>
        <w:fldChar w:fldCharType="end"/>
      </w:r>
    </w:p>
    <w:p>
      <w:pPr>
        <w:pStyle w:val="9"/>
        <w:tabs>
          <w:tab w:val="right" w:leader="dot" w:pos="8306"/>
        </w:tabs>
        <w:spacing w:line="360" w:lineRule="auto"/>
      </w:pPr>
      <w:r>
        <w:fldChar w:fldCharType="begin"/>
      </w:r>
      <w:r>
        <w:instrText xml:space="preserve"> HYPERLINK \l "_Toc13375" </w:instrText>
      </w:r>
      <w:r>
        <w:fldChar w:fldCharType="separate"/>
      </w:r>
      <w:r>
        <w:rPr>
          <w:rFonts w:hint="eastAsia"/>
        </w:rPr>
        <w:t>第三章 重点领域和主要任务</w:t>
      </w:r>
      <w:r>
        <w:tab/>
      </w:r>
      <w:r>
        <w:fldChar w:fldCharType="begin"/>
      </w:r>
      <w:r>
        <w:instrText xml:space="preserve"> PAGEREF _Toc13375 \h </w:instrText>
      </w:r>
      <w:r>
        <w:fldChar w:fldCharType="separate"/>
      </w:r>
      <w:r>
        <w:t>18</w:t>
      </w:r>
      <w:r>
        <w:fldChar w:fldCharType="end"/>
      </w:r>
      <w:r>
        <w:fldChar w:fldCharType="end"/>
      </w:r>
    </w:p>
    <w:p>
      <w:pPr>
        <w:pStyle w:val="10"/>
        <w:tabs>
          <w:tab w:val="right" w:leader="dot" w:pos="8306"/>
        </w:tabs>
        <w:spacing w:line="360" w:lineRule="auto"/>
        <w:ind w:firstLine="480"/>
      </w:pPr>
      <w:r>
        <w:fldChar w:fldCharType="begin"/>
      </w:r>
      <w:r>
        <w:instrText xml:space="preserve"> HYPERLINK \l "_Toc26567" </w:instrText>
      </w:r>
      <w:r>
        <w:fldChar w:fldCharType="separate"/>
      </w:r>
      <w:r>
        <w:rPr>
          <w:rFonts w:hint="eastAsia"/>
        </w:rPr>
        <w:t>一</w:t>
      </w:r>
      <w:r>
        <w:t>、加强生态保护，筑牢自然生态本底</w:t>
      </w:r>
      <w:r>
        <w:tab/>
      </w:r>
      <w:r>
        <w:fldChar w:fldCharType="begin"/>
      </w:r>
      <w:r>
        <w:instrText xml:space="preserve"> PAGEREF _Toc26567 \h </w:instrText>
      </w:r>
      <w:r>
        <w:fldChar w:fldCharType="separate"/>
      </w:r>
      <w:r>
        <w:t>18</w:t>
      </w:r>
      <w:r>
        <w:fldChar w:fldCharType="end"/>
      </w:r>
      <w:r>
        <w:fldChar w:fldCharType="end"/>
      </w:r>
    </w:p>
    <w:p>
      <w:pPr>
        <w:pStyle w:val="10"/>
        <w:tabs>
          <w:tab w:val="right" w:leader="dot" w:pos="8306"/>
        </w:tabs>
        <w:spacing w:line="360" w:lineRule="auto"/>
        <w:ind w:firstLine="480"/>
      </w:pPr>
      <w:r>
        <w:fldChar w:fldCharType="begin"/>
      </w:r>
      <w:r>
        <w:instrText xml:space="preserve"> HYPERLINK \l "_Toc3697" </w:instrText>
      </w:r>
      <w:r>
        <w:fldChar w:fldCharType="separate"/>
      </w:r>
      <w:r>
        <w:rPr>
          <w:rFonts w:hint="eastAsia"/>
        </w:rPr>
        <w:t>二、发展生态经济，推动产业提质增效</w:t>
      </w:r>
      <w:r>
        <w:tab/>
      </w:r>
      <w:r>
        <w:fldChar w:fldCharType="begin"/>
      </w:r>
      <w:r>
        <w:instrText xml:space="preserve"> PAGEREF _Toc3697 \h </w:instrText>
      </w:r>
      <w:r>
        <w:fldChar w:fldCharType="separate"/>
      </w:r>
      <w:r>
        <w:t>20</w:t>
      </w:r>
      <w:r>
        <w:fldChar w:fldCharType="end"/>
      </w:r>
      <w:r>
        <w:fldChar w:fldCharType="end"/>
      </w:r>
    </w:p>
    <w:p>
      <w:pPr>
        <w:pStyle w:val="10"/>
        <w:tabs>
          <w:tab w:val="right" w:leader="dot" w:pos="8306"/>
        </w:tabs>
        <w:spacing w:line="360" w:lineRule="auto"/>
        <w:ind w:firstLine="480"/>
      </w:pPr>
      <w:r>
        <w:fldChar w:fldCharType="begin"/>
      </w:r>
      <w:r>
        <w:instrText xml:space="preserve"> HYPERLINK \l "_Toc12192" </w:instrText>
      </w:r>
      <w:r>
        <w:fldChar w:fldCharType="separate"/>
      </w:r>
      <w:r>
        <w:rPr>
          <w:rFonts w:hint="eastAsia"/>
        </w:rPr>
        <w:t>三、推动碳排放达峰，积极应对气候变化</w:t>
      </w:r>
      <w:r>
        <w:tab/>
      </w:r>
      <w:r>
        <w:fldChar w:fldCharType="begin"/>
      </w:r>
      <w:r>
        <w:instrText xml:space="preserve"> PAGEREF _Toc12192 \h </w:instrText>
      </w:r>
      <w:r>
        <w:fldChar w:fldCharType="separate"/>
      </w:r>
      <w:r>
        <w:t>22</w:t>
      </w:r>
      <w:r>
        <w:fldChar w:fldCharType="end"/>
      </w:r>
      <w:r>
        <w:fldChar w:fldCharType="end"/>
      </w:r>
    </w:p>
    <w:p>
      <w:pPr>
        <w:pStyle w:val="10"/>
        <w:tabs>
          <w:tab w:val="right" w:leader="dot" w:pos="8306"/>
        </w:tabs>
        <w:spacing w:line="360" w:lineRule="auto"/>
        <w:ind w:firstLine="480"/>
      </w:pPr>
      <w:r>
        <w:fldChar w:fldCharType="begin"/>
      </w:r>
      <w:r>
        <w:instrText xml:space="preserve"> HYPERLINK \l "_Toc16831" </w:instrText>
      </w:r>
      <w:r>
        <w:fldChar w:fldCharType="separate"/>
      </w:r>
      <w:r>
        <w:rPr>
          <w:rFonts w:hint="eastAsia"/>
        </w:rPr>
        <w:t>四</w:t>
      </w:r>
      <w:r>
        <w:t>、</w:t>
      </w:r>
      <w:r>
        <w:rPr>
          <w:rFonts w:hint="eastAsia"/>
        </w:rPr>
        <w:t>实施系统治理</w:t>
      </w:r>
      <w:r>
        <w:t>，</w:t>
      </w:r>
      <w:r>
        <w:rPr>
          <w:rFonts w:hint="eastAsia"/>
        </w:rPr>
        <w:t>稳步提升水生态环境</w:t>
      </w:r>
      <w:r>
        <w:tab/>
      </w:r>
      <w:r>
        <w:fldChar w:fldCharType="begin"/>
      </w:r>
      <w:r>
        <w:instrText xml:space="preserve"> PAGEREF _Toc16831 \h </w:instrText>
      </w:r>
      <w:r>
        <w:fldChar w:fldCharType="separate"/>
      </w:r>
      <w:r>
        <w:t>23</w:t>
      </w:r>
      <w:r>
        <w:fldChar w:fldCharType="end"/>
      </w:r>
      <w:r>
        <w:fldChar w:fldCharType="end"/>
      </w:r>
    </w:p>
    <w:p>
      <w:pPr>
        <w:pStyle w:val="10"/>
        <w:tabs>
          <w:tab w:val="right" w:leader="dot" w:pos="8306"/>
        </w:tabs>
        <w:spacing w:line="360" w:lineRule="auto"/>
        <w:ind w:firstLine="480"/>
      </w:pPr>
      <w:r>
        <w:fldChar w:fldCharType="begin"/>
      </w:r>
      <w:r>
        <w:instrText xml:space="preserve"> HYPERLINK \l "_Toc19146" </w:instrText>
      </w:r>
      <w:r>
        <w:fldChar w:fldCharType="separate"/>
      </w:r>
      <w:r>
        <w:rPr>
          <w:rFonts w:hint="eastAsia"/>
        </w:rPr>
        <w:t>五</w:t>
      </w:r>
      <w:r>
        <w:t>、</w:t>
      </w:r>
      <w:r>
        <w:rPr>
          <w:rFonts w:hint="eastAsia"/>
        </w:rPr>
        <w:t>聚焦闭环管理，建设“无废景区”</w:t>
      </w:r>
      <w:r>
        <w:tab/>
      </w:r>
      <w:r>
        <w:fldChar w:fldCharType="begin"/>
      </w:r>
      <w:r>
        <w:instrText xml:space="preserve"> PAGEREF _Toc19146 \h </w:instrText>
      </w:r>
      <w:r>
        <w:fldChar w:fldCharType="separate"/>
      </w:r>
      <w:r>
        <w:t>29</w:t>
      </w:r>
      <w:r>
        <w:fldChar w:fldCharType="end"/>
      </w:r>
      <w:r>
        <w:fldChar w:fldCharType="end"/>
      </w:r>
    </w:p>
    <w:p>
      <w:pPr>
        <w:pStyle w:val="10"/>
        <w:tabs>
          <w:tab w:val="right" w:leader="dot" w:pos="8306"/>
        </w:tabs>
        <w:spacing w:line="360" w:lineRule="auto"/>
        <w:ind w:firstLine="480"/>
      </w:pPr>
      <w:r>
        <w:fldChar w:fldCharType="begin"/>
      </w:r>
      <w:r>
        <w:instrText xml:space="preserve"> HYPERLINK \l "_Toc20514" </w:instrText>
      </w:r>
      <w:r>
        <w:fldChar w:fldCharType="separate"/>
      </w:r>
      <w:r>
        <w:rPr>
          <w:rFonts w:hint="eastAsia"/>
        </w:rPr>
        <w:t>六、加强协同控制，持续改善环境空气质量</w:t>
      </w:r>
      <w:r>
        <w:tab/>
      </w:r>
      <w:r>
        <w:fldChar w:fldCharType="begin"/>
      </w:r>
      <w:r>
        <w:instrText xml:space="preserve"> PAGEREF _Toc20514 \h </w:instrText>
      </w:r>
      <w:r>
        <w:fldChar w:fldCharType="separate"/>
      </w:r>
      <w:r>
        <w:t>32</w:t>
      </w:r>
      <w:r>
        <w:fldChar w:fldCharType="end"/>
      </w:r>
      <w:r>
        <w:fldChar w:fldCharType="end"/>
      </w:r>
    </w:p>
    <w:p>
      <w:pPr>
        <w:pStyle w:val="10"/>
        <w:tabs>
          <w:tab w:val="right" w:leader="dot" w:pos="8306"/>
        </w:tabs>
        <w:spacing w:line="360" w:lineRule="auto"/>
        <w:ind w:firstLine="480"/>
      </w:pPr>
      <w:r>
        <w:fldChar w:fldCharType="begin"/>
      </w:r>
      <w:r>
        <w:instrText xml:space="preserve"> HYPERLINK \l "_Toc674" </w:instrText>
      </w:r>
      <w:r>
        <w:fldChar w:fldCharType="separate"/>
      </w:r>
      <w:r>
        <w:rPr>
          <w:rFonts w:hint="eastAsia"/>
        </w:rPr>
        <w:t>七、</w:t>
      </w:r>
      <w:r>
        <w:t>弘扬</w:t>
      </w:r>
      <w:r>
        <w:rPr>
          <w:rFonts w:hint="eastAsia"/>
        </w:rPr>
        <w:t>特色</w:t>
      </w:r>
      <w:r>
        <w:t>文</w:t>
      </w:r>
      <w:r>
        <w:rPr>
          <w:rFonts w:hint="eastAsia"/>
        </w:rPr>
        <w:t>化，打造魅力窗口</w:t>
      </w:r>
      <w:r>
        <w:tab/>
      </w:r>
      <w:r>
        <w:fldChar w:fldCharType="begin"/>
      </w:r>
      <w:r>
        <w:instrText xml:space="preserve"> PAGEREF _Toc674 \h </w:instrText>
      </w:r>
      <w:r>
        <w:fldChar w:fldCharType="separate"/>
      </w:r>
      <w:r>
        <w:t>35</w:t>
      </w:r>
      <w:r>
        <w:fldChar w:fldCharType="end"/>
      </w:r>
      <w:r>
        <w:fldChar w:fldCharType="end"/>
      </w:r>
    </w:p>
    <w:p>
      <w:pPr>
        <w:pStyle w:val="10"/>
        <w:tabs>
          <w:tab w:val="right" w:leader="dot" w:pos="8306"/>
        </w:tabs>
        <w:spacing w:line="360" w:lineRule="auto"/>
        <w:ind w:firstLine="480"/>
      </w:pPr>
      <w:r>
        <w:fldChar w:fldCharType="begin"/>
      </w:r>
      <w:r>
        <w:instrText xml:space="preserve"> HYPERLINK \l "_Toc30650" </w:instrText>
      </w:r>
      <w:r>
        <w:fldChar w:fldCharType="separate"/>
      </w:r>
      <w:r>
        <w:rPr>
          <w:rFonts w:hint="eastAsia"/>
        </w:rPr>
        <w:t>八、</w:t>
      </w:r>
      <w:r>
        <w:t>推动数字赋能，提升整体智治水平</w:t>
      </w:r>
      <w:r>
        <w:tab/>
      </w:r>
      <w:r>
        <w:fldChar w:fldCharType="begin"/>
      </w:r>
      <w:r>
        <w:instrText xml:space="preserve"> PAGEREF _Toc30650 \h </w:instrText>
      </w:r>
      <w:r>
        <w:fldChar w:fldCharType="separate"/>
      </w:r>
      <w:r>
        <w:t>37</w:t>
      </w:r>
      <w:r>
        <w:fldChar w:fldCharType="end"/>
      </w:r>
      <w:r>
        <w:fldChar w:fldCharType="end"/>
      </w:r>
    </w:p>
    <w:p>
      <w:pPr>
        <w:pStyle w:val="9"/>
        <w:tabs>
          <w:tab w:val="right" w:leader="dot" w:pos="8306"/>
        </w:tabs>
        <w:spacing w:line="360" w:lineRule="auto"/>
      </w:pPr>
      <w:r>
        <w:fldChar w:fldCharType="begin"/>
      </w:r>
      <w:r>
        <w:instrText xml:space="preserve"> HYPERLINK \l "_Toc13845" </w:instrText>
      </w:r>
      <w:r>
        <w:fldChar w:fldCharType="separate"/>
      </w:r>
      <w:r>
        <w:rPr>
          <w:rFonts w:hint="eastAsia"/>
        </w:rPr>
        <w:t>第四章 “十四五”生态</w:t>
      </w:r>
      <w:r>
        <w:t>环境保护重点工程</w:t>
      </w:r>
      <w:r>
        <w:tab/>
      </w:r>
      <w:r>
        <w:fldChar w:fldCharType="begin"/>
      </w:r>
      <w:r>
        <w:instrText xml:space="preserve"> PAGEREF _Toc13845 \h </w:instrText>
      </w:r>
      <w:r>
        <w:fldChar w:fldCharType="separate"/>
      </w:r>
      <w:r>
        <w:t>41</w:t>
      </w:r>
      <w:r>
        <w:fldChar w:fldCharType="end"/>
      </w:r>
      <w:r>
        <w:fldChar w:fldCharType="end"/>
      </w:r>
    </w:p>
    <w:p>
      <w:pPr>
        <w:pStyle w:val="9"/>
        <w:tabs>
          <w:tab w:val="right" w:leader="dot" w:pos="8306"/>
        </w:tabs>
        <w:spacing w:line="360" w:lineRule="auto"/>
      </w:pPr>
      <w:r>
        <w:fldChar w:fldCharType="begin"/>
      </w:r>
      <w:r>
        <w:instrText xml:space="preserve"> HYPERLINK \l "_Toc6096" </w:instrText>
      </w:r>
      <w:r>
        <w:fldChar w:fldCharType="separate"/>
      </w:r>
      <w:r>
        <w:rPr>
          <w:rFonts w:hint="eastAsia"/>
        </w:rPr>
        <w:t>第五章 保障措施</w:t>
      </w:r>
      <w:r>
        <w:tab/>
      </w:r>
      <w:r>
        <w:fldChar w:fldCharType="begin"/>
      </w:r>
      <w:r>
        <w:instrText xml:space="preserve"> PAGEREF _Toc6096 \h </w:instrText>
      </w:r>
      <w:r>
        <w:fldChar w:fldCharType="separate"/>
      </w:r>
      <w:r>
        <w:t>46</w:t>
      </w:r>
      <w:r>
        <w:fldChar w:fldCharType="end"/>
      </w:r>
      <w:r>
        <w:fldChar w:fldCharType="end"/>
      </w:r>
    </w:p>
    <w:p>
      <w:pPr>
        <w:pStyle w:val="10"/>
        <w:tabs>
          <w:tab w:val="right" w:leader="dot" w:pos="8306"/>
        </w:tabs>
        <w:spacing w:line="360" w:lineRule="auto"/>
        <w:ind w:firstLine="480"/>
      </w:pPr>
      <w:r>
        <w:fldChar w:fldCharType="begin"/>
      </w:r>
      <w:r>
        <w:instrText xml:space="preserve"> HYPERLINK \l "_Toc31532" </w:instrText>
      </w:r>
      <w:r>
        <w:fldChar w:fldCharType="separate"/>
      </w:r>
      <w:r>
        <w:t>一、</w:t>
      </w:r>
      <w:r>
        <w:rPr>
          <w:rFonts w:hint="eastAsia"/>
        </w:rPr>
        <w:t>加强</w:t>
      </w:r>
      <w:r>
        <w:t>组织领导，</w:t>
      </w:r>
      <w:r>
        <w:rPr>
          <w:rFonts w:hint="eastAsia"/>
        </w:rPr>
        <w:t>强化协调联动</w:t>
      </w:r>
      <w:r>
        <w:tab/>
      </w:r>
      <w:r>
        <w:fldChar w:fldCharType="begin"/>
      </w:r>
      <w:r>
        <w:instrText xml:space="preserve"> PAGEREF _Toc31532 \h </w:instrText>
      </w:r>
      <w:r>
        <w:fldChar w:fldCharType="separate"/>
      </w:r>
      <w:r>
        <w:t>46</w:t>
      </w:r>
      <w:r>
        <w:fldChar w:fldCharType="end"/>
      </w:r>
      <w:r>
        <w:fldChar w:fldCharType="end"/>
      </w:r>
    </w:p>
    <w:p>
      <w:pPr>
        <w:pStyle w:val="10"/>
        <w:tabs>
          <w:tab w:val="right" w:leader="dot" w:pos="8306"/>
        </w:tabs>
        <w:spacing w:line="360" w:lineRule="auto"/>
        <w:ind w:firstLine="480"/>
      </w:pPr>
      <w:r>
        <w:fldChar w:fldCharType="begin"/>
      </w:r>
      <w:r>
        <w:instrText xml:space="preserve"> HYPERLINK \l "_Toc23196" </w:instrText>
      </w:r>
      <w:r>
        <w:fldChar w:fldCharType="separate"/>
      </w:r>
      <w:r>
        <w:t>二、加大资金投入，</w:t>
      </w:r>
      <w:r>
        <w:rPr>
          <w:rFonts w:hint="eastAsia"/>
        </w:rPr>
        <w:t>强化科技创新</w:t>
      </w:r>
      <w:r>
        <w:tab/>
      </w:r>
      <w:r>
        <w:fldChar w:fldCharType="begin"/>
      </w:r>
      <w:r>
        <w:instrText xml:space="preserve"> PAGEREF _Toc23196 \h </w:instrText>
      </w:r>
      <w:r>
        <w:fldChar w:fldCharType="separate"/>
      </w:r>
      <w:r>
        <w:t>46</w:t>
      </w:r>
      <w:r>
        <w:fldChar w:fldCharType="end"/>
      </w:r>
      <w:r>
        <w:fldChar w:fldCharType="end"/>
      </w:r>
    </w:p>
    <w:p>
      <w:pPr>
        <w:pStyle w:val="10"/>
        <w:tabs>
          <w:tab w:val="right" w:leader="dot" w:pos="8306"/>
        </w:tabs>
        <w:spacing w:line="360" w:lineRule="auto"/>
        <w:ind w:firstLine="480"/>
      </w:pPr>
      <w:r>
        <w:fldChar w:fldCharType="begin"/>
      </w:r>
      <w:r>
        <w:instrText xml:space="preserve"> HYPERLINK \l "_Toc30258" </w:instrText>
      </w:r>
      <w:r>
        <w:fldChar w:fldCharType="separate"/>
      </w:r>
      <w:r>
        <w:t>三、</w:t>
      </w:r>
      <w:r>
        <w:rPr>
          <w:rFonts w:hint="eastAsia"/>
        </w:rPr>
        <w:t>加强宣传引导</w:t>
      </w:r>
      <w:r>
        <w:t>，</w:t>
      </w:r>
      <w:r>
        <w:rPr>
          <w:rFonts w:hint="eastAsia"/>
        </w:rPr>
        <w:t>推动社会监督</w:t>
      </w:r>
      <w:r>
        <w:tab/>
      </w:r>
      <w:r>
        <w:fldChar w:fldCharType="begin"/>
      </w:r>
      <w:r>
        <w:instrText xml:space="preserve"> PAGEREF _Toc30258 \h </w:instrText>
      </w:r>
      <w:r>
        <w:fldChar w:fldCharType="separate"/>
      </w:r>
      <w:r>
        <w:t>46</w:t>
      </w:r>
      <w:r>
        <w:fldChar w:fldCharType="end"/>
      </w:r>
      <w:r>
        <w:fldChar w:fldCharType="end"/>
      </w:r>
    </w:p>
    <w:p>
      <w:pPr>
        <w:pStyle w:val="10"/>
        <w:tabs>
          <w:tab w:val="right" w:leader="dot" w:pos="8306"/>
        </w:tabs>
        <w:spacing w:line="360" w:lineRule="auto"/>
        <w:ind w:firstLine="480"/>
      </w:pPr>
      <w:r>
        <w:fldChar w:fldCharType="begin"/>
      </w:r>
      <w:r>
        <w:instrText xml:space="preserve"> HYPERLINK \l "_Toc12907" </w:instrText>
      </w:r>
      <w:r>
        <w:fldChar w:fldCharType="separate"/>
      </w:r>
      <w:r>
        <w:t>四、</w:t>
      </w:r>
      <w:r>
        <w:rPr>
          <w:rFonts w:hint="eastAsia"/>
        </w:rPr>
        <w:t>强化评估考核，促进规划实施</w:t>
      </w:r>
      <w:r>
        <w:tab/>
      </w:r>
      <w:r>
        <w:fldChar w:fldCharType="begin"/>
      </w:r>
      <w:r>
        <w:instrText xml:space="preserve"> PAGEREF _Toc12907 \h </w:instrText>
      </w:r>
      <w:r>
        <w:fldChar w:fldCharType="separate"/>
      </w:r>
      <w:r>
        <w:t>46</w:t>
      </w:r>
      <w:r>
        <w:fldChar w:fldCharType="end"/>
      </w:r>
      <w:r>
        <w:fldChar w:fldCharType="end"/>
      </w:r>
    </w:p>
    <w:p>
      <w:pPr>
        <w:pStyle w:val="9"/>
        <w:tabs>
          <w:tab w:val="right" w:leader="dot" w:pos="8306"/>
        </w:tabs>
        <w:spacing w:line="360" w:lineRule="auto"/>
      </w:pPr>
      <w:r>
        <w:fldChar w:fldCharType="begin"/>
      </w:r>
      <w:r>
        <w:instrText xml:space="preserve"> HYPERLINK \l "_Toc23235" </w:instrText>
      </w:r>
      <w:r>
        <w:fldChar w:fldCharType="separate"/>
      </w:r>
      <w:r>
        <w:rPr>
          <w:rFonts w:hint="eastAsia" w:ascii="黑体" w:hAnsi="黑体" w:cs="黑体"/>
          <w:bCs/>
          <w:szCs w:val="24"/>
        </w:rPr>
        <w:t>附图</w:t>
      </w:r>
      <w:r>
        <w:tab/>
      </w:r>
      <w:r>
        <w:fldChar w:fldCharType="begin"/>
      </w:r>
      <w:r>
        <w:instrText xml:space="preserve"> PAGEREF _Toc23235 \h </w:instrText>
      </w:r>
      <w:r>
        <w:fldChar w:fldCharType="separate"/>
      </w:r>
      <w:r>
        <w:t>48</w:t>
      </w:r>
      <w:r>
        <w:fldChar w:fldCharType="end"/>
      </w:r>
      <w:r>
        <w:fldChar w:fldCharType="end"/>
      </w:r>
    </w:p>
    <w:p>
      <w:pPr>
        <w:pStyle w:val="9"/>
        <w:tabs>
          <w:tab w:val="right" w:leader="dot" w:pos="8306"/>
        </w:tabs>
        <w:spacing w:line="360" w:lineRule="auto"/>
      </w:pPr>
    </w:p>
    <w:p>
      <w:pPr>
        <w:spacing w:line="360" w:lineRule="auto"/>
      </w:pPr>
      <w:r>
        <w:fldChar w:fldCharType="end"/>
      </w:r>
    </w:p>
    <w:p>
      <w:pPr>
        <w:spacing w:line="300" w:lineRule="auto"/>
      </w:pPr>
    </w:p>
    <w:p>
      <w:pPr>
        <w:spacing w:line="300" w:lineRule="auto"/>
        <w:ind w:firstLine="643"/>
        <w:jc w:val="center"/>
        <w:rPr>
          <w:rFonts w:ascii="黑体" w:hAnsi="黑体" w:eastAsia="黑体" w:cs="黑体"/>
          <w:b/>
          <w:bCs/>
          <w:sz w:val="32"/>
          <w:szCs w:val="24"/>
        </w:rPr>
        <w:sectPr>
          <w:footerReference r:id="rId6" w:type="default"/>
          <w:pgSz w:w="11906" w:h="16838"/>
          <w:pgMar w:top="1440" w:right="1800" w:bottom="1440" w:left="1800" w:header="851" w:footer="992" w:gutter="0"/>
          <w:pgNumType w:fmt="upperRoman" w:start="1"/>
          <w:cols w:space="720" w:num="1"/>
          <w:docGrid w:type="lines" w:linePitch="312" w:charSpace="0"/>
        </w:sectPr>
      </w:pPr>
      <w:bookmarkStart w:id="3" w:name="_Toc24585"/>
      <w:bookmarkStart w:id="4" w:name="_Toc9711"/>
      <w:bookmarkStart w:id="5" w:name="_Toc4258"/>
      <w:bookmarkStart w:id="6" w:name="_Toc30063"/>
      <w:bookmarkStart w:id="7" w:name="_Toc26015"/>
    </w:p>
    <w:bookmarkEnd w:id="3"/>
    <w:bookmarkEnd w:id="4"/>
    <w:bookmarkEnd w:id="5"/>
    <w:bookmarkEnd w:id="6"/>
    <w:bookmarkEnd w:id="7"/>
    <w:p>
      <w:pPr>
        <w:pStyle w:val="4"/>
      </w:pPr>
      <w:bookmarkStart w:id="8" w:name="_Toc5035"/>
      <w:bookmarkStart w:id="9" w:name="_Toc11997"/>
      <w:bookmarkStart w:id="10" w:name="_Toc1427"/>
      <w:bookmarkStart w:id="11" w:name="_Toc8561"/>
      <w:bookmarkStart w:id="12" w:name="_Toc32151"/>
      <w:bookmarkStart w:id="13" w:name="_Toc29535"/>
      <w:bookmarkStart w:id="14" w:name="_Toc22983"/>
      <w:bookmarkStart w:id="15" w:name="_Toc28466"/>
      <w:bookmarkStart w:id="16" w:name="_Toc1639"/>
      <w:bookmarkStart w:id="17" w:name="_Toc10813"/>
      <w:bookmarkStart w:id="18" w:name="_Toc32123"/>
      <w:bookmarkStart w:id="19" w:name="_Toc132"/>
      <w:bookmarkStart w:id="20" w:name="_Toc9790"/>
      <w:bookmarkStart w:id="21" w:name="_Toc22458"/>
      <w:bookmarkStart w:id="22" w:name="_Toc13538"/>
      <w:bookmarkStart w:id="23" w:name="_Toc9782"/>
      <w:bookmarkStart w:id="24" w:name="_Toc17793"/>
      <w:bookmarkStart w:id="25" w:name="_Toc6005"/>
      <w:bookmarkStart w:id="26" w:name="_Toc12779"/>
      <w:bookmarkStart w:id="27" w:name="_Toc30896"/>
      <w:bookmarkStart w:id="28" w:name="_Toc16359"/>
      <w:bookmarkStart w:id="29" w:name="_Toc22385"/>
      <w:bookmarkStart w:id="30" w:name="_Toc13339"/>
      <w:bookmarkStart w:id="31" w:name="_Toc16334"/>
      <w:bookmarkStart w:id="32" w:name="_Toc23169"/>
      <w:bookmarkStart w:id="33" w:name="_Toc19023"/>
      <w:r>
        <w:rPr>
          <w:rFonts w:hint="eastAsia"/>
        </w:rPr>
        <w:t xml:space="preserve">第一章 </w:t>
      </w:r>
      <w:bookmarkEnd w:id="8"/>
      <w:bookmarkEnd w:id="9"/>
      <w:bookmarkEnd w:id="10"/>
      <w:bookmarkEnd w:id="11"/>
      <w:bookmarkEnd w:id="12"/>
      <w:bookmarkEnd w:id="13"/>
      <w:bookmarkEnd w:id="14"/>
      <w:bookmarkEnd w:id="15"/>
      <w:r>
        <w:rPr>
          <w:rFonts w:hint="eastAsia"/>
        </w:rPr>
        <w:t>背景与形势</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pPr>
        <w:pStyle w:val="5"/>
      </w:pPr>
      <w:bookmarkStart w:id="34" w:name="_Toc28487"/>
      <w:bookmarkStart w:id="35" w:name="_Toc17965"/>
      <w:bookmarkStart w:id="36" w:name="_Toc3760"/>
      <w:bookmarkStart w:id="37" w:name="_Toc15194"/>
      <w:bookmarkStart w:id="38" w:name="_Toc7768"/>
      <w:bookmarkStart w:id="39" w:name="_Toc2331"/>
      <w:bookmarkStart w:id="40" w:name="_Toc5992"/>
      <w:bookmarkStart w:id="41" w:name="_Toc26688"/>
      <w:bookmarkStart w:id="42" w:name="_Toc30090"/>
      <w:bookmarkStart w:id="43" w:name="_Toc9139"/>
      <w:bookmarkStart w:id="44" w:name="_Toc25985"/>
      <w:bookmarkStart w:id="45" w:name="_Toc25013"/>
      <w:bookmarkStart w:id="46" w:name="_Toc15477"/>
      <w:bookmarkStart w:id="47" w:name="_Toc14680"/>
      <w:bookmarkStart w:id="48" w:name="_Toc22191"/>
      <w:bookmarkStart w:id="49" w:name="_Toc25434"/>
      <w:bookmarkStart w:id="50" w:name="_Toc23705"/>
      <w:bookmarkStart w:id="51" w:name="_Toc12693"/>
      <w:r>
        <w:t>一、</w:t>
      </w:r>
      <w:r>
        <w:rPr>
          <w:rFonts w:hint="eastAsia"/>
        </w:rPr>
        <w:t>“十三五”工作回顾</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pPr>
        <w:ind w:firstLine="640"/>
        <w:rPr>
          <w:rFonts w:ascii="仿宋_GB2312"/>
          <w:sz w:val="32"/>
          <w:szCs w:val="32"/>
        </w:rPr>
      </w:pPr>
      <w:r>
        <w:rPr>
          <w:rFonts w:hint="eastAsia" w:ascii="仿宋_GB2312"/>
          <w:sz w:val="32"/>
          <w:szCs w:val="32"/>
        </w:rPr>
        <w:t>“十三五”期间，杭州西湖风景名胜区管委会按照“五位一体”总体布局和“四个全面”战略布局，紧紧抓</w:t>
      </w:r>
      <w:r>
        <w:rPr>
          <w:rFonts w:hint="eastAsia" w:ascii="仿宋_GB2312" w:hAnsi="仿宋_GB2312" w:cs="仿宋_GB2312"/>
          <w:sz w:val="32"/>
          <w:szCs w:val="32"/>
        </w:rPr>
        <w:t>住“后峰会、前亚运”和“拥</w:t>
      </w:r>
      <w:r>
        <w:rPr>
          <w:rFonts w:hint="eastAsia" w:ascii="仿宋_GB2312"/>
          <w:sz w:val="32"/>
          <w:szCs w:val="32"/>
        </w:rPr>
        <w:t>江发展”战略机遇，以改善生态环境质量为核心，坚持人与自然和谐共生的基本方略，把满足人民日益增长的优美生态环境需要作为根本出发点，始终贯彻在保护中发展、在发展中保护，努力打造“美丽中国”杭州样本的先行区、浙江“大花园”杭州模式的示范区，为杭州加快城市国际化、建设独特韵味别样精彩世界名城发挥积极作用。</w:t>
      </w:r>
    </w:p>
    <w:p>
      <w:pPr>
        <w:pStyle w:val="6"/>
        <w:ind w:firstLine="640"/>
        <w:rPr>
          <w:rFonts w:ascii="楷体_GB2312" w:eastAsia="楷体_GB2312"/>
          <w:b w:val="0"/>
        </w:rPr>
      </w:pPr>
      <w:bookmarkStart w:id="52" w:name="_Toc29086"/>
      <w:bookmarkStart w:id="53" w:name="_Toc16427"/>
      <w:bookmarkStart w:id="54" w:name="_Toc4571"/>
      <w:bookmarkStart w:id="55" w:name="_Toc26767"/>
      <w:bookmarkStart w:id="56" w:name="_Toc5990"/>
      <w:bookmarkStart w:id="57" w:name="_Toc23238"/>
      <w:bookmarkStart w:id="58" w:name="_Toc14780"/>
      <w:bookmarkStart w:id="59" w:name="_Toc24700"/>
      <w:r>
        <w:rPr>
          <w:rFonts w:hint="eastAsia" w:ascii="楷体_GB2312" w:eastAsia="楷体_GB2312"/>
          <w:b w:val="0"/>
        </w:rPr>
        <w:t>（一）圆满完成“十三五”规划指标</w:t>
      </w:r>
    </w:p>
    <w:p>
      <w:pPr>
        <w:ind w:firstLine="640"/>
        <w:rPr>
          <w:rFonts w:ascii="仿宋_GB2312"/>
          <w:sz w:val="32"/>
          <w:szCs w:val="32"/>
        </w:rPr>
      </w:pPr>
      <w:r>
        <w:rPr>
          <w:rFonts w:hint="eastAsia" w:ascii="仿宋_GB2312"/>
          <w:sz w:val="32"/>
          <w:szCs w:val="32"/>
        </w:rPr>
        <w:t>《杭州西湖风景名胜区生态文明建设与环境保护“十三五”规划》中共有生态环保重点目标指标15项，其中水环境指标3项、空气环境指标2项，土壤环境指标1项，环境管理指标2项，生态文明指标7项，全部指标均已达到规划要求。各项指标具体完成情况见下表：</w:t>
      </w:r>
    </w:p>
    <w:p>
      <w:pPr>
        <w:pStyle w:val="11"/>
        <w:spacing w:after="0"/>
        <w:ind w:left="0" w:leftChars="0" w:firstLine="0" w:firstLineChars="0"/>
        <w:jc w:val="center"/>
        <w:rPr>
          <w:rFonts w:eastAsia="仿宋_GB2312"/>
          <w:b/>
          <w:bCs/>
          <w:sz w:val="24"/>
          <w:szCs w:val="21"/>
        </w:rPr>
      </w:pPr>
      <w:r>
        <w:rPr>
          <w:rFonts w:eastAsia="仿宋_GB2312"/>
          <w:b/>
          <w:bCs/>
          <w:sz w:val="24"/>
          <w:szCs w:val="21"/>
        </w:rPr>
        <w:t>表1-</w:t>
      </w:r>
      <w:r>
        <w:rPr>
          <w:rFonts w:hint="eastAsia" w:eastAsia="仿宋_GB2312"/>
          <w:b/>
          <w:bCs/>
          <w:sz w:val="24"/>
          <w:szCs w:val="21"/>
        </w:rPr>
        <w:t>1</w:t>
      </w:r>
      <w:r>
        <w:rPr>
          <w:rFonts w:eastAsia="仿宋_GB2312"/>
          <w:b/>
          <w:bCs/>
          <w:sz w:val="24"/>
          <w:szCs w:val="21"/>
        </w:rPr>
        <w:t xml:space="preserve">  环境保护“十三五”规划主要指标完成情况</w:t>
      </w:r>
    </w:p>
    <w:tbl>
      <w:tblPr>
        <w:tblStyle w:val="12"/>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630"/>
        <w:gridCol w:w="3225"/>
        <w:gridCol w:w="1487"/>
        <w:gridCol w:w="1435"/>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70" w:type="dxa"/>
            <w:vAlign w:val="center"/>
          </w:tcPr>
          <w:p>
            <w:pPr>
              <w:ind w:firstLine="0" w:firstLineChars="0"/>
              <w:jc w:val="center"/>
              <w:rPr>
                <w:b/>
                <w:bCs/>
                <w:sz w:val="24"/>
                <w:szCs w:val="24"/>
              </w:rPr>
            </w:pPr>
            <w:r>
              <w:rPr>
                <w:b/>
                <w:bCs/>
                <w:sz w:val="24"/>
                <w:szCs w:val="24"/>
              </w:rPr>
              <w:t>指标类别</w:t>
            </w:r>
          </w:p>
        </w:tc>
        <w:tc>
          <w:tcPr>
            <w:tcW w:w="630" w:type="dxa"/>
            <w:vAlign w:val="center"/>
          </w:tcPr>
          <w:p>
            <w:pPr>
              <w:ind w:firstLine="0" w:firstLineChars="0"/>
              <w:jc w:val="center"/>
              <w:rPr>
                <w:b/>
                <w:bCs/>
                <w:sz w:val="24"/>
                <w:szCs w:val="24"/>
              </w:rPr>
            </w:pPr>
            <w:r>
              <w:rPr>
                <w:b/>
                <w:bCs/>
                <w:sz w:val="24"/>
                <w:szCs w:val="24"/>
              </w:rPr>
              <w:t>序号</w:t>
            </w:r>
          </w:p>
        </w:tc>
        <w:tc>
          <w:tcPr>
            <w:tcW w:w="3225" w:type="dxa"/>
            <w:vAlign w:val="center"/>
          </w:tcPr>
          <w:p>
            <w:pPr>
              <w:ind w:firstLine="0" w:firstLineChars="0"/>
              <w:jc w:val="center"/>
              <w:rPr>
                <w:b/>
                <w:bCs/>
                <w:sz w:val="24"/>
                <w:szCs w:val="24"/>
              </w:rPr>
            </w:pPr>
            <w:r>
              <w:rPr>
                <w:b/>
                <w:bCs/>
                <w:sz w:val="24"/>
                <w:szCs w:val="24"/>
              </w:rPr>
              <w:t>指标名称</w:t>
            </w:r>
          </w:p>
        </w:tc>
        <w:tc>
          <w:tcPr>
            <w:tcW w:w="1487" w:type="dxa"/>
            <w:vAlign w:val="center"/>
          </w:tcPr>
          <w:p>
            <w:pPr>
              <w:ind w:firstLine="0" w:firstLineChars="0"/>
              <w:jc w:val="center"/>
              <w:rPr>
                <w:b/>
                <w:bCs/>
                <w:sz w:val="24"/>
                <w:szCs w:val="24"/>
              </w:rPr>
            </w:pPr>
            <w:r>
              <w:rPr>
                <w:b/>
                <w:bCs/>
                <w:sz w:val="24"/>
                <w:szCs w:val="24"/>
              </w:rPr>
              <w:t>规划目标</w:t>
            </w:r>
          </w:p>
        </w:tc>
        <w:tc>
          <w:tcPr>
            <w:tcW w:w="1435" w:type="dxa"/>
            <w:vAlign w:val="center"/>
          </w:tcPr>
          <w:p>
            <w:pPr>
              <w:ind w:firstLine="0" w:firstLineChars="0"/>
              <w:jc w:val="center"/>
              <w:rPr>
                <w:b/>
                <w:bCs/>
                <w:sz w:val="24"/>
                <w:szCs w:val="24"/>
              </w:rPr>
            </w:pPr>
            <w:r>
              <w:rPr>
                <w:b/>
                <w:bCs/>
                <w:sz w:val="24"/>
                <w:szCs w:val="24"/>
              </w:rPr>
              <w:t>20</w:t>
            </w:r>
            <w:r>
              <w:rPr>
                <w:rFonts w:hint="eastAsia"/>
                <w:b/>
                <w:bCs/>
                <w:sz w:val="24"/>
                <w:szCs w:val="24"/>
              </w:rPr>
              <w:t>20</w:t>
            </w:r>
            <w:r>
              <w:rPr>
                <w:b/>
                <w:bCs/>
                <w:sz w:val="24"/>
                <w:szCs w:val="24"/>
              </w:rPr>
              <w:t>年</w:t>
            </w:r>
          </w:p>
        </w:tc>
        <w:tc>
          <w:tcPr>
            <w:tcW w:w="872" w:type="dxa"/>
            <w:vAlign w:val="center"/>
          </w:tcPr>
          <w:p>
            <w:pPr>
              <w:ind w:firstLine="0" w:firstLineChars="0"/>
              <w:jc w:val="center"/>
              <w:rPr>
                <w:b/>
                <w:bCs/>
                <w:sz w:val="24"/>
                <w:szCs w:val="24"/>
              </w:rPr>
            </w:pPr>
            <w:r>
              <w:rPr>
                <w:b/>
                <w:bCs/>
                <w:sz w:val="24"/>
                <w:szCs w:val="24"/>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restart"/>
            <w:vAlign w:val="center"/>
          </w:tcPr>
          <w:p>
            <w:pPr>
              <w:ind w:firstLine="0" w:firstLineChars="0"/>
              <w:jc w:val="center"/>
              <w:rPr>
                <w:sz w:val="24"/>
                <w:szCs w:val="24"/>
              </w:rPr>
            </w:pPr>
            <w:r>
              <w:rPr>
                <w:sz w:val="24"/>
                <w:szCs w:val="24"/>
              </w:rPr>
              <w:t>水环境</w:t>
            </w:r>
          </w:p>
        </w:tc>
        <w:tc>
          <w:tcPr>
            <w:tcW w:w="630" w:type="dxa"/>
            <w:vAlign w:val="center"/>
          </w:tcPr>
          <w:p>
            <w:pPr>
              <w:ind w:firstLine="0" w:firstLineChars="0"/>
              <w:jc w:val="center"/>
              <w:rPr>
                <w:sz w:val="24"/>
                <w:szCs w:val="24"/>
              </w:rPr>
            </w:pPr>
            <w:r>
              <w:rPr>
                <w:sz w:val="24"/>
                <w:szCs w:val="24"/>
              </w:rPr>
              <w:t>1</w:t>
            </w:r>
          </w:p>
        </w:tc>
        <w:tc>
          <w:tcPr>
            <w:tcW w:w="3225" w:type="dxa"/>
            <w:vAlign w:val="center"/>
          </w:tcPr>
          <w:p>
            <w:pPr>
              <w:ind w:firstLine="0" w:firstLineChars="0"/>
              <w:jc w:val="center"/>
              <w:rPr>
                <w:sz w:val="24"/>
                <w:szCs w:val="24"/>
              </w:rPr>
            </w:pPr>
            <w:r>
              <w:rPr>
                <w:sz w:val="24"/>
                <w:szCs w:val="24"/>
              </w:rPr>
              <w:t>湖心、西里湖北、少年宫、小南湖、乌龟潭水质好于Ⅲ类*的比例（%，除总N）</w:t>
            </w:r>
          </w:p>
        </w:tc>
        <w:tc>
          <w:tcPr>
            <w:tcW w:w="1487" w:type="dxa"/>
            <w:vAlign w:val="center"/>
          </w:tcPr>
          <w:p>
            <w:pPr>
              <w:ind w:firstLine="0" w:firstLineChars="0"/>
              <w:jc w:val="center"/>
              <w:rPr>
                <w:sz w:val="24"/>
                <w:szCs w:val="24"/>
              </w:rPr>
            </w:pPr>
            <w:r>
              <w:rPr>
                <w:sz w:val="24"/>
                <w:szCs w:val="24"/>
              </w:rPr>
              <w:t>100</w:t>
            </w:r>
          </w:p>
        </w:tc>
        <w:tc>
          <w:tcPr>
            <w:tcW w:w="1435" w:type="dxa"/>
            <w:vAlign w:val="center"/>
          </w:tcPr>
          <w:p>
            <w:pPr>
              <w:ind w:firstLine="0" w:firstLineChars="0"/>
              <w:jc w:val="center"/>
              <w:rPr>
                <w:sz w:val="24"/>
                <w:szCs w:val="24"/>
              </w:rPr>
            </w:pPr>
            <w:r>
              <w:rPr>
                <w:sz w:val="24"/>
                <w:szCs w:val="24"/>
              </w:rPr>
              <w:t>100</w:t>
            </w:r>
          </w:p>
        </w:tc>
        <w:tc>
          <w:tcPr>
            <w:tcW w:w="872" w:type="dxa"/>
            <w:vAlign w:val="center"/>
          </w:tcPr>
          <w:p>
            <w:pPr>
              <w:ind w:firstLine="0" w:firstLineChars="0"/>
              <w:jc w:val="center"/>
              <w:rPr>
                <w:sz w:val="24"/>
                <w:szCs w:val="24"/>
              </w:rPr>
            </w:pPr>
            <w:r>
              <w:rPr>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continue"/>
            <w:vAlign w:val="center"/>
          </w:tcPr>
          <w:p>
            <w:pPr>
              <w:ind w:firstLine="0" w:firstLineChars="0"/>
              <w:jc w:val="center"/>
              <w:rPr>
                <w:sz w:val="24"/>
                <w:szCs w:val="24"/>
              </w:rPr>
            </w:pPr>
          </w:p>
        </w:tc>
        <w:tc>
          <w:tcPr>
            <w:tcW w:w="630" w:type="dxa"/>
            <w:vAlign w:val="center"/>
          </w:tcPr>
          <w:p>
            <w:pPr>
              <w:ind w:firstLine="0" w:firstLineChars="0"/>
              <w:jc w:val="center"/>
              <w:rPr>
                <w:sz w:val="24"/>
                <w:szCs w:val="24"/>
              </w:rPr>
            </w:pPr>
            <w:r>
              <w:rPr>
                <w:sz w:val="24"/>
                <w:szCs w:val="24"/>
              </w:rPr>
              <w:t>2</w:t>
            </w:r>
          </w:p>
        </w:tc>
        <w:tc>
          <w:tcPr>
            <w:tcW w:w="3225" w:type="dxa"/>
            <w:vAlign w:val="center"/>
          </w:tcPr>
          <w:p>
            <w:pPr>
              <w:ind w:firstLine="0" w:firstLineChars="0"/>
              <w:jc w:val="center"/>
              <w:rPr>
                <w:sz w:val="24"/>
                <w:szCs w:val="24"/>
              </w:rPr>
            </w:pPr>
            <w:r>
              <w:rPr>
                <w:sz w:val="24"/>
                <w:szCs w:val="24"/>
              </w:rPr>
              <w:t>劣Ⅴ类断面和臭水体</w:t>
            </w:r>
          </w:p>
        </w:tc>
        <w:tc>
          <w:tcPr>
            <w:tcW w:w="1487" w:type="dxa"/>
            <w:vAlign w:val="center"/>
          </w:tcPr>
          <w:p>
            <w:pPr>
              <w:ind w:firstLine="0" w:firstLineChars="0"/>
              <w:jc w:val="center"/>
              <w:rPr>
                <w:sz w:val="24"/>
                <w:szCs w:val="24"/>
              </w:rPr>
            </w:pPr>
            <w:r>
              <w:rPr>
                <w:sz w:val="24"/>
                <w:szCs w:val="24"/>
              </w:rPr>
              <w:t>0</w:t>
            </w:r>
          </w:p>
        </w:tc>
        <w:tc>
          <w:tcPr>
            <w:tcW w:w="1435" w:type="dxa"/>
            <w:vAlign w:val="center"/>
          </w:tcPr>
          <w:p>
            <w:pPr>
              <w:ind w:firstLine="0" w:firstLineChars="0"/>
              <w:jc w:val="center"/>
              <w:rPr>
                <w:sz w:val="24"/>
                <w:szCs w:val="24"/>
              </w:rPr>
            </w:pPr>
            <w:r>
              <w:rPr>
                <w:sz w:val="24"/>
                <w:szCs w:val="24"/>
              </w:rPr>
              <w:t>0</w:t>
            </w:r>
          </w:p>
        </w:tc>
        <w:tc>
          <w:tcPr>
            <w:tcW w:w="872" w:type="dxa"/>
            <w:vAlign w:val="center"/>
          </w:tcPr>
          <w:p>
            <w:pPr>
              <w:ind w:firstLine="0" w:firstLineChars="0"/>
              <w:jc w:val="center"/>
              <w:rPr>
                <w:sz w:val="24"/>
                <w:szCs w:val="24"/>
              </w:rPr>
            </w:pPr>
            <w:r>
              <w:rPr>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continue"/>
            <w:vAlign w:val="center"/>
          </w:tcPr>
          <w:p>
            <w:pPr>
              <w:ind w:firstLine="0" w:firstLineChars="0"/>
              <w:jc w:val="center"/>
              <w:rPr>
                <w:sz w:val="24"/>
                <w:szCs w:val="24"/>
              </w:rPr>
            </w:pPr>
          </w:p>
        </w:tc>
        <w:tc>
          <w:tcPr>
            <w:tcW w:w="630" w:type="dxa"/>
            <w:vAlign w:val="center"/>
          </w:tcPr>
          <w:p>
            <w:pPr>
              <w:ind w:firstLine="0" w:firstLineChars="0"/>
              <w:jc w:val="center"/>
              <w:rPr>
                <w:sz w:val="24"/>
                <w:szCs w:val="24"/>
              </w:rPr>
            </w:pPr>
            <w:r>
              <w:rPr>
                <w:sz w:val="24"/>
                <w:szCs w:val="24"/>
              </w:rPr>
              <w:t>3</w:t>
            </w:r>
          </w:p>
        </w:tc>
        <w:tc>
          <w:tcPr>
            <w:tcW w:w="3225" w:type="dxa"/>
            <w:vAlign w:val="center"/>
          </w:tcPr>
          <w:p>
            <w:pPr>
              <w:ind w:firstLine="0" w:firstLineChars="0"/>
              <w:jc w:val="center"/>
              <w:rPr>
                <w:sz w:val="24"/>
                <w:szCs w:val="24"/>
              </w:rPr>
            </w:pPr>
            <w:r>
              <w:rPr>
                <w:sz w:val="24"/>
                <w:szCs w:val="24"/>
              </w:rPr>
              <w:t>集中式饮用水源地水质达标率（％）</w:t>
            </w:r>
          </w:p>
        </w:tc>
        <w:tc>
          <w:tcPr>
            <w:tcW w:w="1487" w:type="dxa"/>
            <w:vAlign w:val="center"/>
          </w:tcPr>
          <w:p>
            <w:pPr>
              <w:ind w:firstLine="0" w:firstLineChars="0"/>
              <w:jc w:val="center"/>
              <w:rPr>
                <w:sz w:val="24"/>
                <w:szCs w:val="24"/>
              </w:rPr>
            </w:pPr>
            <w:r>
              <w:rPr>
                <w:sz w:val="24"/>
                <w:szCs w:val="24"/>
              </w:rPr>
              <w:t>100</w:t>
            </w:r>
          </w:p>
        </w:tc>
        <w:tc>
          <w:tcPr>
            <w:tcW w:w="1435" w:type="dxa"/>
            <w:vAlign w:val="center"/>
          </w:tcPr>
          <w:p>
            <w:pPr>
              <w:ind w:firstLine="0" w:firstLineChars="0"/>
              <w:jc w:val="center"/>
              <w:rPr>
                <w:sz w:val="24"/>
                <w:szCs w:val="24"/>
              </w:rPr>
            </w:pPr>
            <w:r>
              <w:rPr>
                <w:sz w:val="24"/>
                <w:szCs w:val="24"/>
              </w:rPr>
              <w:t>100</w:t>
            </w:r>
          </w:p>
        </w:tc>
        <w:tc>
          <w:tcPr>
            <w:tcW w:w="872" w:type="dxa"/>
            <w:vAlign w:val="center"/>
          </w:tcPr>
          <w:p>
            <w:pPr>
              <w:ind w:firstLine="0" w:firstLineChars="0"/>
              <w:jc w:val="center"/>
              <w:rPr>
                <w:sz w:val="24"/>
                <w:szCs w:val="24"/>
              </w:rPr>
            </w:pPr>
            <w:r>
              <w:rPr>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restart"/>
            <w:vAlign w:val="center"/>
          </w:tcPr>
          <w:p>
            <w:pPr>
              <w:ind w:firstLine="0" w:firstLineChars="0"/>
              <w:jc w:val="center"/>
              <w:rPr>
                <w:sz w:val="24"/>
                <w:szCs w:val="24"/>
              </w:rPr>
            </w:pPr>
            <w:r>
              <w:rPr>
                <w:sz w:val="24"/>
                <w:szCs w:val="24"/>
              </w:rPr>
              <w:t>空气环境</w:t>
            </w:r>
          </w:p>
        </w:tc>
        <w:tc>
          <w:tcPr>
            <w:tcW w:w="630" w:type="dxa"/>
            <w:vAlign w:val="center"/>
          </w:tcPr>
          <w:p>
            <w:pPr>
              <w:ind w:firstLine="0" w:firstLineChars="0"/>
              <w:jc w:val="center"/>
              <w:rPr>
                <w:sz w:val="24"/>
                <w:szCs w:val="24"/>
              </w:rPr>
            </w:pPr>
            <w:r>
              <w:rPr>
                <w:sz w:val="24"/>
                <w:szCs w:val="24"/>
              </w:rPr>
              <w:t>4</w:t>
            </w:r>
          </w:p>
        </w:tc>
        <w:tc>
          <w:tcPr>
            <w:tcW w:w="3225" w:type="dxa"/>
            <w:vAlign w:val="center"/>
          </w:tcPr>
          <w:p>
            <w:pPr>
              <w:ind w:firstLine="0" w:firstLineChars="0"/>
              <w:jc w:val="center"/>
              <w:rPr>
                <w:sz w:val="24"/>
                <w:szCs w:val="24"/>
              </w:rPr>
            </w:pPr>
            <w:r>
              <w:rPr>
                <w:sz w:val="24"/>
                <w:szCs w:val="24"/>
              </w:rPr>
              <w:t>环境空气细颗粒物（PM</w:t>
            </w:r>
            <w:r>
              <w:rPr>
                <w:sz w:val="24"/>
                <w:szCs w:val="24"/>
                <w:vertAlign w:val="subscript"/>
              </w:rPr>
              <w:t>2.5</w:t>
            </w:r>
            <w:r>
              <w:rPr>
                <w:sz w:val="24"/>
                <w:szCs w:val="24"/>
              </w:rPr>
              <w:t>）浓度（µg/m</w:t>
            </w:r>
            <w:r>
              <w:rPr>
                <w:sz w:val="24"/>
                <w:szCs w:val="24"/>
                <w:vertAlign w:val="superscript"/>
              </w:rPr>
              <w:t>3</w:t>
            </w:r>
            <w:r>
              <w:rPr>
                <w:sz w:val="24"/>
                <w:szCs w:val="24"/>
              </w:rPr>
              <w:t>）</w:t>
            </w:r>
          </w:p>
        </w:tc>
        <w:tc>
          <w:tcPr>
            <w:tcW w:w="1487" w:type="dxa"/>
            <w:vAlign w:val="center"/>
          </w:tcPr>
          <w:p>
            <w:pPr>
              <w:ind w:firstLine="0" w:firstLineChars="0"/>
              <w:jc w:val="center"/>
              <w:rPr>
                <w:sz w:val="24"/>
                <w:szCs w:val="24"/>
              </w:rPr>
            </w:pPr>
            <w:r>
              <w:rPr>
                <w:sz w:val="24"/>
                <w:szCs w:val="24"/>
              </w:rPr>
              <w:t>≤38</w:t>
            </w:r>
          </w:p>
        </w:tc>
        <w:tc>
          <w:tcPr>
            <w:tcW w:w="1435" w:type="dxa"/>
            <w:vAlign w:val="center"/>
          </w:tcPr>
          <w:p>
            <w:pPr>
              <w:ind w:firstLine="0" w:firstLineChars="0"/>
              <w:jc w:val="center"/>
              <w:rPr>
                <w:sz w:val="24"/>
                <w:szCs w:val="24"/>
              </w:rPr>
            </w:pPr>
            <w:r>
              <w:rPr>
                <w:rFonts w:hint="eastAsia"/>
                <w:sz w:val="24"/>
                <w:szCs w:val="24"/>
              </w:rPr>
              <w:t>26.4</w:t>
            </w:r>
          </w:p>
        </w:tc>
        <w:tc>
          <w:tcPr>
            <w:tcW w:w="872" w:type="dxa"/>
            <w:vAlign w:val="center"/>
          </w:tcPr>
          <w:p>
            <w:pPr>
              <w:ind w:firstLine="0" w:firstLineChars="0"/>
              <w:jc w:val="center"/>
              <w:rPr>
                <w:sz w:val="24"/>
                <w:szCs w:val="24"/>
              </w:rPr>
            </w:pPr>
            <w:r>
              <w:rPr>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continue"/>
            <w:vAlign w:val="center"/>
          </w:tcPr>
          <w:p>
            <w:pPr>
              <w:ind w:firstLine="0" w:firstLineChars="0"/>
              <w:jc w:val="center"/>
              <w:rPr>
                <w:sz w:val="24"/>
                <w:szCs w:val="24"/>
              </w:rPr>
            </w:pPr>
          </w:p>
        </w:tc>
        <w:tc>
          <w:tcPr>
            <w:tcW w:w="630" w:type="dxa"/>
            <w:vAlign w:val="center"/>
          </w:tcPr>
          <w:p>
            <w:pPr>
              <w:ind w:firstLine="0" w:firstLineChars="0"/>
              <w:jc w:val="center"/>
              <w:rPr>
                <w:sz w:val="24"/>
                <w:szCs w:val="24"/>
              </w:rPr>
            </w:pPr>
            <w:r>
              <w:rPr>
                <w:sz w:val="24"/>
                <w:szCs w:val="24"/>
              </w:rPr>
              <w:t>5</w:t>
            </w:r>
          </w:p>
        </w:tc>
        <w:tc>
          <w:tcPr>
            <w:tcW w:w="3225" w:type="dxa"/>
            <w:vAlign w:val="center"/>
          </w:tcPr>
          <w:p>
            <w:pPr>
              <w:ind w:firstLine="0" w:firstLineChars="0"/>
              <w:jc w:val="center"/>
              <w:rPr>
                <w:sz w:val="24"/>
                <w:szCs w:val="24"/>
              </w:rPr>
            </w:pPr>
            <w:r>
              <w:rPr>
                <w:sz w:val="24"/>
                <w:szCs w:val="24"/>
              </w:rPr>
              <w:t>景区日空气质量达标天数比例（%）</w:t>
            </w:r>
          </w:p>
        </w:tc>
        <w:tc>
          <w:tcPr>
            <w:tcW w:w="1487" w:type="dxa"/>
            <w:vAlign w:val="center"/>
          </w:tcPr>
          <w:p>
            <w:pPr>
              <w:ind w:firstLine="0" w:firstLineChars="0"/>
              <w:jc w:val="center"/>
              <w:rPr>
                <w:sz w:val="24"/>
                <w:szCs w:val="24"/>
              </w:rPr>
            </w:pPr>
            <w:r>
              <w:rPr>
                <w:sz w:val="24"/>
                <w:szCs w:val="24"/>
              </w:rPr>
              <w:t>76.7</w:t>
            </w:r>
          </w:p>
        </w:tc>
        <w:tc>
          <w:tcPr>
            <w:tcW w:w="1435" w:type="dxa"/>
            <w:vAlign w:val="center"/>
          </w:tcPr>
          <w:p>
            <w:pPr>
              <w:ind w:firstLine="0" w:firstLineChars="0"/>
              <w:jc w:val="center"/>
              <w:rPr>
                <w:sz w:val="24"/>
                <w:szCs w:val="24"/>
              </w:rPr>
            </w:pPr>
            <w:r>
              <w:rPr>
                <w:rFonts w:hint="eastAsia"/>
                <w:sz w:val="24"/>
                <w:szCs w:val="24"/>
              </w:rPr>
              <w:t>91.4</w:t>
            </w:r>
          </w:p>
        </w:tc>
        <w:tc>
          <w:tcPr>
            <w:tcW w:w="872" w:type="dxa"/>
            <w:vAlign w:val="center"/>
          </w:tcPr>
          <w:p>
            <w:pPr>
              <w:ind w:firstLine="0" w:firstLineChars="0"/>
              <w:jc w:val="center"/>
              <w:rPr>
                <w:sz w:val="24"/>
                <w:szCs w:val="24"/>
              </w:rPr>
            </w:pPr>
            <w:r>
              <w:rPr>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pPr>
              <w:ind w:firstLine="0" w:firstLineChars="0"/>
              <w:jc w:val="center"/>
              <w:rPr>
                <w:sz w:val="24"/>
                <w:szCs w:val="24"/>
              </w:rPr>
            </w:pPr>
            <w:r>
              <w:rPr>
                <w:sz w:val="24"/>
                <w:szCs w:val="24"/>
              </w:rPr>
              <w:t>土壤环境</w:t>
            </w:r>
          </w:p>
        </w:tc>
        <w:tc>
          <w:tcPr>
            <w:tcW w:w="630" w:type="dxa"/>
            <w:vAlign w:val="center"/>
          </w:tcPr>
          <w:p>
            <w:pPr>
              <w:ind w:firstLine="0" w:firstLineChars="0"/>
              <w:jc w:val="center"/>
              <w:rPr>
                <w:sz w:val="24"/>
                <w:szCs w:val="24"/>
              </w:rPr>
            </w:pPr>
            <w:r>
              <w:rPr>
                <w:sz w:val="24"/>
                <w:szCs w:val="24"/>
              </w:rPr>
              <w:t>6</w:t>
            </w:r>
          </w:p>
        </w:tc>
        <w:tc>
          <w:tcPr>
            <w:tcW w:w="3225" w:type="dxa"/>
            <w:vAlign w:val="center"/>
          </w:tcPr>
          <w:p>
            <w:pPr>
              <w:ind w:firstLine="0" w:firstLineChars="0"/>
              <w:jc w:val="center"/>
              <w:rPr>
                <w:sz w:val="24"/>
                <w:szCs w:val="24"/>
              </w:rPr>
            </w:pPr>
            <w:r>
              <w:rPr>
                <w:sz w:val="24"/>
                <w:szCs w:val="24"/>
              </w:rPr>
              <w:t>农用地土壤环境质量达标率（%）</w:t>
            </w:r>
          </w:p>
        </w:tc>
        <w:tc>
          <w:tcPr>
            <w:tcW w:w="1487" w:type="dxa"/>
            <w:vAlign w:val="center"/>
          </w:tcPr>
          <w:p>
            <w:pPr>
              <w:ind w:firstLine="0" w:firstLineChars="0"/>
              <w:jc w:val="center"/>
              <w:rPr>
                <w:sz w:val="24"/>
                <w:szCs w:val="24"/>
              </w:rPr>
            </w:pPr>
            <w:r>
              <w:rPr>
                <w:sz w:val="24"/>
                <w:szCs w:val="24"/>
              </w:rPr>
              <w:t>根据调查结果保持现状</w:t>
            </w:r>
            <w:r>
              <w:rPr>
                <w:rFonts w:hint="eastAsia"/>
                <w:sz w:val="24"/>
                <w:szCs w:val="24"/>
              </w:rPr>
              <w:t>并</w:t>
            </w:r>
            <w:r>
              <w:rPr>
                <w:sz w:val="24"/>
                <w:szCs w:val="24"/>
              </w:rPr>
              <w:t>略有提升</w:t>
            </w:r>
          </w:p>
        </w:tc>
        <w:tc>
          <w:tcPr>
            <w:tcW w:w="1435" w:type="dxa"/>
            <w:vAlign w:val="center"/>
          </w:tcPr>
          <w:p>
            <w:pPr>
              <w:ind w:firstLine="0" w:firstLineChars="0"/>
              <w:jc w:val="center"/>
              <w:rPr>
                <w:sz w:val="24"/>
                <w:szCs w:val="24"/>
              </w:rPr>
            </w:pPr>
            <w:r>
              <w:rPr>
                <w:sz w:val="24"/>
                <w:szCs w:val="24"/>
              </w:rPr>
              <w:t>保持现状</w:t>
            </w:r>
            <w:r>
              <w:rPr>
                <w:rFonts w:hint="eastAsia"/>
                <w:sz w:val="24"/>
                <w:szCs w:val="24"/>
              </w:rPr>
              <w:t>并</w:t>
            </w:r>
            <w:r>
              <w:rPr>
                <w:sz w:val="24"/>
                <w:szCs w:val="24"/>
              </w:rPr>
              <w:t>略有提升</w:t>
            </w:r>
          </w:p>
        </w:tc>
        <w:tc>
          <w:tcPr>
            <w:tcW w:w="872" w:type="dxa"/>
            <w:vAlign w:val="center"/>
          </w:tcPr>
          <w:p>
            <w:pPr>
              <w:ind w:firstLine="0" w:firstLineChars="0"/>
              <w:jc w:val="center"/>
              <w:rPr>
                <w:sz w:val="24"/>
                <w:szCs w:val="24"/>
              </w:rPr>
            </w:pPr>
            <w:r>
              <w:rPr>
                <w:rFonts w:hint="eastAsia"/>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restart"/>
            <w:vAlign w:val="center"/>
          </w:tcPr>
          <w:p>
            <w:pPr>
              <w:ind w:firstLine="0" w:firstLineChars="0"/>
              <w:jc w:val="center"/>
              <w:rPr>
                <w:sz w:val="24"/>
                <w:szCs w:val="24"/>
              </w:rPr>
            </w:pPr>
            <w:r>
              <w:rPr>
                <w:sz w:val="24"/>
                <w:szCs w:val="24"/>
              </w:rPr>
              <w:t>环境管理</w:t>
            </w:r>
          </w:p>
        </w:tc>
        <w:tc>
          <w:tcPr>
            <w:tcW w:w="630" w:type="dxa"/>
            <w:vAlign w:val="center"/>
          </w:tcPr>
          <w:p>
            <w:pPr>
              <w:ind w:firstLine="0" w:firstLineChars="0"/>
              <w:jc w:val="center"/>
              <w:rPr>
                <w:sz w:val="24"/>
                <w:szCs w:val="24"/>
              </w:rPr>
            </w:pPr>
            <w:r>
              <w:rPr>
                <w:sz w:val="24"/>
                <w:szCs w:val="24"/>
              </w:rPr>
              <w:t>7</w:t>
            </w:r>
          </w:p>
        </w:tc>
        <w:tc>
          <w:tcPr>
            <w:tcW w:w="3225" w:type="dxa"/>
            <w:vAlign w:val="center"/>
          </w:tcPr>
          <w:p>
            <w:pPr>
              <w:ind w:firstLine="0" w:firstLineChars="0"/>
              <w:jc w:val="center"/>
              <w:rPr>
                <w:sz w:val="24"/>
                <w:szCs w:val="24"/>
              </w:rPr>
            </w:pPr>
            <w:r>
              <w:rPr>
                <w:sz w:val="24"/>
                <w:szCs w:val="24"/>
              </w:rPr>
              <w:t>城市生活垃圾分类准确率（%）</w:t>
            </w:r>
          </w:p>
        </w:tc>
        <w:tc>
          <w:tcPr>
            <w:tcW w:w="1487" w:type="dxa"/>
            <w:vAlign w:val="center"/>
          </w:tcPr>
          <w:p>
            <w:pPr>
              <w:ind w:firstLine="0" w:firstLineChars="0"/>
              <w:jc w:val="center"/>
              <w:rPr>
                <w:sz w:val="24"/>
                <w:szCs w:val="24"/>
              </w:rPr>
            </w:pPr>
            <w:r>
              <w:rPr>
                <w:sz w:val="24"/>
                <w:szCs w:val="24"/>
              </w:rPr>
              <w:t>80</w:t>
            </w:r>
          </w:p>
        </w:tc>
        <w:tc>
          <w:tcPr>
            <w:tcW w:w="1435" w:type="dxa"/>
            <w:vAlign w:val="center"/>
          </w:tcPr>
          <w:p>
            <w:pPr>
              <w:ind w:firstLine="0" w:firstLineChars="0"/>
              <w:jc w:val="center"/>
              <w:rPr>
                <w:sz w:val="24"/>
                <w:szCs w:val="24"/>
              </w:rPr>
            </w:pPr>
            <w:r>
              <w:rPr>
                <w:rFonts w:hint="eastAsia"/>
                <w:sz w:val="24"/>
                <w:szCs w:val="24"/>
              </w:rPr>
              <w:t>100</w:t>
            </w:r>
          </w:p>
        </w:tc>
        <w:tc>
          <w:tcPr>
            <w:tcW w:w="872" w:type="dxa"/>
            <w:vAlign w:val="center"/>
          </w:tcPr>
          <w:p>
            <w:pPr>
              <w:ind w:firstLine="0" w:firstLineChars="0"/>
              <w:jc w:val="center"/>
              <w:rPr>
                <w:sz w:val="24"/>
                <w:szCs w:val="24"/>
              </w:rPr>
            </w:pPr>
            <w:r>
              <w:rPr>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continue"/>
            <w:vAlign w:val="center"/>
          </w:tcPr>
          <w:p>
            <w:pPr>
              <w:ind w:firstLine="0" w:firstLineChars="0"/>
              <w:jc w:val="center"/>
              <w:rPr>
                <w:sz w:val="24"/>
                <w:szCs w:val="24"/>
              </w:rPr>
            </w:pPr>
          </w:p>
        </w:tc>
        <w:tc>
          <w:tcPr>
            <w:tcW w:w="630" w:type="dxa"/>
            <w:vAlign w:val="center"/>
          </w:tcPr>
          <w:p>
            <w:pPr>
              <w:ind w:firstLine="0" w:firstLineChars="0"/>
              <w:jc w:val="center"/>
              <w:rPr>
                <w:sz w:val="24"/>
                <w:szCs w:val="24"/>
              </w:rPr>
            </w:pPr>
            <w:r>
              <w:rPr>
                <w:sz w:val="24"/>
                <w:szCs w:val="24"/>
              </w:rPr>
              <w:t>8</w:t>
            </w:r>
          </w:p>
        </w:tc>
        <w:tc>
          <w:tcPr>
            <w:tcW w:w="3225" w:type="dxa"/>
            <w:vAlign w:val="center"/>
          </w:tcPr>
          <w:p>
            <w:pPr>
              <w:ind w:firstLine="0" w:firstLineChars="0"/>
              <w:jc w:val="center"/>
              <w:rPr>
                <w:sz w:val="24"/>
                <w:szCs w:val="24"/>
              </w:rPr>
            </w:pPr>
            <w:r>
              <w:rPr>
                <w:sz w:val="24"/>
                <w:szCs w:val="24"/>
              </w:rPr>
              <w:t>公众满意率</w:t>
            </w:r>
          </w:p>
        </w:tc>
        <w:tc>
          <w:tcPr>
            <w:tcW w:w="1487" w:type="dxa"/>
            <w:vAlign w:val="center"/>
          </w:tcPr>
          <w:p>
            <w:pPr>
              <w:ind w:firstLine="0" w:firstLineChars="0"/>
              <w:jc w:val="center"/>
              <w:rPr>
                <w:sz w:val="24"/>
                <w:szCs w:val="24"/>
              </w:rPr>
            </w:pPr>
            <w:r>
              <w:rPr>
                <w:sz w:val="24"/>
                <w:szCs w:val="24"/>
              </w:rPr>
              <w:t>逐年提高</w:t>
            </w:r>
          </w:p>
        </w:tc>
        <w:tc>
          <w:tcPr>
            <w:tcW w:w="1435" w:type="dxa"/>
            <w:vAlign w:val="center"/>
          </w:tcPr>
          <w:p>
            <w:pPr>
              <w:ind w:firstLine="0" w:firstLineChars="0"/>
              <w:jc w:val="center"/>
              <w:rPr>
                <w:sz w:val="24"/>
                <w:szCs w:val="24"/>
              </w:rPr>
            </w:pPr>
            <w:r>
              <w:rPr>
                <w:sz w:val="24"/>
                <w:szCs w:val="24"/>
              </w:rPr>
              <w:t>88.28</w:t>
            </w:r>
          </w:p>
        </w:tc>
        <w:tc>
          <w:tcPr>
            <w:tcW w:w="872" w:type="dxa"/>
            <w:vAlign w:val="center"/>
          </w:tcPr>
          <w:p>
            <w:pPr>
              <w:ind w:firstLine="0" w:firstLineChars="0"/>
              <w:jc w:val="center"/>
              <w:rPr>
                <w:sz w:val="24"/>
                <w:szCs w:val="24"/>
              </w:rPr>
            </w:pPr>
            <w:r>
              <w:rPr>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restart"/>
            <w:vAlign w:val="center"/>
          </w:tcPr>
          <w:p>
            <w:pPr>
              <w:ind w:firstLine="0" w:firstLineChars="0"/>
              <w:jc w:val="center"/>
              <w:rPr>
                <w:sz w:val="24"/>
                <w:szCs w:val="24"/>
              </w:rPr>
            </w:pPr>
            <w:r>
              <w:rPr>
                <w:sz w:val="24"/>
                <w:szCs w:val="24"/>
              </w:rPr>
              <w:t>生态文明</w:t>
            </w:r>
          </w:p>
        </w:tc>
        <w:tc>
          <w:tcPr>
            <w:tcW w:w="630" w:type="dxa"/>
            <w:vAlign w:val="center"/>
          </w:tcPr>
          <w:p>
            <w:pPr>
              <w:ind w:firstLine="0" w:firstLineChars="0"/>
              <w:jc w:val="center"/>
              <w:rPr>
                <w:sz w:val="24"/>
                <w:szCs w:val="24"/>
              </w:rPr>
            </w:pPr>
            <w:r>
              <w:rPr>
                <w:sz w:val="24"/>
                <w:szCs w:val="24"/>
              </w:rPr>
              <w:t>9</w:t>
            </w:r>
          </w:p>
        </w:tc>
        <w:tc>
          <w:tcPr>
            <w:tcW w:w="3225" w:type="dxa"/>
            <w:vAlign w:val="center"/>
          </w:tcPr>
          <w:p>
            <w:pPr>
              <w:ind w:firstLine="0" w:firstLineChars="0"/>
              <w:jc w:val="center"/>
              <w:rPr>
                <w:sz w:val="24"/>
                <w:szCs w:val="24"/>
              </w:rPr>
            </w:pPr>
            <w:r>
              <w:rPr>
                <w:sz w:val="24"/>
                <w:szCs w:val="24"/>
              </w:rPr>
              <w:t>生态保护红线</w:t>
            </w:r>
          </w:p>
        </w:tc>
        <w:tc>
          <w:tcPr>
            <w:tcW w:w="1487" w:type="dxa"/>
            <w:vAlign w:val="center"/>
          </w:tcPr>
          <w:p>
            <w:pPr>
              <w:ind w:firstLine="0" w:firstLineChars="0"/>
              <w:jc w:val="center"/>
              <w:rPr>
                <w:sz w:val="24"/>
                <w:szCs w:val="24"/>
              </w:rPr>
            </w:pPr>
            <w:r>
              <w:rPr>
                <w:sz w:val="24"/>
                <w:szCs w:val="24"/>
              </w:rPr>
              <w:t>严守</w:t>
            </w:r>
          </w:p>
        </w:tc>
        <w:tc>
          <w:tcPr>
            <w:tcW w:w="1435" w:type="dxa"/>
            <w:vAlign w:val="center"/>
          </w:tcPr>
          <w:p>
            <w:pPr>
              <w:ind w:firstLine="0" w:firstLineChars="0"/>
              <w:jc w:val="center"/>
              <w:rPr>
                <w:sz w:val="24"/>
                <w:szCs w:val="24"/>
              </w:rPr>
            </w:pPr>
            <w:r>
              <w:rPr>
                <w:rFonts w:hint="eastAsia"/>
                <w:sz w:val="24"/>
                <w:szCs w:val="24"/>
              </w:rPr>
              <w:t>严守</w:t>
            </w:r>
          </w:p>
        </w:tc>
        <w:tc>
          <w:tcPr>
            <w:tcW w:w="872" w:type="dxa"/>
            <w:vAlign w:val="center"/>
          </w:tcPr>
          <w:p>
            <w:pPr>
              <w:ind w:firstLine="0" w:firstLineChars="0"/>
              <w:jc w:val="center"/>
              <w:rPr>
                <w:sz w:val="24"/>
                <w:szCs w:val="24"/>
              </w:rPr>
            </w:pPr>
            <w:r>
              <w:rPr>
                <w:rFonts w:hint="eastAsia"/>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continue"/>
            <w:vAlign w:val="center"/>
          </w:tcPr>
          <w:p>
            <w:pPr>
              <w:ind w:firstLine="0" w:firstLineChars="0"/>
              <w:jc w:val="center"/>
              <w:rPr>
                <w:sz w:val="24"/>
                <w:szCs w:val="24"/>
              </w:rPr>
            </w:pPr>
          </w:p>
        </w:tc>
        <w:tc>
          <w:tcPr>
            <w:tcW w:w="630" w:type="dxa"/>
            <w:vAlign w:val="center"/>
          </w:tcPr>
          <w:p>
            <w:pPr>
              <w:ind w:firstLine="0" w:firstLineChars="0"/>
              <w:jc w:val="center"/>
              <w:rPr>
                <w:sz w:val="24"/>
                <w:szCs w:val="24"/>
              </w:rPr>
            </w:pPr>
            <w:r>
              <w:rPr>
                <w:sz w:val="24"/>
                <w:szCs w:val="24"/>
              </w:rPr>
              <w:t>10</w:t>
            </w:r>
          </w:p>
        </w:tc>
        <w:tc>
          <w:tcPr>
            <w:tcW w:w="3225" w:type="dxa"/>
            <w:vAlign w:val="center"/>
          </w:tcPr>
          <w:p>
            <w:pPr>
              <w:ind w:firstLine="0" w:firstLineChars="0"/>
              <w:jc w:val="center"/>
              <w:rPr>
                <w:sz w:val="24"/>
                <w:szCs w:val="24"/>
              </w:rPr>
            </w:pPr>
            <w:r>
              <w:rPr>
                <w:sz w:val="24"/>
                <w:szCs w:val="24"/>
              </w:rPr>
              <w:t>重特大突发环境事件</w:t>
            </w:r>
          </w:p>
        </w:tc>
        <w:tc>
          <w:tcPr>
            <w:tcW w:w="1487" w:type="dxa"/>
            <w:vAlign w:val="center"/>
          </w:tcPr>
          <w:p>
            <w:pPr>
              <w:ind w:firstLine="0" w:firstLineChars="0"/>
              <w:jc w:val="center"/>
              <w:rPr>
                <w:sz w:val="24"/>
                <w:szCs w:val="24"/>
              </w:rPr>
            </w:pPr>
            <w:r>
              <w:rPr>
                <w:sz w:val="24"/>
                <w:szCs w:val="24"/>
              </w:rPr>
              <w:t>未发生</w:t>
            </w:r>
          </w:p>
        </w:tc>
        <w:tc>
          <w:tcPr>
            <w:tcW w:w="1435" w:type="dxa"/>
            <w:vAlign w:val="center"/>
          </w:tcPr>
          <w:p>
            <w:pPr>
              <w:ind w:firstLine="0" w:firstLineChars="0"/>
              <w:jc w:val="center"/>
              <w:rPr>
                <w:sz w:val="24"/>
                <w:szCs w:val="24"/>
              </w:rPr>
            </w:pPr>
            <w:r>
              <w:rPr>
                <w:sz w:val="24"/>
                <w:szCs w:val="24"/>
              </w:rPr>
              <w:t>未发生</w:t>
            </w:r>
          </w:p>
        </w:tc>
        <w:tc>
          <w:tcPr>
            <w:tcW w:w="872" w:type="dxa"/>
            <w:vAlign w:val="center"/>
          </w:tcPr>
          <w:p>
            <w:pPr>
              <w:ind w:firstLine="0" w:firstLineChars="0"/>
              <w:jc w:val="center"/>
              <w:rPr>
                <w:sz w:val="24"/>
                <w:szCs w:val="24"/>
              </w:rPr>
            </w:pPr>
            <w:r>
              <w:rPr>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continue"/>
            <w:vAlign w:val="center"/>
          </w:tcPr>
          <w:p>
            <w:pPr>
              <w:ind w:firstLine="0" w:firstLineChars="0"/>
              <w:jc w:val="center"/>
              <w:rPr>
                <w:sz w:val="24"/>
                <w:szCs w:val="24"/>
              </w:rPr>
            </w:pPr>
          </w:p>
        </w:tc>
        <w:tc>
          <w:tcPr>
            <w:tcW w:w="630" w:type="dxa"/>
            <w:vAlign w:val="center"/>
          </w:tcPr>
          <w:p>
            <w:pPr>
              <w:ind w:firstLine="0" w:firstLineChars="0"/>
              <w:jc w:val="center"/>
              <w:rPr>
                <w:sz w:val="24"/>
                <w:szCs w:val="24"/>
              </w:rPr>
            </w:pPr>
            <w:r>
              <w:rPr>
                <w:sz w:val="24"/>
                <w:szCs w:val="24"/>
              </w:rPr>
              <w:t>11</w:t>
            </w:r>
          </w:p>
        </w:tc>
        <w:tc>
          <w:tcPr>
            <w:tcW w:w="3225" w:type="dxa"/>
            <w:vAlign w:val="center"/>
          </w:tcPr>
          <w:p>
            <w:pPr>
              <w:ind w:firstLine="0" w:firstLineChars="0"/>
              <w:jc w:val="center"/>
              <w:rPr>
                <w:sz w:val="24"/>
                <w:szCs w:val="24"/>
              </w:rPr>
            </w:pPr>
            <w:r>
              <w:rPr>
                <w:sz w:val="24"/>
                <w:szCs w:val="24"/>
              </w:rPr>
              <w:t>管委会绿色采购比例（%）</w:t>
            </w:r>
          </w:p>
        </w:tc>
        <w:tc>
          <w:tcPr>
            <w:tcW w:w="1487" w:type="dxa"/>
            <w:vAlign w:val="center"/>
          </w:tcPr>
          <w:p>
            <w:pPr>
              <w:ind w:firstLine="0" w:firstLineChars="0"/>
              <w:jc w:val="center"/>
              <w:rPr>
                <w:sz w:val="24"/>
                <w:szCs w:val="24"/>
              </w:rPr>
            </w:pPr>
            <w:r>
              <w:rPr>
                <w:sz w:val="24"/>
                <w:szCs w:val="24"/>
              </w:rPr>
              <w:t>＞80</w:t>
            </w:r>
          </w:p>
        </w:tc>
        <w:tc>
          <w:tcPr>
            <w:tcW w:w="1435" w:type="dxa"/>
            <w:vAlign w:val="center"/>
          </w:tcPr>
          <w:p>
            <w:pPr>
              <w:ind w:firstLine="0" w:firstLineChars="0"/>
              <w:jc w:val="center"/>
              <w:rPr>
                <w:sz w:val="24"/>
                <w:szCs w:val="24"/>
              </w:rPr>
            </w:pPr>
            <w:r>
              <w:rPr>
                <w:sz w:val="24"/>
                <w:szCs w:val="24"/>
              </w:rPr>
              <w:t>＞80</w:t>
            </w:r>
          </w:p>
        </w:tc>
        <w:tc>
          <w:tcPr>
            <w:tcW w:w="872" w:type="dxa"/>
            <w:vAlign w:val="center"/>
          </w:tcPr>
          <w:p>
            <w:pPr>
              <w:ind w:firstLine="0" w:firstLineChars="0"/>
              <w:jc w:val="center"/>
              <w:rPr>
                <w:sz w:val="24"/>
                <w:szCs w:val="24"/>
              </w:rPr>
            </w:pPr>
            <w:r>
              <w:rPr>
                <w:rFonts w:hint="eastAsia"/>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continue"/>
            <w:vAlign w:val="center"/>
          </w:tcPr>
          <w:p>
            <w:pPr>
              <w:ind w:firstLine="0" w:firstLineChars="0"/>
              <w:jc w:val="center"/>
              <w:rPr>
                <w:sz w:val="24"/>
                <w:szCs w:val="24"/>
              </w:rPr>
            </w:pPr>
          </w:p>
        </w:tc>
        <w:tc>
          <w:tcPr>
            <w:tcW w:w="630" w:type="dxa"/>
            <w:vAlign w:val="center"/>
          </w:tcPr>
          <w:p>
            <w:pPr>
              <w:ind w:firstLine="0" w:firstLineChars="0"/>
              <w:jc w:val="center"/>
              <w:rPr>
                <w:sz w:val="24"/>
                <w:szCs w:val="24"/>
              </w:rPr>
            </w:pPr>
            <w:r>
              <w:rPr>
                <w:sz w:val="24"/>
                <w:szCs w:val="24"/>
              </w:rPr>
              <w:t>12</w:t>
            </w:r>
          </w:p>
        </w:tc>
        <w:tc>
          <w:tcPr>
            <w:tcW w:w="3225" w:type="dxa"/>
            <w:vAlign w:val="center"/>
          </w:tcPr>
          <w:p>
            <w:pPr>
              <w:ind w:firstLine="0" w:firstLineChars="0"/>
              <w:jc w:val="center"/>
              <w:rPr>
                <w:sz w:val="24"/>
                <w:szCs w:val="24"/>
              </w:rPr>
            </w:pPr>
            <w:r>
              <w:rPr>
                <w:sz w:val="24"/>
                <w:szCs w:val="24"/>
              </w:rPr>
              <w:t>生态文明建设规划</w:t>
            </w:r>
          </w:p>
        </w:tc>
        <w:tc>
          <w:tcPr>
            <w:tcW w:w="1487" w:type="dxa"/>
            <w:vAlign w:val="center"/>
          </w:tcPr>
          <w:p>
            <w:pPr>
              <w:ind w:firstLine="0" w:firstLineChars="0"/>
              <w:jc w:val="center"/>
              <w:rPr>
                <w:sz w:val="24"/>
                <w:szCs w:val="24"/>
              </w:rPr>
            </w:pPr>
            <w:r>
              <w:rPr>
                <w:sz w:val="24"/>
                <w:szCs w:val="24"/>
              </w:rPr>
              <w:t>制定并实施</w:t>
            </w:r>
          </w:p>
        </w:tc>
        <w:tc>
          <w:tcPr>
            <w:tcW w:w="1435" w:type="dxa"/>
            <w:vAlign w:val="center"/>
          </w:tcPr>
          <w:p>
            <w:pPr>
              <w:ind w:firstLine="0" w:firstLineChars="0"/>
              <w:jc w:val="center"/>
              <w:rPr>
                <w:sz w:val="24"/>
                <w:szCs w:val="24"/>
              </w:rPr>
            </w:pPr>
            <w:r>
              <w:rPr>
                <w:sz w:val="24"/>
                <w:szCs w:val="24"/>
              </w:rPr>
              <w:t>制定并实施</w:t>
            </w:r>
          </w:p>
        </w:tc>
        <w:tc>
          <w:tcPr>
            <w:tcW w:w="872" w:type="dxa"/>
            <w:vAlign w:val="center"/>
          </w:tcPr>
          <w:p>
            <w:pPr>
              <w:ind w:firstLine="0" w:firstLineChars="0"/>
              <w:jc w:val="center"/>
              <w:rPr>
                <w:sz w:val="24"/>
                <w:szCs w:val="24"/>
              </w:rPr>
            </w:pPr>
            <w:r>
              <w:rPr>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continue"/>
            <w:vAlign w:val="center"/>
          </w:tcPr>
          <w:p>
            <w:pPr>
              <w:ind w:firstLine="0" w:firstLineChars="0"/>
              <w:jc w:val="center"/>
              <w:rPr>
                <w:sz w:val="24"/>
                <w:szCs w:val="24"/>
              </w:rPr>
            </w:pPr>
          </w:p>
        </w:tc>
        <w:tc>
          <w:tcPr>
            <w:tcW w:w="630" w:type="dxa"/>
            <w:vAlign w:val="center"/>
          </w:tcPr>
          <w:p>
            <w:pPr>
              <w:ind w:firstLine="0" w:firstLineChars="0"/>
              <w:jc w:val="center"/>
              <w:rPr>
                <w:sz w:val="24"/>
                <w:szCs w:val="24"/>
              </w:rPr>
            </w:pPr>
            <w:r>
              <w:rPr>
                <w:sz w:val="24"/>
                <w:szCs w:val="24"/>
              </w:rPr>
              <w:t>13</w:t>
            </w:r>
          </w:p>
        </w:tc>
        <w:tc>
          <w:tcPr>
            <w:tcW w:w="3225" w:type="dxa"/>
            <w:vAlign w:val="center"/>
          </w:tcPr>
          <w:p>
            <w:pPr>
              <w:ind w:firstLine="0" w:firstLineChars="0"/>
              <w:jc w:val="center"/>
              <w:rPr>
                <w:sz w:val="24"/>
                <w:szCs w:val="24"/>
              </w:rPr>
            </w:pPr>
            <w:r>
              <w:rPr>
                <w:sz w:val="24"/>
                <w:szCs w:val="24"/>
              </w:rPr>
              <w:t>生态文明建设工作占党政实绩考核的比例</w:t>
            </w:r>
          </w:p>
        </w:tc>
        <w:tc>
          <w:tcPr>
            <w:tcW w:w="1487" w:type="dxa"/>
            <w:vAlign w:val="center"/>
          </w:tcPr>
          <w:p>
            <w:pPr>
              <w:ind w:firstLine="0" w:firstLineChars="0"/>
              <w:jc w:val="center"/>
              <w:rPr>
                <w:sz w:val="24"/>
                <w:szCs w:val="24"/>
              </w:rPr>
            </w:pPr>
            <w:r>
              <w:rPr>
                <w:sz w:val="24"/>
                <w:szCs w:val="24"/>
              </w:rPr>
              <w:t>≥20</w:t>
            </w:r>
          </w:p>
        </w:tc>
        <w:tc>
          <w:tcPr>
            <w:tcW w:w="1435" w:type="dxa"/>
            <w:vAlign w:val="center"/>
          </w:tcPr>
          <w:p>
            <w:pPr>
              <w:ind w:firstLine="0" w:firstLineChars="0"/>
              <w:jc w:val="center"/>
              <w:rPr>
                <w:sz w:val="24"/>
                <w:szCs w:val="24"/>
              </w:rPr>
            </w:pPr>
            <w:r>
              <w:rPr>
                <w:sz w:val="24"/>
                <w:szCs w:val="24"/>
              </w:rPr>
              <w:t>≥20</w:t>
            </w:r>
          </w:p>
        </w:tc>
        <w:tc>
          <w:tcPr>
            <w:tcW w:w="872" w:type="dxa"/>
            <w:vAlign w:val="center"/>
          </w:tcPr>
          <w:p>
            <w:pPr>
              <w:ind w:firstLine="0" w:firstLineChars="0"/>
              <w:jc w:val="center"/>
              <w:rPr>
                <w:sz w:val="24"/>
                <w:szCs w:val="24"/>
              </w:rPr>
            </w:pPr>
            <w:r>
              <w:rPr>
                <w:rFonts w:hint="eastAsia"/>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continue"/>
            <w:vAlign w:val="center"/>
          </w:tcPr>
          <w:p>
            <w:pPr>
              <w:ind w:firstLine="0" w:firstLineChars="0"/>
              <w:jc w:val="center"/>
              <w:rPr>
                <w:sz w:val="24"/>
                <w:szCs w:val="24"/>
              </w:rPr>
            </w:pPr>
          </w:p>
        </w:tc>
        <w:tc>
          <w:tcPr>
            <w:tcW w:w="630" w:type="dxa"/>
            <w:vAlign w:val="center"/>
          </w:tcPr>
          <w:p>
            <w:pPr>
              <w:ind w:firstLine="0" w:firstLineChars="0"/>
              <w:jc w:val="center"/>
              <w:rPr>
                <w:sz w:val="24"/>
                <w:szCs w:val="24"/>
              </w:rPr>
            </w:pPr>
            <w:r>
              <w:rPr>
                <w:sz w:val="24"/>
                <w:szCs w:val="24"/>
              </w:rPr>
              <w:t>14</w:t>
            </w:r>
          </w:p>
        </w:tc>
        <w:tc>
          <w:tcPr>
            <w:tcW w:w="3225" w:type="dxa"/>
            <w:vAlign w:val="center"/>
          </w:tcPr>
          <w:p>
            <w:pPr>
              <w:ind w:firstLine="0" w:firstLineChars="0"/>
              <w:jc w:val="center"/>
              <w:rPr>
                <w:sz w:val="24"/>
                <w:szCs w:val="24"/>
              </w:rPr>
            </w:pPr>
            <w:r>
              <w:rPr>
                <w:sz w:val="24"/>
                <w:szCs w:val="24"/>
              </w:rPr>
              <w:t>党政领导干部参加生态文明培训的人数比例</w:t>
            </w:r>
          </w:p>
        </w:tc>
        <w:tc>
          <w:tcPr>
            <w:tcW w:w="1487" w:type="dxa"/>
            <w:vAlign w:val="center"/>
          </w:tcPr>
          <w:p>
            <w:pPr>
              <w:ind w:firstLine="0" w:firstLineChars="0"/>
              <w:jc w:val="center"/>
              <w:rPr>
                <w:sz w:val="24"/>
                <w:szCs w:val="24"/>
              </w:rPr>
            </w:pPr>
            <w:r>
              <w:rPr>
                <w:sz w:val="24"/>
                <w:szCs w:val="24"/>
              </w:rPr>
              <w:t>100</w:t>
            </w:r>
          </w:p>
        </w:tc>
        <w:tc>
          <w:tcPr>
            <w:tcW w:w="1435" w:type="dxa"/>
            <w:vAlign w:val="center"/>
          </w:tcPr>
          <w:p>
            <w:pPr>
              <w:ind w:firstLine="0" w:firstLineChars="0"/>
              <w:jc w:val="center"/>
              <w:rPr>
                <w:sz w:val="24"/>
                <w:szCs w:val="24"/>
              </w:rPr>
            </w:pPr>
            <w:r>
              <w:rPr>
                <w:sz w:val="24"/>
                <w:szCs w:val="24"/>
              </w:rPr>
              <w:t>100</w:t>
            </w:r>
          </w:p>
        </w:tc>
        <w:tc>
          <w:tcPr>
            <w:tcW w:w="872" w:type="dxa"/>
            <w:vAlign w:val="center"/>
          </w:tcPr>
          <w:p>
            <w:pPr>
              <w:ind w:firstLine="0" w:firstLineChars="0"/>
              <w:jc w:val="center"/>
              <w:rPr>
                <w:sz w:val="24"/>
                <w:szCs w:val="24"/>
              </w:rPr>
            </w:pPr>
            <w:r>
              <w:rPr>
                <w:rFonts w:hint="eastAsia"/>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continue"/>
            <w:vAlign w:val="center"/>
          </w:tcPr>
          <w:p>
            <w:pPr>
              <w:ind w:firstLine="0" w:firstLineChars="0"/>
              <w:jc w:val="center"/>
              <w:rPr>
                <w:sz w:val="24"/>
                <w:szCs w:val="24"/>
              </w:rPr>
            </w:pPr>
          </w:p>
        </w:tc>
        <w:tc>
          <w:tcPr>
            <w:tcW w:w="630" w:type="dxa"/>
            <w:vAlign w:val="center"/>
          </w:tcPr>
          <w:p>
            <w:pPr>
              <w:ind w:firstLine="0" w:firstLineChars="0"/>
              <w:jc w:val="center"/>
              <w:rPr>
                <w:sz w:val="24"/>
                <w:szCs w:val="24"/>
              </w:rPr>
            </w:pPr>
            <w:r>
              <w:rPr>
                <w:sz w:val="24"/>
                <w:szCs w:val="24"/>
              </w:rPr>
              <w:t>15</w:t>
            </w:r>
          </w:p>
        </w:tc>
        <w:tc>
          <w:tcPr>
            <w:tcW w:w="3225" w:type="dxa"/>
            <w:vAlign w:val="center"/>
          </w:tcPr>
          <w:p>
            <w:pPr>
              <w:ind w:firstLine="0" w:firstLineChars="0"/>
              <w:jc w:val="center"/>
              <w:rPr>
                <w:sz w:val="24"/>
                <w:szCs w:val="24"/>
              </w:rPr>
            </w:pPr>
            <w:r>
              <w:rPr>
                <w:sz w:val="24"/>
                <w:szCs w:val="24"/>
              </w:rPr>
              <w:t>公众对生态文明知识知晓率</w:t>
            </w:r>
          </w:p>
        </w:tc>
        <w:tc>
          <w:tcPr>
            <w:tcW w:w="1487" w:type="dxa"/>
            <w:vAlign w:val="center"/>
          </w:tcPr>
          <w:p>
            <w:pPr>
              <w:ind w:firstLine="0" w:firstLineChars="0"/>
              <w:jc w:val="center"/>
              <w:rPr>
                <w:sz w:val="24"/>
                <w:szCs w:val="24"/>
              </w:rPr>
            </w:pPr>
            <w:r>
              <w:rPr>
                <w:sz w:val="24"/>
                <w:szCs w:val="24"/>
              </w:rPr>
              <w:t>80</w:t>
            </w:r>
          </w:p>
        </w:tc>
        <w:tc>
          <w:tcPr>
            <w:tcW w:w="1435" w:type="dxa"/>
            <w:vAlign w:val="center"/>
          </w:tcPr>
          <w:p>
            <w:pPr>
              <w:ind w:firstLine="0" w:firstLineChars="0"/>
              <w:jc w:val="center"/>
              <w:rPr>
                <w:sz w:val="24"/>
                <w:szCs w:val="24"/>
              </w:rPr>
            </w:pPr>
            <w:r>
              <w:rPr>
                <w:sz w:val="24"/>
                <w:szCs w:val="24"/>
              </w:rPr>
              <w:t>83.</w:t>
            </w:r>
            <w:r>
              <w:rPr>
                <w:rFonts w:hint="eastAsia"/>
                <w:sz w:val="24"/>
                <w:szCs w:val="24"/>
              </w:rPr>
              <w:t>76</w:t>
            </w:r>
          </w:p>
        </w:tc>
        <w:tc>
          <w:tcPr>
            <w:tcW w:w="872" w:type="dxa"/>
            <w:vAlign w:val="center"/>
          </w:tcPr>
          <w:p>
            <w:pPr>
              <w:ind w:firstLine="0" w:firstLineChars="0"/>
              <w:jc w:val="center"/>
              <w:rPr>
                <w:sz w:val="24"/>
                <w:szCs w:val="24"/>
              </w:rPr>
            </w:pPr>
            <w:r>
              <w:rPr>
                <w:sz w:val="24"/>
                <w:szCs w:val="24"/>
              </w:rPr>
              <w:t>完成</w:t>
            </w:r>
          </w:p>
        </w:tc>
      </w:tr>
    </w:tbl>
    <w:p>
      <w:pPr>
        <w:ind w:firstLine="0" w:firstLineChars="0"/>
      </w:pPr>
      <w:r>
        <w:rPr>
          <w:sz w:val="24"/>
          <w:szCs w:val="24"/>
        </w:rPr>
        <w:t>*Ⅲ类指杭州市地表水水质评价采用《地表水环境质量标准》（GB3838-2002）中Ⅲ类水质标准。</w:t>
      </w:r>
    </w:p>
    <w:p>
      <w:pPr>
        <w:pStyle w:val="6"/>
        <w:ind w:firstLine="640"/>
        <w:rPr>
          <w:rFonts w:ascii="楷体_GB2312" w:eastAsia="楷体_GB2312"/>
          <w:b w:val="0"/>
        </w:rPr>
      </w:pPr>
      <w:r>
        <w:rPr>
          <w:rFonts w:hint="eastAsia" w:ascii="楷体_GB2312" w:eastAsia="楷体_GB2312"/>
          <w:b w:val="0"/>
        </w:rPr>
        <w:t>（二）全面提升景区水环境</w:t>
      </w:r>
      <w:bookmarkEnd w:id="52"/>
      <w:bookmarkEnd w:id="53"/>
      <w:bookmarkEnd w:id="54"/>
      <w:bookmarkEnd w:id="55"/>
      <w:bookmarkEnd w:id="56"/>
      <w:bookmarkEnd w:id="57"/>
      <w:bookmarkEnd w:id="58"/>
      <w:bookmarkEnd w:id="59"/>
    </w:p>
    <w:p>
      <w:pPr>
        <w:ind w:firstLine="640"/>
        <w:rPr>
          <w:rFonts w:ascii="仿宋_GB2312"/>
          <w:sz w:val="32"/>
          <w:szCs w:val="32"/>
        </w:rPr>
      </w:pPr>
      <w:r>
        <w:rPr>
          <w:rFonts w:hint="eastAsia" w:ascii="仿宋_GB2312"/>
          <w:bCs/>
          <w:sz w:val="32"/>
          <w:szCs w:val="32"/>
        </w:rPr>
        <w:t>全面贯彻落实“河（湖、溪）长制”。</w:t>
      </w:r>
      <w:r>
        <w:rPr>
          <w:rFonts w:hint="eastAsia" w:ascii="仿宋_GB2312"/>
          <w:sz w:val="32"/>
          <w:szCs w:val="32"/>
        </w:rPr>
        <w:t>建立“区-镇街-村社”层级分明的三级河（湖、溪）长制责任体系，并于2019年实现辖区市级河（湖、溪）长制全覆盖，形成一河一单位统管的模式。2017年西湖景区建立由区（局、委）领导班子成员担任区级“河（湖、溪）长”带头开展巡查的机制，同时不断加强各级河（湖、溪）长对“智慧河道云平台”软件的培训使用，推进新版巡河（湖、溪）系统的应用，保障日常巡河（湖、溪）工作，提高工作成效。</w:t>
      </w:r>
    </w:p>
    <w:p>
      <w:pPr>
        <w:ind w:firstLine="640"/>
        <w:rPr>
          <w:rFonts w:ascii="仿宋_GB2312"/>
          <w:sz w:val="32"/>
          <w:szCs w:val="32"/>
          <w:highlight w:val="yellow"/>
        </w:rPr>
      </w:pPr>
      <w:r>
        <w:rPr>
          <w:rFonts w:hint="eastAsia" w:ascii="仿宋_GB2312"/>
          <w:bCs/>
          <w:sz w:val="32"/>
          <w:szCs w:val="32"/>
        </w:rPr>
        <w:t>加强西湖水环境污染防治。</w:t>
      </w:r>
      <w:r>
        <w:rPr>
          <w:rFonts w:hint="eastAsia" w:ascii="仿宋_GB2312"/>
          <w:sz w:val="32"/>
          <w:szCs w:val="32"/>
        </w:rPr>
        <w:t>通过足量引配水、网格化保洁、全面清淤、水质日常监测等措施，做好西湖水环境保护与提升。实施西湖引水玉皇预处理系统提升完善、西湖引水管道加固维护、西湖引水泵站引水泵提升改造等引配水保障优化工程，圆满完成年引水量1.2亿立方米的要求，确保西湖流场均匀、进出水平衡。落实湖面保洁和湖底淤泥疏浚工作，“十三五”期间，累计打捞湖面垃圾1800多吨，疏浚淤泥2万余方。强化西湖水质日常监测。水域管理处根据不同季节西湖水质特点增加采样监测频次，加密采样点位，对西湖及其流域37个点位、23个水质指标开展常规监测，每年获取各类水质数据逾万。同时，及时编制并提交各类数据报表和水情报告，为协助形成西湖水环境保护管理决策、评估西湖水体保护措施提供基础资料和科学依据。实施一系列以恢复西湖沉水植物为主的生态修复工程，进一步降低西湖水体富营养化水平，提升湖泊生态系统稳定性和生物多样性。目前，西湖“水下森林”种植面积累计达到31.7万平方米。地表水环境持续为优，5个水环境考核断面水质“十三五”期间均达到或优于Ⅲ类，达标率为100%；西湖综合营养状态均为中营养状态，富营养化形势较为稳定。</w:t>
      </w:r>
    </w:p>
    <w:p>
      <w:pPr>
        <w:ind w:firstLine="640"/>
        <w:rPr>
          <w:rFonts w:ascii="仿宋_GB2312"/>
          <w:sz w:val="32"/>
          <w:szCs w:val="32"/>
        </w:rPr>
      </w:pPr>
      <w:r>
        <w:rPr>
          <w:rFonts w:hint="eastAsia" w:ascii="仿宋_GB2312"/>
          <w:bCs/>
          <w:sz w:val="32"/>
          <w:szCs w:val="32"/>
        </w:rPr>
        <w:t>加强城市内河综合整治。</w:t>
      </w:r>
      <w:r>
        <w:rPr>
          <w:rFonts w:hint="eastAsia" w:ascii="仿宋_GB2312"/>
          <w:sz w:val="32"/>
          <w:szCs w:val="32"/>
        </w:rPr>
        <w:t>持续推进“清水治污”专项行动和水环境综合治理，切实提升景区河道、溪流水生态环境质量。加强对景区农家乐、宾馆、饭店等行业的污染治理和监管，有效控制向河道、溪流排污。制定并实施进龙河等河道“一河一策”，对西湖沿线313个排水口</w:t>
      </w:r>
      <w:r>
        <w:rPr>
          <w:rFonts w:hint="eastAsia" w:ascii="仿宋_GB2312" w:hAnsi="仿宋_GB2312" w:cs="仿宋_GB2312"/>
          <w:sz w:val="32"/>
          <w:szCs w:val="32"/>
        </w:rPr>
        <w:t>(含汇水来源)、</w:t>
      </w:r>
      <w:r>
        <w:rPr>
          <w:rFonts w:hint="eastAsia" w:ascii="仿宋_GB2312"/>
          <w:sz w:val="32"/>
          <w:szCs w:val="32"/>
        </w:rPr>
        <w:t>30.247公里排水管线进行调查。持续开展景区内115处小微水体巡查工作，巩固水生态环境，提升水生态修复能力。</w:t>
      </w:r>
    </w:p>
    <w:p>
      <w:pPr>
        <w:ind w:firstLine="640"/>
        <w:rPr>
          <w:rFonts w:ascii="仿宋_GB2312"/>
          <w:sz w:val="32"/>
          <w:szCs w:val="32"/>
        </w:rPr>
      </w:pPr>
      <w:r>
        <w:rPr>
          <w:rFonts w:hint="eastAsia" w:ascii="仿宋_GB2312"/>
          <w:bCs/>
          <w:sz w:val="32"/>
          <w:szCs w:val="32"/>
        </w:rPr>
        <w:t>建成全域“污水零直排区”。</w:t>
      </w:r>
      <w:r>
        <w:rPr>
          <w:rFonts w:hint="eastAsia" w:ascii="仿宋_GB2312"/>
          <w:sz w:val="32"/>
          <w:szCs w:val="32"/>
        </w:rPr>
        <w:t>2018年，景区管委会印发了《杭州西湖风景名胜区“污水零直排区”建设行动方案》（杭西管办〔2018〕123号），制定“一点一方案”并实施整治。方案印发以来，全区累计完成污染源治理项目39个，新增、改造雨水管2441米，新增、改造污水管15103米，建成“污水零直排区”生活小区32个并通过杭州市验收，全面完成西湖街道“污水零直排区”创建。</w:t>
      </w:r>
    </w:p>
    <w:p>
      <w:pPr>
        <w:ind w:firstLineChars="0"/>
        <w:rPr>
          <w:rFonts w:ascii="仿宋_GB2312"/>
          <w:sz w:val="32"/>
          <w:szCs w:val="32"/>
        </w:rPr>
      </w:pPr>
      <w:r>
        <w:rPr>
          <w:rFonts w:hint="eastAsia" w:ascii="仿宋_GB2312"/>
          <w:bCs/>
          <w:sz w:val="32"/>
          <w:szCs w:val="32"/>
        </w:rPr>
        <w:t>着力推进饮用水水源地保护。</w:t>
      </w:r>
      <w:r>
        <w:rPr>
          <w:rFonts w:hint="eastAsia" w:ascii="仿宋_GB2312"/>
          <w:sz w:val="32"/>
          <w:szCs w:val="32"/>
        </w:rPr>
        <w:t>2018年，对辖区内的钱塘江一级饮用水水源保护区范围进行再核定、再确认，进一步规范保护区的界标（桩）和警示标志。制定《名胜区饮用水水源地突发环境污染事件应急预案》，新建改建收集应急池，组织开展多次水源地区域污染事故应急演练。钱江管理处通过强化日常巡查、联合集中整治、常态化整治、加大宣传引导，持续开展钱塘江一级饮用水水源保护区非法垂钓专项整治行动。2020年，共出动工作人员2710余人次，发现非法垂钓450人，教育劝离372人，处置78人，有效控制非法垂钓现象，得到《钱江晚报》、《都市快报》等省、市媒体充分肯定。</w:t>
      </w:r>
    </w:p>
    <w:p>
      <w:pPr>
        <w:pStyle w:val="6"/>
        <w:ind w:firstLine="640"/>
        <w:rPr>
          <w:rFonts w:ascii="楷体_GB2312" w:eastAsia="楷体_GB2312"/>
          <w:b w:val="0"/>
          <w:bCs/>
        </w:rPr>
      </w:pPr>
      <w:bookmarkStart w:id="60" w:name="_Toc10613"/>
      <w:bookmarkStart w:id="61" w:name="_Toc5128"/>
      <w:bookmarkStart w:id="62" w:name="_Toc13540"/>
      <w:bookmarkStart w:id="63" w:name="_Toc32460"/>
      <w:bookmarkStart w:id="64" w:name="_Toc9643"/>
      <w:bookmarkStart w:id="65" w:name="_Toc7317"/>
      <w:bookmarkStart w:id="66" w:name="_Toc31935"/>
      <w:bookmarkStart w:id="67" w:name="_Toc223"/>
      <w:r>
        <w:rPr>
          <w:rFonts w:hint="eastAsia" w:ascii="楷体_GB2312" w:eastAsia="楷体_GB2312"/>
          <w:b w:val="0"/>
          <w:bCs/>
        </w:rPr>
        <w:t>（三）稳步改善大气环境</w:t>
      </w:r>
      <w:bookmarkEnd w:id="60"/>
      <w:bookmarkEnd w:id="61"/>
      <w:bookmarkEnd w:id="62"/>
      <w:bookmarkEnd w:id="63"/>
      <w:bookmarkEnd w:id="64"/>
      <w:bookmarkEnd w:id="65"/>
      <w:bookmarkEnd w:id="66"/>
      <w:bookmarkEnd w:id="67"/>
    </w:p>
    <w:p>
      <w:pPr>
        <w:widowControl/>
        <w:ind w:firstLine="640"/>
        <w:rPr>
          <w:rFonts w:ascii="仿宋_GB2312"/>
          <w:sz w:val="32"/>
          <w:szCs w:val="32"/>
        </w:rPr>
      </w:pPr>
      <w:r>
        <w:rPr>
          <w:rFonts w:hint="eastAsia" w:ascii="仿宋_GB2312"/>
          <w:bCs/>
          <w:sz w:val="32"/>
          <w:szCs w:val="32"/>
        </w:rPr>
        <w:t>环境空气质量改善显著。</w:t>
      </w:r>
      <w:r>
        <w:rPr>
          <w:rFonts w:hint="eastAsia" w:ascii="仿宋_GB2312"/>
          <w:sz w:val="32"/>
          <w:szCs w:val="32"/>
        </w:rPr>
        <w:t>2020年，西湖景区细颗粒物（PM</w:t>
      </w:r>
      <w:r>
        <w:rPr>
          <w:rFonts w:hint="eastAsia" w:ascii="仿宋_GB2312"/>
          <w:sz w:val="32"/>
          <w:szCs w:val="32"/>
          <w:vertAlign w:val="subscript"/>
        </w:rPr>
        <w:t>2.5</w:t>
      </w:r>
      <w:r>
        <w:rPr>
          <w:rFonts w:hint="eastAsia" w:ascii="仿宋_GB2312"/>
          <w:sz w:val="32"/>
          <w:szCs w:val="32"/>
        </w:rPr>
        <w:t>）年均浓度为26.4µg/m</w:t>
      </w:r>
      <w:r>
        <w:rPr>
          <w:rFonts w:hint="eastAsia" w:ascii="仿宋_GB2312"/>
          <w:sz w:val="32"/>
          <w:szCs w:val="32"/>
          <w:vertAlign w:val="superscript"/>
        </w:rPr>
        <w:t>3</w:t>
      </w:r>
      <w:r>
        <w:rPr>
          <w:rFonts w:hint="eastAsia" w:ascii="仿宋_GB2312"/>
          <w:sz w:val="32"/>
          <w:szCs w:val="32"/>
        </w:rPr>
        <w:t>，全面达到环境空气质量国家二级标准，较2016年下降37.1个百分点；环境空气优良率为91.4%，较2016年提高了10个百分点。</w:t>
      </w:r>
    </w:p>
    <w:p>
      <w:pPr>
        <w:ind w:firstLine="640"/>
        <w:rPr>
          <w:rFonts w:ascii="仿宋_GB2312"/>
          <w:sz w:val="32"/>
          <w:szCs w:val="32"/>
        </w:rPr>
      </w:pPr>
      <w:r>
        <w:rPr>
          <w:rFonts w:hint="eastAsia" w:ascii="仿宋_GB2312"/>
          <w:bCs/>
          <w:sz w:val="32"/>
          <w:szCs w:val="32"/>
        </w:rPr>
        <w:t>全面治理机动车尾气。</w:t>
      </w:r>
      <w:r>
        <w:rPr>
          <w:rFonts w:hint="eastAsia" w:ascii="仿宋_GB2312"/>
          <w:sz w:val="32"/>
          <w:szCs w:val="32"/>
        </w:rPr>
        <w:t>持续优化景区机动车管理机制。2020年制定并实施《名胜区机动车环保2.0方案》，全面深化“机动车环保行动”，强化非现场执法管控，景区道路交通运行平稳有序。深入开展非道路移动机械治理行动，2019年完成非道路移动机械申报、摸底调查和编码工作，2020年开展非道路移动机械秋冬季专项检查，并对10台工程机械的排放情况进行抽检。深化景区停车体制改革。通过采用PPP模式引进优质公共服务提供企业，搭建景区智慧停车管理平台，构建一体化、智能化停车新模式，实现与杭州城市大脑、智慧西湖服务体系无缝对接。</w:t>
      </w:r>
    </w:p>
    <w:p>
      <w:pPr>
        <w:ind w:firstLine="640"/>
        <w:rPr>
          <w:rFonts w:ascii="仿宋_GB2312"/>
          <w:sz w:val="32"/>
          <w:szCs w:val="32"/>
        </w:rPr>
      </w:pPr>
      <w:r>
        <w:rPr>
          <w:rFonts w:hint="eastAsia" w:ascii="仿宋_GB2312"/>
          <w:bCs/>
          <w:sz w:val="32"/>
          <w:szCs w:val="32"/>
        </w:rPr>
        <w:t>推进景区餐饮油烟污染整治。</w:t>
      </w:r>
      <w:r>
        <w:rPr>
          <w:rFonts w:hint="eastAsia" w:ascii="仿宋_GB2312"/>
          <w:sz w:val="32"/>
          <w:szCs w:val="32"/>
        </w:rPr>
        <w:t>大力推进景区餐饮油烟治理，强化餐饮经营防治油烟污染宣传及监管。2018年根据杭州市餐饮业污染投诉问题专项整治工作要求，制定并实施《杭州西湖风景名胜区餐饮污染专项整治工作方案》，对景区范围内90余家餐饮企业进行监督检查。对中央环保督察以及历年重复投诉中涉餐饮件进行专项整治与管控，现已全面销号。2020年，制定并实施《2020年杭州西湖风景名胜区噪声油烟专项整治方案》，联合执法、市政、市场监管等部门开展噪声油烟专项检查，累计检查企业数量达到58家。</w:t>
      </w:r>
    </w:p>
    <w:p>
      <w:pPr>
        <w:ind w:firstLine="640"/>
        <w:rPr>
          <w:rFonts w:ascii="仿宋_GB2312"/>
          <w:sz w:val="32"/>
          <w:szCs w:val="32"/>
        </w:rPr>
      </w:pPr>
      <w:r>
        <w:rPr>
          <w:rFonts w:hint="eastAsia" w:ascii="仿宋_GB2312"/>
          <w:bCs/>
          <w:sz w:val="32"/>
          <w:szCs w:val="32"/>
        </w:rPr>
        <w:t>提升环境空气质量保障能力。</w:t>
      </w:r>
      <w:r>
        <w:rPr>
          <w:rFonts w:hint="eastAsia" w:ascii="仿宋_GB2312"/>
          <w:sz w:val="32"/>
          <w:szCs w:val="32"/>
        </w:rPr>
        <w:t>对卧龙桥、云栖国控空气自动监测点位周边区域开展专项排查，分析大气污染物来源状况，排查颗粒物排放源，优化精细化管理措施，强化对工地、建筑物、停车场、道路和园林作业等方面的扬尘管控措施，保障监测点位空气质量。提高重污染天气预警和应急响应能力，印发《杭州西湖风景名胜区重污染天气应急预案》（杭西管办〔2019〕11号），建立健全应急处置机制。推进环境空气质量监测能力建设，“十三五”期间，西湖景区新增白乐桥、白塔公园2处乡镇街道级大气自动监测站，完成太子湾清新空气（负氧离子）监测系统建设，为实现大气环境质量稳定提供有力支撑。</w:t>
      </w:r>
    </w:p>
    <w:p>
      <w:pPr>
        <w:pStyle w:val="6"/>
        <w:ind w:firstLine="640"/>
        <w:rPr>
          <w:rFonts w:ascii="楷体_GB2312" w:eastAsia="楷体_GB2312"/>
          <w:b w:val="0"/>
          <w:bCs/>
        </w:rPr>
      </w:pPr>
      <w:bookmarkStart w:id="68" w:name="_Toc4772"/>
      <w:bookmarkStart w:id="69" w:name="_Toc16507"/>
      <w:bookmarkStart w:id="70" w:name="_Toc10970"/>
      <w:bookmarkStart w:id="71" w:name="_Toc11854"/>
      <w:bookmarkStart w:id="72" w:name="_Toc29654"/>
      <w:bookmarkStart w:id="73" w:name="_Toc20138"/>
      <w:bookmarkStart w:id="74" w:name="_Toc28354"/>
      <w:bookmarkStart w:id="75" w:name="_Toc3956"/>
      <w:r>
        <w:rPr>
          <w:rFonts w:hint="eastAsia" w:ascii="楷体_GB2312" w:eastAsia="楷体_GB2312"/>
          <w:b w:val="0"/>
          <w:bCs/>
        </w:rPr>
        <w:t>（四）推进建设“无废景区”</w:t>
      </w:r>
      <w:bookmarkEnd w:id="68"/>
      <w:bookmarkEnd w:id="69"/>
      <w:bookmarkEnd w:id="70"/>
      <w:bookmarkEnd w:id="71"/>
      <w:bookmarkEnd w:id="72"/>
      <w:bookmarkEnd w:id="73"/>
      <w:bookmarkEnd w:id="74"/>
      <w:bookmarkEnd w:id="75"/>
    </w:p>
    <w:p>
      <w:pPr>
        <w:ind w:firstLine="640"/>
        <w:jc w:val="left"/>
        <w:rPr>
          <w:rFonts w:ascii="仿宋_GB2312"/>
          <w:sz w:val="32"/>
          <w:szCs w:val="32"/>
        </w:rPr>
      </w:pPr>
      <w:r>
        <w:rPr>
          <w:rFonts w:hint="eastAsia" w:ascii="仿宋_GB2312"/>
          <w:bCs/>
          <w:sz w:val="32"/>
          <w:szCs w:val="32"/>
        </w:rPr>
        <w:t>实施生活垃圾强制分类。</w:t>
      </w:r>
      <w:r>
        <w:rPr>
          <w:rFonts w:hint="eastAsia" w:ascii="仿宋_GB2312"/>
          <w:sz w:val="32"/>
          <w:szCs w:val="32"/>
        </w:rPr>
        <w:t>印发《杭州西湖风景名胜区“无废城市”建设工作方案》（杭西管办〔2020〕85号），成立“无废景区”建设工作专班，全方位推动全域“无废景区”建设。全面推行电子门票，2020年，各景点共出售电子门票588万张。加快推进景区生活垃圾分类，充分发挥村、社区和辖区企事业单位在垃圾分类攻坚战的主力军作用，扎实推进生活垃圾“三化四分”工作。构建完善了景区分类收运保障体系，提升垃圾分类质量，推动源头减量。2020年累计开展垃圾分类联合检查80次，各类宣传培训活动百余场，完成景区村、社区的100%全覆盖培训，受众8000余人，辖区党政机关、学校、医院、事业单位垃圾分类覆盖率现已达100%。2020年西湖景区全年累计清运生活垃圾30798.86吨，较上年减幅24.98%，顺利完成市下达的年度生活垃圾控量目标任务。“十三五”期间，莲花峰路小区、杨梅岭村成功创建省级垃圾分类示范小区（村），黄泥岭、阔石板小区、双峰村、杨梅岭村成功创建市级垃圾分类示范小区（村）。</w:t>
      </w:r>
    </w:p>
    <w:p>
      <w:pPr>
        <w:ind w:firstLine="640"/>
        <w:rPr>
          <w:rFonts w:ascii="仿宋_GB2312"/>
          <w:sz w:val="32"/>
          <w:szCs w:val="32"/>
        </w:rPr>
      </w:pPr>
      <w:r>
        <w:rPr>
          <w:rFonts w:hint="eastAsia" w:ascii="仿宋_GB2312"/>
          <w:bCs/>
          <w:sz w:val="32"/>
          <w:szCs w:val="32"/>
        </w:rPr>
        <w:t>强化危险废物安全监管。</w:t>
      </w:r>
      <w:r>
        <w:rPr>
          <w:rFonts w:hint="eastAsia" w:ascii="仿宋_GB2312"/>
          <w:sz w:val="32"/>
          <w:szCs w:val="32"/>
        </w:rPr>
        <w:t>进一步加强景区危险废物管理，及时督促辖区危废产生单位完成年度计划及转移的规范申报和登记，实现有害废物的规范化管理。提升完善医疗卫生机构医疗废物的规范收集和处置，辖区内25家医疗机构均实现医疗废物规范化管理全覆盖。</w:t>
      </w:r>
    </w:p>
    <w:p>
      <w:pPr>
        <w:ind w:firstLine="640"/>
        <w:rPr>
          <w:rFonts w:ascii="仿宋_GB2312"/>
          <w:sz w:val="32"/>
          <w:szCs w:val="32"/>
        </w:rPr>
      </w:pPr>
      <w:r>
        <w:rPr>
          <w:rFonts w:hint="eastAsia" w:ascii="仿宋_GB2312"/>
          <w:bCs/>
          <w:sz w:val="32"/>
          <w:szCs w:val="32"/>
        </w:rPr>
        <w:t>合理处置园林绿化废弃物。</w:t>
      </w:r>
      <w:r>
        <w:rPr>
          <w:rFonts w:hint="eastAsia" w:ascii="仿宋_GB2312"/>
          <w:sz w:val="32"/>
          <w:szCs w:val="32"/>
        </w:rPr>
        <w:t>创新景区园林绿化废弃物处理及资源化利用的新方式，推行园林垃圾就地处理。持续推进园林垃圾资源化产学研用，完成园林废弃物资源化利用示范点基础建设，2020年生产园林绿化废弃物粉碎料10吨，累计生产堆肥和覆盖物20立方。此外，积极与高校、企业合作，推进园林绿化垃圾资源化利用攻关。2020年，景区市政市容环卫管理中心受省住建厅委托参与并协助完成《城镇绿化废弃物资源化利用技术规程》（DB33/T1183-2019）制定。</w:t>
      </w:r>
    </w:p>
    <w:p>
      <w:pPr>
        <w:pStyle w:val="6"/>
        <w:ind w:firstLine="640"/>
        <w:rPr>
          <w:rFonts w:ascii="楷体_GB2312" w:eastAsia="楷体_GB2312"/>
          <w:b w:val="0"/>
        </w:rPr>
      </w:pPr>
      <w:bookmarkStart w:id="76" w:name="_Toc11244"/>
      <w:bookmarkStart w:id="77" w:name="_Toc16816"/>
      <w:bookmarkStart w:id="78" w:name="_Toc2984"/>
      <w:bookmarkStart w:id="79" w:name="_Toc30991"/>
      <w:bookmarkStart w:id="80" w:name="_Toc3484"/>
      <w:bookmarkStart w:id="81" w:name="_Toc14491"/>
      <w:bookmarkStart w:id="82" w:name="_Toc22363"/>
      <w:bookmarkStart w:id="83" w:name="_Toc3442"/>
      <w:bookmarkStart w:id="84" w:name="_Toc24003"/>
      <w:bookmarkStart w:id="85" w:name="_Toc23536"/>
      <w:r>
        <w:rPr>
          <w:rFonts w:hint="eastAsia" w:ascii="楷体_GB2312" w:eastAsia="楷体_GB2312"/>
          <w:b w:val="0"/>
        </w:rPr>
        <w:t>（五）提升绿色生态空间布局</w:t>
      </w:r>
    </w:p>
    <w:p>
      <w:pPr>
        <w:ind w:firstLine="562" w:firstLineChars="0"/>
        <w:rPr>
          <w:rFonts w:ascii="仿宋_GB2312"/>
          <w:sz w:val="32"/>
          <w:szCs w:val="32"/>
        </w:rPr>
      </w:pPr>
      <w:r>
        <w:rPr>
          <w:rFonts w:hint="eastAsia" w:ascii="仿宋_GB2312"/>
          <w:bCs/>
          <w:sz w:val="32"/>
          <w:szCs w:val="32"/>
        </w:rPr>
        <w:t>持续推进综保工程。</w:t>
      </w:r>
      <w:r>
        <w:rPr>
          <w:rFonts w:hint="eastAsia" w:ascii="仿宋_GB2312"/>
          <w:sz w:val="32"/>
          <w:szCs w:val="32"/>
        </w:rPr>
        <w:t>“十三五”期间，各项综保工程稳步推进，九溪环境整治、梅坞溪游步道建设、白塔公园C区块环境整治、蔷薇园建设工程等一批重点项目顺利完成，景区环境大幅提升。创新推出“环境提升+危房整治+产业导入”的景中村整治新模式，完成黄泥岭、阔石板、双峰新村及里鸡笼山等区块的景中村整治和茅家埠、梅家坞、梵村等9个村的“回头看”工作。深入实施“三改一拆”专项行动，“十三五”期间，累计完成拆除违法建筑3.5万平方米，景区美丽指数不断提升。</w:t>
      </w:r>
    </w:p>
    <w:p>
      <w:pPr>
        <w:ind w:firstLine="562" w:firstLineChars="0"/>
        <w:rPr>
          <w:rFonts w:ascii="仿宋_GB2312"/>
          <w:sz w:val="32"/>
          <w:szCs w:val="32"/>
        </w:rPr>
      </w:pPr>
      <w:r>
        <w:rPr>
          <w:rFonts w:hint="eastAsia" w:ascii="仿宋_GB2312"/>
          <w:bCs/>
          <w:sz w:val="32"/>
          <w:szCs w:val="32"/>
        </w:rPr>
        <w:t>加强声环境管控。</w:t>
      </w:r>
      <w:r>
        <w:rPr>
          <w:rFonts w:hint="eastAsia" w:ascii="仿宋_GB2312"/>
          <w:sz w:val="32"/>
          <w:szCs w:val="32"/>
        </w:rPr>
        <w:t>加强建筑施工噪声、道路交通噪声防治管理。依法监管施工噪声超标排放的行为，严格夜间施工申报制度，实施城市建筑施工环保公告制度。加强道路交通噪声防治，严格执行中心城区禁鸣喇叭的规定。控制社会生活噪声，加强商业、餐饮娱乐噪声污染整治。继续落实湖滨公园“降噪令”，提倡文明娱乐，2020年累计处置噪声扰民投诉63件。2020年，完成云水光中亭噪声监测系统安装并接入岳庙管理处监控指挥室，实现环境噪声实时监测和远程监控，助力景区管理数字化转型升级。</w:t>
      </w:r>
    </w:p>
    <w:bookmarkEnd w:id="76"/>
    <w:bookmarkEnd w:id="77"/>
    <w:bookmarkEnd w:id="78"/>
    <w:bookmarkEnd w:id="79"/>
    <w:bookmarkEnd w:id="80"/>
    <w:bookmarkEnd w:id="81"/>
    <w:bookmarkEnd w:id="82"/>
    <w:bookmarkEnd w:id="83"/>
    <w:bookmarkEnd w:id="84"/>
    <w:bookmarkEnd w:id="85"/>
    <w:p>
      <w:pPr>
        <w:pStyle w:val="6"/>
        <w:ind w:firstLine="640"/>
        <w:rPr>
          <w:rFonts w:ascii="楷体_GB2312" w:eastAsia="楷体_GB2312"/>
          <w:b w:val="0"/>
        </w:rPr>
      </w:pPr>
      <w:bookmarkStart w:id="86" w:name="_Toc10549"/>
      <w:bookmarkStart w:id="87" w:name="_Toc23121"/>
      <w:bookmarkStart w:id="88" w:name="_Toc7829"/>
      <w:bookmarkStart w:id="89" w:name="_Toc26617"/>
      <w:bookmarkStart w:id="90" w:name="_Toc12438"/>
      <w:bookmarkStart w:id="91" w:name="_Toc11591"/>
      <w:bookmarkStart w:id="92" w:name="_Toc29193"/>
      <w:bookmarkStart w:id="93" w:name="_Toc11962"/>
      <w:bookmarkStart w:id="94" w:name="_Toc22715"/>
      <w:bookmarkStart w:id="95" w:name="_Toc17102"/>
      <w:bookmarkStart w:id="96" w:name="_Toc7463"/>
      <w:bookmarkStart w:id="97" w:name="_Toc62"/>
      <w:bookmarkStart w:id="98" w:name="_Toc2291"/>
      <w:bookmarkStart w:id="99" w:name="_Toc11954"/>
      <w:bookmarkStart w:id="100" w:name="_Toc17980"/>
      <w:bookmarkStart w:id="101" w:name="_Toc28744"/>
      <w:bookmarkStart w:id="102" w:name="_Toc21982"/>
      <w:bookmarkStart w:id="103" w:name="_Toc29155"/>
      <w:r>
        <w:rPr>
          <w:rFonts w:hint="eastAsia" w:ascii="楷体_GB2312" w:eastAsia="楷体_GB2312"/>
          <w:b w:val="0"/>
        </w:rPr>
        <w:t>（六）有序推进环境治理现代化</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pPr>
        <w:ind w:firstLine="640"/>
        <w:rPr>
          <w:rFonts w:ascii="仿宋_GB2312"/>
          <w:sz w:val="32"/>
          <w:szCs w:val="32"/>
        </w:rPr>
      </w:pPr>
      <w:r>
        <w:rPr>
          <w:rFonts w:hint="eastAsia" w:ascii="仿宋_GB2312"/>
          <w:bCs/>
          <w:sz w:val="32"/>
          <w:szCs w:val="32"/>
        </w:rPr>
        <w:t>推进环保“最多跑一次”事项改革。</w:t>
      </w:r>
      <w:r>
        <w:rPr>
          <w:rFonts w:hint="eastAsia" w:ascii="仿宋_GB2312"/>
          <w:sz w:val="32"/>
          <w:szCs w:val="32"/>
        </w:rPr>
        <w:t>根据《全省环保系统群众和企业到政府部门办事事项指导目录》和“八统一”最新目录，对景区环保事项进行调整和更新，进一步规范18项环保行政权力事项，实现网上在线办理全覆盖，按照“八统一”要求，全面更新和修正办事指南。</w:t>
      </w:r>
    </w:p>
    <w:p>
      <w:pPr>
        <w:ind w:firstLine="640"/>
        <w:rPr>
          <w:rFonts w:ascii="仿宋_GB2312"/>
          <w:sz w:val="32"/>
          <w:szCs w:val="32"/>
        </w:rPr>
      </w:pPr>
      <w:r>
        <w:rPr>
          <w:rFonts w:hint="eastAsia" w:ascii="仿宋_GB2312"/>
          <w:bCs/>
          <w:sz w:val="32"/>
          <w:szCs w:val="32"/>
        </w:rPr>
        <w:t>强化环境保护网格责任区管理。</w:t>
      </w:r>
      <w:r>
        <w:rPr>
          <w:rFonts w:hint="eastAsia" w:ascii="仿宋_GB2312"/>
          <w:sz w:val="32"/>
          <w:szCs w:val="32"/>
        </w:rPr>
        <w:t>以环保督察为契机，以环保攻坚为导向，按照“属地管理、分级负责、责任到人”的原则，创新环境保护监管体制，构建横向到边、纵向到底、无缝隙、全覆盖的“网格化”监管体系，及时发现、制止和查处环境违法行为，确保新违规行为“第一时间发现、第一时间上报、第一时间处置”。</w:t>
      </w:r>
    </w:p>
    <w:p>
      <w:pPr>
        <w:ind w:firstLine="640"/>
        <w:rPr>
          <w:rFonts w:ascii="仿宋_GB2312"/>
          <w:sz w:val="32"/>
          <w:szCs w:val="32"/>
        </w:rPr>
      </w:pPr>
      <w:r>
        <w:rPr>
          <w:rFonts w:hint="eastAsia" w:ascii="仿宋_GB2312"/>
          <w:bCs/>
          <w:sz w:val="32"/>
          <w:szCs w:val="32"/>
        </w:rPr>
        <w:t>圆满完成污染源普查。</w:t>
      </w:r>
      <w:r>
        <w:rPr>
          <w:rFonts w:hint="eastAsia" w:ascii="仿宋_GB2312"/>
          <w:sz w:val="32"/>
          <w:szCs w:val="32"/>
        </w:rPr>
        <w:t>2018年景区管委会制定印发了《杭州西湖风景名胜区“第二次全国污染源普查”工作方案》（杭西管办〔2018〕68号），并组织各公园管理单位、西湖街道相关人员进行培训，落实污染源普查工作。累计完成94家普查对象的现场调查及数据上报，分析梳理了景区污染源数量、结构和分布状况，圆满完成普查清查和企业入户调查的任务，为“十四五”时期环境管理和精准治污工作打下坚实基础。</w:t>
      </w:r>
    </w:p>
    <w:p>
      <w:pPr>
        <w:ind w:firstLine="640"/>
        <w:rPr>
          <w:rFonts w:ascii="仿宋_GB2312"/>
          <w:sz w:val="32"/>
          <w:szCs w:val="32"/>
        </w:rPr>
      </w:pPr>
      <w:r>
        <w:rPr>
          <w:rFonts w:hint="eastAsia" w:ascii="仿宋_GB2312"/>
          <w:bCs/>
          <w:sz w:val="32"/>
          <w:szCs w:val="32"/>
        </w:rPr>
        <w:t>加强生态环境保护宣传教育。</w:t>
      </w:r>
      <w:r>
        <w:rPr>
          <w:rFonts w:hint="eastAsia" w:ascii="仿宋_GB2312"/>
          <w:sz w:val="32"/>
          <w:szCs w:val="32"/>
        </w:rPr>
        <w:t>充分利用景区内丰富的公园公共教育资源，整合科普宣传、志愿者等各类活动，围绕“助力G20”、“助力五水共治，建设美丽杭州”等环保主题，进行特色生态环保宣教活动。组建“话说杭州”讲解团，讲好西湖故事。启动文明素质提升行动，通过开设专题培训、举办文明倡导宣传活动、发放宣传资料等方式向世界传递美丽西湖的文明美、传承美、活力美。围绕世界环境日、世界地球日、浙江生态日等重要时间节点，积极开展“水滴课堂走进建德乡村小学”、“唐诗里自然课”等系列主题活动，取得了良好的社会效应，示范建设全面领先。江洋畈生态公园于2017年成功创建省级生态文明教育基地；杭州植物园于2018年、2019年依次创建市级环境教育基地和省级生态文明教育基地。</w:t>
      </w:r>
    </w:p>
    <w:p>
      <w:pPr>
        <w:pStyle w:val="5"/>
      </w:pPr>
      <w:bookmarkStart w:id="104" w:name="_Toc21476"/>
      <w:bookmarkStart w:id="105" w:name="_Toc32266"/>
      <w:bookmarkStart w:id="106" w:name="_Toc18498"/>
      <w:bookmarkStart w:id="107" w:name="_Toc30074"/>
      <w:bookmarkStart w:id="108" w:name="_Toc14996"/>
      <w:bookmarkStart w:id="109" w:name="_Toc6543"/>
      <w:bookmarkStart w:id="110" w:name="_Toc21064"/>
      <w:bookmarkStart w:id="111" w:name="_Toc13604"/>
      <w:bookmarkStart w:id="112" w:name="_Toc6239"/>
      <w:bookmarkStart w:id="113" w:name="_Toc5424"/>
      <w:bookmarkStart w:id="114" w:name="_Toc16686"/>
      <w:bookmarkStart w:id="115" w:name="_Toc21987"/>
      <w:bookmarkStart w:id="116" w:name="_Toc13038"/>
      <w:bookmarkStart w:id="117" w:name="_Toc2785"/>
      <w:bookmarkStart w:id="118" w:name="_Toc24801"/>
      <w:bookmarkStart w:id="119" w:name="_Toc30823"/>
      <w:bookmarkStart w:id="120" w:name="_Toc17551"/>
      <w:bookmarkStart w:id="121" w:name="_Toc3644"/>
      <w:bookmarkStart w:id="122" w:name="_Toc31762"/>
      <w:bookmarkStart w:id="123" w:name="_Toc8931"/>
      <w:bookmarkStart w:id="124" w:name="_Toc15561"/>
      <w:bookmarkStart w:id="125" w:name="_Toc22959"/>
      <w:bookmarkStart w:id="126" w:name="_Toc25474"/>
      <w:bookmarkStart w:id="127" w:name="_Toc30800"/>
      <w:bookmarkStart w:id="128" w:name="_Toc27296"/>
      <w:bookmarkStart w:id="129" w:name="_Toc31616"/>
      <w:r>
        <w:rPr>
          <w:rFonts w:hint="eastAsia"/>
        </w:rPr>
        <w:t>二、</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Pr>
          <w:rFonts w:hint="eastAsia"/>
        </w:rPr>
        <w:t>主要问题分析</w:t>
      </w:r>
      <w:bookmarkEnd w:id="125"/>
      <w:bookmarkEnd w:id="126"/>
      <w:bookmarkEnd w:id="127"/>
      <w:bookmarkEnd w:id="128"/>
      <w:bookmarkEnd w:id="129"/>
    </w:p>
    <w:p>
      <w:pPr>
        <w:ind w:firstLine="640"/>
        <w:rPr>
          <w:rFonts w:ascii="仿宋_GB2312"/>
          <w:sz w:val="32"/>
          <w:szCs w:val="32"/>
        </w:rPr>
      </w:pPr>
      <w:r>
        <w:rPr>
          <w:rFonts w:hint="eastAsia" w:ascii="仿宋_GB2312"/>
          <w:sz w:val="32"/>
          <w:szCs w:val="32"/>
        </w:rPr>
        <w:t>“十三五”以来，尽管西湖景区生态环境保护工作取得积极成效，环境基础设施渐趋完善，生态修复成效明显，环境综合治理取得重大进展，但仍存在一些突出的问题。</w:t>
      </w:r>
    </w:p>
    <w:p>
      <w:pPr>
        <w:ind w:firstLine="640"/>
        <w:outlineLvl w:val="3"/>
        <w:rPr>
          <w:rFonts w:ascii="仿宋_GB2312"/>
          <w:bCs/>
          <w:sz w:val="32"/>
          <w:szCs w:val="32"/>
        </w:rPr>
      </w:pPr>
      <w:r>
        <w:rPr>
          <w:rFonts w:hint="eastAsia" w:ascii="仿宋_GB2312"/>
          <w:bCs/>
          <w:sz w:val="32"/>
          <w:szCs w:val="32"/>
        </w:rPr>
        <w:t>1、生态环境质量提升难度大</w:t>
      </w:r>
    </w:p>
    <w:p>
      <w:pPr>
        <w:widowControl/>
        <w:ind w:firstLine="640"/>
        <w:rPr>
          <w:rFonts w:ascii="仿宋_GB2312"/>
          <w:sz w:val="32"/>
          <w:szCs w:val="32"/>
        </w:rPr>
      </w:pPr>
      <w:r>
        <w:rPr>
          <w:rFonts w:hint="eastAsia" w:ascii="仿宋_GB2312"/>
          <w:sz w:val="32"/>
          <w:szCs w:val="32"/>
        </w:rPr>
        <w:t>西湖景区作为杭州的形象和重要窗口，人民群众对美好生态环境的要求也更高，但景区生态环境质量敏感度高，环境质量改善难度逐年提高。西湖水域仍然存在总磷季节性超标问题。大气环境质量进一步改善压力大，景区处在杭州市中心，周边主要是繁华的商业区，影响大气环境质量的因素众多，交通拥堵，短期内大气环境继续改善存在难度。</w:t>
      </w:r>
    </w:p>
    <w:p>
      <w:pPr>
        <w:ind w:firstLine="640"/>
        <w:outlineLvl w:val="3"/>
        <w:rPr>
          <w:rFonts w:ascii="仿宋_GB2312"/>
          <w:bCs/>
          <w:sz w:val="32"/>
          <w:szCs w:val="32"/>
        </w:rPr>
      </w:pPr>
      <w:r>
        <w:rPr>
          <w:rFonts w:hint="eastAsia" w:ascii="仿宋_GB2312"/>
          <w:bCs/>
          <w:sz w:val="32"/>
          <w:szCs w:val="32"/>
        </w:rPr>
        <w:t>2、环保基础设施建设不足的问题依然存在</w:t>
      </w:r>
    </w:p>
    <w:p>
      <w:pPr>
        <w:ind w:firstLine="640"/>
        <w:rPr>
          <w:rFonts w:ascii="仿宋_GB2312"/>
          <w:sz w:val="32"/>
          <w:szCs w:val="32"/>
        </w:rPr>
      </w:pPr>
      <w:r>
        <w:rPr>
          <w:rFonts w:hint="eastAsia" w:ascii="仿宋_GB2312"/>
          <w:sz w:val="32"/>
          <w:szCs w:val="32"/>
        </w:rPr>
        <w:t>西湖景区存在雨污管网复杂、规划不足、管道老化等历史遗留问题，管网体系与现有发展不符。部分管道管径偏小，或出现管网堵塞情况，排水能力无法满足过流要求，污水溢流问题时有发生。许多区域地下管线复杂，存在错接、漏接、混接、破损等情况，加上部分区域动土开工有较大局限性，管网的排查和整治都较为困难。西湖景区已完成“污水零直排区”创建，还需有效落实长效管理机制，持续做好查漏补缺工作。</w:t>
      </w:r>
    </w:p>
    <w:p>
      <w:pPr>
        <w:ind w:firstLine="640"/>
        <w:outlineLvl w:val="3"/>
        <w:rPr>
          <w:rFonts w:ascii="仿宋_GB2312"/>
          <w:bCs/>
          <w:sz w:val="32"/>
          <w:szCs w:val="32"/>
        </w:rPr>
      </w:pPr>
      <w:r>
        <w:rPr>
          <w:rFonts w:hint="eastAsia" w:ascii="仿宋_GB2312"/>
          <w:bCs/>
          <w:sz w:val="32"/>
          <w:szCs w:val="32"/>
        </w:rPr>
        <w:t>3、生态环境治理体系和治理能力亟需加强</w:t>
      </w:r>
    </w:p>
    <w:p>
      <w:pPr>
        <w:ind w:firstLine="640"/>
        <w:rPr>
          <w:rFonts w:ascii="仿宋_GB2312"/>
          <w:sz w:val="32"/>
          <w:szCs w:val="32"/>
        </w:rPr>
      </w:pPr>
      <w:r>
        <w:rPr>
          <w:rFonts w:hint="eastAsia" w:ascii="仿宋_GB2312"/>
          <w:sz w:val="32"/>
          <w:szCs w:val="32"/>
        </w:rPr>
        <w:t>当前西湖景区生态环境保护工作任务日渐繁重、艰巨，环境监管要求日渐细化，但景区基层执法监管力量仍显薄弱，智能监测监控等“技防”水平不够高，环保技术和科研水平仍无法满足当前环境治理快速增长的需求。主要体现在技术支撑方面，硬件感知设备建设不足，基础数据积累少；在数字应用方面，全方位数据挖掘和分析应用能力不足，未能充分发挥数据治理、数据决策的作用；在人才队伍方面，普遍缺乏专业技术人才，数字赋能后的管理运营能力相对不足。因此，如何利用智慧化、信息化手段突破信息壁垒，将数字化治理和智慧手段应用生态保护提升各环节之中，更加高效率地推进景区管理工作，打造景区数字治理样板，是当前需要重点考虑突破的问题。</w:t>
      </w:r>
    </w:p>
    <w:p>
      <w:pPr>
        <w:pStyle w:val="5"/>
      </w:pPr>
      <w:bookmarkStart w:id="130" w:name="_Toc4739"/>
      <w:bookmarkStart w:id="131" w:name="_Toc12622"/>
      <w:bookmarkStart w:id="132" w:name="_Toc25525"/>
      <w:bookmarkStart w:id="133" w:name="_Toc1592"/>
      <w:bookmarkStart w:id="134" w:name="_Toc24085"/>
      <w:r>
        <w:rPr>
          <w:rFonts w:hint="eastAsia"/>
        </w:rPr>
        <w:t>三、“十四五”形势分析</w:t>
      </w:r>
      <w:bookmarkEnd w:id="130"/>
      <w:bookmarkEnd w:id="131"/>
      <w:bookmarkEnd w:id="132"/>
      <w:bookmarkEnd w:id="133"/>
      <w:bookmarkEnd w:id="134"/>
    </w:p>
    <w:p>
      <w:pPr>
        <w:ind w:firstLine="640"/>
        <w:rPr>
          <w:rFonts w:ascii="仿宋_GB2312"/>
          <w:sz w:val="32"/>
          <w:szCs w:val="32"/>
        </w:rPr>
      </w:pPr>
      <w:r>
        <w:rPr>
          <w:rFonts w:hint="eastAsia" w:ascii="仿宋_GB2312"/>
          <w:sz w:val="32"/>
          <w:szCs w:val="32"/>
        </w:rPr>
        <w:t>“十四五”时期，是“两个一百年”奋斗目标的历史交汇期，是开启全面建设社会主义现代化国家新征程的第一个五年，景区将扛起助力打造共同富裕城市范例的使命担当，实现景区建设发展的新飞跃、新突破，生态环境保护工作将面临重大机遇和挑战。</w:t>
      </w:r>
    </w:p>
    <w:p>
      <w:pPr>
        <w:ind w:firstLine="640"/>
        <w:outlineLvl w:val="3"/>
        <w:rPr>
          <w:rFonts w:ascii="仿宋_GB2312"/>
          <w:bCs/>
          <w:sz w:val="32"/>
          <w:szCs w:val="32"/>
        </w:rPr>
      </w:pPr>
      <w:bookmarkStart w:id="135" w:name="_Toc26648"/>
      <w:bookmarkStart w:id="136" w:name="_Toc25486"/>
      <w:bookmarkStart w:id="137" w:name="_Toc29498"/>
      <w:bookmarkStart w:id="138" w:name="_Toc12860"/>
      <w:bookmarkStart w:id="139" w:name="_Toc10088"/>
      <w:bookmarkStart w:id="140" w:name="_Toc4914"/>
      <w:bookmarkStart w:id="141" w:name="_Toc8998"/>
      <w:bookmarkStart w:id="142" w:name="_Toc5337"/>
      <w:r>
        <w:rPr>
          <w:rFonts w:hint="eastAsia" w:ascii="仿宋_GB2312"/>
          <w:bCs/>
          <w:sz w:val="32"/>
          <w:szCs w:val="32"/>
        </w:rPr>
        <w:t>1、新时代美丽杭州建设对景区发展提出了新要求</w:t>
      </w:r>
    </w:p>
    <w:p>
      <w:pPr>
        <w:ind w:firstLine="640"/>
        <w:rPr>
          <w:rFonts w:ascii="仿宋_GB2312"/>
          <w:sz w:val="32"/>
          <w:szCs w:val="32"/>
        </w:rPr>
      </w:pPr>
      <w:r>
        <w:rPr>
          <w:rFonts w:hint="eastAsia" w:ascii="仿宋_GB2312"/>
          <w:sz w:val="32"/>
          <w:szCs w:val="32"/>
        </w:rPr>
        <w:t>2020年6月5日，杭州市委、市政府发布了《新时代美丽杭州建设实施纲要（2020-2035年）》（市委发〔2020〕13号），部署推进新时代美丽杭州建设工作。面向未来五年乃至较长一个时期，杭州正处在“亚运会、大都市、现代化”的重要窗口期，这是新一轮长周期发展的关键起步期，机遇更具有战略性、可塑性。西湖作为杭州市的金名片，是“新时代美丽杭州”建设的重要展示窗口。建设“新时代美丽杭州”，更高生态环境要求深度切合西湖景区社会经济发展，在生态文明建设、环境保护、遗产保护等方面将大有可为，景区将努力打造成为生态美、生产美、生活美的“美丽杭州”窗口形象。</w:t>
      </w:r>
    </w:p>
    <w:p>
      <w:pPr>
        <w:ind w:firstLine="640"/>
        <w:outlineLvl w:val="3"/>
        <w:rPr>
          <w:rFonts w:ascii="仿宋_GB2312"/>
          <w:bCs/>
          <w:sz w:val="32"/>
          <w:szCs w:val="32"/>
        </w:rPr>
      </w:pPr>
      <w:r>
        <w:rPr>
          <w:rFonts w:hint="eastAsia" w:ascii="仿宋_GB2312"/>
          <w:bCs/>
          <w:sz w:val="32"/>
          <w:szCs w:val="32"/>
        </w:rPr>
        <w:t>2、党中央对碳达峰、碳中和明确了新目标</w:t>
      </w:r>
    </w:p>
    <w:p>
      <w:pPr>
        <w:ind w:firstLine="640"/>
        <w:rPr>
          <w:rFonts w:ascii="仿宋_GB2312"/>
          <w:sz w:val="32"/>
          <w:szCs w:val="32"/>
        </w:rPr>
      </w:pPr>
      <w:r>
        <w:rPr>
          <w:rFonts w:hint="eastAsia" w:ascii="仿宋_GB2312"/>
          <w:sz w:val="32"/>
          <w:szCs w:val="32"/>
        </w:rPr>
        <w:t>国家提出力争碳排放2030年前达峰、努力争取2060年前实现碳中和。景区拥有丰富的森林资源，森林碳汇在应对气候变化、实现碳中和的目标当中，将会扮演越来越重要的角色。景区将深入推进应对气候变化，坚持绿色低碳发展，坚决落实碳达峰、碳中和的新要求。</w:t>
      </w:r>
    </w:p>
    <w:p>
      <w:pPr>
        <w:ind w:firstLine="640"/>
        <w:outlineLvl w:val="3"/>
        <w:rPr>
          <w:rFonts w:ascii="仿宋_GB2312"/>
          <w:bCs/>
          <w:sz w:val="32"/>
          <w:szCs w:val="32"/>
        </w:rPr>
      </w:pPr>
      <w:r>
        <w:rPr>
          <w:rFonts w:hint="eastAsia" w:ascii="仿宋_GB2312"/>
          <w:bCs/>
          <w:sz w:val="32"/>
          <w:szCs w:val="32"/>
        </w:rPr>
        <w:t>3、西湖西溪一体化保护提升为区域生态环境保护带来新方向</w:t>
      </w:r>
    </w:p>
    <w:p>
      <w:pPr>
        <w:ind w:firstLine="640"/>
        <w:rPr>
          <w:rFonts w:ascii="仿宋_GB2312"/>
          <w:sz w:val="32"/>
          <w:szCs w:val="32"/>
        </w:rPr>
      </w:pPr>
      <w:r>
        <w:rPr>
          <w:rFonts w:hint="eastAsia" w:ascii="仿宋_GB2312"/>
          <w:sz w:val="32"/>
          <w:szCs w:val="32"/>
        </w:rPr>
        <w:t>2020年6月，杭州市启动了西湖·西溪一体化保护管理，提出联动实施西湖全域综合提升和西溪原生态保护提升，全面打造杭州“两西”三生融合的美丽样板，助力加快建设杭州“湿地水城”和建设独特韵味、别样精彩世界名城，为区域生态环境保护提供了新的发展方向。</w:t>
      </w:r>
    </w:p>
    <w:p>
      <w:pPr>
        <w:ind w:firstLine="640"/>
        <w:outlineLvl w:val="3"/>
        <w:rPr>
          <w:rFonts w:ascii="仿宋_GB2312"/>
          <w:bCs/>
          <w:sz w:val="32"/>
          <w:szCs w:val="32"/>
        </w:rPr>
      </w:pPr>
      <w:r>
        <w:rPr>
          <w:rFonts w:hint="eastAsia" w:ascii="仿宋_GB2312"/>
          <w:bCs/>
          <w:sz w:val="32"/>
          <w:szCs w:val="32"/>
        </w:rPr>
        <w:t>4、数字化改革为推动生态环境治理体系和治理能力现代化提供了新动能</w:t>
      </w:r>
    </w:p>
    <w:p>
      <w:pPr>
        <w:ind w:firstLine="640"/>
        <w:rPr>
          <w:rFonts w:ascii="仿宋_GB2312"/>
          <w:sz w:val="32"/>
          <w:szCs w:val="32"/>
        </w:rPr>
      </w:pPr>
      <w:r>
        <w:rPr>
          <w:rFonts w:hint="eastAsia" w:ascii="仿宋_GB2312"/>
          <w:sz w:val="32"/>
          <w:szCs w:val="32"/>
        </w:rPr>
        <w:t>2020年3月，习近平总书记在杭州考察时，对杭州运用城市大脑赋能城市治理给予了充分肯定。杭州市委市政府也提出了“数智杭州·宜居天堂”的发展导向，对数智赋能生态环境治理提出了更高要求。西湖景区作为数字治理的积极实践者，依托“数字景区”和城市大脑区级平台建设，“高水平”、“一体化”推进生态环境治理体系和治理能力现代化。</w:t>
      </w:r>
    </w:p>
    <w:bookmarkEnd w:id="135"/>
    <w:bookmarkEnd w:id="136"/>
    <w:bookmarkEnd w:id="137"/>
    <w:bookmarkEnd w:id="138"/>
    <w:bookmarkEnd w:id="139"/>
    <w:bookmarkEnd w:id="140"/>
    <w:bookmarkEnd w:id="141"/>
    <w:bookmarkEnd w:id="142"/>
    <w:p>
      <w:pPr>
        <w:ind w:firstLine="640"/>
        <w:outlineLvl w:val="3"/>
        <w:rPr>
          <w:rFonts w:ascii="仿宋_GB2312"/>
          <w:bCs/>
          <w:sz w:val="32"/>
          <w:szCs w:val="32"/>
        </w:rPr>
      </w:pPr>
      <w:bookmarkStart w:id="143" w:name="_Toc21226"/>
      <w:bookmarkStart w:id="144" w:name="_Toc727"/>
      <w:bookmarkStart w:id="145" w:name="_Toc1874"/>
      <w:bookmarkStart w:id="146" w:name="_Toc7666"/>
      <w:bookmarkStart w:id="147" w:name="_Toc2607"/>
      <w:bookmarkStart w:id="148" w:name="_Toc26635"/>
      <w:bookmarkStart w:id="149" w:name="_Toc18581"/>
      <w:bookmarkStart w:id="150" w:name="_Toc3862"/>
      <w:bookmarkStart w:id="151" w:name="_Toc14696"/>
      <w:r>
        <w:rPr>
          <w:rFonts w:hint="eastAsia" w:ascii="仿宋_GB2312"/>
          <w:bCs/>
          <w:sz w:val="32"/>
          <w:szCs w:val="32"/>
        </w:rPr>
        <w:t>5、亚运会的举办对生态环境工作带来了新挑战</w:t>
      </w:r>
    </w:p>
    <w:p>
      <w:pPr>
        <w:ind w:firstLine="640"/>
        <w:rPr>
          <w:rFonts w:ascii="仿宋_GB2312"/>
          <w:sz w:val="32"/>
          <w:szCs w:val="32"/>
        </w:rPr>
      </w:pPr>
      <w:r>
        <w:rPr>
          <w:rFonts w:hint="eastAsia" w:ascii="仿宋_GB2312"/>
          <w:sz w:val="32"/>
          <w:szCs w:val="32"/>
        </w:rPr>
        <w:t>2022年，杭州将举办第19届亚运会，绿色是杭州亚运会的四大办赛理念之一，空气和水环境质量备受国内外嘉宾、运动员和新闻媒体以及国际社会关注。亚运会是展示“美丽中国”杭州样本建设成果的重要契机，西湖作为杭州市的金名片，需要提前谋划、精准管控，共同迎接生态环境工作新挑战。</w:t>
      </w:r>
    </w:p>
    <w:p>
      <w:pPr>
        <w:widowControl/>
        <w:ind w:firstLine="640"/>
        <w:rPr>
          <w:rFonts w:ascii="仿宋_GB2312" w:hAnsi="黑体" w:cs="黑体"/>
          <w:b/>
          <w:bCs/>
          <w:sz w:val="32"/>
          <w:szCs w:val="32"/>
        </w:rPr>
      </w:pPr>
      <w:r>
        <w:rPr>
          <w:rFonts w:hint="eastAsia" w:ascii="仿宋_GB2312"/>
          <w:sz w:val="32"/>
          <w:szCs w:val="32"/>
        </w:rPr>
        <w:t>综合来看，“十四五”以及今后一个时期，景区生态环境保护工作即面临战略机遇又面临新挑战，必须胸怀“两个大局”，充分把握新机遇新条件，妥善应对各种风险和挑战，深刻认识危和机并存、危中有机、危可转机，保持战略定力，坚持底线思维，全力推动绿色低碳发展，持续改善生态环境，做好美丽中国、美丽杭州建设的领头雁、排头兵。</w:t>
      </w:r>
      <w:bookmarkEnd w:id="143"/>
      <w:bookmarkEnd w:id="144"/>
      <w:bookmarkEnd w:id="145"/>
      <w:bookmarkEnd w:id="146"/>
      <w:bookmarkEnd w:id="147"/>
      <w:bookmarkEnd w:id="148"/>
      <w:bookmarkEnd w:id="149"/>
      <w:bookmarkEnd w:id="150"/>
      <w:bookmarkEnd w:id="151"/>
    </w:p>
    <w:p>
      <w:pPr>
        <w:widowControl/>
        <w:ind w:firstLine="643"/>
        <w:rPr>
          <w:rFonts w:ascii="仿宋_GB2312" w:hAnsi="黑体" w:cs="黑体"/>
          <w:b/>
          <w:bCs/>
          <w:sz w:val="32"/>
          <w:szCs w:val="32"/>
        </w:rPr>
      </w:pPr>
    </w:p>
    <w:p>
      <w:pPr>
        <w:widowControl/>
        <w:ind w:firstLine="643"/>
        <w:rPr>
          <w:rFonts w:ascii="仿宋_GB2312" w:hAnsi="黑体" w:cs="黑体"/>
          <w:b/>
          <w:bCs/>
          <w:sz w:val="32"/>
          <w:szCs w:val="32"/>
        </w:rPr>
      </w:pPr>
    </w:p>
    <w:p>
      <w:pPr>
        <w:widowControl/>
        <w:ind w:firstLine="643"/>
        <w:rPr>
          <w:rFonts w:ascii="仿宋_GB2312" w:hAnsi="黑体" w:cs="黑体"/>
          <w:b/>
          <w:bCs/>
          <w:sz w:val="32"/>
          <w:szCs w:val="32"/>
        </w:rPr>
      </w:pPr>
    </w:p>
    <w:p>
      <w:pPr>
        <w:widowControl/>
        <w:ind w:firstLine="643"/>
        <w:rPr>
          <w:rFonts w:ascii="仿宋_GB2312" w:hAnsi="黑体" w:cs="黑体"/>
          <w:b/>
          <w:bCs/>
          <w:sz w:val="32"/>
          <w:szCs w:val="32"/>
        </w:rPr>
      </w:pPr>
    </w:p>
    <w:p>
      <w:pPr>
        <w:widowControl/>
        <w:ind w:firstLine="643"/>
        <w:rPr>
          <w:rFonts w:ascii="仿宋_GB2312" w:hAnsi="黑体" w:cs="黑体"/>
          <w:b/>
          <w:bCs/>
          <w:sz w:val="32"/>
          <w:szCs w:val="32"/>
        </w:rPr>
      </w:pPr>
    </w:p>
    <w:p>
      <w:pPr>
        <w:widowControl/>
        <w:ind w:firstLine="643"/>
        <w:rPr>
          <w:rFonts w:ascii="仿宋_GB2312" w:hAnsi="黑体" w:cs="黑体"/>
          <w:b/>
          <w:bCs/>
          <w:sz w:val="32"/>
          <w:szCs w:val="32"/>
        </w:rPr>
      </w:pPr>
    </w:p>
    <w:p>
      <w:pPr>
        <w:widowControl/>
        <w:ind w:firstLine="643"/>
        <w:rPr>
          <w:rFonts w:ascii="仿宋_GB2312" w:hAnsi="黑体" w:cs="黑体"/>
          <w:b/>
          <w:bCs/>
          <w:sz w:val="32"/>
          <w:szCs w:val="32"/>
        </w:rPr>
      </w:pPr>
    </w:p>
    <w:p>
      <w:pPr>
        <w:widowControl/>
        <w:ind w:firstLine="643"/>
        <w:rPr>
          <w:rFonts w:ascii="仿宋_GB2312" w:hAnsi="黑体" w:cs="黑体"/>
          <w:b/>
          <w:bCs/>
          <w:sz w:val="32"/>
          <w:szCs w:val="32"/>
        </w:rPr>
      </w:pPr>
    </w:p>
    <w:p>
      <w:pPr>
        <w:widowControl/>
        <w:ind w:firstLine="643"/>
        <w:rPr>
          <w:rFonts w:ascii="仿宋_GB2312" w:hAnsi="黑体" w:cs="黑体"/>
          <w:b/>
          <w:bCs/>
          <w:sz w:val="32"/>
          <w:szCs w:val="32"/>
        </w:rPr>
      </w:pPr>
    </w:p>
    <w:p>
      <w:pPr>
        <w:widowControl/>
        <w:ind w:firstLine="643"/>
        <w:rPr>
          <w:rFonts w:ascii="仿宋_GB2312" w:hAnsi="黑体" w:cs="黑体"/>
          <w:b/>
          <w:bCs/>
          <w:sz w:val="32"/>
          <w:szCs w:val="32"/>
        </w:rPr>
      </w:pPr>
    </w:p>
    <w:p>
      <w:pPr>
        <w:widowControl/>
        <w:ind w:firstLine="643"/>
        <w:rPr>
          <w:rFonts w:ascii="仿宋_GB2312" w:hAnsi="黑体" w:cs="黑体"/>
          <w:b/>
          <w:bCs/>
          <w:sz w:val="32"/>
          <w:szCs w:val="32"/>
        </w:rPr>
      </w:pPr>
    </w:p>
    <w:p>
      <w:pPr>
        <w:widowControl/>
        <w:ind w:firstLine="643"/>
        <w:rPr>
          <w:rFonts w:ascii="仿宋_GB2312" w:hAnsi="黑体" w:cs="黑体"/>
          <w:b/>
          <w:bCs/>
          <w:sz w:val="32"/>
          <w:szCs w:val="32"/>
        </w:rPr>
      </w:pPr>
    </w:p>
    <w:p>
      <w:pPr>
        <w:widowControl/>
        <w:ind w:firstLine="643"/>
        <w:rPr>
          <w:rFonts w:ascii="仿宋_GB2312" w:hAnsi="黑体" w:cs="黑体"/>
          <w:b/>
          <w:bCs/>
          <w:sz w:val="32"/>
          <w:szCs w:val="32"/>
        </w:rPr>
      </w:pPr>
    </w:p>
    <w:p>
      <w:pPr>
        <w:widowControl/>
        <w:ind w:firstLine="643"/>
        <w:rPr>
          <w:rFonts w:ascii="黑体" w:hAnsi="黑体" w:eastAsia="黑体" w:cs="黑体"/>
          <w:b/>
          <w:bCs/>
          <w:sz w:val="32"/>
          <w:szCs w:val="24"/>
          <w:highlight w:val="yellow"/>
        </w:rPr>
      </w:pPr>
    </w:p>
    <w:p>
      <w:pPr>
        <w:pStyle w:val="4"/>
      </w:pPr>
      <w:bookmarkStart w:id="152" w:name="_Toc4226"/>
      <w:bookmarkStart w:id="153" w:name="_Toc1064"/>
      <w:bookmarkStart w:id="154" w:name="_Toc27161"/>
      <w:bookmarkStart w:id="155" w:name="_Toc29787"/>
      <w:bookmarkStart w:id="156" w:name="_Toc11405"/>
      <w:bookmarkStart w:id="157" w:name="_Toc4436"/>
      <w:bookmarkStart w:id="158" w:name="_Toc8764"/>
      <w:bookmarkStart w:id="159" w:name="_Toc30131"/>
      <w:bookmarkStart w:id="160" w:name="_Toc27097"/>
      <w:bookmarkStart w:id="161" w:name="_Toc13617"/>
      <w:bookmarkStart w:id="162" w:name="_Toc12540"/>
      <w:bookmarkStart w:id="163" w:name="_Toc30938"/>
      <w:bookmarkStart w:id="164" w:name="_Toc5963"/>
      <w:bookmarkStart w:id="165" w:name="_Toc27660"/>
      <w:bookmarkStart w:id="166" w:name="_Toc31854"/>
      <w:bookmarkStart w:id="167" w:name="_Toc21683"/>
      <w:bookmarkStart w:id="168" w:name="_Toc14011"/>
      <w:bookmarkStart w:id="169" w:name="_Toc5139"/>
      <w:bookmarkStart w:id="170" w:name="_Toc1554"/>
      <w:bookmarkStart w:id="171" w:name="_Toc3390"/>
      <w:bookmarkStart w:id="172" w:name="_Toc7312"/>
      <w:bookmarkStart w:id="173" w:name="_Toc30501"/>
      <w:bookmarkStart w:id="174" w:name="_Toc25951"/>
      <w:bookmarkStart w:id="175" w:name="_Toc29989"/>
      <w:bookmarkStart w:id="176" w:name="_Toc8686"/>
      <w:bookmarkStart w:id="177" w:name="_Toc21186"/>
      <w:r>
        <w:rPr>
          <w:rFonts w:hint="eastAsia"/>
        </w:rPr>
        <w:t xml:space="preserve">第二章 </w:t>
      </w:r>
      <w:bookmarkEnd w:id="152"/>
      <w:bookmarkEnd w:id="153"/>
      <w:bookmarkEnd w:id="154"/>
      <w:bookmarkEnd w:id="155"/>
      <w:bookmarkEnd w:id="156"/>
      <w:bookmarkEnd w:id="157"/>
      <w:bookmarkEnd w:id="158"/>
      <w:bookmarkEnd w:id="159"/>
      <w:r>
        <w:rPr>
          <w:rFonts w:hint="eastAsia"/>
        </w:rPr>
        <w:t>总体要求</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pPr>
        <w:pStyle w:val="5"/>
        <w:keepNext w:val="0"/>
        <w:keepLines w:val="0"/>
        <w:spacing w:line="240" w:lineRule="auto"/>
      </w:pPr>
      <w:bookmarkStart w:id="178" w:name="_Toc11913"/>
      <w:bookmarkStart w:id="179" w:name="_Toc11108"/>
      <w:bookmarkStart w:id="180" w:name="_Toc4664"/>
      <w:bookmarkStart w:id="181" w:name="_Toc29195"/>
      <w:bookmarkStart w:id="182" w:name="_Toc825"/>
      <w:bookmarkStart w:id="183" w:name="_Toc23387"/>
      <w:bookmarkStart w:id="184" w:name="_Toc21705"/>
      <w:bookmarkStart w:id="185" w:name="_Toc5311"/>
      <w:bookmarkStart w:id="186" w:name="_Toc17183"/>
      <w:bookmarkStart w:id="187" w:name="_Toc25010"/>
      <w:bookmarkStart w:id="188" w:name="_Toc18089"/>
      <w:bookmarkStart w:id="189" w:name="_Toc27216"/>
      <w:bookmarkStart w:id="190" w:name="_Toc12870"/>
      <w:bookmarkStart w:id="191" w:name="_Toc13645"/>
      <w:bookmarkStart w:id="192" w:name="_Toc17506"/>
      <w:bookmarkStart w:id="193" w:name="_Toc26890"/>
      <w:bookmarkStart w:id="194" w:name="_Toc16317"/>
      <w:bookmarkStart w:id="195" w:name="_Toc19171"/>
      <w:bookmarkStart w:id="196" w:name="_Toc3628"/>
      <w:bookmarkStart w:id="197" w:name="_Toc17011"/>
      <w:bookmarkStart w:id="198" w:name="_Toc15893"/>
      <w:bookmarkStart w:id="199" w:name="_Toc14955"/>
      <w:bookmarkStart w:id="200" w:name="_Toc21896"/>
      <w:bookmarkStart w:id="201" w:name="_Toc16909"/>
      <w:bookmarkStart w:id="202" w:name="_Toc16291"/>
      <w:bookmarkStart w:id="203" w:name="_Toc19250"/>
      <w:r>
        <w:t>一、指导思想</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pPr>
        <w:ind w:firstLine="640"/>
        <w:rPr>
          <w:rFonts w:ascii="仿宋_GB2312"/>
          <w:sz w:val="32"/>
          <w:szCs w:val="32"/>
        </w:rPr>
      </w:pPr>
      <w:r>
        <w:rPr>
          <w:rFonts w:hint="eastAsia" w:ascii="仿宋_GB2312"/>
          <w:sz w:val="32"/>
          <w:szCs w:val="32"/>
        </w:rPr>
        <w:t>深入贯彻习近平生态文明思想，坚定践行“绿水青山就是金山银山”理念，以持续改善生态环境质量为核心，以协同推动生态环境高水平保护和经济高质量发展为主线，以全面提升生态环境治理体系和治理能力现代化为支撑，全力打好环境巩固提升持久战，有效防控环境风险，维护生态安全，积极应对气候变化，不断厚植生态文明特色优势，加快助力建设人与自然和谐相处、共生共荣的宜居城市，努力打造新时代全面展示习近平生态文明思想的重要窗口，为杭州建成具有全球影响力的独特韵味别样精彩世界名城奠定良好的生态基础。</w:t>
      </w:r>
    </w:p>
    <w:p>
      <w:pPr>
        <w:pStyle w:val="5"/>
        <w:keepNext w:val="0"/>
        <w:keepLines w:val="0"/>
        <w:spacing w:line="240" w:lineRule="auto"/>
      </w:pPr>
      <w:bookmarkStart w:id="204" w:name="_Toc12079"/>
      <w:bookmarkStart w:id="205" w:name="_Toc11923"/>
      <w:bookmarkStart w:id="206" w:name="_Toc12829"/>
      <w:bookmarkStart w:id="207" w:name="_Toc27274"/>
      <w:bookmarkStart w:id="208" w:name="_Toc14070"/>
      <w:bookmarkStart w:id="209" w:name="_Toc28435"/>
      <w:bookmarkStart w:id="210" w:name="_Toc25984"/>
      <w:bookmarkStart w:id="211" w:name="_Toc30125"/>
      <w:bookmarkStart w:id="212" w:name="_Toc5001"/>
      <w:bookmarkStart w:id="213" w:name="_Toc11631"/>
      <w:bookmarkStart w:id="214" w:name="_Toc3020"/>
      <w:bookmarkStart w:id="215" w:name="_Toc16430"/>
      <w:bookmarkStart w:id="216" w:name="_Toc14573"/>
      <w:bookmarkStart w:id="217" w:name="_Toc18934"/>
      <w:bookmarkStart w:id="218" w:name="_Toc23928"/>
      <w:bookmarkStart w:id="219" w:name="_Toc8233"/>
      <w:bookmarkStart w:id="220" w:name="_Toc3465"/>
      <w:bookmarkStart w:id="221" w:name="_Toc700"/>
      <w:bookmarkStart w:id="222" w:name="_Toc11483"/>
      <w:bookmarkStart w:id="223" w:name="_Toc16314"/>
      <w:bookmarkStart w:id="224" w:name="_Toc24998"/>
      <w:bookmarkStart w:id="225" w:name="_Toc2043"/>
      <w:bookmarkStart w:id="226" w:name="_Toc18947"/>
      <w:bookmarkStart w:id="227" w:name="_Toc21087"/>
      <w:bookmarkStart w:id="228" w:name="_Toc18994"/>
      <w:bookmarkStart w:id="229" w:name="_Toc32173"/>
      <w:r>
        <w:t>二、基本原则</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pPr>
        <w:ind w:firstLineChars="0"/>
        <w:rPr>
          <w:rFonts w:ascii="仿宋_GB2312"/>
          <w:sz w:val="32"/>
          <w:szCs w:val="32"/>
        </w:rPr>
      </w:pPr>
      <w:r>
        <w:rPr>
          <w:rFonts w:hint="eastAsia" w:ascii="仿宋_GB2312"/>
          <w:bCs/>
          <w:sz w:val="32"/>
          <w:szCs w:val="32"/>
        </w:rPr>
        <w:t>生态优先，绿色发展。</w:t>
      </w:r>
      <w:r>
        <w:rPr>
          <w:rFonts w:hint="eastAsia" w:ascii="仿宋_GB2312"/>
          <w:sz w:val="32"/>
          <w:szCs w:val="32"/>
        </w:rPr>
        <w:t>坚持人与自然和谐共生，尊重自然、顺应自然、保护自然，落实生态安全观，建立健全以生态系统良性循环和生态环境风险有效防控为重点的生态安全体系。贯彻新发展理念，推进碳达峰、碳中和，形成节约资源保护环境的空间格局、生产方式、生活方式，将生态环境保护融入经济社会发展全过程。</w:t>
      </w:r>
    </w:p>
    <w:p>
      <w:pPr>
        <w:ind w:firstLine="640"/>
        <w:rPr>
          <w:rFonts w:ascii="仿宋_GB2312"/>
          <w:sz w:val="32"/>
          <w:szCs w:val="32"/>
        </w:rPr>
      </w:pPr>
      <w:r>
        <w:rPr>
          <w:rFonts w:hint="eastAsia" w:ascii="仿宋_GB2312"/>
          <w:bCs/>
          <w:sz w:val="32"/>
          <w:szCs w:val="32"/>
        </w:rPr>
        <w:t>联动保护，系统推进。</w:t>
      </w:r>
      <w:r>
        <w:rPr>
          <w:rFonts w:hint="eastAsia" w:ascii="仿宋_GB2312"/>
          <w:sz w:val="32"/>
          <w:szCs w:val="32"/>
        </w:rPr>
        <w:t>以改善生态环境质量为核心，推进精准、科学、依法、系统治污。联动实施西湖全域综合提升和西溪湿地原生态保护提升。坚持山水林田湖草沙是生命共同体，立足当下，着眼长远，全要素、全方位、全地域、全过程协同推进环境治理、生态保护修复与应对气候变化工作。</w:t>
      </w:r>
    </w:p>
    <w:p>
      <w:pPr>
        <w:ind w:firstLineChars="0"/>
        <w:rPr>
          <w:rFonts w:ascii="仿宋_GB2312"/>
          <w:sz w:val="32"/>
          <w:szCs w:val="32"/>
        </w:rPr>
      </w:pPr>
      <w:r>
        <w:rPr>
          <w:rFonts w:hint="eastAsia" w:ascii="仿宋_GB2312"/>
          <w:bCs/>
          <w:sz w:val="32"/>
          <w:szCs w:val="32"/>
        </w:rPr>
        <w:t>数字赋能，改革创新。</w:t>
      </w:r>
      <w:r>
        <w:rPr>
          <w:rFonts w:hint="eastAsia" w:ascii="仿宋_GB2312"/>
          <w:sz w:val="32"/>
          <w:szCs w:val="32"/>
        </w:rPr>
        <w:t>以数字化改革为牵引，坚持“整体智治、唯实惟先”理念，强化数字赋能和科技支撑，加大改革创新力度。深化“智慧环保”建设，推进数字治水、数字治气、数字治土、数字治废和生态空间数字化管控，提升生态环保管理信息化、数字化、智能化水平，推进生态环境治理体系和治理能力现代化。</w:t>
      </w:r>
    </w:p>
    <w:p>
      <w:pPr>
        <w:ind w:firstLineChars="0"/>
        <w:rPr>
          <w:rFonts w:ascii="仿宋_GB2312"/>
          <w:sz w:val="32"/>
          <w:szCs w:val="32"/>
        </w:rPr>
      </w:pPr>
      <w:r>
        <w:rPr>
          <w:rFonts w:hint="eastAsia" w:ascii="仿宋_GB2312"/>
          <w:bCs/>
          <w:sz w:val="32"/>
          <w:szCs w:val="32"/>
        </w:rPr>
        <w:t>全民行动，共建共享。</w:t>
      </w:r>
      <w:r>
        <w:rPr>
          <w:rFonts w:hint="eastAsia" w:ascii="仿宋_GB2312"/>
          <w:sz w:val="32"/>
          <w:szCs w:val="32"/>
        </w:rPr>
        <w:t>坚持以人民为中心的发展思想，依靠人民，服务人民，引导社会公众有序参与环境决策、环境治理和环境监督，探索共建共治共享新路径、新机制、新载体，充分调动社会公众参与生态环境保护的积极性，形成政府、企业、公众良性互动的环境共治体系。</w:t>
      </w:r>
    </w:p>
    <w:p>
      <w:pPr>
        <w:pStyle w:val="5"/>
      </w:pPr>
      <w:bookmarkStart w:id="230" w:name="_Toc28791"/>
      <w:bookmarkStart w:id="231" w:name="_Toc7143"/>
      <w:bookmarkStart w:id="232" w:name="_Toc30286"/>
      <w:bookmarkStart w:id="233" w:name="_Toc6599"/>
      <w:bookmarkStart w:id="234" w:name="_Toc31001"/>
      <w:bookmarkStart w:id="235" w:name="_Toc22462"/>
      <w:bookmarkStart w:id="236" w:name="_Toc22499"/>
      <w:bookmarkStart w:id="237" w:name="_Toc24064"/>
      <w:bookmarkStart w:id="238" w:name="_Toc28964"/>
      <w:bookmarkStart w:id="239" w:name="_Toc20093"/>
      <w:bookmarkStart w:id="240" w:name="_Toc32527"/>
      <w:bookmarkStart w:id="241" w:name="_Toc28963"/>
      <w:bookmarkStart w:id="242" w:name="_Toc19160"/>
      <w:bookmarkStart w:id="243" w:name="_Toc27780"/>
      <w:bookmarkStart w:id="244" w:name="_Toc2383"/>
      <w:bookmarkStart w:id="245" w:name="_Toc24814"/>
      <w:bookmarkStart w:id="246" w:name="_Toc13073"/>
      <w:bookmarkStart w:id="247" w:name="_Toc13566"/>
      <w:bookmarkStart w:id="248" w:name="_Toc10433"/>
      <w:bookmarkStart w:id="249" w:name="_Toc21990"/>
      <w:bookmarkStart w:id="250" w:name="_Toc22418"/>
      <w:bookmarkStart w:id="251" w:name="_Toc9001"/>
      <w:bookmarkStart w:id="252" w:name="_Toc5949"/>
      <w:bookmarkStart w:id="253" w:name="_Toc16323"/>
      <w:bookmarkStart w:id="254" w:name="_Toc23315"/>
      <w:bookmarkStart w:id="255" w:name="_Toc9503"/>
      <w:bookmarkStart w:id="256" w:name="_Toc31596"/>
      <w:bookmarkStart w:id="257" w:name="_Toc20604"/>
      <w:bookmarkStart w:id="258" w:name="_Toc22718"/>
      <w:bookmarkStart w:id="259" w:name="_Toc19019"/>
      <w:bookmarkStart w:id="260" w:name="_Toc25216"/>
      <w:bookmarkStart w:id="261" w:name="_Toc16977"/>
      <w:bookmarkStart w:id="262" w:name="_Toc25303"/>
      <w:bookmarkStart w:id="263" w:name="_Toc15526"/>
      <w:bookmarkStart w:id="264" w:name="_Toc8599"/>
      <w:bookmarkStart w:id="265" w:name="_Toc29586"/>
      <w:bookmarkStart w:id="266" w:name="_Toc27681"/>
      <w:bookmarkStart w:id="267" w:name="_Toc5264"/>
      <w:r>
        <w:t>三、</w:t>
      </w:r>
      <w:r>
        <w:rPr>
          <w:rFonts w:hint="eastAsia"/>
        </w:rPr>
        <w:t>编制依据</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pPr>
        <w:pStyle w:val="6"/>
        <w:ind w:firstLine="640"/>
        <w:rPr>
          <w:b w:val="0"/>
        </w:rPr>
      </w:pPr>
      <w:bookmarkStart w:id="268" w:name="_Toc11879"/>
      <w:bookmarkStart w:id="269" w:name="_Toc21825"/>
      <w:bookmarkStart w:id="270" w:name="_Toc124"/>
      <w:bookmarkStart w:id="271" w:name="_Toc4624"/>
      <w:bookmarkStart w:id="272" w:name="_Toc14882"/>
      <w:bookmarkStart w:id="273" w:name="_Toc27781"/>
      <w:r>
        <w:rPr>
          <w:rFonts w:hint="eastAsia"/>
          <w:b w:val="0"/>
        </w:rPr>
        <w:t>（一）法律法规</w:t>
      </w:r>
      <w:bookmarkEnd w:id="268"/>
      <w:bookmarkEnd w:id="269"/>
      <w:bookmarkEnd w:id="270"/>
      <w:bookmarkEnd w:id="271"/>
      <w:bookmarkEnd w:id="272"/>
      <w:bookmarkEnd w:id="273"/>
    </w:p>
    <w:p>
      <w:pPr>
        <w:ind w:left="560" w:leftChars="200" w:firstLine="0" w:firstLineChars="0"/>
        <w:rPr>
          <w:rFonts w:ascii="仿宋_GB2312"/>
          <w:sz w:val="32"/>
          <w:szCs w:val="32"/>
        </w:rPr>
      </w:pPr>
      <w:r>
        <w:rPr>
          <w:rFonts w:hint="eastAsia" w:ascii="仿宋_GB2312"/>
          <w:sz w:val="32"/>
          <w:szCs w:val="32"/>
        </w:rPr>
        <w:t>（1）《中华人民共和国环境保护法》，2015年；</w:t>
      </w:r>
    </w:p>
    <w:p>
      <w:pPr>
        <w:ind w:left="560" w:leftChars="200" w:firstLine="0" w:firstLineChars="0"/>
        <w:rPr>
          <w:rFonts w:ascii="仿宋_GB2312"/>
          <w:sz w:val="32"/>
          <w:szCs w:val="32"/>
        </w:rPr>
      </w:pPr>
      <w:r>
        <w:rPr>
          <w:rFonts w:hint="eastAsia" w:ascii="仿宋_GB2312"/>
          <w:sz w:val="32"/>
          <w:szCs w:val="32"/>
        </w:rPr>
        <w:t>（2）《中华人民共和国水污染防治法》，2017年；</w:t>
      </w:r>
    </w:p>
    <w:p>
      <w:pPr>
        <w:ind w:firstLine="640"/>
        <w:rPr>
          <w:rFonts w:ascii="仿宋_GB2312"/>
          <w:sz w:val="32"/>
          <w:szCs w:val="32"/>
        </w:rPr>
      </w:pPr>
      <w:r>
        <w:rPr>
          <w:rFonts w:hint="eastAsia" w:ascii="仿宋_GB2312"/>
          <w:sz w:val="32"/>
          <w:szCs w:val="32"/>
        </w:rPr>
        <w:t>（3）《中华人民共和国水法》，2002年；</w:t>
      </w:r>
    </w:p>
    <w:p>
      <w:pPr>
        <w:ind w:firstLine="640"/>
        <w:rPr>
          <w:rFonts w:ascii="仿宋_GB2312"/>
          <w:sz w:val="32"/>
          <w:szCs w:val="32"/>
        </w:rPr>
      </w:pPr>
      <w:r>
        <w:rPr>
          <w:rFonts w:hint="eastAsia" w:ascii="仿宋_GB2312"/>
          <w:sz w:val="32"/>
          <w:szCs w:val="32"/>
        </w:rPr>
        <w:t>（4）《中华人民共和国大气污染防治法》，2018年；</w:t>
      </w:r>
    </w:p>
    <w:p>
      <w:pPr>
        <w:ind w:firstLine="640"/>
        <w:rPr>
          <w:rFonts w:ascii="仿宋_GB2312"/>
          <w:sz w:val="32"/>
          <w:szCs w:val="32"/>
        </w:rPr>
      </w:pPr>
      <w:r>
        <w:rPr>
          <w:rFonts w:hint="eastAsia" w:ascii="仿宋_GB2312"/>
          <w:sz w:val="32"/>
          <w:szCs w:val="32"/>
        </w:rPr>
        <w:t>（5）《中华人民共和国环境噪声污染防治法》，2018年；</w:t>
      </w:r>
    </w:p>
    <w:p>
      <w:pPr>
        <w:ind w:firstLine="640"/>
        <w:rPr>
          <w:rFonts w:ascii="仿宋_GB2312"/>
          <w:sz w:val="32"/>
          <w:szCs w:val="32"/>
        </w:rPr>
      </w:pPr>
      <w:r>
        <w:rPr>
          <w:rFonts w:hint="eastAsia" w:ascii="仿宋_GB2312"/>
          <w:sz w:val="32"/>
          <w:szCs w:val="32"/>
        </w:rPr>
        <w:t>（6）《中华人民共和国固体废物污染环境防治法》，2020年；</w:t>
      </w:r>
    </w:p>
    <w:p>
      <w:pPr>
        <w:ind w:firstLine="640"/>
        <w:rPr>
          <w:rFonts w:ascii="仿宋_GB2312"/>
          <w:sz w:val="32"/>
          <w:szCs w:val="32"/>
        </w:rPr>
      </w:pPr>
      <w:r>
        <w:rPr>
          <w:rFonts w:hint="eastAsia" w:ascii="仿宋_GB2312"/>
          <w:sz w:val="32"/>
          <w:szCs w:val="32"/>
        </w:rPr>
        <w:t>（7）《杭州西湖风景名胜区保护管理条例》，2004年；</w:t>
      </w:r>
    </w:p>
    <w:p>
      <w:pPr>
        <w:ind w:firstLine="640"/>
        <w:rPr>
          <w:rFonts w:ascii="仿宋_GB2312"/>
          <w:sz w:val="32"/>
          <w:szCs w:val="32"/>
        </w:rPr>
      </w:pPr>
      <w:r>
        <w:rPr>
          <w:rFonts w:hint="eastAsia" w:ascii="仿宋_GB2312"/>
          <w:sz w:val="32"/>
          <w:szCs w:val="32"/>
        </w:rPr>
        <w:t>（8）《杭州市西湖水域保护管理条例》，2004年；</w:t>
      </w:r>
    </w:p>
    <w:p>
      <w:pPr>
        <w:ind w:firstLine="640"/>
        <w:rPr>
          <w:rFonts w:ascii="仿宋_GB2312"/>
          <w:sz w:val="32"/>
          <w:szCs w:val="32"/>
        </w:rPr>
      </w:pPr>
      <w:r>
        <w:rPr>
          <w:rFonts w:hint="eastAsia" w:ascii="仿宋_GB2312"/>
          <w:sz w:val="32"/>
          <w:szCs w:val="32"/>
        </w:rPr>
        <w:t>（9）《杭州市西湖龙井茶基地保护条例》，2010年；</w:t>
      </w:r>
    </w:p>
    <w:p>
      <w:pPr>
        <w:ind w:firstLine="640"/>
        <w:rPr>
          <w:rFonts w:ascii="仿宋_GB2312"/>
          <w:sz w:val="32"/>
          <w:szCs w:val="32"/>
        </w:rPr>
      </w:pPr>
      <w:r>
        <w:rPr>
          <w:rFonts w:hint="eastAsia" w:ascii="仿宋_GB2312"/>
          <w:sz w:val="32"/>
          <w:szCs w:val="32"/>
        </w:rPr>
        <w:t>（10）《杭州西湖文化景观保护管理条例》，2012年；</w:t>
      </w:r>
    </w:p>
    <w:p>
      <w:pPr>
        <w:ind w:firstLine="640"/>
        <w:rPr>
          <w:rFonts w:ascii="仿宋_GB2312"/>
          <w:sz w:val="32"/>
          <w:szCs w:val="32"/>
        </w:rPr>
      </w:pPr>
      <w:r>
        <w:rPr>
          <w:rFonts w:hint="eastAsia" w:ascii="仿宋_GB2312"/>
          <w:sz w:val="32"/>
          <w:szCs w:val="32"/>
        </w:rPr>
        <w:t>（11）其他相关法律法规。</w:t>
      </w:r>
    </w:p>
    <w:p>
      <w:pPr>
        <w:pStyle w:val="6"/>
        <w:ind w:firstLine="640"/>
        <w:rPr>
          <w:rFonts w:ascii="仿宋_GB2312" w:eastAsia="仿宋_GB2312"/>
          <w:b w:val="0"/>
          <w:szCs w:val="32"/>
        </w:rPr>
      </w:pPr>
      <w:r>
        <w:rPr>
          <w:rStyle w:val="14"/>
          <w:rFonts w:hint="eastAsia" w:ascii="仿宋_GB2312" w:eastAsia="仿宋_GB2312"/>
          <w:b w:val="0"/>
          <w:szCs w:val="32"/>
        </w:rPr>
        <w:t>（二）其他规范性</w:t>
      </w:r>
      <w:r>
        <w:rPr>
          <w:rFonts w:hint="eastAsia" w:ascii="仿宋_GB2312" w:eastAsia="仿宋_GB2312"/>
          <w:b w:val="0"/>
          <w:szCs w:val="32"/>
        </w:rPr>
        <w:t>文件、</w:t>
      </w:r>
      <w:r>
        <w:rPr>
          <w:rStyle w:val="14"/>
          <w:rFonts w:hint="eastAsia" w:ascii="仿宋_GB2312" w:eastAsia="仿宋_GB2312"/>
          <w:b w:val="0"/>
          <w:szCs w:val="32"/>
        </w:rPr>
        <w:t>规划和方案</w:t>
      </w:r>
    </w:p>
    <w:p>
      <w:pPr>
        <w:ind w:firstLine="640"/>
        <w:rPr>
          <w:rFonts w:ascii="仿宋_GB2312"/>
          <w:sz w:val="32"/>
          <w:szCs w:val="32"/>
        </w:rPr>
      </w:pPr>
      <w:r>
        <w:rPr>
          <w:rFonts w:hint="eastAsia" w:ascii="仿宋_GB2312"/>
          <w:sz w:val="32"/>
          <w:szCs w:val="32"/>
        </w:rPr>
        <w:t>（1）《浙江省生态环境厅 浙江省农业农村厅 浙江省水利厅关于印发&lt;浙江省水生生物多样性保护实施方案&gt;的通知》（浙环函〔2020〕106号）；</w:t>
      </w:r>
    </w:p>
    <w:p>
      <w:pPr>
        <w:ind w:firstLine="640"/>
        <w:rPr>
          <w:rFonts w:ascii="仿宋_GB2312"/>
          <w:sz w:val="32"/>
          <w:szCs w:val="32"/>
        </w:rPr>
      </w:pPr>
      <w:r>
        <w:rPr>
          <w:rFonts w:hint="eastAsia" w:ascii="仿宋_GB2312"/>
          <w:sz w:val="32"/>
          <w:szCs w:val="32"/>
        </w:rPr>
        <w:t>（2）《中共杭州市委 杭州市人民政府关于印发&lt;新时代美丽杭州建设实施纲要（2020-2035年）&gt;的通知》（市委发〔2020〕13号）；</w:t>
      </w:r>
    </w:p>
    <w:p>
      <w:pPr>
        <w:ind w:firstLine="640"/>
        <w:rPr>
          <w:rFonts w:ascii="仿宋_GB2312"/>
          <w:sz w:val="32"/>
          <w:szCs w:val="32"/>
        </w:rPr>
      </w:pPr>
      <w:r>
        <w:rPr>
          <w:rFonts w:hint="eastAsia" w:ascii="仿宋_GB2312"/>
          <w:sz w:val="32"/>
          <w:szCs w:val="32"/>
        </w:rPr>
        <w:t>（3）《美丽杭州建设领导小组关于印发&lt;新时代美丽杭州建设三年行动计划（2020-2022年）&gt;的通知》（杭美建〔2020〕8号）；</w:t>
      </w:r>
    </w:p>
    <w:p>
      <w:pPr>
        <w:ind w:firstLine="640"/>
        <w:rPr>
          <w:rFonts w:ascii="仿宋_GB2312"/>
          <w:sz w:val="32"/>
          <w:szCs w:val="32"/>
        </w:rPr>
      </w:pPr>
      <w:r>
        <w:rPr>
          <w:rFonts w:hint="eastAsia" w:ascii="仿宋_GB2312"/>
          <w:sz w:val="32"/>
          <w:szCs w:val="32"/>
        </w:rPr>
        <w:t>（4）《杭州市生态环境局关于印发&lt;杭州市“三线一单”生态环境分区管控方案&gt;的通知》（杭环发〔2020〕56号）；</w:t>
      </w:r>
    </w:p>
    <w:p>
      <w:pPr>
        <w:ind w:firstLine="640"/>
        <w:rPr>
          <w:rFonts w:ascii="仿宋_GB2312"/>
          <w:sz w:val="32"/>
          <w:szCs w:val="32"/>
        </w:rPr>
      </w:pPr>
      <w:r>
        <w:rPr>
          <w:rFonts w:hint="eastAsia" w:ascii="仿宋_GB2312"/>
          <w:sz w:val="32"/>
          <w:szCs w:val="32"/>
        </w:rPr>
        <w:t>（5）《杭州市人民政府办公厅关于印发&lt;杭州市节水行动实施方案&gt;的通知》（杭政办函〔2020〕45号）；</w:t>
      </w:r>
    </w:p>
    <w:p>
      <w:pPr>
        <w:ind w:firstLine="640"/>
        <w:rPr>
          <w:rFonts w:ascii="仿宋_GB2312"/>
          <w:sz w:val="32"/>
          <w:szCs w:val="32"/>
        </w:rPr>
      </w:pPr>
      <w:r>
        <w:rPr>
          <w:rFonts w:hint="eastAsia" w:ascii="仿宋_GB2312"/>
          <w:sz w:val="32"/>
          <w:szCs w:val="32"/>
        </w:rPr>
        <w:t>（6）《关于印发&lt;杭州西湖风景名胜区“污水零直排区”建设行动方案&gt;的通知》（杭西管办〔2018〕123号）；</w:t>
      </w:r>
    </w:p>
    <w:p>
      <w:pPr>
        <w:ind w:firstLine="640"/>
        <w:rPr>
          <w:rFonts w:ascii="仿宋_GB2312"/>
          <w:sz w:val="32"/>
          <w:szCs w:val="32"/>
        </w:rPr>
      </w:pPr>
      <w:r>
        <w:rPr>
          <w:rFonts w:hint="eastAsia" w:ascii="仿宋_GB2312"/>
          <w:sz w:val="32"/>
          <w:szCs w:val="32"/>
        </w:rPr>
        <w:t>（7）《关于印发&lt;杭州西湖风景名胜区“无废城市”建设工作方案&gt;的通知》（杭西管办〔2020〕85号）；</w:t>
      </w:r>
    </w:p>
    <w:p>
      <w:pPr>
        <w:ind w:firstLine="640"/>
        <w:rPr>
          <w:rFonts w:ascii="仿宋_GB2312"/>
          <w:sz w:val="32"/>
          <w:szCs w:val="32"/>
        </w:rPr>
      </w:pPr>
      <w:r>
        <w:rPr>
          <w:rFonts w:hint="eastAsia" w:ascii="仿宋_GB2312"/>
          <w:sz w:val="32"/>
          <w:szCs w:val="32"/>
        </w:rPr>
        <w:t>（8）《关于建立以国家公园为主体的自然保护地体系的指导意见》，2019年；</w:t>
      </w:r>
    </w:p>
    <w:p>
      <w:pPr>
        <w:ind w:firstLine="640"/>
        <w:rPr>
          <w:rFonts w:ascii="仿宋_GB2312"/>
          <w:sz w:val="32"/>
          <w:szCs w:val="32"/>
        </w:rPr>
      </w:pPr>
      <w:r>
        <w:rPr>
          <w:rFonts w:hint="eastAsia" w:ascii="仿宋_GB2312"/>
          <w:sz w:val="32"/>
          <w:szCs w:val="32"/>
        </w:rPr>
        <w:t>（9）《杭州市国土空间总体规划（2021-2035年）》，2021年；</w:t>
      </w:r>
    </w:p>
    <w:p>
      <w:pPr>
        <w:ind w:firstLine="640"/>
        <w:rPr>
          <w:rFonts w:ascii="仿宋_GB2312"/>
          <w:sz w:val="32"/>
          <w:szCs w:val="32"/>
        </w:rPr>
      </w:pPr>
      <w:r>
        <w:rPr>
          <w:rFonts w:hint="eastAsia" w:ascii="仿宋_GB2312"/>
          <w:sz w:val="32"/>
          <w:szCs w:val="32"/>
        </w:rPr>
        <w:t>（10）《杭州市生态环境保护“十四五”规划》，2021年；</w:t>
      </w:r>
    </w:p>
    <w:p>
      <w:pPr>
        <w:ind w:firstLine="640"/>
        <w:rPr>
          <w:rFonts w:ascii="仿宋_GB2312"/>
          <w:sz w:val="32"/>
          <w:szCs w:val="32"/>
        </w:rPr>
      </w:pPr>
      <w:r>
        <w:rPr>
          <w:rFonts w:hint="eastAsia" w:ascii="仿宋_GB2312"/>
          <w:sz w:val="32"/>
          <w:szCs w:val="32"/>
        </w:rPr>
        <w:t>（11）《杭州市重点流域水生态环境保护“十四五”规划》，2021年；</w:t>
      </w:r>
    </w:p>
    <w:p>
      <w:pPr>
        <w:ind w:firstLine="640"/>
        <w:rPr>
          <w:rFonts w:ascii="仿宋_GB2312"/>
          <w:sz w:val="32"/>
          <w:szCs w:val="32"/>
        </w:rPr>
      </w:pPr>
      <w:r>
        <w:rPr>
          <w:rFonts w:hint="eastAsia" w:ascii="仿宋_GB2312"/>
          <w:sz w:val="32"/>
          <w:szCs w:val="32"/>
        </w:rPr>
        <w:t>（12）《杭州市“十四五”大气污染防治专项规划》，2021年；</w:t>
      </w:r>
    </w:p>
    <w:p>
      <w:pPr>
        <w:ind w:firstLine="640"/>
        <w:rPr>
          <w:rFonts w:ascii="仿宋_GB2312"/>
          <w:sz w:val="32"/>
          <w:szCs w:val="32"/>
        </w:rPr>
      </w:pPr>
      <w:r>
        <w:rPr>
          <w:rFonts w:hint="eastAsia" w:ascii="仿宋_GB2312"/>
          <w:sz w:val="32"/>
          <w:szCs w:val="32"/>
        </w:rPr>
        <w:t>（13）其他相关规范性文件、规划和方案。</w:t>
      </w:r>
    </w:p>
    <w:p>
      <w:pPr>
        <w:pStyle w:val="5"/>
      </w:pPr>
      <w:bookmarkStart w:id="274" w:name="_Toc20389"/>
      <w:bookmarkStart w:id="275" w:name="_Toc24474"/>
      <w:bookmarkStart w:id="276" w:name="_Toc660"/>
      <w:bookmarkStart w:id="277" w:name="_Toc3412"/>
      <w:bookmarkStart w:id="278" w:name="_Toc1740"/>
      <w:bookmarkStart w:id="279" w:name="_Toc30788"/>
      <w:r>
        <w:rPr>
          <w:rFonts w:hint="eastAsia"/>
        </w:rPr>
        <w:t>四</w:t>
      </w:r>
      <w:r>
        <w:t>、目标指标</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74"/>
      <w:bookmarkEnd w:id="275"/>
      <w:bookmarkEnd w:id="276"/>
      <w:bookmarkEnd w:id="277"/>
      <w:bookmarkEnd w:id="278"/>
      <w:bookmarkEnd w:id="279"/>
    </w:p>
    <w:p>
      <w:pPr>
        <w:pStyle w:val="6"/>
        <w:ind w:firstLine="640"/>
        <w:rPr>
          <w:rFonts w:ascii="楷体_GB2312" w:eastAsia="楷体_GB2312"/>
          <w:b w:val="0"/>
        </w:rPr>
      </w:pPr>
      <w:bookmarkStart w:id="280" w:name="_Toc22402"/>
      <w:bookmarkStart w:id="281" w:name="_Toc16715"/>
      <w:bookmarkStart w:id="282" w:name="_Toc12525"/>
      <w:bookmarkStart w:id="283" w:name="_Toc89"/>
      <w:bookmarkStart w:id="284" w:name="_Toc25630"/>
      <w:bookmarkStart w:id="285" w:name="_Toc8628"/>
      <w:bookmarkStart w:id="286" w:name="_Toc13878"/>
      <w:bookmarkStart w:id="287" w:name="_Toc15062"/>
      <w:bookmarkStart w:id="288" w:name="_Toc22190"/>
      <w:bookmarkStart w:id="289" w:name="_Toc8253"/>
      <w:bookmarkStart w:id="290" w:name="_Toc26944"/>
      <w:bookmarkStart w:id="291" w:name="_Toc15513"/>
      <w:bookmarkStart w:id="292" w:name="_Toc406"/>
      <w:bookmarkStart w:id="293" w:name="_Toc6627"/>
      <w:bookmarkStart w:id="294" w:name="_Toc2375"/>
      <w:bookmarkStart w:id="295" w:name="_Toc10941"/>
      <w:bookmarkStart w:id="296" w:name="_Toc26362"/>
      <w:bookmarkStart w:id="297" w:name="_Toc9456"/>
      <w:r>
        <w:rPr>
          <w:rFonts w:hint="eastAsia" w:ascii="楷体_GB2312" w:eastAsia="楷体_GB2312"/>
          <w:b w:val="0"/>
        </w:rPr>
        <w:t>（一）总体目标</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pPr>
        <w:ind w:firstLine="640"/>
        <w:rPr>
          <w:rFonts w:ascii="仿宋_GB2312"/>
          <w:sz w:val="32"/>
          <w:szCs w:val="32"/>
        </w:rPr>
      </w:pPr>
      <w:r>
        <w:rPr>
          <w:rFonts w:hint="eastAsia" w:ascii="仿宋_GB2312"/>
          <w:sz w:val="32"/>
          <w:szCs w:val="32"/>
        </w:rPr>
        <w:t>到2022年，短板攻坚、保障亚运，解决突出的生态环境问题。到2025年，将西湖景区建设成为空间优化、绿色发展、空气清新、水体洁净、土壤安全、生态良好、人居整洁的高水平风景名胜区，让“西湖繁星闪烁”成为西湖景区的生动写照。</w:t>
      </w:r>
    </w:p>
    <w:p>
      <w:pPr>
        <w:ind w:firstLine="640"/>
        <w:rPr>
          <w:rFonts w:ascii="仿宋_GB2312"/>
          <w:sz w:val="32"/>
          <w:szCs w:val="32"/>
        </w:rPr>
      </w:pPr>
      <w:r>
        <w:rPr>
          <w:rFonts w:hint="eastAsia" w:ascii="仿宋_GB2312"/>
          <w:bCs/>
          <w:sz w:val="32"/>
          <w:szCs w:val="32"/>
        </w:rPr>
        <w:t>——生态环境质量持续改善。</w:t>
      </w:r>
      <w:r>
        <w:rPr>
          <w:rFonts w:hint="eastAsia" w:ascii="仿宋_GB2312"/>
          <w:sz w:val="32"/>
          <w:szCs w:val="32"/>
        </w:rPr>
        <w:t>水环境质量稳步提升，水生态系统功能逐步恢复；空气质量稳步改善，环境空气质量优良比例和PM</w:t>
      </w:r>
      <w:r>
        <w:rPr>
          <w:rFonts w:hint="eastAsia" w:ascii="仿宋_GB2312"/>
          <w:sz w:val="32"/>
          <w:szCs w:val="32"/>
          <w:vertAlign w:val="subscript"/>
        </w:rPr>
        <w:t>2.5</w:t>
      </w:r>
      <w:r>
        <w:rPr>
          <w:rFonts w:hint="eastAsia" w:ascii="仿宋_GB2312"/>
          <w:sz w:val="32"/>
          <w:szCs w:val="32"/>
        </w:rPr>
        <w:t>年均值浓度达到考核要求；全力保障土壤安全，完成“无废景区”建设。让天更蓝、地更净、水更清、空气更清新，生态环境公众满意度持续提升。</w:t>
      </w:r>
    </w:p>
    <w:p>
      <w:pPr>
        <w:ind w:firstLine="640"/>
        <w:rPr>
          <w:rFonts w:ascii="仿宋_GB2312"/>
          <w:bCs/>
          <w:sz w:val="32"/>
          <w:szCs w:val="32"/>
        </w:rPr>
      </w:pPr>
      <w:r>
        <w:rPr>
          <w:rFonts w:hint="eastAsia" w:ascii="仿宋_GB2312"/>
          <w:bCs/>
          <w:sz w:val="32"/>
          <w:szCs w:val="32"/>
        </w:rPr>
        <w:t>——生态环境安全有力保障。</w:t>
      </w:r>
      <w:r>
        <w:rPr>
          <w:rFonts w:hint="eastAsia" w:ascii="仿宋_GB2312"/>
          <w:sz w:val="32"/>
          <w:szCs w:val="32"/>
        </w:rPr>
        <w:t>实施西湖全域综合提升行动，强化自然生态景观保护，山水林田湖草一体的生态系统实现良性循环，生物多样性得到有效保护，生态安全得到有效维护，生态环境风险防控有力，生态系统服务功能不断增强。</w:t>
      </w:r>
    </w:p>
    <w:p>
      <w:pPr>
        <w:ind w:firstLine="640"/>
        <w:rPr>
          <w:rFonts w:ascii="仿宋_GB2312"/>
          <w:sz w:val="32"/>
          <w:szCs w:val="32"/>
        </w:rPr>
      </w:pPr>
      <w:r>
        <w:rPr>
          <w:rFonts w:hint="eastAsia" w:ascii="仿宋_GB2312"/>
          <w:bCs/>
          <w:sz w:val="32"/>
          <w:szCs w:val="32"/>
        </w:rPr>
        <w:t>——生态环境治理体系与治理能力全面提升。</w:t>
      </w:r>
      <w:r>
        <w:rPr>
          <w:rFonts w:hint="eastAsia" w:ascii="仿宋_GB2312"/>
          <w:sz w:val="32"/>
          <w:szCs w:val="32"/>
        </w:rPr>
        <w:t>生态环境治理能力突出短板加快补齐，生态环境监管数字化、智能化步伐加快，生态环境治理效能显著提升，西湖西溪一体化保护提升成效明显。</w:t>
      </w:r>
    </w:p>
    <w:p>
      <w:pPr>
        <w:ind w:firstLine="640"/>
        <w:rPr>
          <w:rFonts w:ascii="仿宋_GB2312"/>
          <w:sz w:val="32"/>
          <w:szCs w:val="32"/>
        </w:rPr>
      </w:pPr>
      <w:r>
        <w:rPr>
          <w:rFonts w:hint="eastAsia" w:ascii="仿宋_GB2312"/>
          <w:bCs/>
          <w:sz w:val="32"/>
          <w:szCs w:val="32"/>
        </w:rPr>
        <w:t>——低碳发展走在前列。</w:t>
      </w:r>
      <w:r>
        <w:rPr>
          <w:rFonts w:hint="eastAsia" w:ascii="仿宋_GB2312"/>
          <w:sz w:val="32"/>
          <w:szCs w:val="32"/>
        </w:rPr>
        <w:t>高质量打通绿水青山就是金山银山转化通道，生态文明制度体系更加完备，绿色低碳发展水平显著提升，应对气候变化能力明显增强，全民生态自觉稳步提升。</w:t>
      </w:r>
    </w:p>
    <w:p>
      <w:pPr>
        <w:pStyle w:val="6"/>
        <w:ind w:firstLine="640"/>
        <w:rPr>
          <w:rFonts w:ascii="楷体_GB2312" w:eastAsia="楷体_GB2312"/>
          <w:b w:val="0"/>
        </w:rPr>
      </w:pPr>
      <w:bookmarkStart w:id="298" w:name="_Toc8060"/>
      <w:bookmarkStart w:id="299" w:name="_Toc2550"/>
      <w:bookmarkStart w:id="300" w:name="_Toc14552"/>
      <w:bookmarkStart w:id="301" w:name="_Toc23757"/>
      <w:bookmarkStart w:id="302" w:name="_Toc1551"/>
      <w:bookmarkStart w:id="303" w:name="_Toc26568"/>
      <w:bookmarkStart w:id="304" w:name="_Toc26300"/>
      <w:bookmarkStart w:id="305" w:name="_Toc22937"/>
      <w:bookmarkStart w:id="306" w:name="_Toc22000"/>
      <w:bookmarkStart w:id="307" w:name="_Toc4281"/>
      <w:bookmarkStart w:id="308" w:name="_Toc25704"/>
      <w:bookmarkStart w:id="309" w:name="_Toc23799"/>
      <w:bookmarkStart w:id="310" w:name="_Toc17686"/>
      <w:bookmarkStart w:id="311" w:name="_Toc11382"/>
      <w:bookmarkStart w:id="312" w:name="_Toc31625"/>
      <w:bookmarkStart w:id="313" w:name="_Toc24940"/>
      <w:bookmarkStart w:id="314" w:name="_Toc30553"/>
      <w:bookmarkStart w:id="315" w:name="_Toc30159"/>
      <w:r>
        <w:rPr>
          <w:rFonts w:hint="eastAsia" w:ascii="楷体_GB2312" w:eastAsia="楷体_GB2312"/>
          <w:b w:val="0"/>
        </w:rPr>
        <w:t>（二）具体指标</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pPr>
        <w:ind w:firstLine="640"/>
        <w:rPr>
          <w:rFonts w:ascii="仿宋_GB2312"/>
          <w:sz w:val="32"/>
          <w:szCs w:val="32"/>
        </w:rPr>
      </w:pPr>
      <w:r>
        <w:rPr>
          <w:rFonts w:hint="eastAsia" w:ascii="仿宋_GB2312"/>
          <w:sz w:val="32"/>
          <w:szCs w:val="32"/>
        </w:rPr>
        <w:t>“十四五”期间建立生态保护、环境质量、风险防控等三方面的协同性指标体系，共设置生态环境保护主要指标12项，其中约束性5项，预期性7项，具体内容见表2-1。</w:t>
      </w:r>
    </w:p>
    <w:p>
      <w:pPr>
        <w:ind w:firstLine="0" w:firstLineChars="0"/>
        <w:jc w:val="center"/>
        <w:rPr>
          <w:b/>
          <w:bCs/>
          <w:sz w:val="24"/>
          <w:szCs w:val="21"/>
        </w:rPr>
      </w:pPr>
      <w:r>
        <w:rPr>
          <w:b/>
          <w:bCs/>
          <w:sz w:val="24"/>
          <w:szCs w:val="21"/>
        </w:rPr>
        <w:t xml:space="preserve">表2-1  </w:t>
      </w:r>
      <w:r>
        <w:rPr>
          <w:rFonts w:hint="eastAsia"/>
          <w:b/>
          <w:bCs/>
          <w:sz w:val="24"/>
          <w:szCs w:val="21"/>
        </w:rPr>
        <w:t>杭州</w:t>
      </w:r>
      <w:r>
        <w:rPr>
          <w:b/>
          <w:bCs/>
          <w:sz w:val="24"/>
          <w:szCs w:val="21"/>
        </w:rPr>
        <w:t>西湖风景名胜区“十四五”环境保护指标体系</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550"/>
        <w:gridCol w:w="3130"/>
        <w:gridCol w:w="1035"/>
        <w:gridCol w:w="1035"/>
        <w:gridCol w:w="1036"/>
        <w:gridCol w:w="1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shd w:val="clear" w:color="auto" w:fill="auto"/>
            <w:vAlign w:val="center"/>
          </w:tcPr>
          <w:p>
            <w:pPr>
              <w:pStyle w:val="11"/>
              <w:spacing w:after="0"/>
              <w:ind w:left="0" w:leftChars="0" w:firstLine="0" w:firstLineChars="0"/>
              <w:jc w:val="center"/>
              <w:rPr>
                <w:rFonts w:eastAsia="仿宋_GB2312"/>
                <w:b/>
                <w:bCs/>
                <w:sz w:val="24"/>
                <w:szCs w:val="24"/>
              </w:rPr>
            </w:pPr>
            <w:r>
              <w:rPr>
                <w:rFonts w:eastAsia="仿宋_GB2312"/>
                <w:b/>
                <w:bCs/>
                <w:sz w:val="24"/>
                <w:szCs w:val="24"/>
              </w:rPr>
              <w:t>领域</w:t>
            </w:r>
          </w:p>
        </w:tc>
        <w:tc>
          <w:tcPr>
            <w:tcW w:w="550" w:type="dxa"/>
            <w:shd w:val="clear" w:color="auto" w:fill="auto"/>
            <w:vAlign w:val="center"/>
          </w:tcPr>
          <w:p>
            <w:pPr>
              <w:pStyle w:val="11"/>
              <w:spacing w:after="0"/>
              <w:ind w:left="0" w:leftChars="0" w:firstLine="0" w:firstLineChars="0"/>
              <w:jc w:val="center"/>
              <w:rPr>
                <w:rFonts w:eastAsia="仿宋_GB2312"/>
                <w:b/>
                <w:bCs/>
                <w:sz w:val="24"/>
                <w:szCs w:val="24"/>
              </w:rPr>
            </w:pPr>
            <w:r>
              <w:rPr>
                <w:rFonts w:eastAsia="仿宋_GB2312"/>
                <w:b/>
                <w:bCs/>
                <w:sz w:val="24"/>
                <w:szCs w:val="24"/>
              </w:rPr>
              <w:t>序号</w:t>
            </w:r>
          </w:p>
        </w:tc>
        <w:tc>
          <w:tcPr>
            <w:tcW w:w="3130" w:type="dxa"/>
            <w:shd w:val="clear" w:color="auto" w:fill="FFFFFF"/>
            <w:vAlign w:val="center"/>
          </w:tcPr>
          <w:p>
            <w:pPr>
              <w:pStyle w:val="11"/>
              <w:spacing w:after="0"/>
              <w:ind w:left="0" w:leftChars="0" w:firstLine="0" w:firstLineChars="0"/>
              <w:jc w:val="center"/>
              <w:rPr>
                <w:rFonts w:eastAsia="仿宋_GB2312"/>
                <w:b/>
                <w:bCs/>
                <w:sz w:val="24"/>
                <w:szCs w:val="24"/>
              </w:rPr>
            </w:pPr>
            <w:r>
              <w:rPr>
                <w:rFonts w:eastAsia="仿宋_GB2312"/>
                <w:b/>
                <w:bCs/>
                <w:sz w:val="24"/>
                <w:szCs w:val="24"/>
              </w:rPr>
              <w:t>指标</w:t>
            </w:r>
          </w:p>
        </w:tc>
        <w:tc>
          <w:tcPr>
            <w:tcW w:w="1035" w:type="dxa"/>
            <w:shd w:val="clear" w:color="auto" w:fill="FFFFFF"/>
            <w:vAlign w:val="center"/>
          </w:tcPr>
          <w:p>
            <w:pPr>
              <w:pStyle w:val="11"/>
              <w:spacing w:after="0"/>
              <w:ind w:left="0" w:leftChars="0" w:firstLine="0" w:firstLineChars="0"/>
              <w:jc w:val="center"/>
              <w:rPr>
                <w:rFonts w:eastAsia="仿宋_GB2312"/>
                <w:b/>
                <w:bCs/>
                <w:sz w:val="24"/>
                <w:szCs w:val="24"/>
              </w:rPr>
            </w:pPr>
            <w:r>
              <w:rPr>
                <w:rFonts w:hint="eastAsia" w:eastAsia="仿宋_GB2312"/>
                <w:b/>
                <w:bCs/>
                <w:sz w:val="24"/>
                <w:szCs w:val="24"/>
              </w:rPr>
              <w:t>2019年</w:t>
            </w:r>
          </w:p>
        </w:tc>
        <w:tc>
          <w:tcPr>
            <w:tcW w:w="1035" w:type="dxa"/>
            <w:shd w:val="clear" w:color="auto" w:fill="FFFFFF"/>
            <w:vAlign w:val="center"/>
          </w:tcPr>
          <w:p>
            <w:pPr>
              <w:pStyle w:val="11"/>
              <w:spacing w:after="0"/>
              <w:ind w:left="0" w:leftChars="0" w:firstLine="0" w:firstLineChars="0"/>
              <w:jc w:val="center"/>
              <w:rPr>
                <w:rFonts w:eastAsia="仿宋_GB2312"/>
                <w:b/>
                <w:bCs/>
                <w:sz w:val="24"/>
                <w:szCs w:val="24"/>
              </w:rPr>
            </w:pPr>
            <w:r>
              <w:rPr>
                <w:rFonts w:eastAsia="仿宋_GB2312"/>
                <w:b/>
                <w:bCs/>
                <w:sz w:val="24"/>
                <w:szCs w:val="24"/>
              </w:rPr>
              <w:t>20</w:t>
            </w:r>
            <w:r>
              <w:rPr>
                <w:rFonts w:hint="eastAsia" w:eastAsia="仿宋_GB2312"/>
                <w:b/>
                <w:bCs/>
                <w:sz w:val="24"/>
                <w:szCs w:val="24"/>
              </w:rPr>
              <w:t>20</w:t>
            </w:r>
            <w:r>
              <w:rPr>
                <w:rFonts w:eastAsia="仿宋_GB2312"/>
                <w:b/>
                <w:bCs/>
                <w:sz w:val="24"/>
                <w:szCs w:val="24"/>
              </w:rPr>
              <w:t>年</w:t>
            </w:r>
          </w:p>
        </w:tc>
        <w:tc>
          <w:tcPr>
            <w:tcW w:w="1036" w:type="dxa"/>
            <w:shd w:val="clear" w:color="auto" w:fill="FFFFFF"/>
            <w:vAlign w:val="center"/>
          </w:tcPr>
          <w:p>
            <w:pPr>
              <w:pStyle w:val="11"/>
              <w:spacing w:after="0"/>
              <w:ind w:left="0" w:leftChars="0" w:firstLine="0" w:firstLineChars="0"/>
              <w:jc w:val="center"/>
              <w:rPr>
                <w:rFonts w:eastAsia="仿宋_GB2312"/>
                <w:b/>
                <w:bCs/>
                <w:sz w:val="24"/>
                <w:szCs w:val="24"/>
              </w:rPr>
            </w:pPr>
            <w:r>
              <w:rPr>
                <w:rFonts w:eastAsia="仿宋_GB2312"/>
                <w:b/>
                <w:bCs/>
                <w:sz w:val="24"/>
                <w:szCs w:val="24"/>
              </w:rPr>
              <w:t>2025年目标</w:t>
            </w:r>
          </w:p>
        </w:tc>
        <w:tc>
          <w:tcPr>
            <w:tcW w:w="1000" w:type="dxa"/>
            <w:shd w:val="clear" w:color="auto" w:fill="FFFFFF"/>
            <w:vAlign w:val="center"/>
          </w:tcPr>
          <w:p>
            <w:pPr>
              <w:pStyle w:val="11"/>
              <w:spacing w:after="0"/>
              <w:ind w:left="0" w:leftChars="0" w:firstLine="0" w:firstLineChars="0"/>
              <w:jc w:val="center"/>
              <w:rPr>
                <w:rFonts w:eastAsia="仿宋_GB2312"/>
                <w:b/>
                <w:bCs/>
                <w:sz w:val="24"/>
                <w:szCs w:val="24"/>
              </w:rPr>
            </w:pPr>
            <w:r>
              <w:rPr>
                <w:rFonts w:hint="eastAsia" w:eastAsia="仿宋_GB2312"/>
                <w:b/>
                <w:bCs/>
                <w:sz w:val="24"/>
                <w:szCs w:val="24"/>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shd w:val="clear" w:color="auto" w:fill="auto"/>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生态保护</w:t>
            </w:r>
          </w:p>
        </w:tc>
        <w:tc>
          <w:tcPr>
            <w:tcW w:w="550" w:type="dxa"/>
            <w:shd w:val="clear" w:color="auto" w:fill="auto"/>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1</w:t>
            </w:r>
          </w:p>
        </w:tc>
        <w:tc>
          <w:tcPr>
            <w:tcW w:w="3130" w:type="dxa"/>
            <w:shd w:val="clear" w:color="auto" w:fill="FFFFFF"/>
            <w:vAlign w:val="center"/>
          </w:tcPr>
          <w:p>
            <w:pPr>
              <w:pStyle w:val="11"/>
              <w:spacing w:after="0"/>
              <w:ind w:left="0" w:leftChars="0" w:firstLine="0" w:firstLineChars="0"/>
              <w:jc w:val="center"/>
              <w:rPr>
                <w:rFonts w:eastAsia="仿宋_GB2312"/>
                <w:sz w:val="24"/>
                <w:szCs w:val="24"/>
              </w:rPr>
            </w:pPr>
            <w:r>
              <w:rPr>
                <w:rFonts w:eastAsia="仿宋_GB2312"/>
                <w:sz w:val="24"/>
                <w:szCs w:val="24"/>
              </w:rPr>
              <w:t>森林</w:t>
            </w:r>
            <w:r>
              <w:rPr>
                <w:rFonts w:hint="eastAsia" w:eastAsia="仿宋_GB2312"/>
                <w:sz w:val="24"/>
                <w:szCs w:val="24"/>
              </w:rPr>
              <w:t>覆盖率（%）</w:t>
            </w:r>
          </w:p>
        </w:tc>
        <w:tc>
          <w:tcPr>
            <w:tcW w:w="1035" w:type="dxa"/>
            <w:shd w:val="clear" w:color="auto" w:fill="FFFFFF"/>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76.70</w:t>
            </w:r>
          </w:p>
        </w:tc>
        <w:tc>
          <w:tcPr>
            <w:tcW w:w="1035" w:type="dxa"/>
            <w:shd w:val="clear" w:color="auto" w:fill="FFFFFF"/>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w:t>
            </w:r>
          </w:p>
        </w:tc>
        <w:tc>
          <w:tcPr>
            <w:tcW w:w="1036" w:type="dxa"/>
            <w:shd w:val="clear" w:color="auto" w:fill="FFFFFF"/>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稳定</w:t>
            </w:r>
          </w:p>
        </w:tc>
        <w:tc>
          <w:tcPr>
            <w:tcW w:w="1000" w:type="dxa"/>
            <w:shd w:val="clear" w:color="auto" w:fill="FFFFFF"/>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restart"/>
            <w:shd w:val="clear" w:color="auto" w:fill="auto"/>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环境质量</w:t>
            </w:r>
          </w:p>
        </w:tc>
        <w:tc>
          <w:tcPr>
            <w:tcW w:w="550" w:type="dxa"/>
            <w:shd w:val="clear" w:color="auto" w:fill="auto"/>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2</w:t>
            </w:r>
          </w:p>
        </w:tc>
        <w:tc>
          <w:tcPr>
            <w:tcW w:w="3130" w:type="dxa"/>
            <w:shd w:val="clear" w:color="auto" w:fill="FFFFFF"/>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城市</w:t>
            </w:r>
            <w:r>
              <w:rPr>
                <w:rFonts w:eastAsia="仿宋_GB2312"/>
                <w:sz w:val="24"/>
                <w:szCs w:val="24"/>
              </w:rPr>
              <w:t>细颗粒物（PM</w:t>
            </w:r>
            <w:r>
              <w:rPr>
                <w:rFonts w:eastAsia="仿宋_GB2312"/>
                <w:sz w:val="24"/>
                <w:szCs w:val="24"/>
                <w:vertAlign w:val="subscript"/>
              </w:rPr>
              <w:t>2.5</w:t>
            </w:r>
            <w:r>
              <w:rPr>
                <w:rFonts w:eastAsia="仿宋_GB2312"/>
                <w:sz w:val="24"/>
                <w:szCs w:val="24"/>
              </w:rPr>
              <w:t>）</w:t>
            </w:r>
            <w:r>
              <w:rPr>
                <w:rFonts w:hint="eastAsia" w:eastAsia="仿宋_GB2312"/>
                <w:sz w:val="24"/>
                <w:szCs w:val="24"/>
              </w:rPr>
              <w:t>平均</w:t>
            </w:r>
            <w:r>
              <w:rPr>
                <w:rFonts w:eastAsia="仿宋_GB2312"/>
                <w:sz w:val="24"/>
                <w:szCs w:val="24"/>
              </w:rPr>
              <w:t>浓度（µg/m</w:t>
            </w:r>
            <w:r>
              <w:rPr>
                <w:rFonts w:eastAsia="仿宋_GB2312"/>
                <w:sz w:val="24"/>
                <w:szCs w:val="24"/>
                <w:vertAlign w:val="superscript"/>
              </w:rPr>
              <w:t>3</w:t>
            </w:r>
            <w:r>
              <w:rPr>
                <w:rFonts w:eastAsia="仿宋_GB2312"/>
                <w:sz w:val="24"/>
                <w:szCs w:val="24"/>
              </w:rPr>
              <w:t>）</w:t>
            </w:r>
          </w:p>
        </w:tc>
        <w:tc>
          <w:tcPr>
            <w:tcW w:w="1035" w:type="dxa"/>
            <w:shd w:val="clear" w:color="auto" w:fill="FFFFFF"/>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33.0</w:t>
            </w:r>
          </w:p>
        </w:tc>
        <w:tc>
          <w:tcPr>
            <w:tcW w:w="1035" w:type="dxa"/>
            <w:shd w:val="clear" w:color="auto" w:fill="FFFFFF"/>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26.4</w:t>
            </w:r>
          </w:p>
        </w:tc>
        <w:tc>
          <w:tcPr>
            <w:tcW w:w="1036" w:type="dxa"/>
            <w:shd w:val="clear" w:color="auto" w:fill="FFFFFF"/>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市下达指标</w:t>
            </w:r>
          </w:p>
        </w:tc>
        <w:tc>
          <w:tcPr>
            <w:tcW w:w="1000" w:type="dxa"/>
            <w:shd w:val="clear" w:color="auto" w:fill="FFFFFF"/>
            <w:vAlign w:val="center"/>
          </w:tcPr>
          <w:p>
            <w:pPr>
              <w:pStyle w:val="11"/>
              <w:spacing w:after="0"/>
              <w:ind w:left="0" w:leftChars="0" w:firstLine="0" w:firstLineChars="0"/>
              <w:jc w:val="center"/>
              <w:rPr>
                <w:rFonts w:eastAsia="仿宋_GB2312"/>
                <w:sz w:val="24"/>
                <w:szCs w:val="24"/>
              </w:rPr>
            </w:pPr>
            <w:r>
              <w:rPr>
                <w:rFonts w:eastAsia="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Merge w:val="continue"/>
            <w:shd w:val="clear" w:color="auto" w:fill="auto"/>
            <w:vAlign w:val="center"/>
          </w:tcPr>
          <w:p>
            <w:pPr>
              <w:pStyle w:val="11"/>
              <w:spacing w:after="0"/>
              <w:ind w:left="0" w:leftChars="0" w:firstLine="0" w:firstLineChars="0"/>
              <w:jc w:val="center"/>
              <w:rPr>
                <w:rFonts w:eastAsia="仿宋_GB2312"/>
                <w:sz w:val="24"/>
                <w:szCs w:val="24"/>
              </w:rPr>
            </w:pPr>
          </w:p>
        </w:tc>
        <w:tc>
          <w:tcPr>
            <w:tcW w:w="550" w:type="dxa"/>
            <w:shd w:val="clear" w:color="auto" w:fill="auto"/>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3</w:t>
            </w:r>
          </w:p>
        </w:tc>
        <w:tc>
          <w:tcPr>
            <w:tcW w:w="3130" w:type="dxa"/>
            <w:shd w:val="clear" w:color="auto" w:fill="FFFFFF"/>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城市</w:t>
            </w:r>
            <w:r>
              <w:rPr>
                <w:rFonts w:eastAsia="仿宋_GB2312"/>
                <w:sz w:val="24"/>
                <w:szCs w:val="24"/>
              </w:rPr>
              <w:t>空气优良</w:t>
            </w:r>
            <w:r>
              <w:rPr>
                <w:rFonts w:hint="eastAsia" w:eastAsia="仿宋_GB2312"/>
                <w:sz w:val="24"/>
                <w:szCs w:val="24"/>
              </w:rPr>
              <w:t>天数比</w:t>
            </w:r>
            <w:r>
              <w:rPr>
                <w:rFonts w:eastAsia="仿宋_GB2312"/>
                <w:sz w:val="24"/>
                <w:szCs w:val="24"/>
              </w:rPr>
              <w:t>率（%）</w:t>
            </w:r>
          </w:p>
        </w:tc>
        <w:tc>
          <w:tcPr>
            <w:tcW w:w="1035" w:type="dxa"/>
            <w:shd w:val="clear" w:color="auto" w:fill="FFFFFF"/>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81.8</w:t>
            </w:r>
          </w:p>
        </w:tc>
        <w:tc>
          <w:tcPr>
            <w:tcW w:w="1035" w:type="dxa"/>
            <w:shd w:val="clear" w:color="auto" w:fill="FFFFFF"/>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91.4</w:t>
            </w:r>
          </w:p>
        </w:tc>
        <w:tc>
          <w:tcPr>
            <w:tcW w:w="1036" w:type="dxa"/>
            <w:shd w:val="clear" w:color="auto" w:fill="FFFFFF"/>
            <w:vAlign w:val="center"/>
          </w:tcPr>
          <w:p>
            <w:pPr>
              <w:pStyle w:val="11"/>
              <w:spacing w:after="0"/>
              <w:ind w:left="0" w:leftChars="0" w:firstLine="0" w:firstLineChars="0"/>
              <w:jc w:val="center"/>
              <w:rPr>
                <w:rFonts w:eastAsia="仿宋_GB2312"/>
              </w:rPr>
            </w:pPr>
            <w:r>
              <w:rPr>
                <w:rFonts w:hint="eastAsia" w:eastAsia="仿宋_GB2312"/>
                <w:sz w:val="24"/>
                <w:szCs w:val="24"/>
              </w:rPr>
              <w:t>市下达指标</w:t>
            </w:r>
          </w:p>
        </w:tc>
        <w:tc>
          <w:tcPr>
            <w:tcW w:w="1000" w:type="dxa"/>
            <w:shd w:val="clear" w:color="auto" w:fill="FFFFFF"/>
            <w:vAlign w:val="center"/>
          </w:tcPr>
          <w:p>
            <w:pPr>
              <w:pStyle w:val="11"/>
              <w:spacing w:after="0"/>
              <w:ind w:left="0" w:leftChars="0" w:firstLine="0" w:firstLineChars="0"/>
              <w:jc w:val="center"/>
              <w:rPr>
                <w:rFonts w:eastAsia="仿宋_GB2312"/>
                <w:sz w:val="24"/>
                <w:szCs w:val="24"/>
              </w:rPr>
            </w:pPr>
            <w:r>
              <w:rPr>
                <w:rFonts w:eastAsia="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pStyle w:val="11"/>
              <w:spacing w:after="0"/>
              <w:ind w:left="0" w:leftChars="0" w:firstLine="0" w:firstLineChars="0"/>
              <w:jc w:val="center"/>
              <w:rPr>
                <w:rFonts w:eastAsia="仿宋_GB2312"/>
                <w:sz w:val="24"/>
                <w:szCs w:val="24"/>
              </w:rPr>
            </w:pPr>
          </w:p>
        </w:tc>
        <w:tc>
          <w:tcPr>
            <w:tcW w:w="550"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4</w:t>
            </w:r>
          </w:p>
        </w:tc>
        <w:tc>
          <w:tcPr>
            <w:tcW w:w="3130"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地表水</w:t>
            </w:r>
            <w:r>
              <w:rPr>
                <w:rFonts w:eastAsia="仿宋_GB2312"/>
                <w:sz w:val="24"/>
                <w:szCs w:val="24"/>
              </w:rPr>
              <w:t>市控以上断面达到或优于Ⅲ类水质比例（%）</w:t>
            </w:r>
            <w:r>
              <w:rPr>
                <w:rFonts w:hint="eastAsia" w:eastAsia="仿宋_GB2312"/>
                <w:sz w:val="24"/>
                <w:szCs w:val="24"/>
                <w:vertAlign w:val="superscript"/>
              </w:rPr>
              <w:t>*</w:t>
            </w:r>
          </w:p>
        </w:tc>
        <w:tc>
          <w:tcPr>
            <w:tcW w:w="1035"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100</w:t>
            </w:r>
          </w:p>
        </w:tc>
        <w:tc>
          <w:tcPr>
            <w:tcW w:w="1035" w:type="dxa"/>
            <w:vAlign w:val="center"/>
          </w:tcPr>
          <w:p>
            <w:pPr>
              <w:pStyle w:val="11"/>
              <w:spacing w:after="0"/>
              <w:ind w:left="0" w:leftChars="0" w:firstLine="0" w:firstLineChars="0"/>
              <w:jc w:val="center"/>
              <w:rPr>
                <w:rFonts w:eastAsia="仿宋_GB2312"/>
                <w:sz w:val="24"/>
                <w:szCs w:val="24"/>
              </w:rPr>
            </w:pPr>
            <w:r>
              <w:rPr>
                <w:rFonts w:eastAsia="仿宋_GB2312"/>
                <w:sz w:val="24"/>
                <w:szCs w:val="24"/>
              </w:rPr>
              <w:t>100</w:t>
            </w:r>
          </w:p>
        </w:tc>
        <w:tc>
          <w:tcPr>
            <w:tcW w:w="1036" w:type="dxa"/>
            <w:vAlign w:val="center"/>
          </w:tcPr>
          <w:p>
            <w:pPr>
              <w:pStyle w:val="11"/>
              <w:spacing w:after="0"/>
              <w:ind w:left="0" w:leftChars="0" w:firstLine="0" w:firstLineChars="0"/>
              <w:jc w:val="center"/>
              <w:rPr>
                <w:rFonts w:eastAsia="仿宋_GB2312"/>
                <w:sz w:val="24"/>
                <w:szCs w:val="24"/>
              </w:rPr>
            </w:pPr>
            <w:r>
              <w:rPr>
                <w:rFonts w:eastAsia="仿宋_GB2312"/>
                <w:sz w:val="24"/>
                <w:szCs w:val="24"/>
              </w:rPr>
              <w:t>100</w:t>
            </w:r>
          </w:p>
        </w:tc>
        <w:tc>
          <w:tcPr>
            <w:tcW w:w="1000" w:type="dxa"/>
            <w:vAlign w:val="center"/>
          </w:tcPr>
          <w:p>
            <w:pPr>
              <w:pStyle w:val="11"/>
              <w:spacing w:after="0"/>
              <w:ind w:left="0" w:leftChars="0" w:firstLine="0" w:firstLineChars="0"/>
              <w:jc w:val="center"/>
              <w:rPr>
                <w:rFonts w:eastAsia="仿宋_GB2312"/>
                <w:sz w:val="24"/>
                <w:szCs w:val="24"/>
              </w:rPr>
            </w:pPr>
            <w:r>
              <w:rPr>
                <w:rFonts w:eastAsia="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pStyle w:val="11"/>
              <w:spacing w:after="0"/>
              <w:ind w:left="0" w:leftChars="0" w:firstLine="0" w:firstLineChars="0"/>
              <w:jc w:val="center"/>
              <w:rPr>
                <w:rFonts w:eastAsia="仿宋_GB2312"/>
                <w:sz w:val="24"/>
                <w:szCs w:val="24"/>
              </w:rPr>
            </w:pPr>
          </w:p>
        </w:tc>
        <w:tc>
          <w:tcPr>
            <w:tcW w:w="550"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5</w:t>
            </w:r>
          </w:p>
        </w:tc>
        <w:tc>
          <w:tcPr>
            <w:tcW w:w="3130" w:type="dxa"/>
            <w:vAlign w:val="center"/>
          </w:tcPr>
          <w:p>
            <w:pPr>
              <w:pStyle w:val="11"/>
              <w:spacing w:after="0"/>
              <w:ind w:left="0" w:leftChars="0" w:firstLine="0" w:firstLineChars="0"/>
              <w:jc w:val="center"/>
              <w:rPr>
                <w:rFonts w:eastAsia="仿宋_GB2312"/>
                <w:sz w:val="24"/>
                <w:szCs w:val="24"/>
              </w:rPr>
            </w:pPr>
            <w:r>
              <w:rPr>
                <w:rFonts w:eastAsia="仿宋_GB2312"/>
                <w:sz w:val="24"/>
                <w:szCs w:val="24"/>
              </w:rPr>
              <w:t>县级以上城市集中式饮用水</w:t>
            </w:r>
            <w:r>
              <w:rPr>
                <w:rFonts w:hint="eastAsia" w:eastAsia="仿宋_GB2312"/>
                <w:sz w:val="24"/>
                <w:szCs w:val="24"/>
              </w:rPr>
              <w:t>水</w:t>
            </w:r>
            <w:r>
              <w:rPr>
                <w:rFonts w:eastAsia="仿宋_GB2312"/>
                <w:sz w:val="24"/>
                <w:szCs w:val="24"/>
              </w:rPr>
              <w:t>源地水质达标率（</w:t>
            </w:r>
            <w:r>
              <w:rPr>
                <w:rFonts w:hint="eastAsia" w:eastAsia="仿宋_GB2312"/>
                <w:sz w:val="24"/>
                <w:szCs w:val="24"/>
              </w:rPr>
              <w:t>%</w:t>
            </w:r>
            <w:r>
              <w:rPr>
                <w:rFonts w:eastAsia="仿宋_GB2312"/>
                <w:sz w:val="24"/>
                <w:szCs w:val="24"/>
              </w:rPr>
              <w:t>）</w:t>
            </w:r>
          </w:p>
        </w:tc>
        <w:tc>
          <w:tcPr>
            <w:tcW w:w="1035"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100</w:t>
            </w:r>
          </w:p>
        </w:tc>
        <w:tc>
          <w:tcPr>
            <w:tcW w:w="1035" w:type="dxa"/>
            <w:vAlign w:val="center"/>
          </w:tcPr>
          <w:p>
            <w:pPr>
              <w:pStyle w:val="11"/>
              <w:spacing w:after="0"/>
              <w:ind w:left="0" w:leftChars="0" w:firstLine="0" w:firstLineChars="0"/>
              <w:jc w:val="center"/>
              <w:rPr>
                <w:rFonts w:eastAsia="仿宋_GB2312"/>
                <w:sz w:val="24"/>
                <w:szCs w:val="24"/>
              </w:rPr>
            </w:pPr>
            <w:r>
              <w:rPr>
                <w:rFonts w:eastAsia="仿宋_GB2312"/>
                <w:sz w:val="24"/>
                <w:szCs w:val="24"/>
              </w:rPr>
              <w:t>100</w:t>
            </w:r>
          </w:p>
        </w:tc>
        <w:tc>
          <w:tcPr>
            <w:tcW w:w="1036" w:type="dxa"/>
            <w:vAlign w:val="center"/>
          </w:tcPr>
          <w:p>
            <w:pPr>
              <w:pStyle w:val="11"/>
              <w:spacing w:after="0"/>
              <w:ind w:left="0" w:leftChars="0" w:firstLine="0" w:firstLineChars="0"/>
              <w:jc w:val="center"/>
              <w:rPr>
                <w:rFonts w:eastAsia="仿宋_GB2312"/>
                <w:sz w:val="24"/>
                <w:szCs w:val="24"/>
              </w:rPr>
            </w:pPr>
            <w:r>
              <w:rPr>
                <w:rFonts w:eastAsia="仿宋_GB2312"/>
                <w:sz w:val="24"/>
                <w:szCs w:val="24"/>
              </w:rPr>
              <w:t>100</w:t>
            </w:r>
          </w:p>
        </w:tc>
        <w:tc>
          <w:tcPr>
            <w:tcW w:w="1000"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预期</w:t>
            </w:r>
            <w:r>
              <w:rPr>
                <w:rFonts w:eastAsia="仿宋_GB2312"/>
                <w:sz w:val="24"/>
                <w:szCs w:val="24"/>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pStyle w:val="11"/>
              <w:spacing w:after="0"/>
              <w:ind w:left="0" w:leftChars="0" w:firstLine="0" w:firstLineChars="0"/>
              <w:jc w:val="center"/>
              <w:rPr>
                <w:rFonts w:eastAsia="仿宋_GB2312"/>
                <w:sz w:val="24"/>
                <w:szCs w:val="24"/>
              </w:rPr>
            </w:pPr>
          </w:p>
        </w:tc>
        <w:tc>
          <w:tcPr>
            <w:tcW w:w="550"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6</w:t>
            </w:r>
          </w:p>
        </w:tc>
        <w:tc>
          <w:tcPr>
            <w:tcW w:w="3130"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地下水质量</w:t>
            </w:r>
            <w:r>
              <w:rPr>
                <w:rFonts w:eastAsia="仿宋_GB2312"/>
                <w:sz w:val="24"/>
                <w:szCs w:val="24"/>
              </w:rPr>
              <w:t>Ⅴ</w:t>
            </w:r>
            <w:r>
              <w:rPr>
                <w:rFonts w:hint="eastAsia" w:eastAsia="仿宋_GB2312"/>
                <w:sz w:val="24"/>
                <w:szCs w:val="24"/>
              </w:rPr>
              <w:t>类水比例（%）</w:t>
            </w:r>
          </w:p>
        </w:tc>
        <w:tc>
          <w:tcPr>
            <w:tcW w:w="1035"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w:t>
            </w:r>
          </w:p>
        </w:tc>
        <w:tc>
          <w:tcPr>
            <w:tcW w:w="1035"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w:t>
            </w:r>
          </w:p>
        </w:tc>
        <w:tc>
          <w:tcPr>
            <w:tcW w:w="1036"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市下达指标</w:t>
            </w:r>
          </w:p>
        </w:tc>
        <w:tc>
          <w:tcPr>
            <w:tcW w:w="1000"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Merge w:val="continue"/>
            <w:vAlign w:val="center"/>
          </w:tcPr>
          <w:p>
            <w:pPr>
              <w:pStyle w:val="11"/>
              <w:spacing w:after="0"/>
              <w:ind w:left="0" w:leftChars="0" w:firstLine="0" w:firstLineChars="0"/>
              <w:jc w:val="center"/>
              <w:rPr>
                <w:rFonts w:eastAsia="仿宋_GB2312"/>
                <w:sz w:val="24"/>
                <w:szCs w:val="24"/>
              </w:rPr>
            </w:pPr>
          </w:p>
        </w:tc>
        <w:tc>
          <w:tcPr>
            <w:tcW w:w="550"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7</w:t>
            </w:r>
          </w:p>
        </w:tc>
        <w:tc>
          <w:tcPr>
            <w:tcW w:w="3130" w:type="dxa"/>
            <w:vAlign w:val="center"/>
          </w:tcPr>
          <w:p>
            <w:pPr>
              <w:pStyle w:val="11"/>
              <w:spacing w:after="0"/>
              <w:ind w:left="0" w:leftChars="0" w:firstLine="0" w:firstLineChars="0"/>
              <w:jc w:val="center"/>
              <w:rPr>
                <w:rFonts w:eastAsia="仿宋_GB2312"/>
                <w:sz w:val="24"/>
                <w:szCs w:val="24"/>
              </w:rPr>
            </w:pPr>
            <w:r>
              <w:rPr>
                <w:rFonts w:eastAsia="仿宋_GB2312"/>
                <w:sz w:val="24"/>
                <w:szCs w:val="24"/>
              </w:rPr>
              <w:t>西湖水体综合营养状态指数</w:t>
            </w:r>
          </w:p>
        </w:tc>
        <w:tc>
          <w:tcPr>
            <w:tcW w:w="1035"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45.48</w:t>
            </w:r>
          </w:p>
        </w:tc>
        <w:tc>
          <w:tcPr>
            <w:tcW w:w="1035"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45.76</w:t>
            </w:r>
          </w:p>
        </w:tc>
        <w:tc>
          <w:tcPr>
            <w:tcW w:w="1036"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46</w:t>
            </w:r>
          </w:p>
        </w:tc>
        <w:tc>
          <w:tcPr>
            <w:tcW w:w="1000" w:type="dxa"/>
            <w:vAlign w:val="center"/>
          </w:tcPr>
          <w:p>
            <w:pPr>
              <w:pStyle w:val="11"/>
              <w:spacing w:after="0"/>
              <w:ind w:left="0" w:leftChars="0" w:firstLine="0" w:firstLineChars="0"/>
              <w:jc w:val="center"/>
              <w:rPr>
                <w:rFonts w:eastAsia="仿宋_GB2312"/>
                <w:sz w:val="24"/>
                <w:szCs w:val="24"/>
              </w:rPr>
            </w:pPr>
            <w:r>
              <w:rPr>
                <w:rFonts w:eastAsia="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pStyle w:val="11"/>
              <w:spacing w:after="0"/>
              <w:ind w:left="0" w:leftChars="0" w:firstLine="0" w:firstLineChars="0"/>
              <w:jc w:val="center"/>
              <w:rPr>
                <w:rFonts w:eastAsia="仿宋_GB2312"/>
                <w:sz w:val="24"/>
                <w:szCs w:val="24"/>
              </w:rPr>
            </w:pPr>
          </w:p>
        </w:tc>
        <w:tc>
          <w:tcPr>
            <w:tcW w:w="550"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8</w:t>
            </w:r>
          </w:p>
        </w:tc>
        <w:tc>
          <w:tcPr>
            <w:tcW w:w="3130"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西湖水体透明度（厘米）</w:t>
            </w:r>
          </w:p>
        </w:tc>
        <w:tc>
          <w:tcPr>
            <w:tcW w:w="1035"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81.6</w:t>
            </w:r>
          </w:p>
        </w:tc>
        <w:tc>
          <w:tcPr>
            <w:tcW w:w="1035"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82.1</w:t>
            </w:r>
          </w:p>
        </w:tc>
        <w:tc>
          <w:tcPr>
            <w:tcW w:w="1036"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稳中有升</w:t>
            </w:r>
          </w:p>
        </w:tc>
        <w:tc>
          <w:tcPr>
            <w:tcW w:w="1000"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736"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风险防控</w:t>
            </w:r>
          </w:p>
        </w:tc>
        <w:tc>
          <w:tcPr>
            <w:tcW w:w="550"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9</w:t>
            </w:r>
          </w:p>
        </w:tc>
        <w:tc>
          <w:tcPr>
            <w:tcW w:w="3130" w:type="dxa"/>
            <w:vAlign w:val="center"/>
          </w:tcPr>
          <w:p>
            <w:pPr>
              <w:pStyle w:val="11"/>
              <w:spacing w:after="0"/>
              <w:ind w:left="0" w:leftChars="0" w:firstLine="0" w:firstLineChars="0"/>
              <w:jc w:val="center"/>
              <w:rPr>
                <w:rFonts w:eastAsia="仿宋_GB2312"/>
                <w:sz w:val="24"/>
                <w:szCs w:val="24"/>
              </w:rPr>
            </w:pPr>
            <w:r>
              <w:rPr>
                <w:rFonts w:eastAsia="仿宋_GB2312"/>
                <w:sz w:val="24"/>
                <w:szCs w:val="24"/>
              </w:rPr>
              <w:t>5年期突发环境事件下降比例（%）</w:t>
            </w:r>
          </w:p>
        </w:tc>
        <w:tc>
          <w:tcPr>
            <w:tcW w:w="1035"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无突发环境事件</w:t>
            </w:r>
          </w:p>
        </w:tc>
        <w:tc>
          <w:tcPr>
            <w:tcW w:w="1035"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无突发环境事件</w:t>
            </w:r>
          </w:p>
        </w:tc>
        <w:tc>
          <w:tcPr>
            <w:tcW w:w="1036"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无突发环境事件</w:t>
            </w:r>
          </w:p>
        </w:tc>
        <w:tc>
          <w:tcPr>
            <w:tcW w:w="1000" w:type="dxa"/>
            <w:vAlign w:val="center"/>
          </w:tcPr>
          <w:p>
            <w:pPr>
              <w:pStyle w:val="11"/>
              <w:spacing w:after="0"/>
              <w:ind w:left="0" w:leftChars="0" w:firstLine="0" w:firstLineChars="0"/>
              <w:jc w:val="center"/>
              <w:rPr>
                <w:rFonts w:eastAsia="仿宋_GB2312"/>
                <w:sz w:val="24"/>
                <w:szCs w:val="24"/>
              </w:rPr>
            </w:pPr>
            <w:r>
              <w:rPr>
                <w:rFonts w:eastAsia="仿宋_GB2312"/>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736" w:type="dxa"/>
            <w:vMerge w:val="restart"/>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生态文明</w:t>
            </w:r>
          </w:p>
        </w:tc>
        <w:tc>
          <w:tcPr>
            <w:tcW w:w="550"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10</w:t>
            </w:r>
          </w:p>
        </w:tc>
        <w:tc>
          <w:tcPr>
            <w:tcW w:w="3130"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生态文明建设公众满意度（%）</w:t>
            </w:r>
          </w:p>
        </w:tc>
        <w:tc>
          <w:tcPr>
            <w:tcW w:w="1035"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86.61</w:t>
            </w:r>
          </w:p>
        </w:tc>
        <w:tc>
          <w:tcPr>
            <w:tcW w:w="1035"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88.28</w:t>
            </w:r>
          </w:p>
        </w:tc>
        <w:tc>
          <w:tcPr>
            <w:tcW w:w="1036"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稳中有升</w:t>
            </w:r>
          </w:p>
        </w:tc>
        <w:tc>
          <w:tcPr>
            <w:tcW w:w="1000"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预期</w:t>
            </w:r>
            <w:r>
              <w:rPr>
                <w:rFonts w:eastAsia="仿宋_GB2312"/>
                <w:sz w:val="24"/>
                <w:szCs w:val="24"/>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736" w:type="dxa"/>
            <w:vMerge w:val="continue"/>
            <w:vAlign w:val="center"/>
          </w:tcPr>
          <w:p>
            <w:pPr>
              <w:pStyle w:val="11"/>
              <w:spacing w:after="0"/>
              <w:ind w:left="0" w:leftChars="0" w:firstLine="0" w:firstLineChars="0"/>
              <w:jc w:val="center"/>
              <w:rPr>
                <w:rFonts w:eastAsia="仿宋_GB2312"/>
                <w:sz w:val="24"/>
                <w:szCs w:val="24"/>
              </w:rPr>
            </w:pPr>
          </w:p>
        </w:tc>
        <w:tc>
          <w:tcPr>
            <w:tcW w:w="550"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11</w:t>
            </w:r>
          </w:p>
        </w:tc>
        <w:tc>
          <w:tcPr>
            <w:tcW w:w="3130"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管委会绿色采购比例</w:t>
            </w:r>
          </w:p>
        </w:tc>
        <w:tc>
          <w:tcPr>
            <w:tcW w:w="1035"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＞80</w:t>
            </w:r>
          </w:p>
        </w:tc>
        <w:tc>
          <w:tcPr>
            <w:tcW w:w="1035"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＞80</w:t>
            </w:r>
          </w:p>
        </w:tc>
        <w:tc>
          <w:tcPr>
            <w:tcW w:w="1036"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＞80</w:t>
            </w:r>
          </w:p>
        </w:tc>
        <w:tc>
          <w:tcPr>
            <w:tcW w:w="1000"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736" w:type="dxa"/>
            <w:vMerge w:val="continue"/>
            <w:vAlign w:val="center"/>
          </w:tcPr>
          <w:p>
            <w:pPr>
              <w:pStyle w:val="11"/>
              <w:spacing w:after="0"/>
              <w:ind w:left="0" w:leftChars="0" w:firstLine="0" w:firstLineChars="0"/>
              <w:jc w:val="center"/>
              <w:rPr>
                <w:rFonts w:eastAsia="仿宋_GB2312"/>
                <w:sz w:val="24"/>
                <w:szCs w:val="24"/>
              </w:rPr>
            </w:pPr>
          </w:p>
        </w:tc>
        <w:tc>
          <w:tcPr>
            <w:tcW w:w="550"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12</w:t>
            </w:r>
          </w:p>
        </w:tc>
        <w:tc>
          <w:tcPr>
            <w:tcW w:w="3130"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党政领导干部参加生态文明培训的人数比例</w:t>
            </w:r>
          </w:p>
        </w:tc>
        <w:tc>
          <w:tcPr>
            <w:tcW w:w="1035"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100</w:t>
            </w:r>
          </w:p>
        </w:tc>
        <w:tc>
          <w:tcPr>
            <w:tcW w:w="1035"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100</w:t>
            </w:r>
          </w:p>
        </w:tc>
        <w:tc>
          <w:tcPr>
            <w:tcW w:w="1036"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100</w:t>
            </w:r>
          </w:p>
        </w:tc>
        <w:tc>
          <w:tcPr>
            <w:tcW w:w="1000"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预期性</w:t>
            </w:r>
          </w:p>
        </w:tc>
      </w:tr>
    </w:tbl>
    <w:p>
      <w:pPr>
        <w:ind w:firstLine="0" w:firstLineChars="0"/>
      </w:pPr>
      <w:r>
        <w:rPr>
          <w:sz w:val="24"/>
          <w:szCs w:val="24"/>
        </w:rPr>
        <w:t>*Ⅲ类指杭州市地表水水质评价采用《地表水环境质量标准》（GB3838-2002）中Ⅲ类水质标准。</w:t>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pStyle w:val="4"/>
      </w:pPr>
      <w:bookmarkStart w:id="316" w:name="_Toc21379"/>
      <w:bookmarkStart w:id="317" w:name="_Toc11805"/>
      <w:bookmarkStart w:id="318" w:name="_Toc30071"/>
      <w:bookmarkStart w:id="319" w:name="_Toc14189"/>
      <w:bookmarkStart w:id="320" w:name="_Toc5580"/>
      <w:bookmarkStart w:id="321" w:name="_Toc28405"/>
      <w:bookmarkStart w:id="322" w:name="_Toc1856"/>
      <w:bookmarkStart w:id="323" w:name="_Toc24655"/>
      <w:bookmarkStart w:id="324" w:name="_Toc31205"/>
      <w:bookmarkStart w:id="325" w:name="_Toc217"/>
      <w:bookmarkStart w:id="326" w:name="_Toc20833"/>
      <w:bookmarkStart w:id="327" w:name="_Toc20621"/>
      <w:bookmarkStart w:id="328" w:name="_Toc24915"/>
      <w:bookmarkStart w:id="329" w:name="_Toc23209"/>
      <w:bookmarkStart w:id="330" w:name="_Toc13375"/>
      <w:bookmarkStart w:id="331" w:name="_Toc2056"/>
      <w:bookmarkStart w:id="332" w:name="_Toc16733"/>
      <w:bookmarkStart w:id="333" w:name="_Toc29373"/>
      <w:bookmarkStart w:id="334" w:name="_Toc6318"/>
      <w:bookmarkStart w:id="335" w:name="_Toc13816"/>
      <w:bookmarkStart w:id="336" w:name="_Toc79"/>
      <w:bookmarkStart w:id="337" w:name="_Toc7157"/>
      <w:bookmarkStart w:id="338" w:name="_Toc11040"/>
      <w:bookmarkStart w:id="339" w:name="_Toc23551"/>
      <w:bookmarkStart w:id="340" w:name="_Toc22087"/>
      <w:bookmarkStart w:id="341" w:name="_Toc15732"/>
      <w:r>
        <w:rPr>
          <w:rFonts w:hint="eastAsia"/>
        </w:rPr>
        <w:t>第三章 重点领域和主要任务</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pPr>
        <w:ind w:firstLine="640"/>
        <w:rPr>
          <w:sz w:val="32"/>
          <w:szCs w:val="32"/>
        </w:rPr>
      </w:pPr>
      <w:bookmarkStart w:id="342" w:name="_Toc14156"/>
      <w:bookmarkStart w:id="343" w:name="_Toc13459"/>
      <w:bookmarkStart w:id="344" w:name="_Toc2107"/>
      <w:bookmarkStart w:id="345" w:name="_Toc25372"/>
      <w:bookmarkStart w:id="346" w:name="_Toc4599"/>
      <w:bookmarkStart w:id="347" w:name="_Toc31591"/>
      <w:bookmarkStart w:id="348" w:name="_Toc12236"/>
      <w:bookmarkStart w:id="349" w:name="_Toc3116"/>
      <w:bookmarkStart w:id="350" w:name="_Toc5274"/>
      <w:bookmarkStart w:id="351" w:name="_Toc14790"/>
      <w:bookmarkStart w:id="352" w:name="_Toc10442"/>
      <w:bookmarkStart w:id="353" w:name="_Toc21733"/>
      <w:bookmarkStart w:id="354" w:name="_Toc26902"/>
      <w:bookmarkStart w:id="355" w:name="_Toc12559"/>
      <w:bookmarkStart w:id="356" w:name="_Toc5019"/>
      <w:bookmarkStart w:id="357" w:name="_Toc30571"/>
      <w:bookmarkStart w:id="358" w:name="_Toc2769"/>
      <w:bookmarkStart w:id="359" w:name="_Toc9987"/>
      <w:bookmarkStart w:id="360" w:name="_Toc30688"/>
      <w:bookmarkStart w:id="361" w:name="_Toc6091"/>
      <w:r>
        <w:rPr>
          <w:rFonts w:hint="eastAsia"/>
          <w:sz w:val="32"/>
          <w:szCs w:val="32"/>
        </w:rPr>
        <w:t>“十四五”期间，杭州西湖风景名胜区管委会将继续实施西湖全域综合提升行动，从科学保护自然生态环境、推动产业提质增效、积极应对气候变化、系统提升水生态环境、高标准建设“无废景区”、协同改善环境空气质量、奋力打造魅力窗口、提升整体智治水平八大方面入手，让西湖成为人民群众共享绿色空间的典范。</w:t>
      </w:r>
    </w:p>
    <w:p>
      <w:pPr>
        <w:pStyle w:val="5"/>
      </w:pPr>
      <w:bookmarkStart w:id="362" w:name="_Toc13729"/>
      <w:bookmarkStart w:id="363" w:name="_Toc8500"/>
      <w:bookmarkStart w:id="364" w:name="_Toc26464"/>
      <w:bookmarkStart w:id="365" w:name="_Toc26567"/>
      <w:bookmarkStart w:id="366" w:name="_Toc6111"/>
      <w:bookmarkStart w:id="367" w:name="_Toc853"/>
      <w:r>
        <w:rPr>
          <w:rFonts w:hint="eastAsia"/>
        </w:rPr>
        <w:t>一</w:t>
      </w:r>
      <w:r>
        <w:t>、加强生态保护，筑牢自然生态本底</w:t>
      </w:r>
      <w:bookmarkEnd w:id="362"/>
      <w:bookmarkEnd w:id="363"/>
      <w:bookmarkEnd w:id="364"/>
      <w:bookmarkEnd w:id="365"/>
      <w:bookmarkEnd w:id="366"/>
    </w:p>
    <w:p>
      <w:pPr>
        <w:ind w:firstLine="640"/>
        <w:rPr>
          <w:sz w:val="32"/>
          <w:szCs w:val="32"/>
        </w:rPr>
      </w:pPr>
      <w:r>
        <w:rPr>
          <w:rFonts w:hint="eastAsia"/>
          <w:sz w:val="32"/>
          <w:szCs w:val="32"/>
        </w:rPr>
        <w:t>坚持尊重自然、顺应自然、保护自然，统筹山水林田湖草生态保护修复，强化原生态保护提升，加大生物多样性保护力度，提升生态系统质量和稳定性，夯实生态安全基底，促进人与自然和谐共生</w:t>
      </w:r>
      <w:r>
        <w:rPr>
          <w:sz w:val="32"/>
          <w:szCs w:val="32"/>
        </w:rPr>
        <w:t>。</w:t>
      </w:r>
    </w:p>
    <w:p>
      <w:pPr>
        <w:pStyle w:val="6"/>
        <w:ind w:firstLine="640"/>
        <w:rPr>
          <w:rFonts w:ascii="楷体_GB2312" w:eastAsia="楷体_GB2312"/>
          <w:b w:val="0"/>
        </w:rPr>
      </w:pPr>
      <w:r>
        <w:rPr>
          <w:rFonts w:hint="eastAsia" w:ascii="楷体_GB2312" w:eastAsia="楷体_GB2312"/>
          <w:b w:val="0"/>
        </w:rPr>
        <w:t>（一）推进西湖、西溪一体化保护</w:t>
      </w:r>
    </w:p>
    <w:p>
      <w:pPr>
        <w:ind w:firstLine="640"/>
        <w:rPr>
          <w:sz w:val="32"/>
          <w:szCs w:val="32"/>
        </w:rPr>
      </w:pPr>
      <w:r>
        <w:rPr>
          <w:rFonts w:hint="eastAsia"/>
          <w:sz w:val="32"/>
          <w:szCs w:val="32"/>
        </w:rPr>
        <w:t>强化西湖西溪一体化，联动实施西湖全域综合提升和西溪湿地原生态保护提升，强化自然生态景观保护，进一步提升水生态品质，全面提升保护、管理、经营、研究水平，打造世界湿地保护与利用的典范。杜绝过度开发、破坏，让西湖、西溪湿地成为人民群众共享绿色空间的典范。打造“全球知名的世遗保护典范、世界级湿地保护修复利用样板、普惠共享的人民大公园、城市生命共同体的新蓝本”。</w:t>
      </w:r>
    </w:p>
    <w:p>
      <w:pPr>
        <w:pStyle w:val="6"/>
        <w:ind w:firstLine="640"/>
        <w:rPr>
          <w:rFonts w:ascii="楷体_GB2312" w:eastAsia="楷体_GB2312"/>
          <w:b w:val="0"/>
        </w:rPr>
      </w:pPr>
      <w:r>
        <w:rPr>
          <w:rFonts w:hint="eastAsia" w:ascii="楷体_GB2312" w:eastAsia="楷体_GB2312"/>
          <w:b w:val="0"/>
        </w:rPr>
        <w:t>（二）严格生态环境空间管控</w:t>
      </w:r>
    </w:p>
    <w:p>
      <w:pPr>
        <w:widowControl/>
        <w:ind w:firstLine="640"/>
        <w:rPr>
          <w:rFonts w:ascii="仿宋_GB2312"/>
          <w:sz w:val="32"/>
          <w:szCs w:val="32"/>
        </w:rPr>
      </w:pPr>
      <w:r>
        <w:rPr>
          <w:rFonts w:hint="eastAsia" w:ascii="仿宋_GB2312"/>
          <w:sz w:val="32"/>
          <w:szCs w:val="32"/>
        </w:rPr>
        <w:t>按照《杭州西湖风景名胜区总体规划（2021-2035年）》要求，强化全域分级管控。保持西湖景区自然景观原有风貌和人文景观历史风貌，保护自然生态环境，各项建设应当与景区环境相协调，防止景区城市化、人工化和商业化。协调处理好景区保护与建设、近期与远期、局部与整体的关系。科学确定景区各景点的环境容量、游览接待容量和游览线路，对景区部分地段的游览线路实行限定。</w:t>
      </w:r>
    </w:p>
    <w:p>
      <w:pPr>
        <w:pStyle w:val="6"/>
        <w:ind w:firstLine="640"/>
        <w:rPr>
          <w:rFonts w:ascii="楷体_GB2312" w:eastAsia="楷体_GB2312"/>
          <w:b w:val="0"/>
        </w:rPr>
      </w:pPr>
      <w:r>
        <w:rPr>
          <w:rFonts w:hint="eastAsia" w:ascii="楷体_GB2312" w:eastAsia="楷体_GB2312"/>
          <w:b w:val="0"/>
        </w:rPr>
        <w:t>（三）持续保护生物多样性</w:t>
      </w:r>
    </w:p>
    <w:p>
      <w:pPr>
        <w:ind w:firstLine="640"/>
        <w:rPr>
          <w:rFonts w:ascii="仿宋_GB2312"/>
          <w:sz w:val="32"/>
          <w:szCs w:val="32"/>
        </w:rPr>
      </w:pPr>
      <w:r>
        <w:rPr>
          <w:rFonts w:hint="eastAsia" w:ascii="仿宋_GB2312"/>
          <w:sz w:val="32"/>
          <w:szCs w:val="32"/>
        </w:rPr>
        <w:t>深入开展西湖景区生物多样性研究，保护野生动植物及其栖息地，丰富生物多样性。保护鸟类，进一步丰富鸟类的种类及数量，严禁捕鸟。加强自然分布的珍稀濒危植物保护，对于数量稀少的种类，以杭州植物园为基地，采取迁地保护。加大古树名木保护力度。按照古树管养要求，保护好景区范围内香樟、枫香、珊瑚朴、银杏等古树名木773株。开展生物多样性调查评估，掌握区域物种现状，采集电子标本建立相关物种的名录和基础数据库，分析生物多样性变化趋势。提出生物多样性保护对策建议，为生物多样性保护、管理和决策提供科学依据，全面提升生物多样性保护水平和监管能力。“十四五”期间，完成西湖群山植物多样性调研。</w:t>
      </w:r>
    </w:p>
    <w:p>
      <w:pPr>
        <w:ind w:firstLine="640"/>
        <w:rPr>
          <w:rFonts w:ascii="仿宋_GB2312"/>
          <w:sz w:val="32"/>
          <w:szCs w:val="32"/>
        </w:rPr>
      </w:pPr>
      <w:r>
        <w:rPr>
          <w:rFonts w:hint="eastAsia" w:ascii="仿宋_GB2312"/>
          <w:sz w:val="32"/>
          <w:szCs w:val="32"/>
        </w:rPr>
        <w:t>系统防治外来入侵物种。以风险防控、全程控制、公众参与为主要原则，实施西湖景区外来物种入侵防治，建立外来物种信息系统，定期开展外来入侵物种排查，建立和及时更新最危险的入侵物种名录，防止其扩散。对可能存在外来物种入侵风险，加强源头防控。对引进的外来生物物种进行跟踪监测。持续开展福寿螺等外来入侵物种整治和预防工作，保证水生态稳定。规范游览秩序，禁止游客将外来生物带入景区放生。“十四五”期间，确保景区外来有害物种入侵程度不恶化。</w:t>
      </w:r>
    </w:p>
    <w:p>
      <w:pPr>
        <w:pStyle w:val="6"/>
        <w:ind w:firstLine="640"/>
        <w:rPr>
          <w:rFonts w:ascii="楷体_GB2312" w:eastAsia="楷体_GB2312"/>
          <w:b w:val="0"/>
        </w:rPr>
      </w:pPr>
      <w:r>
        <w:rPr>
          <w:rFonts w:hint="eastAsia" w:ascii="楷体_GB2312" w:eastAsia="楷体_GB2312"/>
          <w:b w:val="0"/>
        </w:rPr>
        <w:t>（四）优化植物景观配置</w:t>
      </w:r>
    </w:p>
    <w:p>
      <w:pPr>
        <w:ind w:firstLine="640"/>
        <w:rPr>
          <w:rFonts w:ascii="仿宋_GB2312"/>
          <w:sz w:val="32"/>
          <w:szCs w:val="32"/>
        </w:rPr>
      </w:pPr>
      <w:r>
        <w:rPr>
          <w:rFonts w:hint="eastAsia" w:ascii="仿宋_GB2312"/>
          <w:bCs/>
          <w:sz w:val="32"/>
          <w:szCs w:val="32"/>
        </w:rPr>
        <w:t>保护现有植物群落。</w:t>
      </w:r>
      <w:r>
        <w:rPr>
          <w:rFonts w:hint="eastAsia" w:ascii="仿宋_GB2312"/>
          <w:sz w:val="32"/>
          <w:szCs w:val="32"/>
        </w:rPr>
        <w:t>以全面保护为前提，充实具有较高观赏价值的传统乡土树种，优化和丰富景区植物景观。保护和培育重点风景山林，恢复和培育历史植物名胜，强化景区植物景观彩化提升。挖掘名胜区现有植物资源强项，结合2022年亚运会苗木储备建设，加大加快新优特植物产学研用，助力亚运会园林景观创新发展。大力推进植物资源馆整治工程，打造特色科普场馆。</w:t>
      </w:r>
    </w:p>
    <w:p>
      <w:pPr>
        <w:pStyle w:val="11"/>
        <w:spacing w:after="0"/>
        <w:ind w:left="0" w:leftChars="0" w:firstLine="560" w:firstLineChars="0"/>
        <w:rPr>
          <w:rFonts w:ascii="仿宋_GB2312" w:eastAsia="仿宋_GB2312"/>
          <w:sz w:val="32"/>
          <w:szCs w:val="32"/>
        </w:rPr>
      </w:pPr>
      <w:r>
        <w:rPr>
          <w:rFonts w:hint="eastAsia" w:ascii="仿宋_GB2312" w:eastAsia="仿宋_GB2312"/>
          <w:bCs/>
          <w:sz w:val="32"/>
          <w:szCs w:val="32"/>
        </w:rPr>
        <w:t>保护特色植物资源。</w:t>
      </w:r>
      <w:r>
        <w:rPr>
          <w:rFonts w:hint="eastAsia" w:ascii="仿宋_GB2312" w:eastAsia="仿宋_GB2312"/>
          <w:sz w:val="32"/>
          <w:szCs w:val="32"/>
        </w:rPr>
        <w:t>保持西湖景区四季花卉的传统观赏地点和规模，培育植物景观的历史特色与地方特色，保持西湖堤岸的桃柳相间的传统景观。保护龙井茶园等传统景观，包括传统品种、种植方式、分布地段特有的地形地貌、环境气候和茶园规模，防治茶园灾害。健全法律保障体系，加强特色植物的保护，对现有特色植物景观分布的地区加强日常养护。“十四五”期间，推进实施杭州西湖文化景观遗产特色植物监测平台建设项目。</w:t>
      </w:r>
    </w:p>
    <w:p>
      <w:pPr>
        <w:pStyle w:val="6"/>
        <w:ind w:firstLine="640"/>
        <w:rPr>
          <w:rFonts w:ascii="楷体_GB2312" w:eastAsia="楷体_GB2312"/>
          <w:b w:val="0"/>
        </w:rPr>
      </w:pPr>
      <w:r>
        <w:rPr>
          <w:rFonts w:hint="eastAsia" w:ascii="楷体_GB2312" w:eastAsia="楷体_GB2312"/>
          <w:b w:val="0"/>
        </w:rPr>
        <w:t>（五）综合整治“景中村”环境</w:t>
      </w:r>
    </w:p>
    <w:p>
      <w:pPr>
        <w:ind w:firstLine="640"/>
        <w:rPr>
          <w:rFonts w:ascii="仿宋_GB2312"/>
          <w:sz w:val="32"/>
          <w:szCs w:val="32"/>
        </w:rPr>
      </w:pPr>
      <w:r>
        <w:rPr>
          <w:rFonts w:hint="eastAsia" w:ascii="仿宋_GB2312"/>
          <w:sz w:val="32"/>
          <w:szCs w:val="32"/>
        </w:rPr>
        <w:t>结合“拆违清乱”行动和景中村综合改造提升工作，全面做好住宅小区和景中村（社区）整体环境提升，持续推进龙井岭上区块、梅家坞庙坞里区块等景中村整治工程，通过拆违清乱、市政设施改造等措施，全面提升村庄的环境品质。持续做好危旧房日常监管工作，完善景中村危旧房的“一户一档”。“十四五”期间，不断提升“景中村”美丽指数。</w:t>
      </w:r>
    </w:p>
    <w:p>
      <w:pPr>
        <w:pStyle w:val="5"/>
        <w:keepNext w:val="0"/>
        <w:keepLines w:val="0"/>
        <w:spacing w:line="240" w:lineRule="auto"/>
      </w:pPr>
      <w:bookmarkStart w:id="368" w:name="_Toc20450"/>
      <w:bookmarkStart w:id="369" w:name="_Toc25890"/>
      <w:bookmarkStart w:id="370" w:name="_Toc3697"/>
      <w:bookmarkStart w:id="371" w:name="_Toc10682"/>
      <w:bookmarkStart w:id="372" w:name="_Toc13954"/>
      <w:r>
        <w:rPr>
          <w:rFonts w:hint="eastAsia"/>
        </w:rPr>
        <w:t>二、发展生态经济，推动产业提质增效</w:t>
      </w:r>
      <w:bookmarkEnd w:id="342"/>
      <w:bookmarkEnd w:id="343"/>
      <w:bookmarkEnd w:id="344"/>
      <w:bookmarkEnd w:id="345"/>
      <w:bookmarkEnd w:id="346"/>
      <w:bookmarkEnd w:id="347"/>
      <w:bookmarkEnd w:id="348"/>
      <w:bookmarkEnd w:id="349"/>
      <w:bookmarkEnd w:id="350"/>
      <w:bookmarkEnd w:id="351"/>
      <w:bookmarkEnd w:id="367"/>
      <w:bookmarkEnd w:id="368"/>
      <w:bookmarkEnd w:id="369"/>
      <w:bookmarkEnd w:id="370"/>
      <w:bookmarkEnd w:id="371"/>
      <w:bookmarkEnd w:id="372"/>
    </w:p>
    <w:p>
      <w:pPr>
        <w:ind w:firstLine="640"/>
        <w:rPr>
          <w:sz w:val="32"/>
          <w:szCs w:val="32"/>
        </w:rPr>
      </w:pPr>
      <w:r>
        <w:rPr>
          <w:rFonts w:hint="eastAsia"/>
          <w:sz w:val="32"/>
          <w:szCs w:val="32"/>
        </w:rPr>
        <w:t>坚持绿色低碳发展导向，围绕经济生态化、生态经济化、低碳清洁化，不断拓宽“绿水青山就是金山银山”转化通道和路径，建立绿色、高效、低碳的经济体系，协同推进经济高质量发展和生态环境高水平保护，不断增强生态环境质量改善的内生动力。</w:t>
      </w:r>
    </w:p>
    <w:p>
      <w:pPr>
        <w:pStyle w:val="6"/>
        <w:ind w:firstLine="640"/>
        <w:rPr>
          <w:rFonts w:ascii="楷体_GB2312" w:eastAsia="楷体_GB2312"/>
          <w:b w:val="0"/>
        </w:rPr>
      </w:pPr>
      <w:bookmarkStart w:id="373" w:name="_Toc14717"/>
      <w:bookmarkStart w:id="374" w:name="_Toc19510"/>
      <w:bookmarkStart w:id="375" w:name="_Toc27230"/>
      <w:bookmarkStart w:id="376" w:name="_Toc8476"/>
      <w:bookmarkStart w:id="377" w:name="_Toc20199"/>
      <w:bookmarkStart w:id="378" w:name="_Toc14961"/>
      <w:bookmarkStart w:id="379" w:name="_Toc5835"/>
      <w:bookmarkStart w:id="380" w:name="_Toc30516"/>
      <w:r>
        <w:rPr>
          <w:rFonts w:hint="eastAsia" w:ascii="楷体_GB2312" w:eastAsia="楷体_GB2312"/>
          <w:b w:val="0"/>
        </w:rPr>
        <w:t>（一）大力发展生态经济</w:t>
      </w:r>
      <w:bookmarkEnd w:id="373"/>
      <w:bookmarkEnd w:id="374"/>
      <w:bookmarkEnd w:id="375"/>
      <w:bookmarkEnd w:id="376"/>
      <w:bookmarkEnd w:id="377"/>
      <w:bookmarkEnd w:id="378"/>
      <w:bookmarkEnd w:id="379"/>
      <w:bookmarkEnd w:id="380"/>
    </w:p>
    <w:p>
      <w:pPr>
        <w:ind w:firstLine="640"/>
        <w:rPr>
          <w:rFonts w:ascii="仿宋_GB2312"/>
          <w:sz w:val="32"/>
          <w:szCs w:val="32"/>
        </w:rPr>
      </w:pPr>
      <w:r>
        <w:rPr>
          <w:rFonts w:hint="eastAsia" w:ascii="仿宋_GB2312"/>
          <w:sz w:val="32"/>
          <w:szCs w:val="32"/>
        </w:rPr>
        <w:t>坚持生态优先、绿色发展，落实存量优化、增量严控。大力发展生态经济，拓宽“绿水青山就是金山银山”转化路径，培育“绿水青山就是金山银山”转化新业态。加快产业提质增效，注重茶产业、文化创意产业的发展。调整空间布局，促进景区平衡、多样化发展。优化业态消费定位，引导部分区位较好的低端业态向中端业态转型。强调自然资源保护与旅游资源科学开发的有机结合，依托自然资源禀赋和区位优势，坚持集聚、智能、融合、绿色发展方向，构建“景区+景中村+产业集聚区”的绿色经济大格局。</w:t>
      </w:r>
    </w:p>
    <w:p>
      <w:pPr>
        <w:ind w:firstLine="640"/>
        <w:rPr>
          <w:rFonts w:ascii="仿宋_GB2312"/>
          <w:sz w:val="32"/>
          <w:szCs w:val="32"/>
        </w:rPr>
      </w:pPr>
      <w:r>
        <w:rPr>
          <w:rFonts w:hint="eastAsia" w:ascii="仿宋_GB2312"/>
          <w:sz w:val="32"/>
          <w:szCs w:val="32"/>
        </w:rPr>
        <w:t>探索开展生态系统生产总值（GEP）核算。对区域范围内生态系统供给产品、调节服务和文化服务等三大类生态产品进行核算。加快核算成果多元应用，探索推动GEP核算成果进规划、进考核、进政策、进项目，丰富应用场景，加强多元应用。</w:t>
      </w:r>
    </w:p>
    <w:p>
      <w:pPr>
        <w:pStyle w:val="6"/>
        <w:ind w:firstLine="640"/>
        <w:rPr>
          <w:rFonts w:ascii="楷体_GB2312" w:eastAsia="楷体_GB2312"/>
          <w:b w:val="0"/>
        </w:rPr>
      </w:pPr>
      <w:r>
        <w:rPr>
          <w:rFonts w:hint="eastAsia" w:ascii="楷体_GB2312" w:eastAsia="楷体_GB2312"/>
          <w:b w:val="0"/>
        </w:rPr>
        <w:t>（二）打造精品特色优质产业</w:t>
      </w:r>
    </w:p>
    <w:p>
      <w:pPr>
        <w:ind w:firstLine="640"/>
        <w:rPr>
          <w:sz w:val="32"/>
          <w:szCs w:val="32"/>
        </w:rPr>
      </w:pPr>
      <w:r>
        <w:rPr>
          <w:rFonts w:hint="eastAsia"/>
          <w:sz w:val="32"/>
          <w:szCs w:val="32"/>
        </w:rPr>
        <w:t>按照《杭州市西湖龙井茶基地保护条例》要求，</w:t>
      </w:r>
      <w:r>
        <w:rPr>
          <w:sz w:val="32"/>
          <w:szCs w:val="32"/>
        </w:rPr>
        <w:t>以老字号品牌建设和优势企业扶持为抓手</w:t>
      </w:r>
      <w:r>
        <w:rPr>
          <w:rFonts w:hint="eastAsia"/>
          <w:sz w:val="32"/>
          <w:szCs w:val="32"/>
        </w:rPr>
        <w:t>，</w:t>
      </w:r>
      <w:r>
        <w:rPr>
          <w:sz w:val="32"/>
          <w:szCs w:val="32"/>
        </w:rPr>
        <w:t>做强西湖龙井茶支柱产业</w:t>
      </w:r>
      <w:r>
        <w:rPr>
          <w:rFonts w:hint="eastAsia"/>
          <w:sz w:val="32"/>
          <w:szCs w:val="32"/>
        </w:rPr>
        <w:t>，打造精品特色优质产业</w:t>
      </w:r>
      <w:r>
        <w:rPr>
          <w:sz w:val="32"/>
          <w:szCs w:val="32"/>
        </w:rPr>
        <w:t>。树立规范西湖龙井茶品牌保护意识</w:t>
      </w:r>
      <w:r>
        <w:rPr>
          <w:rFonts w:hint="eastAsia"/>
          <w:sz w:val="32"/>
          <w:szCs w:val="32"/>
        </w:rPr>
        <w:t>，</w:t>
      </w:r>
      <w:r>
        <w:rPr>
          <w:sz w:val="32"/>
          <w:szCs w:val="32"/>
        </w:rPr>
        <w:t>做好龙井茶原产地和地理标志认证保护</w:t>
      </w:r>
      <w:r>
        <w:rPr>
          <w:rFonts w:hint="eastAsia"/>
          <w:sz w:val="32"/>
          <w:szCs w:val="32"/>
        </w:rPr>
        <w:t>。</w:t>
      </w:r>
      <w:r>
        <w:rPr>
          <w:sz w:val="32"/>
          <w:szCs w:val="32"/>
        </w:rPr>
        <w:t>调整完善西湖龙井茶产业扶持政策，助力企业品牌发展</w:t>
      </w:r>
      <w:r>
        <w:rPr>
          <w:rFonts w:hint="eastAsia"/>
          <w:sz w:val="32"/>
          <w:szCs w:val="32"/>
        </w:rPr>
        <w:t>，</w:t>
      </w:r>
      <w:r>
        <w:rPr>
          <w:sz w:val="32"/>
          <w:szCs w:val="32"/>
        </w:rPr>
        <w:t>提高企业品牌的知名度。以</w:t>
      </w:r>
      <w:r>
        <w:rPr>
          <w:rFonts w:hint="eastAsia"/>
          <w:sz w:val="32"/>
          <w:szCs w:val="32"/>
        </w:rPr>
        <w:t>发展</w:t>
      </w:r>
      <w:r>
        <w:rPr>
          <w:sz w:val="32"/>
          <w:szCs w:val="32"/>
        </w:rPr>
        <w:t>茶文化创意农业为重点，打造以茶文化为特色，集旅游、休闲和农家乐相结合的观赏、体验、科普于一体的生态型休闲观光与文化创意基地，进一步提升西湖龙井茶文化休闲产业竞争力，形成融西湖龙井茶产业发展、文化创意、休闲旅游、体验展示于一体的产业景观带</w:t>
      </w:r>
      <w:r>
        <w:rPr>
          <w:rFonts w:hint="eastAsia"/>
          <w:sz w:val="32"/>
          <w:szCs w:val="32"/>
        </w:rPr>
        <w:t>，</w:t>
      </w:r>
      <w:r>
        <w:rPr>
          <w:sz w:val="32"/>
          <w:szCs w:val="32"/>
        </w:rPr>
        <w:t>实现经济效益、社会效益和生态效益三统一</w:t>
      </w:r>
      <w:r>
        <w:rPr>
          <w:rFonts w:hint="eastAsia"/>
          <w:sz w:val="32"/>
          <w:szCs w:val="32"/>
        </w:rPr>
        <w:t>与最大化</w:t>
      </w:r>
      <w:r>
        <w:rPr>
          <w:sz w:val="32"/>
          <w:szCs w:val="32"/>
        </w:rPr>
        <w:t>。创新西湖龙井茶的宣传推介。不断创新、发展和宣传西湖龙井茶文化。开展丰富多彩的茶文化活动，推广茶道茶艺，普及西湖龙井茶文化知识与技能。</w:t>
      </w:r>
      <w:r>
        <w:rPr>
          <w:rFonts w:hint="eastAsia"/>
          <w:sz w:val="32"/>
          <w:szCs w:val="32"/>
        </w:rPr>
        <w:t>“十四五”期间，完成中国茶叶博物馆提升项目，做好中国茶非遗项目展示。</w:t>
      </w:r>
    </w:p>
    <w:p>
      <w:pPr>
        <w:pStyle w:val="5"/>
      </w:pPr>
      <w:bookmarkStart w:id="381" w:name="_Toc5934"/>
      <w:bookmarkStart w:id="382" w:name="_Toc21269"/>
      <w:bookmarkStart w:id="383" w:name="_Toc5063"/>
      <w:bookmarkStart w:id="384" w:name="_Toc12192"/>
      <w:bookmarkStart w:id="385" w:name="_Toc29578"/>
      <w:bookmarkStart w:id="386" w:name="_Toc22652"/>
      <w:bookmarkStart w:id="387" w:name="_Toc21943"/>
      <w:bookmarkStart w:id="388" w:name="_Toc8077"/>
      <w:bookmarkStart w:id="389" w:name="_Toc23334"/>
      <w:bookmarkStart w:id="390" w:name="_Toc284"/>
      <w:bookmarkStart w:id="391" w:name="_Toc16357"/>
      <w:bookmarkStart w:id="392" w:name="_Toc6629"/>
      <w:bookmarkStart w:id="393" w:name="_Toc26196"/>
      <w:bookmarkStart w:id="394" w:name="_Toc15665"/>
      <w:bookmarkStart w:id="395" w:name="_Toc15570"/>
      <w:bookmarkStart w:id="396" w:name="_Toc3056"/>
      <w:r>
        <w:rPr>
          <w:rFonts w:hint="eastAsia"/>
        </w:rPr>
        <w:t>三、推动碳排放达峰，积极应对气候变化</w:t>
      </w:r>
      <w:bookmarkEnd w:id="381"/>
      <w:bookmarkEnd w:id="382"/>
      <w:bookmarkEnd w:id="383"/>
      <w:bookmarkEnd w:id="384"/>
      <w:bookmarkEnd w:id="385"/>
    </w:p>
    <w:p>
      <w:pPr>
        <w:ind w:firstLine="640"/>
        <w:rPr>
          <w:sz w:val="32"/>
          <w:szCs w:val="32"/>
        </w:rPr>
      </w:pPr>
      <w:r>
        <w:rPr>
          <w:sz w:val="32"/>
          <w:szCs w:val="32"/>
        </w:rPr>
        <w:t>坚持减缓和适应并重，推动实施二氧化碳排放达峰行动，有效控制温室气体排放，深化多</w:t>
      </w:r>
      <w:r>
        <w:rPr>
          <w:rFonts w:hint="eastAsia"/>
          <w:sz w:val="32"/>
          <w:szCs w:val="32"/>
        </w:rPr>
        <w:t>领域</w:t>
      </w:r>
      <w:r>
        <w:rPr>
          <w:sz w:val="32"/>
          <w:szCs w:val="32"/>
        </w:rPr>
        <w:t>低碳试点示范，推进应对气候变化与环境治理、生态保护修复协同增效，显著增强应对气候变化能力</w:t>
      </w:r>
      <w:r>
        <w:rPr>
          <w:rFonts w:hint="eastAsia"/>
          <w:sz w:val="32"/>
          <w:szCs w:val="32"/>
        </w:rPr>
        <w:t>，助力</w:t>
      </w:r>
      <w:r>
        <w:rPr>
          <w:sz w:val="32"/>
          <w:szCs w:val="32"/>
        </w:rPr>
        <w:t>打造低碳之城。</w:t>
      </w:r>
    </w:p>
    <w:p>
      <w:pPr>
        <w:pStyle w:val="6"/>
        <w:ind w:firstLine="640"/>
        <w:rPr>
          <w:rFonts w:ascii="楷体_GB2312" w:eastAsia="楷体_GB2312"/>
          <w:b w:val="0"/>
        </w:rPr>
      </w:pPr>
      <w:r>
        <w:rPr>
          <w:rFonts w:hint="eastAsia" w:ascii="楷体_GB2312" w:eastAsia="楷体_GB2312"/>
          <w:b w:val="0"/>
        </w:rPr>
        <w:t>（一）落实二氧化碳排放达峰行动方案</w:t>
      </w:r>
    </w:p>
    <w:p>
      <w:pPr>
        <w:ind w:firstLine="640"/>
        <w:rPr>
          <w:rFonts w:ascii="仿宋_GB2312"/>
          <w:sz w:val="32"/>
          <w:szCs w:val="32"/>
        </w:rPr>
      </w:pPr>
      <w:r>
        <w:rPr>
          <w:rFonts w:hint="eastAsia" w:ascii="仿宋_GB2312"/>
          <w:sz w:val="32"/>
          <w:szCs w:val="32"/>
        </w:rPr>
        <w:t>围绕国家力争碳排放2030年前达到峰值的目标和努力争取2060年前实现碳中和的愿景，落实省、市二氧化碳达峰行动方案，积极发展低碳产业、低碳交通、低碳建筑，倡导低碳生活，聚焦建筑、交通、服务业、居民生活和农业等重点领域，加强对氢氟碳化物、甲烷、氧化亚氮、全氟化碳、六氟化硫等非二氧化碳温室气体的管控。增加林业等生态系统碳汇。</w:t>
      </w:r>
    </w:p>
    <w:p>
      <w:pPr>
        <w:pStyle w:val="6"/>
        <w:ind w:firstLine="640"/>
        <w:rPr>
          <w:rFonts w:ascii="楷体_GB2312" w:eastAsia="楷体_GB2312"/>
          <w:b w:val="0"/>
        </w:rPr>
      </w:pPr>
      <w:r>
        <w:rPr>
          <w:rFonts w:hint="eastAsia" w:ascii="楷体_GB2312" w:eastAsia="楷体_GB2312"/>
          <w:b w:val="0"/>
        </w:rPr>
        <w:t>（二）推进景区绿色低碳发展</w:t>
      </w:r>
    </w:p>
    <w:p>
      <w:pPr>
        <w:ind w:firstLine="640"/>
        <w:rPr>
          <w:rFonts w:ascii="仿宋_GB2312"/>
          <w:sz w:val="32"/>
          <w:szCs w:val="32"/>
        </w:rPr>
      </w:pPr>
      <w:r>
        <w:rPr>
          <w:rFonts w:hint="eastAsia" w:ascii="仿宋_GB2312"/>
          <w:sz w:val="32"/>
          <w:szCs w:val="32"/>
        </w:rPr>
        <w:t>发挥绿色亚运效应，倡导绿色低碳生活方式，广泛开展绿色低碳生活行动，加快推动全社会生活方式绿色化转变。倡导消费者选择绿色低碳产品，逐步减少一次性塑料制品的使用。倡导低碳装修、低碳生活，推广普及节水、节能器具，反对过度包装。加大低碳标识产品的使用和推广力度，鼓励居民购买绿色产品。倡导绿色低碳出行方式，鼓励步行、自行车、公共交通、拼车等低碳出行方式。加强生态环境保护宣传教育，充分发挥好新闻媒体传播作用，树立现代生态理念，营造绿色生活氛围。推动低碳试点示范创建。探索开展近零碳排放与碳中和试点示范，开展多领域“零碳”体系建设。推进“零碳”政府机关、“零碳”示范街道、“零碳”示范村（社区）建设。开展“碳标签”和“碳中和”实践，推进各类活动会议实施“碳中和”。</w:t>
      </w:r>
    </w:p>
    <w:p>
      <w:pPr>
        <w:pStyle w:val="6"/>
        <w:ind w:firstLine="640"/>
        <w:rPr>
          <w:rFonts w:ascii="楷体_GB2312" w:eastAsia="楷体_GB2312"/>
          <w:b w:val="0"/>
        </w:rPr>
      </w:pPr>
      <w:r>
        <w:rPr>
          <w:rFonts w:hint="eastAsia" w:ascii="楷体_GB2312" w:eastAsia="楷体_GB2312"/>
          <w:b w:val="0"/>
        </w:rPr>
        <w:t>（三）推动增强气候变化适应能力</w:t>
      </w:r>
    </w:p>
    <w:p>
      <w:pPr>
        <w:ind w:firstLine="640"/>
        <w:rPr>
          <w:sz w:val="32"/>
          <w:szCs w:val="32"/>
        </w:rPr>
      </w:pPr>
      <w:r>
        <w:rPr>
          <w:sz w:val="32"/>
          <w:szCs w:val="32"/>
        </w:rPr>
        <w:t>主动适应气候变化。加强气候变化影响及风险评估，强化市政、交通等基础设施气候韧性，提高农业、林业等重点领域气候适应水平，提升生态环境保护和修复保障能力。建立健全气候防灾减灾体系，加强气候灾害的监测评估和预测预警，完善气候灾害应急预案和响应工作机制，增强对极端气候事件的应对能力。</w:t>
      </w:r>
    </w:p>
    <w:p>
      <w:pPr>
        <w:pStyle w:val="5"/>
      </w:pPr>
      <w:bookmarkStart w:id="397" w:name="_Toc16831"/>
      <w:bookmarkStart w:id="398" w:name="_Toc19763"/>
      <w:bookmarkStart w:id="399" w:name="_Toc4688"/>
      <w:bookmarkStart w:id="400" w:name="_Toc11833"/>
      <w:bookmarkStart w:id="401" w:name="_Toc26238"/>
      <w:r>
        <w:rPr>
          <w:rFonts w:hint="eastAsia"/>
        </w:rPr>
        <w:t>四</w:t>
      </w:r>
      <w:r>
        <w:t>、</w:t>
      </w:r>
      <w:r>
        <w:rPr>
          <w:rFonts w:hint="eastAsia"/>
        </w:rPr>
        <w:t>实施系统治理</w:t>
      </w:r>
      <w:r>
        <w:t>，</w:t>
      </w:r>
      <w:bookmarkEnd w:id="352"/>
      <w:bookmarkEnd w:id="353"/>
      <w:bookmarkEnd w:id="354"/>
      <w:bookmarkEnd w:id="355"/>
      <w:bookmarkEnd w:id="356"/>
      <w:bookmarkEnd w:id="357"/>
      <w:bookmarkEnd w:id="358"/>
      <w:bookmarkEnd w:id="359"/>
      <w:bookmarkEnd w:id="360"/>
      <w:bookmarkEnd w:id="361"/>
      <w:r>
        <w:rPr>
          <w:rFonts w:hint="eastAsia"/>
        </w:rPr>
        <w:t>稳步提升水生态环境</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pPr>
        <w:ind w:firstLine="640"/>
        <w:rPr>
          <w:rFonts w:ascii="仿宋_GB2312"/>
          <w:sz w:val="32"/>
          <w:szCs w:val="32"/>
        </w:rPr>
      </w:pPr>
      <w:r>
        <w:rPr>
          <w:rFonts w:hint="eastAsia" w:ascii="仿宋_GB2312"/>
          <w:sz w:val="32"/>
          <w:szCs w:val="32"/>
        </w:rPr>
        <w:t>坚持“三水统筹、系统治理”的原则，以水环境质量稳固提升为核心，以“河（湖、溪）长制”为抓手，深入开展“碧水保卫战”，强化河湖系统保护，协同推进水环境治理、水生态修复和水资源利用。</w:t>
      </w:r>
    </w:p>
    <w:p>
      <w:pPr>
        <w:pStyle w:val="6"/>
        <w:ind w:firstLine="640"/>
        <w:rPr>
          <w:rFonts w:ascii="楷体_GB2312" w:eastAsia="楷体_GB2312"/>
          <w:b w:val="0"/>
        </w:rPr>
      </w:pPr>
      <w:bookmarkStart w:id="402" w:name="_Toc15326"/>
      <w:bookmarkStart w:id="403" w:name="_Toc15280"/>
      <w:bookmarkStart w:id="404" w:name="_Toc8114"/>
      <w:bookmarkStart w:id="405" w:name="_Toc31844"/>
      <w:bookmarkStart w:id="406" w:name="_Toc8610"/>
      <w:bookmarkStart w:id="407" w:name="_Toc12699"/>
      <w:bookmarkStart w:id="408" w:name="_Toc15636"/>
      <w:r>
        <w:rPr>
          <w:rFonts w:hint="eastAsia" w:ascii="楷体_GB2312" w:eastAsia="楷体_GB2312"/>
          <w:b w:val="0"/>
        </w:rPr>
        <w:t>（一）加强饮用水水源保护区管理</w:t>
      </w:r>
      <w:bookmarkEnd w:id="402"/>
      <w:bookmarkEnd w:id="403"/>
      <w:bookmarkEnd w:id="404"/>
      <w:bookmarkEnd w:id="405"/>
      <w:bookmarkEnd w:id="406"/>
      <w:bookmarkEnd w:id="407"/>
      <w:bookmarkEnd w:id="408"/>
    </w:p>
    <w:p>
      <w:pPr>
        <w:ind w:firstLine="640"/>
        <w:rPr>
          <w:rFonts w:ascii="仿宋_GB2312"/>
          <w:sz w:val="32"/>
          <w:szCs w:val="32"/>
        </w:rPr>
      </w:pPr>
      <w:bookmarkStart w:id="409" w:name="_Toc19811"/>
      <w:bookmarkStart w:id="410" w:name="_Toc1744"/>
      <w:bookmarkStart w:id="411" w:name="_Toc7249"/>
      <w:bookmarkStart w:id="412" w:name="_Toc18038"/>
      <w:bookmarkStart w:id="413" w:name="_Toc7451"/>
      <w:r>
        <w:rPr>
          <w:rFonts w:hint="eastAsia" w:ascii="仿宋_GB2312"/>
          <w:sz w:val="32"/>
          <w:szCs w:val="32"/>
        </w:rPr>
        <w:t>切实加强钱塘江饮用水水源保护区管理。落实饮用水水源保护区“划、立、治”工作，完善界碑、交通警示牌和宣传牌等标志标牌建设，做好物理隔离防护措施，配合杭州市建立统一的饮用水水源保护区矢量数据库。持续开展钱塘江饮用水水源保护区非法垂钓专项整治行动，强化日常巡查。结合饮用水水源地矢量数据库，利用无人机、无人船、遥感卫星等技术手段，全面排查饮用水水源保护区内存在问题，摸清污染来源及风险点位。“十四五”期间，有效落实钱塘江饮用水水源地“一源一策”保护方案。</w:t>
      </w:r>
    </w:p>
    <w:p>
      <w:pPr>
        <w:pStyle w:val="6"/>
        <w:ind w:firstLine="640"/>
        <w:rPr>
          <w:rFonts w:ascii="楷体_GB2312" w:eastAsia="楷体_GB2312"/>
          <w:b w:val="0"/>
        </w:rPr>
      </w:pPr>
      <w:bookmarkStart w:id="414" w:name="_Toc20329"/>
      <w:bookmarkStart w:id="415" w:name="_Toc1128"/>
      <w:bookmarkStart w:id="416" w:name="_Toc23571"/>
      <w:bookmarkStart w:id="417" w:name="_Toc30437"/>
      <w:bookmarkStart w:id="418" w:name="_Toc19339"/>
      <w:bookmarkStart w:id="419" w:name="_Toc27242"/>
      <w:r>
        <w:rPr>
          <w:rFonts w:hint="eastAsia" w:ascii="楷体_GB2312" w:eastAsia="楷体_GB2312"/>
          <w:b w:val="0"/>
        </w:rPr>
        <w:t>（二）深化水环境污染防治</w:t>
      </w:r>
      <w:bookmarkEnd w:id="409"/>
      <w:bookmarkEnd w:id="410"/>
      <w:bookmarkEnd w:id="411"/>
      <w:bookmarkEnd w:id="412"/>
      <w:bookmarkEnd w:id="413"/>
      <w:bookmarkEnd w:id="414"/>
      <w:bookmarkEnd w:id="415"/>
      <w:bookmarkEnd w:id="416"/>
      <w:bookmarkEnd w:id="417"/>
      <w:bookmarkEnd w:id="418"/>
      <w:bookmarkEnd w:id="419"/>
    </w:p>
    <w:p>
      <w:pPr>
        <w:ind w:left="560" w:leftChars="200" w:firstLine="0" w:firstLineChars="0"/>
        <w:outlineLvl w:val="3"/>
        <w:rPr>
          <w:rFonts w:ascii="仿宋_GB2312"/>
          <w:bCs/>
          <w:sz w:val="32"/>
          <w:szCs w:val="32"/>
        </w:rPr>
      </w:pPr>
      <w:r>
        <w:rPr>
          <w:rFonts w:hint="eastAsia" w:ascii="仿宋_GB2312"/>
          <w:bCs/>
          <w:sz w:val="32"/>
          <w:szCs w:val="32"/>
        </w:rPr>
        <w:t>1、落实河（湖、溪）长制工作</w:t>
      </w:r>
    </w:p>
    <w:p>
      <w:pPr>
        <w:ind w:firstLine="640"/>
        <w:rPr>
          <w:rFonts w:ascii="仿宋_GB2312"/>
          <w:sz w:val="32"/>
          <w:szCs w:val="32"/>
        </w:rPr>
      </w:pPr>
      <w:r>
        <w:rPr>
          <w:rFonts w:hint="eastAsia" w:ascii="仿宋_GB2312"/>
          <w:sz w:val="32"/>
          <w:szCs w:val="32"/>
        </w:rPr>
        <w:t>深入贯彻落实省、市河（湖、溪）长制部署要求，进一步完善风景名胜区河（湖、溪）长制配套机制，切实落实河（湖、溪）长责任，构建责任明晰、协调有序、监管严格、保护有力的管理体制，进一步强化河（湖、溪）长日常监管，把落实治水责任、防范水质反弹作为重点工作，通过督查、问询、通报、约谈等多种形式，使各级河（湖、溪）长切实承担起“管、治、保”职责。制定并实施“一河一策”与年度实施方案，确保完成水生态环境保护年度任务。</w:t>
      </w:r>
    </w:p>
    <w:p>
      <w:pPr>
        <w:pStyle w:val="11"/>
        <w:spacing w:after="0"/>
        <w:ind w:left="0" w:leftChars="0" w:firstLine="560" w:firstLineChars="0"/>
        <w:outlineLvl w:val="3"/>
        <w:rPr>
          <w:rFonts w:ascii="仿宋_GB2312" w:eastAsia="仿宋_GB2312"/>
          <w:bCs/>
          <w:sz w:val="32"/>
          <w:szCs w:val="32"/>
        </w:rPr>
      </w:pPr>
      <w:r>
        <w:rPr>
          <w:rFonts w:hint="eastAsia" w:ascii="仿宋_GB2312" w:eastAsia="仿宋_GB2312"/>
          <w:bCs/>
          <w:sz w:val="32"/>
          <w:szCs w:val="32"/>
        </w:rPr>
        <w:t>2、加强河湖日常监督管理</w:t>
      </w:r>
    </w:p>
    <w:p>
      <w:pPr>
        <w:ind w:firstLine="640"/>
        <w:rPr>
          <w:rFonts w:ascii="仿宋_GB2312"/>
          <w:sz w:val="32"/>
          <w:szCs w:val="32"/>
        </w:rPr>
      </w:pPr>
      <w:r>
        <w:rPr>
          <w:rFonts w:hint="eastAsia" w:ascii="仿宋_GB2312"/>
          <w:bCs/>
          <w:sz w:val="32"/>
          <w:szCs w:val="32"/>
        </w:rPr>
        <w:t>加强水域水体保洁。</w:t>
      </w:r>
      <w:r>
        <w:rPr>
          <w:rFonts w:hint="eastAsia" w:ascii="仿宋_GB2312"/>
          <w:sz w:val="32"/>
          <w:szCs w:val="32"/>
        </w:rPr>
        <w:t>按照《杭州市西湖水域保护管理条例》等文件要求，全面加强对西湖水域的保护和管理，做好湖面保洁管理和日常监管。及时处理水底可见的有色垃圾、可乐罐以及岸边或水底的树枝、树段等。水体保洁打捞的垃圾应做好垃圾分类工作，废弃物应在指定的场所转运、装卸，纳入生活垃圾收运系统做到日收日清、定时、定点。深化不规范垃圾堆放点整治，实施垃圾规范清运，避免雨季污染物和垃圾渗滤液冲刷入河。</w:t>
      </w:r>
    </w:p>
    <w:p>
      <w:pPr>
        <w:ind w:firstLine="640"/>
        <w:rPr>
          <w:rFonts w:ascii="仿宋_GB2312"/>
          <w:sz w:val="32"/>
          <w:szCs w:val="32"/>
        </w:rPr>
      </w:pPr>
      <w:r>
        <w:rPr>
          <w:rFonts w:hint="eastAsia" w:ascii="仿宋_GB2312"/>
          <w:bCs/>
          <w:sz w:val="32"/>
          <w:szCs w:val="32"/>
        </w:rPr>
        <w:t>强化西湖岸线管理保护。</w:t>
      </w:r>
      <w:r>
        <w:rPr>
          <w:rFonts w:hint="eastAsia" w:ascii="仿宋_GB2312"/>
          <w:sz w:val="32"/>
          <w:szCs w:val="32"/>
        </w:rPr>
        <w:t>坚持绿色发展、人水和谐，妥善处理好西湖管理保护与开发利用的关系。强化规划约束，加快推进西湖岸线整治规划编制，合理划定西湖岸线功能分区，明确分区管理保护要求，强化岸线用途管制，严格控制开发利用强度，最大程度恢复和保持西湖岸线自然形态。“十四五”期间，按照《杭州西湖风景名胜区水上设施及岸线整治规划》，有序开展环湖沿线环境改造。</w:t>
      </w:r>
    </w:p>
    <w:p>
      <w:pPr>
        <w:ind w:firstLine="640"/>
        <w:rPr>
          <w:rFonts w:ascii="仿宋_GB2312"/>
          <w:sz w:val="32"/>
          <w:szCs w:val="32"/>
        </w:rPr>
      </w:pPr>
      <w:r>
        <w:rPr>
          <w:rFonts w:hint="eastAsia" w:ascii="仿宋_GB2312"/>
          <w:bCs/>
          <w:sz w:val="32"/>
          <w:szCs w:val="32"/>
        </w:rPr>
        <w:t>加强溪流和小微水体保护。</w:t>
      </w:r>
      <w:r>
        <w:rPr>
          <w:rFonts w:hint="eastAsia" w:ascii="仿宋_GB2312"/>
          <w:sz w:val="32"/>
          <w:szCs w:val="32"/>
        </w:rPr>
        <w:t>巩固梅坞溪、九溪、金沙涧、龙泓涧、赤山泉、长桥溪、进龙河等“六溪一河”和其它小微水体环境综合整治成效。加大溪流河道长效管理力度，完善河长制，加强违法行为的联合执法。全面清除溪流河道的杂草、漂浮物、障碍物，实现溪流河道保洁工作全覆盖。积极发挥基层单位辐射作用，对辖区内的115处小微水体进行清单式管理，确定每一处小微水体的类别、经纬度、面积、责任单位及责任人，同时定期检查，将管理延伸到最边角细微处。到2025年，确保“六溪一河”水质达到或优于Ⅲ类，力争80%以上小微水体水质达到或优于Ⅲ类。</w:t>
      </w:r>
    </w:p>
    <w:p>
      <w:pPr>
        <w:ind w:firstLine="640"/>
        <w:outlineLvl w:val="3"/>
        <w:rPr>
          <w:rFonts w:ascii="仿宋_GB2312"/>
          <w:bCs/>
          <w:sz w:val="32"/>
          <w:szCs w:val="32"/>
        </w:rPr>
      </w:pPr>
      <w:r>
        <w:rPr>
          <w:rFonts w:hint="eastAsia" w:ascii="仿宋_GB2312"/>
          <w:bCs/>
          <w:sz w:val="32"/>
          <w:szCs w:val="32"/>
        </w:rPr>
        <w:t>3、完成国控断面环境状况排查分析</w:t>
      </w:r>
    </w:p>
    <w:p>
      <w:pPr>
        <w:ind w:firstLine="640"/>
        <w:rPr>
          <w:rFonts w:ascii="仿宋_GB2312"/>
          <w:sz w:val="32"/>
          <w:szCs w:val="32"/>
        </w:rPr>
      </w:pPr>
      <w:r>
        <w:rPr>
          <w:rFonts w:hint="eastAsia" w:ascii="仿宋_GB2312"/>
          <w:sz w:val="32"/>
          <w:szCs w:val="32"/>
        </w:rPr>
        <w:t>进一步摸清西湖水环境状况，推进西湖水环境管理工作精准化、信息化，配合全市开展西湖湖心断面环境状况排查分析工作。利用无人船、无人机、水下机器人等对西湖开展走航排查分析，结合历史资料、现场调研、走航监测数据，分析水质变化空间规律，具体结合断面周边排水口（暗管）分布、污染源分布、截污纳管水平、化肥农药施用量、船舶运行等情况分析断面污染成因，精准溯源污染区域，弄清问题、成因、对策，落实“四个在哪里”，筛选重点管控单元（区域），并提出针对性措施和项目。2021年完成西湖“一点一策”治理方案编制；“十四五”期间，有效落实相关措施，并进行无人船日常巡查监测，切实稳定西湖水质。</w:t>
      </w:r>
    </w:p>
    <w:p>
      <w:pPr>
        <w:ind w:firstLine="640"/>
        <w:outlineLvl w:val="3"/>
        <w:rPr>
          <w:rFonts w:ascii="仿宋_GB2312"/>
          <w:bCs/>
          <w:sz w:val="32"/>
          <w:szCs w:val="32"/>
        </w:rPr>
      </w:pPr>
      <w:r>
        <w:rPr>
          <w:rFonts w:hint="eastAsia" w:ascii="仿宋_GB2312"/>
          <w:bCs/>
          <w:sz w:val="32"/>
          <w:szCs w:val="32"/>
        </w:rPr>
        <w:t>4、落实“污水零直排区”长效管理</w:t>
      </w:r>
    </w:p>
    <w:p>
      <w:pPr>
        <w:ind w:firstLine="640"/>
        <w:rPr>
          <w:rFonts w:ascii="仿宋_GB2312"/>
          <w:sz w:val="32"/>
          <w:szCs w:val="32"/>
        </w:rPr>
      </w:pPr>
      <w:r>
        <w:rPr>
          <w:rFonts w:hint="eastAsia" w:ascii="仿宋_GB2312"/>
          <w:sz w:val="32"/>
          <w:szCs w:val="32"/>
        </w:rPr>
        <w:t>健全落实“污水零直排区”长效管理机制，对“污水零直排区”建设区块进行长效管理落实检查。积极开展“污水零直排区”回头看专项行动，进一步查漏补缺，确保污水“应截尽截、应处尽处”。提升排水设施管理质量，构建“权责明确、覆盖全面、设施完好、畅通安全、运行高效”的排水设施网格化管理体系，形成“管理无缝隙、责任全覆盖”的管理格局。落实管网、泵站等污水收集相关设施的运营维护管理队伍，严格实施管网巡查、检测、清淤和维修等机制，切实落实日常养护、管理责任。“十四五”期间，全域“污水零直排区”建设成果得到持续巩固提升。</w:t>
      </w:r>
    </w:p>
    <w:p>
      <w:pPr>
        <w:pStyle w:val="6"/>
        <w:ind w:firstLine="640"/>
        <w:rPr>
          <w:rFonts w:ascii="楷体_GB2312" w:eastAsia="楷体_GB2312"/>
          <w:b w:val="0"/>
        </w:rPr>
      </w:pPr>
      <w:bookmarkStart w:id="420" w:name="_Toc813"/>
      <w:bookmarkStart w:id="421" w:name="_Toc17171"/>
      <w:bookmarkStart w:id="422" w:name="_Toc14803"/>
      <w:bookmarkStart w:id="423" w:name="_Toc15577"/>
      <w:bookmarkStart w:id="424" w:name="_Toc28537"/>
      <w:bookmarkStart w:id="425" w:name="_Toc8088"/>
      <w:bookmarkStart w:id="426" w:name="_Toc20629"/>
      <w:bookmarkStart w:id="427" w:name="_Toc28029"/>
      <w:bookmarkStart w:id="428" w:name="_Toc25167"/>
      <w:bookmarkStart w:id="429" w:name="_Toc19958"/>
      <w:bookmarkStart w:id="430" w:name="_Toc13978"/>
      <w:bookmarkStart w:id="431" w:name="_Toc1857"/>
      <w:bookmarkStart w:id="432" w:name="_Toc23556"/>
      <w:bookmarkStart w:id="433" w:name="_Toc22186"/>
      <w:bookmarkStart w:id="434" w:name="_Toc1464"/>
      <w:bookmarkStart w:id="435" w:name="_Toc14595"/>
      <w:bookmarkStart w:id="436" w:name="_Toc32233"/>
      <w:bookmarkStart w:id="437" w:name="_Toc10415"/>
      <w:r>
        <w:rPr>
          <w:rFonts w:hint="eastAsia" w:ascii="楷体_GB2312" w:eastAsia="楷体_GB2312"/>
          <w:b w:val="0"/>
        </w:rPr>
        <w:t>（三）持续实施水生态保护修复</w:t>
      </w:r>
      <w:bookmarkEnd w:id="420"/>
      <w:bookmarkEnd w:id="421"/>
      <w:bookmarkEnd w:id="422"/>
      <w:bookmarkEnd w:id="423"/>
      <w:bookmarkEnd w:id="424"/>
      <w:bookmarkEnd w:id="425"/>
      <w:bookmarkEnd w:id="426"/>
      <w:bookmarkEnd w:id="427"/>
      <w:bookmarkEnd w:id="428"/>
      <w:bookmarkEnd w:id="429"/>
      <w:bookmarkEnd w:id="430"/>
    </w:p>
    <w:p>
      <w:pPr>
        <w:ind w:firstLine="640"/>
        <w:outlineLvl w:val="3"/>
        <w:rPr>
          <w:rFonts w:ascii="仿宋_GB2312"/>
          <w:bCs/>
          <w:sz w:val="32"/>
          <w:szCs w:val="32"/>
        </w:rPr>
      </w:pPr>
      <w:r>
        <w:rPr>
          <w:rFonts w:hint="eastAsia" w:ascii="仿宋_GB2312"/>
          <w:bCs/>
          <w:sz w:val="32"/>
          <w:szCs w:val="32"/>
        </w:rPr>
        <w:t>1、规范湖泊河道清淤整治</w:t>
      </w:r>
    </w:p>
    <w:p>
      <w:pPr>
        <w:ind w:firstLine="640"/>
        <w:rPr>
          <w:rFonts w:ascii="仿宋_GB2312"/>
          <w:sz w:val="32"/>
          <w:szCs w:val="32"/>
        </w:rPr>
      </w:pPr>
      <w:r>
        <w:rPr>
          <w:rFonts w:hint="eastAsia" w:ascii="仿宋_GB2312"/>
          <w:sz w:val="32"/>
          <w:szCs w:val="32"/>
        </w:rPr>
        <w:t>合理制定并实施西湖、进龙河等水体清淤疏浚方案，有效降低内源污染物负荷，恢复湖泊河道自然生态功能，提高水体自净能力。遵循“无害化、减量化、资源化”的原则，严格落实淤泥检测工作，合理处置和利用淤泥，安全处置受污染淤泥，提高淤泥的资源化利用水平，杜绝淤泥随意堆放、泥浆偷排漏排等现象发生，避免“二次污染”。“十四五”期间，全面加强水体日常淤积监测，有效落实清淤轮疏长效管理机制，确保实现“有淤常疏、清水常流”。</w:t>
      </w:r>
    </w:p>
    <w:p>
      <w:pPr>
        <w:ind w:firstLine="640"/>
        <w:outlineLvl w:val="3"/>
        <w:rPr>
          <w:rFonts w:ascii="仿宋_GB2312"/>
          <w:bCs/>
          <w:sz w:val="32"/>
          <w:szCs w:val="32"/>
        </w:rPr>
      </w:pPr>
      <w:r>
        <w:rPr>
          <w:rFonts w:hint="eastAsia" w:ascii="仿宋_GB2312"/>
          <w:bCs/>
          <w:sz w:val="32"/>
          <w:szCs w:val="32"/>
        </w:rPr>
        <w:t>2、构建水体生态系统</w:t>
      </w:r>
    </w:p>
    <w:p>
      <w:pPr>
        <w:ind w:firstLine="640"/>
        <w:rPr>
          <w:rFonts w:ascii="仿宋_GB2312"/>
          <w:sz w:val="32"/>
          <w:szCs w:val="32"/>
        </w:rPr>
      </w:pPr>
      <w:r>
        <w:rPr>
          <w:rFonts w:hint="eastAsia" w:ascii="仿宋_GB2312"/>
          <w:sz w:val="32"/>
          <w:szCs w:val="32"/>
        </w:rPr>
        <w:t>积极构建西湖水体生态系统，通过科技创新手段发挥沉水植物稳定水环境生态系统和削氮降磷的积极作用，进一步强化西湖自身净化能力和生态稳定性。积极探索西湖外湖、湖西水域内引水入湖口植物过滤带建设。“十四五”期间，完成西湖局部水域沉水植物恢复及改善工程和西湖沉水植物群落及荷区局部优化提升项目。</w:t>
      </w:r>
    </w:p>
    <w:p>
      <w:pPr>
        <w:ind w:left="560" w:leftChars="200" w:firstLine="0" w:firstLineChars="0"/>
        <w:outlineLvl w:val="3"/>
        <w:rPr>
          <w:rFonts w:ascii="仿宋_GB2312"/>
          <w:bCs/>
          <w:sz w:val="32"/>
          <w:szCs w:val="32"/>
        </w:rPr>
      </w:pPr>
      <w:r>
        <w:rPr>
          <w:rFonts w:hint="eastAsia" w:ascii="仿宋_GB2312"/>
          <w:bCs/>
          <w:sz w:val="32"/>
          <w:szCs w:val="32"/>
        </w:rPr>
        <w:t>3、积极实施藻类防控</w:t>
      </w:r>
    </w:p>
    <w:p>
      <w:pPr>
        <w:ind w:firstLine="640"/>
        <w:rPr>
          <w:rFonts w:ascii="仿宋_GB2312"/>
          <w:sz w:val="32"/>
          <w:szCs w:val="32"/>
        </w:rPr>
      </w:pPr>
      <w:r>
        <w:rPr>
          <w:rFonts w:hint="eastAsia" w:ascii="仿宋_GB2312"/>
          <w:sz w:val="32"/>
          <w:szCs w:val="32"/>
        </w:rPr>
        <w:t>严控西湖藻类繁殖，大力开展西湖水体去营养化研究，通过生物控藻技术等措施，控制水体藻类过度繁殖。在综合推进各类污染源减排的基础上，密切关注水情与水环境质量，加强水华易发季节监测频率，及时掌握西湖富营养化指数变化情况。完善水华应急防控体系，储备水华期应急处置装备物资，做好生态调水等强化水体交换的措施预案。持续推进西湖规模化高效降氮示范工程建设，力争在亚运会前正式投产运行，进一步削减西湖入湖营养负荷。“十四五”期间，西湖水体综合营养状态指数保持稳定。</w:t>
      </w:r>
    </w:p>
    <w:p>
      <w:pPr>
        <w:pStyle w:val="6"/>
        <w:ind w:firstLine="640"/>
        <w:rPr>
          <w:rFonts w:ascii="楷体_GB2312" w:eastAsia="楷体_GB2312"/>
          <w:b w:val="0"/>
        </w:rPr>
      </w:pPr>
      <w:bookmarkStart w:id="438" w:name="_Toc11809"/>
      <w:bookmarkStart w:id="439" w:name="_Toc29981"/>
      <w:bookmarkStart w:id="440" w:name="_Toc9708"/>
      <w:bookmarkStart w:id="441" w:name="_Toc13562"/>
      <w:bookmarkStart w:id="442" w:name="_Toc30897"/>
      <w:bookmarkStart w:id="443" w:name="_Toc5564"/>
      <w:bookmarkStart w:id="444" w:name="_Toc4768"/>
      <w:bookmarkStart w:id="445" w:name="_Toc1216"/>
      <w:bookmarkStart w:id="446" w:name="_Toc9558"/>
      <w:bookmarkStart w:id="447" w:name="_Toc5442"/>
      <w:bookmarkStart w:id="448" w:name="_Toc31060"/>
      <w:r>
        <w:rPr>
          <w:rFonts w:hint="eastAsia" w:ascii="楷体_GB2312" w:eastAsia="楷体_GB2312"/>
          <w:b w:val="0"/>
        </w:rPr>
        <w:t>（四）加强水资源保护和利用</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pPr>
        <w:ind w:firstLine="640"/>
        <w:outlineLvl w:val="3"/>
        <w:rPr>
          <w:rFonts w:ascii="仿宋_GB2312"/>
          <w:bCs/>
          <w:sz w:val="32"/>
          <w:szCs w:val="32"/>
        </w:rPr>
      </w:pPr>
      <w:r>
        <w:rPr>
          <w:rFonts w:hint="eastAsia" w:ascii="仿宋_GB2312"/>
          <w:bCs/>
          <w:sz w:val="32"/>
          <w:szCs w:val="32"/>
        </w:rPr>
        <w:t>1、优化区域水资源配置</w:t>
      </w:r>
    </w:p>
    <w:p>
      <w:pPr>
        <w:ind w:firstLine="640"/>
        <w:rPr>
          <w:rFonts w:ascii="仿宋_GB2312"/>
          <w:sz w:val="32"/>
          <w:szCs w:val="32"/>
        </w:rPr>
      </w:pPr>
      <w:r>
        <w:rPr>
          <w:rFonts w:hint="eastAsia" w:ascii="仿宋_GB2312"/>
          <w:sz w:val="32"/>
          <w:szCs w:val="32"/>
        </w:rPr>
        <w:t>按照《杭州市西湖水域保护管理条例》、《杭州市西湖水域管理处引配水管理规范》、市区河道配水方案等文件要求，在确保防洪安全的前提下，统筹兼顾水资源、水生态、水环境，优化西湖水资源配置与调度。切实发挥西湖引排水工程的调节功能，保持西湖常规水位在黄海标高7.18±0.05米，及时补充水源、排除洪涝，维持西湖生态用水和合理水位。建立健全西湖引配水工作长效管理机制，推进西湖引配水管理工作的制度化、规范化、程序化。</w:t>
      </w:r>
    </w:p>
    <w:p>
      <w:pPr>
        <w:ind w:firstLine="640"/>
        <w:outlineLvl w:val="3"/>
        <w:rPr>
          <w:rFonts w:ascii="仿宋_GB2312"/>
          <w:bCs/>
          <w:sz w:val="32"/>
          <w:szCs w:val="32"/>
        </w:rPr>
      </w:pPr>
      <w:r>
        <w:rPr>
          <w:rFonts w:hint="eastAsia" w:ascii="仿宋_GB2312"/>
          <w:bCs/>
          <w:sz w:val="32"/>
          <w:szCs w:val="32"/>
        </w:rPr>
        <w:t>2、推进“节水景区”建设</w:t>
      </w:r>
    </w:p>
    <w:p>
      <w:pPr>
        <w:ind w:firstLine="640"/>
        <w:rPr>
          <w:rFonts w:ascii="仿宋_GB2312"/>
          <w:sz w:val="32"/>
          <w:szCs w:val="32"/>
        </w:rPr>
      </w:pPr>
      <w:r>
        <w:rPr>
          <w:rFonts w:hint="eastAsia" w:ascii="仿宋_GB2312"/>
          <w:sz w:val="32"/>
          <w:szCs w:val="32"/>
        </w:rPr>
        <w:t>深入实施《杭州市节水行动实施方案》（杭政办函〔2020〕45号），全面推进西湖景区节水行动。将节水行动落实到景区规划、建设、管理、用水消费各环节，提高景区节水工作系统性，实现优水优用、循环利用。全面使用节水器具，新建公共建筑严格执行“节水三同时”制度和《节水型生活用水器具》标准；推动西湖街道居民家庭节水，普及推广节水型用水器具。到2022年，具备独立物业管理的区级机关、事业单位，节水机关创建比例分别达100%、60%以上。</w:t>
      </w:r>
      <w:bookmarkStart w:id="449" w:name="_Toc17437"/>
      <w:bookmarkStart w:id="450" w:name="_Toc21441"/>
      <w:bookmarkStart w:id="451" w:name="_Toc31868"/>
      <w:bookmarkStart w:id="452" w:name="_Toc15229"/>
      <w:bookmarkStart w:id="453" w:name="_Toc15870"/>
      <w:bookmarkStart w:id="454" w:name="_Toc7369"/>
      <w:bookmarkStart w:id="455" w:name="_Toc4841"/>
    </w:p>
    <w:p>
      <w:pPr>
        <w:ind w:firstLine="640"/>
        <w:outlineLvl w:val="3"/>
        <w:rPr>
          <w:rFonts w:ascii="仿宋_GB2312"/>
          <w:bCs/>
          <w:sz w:val="32"/>
          <w:szCs w:val="32"/>
        </w:rPr>
      </w:pPr>
      <w:r>
        <w:rPr>
          <w:rFonts w:hint="eastAsia" w:ascii="仿宋_GB2312"/>
          <w:bCs/>
          <w:sz w:val="32"/>
          <w:szCs w:val="32"/>
        </w:rPr>
        <w:t>3、加强地下水环境保护</w:t>
      </w:r>
    </w:p>
    <w:p>
      <w:pPr>
        <w:ind w:firstLine="640"/>
        <w:rPr>
          <w:rFonts w:ascii="仿宋_GB2312"/>
          <w:sz w:val="32"/>
          <w:szCs w:val="32"/>
        </w:rPr>
      </w:pPr>
      <w:r>
        <w:rPr>
          <w:rFonts w:hint="eastAsia" w:ascii="仿宋_GB2312"/>
          <w:sz w:val="32"/>
          <w:szCs w:val="32"/>
        </w:rPr>
        <w:t>实施地下水资源保护。切实加强西湖景区内地下水水源保护，禁止开采地下水，建立和落实长效管理机制，加大对非法开采地下水行为的打击力度。开展地下水环境保护工作。根据《浙江省地下水污染防治实施方案》（环土壤〔2019〕25号）、《杭州市地下水污染防治实施方案》（杭土固办〔2021〕1号）等文件要求，加快地下水监管基础能力建设，到2023年，配合杭州市基本建成全市地下水环境监测网。“十四五”期间，做好曲院风荷、龙井村、虎跑、新开元等地下水环境质量考核点位的水质保障工作。</w:t>
      </w:r>
    </w:p>
    <w:p>
      <w:pPr>
        <w:ind w:firstLine="640"/>
        <w:outlineLvl w:val="3"/>
        <w:rPr>
          <w:rFonts w:ascii="仿宋_GB2312"/>
          <w:bCs/>
          <w:sz w:val="32"/>
          <w:szCs w:val="32"/>
        </w:rPr>
      </w:pPr>
      <w:r>
        <w:rPr>
          <w:rFonts w:hint="eastAsia" w:ascii="仿宋_GB2312"/>
          <w:bCs/>
          <w:sz w:val="32"/>
          <w:szCs w:val="32"/>
        </w:rPr>
        <w:t>4、加强古井水源保护</w:t>
      </w:r>
    </w:p>
    <w:p>
      <w:pPr>
        <w:ind w:firstLine="640"/>
        <w:rPr>
          <w:rFonts w:ascii="仿宋_GB2312"/>
          <w:sz w:val="32"/>
          <w:szCs w:val="32"/>
        </w:rPr>
      </w:pPr>
      <w:r>
        <w:rPr>
          <w:rFonts w:hint="eastAsia" w:ascii="仿宋_GB2312"/>
          <w:sz w:val="32"/>
          <w:szCs w:val="32"/>
        </w:rPr>
        <w:t>按照《浙江省水利厅浙江省文物局关于加强古井水源保护管理的通知》（浙水农电〔2020〕22号）等文件要求，对景区内灵隐路怀庐、玉皇山古迹群、五云山水井等共11处古井实施有效保护。建立古井名录管理，开展古井水源信息登记，实施名单动态更新。充分重视古井价值和使用功能，明确古井管理主体，设立保护标识牌。遵照《中华人民共和国文物保护法》等法律法规和有关规定，划定古井水源保护范围和建设控制地带，加强古井本体修缮及周边环境治理，修复古井水利功能。已核定公布为文物保护单位的古井的修缮和保护方案，报请有关文物主管部门审批，并实施保护。</w:t>
      </w:r>
      <w:bookmarkStart w:id="456" w:name="_Toc18300"/>
      <w:bookmarkStart w:id="457" w:name="_Toc1527"/>
      <w:bookmarkStart w:id="458" w:name="_Toc17553"/>
    </w:p>
    <w:bookmarkEnd w:id="449"/>
    <w:bookmarkEnd w:id="450"/>
    <w:bookmarkEnd w:id="451"/>
    <w:bookmarkEnd w:id="452"/>
    <w:bookmarkEnd w:id="453"/>
    <w:bookmarkEnd w:id="454"/>
    <w:bookmarkEnd w:id="455"/>
    <w:bookmarkEnd w:id="456"/>
    <w:bookmarkEnd w:id="457"/>
    <w:bookmarkEnd w:id="458"/>
    <w:p>
      <w:pPr>
        <w:pStyle w:val="5"/>
      </w:pPr>
      <w:bookmarkStart w:id="459" w:name="_Toc3010"/>
      <w:bookmarkStart w:id="460" w:name="_Toc29984"/>
      <w:bookmarkStart w:id="461" w:name="_Toc29687"/>
      <w:bookmarkStart w:id="462" w:name="_Toc5369"/>
      <w:bookmarkStart w:id="463" w:name="_Toc9494"/>
      <w:bookmarkStart w:id="464" w:name="_Toc31745"/>
      <w:bookmarkStart w:id="465" w:name="_Toc12700"/>
      <w:bookmarkStart w:id="466" w:name="_Toc15383"/>
      <w:bookmarkStart w:id="467" w:name="_Toc16037"/>
      <w:bookmarkStart w:id="468" w:name="_Toc14734"/>
      <w:bookmarkStart w:id="469" w:name="_Toc7408"/>
      <w:bookmarkStart w:id="470" w:name="_Toc26080"/>
      <w:bookmarkStart w:id="471" w:name="_Toc17321"/>
      <w:bookmarkStart w:id="472" w:name="_Toc3887"/>
      <w:bookmarkStart w:id="473" w:name="_Toc16169"/>
      <w:bookmarkStart w:id="474" w:name="_Toc19146"/>
      <w:bookmarkStart w:id="475" w:name="_Toc9092"/>
      <w:bookmarkStart w:id="476" w:name="_Toc32613"/>
      <w:bookmarkStart w:id="477" w:name="_Toc16757"/>
      <w:bookmarkStart w:id="478" w:name="_Toc18572"/>
      <w:bookmarkStart w:id="479" w:name="_Toc9064"/>
      <w:bookmarkStart w:id="480" w:name="_Toc26329"/>
      <w:bookmarkStart w:id="481" w:name="_Toc893"/>
      <w:bookmarkStart w:id="482" w:name="_Toc24486"/>
      <w:bookmarkStart w:id="483" w:name="_Toc27892"/>
      <w:bookmarkStart w:id="484" w:name="_Toc10414"/>
      <w:r>
        <w:rPr>
          <w:rFonts w:hint="eastAsia"/>
        </w:rPr>
        <w:t>五</w:t>
      </w:r>
      <w:r>
        <w:t>、</w:t>
      </w:r>
      <w:bookmarkEnd w:id="459"/>
      <w:bookmarkEnd w:id="460"/>
      <w:bookmarkEnd w:id="461"/>
      <w:r>
        <w:rPr>
          <w:rFonts w:hint="eastAsia"/>
        </w:rPr>
        <w:t>聚焦闭环管理，建设“无废</w:t>
      </w:r>
      <w:bookmarkEnd w:id="462"/>
      <w:bookmarkEnd w:id="463"/>
      <w:bookmarkEnd w:id="464"/>
      <w:bookmarkEnd w:id="465"/>
      <w:bookmarkEnd w:id="466"/>
      <w:bookmarkEnd w:id="467"/>
      <w:bookmarkEnd w:id="468"/>
      <w:bookmarkEnd w:id="469"/>
      <w:bookmarkEnd w:id="470"/>
      <w:bookmarkEnd w:id="471"/>
      <w:r>
        <w:rPr>
          <w:rFonts w:hint="eastAsia"/>
        </w:rPr>
        <w:t>景区”</w:t>
      </w:r>
      <w:bookmarkEnd w:id="472"/>
      <w:bookmarkEnd w:id="473"/>
      <w:bookmarkEnd w:id="474"/>
      <w:bookmarkEnd w:id="475"/>
      <w:bookmarkEnd w:id="476"/>
      <w:bookmarkEnd w:id="477"/>
    </w:p>
    <w:p>
      <w:pPr>
        <w:ind w:firstLine="640"/>
        <w:rPr>
          <w:rFonts w:ascii="仿宋_GB2312"/>
          <w:sz w:val="32"/>
          <w:szCs w:val="32"/>
        </w:rPr>
      </w:pPr>
      <w:r>
        <w:rPr>
          <w:rFonts w:hint="eastAsia" w:ascii="仿宋_GB2312"/>
          <w:sz w:val="32"/>
          <w:szCs w:val="32"/>
        </w:rPr>
        <w:t>牢固树立创新、协调、绿色、开放、共享的新发展理念，开展全域“无废城市”建设。全面推进生活垃圾、建筑垃圾、医疗废物和园林绿化废弃物等各类固体废物减量化、资源化、无害化，实现固体废物全过程闭环管理，建设全域“无废景区”。</w:t>
      </w:r>
    </w:p>
    <w:p>
      <w:pPr>
        <w:pStyle w:val="6"/>
        <w:ind w:firstLine="640"/>
        <w:rPr>
          <w:rFonts w:ascii="楷体_GB2312" w:eastAsia="楷体_GB2312"/>
          <w:b w:val="0"/>
        </w:rPr>
      </w:pPr>
      <w:bookmarkStart w:id="485" w:name="_Toc1703"/>
      <w:bookmarkStart w:id="486" w:name="_Toc16739"/>
      <w:bookmarkStart w:id="487" w:name="_Toc18403"/>
      <w:bookmarkStart w:id="488" w:name="_Toc17369"/>
      <w:bookmarkStart w:id="489" w:name="_Toc22553"/>
      <w:bookmarkStart w:id="490" w:name="_Toc9292"/>
      <w:bookmarkStart w:id="491" w:name="_Toc18843"/>
      <w:bookmarkStart w:id="492" w:name="_Toc1599"/>
      <w:bookmarkStart w:id="493" w:name="_Toc4632"/>
      <w:bookmarkStart w:id="494" w:name="_Toc17964"/>
      <w:bookmarkStart w:id="495" w:name="_Toc14254"/>
      <w:r>
        <w:rPr>
          <w:rFonts w:hint="eastAsia" w:ascii="楷体_GB2312" w:eastAsia="楷体_GB2312"/>
          <w:b w:val="0"/>
        </w:rPr>
        <w:t>（一）加强茶园土壤环境保护</w:t>
      </w:r>
    </w:p>
    <w:p>
      <w:pPr>
        <w:ind w:firstLine="640"/>
        <w:rPr>
          <w:rFonts w:ascii="仿宋_GB2312"/>
          <w:sz w:val="32"/>
          <w:szCs w:val="32"/>
        </w:rPr>
      </w:pPr>
      <w:r>
        <w:rPr>
          <w:rFonts w:hint="eastAsia" w:ascii="仿宋_GB2312"/>
          <w:sz w:val="32"/>
          <w:szCs w:val="32"/>
        </w:rPr>
        <w:t>加强茶园土壤环境保护，积极开展茶园土壤环境质量监测，对茶园土壤主要肥力指标及酸度（pH值）开展监测、评价工作，并同步调查茶园周边水系、土壤等环境质量情况。以茶园土壤环境质量监测为基础，全面加强茶园土壤修复和保护。严格控制林地、草地、园地的农药使用量，禁止使用高毒、高残留农药。积极探索茶树病虫害新型防治方法，加大生物农药、引诱剂使用推广力度。督促农药瓶（袋）有效回收。</w:t>
      </w:r>
    </w:p>
    <w:p>
      <w:pPr>
        <w:pStyle w:val="6"/>
        <w:ind w:firstLine="640"/>
        <w:rPr>
          <w:rFonts w:ascii="楷体_GB2312" w:eastAsia="楷体_GB2312"/>
          <w:b w:val="0"/>
        </w:rPr>
      </w:pPr>
      <w:r>
        <w:rPr>
          <w:rFonts w:hint="eastAsia" w:ascii="楷体_GB2312" w:eastAsia="楷体_GB2312"/>
          <w:b w:val="0"/>
        </w:rPr>
        <w:t>（二）深化生活垃圾分类收集和管理</w:t>
      </w:r>
      <w:bookmarkEnd w:id="485"/>
      <w:bookmarkEnd w:id="486"/>
      <w:bookmarkEnd w:id="487"/>
      <w:bookmarkEnd w:id="488"/>
      <w:bookmarkEnd w:id="489"/>
      <w:bookmarkEnd w:id="490"/>
      <w:bookmarkEnd w:id="491"/>
      <w:bookmarkEnd w:id="492"/>
      <w:bookmarkEnd w:id="493"/>
      <w:bookmarkEnd w:id="494"/>
      <w:bookmarkEnd w:id="495"/>
    </w:p>
    <w:p>
      <w:pPr>
        <w:ind w:firstLine="640"/>
        <w:rPr>
          <w:rFonts w:ascii="仿宋_GB2312"/>
          <w:sz w:val="32"/>
          <w:szCs w:val="32"/>
        </w:rPr>
      </w:pPr>
      <w:r>
        <w:rPr>
          <w:rFonts w:hint="eastAsia" w:ascii="仿宋_GB2312"/>
          <w:bCs/>
          <w:sz w:val="32"/>
          <w:szCs w:val="32"/>
        </w:rPr>
        <w:t>深入实施垃圾分类，促进源头减量。</w:t>
      </w:r>
      <w:r>
        <w:rPr>
          <w:rFonts w:hint="eastAsia" w:ascii="仿宋_GB2312"/>
          <w:sz w:val="32"/>
          <w:szCs w:val="32"/>
        </w:rPr>
        <w:t>严格落实《杭州市生活垃圾管理条例》，以“易腐垃圾、可回收物、有害垃圾、其他垃圾”为基本分类标准，推动建立生活垃圾强制分类制度。对社区、小区进行垃圾分类“回头看”，进一步巩固垃圾分类成果，扎实推进垃圾分类工作的全面提升，推进生活垃圾源头减量。倡导“光盘行动”。机关、企事业单位推行绿色办公。推动景区门票电子化，逐步减少纸质门票。</w:t>
      </w:r>
      <w:r>
        <w:rPr>
          <w:rFonts w:hint="eastAsia" w:ascii="仿宋_GB2312"/>
          <w:bCs/>
          <w:sz w:val="32"/>
          <w:szCs w:val="32"/>
        </w:rPr>
        <w:t>加快推动生活垃圾资源化利用。</w:t>
      </w:r>
      <w:r>
        <w:rPr>
          <w:rFonts w:hint="eastAsia" w:ascii="仿宋_GB2312"/>
          <w:sz w:val="32"/>
          <w:szCs w:val="32"/>
        </w:rPr>
        <w:t>持续加强再生资源回收网点建设，推进生活垃圾收运与再生资源回收结合，将可回收物纳入再生资源回收利用体系资源化处理。</w:t>
      </w:r>
      <w:r>
        <w:rPr>
          <w:rFonts w:hint="eastAsia" w:ascii="仿宋_GB2312"/>
          <w:bCs/>
          <w:sz w:val="32"/>
          <w:szCs w:val="32"/>
        </w:rPr>
        <w:t>完善收集转运体系。</w:t>
      </w:r>
      <w:r>
        <w:rPr>
          <w:rFonts w:hint="eastAsia" w:ascii="仿宋_GB2312"/>
          <w:sz w:val="32"/>
          <w:szCs w:val="32"/>
        </w:rPr>
        <w:t>提升分类清运能力，做到“应收尽收、按类收集、按色收运、专车专业”。深化制度供给和模式创新，构建“回收网格化、服务便利化、分拣工厂化、利用高效化、监管信息化”的全链条回收利用体系。全面推进生活垃圾减量化、资源化、无害化处置。</w:t>
      </w:r>
    </w:p>
    <w:p>
      <w:pPr>
        <w:pStyle w:val="6"/>
        <w:ind w:firstLine="640"/>
        <w:rPr>
          <w:rFonts w:ascii="楷体_GB2312" w:eastAsia="楷体_GB2312"/>
          <w:b w:val="0"/>
        </w:rPr>
      </w:pPr>
      <w:bookmarkStart w:id="496" w:name="_Toc32052"/>
      <w:bookmarkStart w:id="497" w:name="_Toc28350"/>
      <w:bookmarkStart w:id="498" w:name="_Toc27035"/>
      <w:bookmarkStart w:id="499" w:name="_Toc24308"/>
      <w:bookmarkStart w:id="500" w:name="_Toc23858"/>
      <w:bookmarkStart w:id="501" w:name="_Toc6362"/>
      <w:bookmarkStart w:id="502" w:name="_Toc32611"/>
      <w:bookmarkStart w:id="503" w:name="_Toc8821"/>
      <w:bookmarkStart w:id="504" w:name="_Toc16964"/>
      <w:bookmarkStart w:id="505" w:name="_Toc5721"/>
      <w:bookmarkStart w:id="506" w:name="_Toc4307"/>
      <w:r>
        <w:rPr>
          <w:rFonts w:hint="eastAsia" w:ascii="楷体_GB2312" w:eastAsia="楷体_GB2312"/>
          <w:b w:val="0"/>
        </w:rPr>
        <w:t>（三）落实餐饮垃圾集运与管理</w:t>
      </w:r>
      <w:bookmarkEnd w:id="496"/>
      <w:bookmarkEnd w:id="497"/>
      <w:bookmarkEnd w:id="498"/>
      <w:bookmarkEnd w:id="499"/>
      <w:bookmarkEnd w:id="500"/>
      <w:bookmarkEnd w:id="501"/>
      <w:bookmarkEnd w:id="502"/>
      <w:bookmarkEnd w:id="503"/>
      <w:bookmarkEnd w:id="504"/>
      <w:bookmarkEnd w:id="505"/>
      <w:bookmarkEnd w:id="506"/>
    </w:p>
    <w:p>
      <w:pPr>
        <w:ind w:firstLine="640"/>
        <w:rPr>
          <w:sz w:val="32"/>
          <w:szCs w:val="32"/>
        </w:rPr>
      </w:pPr>
      <w:r>
        <w:rPr>
          <w:sz w:val="32"/>
          <w:szCs w:val="32"/>
        </w:rPr>
        <w:t>严格落实《杭州市餐厨废弃物管理办法》，全面实行分类投放和收集运输，加强全过程监管。督促餐饮企业做好餐厨废弃物的无害化处置。餐厨废弃物产生单位应当设置符合规定要求的油水分离装置，对油水实施分离处理</w:t>
      </w:r>
      <w:r>
        <w:rPr>
          <w:rFonts w:hint="eastAsia"/>
          <w:sz w:val="32"/>
          <w:szCs w:val="32"/>
        </w:rPr>
        <w:t>，确保</w:t>
      </w:r>
      <w:r>
        <w:rPr>
          <w:sz w:val="32"/>
          <w:szCs w:val="32"/>
        </w:rPr>
        <w:t>排入城市公共污水管道</w:t>
      </w:r>
      <w:r>
        <w:rPr>
          <w:rFonts w:hint="eastAsia"/>
          <w:sz w:val="32"/>
          <w:szCs w:val="32"/>
        </w:rPr>
        <w:t>污水</w:t>
      </w:r>
      <w:r>
        <w:rPr>
          <w:sz w:val="32"/>
          <w:szCs w:val="32"/>
        </w:rPr>
        <w:t>达到纳管标准。餐厨废弃物</w:t>
      </w:r>
      <w:r>
        <w:rPr>
          <w:rFonts w:hint="eastAsia"/>
          <w:sz w:val="32"/>
          <w:szCs w:val="32"/>
        </w:rPr>
        <w:t>需</w:t>
      </w:r>
      <w:r>
        <w:rPr>
          <w:sz w:val="32"/>
          <w:szCs w:val="32"/>
        </w:rPr>
        <w:t>实行统一收集、密闭运输、集中处理、闭环监管</w:t>
      </w:r>
      <w:r>
        <w:rPr>
          <w:rFonts w:hint="eastAsia"/>
          <w:sz w:val="32"/>
          <w:szCs w:val="32"/>
        </w:rPr>
        <w:t>，避免</w:t>
      </w:r>
      <w:r>
        <w:rPr>
          <w:sz w:val="32"/>
          <w:szCs w:val="32"/>
        </w:rPr>
        <w:t>运输过程中抛洒滴漏。</w:t>
      </w:r>
    </w:p>
    <w:p>
      <w:pPr>
        <w:pStyle w:val="6"/>
        <w:ind w:firstLine="640"/>
        <w:rPr>
          <w:rFonts w:ascii="楷体_GB2312" w:eastAsia="楷体_GB2312"/>
          <w:b w:val="0"/>
        </w:rPr>
      </w:pPr>
      <w:bookmarkStart w:id="507" w:name="_Toc11249"/>
      <w:bookmarkStart w:id="508" w:name="_Toc3141"/>
      <w:bookmarkStart w:id="509" w:name="_Toc31600"/>
      <w:bookmarkStart w:id="510" w:name="_Toc20842"/>
      <w:bookmarkStart w:id="511" w:name="_Toc29517"/>
      <w:bookmarkStart w:id="512" w:name="_Toc24752"/>
      <w:bookmarkStart w:id="513" w:name="_Toc14751"/>
      <w:bookmarkStart w:id="514" w:name="_Toc24150"/>
      <w:bookmarkStart w:id="515" w:name="_Toc1242"/>
      <w:bookmarkStart w:id="516" w:name="_Toc20725"/>
      <w:bookmarkStart w:id="517" w:name="_Toc2726"/>
      <w:r>
        <w:rPr>
          <w:rFonts w:hint="eastAsia" w:ascii="楷体_GB2312" w:eastAsia="楷体_GB2312"/>
          <w:b w:val="0"/>
        </w:rPr>
        <w:t>（四）创新处置园林绿化废弃物</w:t>
      </w:r>
      <w:bookmarkEnd w:id="507"/>
      <w:bookmarkEnd w:id="508"/>
      <w:bookmarkEnd w:id="509"/>
      <w:bookmarkEnd w:id="510"/>
      <w:bookmarkEnd w:id="511"/>
      <w:bookmarkEnd w:id="512"/>
      <w:bookmarkEnd w:id="513"/>
      <w:bookmarkEnd w:id="514"/>
      <w:bookmarkEnd w:id="515"/>
      <w:bookmarkEnd w:id="516"/>
      <w:bookmarkEnd w:id="517"/>
    </w:p>
    <w:p>
      <w:pPr>
        <w:ind w:firstLine="640"/>
        <w:rPr>
          <w:rFonts w:ascii="仿宋_GB2312"/>
          <w:sz w:val="32"/>
          <w:szCs w:val="32"/>
        </w:rPr>
      </w:pPr>
      <w:r>
        <w:rPr>
          <w:rFonts w:hint="eastAsia" w:ascii="仿宋_GB2312"/>
          <w:sz w:val="32"/>
          <w:szCs w:val="32"/>
        </w:rPr>
        <w:t>加强园林绿化废弃物规范化管理。提升园林废弃物清运转运力度，避免出现园林废弃物大面积堆积。创新园林废弃物处理及资源化利用的新模式。探索堆肥处理等适合景区的园林垃圾处理方式，促进绿化废弃物资源化利用，提高绿化废弃物减量化、资源化和无害化水平。围绕园林绿化植物废弃物资源化利用示范点建设，开展园林绿化有机改良剂的配制，将其应用于景区园林绿化日常养护及土壤改善。同时积极引进生物质炭化利用技术和设备，扩展园林绿化废弃物的处理方式。到2025年，争取将园林绿化植物废弃物资源化利用示范点打造成集产学研用为一体的标准化、规范化平台。</w:t>
      </w:r>
    </w:p>
    <w:p>
      <w:pPr>
        <w:pStyle w:val="6"/>
        <w:ind w:firstLine="640"/>
        <w:rPr>
          <w:rFonts w:ascii="楷体_GB2312" w:eastAsia="楷体_GB2312"/>
          <w:b w:val="0"/>
        </w:rPr>
      </w:pPr>
      <w:bookmarkStart w:id="518" w:name="_Toc27107"/>
      <w:bookmarkStart w:id="519" w:name="_Toc31131"/>
      <w:bookmarkStart w:id="520" w:name="_Toc15240"/>
      <w:bookmarkStart w:id="521" w:name="_Toc7136"/>
      <w:bookmarkStart w:id="522" w:name="_Toc19809"/>
      <w:bookmarkStart w:id="523" w:name="_Toc16261"/>
      <w:bookmarkStart w:id="524" w:name="_Toc13890"/>
      <w:bookmarkStart w:id="525" w:name="_Toc5544"/>
      <w:bookmarkStart w:id="526" w:name="_Toc25587"/>
      <w:bookmarkStart w:id="527" w:name="_Toc18629"/>
      <w:bookmarkStart w:id="528" w:name="_Toc7648"/>
      <w:r>
        <w:rPr>
          <w:rFonts w:hint="eastAsia" w:ascii="楷体_GB2312" w:eastAsia="楷体_GB2312"/>
          <w:b w:val="0"/>
        </w:rPr>
        <w:t>（五）加强建筑垃圾资源化利用和管理</w:t>
      </w:r>
      <w:bookmarkEnd w:id="518"/>
      <w:bookmarkEnd w:id="519"/>
      <w:bookmarkEnd w:id="520"/>
      <w:bookmarkEnd w:id="521"/>
      <w:bookmarkEnd w:id="522"/>
      <w:bookmarkEnd w:id="523"/>
      <w:bookmarkEnd w:id="524"/>
      <w:bookmarkEnd w:id="525"/>
      <w:bookmarkEnd w:id="526"/>
      <w:bookmarkEnd w:id="527"/>
      <w:bookmarkEnd w:id="528"/>
    </w:p>
    <w:p>
      <w:pPr>
        <w:ind w:firstLine="640"/>
        <w:rPr>
          <w:sz w:val="32"/>
          <w:szCs w:val="32"/>
        </w:rPr>
      </w:pPr>
      <w:r>
        <w:rPr>
          <w:rFonts w:hint="eastAsia"/>
          <w:sz w:val="32"/>
          <w:szCs w:val="32"/>
        </w:rPr>
        <w:t>推行绿色建筑设计。发挥政府投资项目的示范带头作用，助推绿色建筑和建筑工业化深度发展。</w:t>
      </w:r>
      <w:r>
        <w:rPr>
          <w:sz w:val="32"/>
          <w:szCs w:val="32"/>
        </w:rPr>
        <w:t>推动建筑垃圾资源化利用。</w:t>
      </w:r>
      <w:r>
        <w:rPr>
          <w:rFonts w:hint="eastAsia"/>
          <w:sz w:val="32"/>
          <w:szCs w:val="32"/>
        </w:rPr>
        <w:t>全面推行《杭州市建筑垃圾管理试点实施方案》，</w:t>
      </w:r>
      <w:r>
        <w:rPr>
          <w:sz w:val="32"/>
          <w:szCs w:val="32"/>
        </w:rPr>
        <w:t>建筑垃圾实现源头减量、规范清运、安全处置和有效利用的全过程管理。完善建筑垃圾收集、清运、分拣和再利用的一体化回收利用系统，结合景区文化景观保护管理有关规定和规划要求，统筹解决建筑垃圾堆放场所，由第三方单位外运后进行回收利用或安全处置。</w:t>
      </w:r>
    </w:p>
    <w:p>
      <w:pPr>
        <w:pStyle w:val="6"/>
        <w:tabs>
          <w:tab w:val="left" w:pos="7575"/>
        </w:tabs>
        <w:ind w:firstLine="640"/>
        <w:rPr>
          <w:rFonts w:ascii="楷体_GB2312" w:eastAsia="楷体_GB2312"/>
          <w:b w:val="0"/>
        </w:rPr>
      </w:pPr>
      <w:bookmarkStart w:id="529" w:name="_Toc15441"/>
      <w:bookmarkStart w:id="530" w:name="_Toc11284"/>
      <w:bookmarkStart w:id="531" w:name="_Toc19031"/>
      <w:bookmarkStart w:id="532" w:name="_Toc3656"/>
      <w:bookmarkStart w:id="533" w:name="_Toc9803"/>
      <w:bookmarkStart w:id="534" w:name="_Toc10827"/>
      <w:bookmarkStart w:id="535" w:name="_Toc7526"/>
      <w:bookmarkStart w:id="536" w:name="_Toc24852"/>
      <w:bookmarkStart w:id="537" w:name="_Toc770"/>
      <w:bookmarkStart w:id="538" w:name="_Toc28914"/>
      <w:bookmarkStart w:id="539" w:name="_Toc19342"/>
      <w:r>
        <w:rPr>
          <w:rFonts w:hint="eastAsia" w:ascii="楷体_GB2312" w:eastAsia="楷体_GB2312"/>
          <w:b w:val="0"/>
        </w:rPr>
        <w:t>（六）强化危险废物全面安全监管</w:t>
      </w:r>
      <w:bookmarkEnd w:id="529"/>
      <w:bookmarkEnd w:id="530"/>
      <w:bookmarkEnd w:id="531"/>
      <w:bookmarkEnd w:id="532"/>
      <w:bookmarkEnd w:id="533"/>
      <w:bookmarkEnd w:id="534"/>
      <w:bookmarkEnd w:id="535"/>
      <w:bookmarkEnd w:id="536"/>
      <w:bookmarkEnd w:id="537"/>
      <w:bookmarkEnd w:id="538"/>
      <w:bookmarkEnd w:id="539"/>
      <w:r>
        <w:rPr>
          <w:rFonts w:hint="eastAsia" w:ascii="楷体_GB2312" w:eastAsia="楷体_GB2312"/>
          <w:b w:val="0"/>
        </w:rPr>
        <w:tab/>
      </w:r>
    </w:p>
    <w:p>
      <w:pPr>
        <w:ind w:firstLine="640"/>
        <w:rPr>
          <w:sz w:val="32"/>
          <w:szCs w:val="32"/>
        </w:rPr>
      </w:pPr>
      <w:r>
        <w:rPr>
          <w:rFonts w:hint="eastAsia"/>
          <w:bCs/>
          <w:sz w:val="32"/>
          <w:szCs w:val="32"/>
        </w:rPr>
        <w:t>推进医疗废物源头分类。</w:t>
      </w:r>
      <w:r>
        <w:rPr>
          <w:rFonts w:hint="eastAsia"/>
          <w:sz w:val="32"/>
          <w:szCs w:val="32"/>
        </w:rPr>
        <w:t>规范医疗废物前端分类收集，提升服务水平，确保医疗废物规范贮存及时收运。持续开展医疗废物“小箱进大箱”工程，建立完善医疗废物收集、运输、登记、管理机制，医疗废物集中收集网络体系全覆盖。</w:t>
      </w:r>
      <w:r>
        <w:rPr>
          <w:rFonts w:hint="eastAsia"/>
          <w:bCs/>
          <w:sz w:val="32"/>
          <w:szCs w:val="32"/>
        </w:rPr>
        <w:t>强化社会源危险废物监管。</w:t>
      </w:r>
      <w:r>
        <w:rPr>
          <w:rFonts w:hint="eastAsia"/>
          <w:sz w:val="32"/>
          <w:szCs w:val="32"/>
        </w:rPr>
        <w:t>强化机动车维修行业、游览电瓶车有害废物、废弃农药及包装物、相关废弃科研试剂等主要类别社会源废物产生者主体责任，按照危险废物管理相关要求落实分类收集和贮存。</w:t>
      </w:r>
    </w:p>
    <w:p>
      <w:pPr>
        <w:pStyle w:val="6"/>
        <w:ind w:firstLine="640"/>
        <w:rPr>
          <w:rFonts w:ascii="楷体_GB2312" w:eastAsia="楷体_GB2312"/>
          <w:b w:val="0"/>
        </w:rPr>
      </w:pPr>
      <w:bookmarkStart w:id="540" w:name="_Toc7470"/>
      <w:bookmarkStart w:id="541" w:name="_Toc15705"/>
      <w:bookmarkStart w:id="542" w:name="_Toc1831"/>
      <w:bookmarkStart w:id="543" w:name="_Toc1813"/>
      <w:bookmarkStart w:id="544" w:name="_Toc15284"/>
      <w:bookmarkStart w:id="545" w:name="_Toc2263"/>
      <w:bookmarkStart w:id="546" w:name="_Toc4617"/>
      <w:r>
        <w:rPr>
          <w:rFonts w:hint="eastAsia" w:ascii="楷体_GB2312" w:eastAsia="楷体_GB2312"/>
          <w:b w:val="0"/>
        </w:rPr>
        <w:t>（七）健全固体废物闭环式监管体系</w:t>
      </w:r>
      <w:bookmarkEnd w:id="540"/>
      <w:bookmarkEnd w:id="541"/>
      <w:bookmarkEnd w:id="542"/>
      <w:bookmarkEnd w:id="543"/>
      <w:bookmarkEnd w:id="544"/>
      <w:bookmarkEnd w:id="545"/>
      <w:bookmarkEnd w:id="546"/>
    </w:p>
    <w:p>
      <w:pPr>
        <w:ind w:firstLine="640"/>
        <w:rPr>
          <w:rFonts w:ascii="仿宋_GB2312"/>
          <w:sz w:val="32"/>
          <w:szCs w:val="32"/>
        </w:rPr>
      </w:pPr>
      <w:r>
        <w:rPr>
          <w:rFonts w:hint="eastAsia" w:ascii="仿宋_GB2312"/>
          <w:sz w:val="32"/>
          <w:szCs w:val="32"/>
        </w:rPr>
        <w:t>加大固体废物运输环节管控力度，严查无危险废物道路运输资质企业从事危险废物运输的行为。持续提升固体废物管理信息系统覆盖面，全面实现固体废物申报、登记、转移信息化管理，逐步实现固体废物全过程的信息化闭环式监管。建立完善网格化的巡查机制，落实固体废物违法有奖举报制度，构建固体废物违法风险防范和发现机制，推进固体废物处置留痕监管。到2021年，力争完成全域“无废景区”建设；到2023年底，“无废景区”建设水平得到巩固提升，形成绿色发展方式和生活方式。</w:t>
      </w:r>
    </w:p>
    <w:p>
      <w:pPr>
        <w:pStyle w:val="5"/>
        <w:keepNext w:val="0"/>
        <w:keepLines w:val="0"/>
        <w:spacing w:line="240" w:lineRule="auto"/>
      </w:pPr>
      <w:bookmarkStart w:id="547" w:name="_Toc26154"/>
      <w:bookmarkStart w:id="548" w:name="_Toc16377"/>
      <w:bookmarkStart w:id="549" w:name="_Toc30796"/>
      <w:bookmarkStart w:id="550" w:name="_Toc17438"/>
      <w:bookmarkStart w:id="551" w:name="_Toc20514"/>
      <w:bookmarkStart w:id="552" w:name="_Toc2490"/>
      <w:bookmarkStart w:id="553" w:name="_Toc3428"/>
      <w:bookmarkStart w:id="554" w:name="_Toc5674"/>
      <w:bookmarkStart w:id="555" w:name="_Toc17815"/>
      <w:bookmarkStart w:id="556" w:name="_Toc6384"/>
      <w:bookmarkStart w:id="557" w:name="_Toc20748"/>
      <w:bookmarkStart w:id="558" w:name="_Toc592"/>
      <w:bookmarkStart w:id="559" w:name="_Toc12681"/>
      <w:bookmarkStart w:id="560" w:name="_Toc13757"/>
      <w:bookmarkStart w:id="561" w:name="_Toc29536"/>
      <w:bookmarkStart w:id="562" w:name="_Toc16635"/>
      <w:bookmarkStart w:id="563" w:name="_Toc17172"/>
      <w:bookmarkStart w:id="564" w:name="_Toc28047"/>
      <w:bookmarkStart w:id="565" w:name="_Toc3445"/>
      <w:r>
        <w:rPr>
          <w:rFonts w:hint="eastAsia"/>
        </w:rPr>
        <w:t>六、加强协同控制，持续改善环境空气质量</w:t>
      </w:r>
      <w:bookmarkEnd w:id="547"/>
      <w:bookmarkEnd w:id="548"/>
      <w:bookmarkEnd w:id="549"/>
      <w:bookmarkEnd w:id="550"/>
      <w:bookmarkEnd w:id="551"/>
      <w:bookmarkEnd w:id="552"/>
    </w:p>
    <w:p>
      <w:pPr>
        <w:ind w:firstLine="640"/>
        <w:rPr>
          <w:rFonts w:ascii="仿宋_GB2312"/>
          <w:sz w:val="32"/>
          <w:szCs w:val="32"/>
        </w:rPr>
      </w:pPr>
      <w:r>
        <w:rPr>
          <w:rFonts w:hint="eastAsia" w:ascii="仿宋_GB2312"/>
          <w:sz w:val="32"/>
          <w:szCs w:val="32"/>
        </w:rPr>
        <w:t>积极落实《杭州市大气污染防治规定》，深入推进“五气共治”，确保区域环境空气质量持续稳定。</w:t>
      </w:r>
    </w:p>
    <w:p>
      <w:pPr>
        <w:pStyle w:val="6"/>
        <w:ind w:firstLine="640"/>
        <w:rPr>
          <w:rFonts w:ascii="楷体_GB2312" w:eastAsia="楷体_GB2312"/>
          <w:b w:val="0"/>
        </w:rPr>
      </w:pPr>
      <w:r>
        <w:rPr>
          <w:rFonts w:hint="eastAsia" w:ascii="楷体_GB2312" w:eastAsia="楷体_GB2312"/>
          <w:b w:val="0"/>
        </w:rPr>
        <w:t>（一）深入治理“车船尾气”</w:t>
      </w:r>
    </w:p>
    <w:p>
      <w:pPr>
        <w:ind w:firstLine="640"/>
        <w:rPr>
          <w:rFonts w:ascii="仿宋_GB2312"/>
          <w:sz w:val="32"/>
          <w:szCs w:val="32"/>
        </w:rPr>
      </w:pPr>
      <w:r>
        <w:rPr>
          <w:rFonts w:hint="eastAsia" w:ascii="仿宋_GB2312"/>
          <w:sz w:val="32"/>
          <w:szCs w:val="32"/>
        </w:rPr>
        <w:t>升级机动车环保行动。认真落实《杭州市重点领域机动车清洁化三年行动方案（2021-2023年）》、《杭州市“十四五”大气污染防治专项规划》。严格车辆通行管理。开展货车清洁化示范区建设，对区域内柴油货车实施严格通行管理。适时推出以动态机动车总量监控为基础的智能化交通管控措施，加强对景区严格管控区范围内非游览性外来机动交通的管控。加大对非道路移动机械监管力度。加强非道路移动机械的使用申报，建设工地内的非道路移动机械使用申报率达到100%。优化景区交通网络，加强游步行、自行车交通系统建设，提高公共交通出行比例，鼓励游客和居民公交出行。持续推广使用清洁能源汽车和船舶。</w:t>
      </w:r>
    </w:p>
    <w:p>
      <w:pPr>
        <w:pStyle w:val="6"/>
        <w:ind w:firstLine="640"/>
        <w:rPr>
          <w:rFonts w:ascii="楷体_GB2312" w:eastAsia="楷体_GB2312"/>
          <w:b w:val="0"/>
        </w:rPr>
      </w:pPr>
      <w:r>
        <w:rPr>
          <w:rFonts w:hint="eastAsia" w:ascii="楷体_GB2312" w:eastAsia="楷体_GB2312"/>
          <w:b w:val="0"/>
        </w:rPr>
        <w:t>（二）全面治理“扬尘灰气”</w:t>
      </w:r>
    </w:p>
    <w:p>
      <w:pPr>
        <w:ind w:firstLine="640"/>
        <w:rPr>
          <w:rFonts w:ascii="仿宋_GB2312"/>
          <w:sz w:val="32"/>
          <w:szCs w:val="32"/>
        </w:rPr>
      </w:pPr>
      <w:r>
        <w:rPr>
          <w:rFonts w:hint="eastAsia" w:ascii="仿宋_GB2312"/>
          <w:bCs/>
          <w:sz w:val="32"/>
          <w:szCs w:val="32"/>
        </w:rPr>
        <w:t>加强施工扬尘综合治理。</w:t>
      </w:r>
      <w:r>
        <w:rPr>
          <w:rFonts w:hint="eastAsia" w:ascii="仿宋_GB2312"/>
          <w:sz w:val="32"/>
          <w:szCs w:val="32"/>
        </w:rPr>
        <w:t>建立施工工地管理清单，严格落实杭州市建设工程文明施工和扬尘管控相关要求，构建过程全覆盖、管理全方位、责任全链条的施工扬尘治理体系。严格落实“七个百分之百”扬尘防控长效机制，各类施工场地严格按标准实施工地周边围挡、物料堆放覆盖、土方开挖湿法作业、路面硬化、出入车辆清洗、渣土车辆密闭运输和暂不开发土地临时绿化等措施。规范扬尘在线监测和视频监控使用及执法应用。打造以亚运工程为标杆的扬尘精细化管控“杭州模式”。</w:t>
      </w:r>
    </w:p>
    <w:p>
      <w:pPr>
        <w:ind w:firstLine="640"/>
        <w:rPr>
          <w:rFonts w:ascii="仿宋_GB2312"/>
          <w:sz w:val="32"/>
          <w:szCs w:val="32"/>
        </w:rPr>
      </w:pPr>
      <w:r>
        <w:rPr>
          <w:rFonts w:hint="eastAsia" w:ascii="仿宋_GB2312"/>
          <w:bCs/>
          <w:sz w:val="32"/>
          <w:szCs w:val="32"/>
        </w:rPr>
        <w:t>加强道路扬尘治理。</w:t>
      </w:r>
      <w:r>
        <w:rPr>
          <w:rFonts w:hint="eastAsia" w:ascii="仿宋_GB2312"/>
          <w:sz w:val="32"/>
          <w:szCs w:val="32"/>
        </w:rPr>
        <w:t>加快推进道路机械化清扫，到2025年，城区道路机械化清扫率达到85%以上。大力整治建筑行业垃圾运输。加强车辆运输扬尘控制，渣土运输车辆实现密闭运输，对不符合要求上路行驶的，一经发现依法从严查处。</w:t>
      </w:r>
    </w:p>
    <w:p>
      <w:pPr>
        <w:ind w:firstLine="640"/>
        <w:rPr>
          <w:rFonts w:ascii="仿宋_GB2312"/>
          <w:sz w:val="32"/>
          <w:szCs w:val="32"/>
        </w:rPr>
      </w:pPr>
      <w:r>
        <w:rPr>
          <w:rFonts w:hint="eastAsia" w:ascii="仿宋_GB2312"/>
          <w:bCs/>
          <w:sz w:val="32"/>
          <w:szCs w:val="32"/>
        </w:rPr>
        <w:t>加强堆场装卸扬尘控制。</w:t>
      </w:r>
      <w:r>
        <w:rPr>
          <w:rFonts w:hint="eastAsia" w:ascii="仿宋_GB2312"/>
          <w:sz w:val="32"/>
          <w:szCs w:val="32"/>
        </w:rPr>
        <w:t>积极推进建筑渣土、泥浆的处理和资源化有效利用。加强建筑渣土堆放、中转及消纳场所扬尘污染防控。</w:t>
      </w:r>
    </w:p>
    <w:p>
      <w:pPr>
        <w:pStyle w:val="6"/>
        <w:ind w:firstLine="640"/>
        <w:rPr>
          <w:rFonts w:ascii="楷体_GB2312" w:eastAsia="楷体_GB2312"/>
          <w:b w:val="0"/>
        </w:rPr>
      </w:pPr>
      <w:r>
        <w:rPr>
          <w:rFonts w:hint="eastAsia" w:ascii="楷体_GB2312" w:eastAsia="楷体_GB2312"/>
          <w:b w:val="0"/>
        </w:rPr>
        <w:t>（三）加强治理“餐饮排气”</w:t>
      </w:r>
    </w:p>
    <w:p>
      <w:pPr>
        <w:ind w:firstLine="562" w:firstLineChars="0"/>
        <w:rPr>
          <w:rFonts w:ascii="仿宋_GB2312"/>
          <w:sz w:val="32"/>
          <w:szCs w:val="32"/>
        </w:rPr>
      </w:pPr>
      <w:r>
        <w:rPr>
          <w:rFonts w:hint="eastAsia" w:ascii="仿宋_GB2312"/>
          <w:sz w:val="32"/>
          <w:szCs w:val="32"/>
        </w:rPr>
        <w:t>推进餐饮服务企业油烟排放规范化整治，安装高效油烟净化装置，完善油烟净化装置定期清理维护制度和长效监管制度，确保净化装置高效稳定运行。试点推动大型餐饮服务单位安装二次油烟净化装置和油烟在线监控管理系统。加强非经营性餐饮油烟治理，开展机关、事业、国有企业等非经营性单位食堂油烟净化设施安装及运维管理。加强居民家庭油烟排放环保宣传，引导使用高效净化型家用吸油烟机。深入开展现有餐饮油烟扰民问题整治，坚持“问题导向、立足实际、块抓条保”的工作原则，持续推进餐饮油烟治理。将餐饮经营单位的违法行为纳入企业征信名录，加强信用联动监管。依法加大联合执法监管力度，对餐饮单位的违法行为强化执法。</w:t>
      </w:r>
    </w:p>
    <w:p>
      <w:pPr>
        <w:pStyle w:val="6"/>
        <w:tabs>
          <w:tab w:val="right" w:pos="8306"/>
        </w:tabs>
        <w:ind w:firstLine="640"/>
        <w:rPr>
          <w:rFonts w:ascii="楷体_GB2312" w:eastAsia="楷体_GB2312"/>
          <w:b w:val="0"/>
        </w:rPr>
      </w:pPr>
      <w:r>
        <w:rPr>
          <w:rFonts w:hint="eastAsia" w:ascii="楷体_GB2312" w:eastAsia="楷体_GB2312"/>
          <w:b w:val="0"/>
        </w:rPr>
        <w:t>（四）保障监测站点空气质量</w:t>
      </w:r>
      <w:r>
        <w:rPr>
          <w:rFonts w:hint="eastAsia" w:ascii="楷体_GB2312" w:eastAsia="楷体_GB2312"/>
          <w:b w:val="0"/>
        </w:rPr>
        <w:tab/>
      </w:r>
    </w:p>
    <w:p>
      <w:pPr>
        <w:ind w:firstLine="640"/>
        <w:rPr>
          <w:sz w:val="32"/>
          <w:szCs w:val="32"/>
        </w:rPr>
      </w:pPr>
      <w:r>
        <w:rPr>
          <w:sz w:val="32"/>
          <w:szCs w:val="32"/>
        </w:rPr>
        <w:t>抓好卧龙桥、云栖国控空气自动监测点位以及空气清新站、乡镇街道级大气自动监测站区域环境管理，</w:t>
      </w:r>
      <w:r>
        <w:rPr>
          <w:rFonts w:hint="eastAsia"/>
          <w:sz w:val="32"/>
          <w:szCs w:val="32"/>
        </w:rPr>
        <w:t>加强道路、停车场、公园的扬尘精细化管控，</w:t>
      </w:r>
      <w:r>
        <w:rPr>
          <w:sz w:val="32"/>
          <w:szCs w:val="32"/>
        </w:rPr>
        <w:t>防止周边扰动影响到监测数据的准确性，确保环境</w:t>
      </w:r>
      <w:r>
        <w:rPr>
          <w:rFonts w:hint="eastAsia"/>
          <w:sz w:val="32"/>
          <w:szCs w:val="32"/>
        </w:rPr>
        <w:t>空气</w:t>
      </w:r>
      <w:r>
        <w:rPr>
          <w:sz w:val="32"/>
          <w:szCs w:val="32"/>
        </w:rPr>
        <w:t>质量</w:t>
      </w:r>
      <w:r>
        <w:rPr>
          <w:rFonts w:hint="eastAsia"/>
          <w:sz w:val="32"/>
          <w:szCs w:val="32"/>
        </w:rPr>
        <w:t>保持稳定</w:t>
      </w:r>
      <w:r>
        <w:rPr>
          <w:sz w:val="32"/>
          <w:szCs w:val="32"/>
        </w:rPr>
        <w:t>。</w:t>
      </w:r>
    </w:p>
    <w:p>
      <w:pPr>
        <w:pStyle w:val="6"/>
        <w:ind w:firstLine="640"/>
        <w:rPr>
          <w:rFonts w:ascii="楷体_GB2312" w:eastAsia="楷体_GB2312"/>
          <w:b w:val="0"/>
        </w:rPr>
      </w:pPr>
      <w:bookmarkStart w:id="566" w:name="_Toc27954"/>
      <w:bookmarkStart w:id="567" w:name="_Toc1916"/>
      <w:bookmarkStart w:id="568" w:name="_Toc600"/>
      <w:bookmarkStart w:id="569" w:name="_Toc24914"/>
      <w:r>
        <w:rPr>
          <w:rFonts w:hint="eastAsia" w:ascii="楷体_GB2312" w:eastAsia="楷体_GB2312"/>
          <w:b w:val="0"/>
        </w:rPr>
        <w:t>（五）精细治理其它污染源</w:t>
      </w:r>
      <w:bookmarkEnd w:id="566"/>
      <w:bookmarkEnd w:id="567"/>
      <w:bookmarkEnd w:id="568"/>
      <w:bookmarkEnd w:id="569"/>
    </w:p>
    <w:p>
      <w:pPr>
        <w:ind w:firstLine="640"/>
        <w:rPr>
          <w:rFonts w:ascii="仿宋_GB2312"/>
          <w:sz w:val="32"/>
        </w:rPr>
      </w:pPr>
      <w:r>
        <w:rPr>
          <w:rFonts w:hint="eastAsia" w:ascii="仿宋_GB2312"/>
          <w:sz w:val="32"/>
        </w:rPr>
        <w:t>强化噪声、光污染防治。深入实施《杭州市环境噪声管理条例》，强化噪声排放源监督管理，保障周边居民生活和游客体验。加强建筑施工噪声、道路交通噪声防治管理。严格夜间施工申报制度，推广使用先进的低噪声设备和工艺。加强道路交通噪声防治。在各个景点周围种植必要的绿化隔音带，将交通噪声影响降低到最低程度。严格执行《社会生活环境噪声排放标准》，加强商业、餐饮娱乐噪声污染整治。继续实施湖滨公园“降噪令”，深化湖滨公园市民自发聚集性活动管理，积极探索社会公共治理的有效路径和方法，提倡文明娱乐。推广绿色照明工程，积极选用绿色照明产品，在保证照明效果，满足功能性与美观性的同时，避免夜景照明所产生的光污染。合理设置夜景照明运行时段，避免干扰动物栖息的生态环境。</w:t>
      </w:r>
    </w:p>
    <w:p>
      <w:pPr>
        <w:ind w:firstLine="640"/>
        <w:rPr>
          <w:rFonts w:ascii="仿宋_GB2312"/>
          <w:sz w:val="32"/>
        </w:rPr>
      </w:pPr>
      <w:r>
        <w:rPr>
          <w:rFonts w:hint="eastAsia" w:ascii="仿宋_GB2312"/>
          <w:sz w:val="32"/>
        </w:rPr>
        <w:t>保障辐射环境安全。严格执行《城市放射性废物管理办法》，加强对产生放射性废物(包括废放射源)单位的监督检查，加强辐射环境监察和监测。加强电磁辐射污染防治。严格辐射项目审批，全面落实建设项目竣工验收、辐射安全与防护年度评估。优化变电所、通讯基站等建设布局，远离环境敏感点。加强环境安全隐患防范，提升辐射事故应急响应能力。</w:t>
      </w:r>
    </w:p>
    <w:bookmarkEnd w:id="478"/>
    <w:bookmarkEnd w:id="479"/>
    <w:bookmarkEnd w:id="480"/>
    <w:bookmarkEnd w:id="481"/>
    <w:bookmarkEnd w:id="482"/>
    <w:bookmarkEnd w:id="483"/>
    <w:bookmarkEnd w:id="484"/>
    <w:bookmarkEnd w:id="553"/>
    <w:bookmarkEnd w:id="554"/>
    <w:bookmarkEnd w:id="555"/>
    <w:bookmarkEnd w:id="556"/>
    <w:bookmarkEnd w:id="557"/>
    <w:bookmarkEnd w:id="558"/>
    <w:bookmarkEnd w:id="559"/>
    <w:bookmarkEnd w:id="560"/>
    <w:bookmarkEnd w:id="561"/>
    <w:bookmarkEnd w:id="562"/>
    <w:bookmarkEnd w:id="563"/>
    <w:bookmarkEnd w:id="564"/>
    <w:bookmarkEnd w:id="565"/>
    <w:p>
      <w:pPr>
        <w:pStyle w:val="5"/>
      </w:pPr>
      <w:bookmarkStart w:id="570" w:name="_Toc13607"/>
      <w:bookmarkStart w:id="571" w:name="_Toc9948"/>
      <w:bookmarkStart w:id="572" w:name="_Toc18913"/>
      <w:bookmarkStart w:id="573" w:name="_Toc19409"/>
      <w:bookmarkStart w:id="574" w:name="_Toc31889"/>
      <w:bookmarkStart w:id="575" w:name="_Toc29902"/>
      <w:bookmarkStart w:id="576" w:name="_Toc16796"/>
      <w:bookmarkStart w:id="577" w:name="_Toc674"/>
      <w:bookmarkStart w:id="578" w:name="_Toc60"/>
      <w:bookmarkStart w:id="579" w:name="_Toc12755"/>
      <w:bookmarkStart w:id="580" w:name="_Toc30605"/>
      <w:bookmarkStart w:id="581" w:name="_Toc1851"/>
      <w:bookmarkStart w:id="582" w:name="_Toc14397"/>
      <w:bookmarkStart w:id="583" w:name="_Toc16340"/>
      <w:bookmarkStart w:id="584" w:name="_Toc12458"/>
      <w:bookmarkStart w:id="585" w:name="_Toc21207"/>
      <w:bookmarkStart w:id="586" w:name="_Toc7494"/>
      <w:bookmarkStart w:id="587" w:name="_Toc19"/>
      <w:bookmarkStart w:id="588" w:name="_Toc26703"/>
      <w:bookmarkStart w:id="589" w:name="_Toc23676"/>
      <w:bookmarkStart w:id="590" w:name="_Toc25947"/>
      <w:bookmarkStart w:id="591" w:name="_Toc9303"/>
      <w:bookmarkStart w:id="592" w:name="_Toc11196"/>
      <w:bookmarkStart w:id="593" w:name="_Toc19882"/>
      <w:bookmarkStart w:id="594" w:name="_Toc30844"/>
      <w:bookmarkStart w:id="595" w:name="_Toc16624"/>
      <w:r>
        <w:rPr>
          <w:rFonts w:hint="eastAsia"/>
        </w:rPr>
        <w:t>七、</w:t>
      </w:r>
      <w:r>
        <w:t>弘扬</w:t>
      </w:r>
      <w:r>
        <w:rPr>
          <w:rFonts w:hint="eastAsia"/>
        </w:rPr>
        <w:t>特色</w:t>
      </w:r>
      <w:r>
        <w:t>文</w:t>
      </w:r>
      <w:r>
        <w:rPr>
          <w:rFonts w:hint="eastAsia"/>
        </w:rPr>
        <w:t>化，打造魅力窗口</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pPr>
        <w:ind w:firstLine="640"/>
        <w:rPr>
          <w:rFonts w:ascii="仿宋_GB2312"/>
          <w:sz w:val="32"/>
          <w:szCs w:val="32"/>
        </w:rPr>
      </w:pPr>
      <w:r>
        <w:rPr>
          <w:rFonts w:hint="eastAsia" w:ascii="仿宋_GB2312"/>
          <w:sz w:val="32"/>
          <w:szCs w:val="32"/>
        </w:rPr>
        <w:t>深入实施生态文明建设，弘扬西湖特色文化，建设美丽西湖，打造“新时代美丽杭州”的魅力窗口。</w:t>
      </w:r>
    </w:p>
    <w:p>
      <w:pPr>
        <w:pStyle w:val="6"/>
        <w:ind w:firstLine="640"/>
        <w:rPr>
          <w:rFonts w:ascii="楷体_GB2312" w:eastAsia="楷体_GB2312"/>
          <w:b w:val="0"/>
        </w:rPr>
      </w:pPr>
      <w:bookmarkStart w:id="596" w:name="_Toc15613"/>
      <w:bookmarkStart w:id="597" w:name="_Toc12264"/>
      <w:bookmarkStart w:id="598" w:name="_Toc14311"/>
      <w:bookmarkStart w:id="599" w:name="_Toc10334"/>
      <w:bookmarkStart w:id="600" w:name="_Toc21263"/>
      <w:bookmarkStart w:id="601" w:name="_Toc5857"/>
      <w:bookmarkStart w:id="602" w:name="_Toc32508"/>
      <w:bookmarkStart w:id="603" w:name="_Toc31645"/>
      <w:r>
        <w:rPr>
          <w:rFonts w:hint="eastAsia" w:ascii="楷体_GB2312" w:eastAsia="楷体_GB2312"/>
          <w:b w:val="0"/>
        </w:rPr>
        <w:t>（一）发扬世界遗产文化</w:t>
      </w:r>
      <w:bookmarkEnd w:id="596"/>
      <w:bookmarkEnd w:id="597"/>
      <w:bookmarkEnd w:id="598"/>
      <w:bookmarkEnd w:id="599"/>
      <w:bookmarkEnd w:id="600"/>
      <w:bookmarkEnd w:id="601"/>
      <w:bookmarkEnd w:id="602"/>
      <w:bookmarkEnd w:id="603"/>
    </w:p>
    <w:p>
      <w:pPr>
        <w:ind w:firstLine="640"/>
        <w:rPr>
          <w:rFonts w:ascii="仿宋_GB2312"/>
          <w:sz w:val="32"/>
        </w:rPr>
      </w:pPr>
      <w:r>
        <w:rPr>
          <w:rFonts w:hint="eastAsia" w:ascii="仿宋_GB2312"/>
          <w:sz w:val="32"/>
        </w:rPr>
        <w:t>依托杭州城市国际化步伐，坚守世界遗产公约的原则和要求，继续扩大文物保护广度和深度，高标准推进遗产保护管理信息化、规范化、国际化，建设一流的“世界遗产地”。挖掘发扬西湖世界遗产全球性核心价值，策划推出符合国际游客需求的精品旅游线，推进文化创意产业发展，整合包装面向国际市场的特色旅游产品。以亚运会等重大活动为契机，借鉴G20经验，充分发挥世界遗产的“文化IP”功能，在重要窗口建设和迎亚运的背景下，加强西湖的对外宣传，通过世界遗产这一重要媒介推动国际交流，打响西湖世界级旅游品牌。加强与国际主流媒体合作，推出宣传主题专栏，进一步加快品牌形象推广，打响“最美西湖”品牌。</w:t>
      </w:r>
    </w:p>
    <w:p>
      <w:pPr>
        <w:pStyle w:val="6"/>
        <w:ind w:firstLine="640"/>
        <w:rPr>
          <w:rFonts w:ascii="楷体_GB2312" w:eastAsia="楷体_GB2312"/>
          <w:b w:val="0"/>
        </w:rPr>
      </w:pPr>
      <w:r>
        <w:rPr>
          <w:rFonts w:hint="eastAsia" w:ascii="楷体_GB2312" w:eastAsia="楷体_GB2312"/>
          <w:b w:val="0"/>
        </w:rPr>
        <w:t>（二）加强区域文化联动</w:t>
      </w:r>
    </w:p>
    <w:p>
      <w:pPr>
        <w:ind w:firstLine="640"/>
        <w:rPr>
          <w:sz w:val="32"/>
        </w:rPr>
      </w:pPr>
      <w:r>
        <w:rPr>
          <w:rFonts w:hint="eastAsia"/>
          <w:sz w:val="32"/>
        </w:rPr>
        <w:t>推进西湖西溪一体化保护提升，深挖文化内涵，讲深讲活文化故事，擦亮西湖西溪“明珠”。重点推动西湖南线爱情文化公园、宝石山区域及北山街历史街区综合提升等项目。深度挖掘西溪湿地水浒文化、诗词文化、建筑文化、戏剧文化、南宋文化、名人文化等内涵；挖掘原住民龙舟胜会、淸明野餐、种桑养蚕、干塘清淤、婚嫁等民俗文化，做好保护、传承与弘扬，为建设“独特韵味别样精彩”世界名城提供强大的文化助力。积极与大运河、良渚古城遗址两处遗产地形成联动，加强监测、管理实践经验交流，共同探索遗产保护、利用方法，力争总结出东亚地区文化遗产保护与利用的经验范例，以提升杭州的国际影响力。</w:t>
      </w:r>
    </w:p>
    <w:p>
      <w:pPr>
        <w:pStyle w:val="6"/>
        <w:tabs>
          <w:tab w:val="right" w:pos="8306"/>
        </w:tabs>
        <w:ind w:firstLine="640"/>
        <w:rPr>
          <w:rFonts w:ascii="楷体_GB2312" w:eastAsia="楷体_GB2312"/>
          <w:b w:val="0"/>
        </w:rPr>
      </w:pPr>
      <w:bookmarkStart w:id="604" w:name="_Toc10301"/>
      <w:bookmarkStart w:id="605" w:name="_Toc20960"/>
      <w:bookmarkStart w:id="606" w:name="_Toc7805"/>
      <w:bookmarkStart w:id="607" w:name="_Toc29490"/>
      <w:bookmarkStart w:id="608" w:name="_Toc3875"/>
      <w:bookmarkStart w:id="609" w:name="_Toc30204"/>
      <w:bookmarkStart w:id="610" w:name="_Toc30534"/>
      <w:bookmarkStart w:id="611" w:name="_Toc9610"/>
      <w:r>
        <w:rPr>
          <w:rFonts w:hint="eastAsia" w:ascii="楷体_GB2312" w:eastAsia="楷体_GB2312"/>
          <w:b w:val="0"/>
        </w:rPr>
        <w:t>（三）保护西湖文化景观</w:t>
      </w:r>
      <w:bookmarkEnd w:id="604"/>
      <w:bookmarkEnd w:id="605"/>
      <w:bookmarkEnd w:id="606"/>
      <w:bookmarkEnd w:id="607"/>
      <w:bookmarkEnd w:id="608"/>
      <w:bookmarkEnd w:id="609"/>
      <w:bookmarkEnd w:id="610"/>
      <w:bookmarkEnd w:id="611"/>
      <w:r>
        <w:rPr>
          <w:rFonts w:hint="eastAsia" w:ascii="楷体_GB2312" w:eastAsia="楷体_GB2312"/>
          <w:b w:val="0"/>
        </w:rPr>
        <w:tab/>
      </w:r>
    </w:p>
    <w:p>
      <w:pPr>
        <w:ind w:firstLine="640"/>
        <w:rPr>
          <w:rFonts w:ascii="仿宋_GB2312"/>
          <w:sz w:val="32"/>
        </w:rPr>
      </w:pPr>
      <w:r>
        <w:rPr>
          <w:rFonts w:hint="eastAsia" w:ascii="仿宋_GB2312"/>
          <w:sz w:val="32"/>
        </w:rPr>
        <w:t>严格按照《杭州西湖文化景观保护管理条例》，以真实、全面地保存并延续遗产历史信息及全部价值为目的，坚持保护为主、抢救第一、合理利用、加强管理的方针，有效保护西湖自然山水、“三面云山一面城”的城湖空间特征、“两堤三岛”景观格局、“西湖十景”题名景观、西湖文化史迹和西湖特色植物六大要素的真实性和完整性。确定西湖文化景观遗产区内合理的环境容量，控制游览接待规模，严格控制土地利用强度和建设规模，处理好西湖文化景观保护与城市发展的关系。</w:t>
      </w:r>
    </w:p>
    <w:p>
      <w:pPr>
        <w:pStyle w:val="6"/>
        <w:ind w:firstLine="640"/>
        <w:rPr>
          <w:rFonts w:ascii="楷体_GB2312" w:eastAsia="楷体_GB2312"/>
          <w:b w:val="0"/>
        </w:rPr>
      </w:pPr>
      <w:bookmarkStart w:id="612" w:name="_Toc16247"/>
      <w:bookmarkStart w:id="613" w:name="_Toc14104"/>
      <w:bookmarkStart w:id="614" w:name="_Toc18903"/>
      <w:bookmarkStart w:id="615" w:name="_Toc26690"/>
      <w:bookmarkStart w:id="616" w:name="_Toc22142"/>
      <w:bookmarkStart w:id="617" w:name="_Toc21327"/>
      <w:bookmarkStart w:id="618" w:name="_Toc4202"/>
      <w:bookmarkStart w:id="619" w:name="_Toc8272"/>
      <w:r>
        <w:rPr>
          <w:rFonts w:hint="eastAsia" w:ascii="楷体_GB2312" w:eastAsia="楷体_GB2312"/>
          <w:b w:val="0"/>
        </w:rPr>
        <w:t>（四）加强生态文化宣教</w:t>
      </w:r>
      <w:bookmarkEnd w:id="612"/>
      <w:bookmarkEnd w:id="613"/>
      <w:bookmarkEnd w:id="614"/>
      <w:bookmarkEnd w:id="615"/>
      <w:bookmarkEnd w:id="616"/>
      <w:bookmarkEnd w:id="617"/>
      <w:bookmarkEnd w:id="618"/>
      <w:bookmarkEnd w:id="619"/>
    </w:p>
    <w:p>
      <w:pPr>
        <w:ind w:firstLine="640"/>
        <w:rPr>
          <w:sz w:val="32"/>
        </w:rPr>
      </w:pPr>
      <w:r>
        <w:rPr>
          <w:sz w:val="32"/>
        </w:rPr>
        <w:t>全方位、多领域</w:t>
      </w:r>
      <w:r>
        <w:rPr>
          <w:rFonts w:hint="eastAsia"/>
          <w:sz w:val="32"/>
        </w:rPr>
        <w:t>、</w:t>
      </w:r>
      <w:r>
        <w:rPr>
          <w:sz w:val="32"/>
        </w:rPr>
        <w:t>系统化、常态化推进生态文化宣传教育。依托动物园、植物园等</w:t>
      </w:r>
      <w:r>
        <w:rPr>
          <w:rFonts w:hint="eastAsia"/>
          <w:sz w:val="32"/>
        </w:rPr>
        <w:t>平台</w:t>
      </w:r>
      <w:r>
        <w:rPr>
          <w:sz w:val="32"/>
        </w:rPr>
        <w:t>，因地制宜建设面向公众开放，各具特色、内容丰富、形式多样的生态文化普及宣教场馆；充分结合景区特色，利用环境优势，探索和创新具有景区特色的绿色</w:t>
      </w:r>
      <w:r>
        <w:rPr>
          <w:rFonts w:hint="eastAsia"/>
          <w:sz w:val="32"/>
        </w:rPr>
        <w:t>发展模式</w:t>
      </w:r>
      <w:r>
        <w:rPr>
          <w:sz w:val="32"/>
        </w:rPr>
        <w:t>。通过打造生态文化村、生态文化示范社区、生态文化示范企业等创建活动和生态文化体验等主题活动，提高社会成员互动传播的公信度和参与度，共建共享生态文明体制改革成果。</w:t>
      </w:r>
    </w:p>
    <w:p>
      <w:pPr>
        <w:pStyle w:val="6"/>
        <w:ind w:firstLine="640"/>
        <w:rPr>
          <w:rFonts w:ascii="楷体_GB2312" w:eastAsia="楷体_GB2312"/>
          <w:b w:val="0"/>
        </w:rPr>
      </w:pPr>
      <w:bookmarkStart w:id="620" w:name="_Toc8349"/>
      <w:bookmarkStart w:id="621" w:name="_Toc2347"/>
      <w:bookmarkStart w:id="622" w:name="_Toc1784"/>
      <w:bookmarkStart w:id="623" w:name="_Toc22078"/>
      <w:bookmarkStart w:id="624" w:name="_Toc15747"/>
      <w:bookmarkStart w:id="625" w:name="_Toc28359"/>
      <w:bookmarkStart w:id="626" w:name="_Toc7949"/>
      <w:bookmarkStart w:id="627" w:name="_Toc9125"/>
      <w:r>
        <w:rPr>
          <w:rFonts w:hint="eastAsia" w:ascii="楷体_GB2312" w:eastAsia="楷体_GB2312"/>
          <w:b w:val="0"/>
        </w:rPr>
        <w:t>（五）延展文化合作交流</w:t>
      </w:r>
      <w:bookmarkEnd w:id="620"/>
      <w:bookmarkEnd w:id="621"/>
      <w:bookmarkEnd w:id="622"/>
      <w:bookmarkEnd w:id="623"/>
      <w:bookmarkEnd w:id="624"/>
      <w:bookmarkEnd w:id="625"/>
      <w:bookmarkEnd w:id="626"/>
      <w:bookmarkEnd w:id="627"/>
    </w:p>
    <w:p>
      <w:pPr>
        <w:ind w:firstLine="640"/>
        <w:rPr>
          <w:sz w:val="32"/>
        </w:rPr>
      </w:pPr>
      <w:r>
        <w:rPr>
          <w:sz w:val="32"/>
        </w:rPr>
        <w:t>依托杭州城市国际化步伐，全面打开开放新通道，深入推进文化交流与合作，以扩大开放</w:t>
      </w:r>
      <w:r>
        <w:rPr>
          <w:rFonts w:hint="eastAsia"/>
          <w:sz w:val="32"/>
        </w:rPr>
        <w:t>、</w:t>
      </w:r>
      <w:r>
        <w:rPr>
          <w:sz w:val="32"/>
        </w:rPr>
        <w:t>提升发展的包容度和国际知名度</w:t>
      </w:r>
      <w:r>
        <w:rPr>
          <w:rFonts w:hint="eastAsia"/>
          <w:sz w:val="32"/>
        </w:rPr>
        <w:t>，</w:t>
      </w:r>
      <w:r>
        <w:rPr>
          <w:sz w:val="32"/>
        </w:rPr>
        <w:t>积极引进高端国际会议和论坛等，打造具有国际影响力的会议论坛目的地。创新和完善对外文化传播和交流机制，着力提升西湖文化、吴越文化、南宋文化、茶文化等传统文化艺术的世界知名度。</w:t>
      </w:r>
    </w:p>
    <w:p>
      <w:pPr>
        <w:pStyle w:val="5"/>
      </w:pPr>
      <w:bookmarkStart w:id="628" w:name="_Toc17371"/>
      <w:bookmarkStart w:id="629" w:name="_Toc1965"/>
      <w:bookmarkStart w:id="630" w:name="_Toc21240"/>
      <w:bookmarkStart w:id="631" w:name="_Toc15370"/>
      <w:bookmarkStart w:id="632" w:name="_Toc20635"/>
      <w:bookmarkStart w:id="633" w:name="_Toc191"/>
      <w:bookmarkStart w:id="634" w:name="_Toc8074"/>
      <w:bookmarkStart w:id="635" w:name="_Toc30576"/>
      <w:bookmarkStart w:id="636" w:name="_Toc12948"/>
      <w:bookmarkStart w:id="637" w:name="_Toc31956"/>
      <w:bookmarkStart w:id="638" w:name="_Toc1279"/>
      <w:bookmarkStart w:id="639" w:name="_Toc20535"/>
      <w:bookmarkStart w:id="640" w:name="_Toc30190"/>
      <w:bookmarkStart w:id="641" w:name="_Toc26498"/>
      <w:bookmarkStart w:id="642" w:name="_Toc30650"/>
      <w:bookmarkStart w:id="643" w:name="_Toc22732"/>
      <w:r>
        <w:rPr>
          <w:rFonts w:hint="eastAsia"/>
        </w:rPr>
        <w:t>八、</w:t>
      </w:r>
      <w:r>
        <w:t>推动数字赋能，提升整体智治水平</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pPr>
        <w:ind w:firstLine="640"/>
        <w:rPr>
          <w:sz w:val="32"/>
        </w:rPr>
      </w:pPr>
      <w:bookmarkStart w:id="644" w:name="_Toc5328"/>
      <w:bookmarkStart w:id="645" w:name="_Toc12078"/>
      <w:r>
        <w:rPr>
          <w:sz w:val="32"/>
        </w:rPr>
        <w:t>坚持全面深化改革，强化数字赋能，建设合理高效的保障机制，以数字化改革为牵引，加快补齐能力短板，构建导向清晰、决策科学、执行有力、激励有效、多元参与、良性循环的现代环境治理体系，推进环境治理体系和治理能力的现代化。</w:t>
      </w:r>
      <w:bookmarkEnd w:id="586"/>
      <w:bookmarkEnd w:id="587"/>
      <w:bookmarkEnd w:id="588"/>
      <w:bookmarkEnd w:id="643"/>
      <w:bookmarkEnd w:id="644"/>
      <w:bookmarkEnd w:id="645"/>
    </w:p>
    <w:p>
      <w:pPr>
        <w:pStyle w:val="6"/>
        <w:ind w:firstLine="640"/>
        <w:rPr>
          <w:rFonts w:ascii="楷体_GB2312" w:eastAsia="楷体_GB2312"/>
          <w:b w:val="0"/>
        </w:rPr>
      </w:pPr>
      <w:bookmarkStart w:id="646" w:name="_Toc30454"/>
      <w:bookmarkStart w:id="647" w:name="_Toc15044"/>
      <w:bookmarkStart w:id="648" w:name="_Toc26636"/>
      <w:bookmarkStart w:id="649" w:name="_Toc14948"/>
      <w:bookmarkStart w:id="650" w:name="_Toc25812"/>
      <w:bookmarkStart w:id="651" w:name="_Toc18028"/>
      <w:bookmarkStart w:id="652" w:name="_Toc30674"/>
      <w:bookmarkStart w:id="653" w:name="_Toc14899"/>
      <w:bookmarkStart w:id="654" w:name="_Toc15109"/>
      <w:bookmarkStart w:id="655" w:name="_Toc15492"/>
      <w:bookmarkStart w:id="656" w:name="_Toc27576"/>
      <w:r>
        <w:rPr>
          <w:rFonts w:hint="eastAsia" w:ascii="楷体_GB2312" w:eastAsia="楷体_GB2312"/>
          <w:b w:val="0"/>
        </w:rPr>
        <w:t>（一）推进生态环境信息化建设</w:t>
      </w:r>
      <w:bookmarkEnd w:id="646"/>
      <w:bookmarkEnd w:id="647"/>
      <w:bookmarkEnd w:id="648"/>
      <w:bookmarkEnd w:id="649"/>
      <w:bookmarkEnd w:id="650"/>
      <w:bookmarkEnd w:id="651"/>
      <w:bookmarkEnd w:id="652"/>
      <w:bookmarkEnd w:id="653"/>
      <w:bookmarkEnd w:id="654"/>
      <w:bookmarkEnd w:id="655"/>
      <w:bookmarkEnd w:id="656"/>
    </w:p>
    <w:p>
      <w:pPr>
        <w:ind w:firstLine="640"/>
        <w:rPr>
          <w:rFonts w:ascii="仿宋_GB2312"/>
          <w:sz w:val="32"/>
        </w:rPr>
      </w:pPr>
      <w:r>
        <w:rPr>
          <w:rFonts w:hint="eastAsia" w:ascii="仿宋_GB2312"/>
          <w:sz w:val="32"/>
        </w:rPr>
        <w:t>以“整体智治”为目标，通过数字赋能促进管理服务大提升，努力以智慧化助推品牌化，打造数智景区样板区，将数字化治理和智慧手段应用生态保护提升各环节之中。</w:t>
      </w:r>
    </w:p>
    <w:p>
      <w:pPr>
        <w:widowControl/>
        <w:ind w:firstLineChars="0"/>
        <w:rPr>
          <w:rFonts w:ascii="仿宋_GB2312"/>
          <w:sz w:val="32"/>
        </w:rPr>
      </w:pPr>
      <w:r>
        <w:rPr>
          <w:rFonts w:hint="eastAsia" w:ascii="仿宋_GB2312"/>
          <w:bCs/>
          <w:sz w:val="32"/>
        </w:rPr>
        <w:t>依靠城市大脑，加强科学管理。</w:t>
      </w:r>
      <w:r>
        <w:rPr>
          <w:rFonts w:hint="eastAsia" w:ascii="仿宋_GB2312"/>
          <w:sz w:val="32"/>
        </w:rPr>
        <w:t>通过数字化手段，实现对景区全域范围内的统一监测、管理与保护。构建环境GIS应用展示平台，实现视频展示辖区内环境状况；建立实时监测平台，收录水质、空气质量、气象等三大生态数据，对其中最重要的数据进行实时检测，及时掌握景区实时环境情况；建立完善环保大数据平台，形成数据的获取、传输、处理、分析、决策、服务一体化的工作机制，同时进一步推动环保信息公开和公众参与；建立完备的预警监管、环境决策支持、应急响应体系，对辖区实现全方位、无盲区监管；建立现代化的监控中心指挥系统，使得生态环境科学治理、精准治理逐级落地。将景区道路、村社、酒店、医院等停车场数据全部接入景区智慧出行的停车管控平台，做到全部联网、实时在线，通过大数据分析和城市大脑精确治堵。</w:t>
      </w:r>
    </w:p>
    <w:p>
      <w:pPr>
        <w:ind w:firstLine="640"/>
        <w:rPr>
          <w:rFonts w:ascii="仿宋_GB2312"/>
          <w:sz w:val="32"/>
        </w:rPr>
      </w:pPr>
      <w:r>
        <w:rPr>
          <w:rFonts w:hint="eastAsia" w:ascii="仿宋_GB2312"/>
          <w:bCs/>
          <w:sz w:val="32"/>
        </w:rPr>
        <w:t>以数字化引领，赋能产业开发。</w:t>
      </w:r>
      <w:r>
        <w:rPr>
          <w:rFonts w:hint="eastAsia" w:ascii="仿宋_GB2312"/>
          <w:sz w:val="32"/>
        </w:rPr>
        <w:t>对照“重要窗口”的新定位，紧盯市民、游客和社会的需求，运用新技术整合各部门、相关企业、社会的数据，通过智慧指挥平台实现业务协同、数据协同、政企协同，进一步推进景区“吃、住、行、游、购、娱”全场景数字建设，提供全方位的管理服务。以生态、人文和科学的有机融合，做强“文化+”、“健康+”、“科技+”等业态，大大提升游客的体验感和代入感，增添游览的兴趣，拓展数字赋能的应用场景。</w:t>
      </w:r>
    </w:p>
    <w:p>
      <w:pPr>
        <w:pStyle w:val="6"/>
        <w:ind w:firstLine="640"/>
        <w:rPr>
          <w:rFonts w:ascii="楷体_GB2312" w:eastAsia="楷体_GB2312"/>
          <w:b w:val="0"/>
        </w:rPr>
      </w:pPr>
      <w:bookmarkStart w:id="657" w:name="_Toc8246"/>
      <w:bookmarkStart w:id="658" w:name="_Toc29806"/>
      <w:bookmarkStart w:id="659" w:name="_Toc4163"/>
      <w:bookmarkStart w:id="660" w:name="_Toc24853"/>
      <w:bookmarkStart w:id="661" w:name="_Toc22783"/>
      <w:bookmarkStart w:id="662" w:name="_Toc11163"/>
      <w:bookmarkStart w:id="663" w:name="_Toc14687"/>
      <w:r>
        <w:rPr>
          <w:rFonts w:hint="eastAsia" w:ascii="楷体_GB2312" w:eastAsia="楷体_GB2312"/>
          <w:b w:val="0"/>
        </w:rPr>
        <w:t>（二）提升生态环境监测能力</w:t>
      </w:r>
      <w:bookmarkEnd w:id="657"/>
      <w:bookmarkEnd w:id="658"/>
      <w:bookmarkEnd w:id="659"/>
    </w:p>
    <w:p>
      <w:pPr>
        <w:ind w:firstLine="640"/>
        <w:rPr>
          <w:sz w:val="32"/>
          <w:szCs w:val="32"/>
        </w:rPr>
      </w:pPr>
      <w:r>
        <w:rPr>
          <w:sz w:val="32"/>
          <w:szCs w:val="32"/>
        </w:rPr>
        <w:t>强化环境监测能力建设</w:t>
      </w:r>
      <w:r>
        <w:rPr>
          <w:rFonts w:hint="eastAsia"/>
          <w:sz w:val="32"/>
          <w:szCs w:val="32"/>
        </w:rPr>
        <w:t>，</w:t>
      </w:r>
      <w:r>
        <w:rPr>
          <w:sz w:val="32"/>
          <w:szCs w:val="32"/>
        </w:rPr>
        <w:t>配合省、市要求，进一步加强环境质量监测网络建设，完善监测监控硬件配置，提升监测水平。全面完善主要溪流和西湖日常水质监测制度，强化蓝藻预警监控，继续开展西湖水生态系统跟踪监测试点，建立健全全天候实时监控的水环境质量监控体系。积极开展大气复合污染立体监测</w:t>
      </w:r>
      <w:r>
        <w:rPr>
          <w:rFonts w:hint="eastAsia"/>
          <w:sz w:val="32"/>
          <w:szCs w:val="32"/>
        </w:rPr>
        <w:t>网络</w:t>
      </w:r>
      <w:r>
        <w:rPr>
          <w:sz w:val="32"/>
          <w:szCs w:val="32"/>
        </w:rPr>
        <w:t>建设，完善现有大气自动监测站，推进道路空气监测站建设。完善土壤、地下水环境监测体系，探索生态敏感区的生态监测。加快西湖文化景观遗产预警监测系统平台建设步伐，推进建成基础档案数据库和特色植物、游客量监测项目，充分发挥智慧手段在遗产保护管理中的作用。推进感知能力建设与整合，加强数据共享互通。探索建立生态环境安全监测预警体系，建立健全环境承载力监测预警机制</w:t>
      </w:r>
      <w:r>
        <w:rPr>
          <w:rFonts w:hint="eastAsia"/>
          <w:sz w:val="32"/>
          <w:szCs w:val="32"/>
        </w:rPr>
        <w:t>。</w:t>
      </w:r>
    </w:p>
    <w:p>
      <w:pPr>
        <w:pStyle w:val="6"/>
        <w:ind w:firstLine="640"/>
        <w:rPr>
          <w:rFonts w:ascii="楷体_GB2312" w:eastAsia="楷体_GB2312"/>
          <w:b w:val="0"/>
        </w:rPr>
      </w:pPr>
      <w:bookmarkStart w:id="664" w:name="_Toc30269"/>
      <w:bookmarkStart w:id="665" w:name="_Toc1433"/>
      <w:bookmarkStart w:id="666" w:name="_Toc3527"/>
      <w:r>
        <w:rPr>
          <w:rFonts w:hint="eastAsia" w:ascii="楷体_GB2312" w:eastAsia="楷体_GB2312"/>
          <w:b w:val="0"/>
        </w:rPr>
        <w:t>（三）强化生态环境执法能力</w:t>
      </w:r>
      <w:bookmarkEnd w:id="660"/>
      <w:bookmarkEnd w:id="661"/>
      <w:bookmarkEnd w:id="662"/>
      <w:bookmarkEnd w:id="663"/>
      <w:bookmarkEnd w:id="664"/>
      <w:bookmarkEnd w:id="665"/>
      <w:bookmarkEnd w:id="666"/>
    </w:p>
    <w:p>
      <w:pPr>
        <w:ind w:firstLine="640"/>
        <w:rPr>
          <w:sz w:val="32"/>
        </w:rPr>
      </w:pPr>
      <w:r>
        <w:rPr>
          <w:sz w:val="32"/>
        </w:rPr>
        <w:t>强化环境综合执法能力建设，努力破解环保执法难题，及时发现和查处违法行为，坚持环保联合检查，同时加大违章排水联合整治和查处力度，对辖区工地开展全覆盖管理检查。整合行政执法、市政等力量，联动执法，定期开展专项督查，定期跟踪整改落实，进一步加强长效管理、执法监管、应急处置等方面的联动效应。</w:t>
      </w:r>
    </w:p>
    <w:bookmarkEnd w:id="589"/>
    <w:bookmarkEnd w:id="590"/>
    <w:bookmarkEnd w:id="591"/>
    <w:bookmarkEnd w:id="592"/>
    <w:bookmarkEnd w:id="593"/>
    <w:bookmarkEnd w:id="594"/>
    <w:bookmarkEnd w:id="595"/>
    <w:p>
      <w:pPr>
        <w:pStyle w:val="6"/>
        <w:ind w:firstLine="640"/>
        <w:rPr>
          <w:rFonts w:ascii="楷体_GB2312" w:eastAsia="楷体_GB2312"/>
          <w:b w:val="0"/>
        </w:rPr>
      </w:pPr>
      <w:bookmarkStart w:id="667" w:name="_Toc21549"/>
      <w:bookmarkStart w:id="668" w:name="_Toc17306"/>
      <w:bookmarkStart w:id="669" w:name="_Toc24974"/>
      <w:bookmarkStart w:id="670" w:name="_Toc11367"/>
      <w:bookmarkStart w:id="671" w:name="_Toc32236"/>
      <w:bookmarkStart w:id="672" w:name="_Toc13797"/>
      <w:bookmarkStart w:id="673" w:name="_Toc13010"/>
      <w:bookmarkStart w:id="674" w:name="_Toc9400"/>
      <w:bookmarkStart w:id="675" w:name="_Toc5776"/>
      <w:bookmarkStart w:id="676" w:name="_Toc4691"/>
      <w:bookmarkStart w:id="677" w:name="_Toc7077"/>
      <w:bookmarkStart w:id="678" w:name="_Toc19092"/>
      <w:bookmarkStart w:id="679" w:name="_Toc20060"/>
      <w:bookmarkStart w:id="680" w:name="_Toc26489"/>
      <w:r>
        <w:rPr>
          <w:rFonts w:hint="eastAsia" w:ascii="楷体_GB2312" w:eastAsia="楷体_GB2312"/>
          <w:b w:val="0"/>
        </w:rPr>
        <w:t>（四）加强环境风险防控能力</w:t>
      </w:r>
      <w:bookmarkEnd w:id="667"/>
      <w:bookmarkEnd w:id="668"/>
      <w:bookmarkEnd w:id="669"/>
    </w:p>
    <w:bookmarkEnd w:id="670"/>
    <w:bookmarkEnd w:id="671"/>
    <w:bookmarkEnd w:id="672"/>
    <w:bookmarkEnd w:id="673"/>
    <w:bookmarkEnd w:id="674"/>
    <w:bookmarkEnd w:id="675"/>
    <w:bookmarkEnd w:id="676"/>
    <w:bookmarkEnd w:id="677"/>
    <w:bookmarkEnd w:id="678"/>
    <w:bookmarkEnd w:id="679"/>
    <w:bookmarkEnd w:id="680"/>
    <w:p>
      <w:pPr>
        <w:widowControl/>
        <w:ind w:firstLine="640"/>
        <w:rPr>
          <w:rFonts w:ascii="仿宋_GB2312"/>
          <w:sz w:val="32"/>
        </w:rPr>
      </w:pPr>
      <w:r>
        <w:rPr>
          <w:rFonts w:hint="eastAsia" w:ascii="仿宋_GB2312"/>
          <w:bCs/>
          <w:sz w:val="32"/>
        </w:rPr>
        <w:t>加强环境风险监管体系建设。</w:t>
      </w:r>
      <w:r>
        <w:rPr>
          <w:rFonts w:hint="eastAsia" w:ascii="仿宋_GB2312"/>
          <w:sz w:val="32"/>
        </w:rPr>
        <w:t>从布局和结构入手，加强突发环境事件预防和预警体系建设，改善环境安全总体态势。增强气候变化适应能力。建立健全气候防灾减灾体系，加强气候灾害的监测评估和预测预警，完善气候灾害应急预案和响应工作机制，增强对极端气候事件的应对能力。</w:t>
      </w:r>
    </w:p>
    <w:p>
      <w:pPr>
        <w:widowControl/>
        <w:ind w:firstLine="640"/>
        <w:rPr>
          <w:rFonts w:ascii="仿宋_GB2312"/>
          <w:sz w:val="32"/>
        </w:rPr>
      </w:pPr>
      <w:r>
        <w:rPr>
          <w:rFonts w:hint="eastAsia" w:ascii="仿宋_GB2312"/>
          <w:bCs/>
          <w:sz w:val="32"/>
        </w:rPr>
        <w:t>加强环境应急体系建设。</w:t>
      </w:r>
      <w:r>
        <w:rPr>
          <w:rFonts w:hint="eastAsia" w:ascii="仿宋_GB2312"/>
          <w:sz w:val="32"/>
        </w:rPr>
        <w:t>按照《杭州市突发环境事件应急预案》要求，牢固树立“问题导向”意识，建设突发环境事件现场处置信息化系统。从环境应急管理的实际需求出发，建立应急物资保障体系建设，与全市城市大脑建设紧密融合，形成环境应急物资大数据平台。推进环境应急救援队伍专业化，定期开展示范性突发环境事件应急演练，强化应急专家队伍建设，充分发挥专家技术支撑作用。</w:t>
      </w:r>
    </w:p>
    <w:p>
      <w:pPr>
        <w:ind w:firstLine="640"/>
        <w:rPr>
          <w:rFonts w:ascii="仿宋_GB2312"/>
          <w:sz w:val="32"/>
          <w:highlight w:val="yellow"/>
        </w:rPr>
      </w:pPr>
      <w:r>
        <w:rPr>
          <w:rFonts w:hint="eastAsia" w:ascii="仿宋_GB2312"/>
          <w:bCs/>
          <w:sz w:val="32"/>
        </w:rPr>
        <w:t>加强辐射安全监管体系建设。</w:t>
      </w:r>
      <w:r>
        <w:rPr>
          <w:rFonts w:hint="eastAsia" w:ascii="仿宋_GB2312"/>
          <w:sz w:val="32"/>
        </w:rPr>
        <w:t>严格监管放射源，废旧放射源安全送贮；积极夯实辐射安全监管基础，强化辐射环境监测网络建设，提高基层辐射监管水平；着力构建辐射安全文化，提升辐射工作单位辐射安全主体责任意识，加强公众共同参与的辐射环境保护宣传工作。</w:t>
      </w:r>
    </w:p>
    <w:p>
      <w:pPr>
        <w:ind w:firstLine="640"/>
        <w:rPr>
          <w:rFonts w:ascii="仿宋_GB2312"/>
          <w:sz w:val="32"/>
          <w:highlight w:val="yellow"/>
        </w:rPr>
      </w:pPr>
    </w:p>
    <w:p>
      <w:pPr>
        <w:ind w:firstLine="640"/>
        <w:rPr>
          <w:rFonts w:ascii="仿宋_GB2312"/>
          <w:sz w:val="32"/>
          <w:highlight w:val="yellow"/>
        </w:rPr>
      </w:pPr>
    </w:p>
    <w:p>
      <w:pPr>
        <w:ind w:firstLine="640"/>
        <w:rPr>
          <w:rFonts w:ascii="仿宋_GB2312"/>
          <w:sz w:val="32"/>
          <w:highlight w:val="yellow"/>
        </w:rPr>
      </w:pPr>
    </w:p>
    <w:p>
      <w:pPr>
        <w:ind w:firstLine="640"/>
        <w:rPr>
          <w:rFonts w:ascii="仿宋_GB2312"/>
          <w:sz w:val="32"/>
          <w:highlight w:val="yellow"/>
        </w:rPr>
      </w:pPr>
    </w:p>
    <w:p>
      <w:pPr>
        <w:ind w:firstLine="640"/>
        <w:rPr>
          <w:rFonts w:ascii="仿宋_GB2312"/>
          <w:sz w:val="32"/>
          <w:highlight w:val="yellow"/>
        </w:rPr>
      </w:pPr>
    </w:p>
    <w:p>
      <w:pPr>
        <w:ind w:firstLine="640"/>
        <w:rPr>
          <w:rFonts w:ascii="仿宋_GB2312"/>
          <w:sz w:val="32"/>
          <w:highlight w:val="yellow"/>
        </w:rPr>
      </w:pPr>
    </w:p>
    <w:p>
      <w:pPr>
        <w:ind w:firstLine="640"/>
        <w:rPr>
          <w:rFonts w:ascii="仿宋_GB2312"/>
          <w:sz w:val="32"/>
          <w:highlight w:val="yellow"/>
        </w:rPr>
      </w:pPr>
    </w:p>
    <w:p>
      <w:pPr>
        <w:rPr>
          <w:highlight w:val="yellow"/>
        </w:rPr>
      </w:pPr>
    </w:p>
    <w:p>
      <w:pPr>
        <w:pStyle w:val="4"/>
      </w:pPr>
      <w:bookmarkStart w:id="681" w:name="_Toc11791"/>
      <w:bookmarkStart w:id="682" w:name="_Toc18927"/>
      <w:bookmarkStart w:id="683" w:name="_Toc1691"/>
      <w:bookmarkStart w:id="684" w:name="_Toc24247"/>
      <w:bookmarkStart w:id="685" w:name="_Toc13845"/>
      <w:bookmarkStart w:id="686" w:name="_Toc26823"/>
      <w:bookmarkStart w:id="687" w:name="_Toc20993"/>
      <w:bookmarkStart w:id="688" w:name="_Toc27504"/>
      <w:bookmarkStart w:id="689" w:name="_Toc24239"/>
      <w:bookmarkStart w:id="690" w:name="_Toc15987"/>
      <w:bookmarkStart w:id="691" w:name="_Toc28853"/>
      <w:bookmarkStart w:id="692" w:name="_Toc14537"/>
      <w:bookmarkStart w:id="693" w:name="_Toc18124"/>
      <w:bookmarkStart w:id="694" w:name="_Toc14265"/>
      <w:bookmarkStart w:id="695" w:name="_Toc18240"/>
      <w:bookmarkStart w:id="696" w:name="_Toc7314"/>
      <w:bookmarkStart w:id="697" w:name="_Toc25452"/>
      <w:bookmarkStart w:id="698" w:name="_Toc2605"/>
      <w:bookmarkStart w:id="699" w:name="_Toc15143"/>
      <w:bookmarkStart w:id="700" w:name="_Toc3625"/>
      <w:bookmarkStart w:id="701" w:name="_Toc17521"/>
      <w:bookmarkStart w:id="702" w:name="_Toc12142"/>
      <w:bookmarkStart w:id="703" w:name="_Toc32500"/>
      <w:bookmarkStart w:id="704" w:name="_Toc13649"/>
      <w:bookmarkStart w:id="705" w:name="_Toc6292"/>
      <w:bookmarkStart w:id="706" w:name="_Toc5078"/>
      <w:r>
        <w:rPr>
          <w:rFonts w:hint="eastAsia"/>
        </w:rPr>
        <w:t>第四章 “十四五”生态</w:t>
      </w:r>
      <w:r>
        <w:t>环境保护重点工程</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pPr>
        <w:pStyle w:val="11"/>
        <w:spacing w:after="0"/>
        <w:ind w:left="0" w:leftChars="0" w:firstLine="640"/>
        <w:rPr>
          <w:rFonts w:ascii="仿宋_GB2312" w:eastAsia="仿宋_GB2312"/>
          <w:sz w:val="32"/>
        </w:rPr>
      </w:pPr>
      <w:r>
        <w:rPr>
          <w:rFonts w:hint="eastAsia" w:ascii="仿宋_GB2312" w:eastAsia="仿宋_GB2312"/>
          <w:sz w:val="32"/>
        </w:rPr>
        <w:t>“十四五”期间，杭州西湖风景名胜区生态环境保护从水环境保护、土壤环境保护、生态环境保护、大气环境质量改善、现代化治理体系建设等五个领域设置重点工程21项，估算总投资达到5.4亿元。其中，水环境保护类项目9个，土壤环境保护类项目1个，生态环境保护类项目10个，现代化治理体系建设类项目1个。</w:t>
      </w:r>
    </w:p>
    <w:p>
      <w:pPr>
        <w:pStyle w:val="11"/>
        <w:spacing w:after="0"/>
        <w:ind w:left="0" w:leftChars="0" w:firstLine="640"/>
        <w:rPr>
          <w:rFonts w:ascii="仿宋_GB2312" w:eastAsia="仿宋_GB2312"/>
          <w:sz w:val="32"/>
        </w:rPr>
        <w:sectPr>
          <w:footerReference r:id="rId7" w:type="default"/>
          <w:pgSz w:w="11906" w:h="16838"/>
          <w:pgMar w:top="1440" w:right="1800" w:bottom="1440" w:left="1800" w:header="851" w:footer="992" w:gutter="0"/>
          <w:pgNumType w:start="1"/>
          <w:cols w:space="720" w:num="1"/>
          <w:docGrid w:type="lines" w:linePitch="312" w:charSpace="0"/>
        </w:sectPr>
      </w:pPr>
    </w:p>
    <w:p>
      <w:pPr>
        <w:ind w:firstLine="0" w:firstLineChars="0"/>
        <w:jc w:val="center"/>
        <w:rPr>
          <w:b/>
          <w:bCs/>
        </w:rPr>
      </w:pPr>
      <w:r>
        <w:rPr>
          <w:b/>
          <w:bCs/>
        </w:rPr>
        <w:t>表4-1  “十四五”生态环境保护规划重点工程汇总表</w:t>
      </w:r>
    </w:p>
    <w:tbl>
      <w:tblPr>
        <w:tblStyle w:val="12"/>
        <w:tblW w:w="140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
        <w:gridCol w:w="1265"/>
        <w:gridCol w:w="2075"/>
        <w:gridCol w:w="6325"/>
        <w:gridCol w:w="1237"/>
        <w:gridCol w:w="1050"/>
        <w:gridCol w:w="1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07" w:type="dxa"/>
            <w:vAlign w:val="center"/>
          </w:tcPr>
          <w:p>
            <w:pPr>
              <w:pStyle w:val="11"/>
              <w:spacing w:after="0"/>
              <w:ind w:left="0" w:leftChars="0" w:firstLine="0" w:firstLineChars="0"/>
              <w:jc w:val="center"/>
              <w:rPr>
                <w:rFonts w:eastAsia="仿宋_GB2312"/>
                <w:b/>
                <w:bCs/>
                <w:sz w:val="24"/>
                <w:szCs w:val="24"/>
              </w:rPr>
            </w:pPr>
            <w:r>
              <w:rPr>
                <w:rFonts w:eastAsia="仿宋_GB2312"/>
                <w:b/>
                <w:bCs/>
                <w:sz w:val="24"/>
                <w:szCs w:val="24"/>
              </w:rPr>
              <w:t>序号</w:t>
            </w:r>
          </w:p>
        </w:tc>
        <w:tc>
          <w:tcPr>
            <w:tcW w:w="1265" w:type="dxa"/>
            <w:vAlign w:val="center"/>
          </w:tcPr>
          <w:p>
            <w:pPr>
              <w:pStyle w:val="11"/>
              <w:spacing w:after="0"/>
              <w:ind w:left="0" w:leftChars="0" w:firstLine="0" w:firstLineChars="0"/>
              <w:jc w:val="center"/>
              <w:rPr>
                <w:rFonts w:eastAsia="仿宋_GB2312"/>
                <w:b/>
                <w:bCs/>
                <w:sz w:val="24"/>
                <w:szCs w:val="24"/>
              </w:rPr>
            </w:pPr>
            <w:r>
              <w:rPr>
                <w:rFonts w:hint="eastAsia" w:eastAsia="仿宋_GB2312"/>
                <w:b/>
                <w:bCs/>
                <w:sz w:val="24"/>
                <w:szCs w:val="24"/>
              </w:rPr>
              <w:t>项目领域</w:t>
            </w:r>
          </w:p>
        </w:tc>
        <w:tc>
          <w:tcPr>
            <w:tcW w:w="2075" w:type="dxa"/>
            <w:vAlign w:val="center"/>
          </w:tcPr>
          <w:p>
            <w:pPr>
              <w:pStyle w:val="11"/>
              <w:spacing w:after="0"/>
              <w:ind w:left="0" w:leftChars="0" w:firstLine="0" w:firstLineChars="0"/>
              <w:jc w:val="center"/>
              <w:rPr>
                <w:rFonts w:eastAsia="仿宋_GB2312"/>
                <w:b/>
                <w:bCs/>
                <w:sz w:val="24"/>
                <w:szCs w:val="24"/>
              </w:rPr>
            </w:pPr>
            <w:r>
              <w:rPr>
                <w:rFonts w:hint="eastAsia" w:eastAsia="仿宋_GB2312"/>
                <w:b/>
                <w:bCs/>
                <w:sz w:val="24"/>
                <w:szCs w:val="24"/>
              </w:rPr>
              <w:t>项目名称</w:t>
            </w:r>
          </w:p>
        </w:tc>
        <w:tc>
          <w:tcPr>
            <w:tcW w:w="6325" w:type="dxa"/>
            <w:vAlign w:val="center"/>
          </w:tcPr>
          <w:p>
            <w:pPr>
              <w:pStyle w:val="11"/>
              <w:spacing w:after="0"/>
              <w:ind w:left="0" w:leftChars="0" w:firstLine="0" w:firstLineChars="0"/>
              <w:jc w:val="center"/>
              <w:rPr>
                <w:rFonts w:eastAsia="仿宋_GB2312"/>
                <w:b/>
                <w:bCs/>
                <w:sz w:val="24"/>
                <w:szCs w:val="24"/>
              </w:rPr>
            </w:pPr>
            <w:r>
              <w:rPr>
                <w:rFonts w:eastAsia="仿宋_GB2312"/>
                <w:b/>
                <w:bCs/>
                <w:sz w:val="24"/>
                <w:szCs w:val="24"/>
              </w:rPr>
              <w:t>主要内容</w:t>
            </w:r>
          </w:p>
        </w:tc>
        <w:tc>
          <w:tcPr>
            <w:tcW w:w="1237" w:type="dxa"/>
            <w:vAlign w:val="center"/>
          </w:tcPr>
          <w:p>
            <w:pPr>
              <w:pStyle w:val="11"/>
              <w:spacing w:after="0"/>
              <w:ind w:left="0" w:leftChars="0" w:firstLine="0" w:firstLineChars="0"/>
              <w:jc w:val="center"/>
              <w:rPr>
                <w:rFonts w:eastAsia="仿宋_GB2312"/>
                <w:b/>
                <w:bCs/>
                <w:sz w:val="24"/>
                <w:szCs w:val="24"/>
              </w:rPr>
            </w:pPr>
            <w:r>
              <w:rPr>
                <w:rFonts w:eastAsia="仿宋_GB2312"/>
                <w:b/>
                <w:bCs/>
                <w:sz w:val="24"/>
                <w:szCs w:val="24"/>
              </w:rPr>
              <w:t>总投资（万元）</w:t>
            </w:r>
          </w:p>
        </w:tc>
        <w:tc>
          <w:tcPr>
            <w:tcW w:w="1050" w:type="dxa"/>
            <w:vAlign w:val="center"/>
          </w:tcPr>
          <w:p>
            <w:pPr>
              <w:pStyle w:val="11"/>
              <w:spacing w:after="0"/>
              <w:ind w:left="0" w:leftChars="0" w:firstLine="0" w:firstLineChars="0"/>
              <w:jc w:val="center"/>
              <w:rPr>
                <w:rFonts w:eastAsia="仿宋_GB2312"/>
                <w:b/>
                <w:bCs/>
                <w:sz w:val="24"/>
                <w:szCs w:val="24"/>
              </w:rPr>
            </w:pPr>
            <w:r>
              <w:rPr>
                <w:rFonts w:eastAsia="仿宋_GB2312"/>
                <w:b/>
                <w:bCs/>
                <w:sz w:val="24"/>
                <w:szCs w:val="24"/>
              </w:rPr>
              <w:t>完成年限</w:t>
            </w:r>
          </w:p>
        </w:tc>
        <w:tc>
          <w:tcPr>
            <w:tcW w:w="1625" w:type="dxa"/>
            <w:vAlign w:val="center"/>
          </w:tcPr>
          <w:p>
            <w:pPr>
              <w:pStyle w:val="11"/>
              <w:spacing w:after="0"/>
              <w:ind w:left="0" w:leftChars="0" w:firstLine="0" w:firstLineChars="0"/>
              <w:jc w:val="center"/>
              <w:rPr>
                <w:rFonts w:eastAsia="仿宋_GB2312"/>
                <w:b/>
                <w:bCs/>
                <w:sz w:val="24"/>
                <w:szCs w:val="24"/>
              </w:rPr>
            </w:pPr>
            <w:r>
              <w:rPr>
                <w:rFonts w:hint="eastAsia" w:eastAsia="仿宋_GB2312"/>
                <w:b/>
                <w:bCs/>
                <w:sz w:val="24"/>
                <w:szCs w:val="24"/>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pPr>
              <w:pStyle w:val="11"/>
              <w:numPr>
                <w:ilvl w:val="0"/>
                <w:numId w:val="1"/>
              </w:numPr>
              <w:spacing w:after="0"/>
              <w:ind w:leftChars="0" w:firstLineChars="0"/>
              <w:jc w:val="center"/>
              <w:rPr>
                <w:rFonts w:eastAsia="仿宋_GB2312"/>
                <w:sz w:val="24"/>
                <w:szCs w:val="24"/>
              </w:rPr>
            </w:pPr>
          </w:p>
        </w:tc>
        <w:tc>
          <w:tcPr>
            <w:tcW w:w="1265" w:type="dxa"/>
            <w:vMerge w:val="restart"/>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生态环境保护</w:t>
            </w:r>
          </w:p>
        </w:tc>
        <w:tc>
          <w:tcPr>
            <w:tcW w:w="2075" w:type="dxa"/>
            <w:vAlign w:val="center"/>
          </w:tcPr>
          <w:p>
            <w:pPr>
              <w:pStyle w:val="11"/>
              <w:spacing w:after="0"/>
              <w:ind w:left="0" w:leftChars="0" w:firstLine="0" w:firstLineChars="0"/>
              <w:jc w:val="left"/>
              <w:rPr>
                <w:rFonts w:eastAsia="仿宋_GB2312"/>
                <w:sz w:val="24"/>
                <w:szCs w:val="24"/>
              </w:rPr>
            </w:pPr>
            <w:r>
              <w:rPr>
                <w:rFonts w:eastAsia="仿宋_GB2312"/>
                <w:sz w:val="24"/>
                <w:szCs w:val="24"/>
              </w:rPr>
              <w:t>新优特球宿根花卉（石蒜属）引种及推广应用示范项目</w:t>
            </w:r>
          </w:p>
        </w:tc>
        <w:tc>
          <w:tcPr>
            <w:tcW w:w="6325" w:type="dxa"/>
            <w:vAlign w:val="center"/>
          </w:tcPr>
          <w:p>
            <w:pPr>
              <w:pStyle w:val="11"/>
              <w:spacing w:after="0"/>
              <w:ind w:left="0" w:leftChars="0" w:firstLine="0" w:firstLineChars="0"/>
              <w:jc w:val="left"/>
              <w:rPr>
                <w:rFonts w:eastAsia="仿宋_GB2312"/>
                <w:sz w:val="24"/>
                <w:szCs w:val="24"/>
              </w:rPr>
            </w:pPr>
            <w:r>
              <w:rPr>
                <w:rFonts w:eastAsia="仿宋_GB2312"/>
                <w:sz w:val="24"/>
                <w:szCs w:val="24"/>
              </w:rPr>
              <w:t>为推荐杭州“迎亚运”城市园林绿化美化彩花提升工作，营造2022年亚运会期间“繁花似锦”的优美景观，结合杭州植物园数十年来石蒜方面的研究经验和成果，拟对本项目实施。</w:t>
            </w:r>
          </w:p>
        </w:tc>
        <w:tc>
          <w:tcPr>
            <w:tcW w:w="1237"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40</w:t>
            </w:r>
          </w:p>
        </w:tc>
        <w:tc>
          <w:tcPr>
            <w:tcW w:w="1050"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2022年</w:t>
            </w:r>
          </w:p>
        </w:tc>
        <w:tc>
          <w:tcPr>
            <w:tcW w:w="1625"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植物园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pPr>
              <w:pStyle w:val="11"/>
              <w:numPr>
                <w:ilvl w:val="0"/>
                <w:numId w:val="1"/>
              </w:numPr>
              <w:spacing w:after="0"/>
              <w:ind w:leftChars="0" w:firstLineChars="0"/>
              <w:jc w:val="center"/>
              <w:rPr>
                <w:rFonts w:eastAsia="仿宋_GB2312"/>
                <w:sz w:val="24"/>
                <w:szCs w:val="24"/>
              </w:rPr>
            </w:pPr>
          </w:p>
        </w:tc>
        <w:tc>
          <w:tcPr>
            <w:tcW w:w="1265" w:type="dxa"/>
            <w:vMerge w:val="continue"/>
            <w:vAlign w:val="center"/>
          </w:tcPr>
          <w:p>
            <w:pPr>
              <w:pStyle w:val="11"/>
              <w:spacing w:after="0"/>
              <w:ind w:left="0" w:leftChars="0" w:firstLine="0" w:firstLineChars="0"/>
              <w:jc w:val="center"/>
              <w:rPr>
                <w:rFonts w:eastAsia="仿宋_GB2312"/>
                <w:sz w:val="24"/>
                <w:szCs w:val="24"/>
              </w:rPr>
            </w:pPr>
          </w:p>
        </w:tc>
        <w:tc>
          <w:tcPr>
            <w:tcW w:w="2075" w:type="dxa"/>
            <w:vAlign w:val="center"/>
          </w:tcPr>
          <w:p>
            <w:pPr>
              <w:pStyle w:val="11"/>
              <w:spacing w:after="0"/>
              <w:ind w:left="0" w:leftChars="0" w:firstLine="0" w:firstLineChars="0"/>
              <w:jc w:val="left"/>
              <w:rPr>
                <w:rFonts w:eastAsia="仿宋_GB2312"/>
                <w:sz w:val="24"/>
                <w:szCs w:val="24"/>
              </w:rPr>
            </w:pPr>
            <w:r>
              <w:rPr>
                <w:rFonts w:hint="eastAsia" w:eastAsia="仿宋_GB2312"/>
                <w:sz w:val="24"/>
                <w:szCs w:val="24"/>
              </w:rPr>
              <w:t>中国茶叶博物馆提升项目</w:t>
            </w:r>
          </w:p>
        </w:tc>
        <w:tc>
          <w:tcPr>
            <w:tcW w:w="6325" w:type="dxa"/>
            <w:vAlign w:val="center"/>
          </w:tcPr>
          <w:p>
            <w:pPr>
              <w:pStyle w:val="11"/>
              <w:spacing w:after="0"/>
              <w:ind w:left="0" w:leftChars="0" w:firstLine="0" w:firstLineChars="0"/>
              <w:jc w:val="left"/>
              <w:rPr>
                <w:rFonts w:eastAsia="仿宋_GB2312"/>
                <w:sz w:val="24"/>
                <w:szCs w:val="24"/>
              </w:rPr>
            </w:pPr>
            <w:r>
              <w:rPr>
                <w:rFonts w:hint="eastAsia" w:eastAsia="仿宋_GB2312"/>
                <w:sz w:val="24"/>
                <w:szCs w:val="24"/>
              </w:rPr>
              <w:t>双峰馆区和龙井馆区室内展厅陈列改造、馆区部分景观环境提升改造、贯通两馆区之间游步道及游步道旁茶文化展示、标识指示系统建设等。</w:t>
            </w:r>
          </w:p>
        </w:tc>
        <w:tc>
          <w:tcPr>
            <w:tcW w:w="1237"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5929</w:t>
            </w:r>
          </w:p>
        </w:tc>
        <w:tc>
          <w:tcPr>
            <w:tcW w:w="1050"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2022年</w:t>
            </w:r>
          </w:p>
        </w:tc>
        <w:tc>
          <w:tcPr>
            <w:tcW w:w="1625"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中国茶叶博物馆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pPr>
              <w:pStyle w:val="11"/>
              <w:numPr>
                <w:ilvl w:val="0"/>
                <w:numId w:val="1"/>
              </w:numPr>
              <w:spacing w:after="0"/>
              <w:ind w:leftChars="0" w:firstLineChars="0"/>
              <w:jc w:val="center"/>
              <w:rPr>
                <w:rFonts w:eastAsia="仿宋_GB2312"/>
                <w:sz w:val="24"/>
                <w:szCs w:val="24"/>
              </w:rPr>
            </w:pPr>
          </w:p>
        </w:tc>
        <w:tc>
          <w:tcPr>
            <w:tcW w:w="1265" w:type="dxa"/>
            <w:vMerge w:val="continue"/>
            <w:vAlign w:val="center"/>
          </w:tcPr>
          <w:p>
            <w:pPr>
              <w:pStyle w:val="11"/>
              <w:spacing w:after="0"/>
              <w:ind w:left="0" w:leftChars="0" w:firstLine="0" w:firstLineChars="0"/>
              <w:jc w:val="center"/>
              <w:rPr>
                <w:rFonts w:eastAsia="仿宋_GB2312"/>
                <w:sz w:val="24"/>
                <w:szCs w:val="24"/>
              </w:rPr>
            </w:pPr>
          </w:p>
        </w:tc>
        <w:tc>
          <w:tcPr>
            <w:tcW w:w="2075" w:type="dxa"/>
            <w:vAlign w:val="center"/>
          </w:tcPr>
          <w:p>
            <w:pPr>
              <w:pStyle w:val="11"/>
              <w:spacing w:after="0"/>
              <w:ind w:left="0" w:leftChars="0" w:firstLine="0" w:firstLineChars="0"/>
              <w:jc w:val="left"/>
              <w:rPr>
                <w:rFonts w:eastAsia="仿宋_GB2312"/>
                <w:sz w:val="24"/>
                <w:szCs w:val="24"/>
              </w:rPr>
            </w:pPr>
            <w:r>
              <w:rPr>
                <w:rFonts w:hint="eastAsia" w:eastAsia="仿宋_GB2312"/>
                <w:sz w:val="24"/>
                <w:szCs w:val="24"/>
              </w:rPr>
              <w:t>满觉陇村等景中村标识标牌改造提升工程</w:t>
            </w:r>
          </w:p>
        </w:tc>
        <w:tc>
          <w:tcPr>
            <w:tcW w:w="6325" w:type="dxa"/>
            <w:vAlign w:val="center"/>
          </w:tcPr>
          <w:p>
            <w:pPr>
              <w:pStyle w:val="11"/>
              <w:spacing w:after="0"/>
              <w:ind w:left="0" w:leftChars="0" w:firstLine="0" w:firstLineChars="0"/>
              <w:jc w:val="left"/>
              <w:rPr>
                <w:rFonts w:eastAsia="仿宋_GB2312"/>
                <w:sz w:val="24"/>
                <w:szCs w:val="24"/>
              </w:rPr>
            </w:pPr>
            <w:r>
              <w:rPr>
                <w:rFonts w:hint="eastAsia" w:eastAsia="仿宋_GB2312"/>
                <w:sz w:val="24"/>
                <w:szCs w:val="24"/>
              </w:rPr>
              <w:t>根据景区标识标牌统一规划，对街道辖区9个村、6个社区、3个股份合作社范围内的标识标牌进行提升改造。预计改造原有的标识牌约100处，新增大型电子导览宣传屏约18处，新增道路、旅游智能导览标识牌约300处等。</w:t>
            </w:r>
          </w:p>
        </w:tc>
        <w:tc>
          <w:tcPr>
            <w:tcW w:w="1237"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519</w:t>
            </w:r>
          </w:p>
        </w:tc>
        <w:tc>
          <w:tcPr>
            <w:tcW w:w="1050"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2021年</w:t>
            </w:r>
          </w:p>
        </w:tc>
        <w:tc>
          <w:tcPr>
            <w:tcW w:w="1625"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西湖街道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pPr>
              <w:pStyle w:val="11"/>
              <w:numPr>
                <w:ilvl w:val="0"/>
                <w:numId w:val="1"/>
              </w:numPr>
              <w:spacing w:after="0"/>
              <w:ind w:leftChars="0" w:firstLineChars="0"/>
              <w:jc w:val="center"/>
              <w:rPr>
                <w:rFonts w:eastAsia="仿宋_GB2312"/>
                <w:sz w:val="24"/>
                <w:szCs w:val="24"/>
              </w:rPr>
            </w:pPr>
          </w:p>
        </w:tc>
        <w:tc>
          <w:tcPr>
            <w:tcW w:w="1265" w:type="dxa"/>
            <w:vMerge w:val="continue"/>
            <w:vAlign w:val="center"/>
          </w:tcPr>
          <w:p>
            <w:pPr>
              <w:pStyle w:val="11"/>
              <w:spacing w:after="0"/>
              <w:ind w:left="0" w:leftChars="0" w:firstLine="0" w:firstLineChars="0"/>
              <w:jc w:val="center"/>
              <w:rPr>
                <w:rFonts w:eastAsia="仿宋_GB2312"/>
                <w:sz w:val="24"/>
                <w:szCs w:val="24"/>
              </w:rPr>
            </w:pPr>
          </w:p>
        </w:tc>
        <w:tc>
          <w:tcPr>
            <w:tcW w:w="2075" w:type="dxa"/>
            <w:vAlign w:val="center"/>
          </w:tcPr>
          <w:p>
            <w:pPr>
              <w:pStyle w:val="11"/>
              <w:spacing w:after="0"/>
              <w:ind w:left="0" w:leftChars="0" w:firstLine="0" w:firstLineChars="0"/>
              <w:jc w:val="left"/>
              <w:rPr>
                <w:rFonts w:eastAsia="仿宋_GB2312"/>
                <w:sz w:val="24"/>
                <w:szCs w:val="24"/>
              </w:rPr>
            </w:pPr>
            <w:r>
              <w:rPr>
                <w:rFonts w:eastAsia="仿宋_GB2312"/>
                <w:sz w:val="24"/>
                <w:szCs w:val="24"/>
              </w:rPr>
              <w:t>西湖局部水域沉水植物恢复及改善工程</w:t>
            </w:r>
          </w:p>
        </w:tc>
        <w:tc>
          <w:tcPr>
            <w:tcW w:w="6325" w:type="dxa"/>
            <w:vAlign w:val="center"/>
          </w:tcPr>
          <w:p>
            <w:pPr>
              <w:pStyle w:val="11"/>
              <w:spacing w:after="0"/>
              <w:ind w:left="0" w:leftChars="0" w:firstLine="0" w:firstLineChars="0"/>
              <w:jc w:val="left"/>
              <w:rPr>
                <w:rFonts w:eastAsia="仿宋_GB2312"/>
                <w:sz w:val="24"/>
                <w:szCs w:val="24"/>
              </w:rPr>
            </w:pPr>
            <w:r>
              <w:rPr>
                <w:rFonts w:eastAsia="仿宋_GB2312"/>
                <w:sz w:val="24"/>
                <w:szCs w:val="24"/>
              </w:rPr>
              <w:t>沉水植物恢复及改善。</w:t>
            </w:r>
          </w:p>
        </w:tc>
        <w:tc>
          <w:tcPr>
            <w:tcW w:w="1237"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199</w:t>
            </w:r>
          </w:p>
        </w:tc>
        <w:tc>
          <w:tcPr>
            <w:tcW w:w="1050"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2021年</w:t>
            </w:r>
          </w:p>
        </w:tc>
        <w:tc>
          <w:tcPr>
            <w:tcW w:w="1625" w:type="dxa"/>
            <w:vAlign w:val="center"/>
          </w:tcPr>
          <w:p>
            <w:pPr>
              <w:pStyle w:val="11"/>
              <w:spacing w:after="0"/>
              <w:ind w:left="0" w:leftChars="0" w:firstLine="0" w:firstLineChars="0"/>
              <w:jc w:val="center"/>
              <w:rPr>
                <w:rFonts w:eastAsia="仿宋_GB2312"/>
                <w:sz w:val="24"/>
                <w:szCs w:val="24"/>
              </w:rPr>
            </w:pPr>
            <w:r>
              <w:rPr>
                <w:rFonts w:eastAsia="仿宋_GB2312"/>
                <w:sz w:val="24"/>
                <w:szCs w:val="24"/>
              </w:rPr>
              <w:t>水域管理处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pPr>
              <w:pStyle w:val="11"/>
              <w:numPr>
                <w:ilvl w:val="0"/>
                <w:numId w:val="1"/>
              </w:numPr>
              <w:spacing w:after="0"/>
              <w:ind w:leftChars="0" w:firstLineChars="0"/>
              <w:jc w:val="center"/>
              <w:rPr>
                <w:rFonts w:eastAsia="仿宋_GB2312"/>
                <w:sz w:val="24"/>
                <w:szCs w:val="24"/>
              </w:rPr>
            </w:pPr>
          </w:p>
        </w:tc>
        <w:tc>
          <w:tcPr>
            <w:tcW w:w="1265" w:type="dxa"/>
            <w:vMerge w:val="continue"/>
            <w:vAlign w:val="center"/>
          </w:tcPr>
          <w:p>
            <w:pPr>
              <w:pStyle w:val="11"/>
              <w:spacing w:after="0"/>
              <w:ind w:left="0" w:leftChars="0" w:firstLine="0" w:firstLineChars="0"/>
              <w:jc w:val="center"/>
              <w:rPr>
                <w:rFonts w:eastAsia="仿宋_GB2312"/>
                <w:sz w:val="24"/>
                <w:szCs w:val="24"/>
              </w:rPr>
            </w:pPr>
          </w:p>
        </w:tc>
        <w:tc>
          <w:tcPr>
            <w:tcW w:w="2075" w:type="dxa"/>
            <w:vAlign w:val="center"/>
          </w:tcPr>
          <w:p>
            <w:pPr>
              <w:ind w:firstLine="0" w:firstLineChars="0"/>
              <w:jc w:val="left"/>
              <w:rPr>
                <w:sz w:val="24"/>
                <w:szCs w:val="24"/>
              </w:rPr>
            </w:pPr>
            <w:r>
              <w:rPr>
                <w:rFonts w:hint="eastAsia"/>
                <w:sz w:val="24"/>
                <w:szCs w:val="24"/>
              </w:rPr>
              <w:t>杭州西湖浴鹄湾、小南湖萍蓬草调控项目</w:t>
            </w:r>
          </w:p>
        </w:tc>
        <w:tc>
          <w:tcPr>
            <w:tcW w:w="6325" w:type="dxa"/>
            <w:vAlign w:val="center"/>
          </w:tcPr>
          <w:p>
            <w:pPr>
              <w:ind w:firstLine="0" w:firstLineChars="0"/>
              <w:jc w:val="left"/>
              <w:rPr>
                <w:sz w:val="24"/>
                <w:szCs w:val="24"/>
              </w:rPr>
            </w:pPr>
            <w:r>
              <w:rPr>
                <w:rFonts w:hint="eastAsia"/>
                <w:sz w:val="24"/>
                <w:szCs w:val="24"/>
              </w:rPr>
              <w:t>通过对西湖浴鹄湾、小南湖水域水生态调研，改变传统水草收割手段、采用水生植物定向精准调控技术对服务区优势过度生长的萍蓬草进行治理，通过使用萍蓬草调控剂选择性抑制萍蓬草根状茎的生长从根本上减少萍蓬草的数量和分布，调整服务区内水生植物的种类、数量、区域分布，有利于生物多样性的实现。</w:t>
            </w:r>
          </w:p>
        </w:tc>
        <w:tc>
          <w:tcPr>
            <w:tcW w:w="1237" w:type="dxa"/>
            <w:vAlign w:val="center"/>
          </w:tcPr>
          <w:p>
            <w:pPr>
              <w:ind w:firstLine="0" w:firstLineChars="0"/>
              <w:jc w:val="center"/>
              <w:rPr>
                <w:sz w:val="24"/>
                <w:szCs w:val="24"/>
              </w:rPr>
            </w:pPr>
            <w:r>
              <w:rPr>
                <w:rFonts w:hint="eastAsia"/>
                <w:sz w:val="24"/>
                <w:szCs w:val="24"/>
              </w:rPr>
              <w:t>72.93</w:t>
            </w:r>
          </w:p>
        </w:tc>
        <w:tc>
          <w:tcPr>
            <w:tcW w:w="1050" w:type="dxa"/>
            <w:vAlign w:val="center"/>
          </w:tcPr>
          <w:p>
            <w:pPr>
              <w:ind w:firstLine="0" w:firstLineChars="0"/>
              <w:jc w:val="center"/>
              <w:rPr>
                <w:sz w:val="24"/>
                <w:szCs w:val="24"/>
              </w:rPr>
            </w:pPr>
            <w:r>
              <w:rPr>
                <w:rFonts w:hint="eastAsia"/>
                <w:sz w:val="24"/>
                <w:szCs w:val="24"/>
              </w:rPr>
              <w:t>2022年</w:t>
            </w:r>
          </w:p>
        </w:tc>
        <w:tc>
          <w:tcPr>
            <w:tcW w:w="1625" w:type="dxa"/>
            <w:vAlign w:val="center"/>
          </w:tcPr>
          <w:p>
            <w:pPr>
              <w:ind w:firstLine="0" w:firstLineChars="0"/>
              <w:jc w:val="center"/>
              <w:rPr>
                <w:sz w:val="24"/>
                <w:szCs w:val="24"/>
              </w:rPr>
            </w:pPr>
            <w:r>
              <w:rPr>
                <w:rFonts w:hint="eastAsia"/>
                <w:sz w:val="24"/>
                <w:szCs w:val="24"/>
              </w:rPr>
              <w:t>水域管理处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pPr>
              <w:pStyle w:val="11"/>
              <w:numPr>
                <w:ilvl w:val="0"/>
                <w:numId w:val="1"/>
              </w:numPr>
              <w:spacing w:after="0"/>
              <w:ind w:leftChars="0" w:firstLineChars="0"/>
              <w:jc w:val="center"/>
              <w:rPr>
                <w:rFonts w:eastAsia="仿宋_GB2312"/>
                <w:sz w:val="24"/>
                <w:szCs w:val="24"/>
              </w:rPr>
            </w:pPr>
          </w:p>
        </w:tc>
        <w:tc>
          <w:tcPr>
            <w:tcW w:w="1265" w:type="dxa"/>
            <w:vMerge w:val="continue"/>
            <w:vAlign w:val="center"/>
          </w:tcPr>
          <w:p>
            <w:pPr>
              <w:pStyle w:val="11"/>
              <w:spacing w:after="0"/>
              <w:ind w:left="0" w:leftChars="0" w:firstLine="0" w:firstLineChars="0"/>
              <w:jc w:val="center"/>
              <w:rPr>
                <w:rFonts w:eastAsia="仿宋_GB2312"/>
                <w:sz w:val="24"/>
                <w:szCs w:val="24"/>
              </w:rPr>
            </w:pPr>
          </w:p>
        </w:tc>
        <w:tc>
          <w:tcPr>
            <w:tcW w:w="2075" w:type="dxa"/>
            <w:vAlign w:val="center"/>
          </w:tcPr>
          <w:p>
            <w:pPr>
              <w:ind w:firstLine="0" w:firstLineChars="0"/>
              <w:jc w:val="left"/>
              <w:rPr>
                <w:sz w:val="24"/>
                <w:szCs w:val="24"/>
              </w:rPr>
            </w:pPr>
            <w:r>
              <w:rPr>
                <w:rFonts w:hint="eastAsia"/>
                <w:sz w:val="24"/>
                <w:szCs w:val="24"/>
              </w:rPr>
              <w:t>西湖柳浪闻莺公园水生态修复工程</w:t>
            </w:r>
          </w:p>
        </w:tc>
        <w:tc>
          <w:tcPr>
            <w:tcW w:w="6325" w:type="dxa"/>
            <w:vAlign w:val="center"/>
          </w:tcPr>
          <w:p>
            <w:pPr>
              <w:ind w:firstLine="0" w:firstLineChars="0"/>
              <w:jc w:val="left"/>
              <w:rPr>
                <w:sz w:val="24"/>
                <w:szCs w:val="24"/>
              </w:rPr>
            </w:pPr>
            <w:r>
              <w:rPr>
                <w:rFonts w:hint="eastAsia"/>
                <w:sz w:val="24"/>
                <w:szCs w:val="24"/>
              </w:rPr>
              <w:t>对西湖柳浪闻莺公园内河道水体进行污染物消减和生态自净功能恢复，提高水体含氧量和水质透明度，建立稳定生态系统，恢复水体生态链，实现水体自净，维护水体水质。</w:t>
            </w:r>
          </w:p>
        </w:tc>
        <w:tc>
          <w:tcPr>
            <w:tcW w:w="1237" w:type="dxa"/>
            <w:vAlign w:val="center"/>
          </w:tcPr>
          <w:p>
            <w:pPr>
              <w:ind w:firstLine="0" w:firstLineChars="0"/>
              <w:jc w:val="center"/>
              <w:rPr>
                <w:sz w:val="24"/>
                <w:szCs w:val="24"/>
              </w:rPr>
            </w:pPr>
            <w:r>
              <w:rPr>
                <w:rFonts w:hint="eastAsia"/>
                <w:sz w:val="24"/>
                <w:szCs w:val="24"/>
              </w:rPr>
              <w:t>68</w:t>
            </w:r>
          </w:p>
        </w:tc>
        <w:tc>
          <w:tcPr>
            <w:tcW w:w="1050" w:type="dxa"/>
            <w:vAlign w:val="center"/>
          </w:tcPr>
          <w:p>
            <w:pPr>
              <w:ind w:firstLine="0" w:firstLineChars="0"/>
              <w:jc w:val="center"/>
              <w:rPr>
                <w:sz w:val="24"/>
                <w:szCs w:val="24"/>
              </w:rPr>
            </w:pPr>
            <w:r>
              <w:rPr>
                <w:rFonts w:hint="eastAsia"/>
                <w:sz w:val="24"/>
                <w:szCs w:val="24"/>
              </w:rPr>
              <w:t>2021年</w:t>
            </w:r>
          </w:p>
        </w:tc>
        <w:tc>
          <w:tcPr>
            <w:tcW w:w="1625" w:type="dxa"/>
            <w:vAlign w:val="center"/>
          </w:tcPr>
          <w:p>
            <w:pPr>
              <w:ind w:firstLine="0" w:firstLineChars="0"/>
              <w:jc w:val="left"/>
              <w:rPr>
                <w:sz w:val="24"/>
                <w:szCs w:val="24"/>
              </w:rPr>
            </w:pPr>
            <w:r>
              <w:rPr>
                <w:rFonts w:hint="eastAsia"/>
                <w:sz w:val="24"/>
                <w:szCs w:val="24"/>
              </w:rPr>
              <w:t>水域管理处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pPr>
              <w:pStyle w:val="11"/>
              <w:numPr>
                <w:ilvl w:val="0"/>
                <w:numId w:val="1"/>
              </w:numPr>
              <w:spacing w:after="0"/>
              <w:ind w:leftChars="0" w:firstLineChars="0"/>
              <w:jc w:val="center"/>
              <w:rPr>
                <w:rFonts w:eastAsia="仿宋_GB2312"/>
                <w:sz w:val="24"/>
                <w:szCs w:val="24"/>
              </w:rPr>
            </w:pPr>
          </w:p>
        </w:tc>
        <w:tc>
          <w:tcPr>
            <w:tcW w:w="1265" w:type="dxa"/>
            <w:vMerge w:val="continue"/>
            <w:vAlign w:val="center"/>
          </w:tcPr>
          <w:p>
            <w:pPr>
              <w:pStyle w:val="11"/>
              <w:spacing w:after="0"/>
              <w:ind w:left="0" w:leftChars="0" w:firstLine="0" w:firstLineChars="0"/>
              <w:jc w:val="center"/>
              <w:rPr>
                <w:rFonts w:eastAsia="仿宋_GB2312"/>
                <w:sz w:val="24"/>
                <w:szCs w:val="24"/>
              </w:rPr>
            </w:pPr>
          </w:p>
        </w:tc>
        <w:tc>
          <w:tcPr>
            <w:tcW w:w="2075" w:type="dxa"/>
            <w:vAlign w:val="center"/>
          </w:tcPr>
          <w:p>
            <w:pPr>
              <w:ind w:firstLine="0" w:firstLineChars="0"/>
              <w:jc w:val="left"/>
              <w:rPr>
                <w:sz w:val="24"/>
                <w:szCs w:val="24"/>
              </w:rPr>
            </w:pPr>
            <w:r>
              <w:rPr>
                <w:rFonts w:hint="eastAsia"/>
                <w:sz w:val="24"/>
                <w:szCs w:val="24"/>
              </w:rPr>
              <w:t>长桥溪水生态修复公园提升完善工程</w:t>
            </w:r>
          </w:p>
        </w:tc>
        <w:tc>
          <w:tcPr>
            <w:tcW w:w="6325" w:type="dxa"/>
            <w:vAlign w:val="center"/>
          </w:tcPr>
          <w:p>
            <w:pPr>
              <w:ind w:firstLine="0" w:firstLineChars="0"/>
              <w:jc w:val="left"/>
              <w:rPr>
                <w:sz w:val="24"/>
                <w:szCs w:val="24"/>
              </w:rPr>
            </w:pPr>
            <w:r>
              <w:rPr>
                <w:rFonts w:hint="eastAsia"/>
                <w:sz w:val="24"/>
                <w:szCs w:val="24"/>
              </w:rPr>
              <w:t>1.进行土方改良，对植物空间进行梳理，疏通主要透景视线。应用新优植物品种，增加鸢尾等水生植物，提升绿化景观；2.对现有基础设施、铺装等进行提升、改造；3.新建管理用房165平方米、服务用房160平方米；新建月老亭6平方米；新建科普廊等文化景观，对现有建筑进行修缮。</w:t>
            </w:r>
          </w:p>
        </w:tc>
        <w:tc>
          <w:tcPr>
            <w:tcW w:w="1237" w:type="dxa"/>
            <w:vAlign w:val="center"/>
          </w:tcPr>
          <w:p>
            <w:pPr>
              <w:ind w:firstLine="0" w:firstLineChars="0"/>
              <w:jc w:val="center"/>
              <w:rPr>
                <w:sz w:val="24"/>
                <w:szCs w:val="24"/>
              </w:rPr>
            </w:pPr>
            <w:r>
              <w:rPr>
                <w:rFonts w:hint="eastAsia"/>
                <w:sz w:val="24"/>
                <w:szCs w:val="24"/>
              </w:rPr>
              <w:t>46.8</w:t>
            </w:r>
          </w:p>
        </w:tc>
        <w:tc>
          <w:tcPr>
            <w:tcW w:w="1050" w:type="dxa"/>
            <w:vAlign w:val="center"/>
          </w:tcPr>
          <w:p>
            <w:pPr>
              <w:ind w:firstLine="0" w:firstLineChars="0"/>
              <w:jc w:val="center"/>
              <w:rPr>
                <w:sz w:val="24"/>
                <w:szCs w:val="24"/>
              </w:rPr>
            </w:pPr>
            <w:r>
              <w:rPr>
                <w:rFonts w:hint="eastAsia"/>
                <w:sz w:val="24"/>
                <w:szCs w:val="24"/>
              </w:rPr>
              <w:t>2022年</w:t>
            </w:r>
          </w:p>
        </w:tc>
        <w:tc>
          <w:tcPr>
            <w:tcW w:w="1625" w:type="dxa"/>
            <w:vAlign w:val="center"/>
          </w:tcPr>
          <w:p>
            <w:pPr>
              <w:ind w:firstLine="0" w:firstLineChars="0"/>
              <w:jc w:val="center"/>
              <w:rPr>
                <w:sz w:val="24"/>
                <w:szCs w:val="24"/>
              </w:rPr>
            </w:pPr>
            <w:r>
              <w:rPr>
                <w:rFonts w:hint="eastAsia"/>
                <w:sz w:val="24"/>
                <w:szCs w:val="24"/>
              </w:rPr>
              <w:t>风景园林局、凤凰山管理处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pPr>
              <w:pStyle w:val="11"/>
              <w:numPr>
                <w:ilvl w:val="0"/>
                <w:numId w:val="1"/>
              </w:numPr>
              <w:spacing w:after="0"/>
              <w:ind w:leftChars="0" w:firstLineChars="0"/>
              <w:jc w:val="center"/>
              <w:rPr>
                <w:rFonts w:eastAsia="仿宋_GB2312"/>
                <w:sz w:val="24"/>
                <w:szCs w:val="24"/>
              </w:rPr>
            </w:pPr>
          </w:p>
        </w:tc>
        <w:tc>
          <w:tcPr>
            <w:tcW w:w="1265" w:type="dxa"/>
            <w:vMerge w:val="continue"/>
            <w:vAlign w:val="center"/>
          </w:tcPr>
          <w:p>
            <w:pPr>
              <w:pStyle w:val="11"/>
              <w:spacing w:after="0"/>
              <w:ind w:left="0" w:leftChars="0" w:firstLine="0" w:firstLineChars="0"/>
              <w:jc w:val="center"/>
              <w:rPr>
                <w:rFonts w:eastAsia="仿宋_GB2312"/>
                <w:sz w:val="24"/>
                <w:szCs w:val="24"/>
              </w:rPr>
            </w:pPr>
          </w:p>
        </w:tc>
        <w:tc>
          <w:tcPr>
            <w:tcW w:w="2075" w:type="dxa"/>
            <w:vAlign w:val="center"/>
          </w:tcPr>
          <w:p>
            <w:pPr>
              <w:ind w:firstLine="0" w:firstLineChars="0"/>
              <w:jc w:val="left"/>
              <w:rPr>
                <w:sz w:val="24"/>
                <w:szCs w:val="24"/>
              </w:rPr>
            </w:pPr>
            <w:r>
              <w:rPr>
                <w:rFonts w:hint="eastAsia"/>
                <w:sz w:val="24"/>
                <w:szCs w:val="24"/>
              </w:rPr>
              <w:t>双西绿道项目</w:t>
            </w:r>
          </w:p>
        </w:tc>
        <w:tc>
          <w:tcPr>
            <w:tcW w:w="6325" w:type="dxa"/>
            <w:vAlign w:val="center"/>
          </w:tcPr>
          <w:p>
            <w:pPr>
              <w:ind w:firstLine="0" w:firstLineChars="0"/>
              <w:jc w:val="left"/>
              <w:rPr>
                <w:sz w:val="24"/>
                <w:szCs w:val="24"/>
              </w:rPr>
            </w:pPr>
            <w:r>
              <w:rPr>
                <w:rFonts w:hint="eastAsia"/>
                <w:sz w:val="24"/>
                <w:szCs w:val="24"/>
              </w:rPr>
              <w:t>主要包括景观栈桥、观景台、铺装等及景观绿化提升，科普设施以及城市家具等基础设施改造，绿道全长约5.6公里。</w:t>
            </w:r>
          </w:p>
        </w:tc>
        <w:tc>
          <w:tcPr>
            <w:tcW w:w="1237" w:type="dxa"/>
            <w:vAlign w:val="center"/>
          </w:tcPr>
          <w:p>
            <w:pPr>
              <w:ind w:firstLine="0" w:firstLineChars="0"/>
              <w:jc w:val="center"/>
              <w:rPr>
                <w:sz w:val="24"/>
                <w:szCs w:val="24"/>
              </w:rPr>
            </w:pPr>
            <w:r>
              <w:rPr>
                <w:rFonts w:hint="eastAsia"/>
                <w:sz w:val="24"/>
                <w:szCs w:val="24"/>
              </w:rPr>
              <w:t>6500</w:t>
            </w:r>
          </w:p>
        </w:tc>
        <w:tc>
          <w:tcPr>
            <w:tcW w:w="1050" w:type="dxa"/>
            <w:vAlign w:val="center"/>
          </w:tcPr>
          <w:p>
            <w:pPr>
              <w:ind w:firstLine="0" w:firstLineChars="0"/>
              <w:jc w:val="center"/>
              <w:rPr>
                <w:sz w:val="24"/>
                <w:szCs w:val="24"/>
              </w:rPr>
            </w:pPr>
            <w:r>
              <w:rPr>
                <w:rFonts w:hint="eastAsia"/>
                <w:sz w:val="24"/>
                <w:szCs w:val="24"/>
              </w:rPr>
              <w:t>2025年</w:t>
            </w:r>
          </w:p>
        </w:tc>
        <w:tc>
          <w:tcPr>
            <w:tcW w:w="1625" w:type="dxa"/>
            <w:vAlign w:val="center"/>
          </w:tcPr>
          <w:p>
            <w:pPr>
              <w:ind w:firstLine="0" w:firstLineChars="0"/>
              <w:jc w:val="center"/>
              <w:rPr>
                <w:sz w:val="24"/>
                <w:szCs w:val="24"/>
              </w:rPr>
            </w:pPr>
            <w:r>
              <w:rPr>
                <w:rFonts w:hint="eastAsia"/>
                <w:sz w:val="24"/>
                <w:szCs w:val="24"/>
              </w:rPr>
              <w:t>名胜区建设管理中心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pPr>
              <w:pStyle w:val="11"/>
              <w:numPr>
                <w:ilvl w:val="0"/>
                <w:numId w:val="1"/>
              </w:numPr>
              <w:spacing w:after="0"/>
              <w:ind w:leftChars="0" w:firstLineChars="0"/>
              <w:jc w:val="center"/>
              <w:rPr>
                <w:rFonts w:eastAsia="仿宋_GB2312"/>
                <w:sz w:val="24"/>
                <w:szCs w:val="24"/>
              </w:rPr>
            </w:pPr>
          </w:p>
        </w:tc>
        <w:tc>
          <w:tcPr>
            <w:tcW w:w="1265" w:type="dxa"/>
            <w:vMerge w:val="continue"/>
            <w:vAlign w:val="center"/>
          </w:tcPr>
          <w:p>
            <w:pPr>
              <w:pStyle w:val="11"/>
              <w:spacing w:after="0"/>
              <w:ind w:left="0" w:leftChars="0" w:firstLine="0" w:firstLineChars="0"/>
              <w:jc w:val="center"/>
              <w:rPr>
                <w:rFonts w:eastAsia="仿宋_GB2312"/>
                <w:sz w:val="24"/>
                <w:szCs w:val="24"/>
              </w:rPr>
            </w:pPr>
          </w:p>
        </w:tc>
        <w:tc>
          <w:tcPr>
            <w:tcW w:w="2075" w:type="dxa"/>
            <w:vAlign w:val="center"/>
          </w:tcPr>
          <w:p>
            <w:pPr>
              <w:ind w:firstLine="0" w:firstLineChars="0"/>
              <w:jc w:val="left"/>
              <w:rPr>
                <w:sz w:val="24"/>
                <w:szCs w:val="24"/>
              </w:rPr>
            </w:pPr>
            <w:r>
              <w:rPr>
                <w:rFonts w:hint="eastAsia"/>
                <w:sz w:val="24"/>
                <w:szCs w:val="24"/>
              </w:rPr>
              <w:t>西湖沿湖区域设施及环境提升工程</w:t>
            </w:r>
          </w:p>
        </w:tc>
        <w:tc>
          <w:tcPr>
            <w:tcW w:w="6325" w:type="dxa"/>
            <w:vAlign w:val="center"/>
          </w:tcPr>
          <w:p>
            <w:pPr>
              <w:ind w:firstLine="0" w:firstLineChars="0"/>
              <w:jc w:val="left"/>
              <w:rPr>
                <w:sz w:val="24"/>
                <w:szCs w:val="24"/>
              </w:rPr>
            </w:pPr>
            <w:r>
              <w:rPr>
                <w:rFonts w:hint="eastAsia"/>
                <w:sz w:val="24"/>
                <w:szCs w:val="24"/>
              </w:rPr>
              <w:t>小瀛洲五处码头及钱王祠、五公园等五处手划船码头的环境提升改造；花港公园、湖西航道、少年宫广场、太子湾公园、岳湖景区、湖滨一公园至圣塘、湖中三岛等沿湖公园景点的基础设施、景观绿化、标识标牌的提升改造，沿线重要节点美化彩化布置等。</w:t>
            </w:r>
          </w:p>
        </w:tc>
        <w:tc>
          <w:tcPr>
            <w:tcW w:w="1237" w:type="dxa"/>
            <w:vAlign w:val="center"/>
          </w:tcPr>
          <w:p>
            <w:pPr>
              <w:ind w:firstLine="0" w:firstLineChars="0"/>
              <w:jc w:val="center"/>
              <w:rPr>
                <w:sz w:val="24"/>
                <w:szCs w:val="24"/>
              </w:rPr>
            </w:pPr>
            <w:r>
              <w:rPr>
                <w:rFonts w:hint="eastAsia"/>
                <w:sz w:val="24"/>
                <w:szCs w:val="24"/>
              </w:rPr>
              <w:t>3645</w:t>
            </w:r>
          </w:p>
        </w:tc>
        <w:tc>
          <w:tcPr>
            <w:tcW w:w="1050" w:type="dxa"/>
            <w:vAlign w:val="center"/>
          </w:tcPr>
          <w:p>
            <w:pPr>
              <w:ind w:firstLine="0" w:firstLineChars="0"/>
              <w:jc w:val="center"/>
              <w:rPr>
                <w:sz w:val="24"/>
                <w:szCs w:val="24"/>
              </w:rPr>
            </w:pPr>
            <w:r>
              <w:rPr>
                <w:rFonts w:hint="eastAsia"/>
                <w:sz w:val="24"/>
                <w:szCs w:val="24"/>
              </w:rPr>
              <w:t>2025年</w:t>
            </w:r>
          </w:p>
        </w:tc>
        <w:tc>
          <w:tcPr>
            <w:tcW w:w="1625" w:type="dxa"/>
            <w:vAlign w:val="center"/>
          </w:tcPr>
          <w:p>
            <w:pPr>
              <w:ind w:firstLine="0" w:firstLineChars="0"/>
              <w:jc w:val="center"/>
              <w:rPr>
                <w:sz w:val="24"/>
                <w:szCs w:val="24"/>
              </w:rPr>
            </w:pPr>
            <w:r>
              <w:rPr>
                <w:rFonts w:hint="eastAsia"/>
                <w:sz w:val="24"/>
                <w:szCs w:val="24"/>
              </w:rPr>
              <w:t>名胜区建设管理中心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pPr>
              <w:pStyle w:val="11"/>
              <w:numPr>
                <w:ilvl w:val="0"/>
                <w:numId w:val="1"/>
              </w:numPr>
              <w:spacing w:after="0"/>
              <w:ind w:leftChars="0" w:firstLineChars="0"/>
              <w:jc w:val="center"/>
              <w:rPr>
                <w:rFonts w:eastAsia="仿宋_GB2312"/>
                <w:sz w:val="24"/>
                <w:szCs w:val="24"/>
              </w:rPr>
            </w:pPr>
          </w:p>
        </w:tc>
        <w:tc>
          <w:tcPr>
            <w:tcW w:w="1265" w:type="dxa"/>
            <w:vMerge w:val="continue"/>
            <w:vAlign w:val="center"/>
          </w:tcPr>
          <w:p>
            <w:pPr>
              <w:pStyle w:val="11"/>
              <w:spacing w:after="0"/>
              <w:ind w:left="0" w:leftChars="0" w:firstLine="0" w:firstLineChars="0"/>
              <w:jc w:val="center"/>
              <w:rPr>
                <w:rFonts w:eastAsia="仿宋_GB2312"/>
                <w:sz w:val="24"/>
                <w:szCs w:val="24"/>
              </w:rPr>
            </w:pPr>
          </w:p>
        </w:tc>
        <w:tc>
          <w:tcPr>
            <w:tcW w:w="2075" w:type="dxa"/>
            <w:vAlign w:val="center"/>
          </w:tcPr>
          <w:p>
            <w:pPr>
              <w:widowControl/>
              <w:ind w:firstLine="0" w:firstLineChars="0"/>
              <w:jc w:val="left"/>
              <w:rPr>
                <w:sz w:val="24"/>
                <w:szCs w:val="24"/>
              </w:rPr>
            </w:pPr>
            <w:r>
              <w:rPr>
                <w:rFonts w:hint="eastAsia"/>
                <w:sz w:val="24"/>
                <w:szCs w:val="24"/>
              </w:rPr>
              <w:t>西湖景区道路两侧美化彩化工程</w:t>
            </w:r>
          </w:p>
        </w:tc>
        <w:tc>
          <w:tcPr>
            <w:tcW w:w="6325" w:type="dxa"/>
            <w:vAlign w:val="center"/>
          </w:tcPr>
          <w:p>
            <w:pPr>
              <w:widowControl/>
              <w:ind w:firstLine="0" w:firstLineChars="0"/>
              <w:jc w:val="left"/>
              <w:rPr>
                <w:sz w:val="24"/>
                <w:szCs w:val="24"/>
              </w:rPr>
            </w:pPr>
            <w:r>
              <w:rPr>
                <w:rFonts w:hint="eastAsia"/>
                <w:sz w:val="24"/>
                <w:szCs w:val="24"/>
              </w:rPr>
              <w:t>西湖景区道路分车带绿化改造、道路两侧绿带植被整理、树穴改造、节点花境设置、沿路建筑立面改造、铺装亭廊等基础设施改造、喷灌等基础设施改造等，涉及面积约83.35公顷。</w:t>
            </w:r>
          </w:p>
        </w:tc>
        <w:tc>
          <w:tcPr>
            <w:tcW w:w="1237" w:type="dxa"/>
            <w:vAlign w:val="center"/>
          </w:tcPr>
          <w:p>
            <w:pPr>
              <w:ind w:firstLine="0" w:firstLineChars="0"/>
              <w:jc w:val="center"/>
              <w:rPr>
                <w:sz w:val="24"/>
                <w:szCs w:val="24"/>
              </w:rPr>
            </w:pPr>
            <w:r>
              <w:rPr>
                <w:rFonts w:hint="eastAsia"/>
                <w:sz w:val="24"/>
                <w:szCs w:val="24"/>
              </w:rPr>
              <w:t>2997</w:t>
            </w:r>
          </w:p>
        </w:tc>
        <w:tc>
          <w:tcPr>
            <w:tcW w:w="1050" w:type="dxa"/>
            <w:vAlign w:val="center"/>
          </w:tcPr>
          <w:p>
            <w:pPr>
              <w:ind w:firstLine="0" w:firstLineChars="0"/>
              <w:jc w:val="center"/>
              <w:rPr>
                <w:sz w:val="24"/>
                <w:szCs w:val="24"/>
              </w:rPr>
            </w:pPr>
            <w:r>
              <w:rPr>
                <w:rFonts w:hint="eastAsia"/>
                <w:sz w:val="24"/>
                <w:szCs w:val="24"/>
              </w:rPr>
              <w:t>2025年</w:t>
            </w:r>
          </w:p>
        </w:tc>
        <w:tc>
          <w:tcPr>
            <w:tcW w:w="1625" w:type="dxa"/>
            <w:vAlign w:val="center"/>
          </w:tcPr>
          <w:p>
            <w:pPr>
              <w:ind w:firstLine="0" w:firstLineChars="0"/>
              <w:jc w:val="center"/>
              <w:rPr>
                <w:sz w:val="24"/>
                <w:szCs w:val="24"/>
              </w:rPr>
            </w:pPr>
            <w:r>
              <w:rPr>
                <w:rFonts w:hint="eastAsia"/>
                <w:sz w:val="24"/>
                <w:szCs w:val="24"/>
              </w:rPr>
              <w:t>花港管理处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pPr>
              <w:pStyle w:val="11"/>
              <w:numPr>
                <w:ilvl w:val="0"/>
                <w:numId w:val="1"/>
              </w:numPr>
              <w:spacing w:after="0"/>
              <w:ind w:leftChars="0" w:firstLineChars="0"/>
              <w:jc w:val="center"/>
              <w:rPr>
                <w:rFonts w:eastAsia="仿宋_GB2312"/>
                <w:sz w:val="24"/>
                <w:szCs w:val="24"/>
              </w:rPr>
            </w:pPr>
          </w:p>
        </w:tc>
        <w:tc>
          <w:tcPr>
            <w:tcW w:w="1265" w:type="dxa"/>
            <w:vMerge w:val="restart"/>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水环境保护</w:t>
            </w:r>
          </w:p>
        </w:tc>
        <w:tc>
          <w:tcPr>
            <w:tcW w:w="2075" w:type="dxa"/>
            <w:vAlign w:val="center"/>
          </w:tcPr>
          <w:p>
            <w:pPr>
              <w:pStyle w:val="11"/>
              <w:spacing w:after="0"/>
              <w:ind w:left="0" w:leftChars="0" w:firstLine="0" w:firstLineChars="0"/>
              <w:jc w:val="left"/>
              <w:rPr>
                <w:rFonts w:eastAsia="仿宋_GB2312"/>
                <w:sz w:val="24"/>
                <w:szCs w:val="24"/>
              </w:rPr>
            </w:pPr>
            <w:r>
              <w:rPr>
                <w:rFonts w:eastAsia="仿宋_GB2312"/>
                <w:sz w:val="24"/>
                <w:szCs w:val="24"/>
              </w:rPr>
              <w:t>杭州市赤山埠水厂提升改造工程</w:t>
            </w:r>
          </w:p>
        </w:tc>
        <w:tc>
          <w:tcPr>
            <w:tcW w:w="6325" w:type="dxa"/>
            <w:vAlign w:val="center"/>
          </w:tcPr>
          <w:p>
            <w:pPr>
              <w:pStyle w:val="11"/>
              <w:spacing w:after="0"/>
              <w:ind w:left="0" w:leftChars="0" w:firstLine="0" w:firstLineChars="0"/>
              <w:jc w:val="left"/>
              <w:rPr>
                <w:rFonts w:eastAsia="仿宋_GB2312"/>
                <w:sz w:val="24"/>
                <w:szCs w:val="24"/>
              </w:rPr>
            </w:pPr>
            <w:r>
              <w:rPr>
                <w:rFonts w:eastAsia="仿宋_GB2312"/>
                <w:sz w:val="24"/>
                <w:szCs w:val="24"/>
              </w:rPr>
              <w:t>新建10万m</w:t>
            </w:r>
            <w:r>
              <w:rPr>
                <w:rFonts w:eastAsia="仿宋_GB2312"/>
                <w:sz w:val="24"/>
                <w:szCs w:val="24"/>
                <w:vertAlign w:val="superscript"/>
              </w:rPr>
              <w:t>3</w:t>
            </w:r>
            <w:r>
              <w:rPr>
                <w:rFonts w:eastAsia="仿宋_GB2312"/>
                <w:sz w:val="24"/>
                <w:szCs w:val="24"/>
              </w:rPr>
              <w:t>/日规模均质滤料滤池、15万m</w:t>
            </w:r>
            <w:r>
              <w:rPr>
                <w:rFonts w:eastAsia="仿宋_GB2312"/>
                <w:sz w:val="24"/>
                <w:szCs w:val="24"/>
                <w:vertAlign w:val="superscript"/>
              </w:rPr>
              <w:t>3</w:t>
            </w:r>
            <w:r>
              <w:rPr>
                <w:rFonts w:eastAsia="仿宋_GB2312"/>
                <w:sz w:val="24"/>
                <w:szCs w:val="24"/>
              </w:rPr>
              <w:t>/日深度处理设施、25万m</w:t>
            </w:r>
            <w:r>
              <w:rPr>
                <w:rFonts w:eastAsia="仿宋_GB2312"/>
                <w:sz w:val="24"/>
                <w:szCs w:val="24"/>
                <w:vertAlign w:val="superscript"/>
              </w:rPr>
              <w:t>3</w:t>
            </w:r>
            <w:r>
              <w:rPr>
                <w:rFonts w:eastAsia="仿宋_GB2312"/>
                <w:sz w:val="24"/>
                <w:szCs w:val="24"/>
              </w:rPr>
              <w:t>/日排泥水处理等设施设备</w:t>
            </w:r>
            <w:r>
              <w:rPr>
                <w:rFonts w:hint="eastAsia" w:eastAsia="仿宋_GB2312"/>
                <w:sz w:val="24"/>
                <w:szCs w:val="24"/>
              </w:rPr>
              <w:t>。</w:t>
            </w:r>
          </w:p>
        </w:tc>
        <w:tc>
          <w:tcPr>
            <w:tcW w:w="1237"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25000</w:t>
            </w:r>
          </w:p>
        </w:tc>
        <w:tc>
          <w:tcPr>
            <w:tcW w:w="1050"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2023年</w:t>
            </w:r>
          </w:p>
        </w:tc>
        <w:tc>
          <w:tcPr>
            <w:tcW w:w="1625" w:type="dxa"/>
            <w:vAlign w:val="center"/>
          </w:tcPr>
          <w:p>
            <w:pPr>
              <w:ind w:firstLine="0" w:firstLineChars="0"/>
              <w:jc w:val="center"/>
              <w:rPr>
                <w:sz w:val="24"/>
                <w:szCs w:val="24"/>
              </w:rPr>
            </w:pPr>
            <w:r>
              <w:rPr>
                <w:sz w:val="24"/>
                <w:szCs w:val="24"/>
              </w:rPr>
              <w:t>市城投集团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pPr>
              <w:pStyle w:val="11"/>
              <w:numPr>
                <w:ilvl w:val="0"/>
                <w:numId w:val="1"/>
              </w:numPr>
              <w:spacing w:after="0"/>
              <w:ind w:leftChars="0" w:firstLineChars="0"/>
              <w:jc w:val="center"/>
              <w:rPr>
                <w:rFonts w:eastAsia="仿宋_GB2312"/>
                <w:sz w:val="24"/>
                <w:szCs w:val="24"/>
              </w:rPr>
            </w:pPr>
          </w:p>
        </w:tc>
        <w:tc>
          <w:tcPr>
            <w:tcW w:w="1265" w:type="dxa"/>
            <w:vMerge w:val="continue"/>
            <w:vAlign w:val="center"/>
          </w:tcPr>
          <w:p>
            <w:pPr>
              <w:pStyle w:val="11"/>
              <w:spacing w:after="0"/>
              <w:ind w:left="0" w:leftChars="0" w:firstLine="0" w:firstLineChars="0"/>
              <w:jc w:val="center"/>
              <w:rPr>
                <w:rFonts w:eastAsia="仿宋_GB2312"/>
                <w:sz w:val="24"/>
                <w:szCs w:val="24"/>
              </w:rPr>
            </w:pPr>
          </w:p>
        </w:tc>
        <w:tc>
          <w:tcPr>
            <w:tcW w:w="2075" w:type="dxa"/>
            <w:vAlign w:val="center"/>
          </w:tcPr>
          <w:p>
            <w:pPr>
              <w:pStyle w:val="11"/>
              <w:spacing w:after="0"/>
              <w:ind w:left="0" w:leftChars="0" w:firstLine="0" w:firstLineChars="0"/>
              <w:jc w:val="left"/>
              <w:rPr>
                <w:rFonts w:eastAsia="仿宋_GB2312"/>
                <w:sz w:val="24"/>
                <w:szCs w:val="24"/>
              </w:rPr>
            </w:pPr>
            <w:r>
              <w:rPr>
                <w:rFonts w:eastAsia="仿宋_GB2312"/>
                <w:sz w:val="24"/>
                <w:szCs w:val="24"/>
              </w:rPr>
              <w:t>西湖规模化高效降氮示范工程</w:t>
            </w:r>
          </w:p>
        </w:tc>
        <w:tc>
          <w:tcPr>
            <w:tcW w:w="6325" w:type="dxa"/>
            <w:vAlign w:val="center"/>
          </w:tcPr>
          <w:p>
            <w:pPr>
              <w:pStyle w:val="11"/>
              <w:spacing w:after="0"/>
              <w:ind w:left="0" w:leftChars="0" w:firstLine="0" w:firstLineChars="0"/>
              <w:jc w:val="left"/>
              <w:rPr>
                <w:rFonts w:eastAsia="仿宋_GB2312"/>
                <w:sz w:val="24"/>
                <w:szCs w:val="24"/>
              </w:rPr>
            </w:pPr>
            <w:r>
              <w:rPr>
                <w:rFonts w:eastAsia="仿宋_GB2312"/>
                <w:sz w:val="24"/>
                <w:szCs w:val="24"/>
              </w:rPr>
              <w:t>建设综合降氮池1座及配套的厂区道路及管线设施建设，总建筑面积4355平方米，最大日处理量5万立方米/日。包括综合降氮池1座及配套的厂区道路及管线设施建设，其中地上建筑面积2887平方米，地下建筑面积1468平方米。</w:t>
            </w:r>
          </w:p>
        </w:tc>
        <w:tc>
          <w:tcPr>
            <w:tcW w:w="1237"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7340</w:t>
            </w:r>
          </w:p>
        </w:tc>
        <w:tc>
          <w:tcPr>
            <w:tcW w:w="1050"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2022年</w:t>
            </w:r>
          </w:p>
        </w:tc>
        <w:tc>
          <w:tcPr>
            <w:tcW w:w="1625" w:type="dxa"/>
            <w:vAlign w:val="center"/>
          </w:tcPr>
          <w:p>
            <w:pPr>
              <w:pStyle w:val="11"/>
              <w:spacing w:after="0"/>
              <w:ind w:left="0" w:leftChars="0" w:firstLine="0" w:firstLineChars="0"/>
              <w:jc w:val="center"/>
              <w:rPr>
                <w:rFonts w:eastAsia="仿宋_GB2312"/>
                <w:sz w:val="24"/>
                <w:szCs w:val="24"/>
              </w:rPr>
            </w:pPr>
            <w:r>
              <w:rPr>
                <w:rFonts w:eastAsia="仿宋_GB2312"/>
                <w:sz w:val="24"/>
                <w:szCs w:val="24"/>
              </w:rPr>
              <w:t>水域管理处、区城管局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pPr>
              <w:pStyle w:val="11"/>
              <w:numPr>
                <w:ilvl w:val="0"/>
                <w:numId w:val="1"/>
              </w:numPr>
              <w:spacing w:after="0"/>
              <w:ind w:leftChars="0" w:firstLineChars="0"/>
              <w:jc w:val="center"/>
              <w:rPr>
                <w:rFonts w:eastAsia="仿宋_GB2312"/>
                <w:sz w:val="24"/>
                <w:szCs w:val="24"/>
              </w:rPr>
            </w:pPr>
          </w:p>
        </w:tc>
        <w:tc>
          <w:tcPr>
            <w:tcW w:w="1265" w:type="dxa"/>
            <w:vMerge w:val="continue"/>
            <w:vAlign w:val="center"/>
          </w:tcPr>
          <w:p>
            <w:pPr>
              <w:pStyle w:val="11"/>
              <w:spacing w:after="0"/>
              <w:ind w:left="0" w:leftChars="0" w:firstLine="0" w:firstLineChars="0"/>
              <w:jc w:val="center"/>
              <w:rPr>
                <w:rFonts w:eastAsia="仿宋_GB2312"/>
                <w:sz w:val="24"/>
                <w:szCs w:val="24"/>
              </w:rPr>
            </w:pPr>
          </w:p>
        </w:tc>
        <w:tc>
          <w:tcPr>
            <w:tcW w:w="2075" w:type="dxa"/>
            <w:vAlign w:val="center"/>
          </w:tcPr>
          <w:p>
            <w:pPr>
              <w:ind w:firstLine="0" w:firstLineChars="0"/>
              <w:jc w:val="left"/>
              <w:rPr>
                <w:sz w:val="24"/>
                <w:szCs w:val="24"/>
              </w:rPr>
            </w:pPr>
            <w:r>
              <w:rPr>
                <w:rFonts w:hint="eastAsia"/>
                <w:sz w:val="24"/>
                <w:szCs w:val="24"/>
              </w:rPr>
              <w:t>2020灵隐、曲院等区域雨污分流提升工程</w:t>
            </w:r>
          </w:p>
        </w:tc>
        <w:tc>
          <w:tcPr>
            <w:tcW w:w="6325" w:type="dxa"/>
            <w:vAlign w:val="center"/>
          </w:tcPr>
          <w:p>
            <w:pPr>
              <w:ind w:firstLine="0" w:firstLineChars="0"/>
              <w:jc w:val="left"/>
              <w:rPr>
                <w:sz w:val="24"/>
                <w:szCs w:val="24"/>
              </w:rPr>
            </w:pPr>
            <w:r>
              <w:rPr>
                <w:rFonts w:hint="eastAsia"/>
                <w:sz w:val="24"/>
                <w:szCs w:val="24"/>
              </w:rPr>
              <w:t>完成灵隐、曲院等区域雨污分流提升工程。</w:t>
            </w:r>
          </w:p>
        </w:tc>
        <w:tc>
          <w:tcPr>
            <w:tcW w:w="1237" w:type="dxa"/>
            <w:vAlign w:val="center"/>
          </w:tcPr>
          <w:p>
            <w:pPr>
              <w:ind w:firstLine="0" w:firstLineChars="0"/>
              <w:jc w:val="center"/>
              <w:rPr>
                <w:sz w:val="24"/>
                <w:szCs w:val="24"/>
              </w:rPr>
            </w:pPr>
            <w:r>
              <w:rPr>
                <w:rFonts w:hint="eastAsia"/>
                <w:sz w:val="24"/>
                <w:szCs w:val="24"/>
              </w:rPr>
              <w:t>98.92</w:t>
            </w:r>
          </w:p>
        </w:tc>
        <w:tc>
          <w:tcPr>
            <w:tcW w:w="1050" w:type="dxa"/>
            <w:vAlign w:val="center"/>
          </w:tcPr>
          <w:p>
            <w:pPr>
              <w:ind w:firstLine="0" w:firstLineChars="0"/>
              <w:jc w:val="center"/>
              <w:rPr>
                <w:sz w:val="24"/>
                <w:szCs w:val="24"/>
              </w:rPr>
            </w:pPr>
            <w:r>
              <w:rPr>
                <w:rFonts w:hint="eastAsia"/>
                <w:sz w:val="24"/>
                <w:szCs w:val="24"/>
              </w:rPr>
              <w:t>2021年</w:t>
            </w:r>
          </w:p>
        </w:tc>
        <w:tc>
          <w:tcPr>
            <w:tcW w:w="1625" w:type="dxa"/>
            <w:vAlign w:val="center"/>
          </w:tcPr>
          <w:p>
            <w:pPr>
              <w:ind w:firstLine="0" w:firstLineChars="0"/>
              <w:jc w:val="left"/>
              <w:rPr>
                <w:sz w:val="24"/>
                <w:szCs w:val="24"/>
              </w:rPr>
            </w:pPr>
            <w:r>
              <w:rPr>
                <w:rFonts w:hint="eastAsia"/>
                <w:sz w:val="24"/>
                <w:szCs w:val="24"/>
              </w:rPr>
              <w:t>花港管理处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pPr>
              <w:pStyle w:val="11"/>
              <w:numPr>
                <w:ilvl w:val="0"/>
                <w:numId w:val="1"/>
              </w:numPr>
              <w:spacing w:after="0"/>
              <w:ind w:leftChars="0" w:firstLineChars="0"/>
              <w:jc w:val="center"/>
              <w:rPr>
                <w:rFonts w:eastAsia="仿宋_GB2312"/>
                <w:sz w:val="24"/>
                <w:szCs w:val="24"/>
              </w:rPr>
            </w:pPr>
          </w:p>
        </w:tc>
        <w:tc>
          <w:tcPr>
            <w:tcW w:w="1265" w:type="dxa"/>
            <w:vMerge w:val="continue"/>
            <w:vAlign w:val="center"/>
          </w:tcPr>
          <w:p>
            <w:pPr>
              <w:pStyle w:val="11"/>
              <w:spacing w:after="0"/>
              <w:ind w:left="0" w:leftChars="0" w:firstLine="0" w:firstLineChars="0"/>
              <w:jc w:val="center"/>
              <w:rPr>
                <w:rFonts w:eastAsia="仿宋_GB2312"/>
                <w:sz w:val="24"/>
                <w:szCs w:val="24"/>
              </w:rPr>
            </w:pPr>
          </w:p>
        </w:tc>
        <w:tc>
          <w:tcPr>
            <w:tcW w:w="2075" w:type="dxa"/>
            <w:vAlign w:val="center"/>
          </w:tcPr>
          <w:p>
            <w:pPr>
              <w:ind w:firstLine="0" w:firstLineChars="0"/>
              <w:jc w:val="left"/>
              <w:rPr>
                <w:sz w:val="24"/>
                <w:szCs w:val="24"/>
              </w:rPr>
            </w:pPr>
            <w:r>
              <w:rPr>
                <w:rFonts w:hint="eastAsia"/>
                <w:sz w:val="24"/>
                <w:szCs w:val="24"/>
              </w:rPr>
              <w:t>梅家坞庙坞里区块综合提升工程-截污纳管工程</w:t>
            </w:r>
          </w:p>
        </w:tc>
        <w:tc>
          <w:tcPr>
            <w:tcW w:w="6325" w:type="dxa"/>
            <w:vAlign w:val="center"/>
          </w:tcPr>
          <w:p>
            <w:pPr>
              <w:ind w:firstLine="0" w:firstLineChars="0"/>
              <w:jc w:val="left"/>
              <w:rPr>
                <w:sz w:val="24"/>
                <w:szCs w:val="24"/>
              </w:rPr>
            </w:pPr>
            <w:r>
              <w:rPr>
                <w:rFonts w:hint="eastAsia"/>
                <w:sz w:val="24"/>
                <w:szCs w:val="24"/>
              </w:rPr>
              <w:t>优化市政管网、隔油池及化粪池的设置线路和点位。</w:t>
            </w:r>
          </w:p>
        </w:tc>
        <w:tc>
          <w:tcPr>
            <w:tcW w:w="1237" w:type="dxa"/>
            <w:vAlign w:val="center"/>
          </w:tcPr>
          <w:p>
            <w:pPr>
              <w:ind w:firstLine="0" w:firstLineChars="0"/>
              <w:jc w:val="center"/>
              <w:rPr>
                <w:sz w:val="24"/>
                <w:szCs w:val="24"/>
              </w:rPr>
            </w:pPr>
            <w:r>
              <w:rPr>
                <w:rFonts w:hint="eastAsia"/>
                <w:sz w:val="24"/>
                <w:szCs w:val="24"/>
              </w:rPr>
              <w:t>400</w:t>
            </w:r>
          </w:p>
        </w:tc>
        <w:tc>
          <w:tcPr>
            <w:tcW w:w="1050" w:type="dxa"/>
            <w:vAlign w:val="center"/>
          </w:tcPr>
          <w:p>
            <w:pPr>
              <w:ind w:firstLine="0" w:firstLineChars="0"/>
              <w:jc w:val="center"/>
              <w:rPr>
                <w:sz w:val="24"/>
                <w:szCs w:val="24"/>
              </w:rPr>
            </w:pPr>
            <w:r>
              <w:rPr>
                <w:rFonts w:hint="eastAsia"/>
                <w:sz w:val="24"/>
                <w:szCs w:val="24"/>
              </w:rPr>
              <w:t>2023年</w:t>
            </w:r>
          </w:p>
        </w:tc>
        <w:tc>
          <w:tcPr>
            <w:tcW w:w="1625" w:type="dxa"/>
            <w:vAlign w:val="center"/>
          </w:tcPr>
          <w:p>
            <w:pPr>
              <w:ind w:firstLine="0" w:firstLineChars="0"/>
              <w:jc w:val="left"/>
              <w:rPr>
                <w:sz w:val="24"/>
                <w:szCs w:val="24"/>
              </w:rPr>
            </w:pPr>
            <w:r>
              <w:rPr>
                <w:rFonts w:hint="eastAsia"/>
                <w:sz w:val="24"/>
                <w:szCs w:val="24"/>
              </w:rPr>
              <w:t>西湖街道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pPr>
              <w:pStyle w:val="11"/>
              <w:numPr>
                <w:ilvl w:val="0"/>
                <w:numId w:val="1"/>
              </w:numPr>
              <w:spacing w:after="0"/>
              <w:ind w:leftChars="0" w:firstLineChars="0"/>
              <w:jc w:val="center"/>
              <w:rPr>
                <w:rFonts w:eastAsia="仿宋_GB2312"/>
                <w:sz w:val="24"/>
                <w:szCs w:val="24"/>
              </w:rPr>
            </w:pPr>
          </w:p>
        </w:tc>
        <w:tc>
          <w:tcPr>
            <w:tcW w:w="1265" w:type="dxa"/>
            <w:vMerge w:val="continue"/>
            <w:vAlign w:val="center"/>
          </w:tcPr>
          <w:p>
            <w:pPr>
              <w:pStyle w:val="11"/>
              <w:spacing w:after="0"/>
              <w:ind w:left="0" w:leftChars="0" w:firstLine="0" w:firstLineChars="0"/>
              <w:jc w:val="center"/>
              <w:rPr>
                <w:rFonts w:eastAsia="仿宋_GB2312"/>
                <w:sz w:val="24"/>
                <w:szCs w:val="24"/>
              </w:rPr>
            </w:pPr>
          </w:p>
        </w:tc>
        <w:tc>
          <w:tcPr>
            <w:tcW w:w="2075" w:type="dxa"/>
            <w:vAlign w:val="center"/>
          </w:tcPr>
          <w:p>
            <w:pPr>
              <w:ind w:firstLine="0" w:firstLineChars="0"/>
              <w:jc w:val="left"/>
              <w:rPr>
                <w:sz w:val="24"/>
                <w:szCs w:val="24"/>
              </w:rPr>
            </w:pPr>
            <w:r>
              <w:rPr>
                <w:rFonts w:hint="eastAsia"/>
                <w:sz w:val="24"/>
                <w:szCs w:val="24"/>
              </w:rPr>
              <w:t>花港区块排水管网提升工程</w:t>
            </w:r>
          </w:p>
        </w:tc>
        <w:tc>
          <w:tcPr>
            <w:tcW w:w="6325" w:type="dxa"/>
            <w:vAlign w:val="center"/>
          </w:tcPr>
          <w:p>
            <w:pPr>
              <w:ind w:firstLine="0" w:firstLineChars="0"/>
              <w:jc w:val="left"/>
              <w:rPr>
                <w:sz w:val="24"/>
                <w:szCs w:val="24"/>
              </w:rPr>
            </w:pPr>
            <w:r>
              <w:rPr>
                <w:rFonts w:hint="eastAsia"/>
                <w:sz w:val="24"/>
                <w:szCs w:val="24"/>
              </w:rPr>
              <w:t>完成主要包括丁家山景区、于谦祠、高丽寺、紫萱度假村、湖畔大学、黄篾楼、味庄以及藏山阁亭等区块排水管网提升。</w:t>
            </w:r>
          </w:p>
        </w:tc>
        <w:tc>
          <w:tcPr>
            <w:tcW w:w="1237" w:type="dxa"/>
            <w:vAlign w:val="center"/>
          </w:tcPr>
          <w:p>
            <w:pPr>
              <w:ind w:firstLine="0" w:firstLineChars="0"/>
              <w:jc w:val="center"/>
              <w:rPr>
                <w:sz w:val="24"/>
                <w:szCs w:val="24"/>
              </w:rPr>
            </w:pPr>
            <w:r>
              <w:rPr>
                <w:rFonts w:hint="eastAsia"/>
                <w:sz w:val="24"/>
                <w:szCs w:val="24"/>
              </w:rPr>
              <w:t>187.46</w:t>
            </w:r>
          </w:p>
        </w:tc>
        <w:tc>
          <w:tcPr>
            <w:tcW w:w="1050" w:type="dxa"/>
            <w:vAlign w:val="center"/>
          </w:tcPr>
          <w:p>
            <w:pPr>
              <w:ind w:firstLine="0" w:firstLineChars="0"/>
              <w:jc w:val="center"/>
              <w:rPr>
                <w:sz w:val="24"/>
                <w:szCs w:val="24"/>
              </w:rPr>
            </w:pPr>
            <w:r>
              <w:rPr>
                <w:sz w:val="24"/>
                <w:szCs w:val="24"/>
              </w:rPr>
              <w:t>2021</w:t>
            </w:r>
            <w:r>
              <w:rPr>
                <w:rFonts w:hint="eastAsia"/>
                <w:sz w:val="24"/>
                <w:szCs w:val="24"/>
              </w:rPr>
              <w:t>年</w:t>
            </w:r>
          </w:p>
        </w:tc>
        <w:tc>
          <w:tcPr>
            <w:tcW w:w="1625" w:type="dxa"/>
            <w:vAlign w:val="center"/>
          </w:tcPr>
          <w:p>
            <w:pPr>
              <w:ind w:firstLine="0" w:firstLineChars="0"/>
              <w:jc w:val="left"/>
              <w:rPr>
                <w:sz w:val="24"/>
                <w:szCs w:val="24"/>
              </w:rPr>
            </w:pPr>
            <w:r>
              <w:rPr>
                <w:rFonts w:hint="eastAsia"/>
                <w:sz w:val="24"/>
                <w:szCs w:val="24"/>
              </w:rPr>
              <w:t>花港管理处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pPr>
              <w:pStyle w:val="11"/>
              <w:numPr>
                <w:ilvl w:val="0"/>
                <w:numId w:val="1"/>
              </w:numPr>
              <w:spacing w:after="0"/>
              <w:ind w:leftChars="0" w:firstLineChars="0"/>
              <w:jc w:val="center"/>
              <w:rPr>
                <w:rFonts w:eastAsia="仿宋_GB2312"/>
                <w:sz w:val="24"/>
                <w:szCs w:val="24"/>
              </w:rPr>
            </w:pPr>
          </w:p>
        </w:tc>
        <w:tc>
          <w:tcPr>
            <w:tcW w:w="1265" w:type="dxa"/>
            <w:vMerge w:val="continue"/>
            <w:vAlign w:val="center"/>
          </w:tcPr>
          <w:p>
            <w:pPr>
              <w:pStyle w:val="11"/>
              <w:spacing w:after="0"/>
              <w:ind w:left="0" w:leftChars="0" w:firstLine="0" w:firstLineChars="0"/>
              <w:jc w:val="center"/>
              <w:rPr>
                <w:rFonts w:eastAsia="仿宋_GB2312"/>
                <w:sz w:val="24"/>
                <w:szCs w:val="24"/>
              </w:rPr>
            </w:pPr>
          </w:p>
        </w:tc>
        <w:tc>
          <w:tcPr>
            <w:tcW w:w="2075" w:type="dxa"/>
            <w:vAlign w:val="center"/>
          </w:tcPr>
          <w:p>
            <w:pPr>
              <w:ind w:firstLine="0" w:firstLineChars="0"/>
              <w:jc w:val="left"/>
              <w:rPr>
                <w:sz w:val="24"/>
                <w:szCs w:val="24"/>
              </w:rPr>
            </w:pPr>
            <w:r>
              <w:rPr>
                <w:rFonts w:hint="eastAsia"/>
                <w:sz w:val="24"/>
                <w:szCs w:val="24"/>
              </w:rPr>
              <w:t>九溪民航宿舍管网改造</w:t>
            </w:r>
          </w:p>
        </w:tc>
        <w:tc>
          <w:tcPr>
            <w:tcW w:w="6325" w:type="dxa"/>
            <w:vAlign w:val="center"/>
          </w:tcPr>
          <w:p>
            <w:pPr>
              <w:ind w:firstLine="0" w:firstLineChars="0"/>
              <w:jc w:val="left"/>
              <w:rPr>
                <w:sz w:val="24"/>
                <w:szCs w:val="24"/>
              </w:rPr>
            </w:pPr>
            <w:r>
              <w:rPr>
                <w:rFonts w:hint="eastAsia"/>
                <w:sz w:val="24"/>
                <w:szCs w:val="24"/>
              </w:rPr>
              <w:t>新建挡水墙、新建集水池、增加排水泵、新建化粪池、修复破损管道等工程量清单所列的全部内容。</w:t>
            </w:r>
          </w:p>
        </w:tc>
        <w:tc>
          <w:tcPr>
            <w:tcW w:w="1237" w:type="dxa"/>
            <w:vAlign w:val="center"/>
          </w:tcPr>
          <w:p>
            <w:pPr>
              <w:ind w:firstLine="0" w:firstLineChars="0"/>
              <w:jc w:val="center"/>
              <w:rPr>
                <w:sz w:val="24"/>
                <w:szCs w:val="24"/>
              </w:rPr>
            </w:pPr>
            <w:r>
              <w:rPr>
                <w:rFonts w:hint="eastAsia"/>
                <w:sz w:val="24"/>
                <w:szCs w:val="24"/>
              </w:rPr>
              <w:t>59.57</w:t>
            </w:r>
          </w:p>
        </w:tc>
        <w:tc>
          <w:tcPr>
            <w:tcW w:w="1050" w:type="dxa"/>
            <w:vAlign w:val="center"/>
          </w:tcPr>
          <w:p>
            <w:pPr>
              <w:ind w:firstLine="0" w:firstLineChars="0"/>
              <w:jc w:val="center"/>
              <w:rPr>
                <w:sz w:val="24"/>
                <w:szCs w:val="24"/>
              </w:rPr>
            </w:pPr>
            <w:r>
              <w:rPr>
                <w:rFonts w:hint="eastAsia"/>
                <w:sz w:val="24"/>
                <w:szCs w:val="24"/>
              </w:rPr>
              <w:t>2021年</w:t>
            </w:r>
          </w:p>
        </w:tc>
        <w:tc>
          <w:tcPr>
            <w:tcW w:w="1625" w:type="dxa"/>
            <w:vAlign w:val="center"/>
          </w:tcPr>
          <w:p>
            <w:pPr>
              <w:ind w:firstLine="0" w:firstLineChars="0"/>
              <w:jc w:val="left"/>
              <w:rPr>
                <w:sz w:val="24"/>
                <w:szCs w:val="24"/>
              </w:rPr>
            </w:pPr>
            <w:r>
              <w:rPr>
                <w:rFonts w:hint="eastAsia"/>
                <w:sz w:val="24"/>
                <w:szCs w:val="24"/>
              </w:rPr>
              <w:t>西湖街道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pPr>
              <w:pStyle w:val="11"/>
              <w:numPr>
                <w:ilvl w:val="0"/>
                <w:numId w:val="1"/>
              </w:numPr>
              <w:spacing w:after="0"/>
              <w:ind w:leftChars="0" w:firstLineChars="0"/>
              <w:jc w:val="center"/>
              <w:rPr>
                <w:rFonts w:eastAsia="仿宋_GB2312"/>
                <w:sz w:val="24"/>
                <w:szCs w:val="24"/>
              </w:rPr>
            </w:pPr>
          </w:p>
        </w:tc>
        <w:tc>
          <w:tcPr>
            <w:tcW w:w="1265" w:type="dxa"/>
            <w:vMerge w:val="continue"/>
            <w:vAlign w:val="center"/>
          </w:tcPr>
          <w:p>
            <w:pPr>
              <w:pStyle w:val="11"/>
              <w:spacing w:after="0"/>
              <w:ind w:left="0" w:leftChars="0" w:firstLine="0" w:firstLineChars="0"/>
              <w:jc w:val="center"/>
              <w:rPr>
                <w:rFonts w:eastAsia="仿宋_GB2312"/>
                <w:sz w:val="24"/>
                <w:szCs w:val="24"/>
              </w:rPr>
            </w:pPr>
          </w:p>
        </w:tc>
        <w:tc>
          <w:tcPr>
            <w:tcW w:w="2075" w:type="dxa"/>
            <w:vAlign w:val="center"/>
          </w:tcPr>
          <w:p>
            <w:pPr>
              <w:ind w:firstLine="0" w:firstLineChars="0"/>
              <w:jc w:val="left"/>
              <w:rPr>
                <w:sz w:val="24"/>
                <w:szCs w:val="24"/>
              </w:rPr>
            </w:pPr>
            <w:r>
              <w:rPr>
                <w:rFonts w:hint="eastAsia"/>
                <w:sz w:val="24"/>
                <w:szCs w:val="24"/>
              </w:rPr>
              <w:t>九溪堤岸防洪堤坝建设项目</w:t>
            </w:r>
          </w:p>
        </w:tc>
        <w:tc>
          <w:tcPr>
            <w:tcW w:w="6325" w:type="dxa"/>
            <w:vAlign w:val="center"/>
          </w:tcPr>
          <w:p>
            <w:pPr>
              <w:ind w:firstLine="0" w:firstLineChars="0"/>
              <w:jc w:val="left"/>
              <w:rPr>
                <w:sz w:val="24"/>
                <w:szCs w:val="24"/>
              </w:rPr>
            </w:pPr>
            <w:r>
              <w:rPr>
                <w:rFonts w:hint="eastAsia"/>
                <w:sz w:val="24"/>
                <w:szCs w:val="24"/>
              </w:rPr>
              <w:t>为解决九溪口部被淹的民生问题，拟实施九溪防洪应急工程，主要提升内容为设置玻璃景观防洪墙，并对周边环境、交通进行提升。</w:t>
            </w:r>
          </w:p>
        </w:tc>
        <w:tc>
          <w:tcPr>
            <w:tcW w:w="1237" w:type="dxa"/>
            <w:vAlign w:val="center"/>
          </w:tcPr>
          <w:p>
            <w:pPr>
              <w:ind w:firstLine="0" w:firstLineChars="0"/>
              <w:jc w:val="center"/>
              <w:rPr>
                <w:sz w:val="24"/>
                <w:szCs w:val="24"/>
              </w:rPr>
            </w:pPr>
            <w:r>
              <w:rPr>
                <w:rFonts w:hint="eastAsia"/>
                <w:sz w:val="24"/>
                <w:szCs w:val="24"/>
              </w:rPr>
              <w:t>400</w:t>
            </w:r>
          </w:p>
        </w:tc>
        <w:tc>
          <w:tcPr>
            <w:tcW w:w="1050" w:type="dxa"/>
            <w:vAlign w:val="center"/>
          </w:tcPr>
          <w:p>
            <w:pPr>
              <w:ind w:firstLine="0" w:firstLineChars="0"/>
              <w:jc w:val="center"/>
              <w:rPr>
                <w:sz w:val="24"/>
                <w:szCs w:val="24"/>
              </w:rPr>
            </w:pPr>
            <w:r>
              <w:rPr>
                <w:sz w:val="24"/>
                <w:szCs w:val="24"/>
              </w:rPr>
              <w:t>202</w:t>
            </w:r>
            <w:r>
              <w:rPr>
                <w:rFonts w:hint="eastAsia"/>
                <w:sz w:val="24"/>
                <w:szCs w:val="24"/>
              </w:rPr>
              <w:t>1</w:t>
            </w:r>
            <w:r>
              <w:rPr>
                <w:sz w:val="24"/>
                <w:szCs w:val="24"/>
              </w:rPr>
              <w:t>年</w:t>
            </w:r>
          </w:p>
        </w:tc>
        <w:tc>
          <w:tcPr>
            <w:tcW w:w="1625" w:type="dxa"/>
            <w:vAlign w:val="center"/>
          </w:tcPr>
          <w:p>
            <w:pPr>
              <w:ind w:firstLine="0" w:firstLineChars="0"/>
              <w:jc w:val="left"/>
              <w:rPr>
                <w:sz w:val="24"/>
                <w:szCs w:val="24"/>
              </w:rPr>
            </w:pPr>
            <w:r>
              <w:rPr>
                <w:rFonts w:hint="eastAsia"/>
                <w:sz w:val="24"/>
                <w:szCs w:val="24"/>
              </w:rPr>
              <w:t>钱江</w:t>
            </w:r>
            <w:r>
              <w:rPr>
                <w:sz w:val="24"/>
                <w:szCs w:val="24"/>
              </w:rPr>
              <w:t>管理处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pPr>
              <w:pStyle w:val="11"/>
              <w:numPr>
                <w:ilvl w:val="0"/>
                <w:numId w:val="1"/>
              </w:numPr>
              <w:spacing w:after="0"/>
              <w:ind w:leftChars="0" w:firstLineChars="0"/>
              <w:jc w:val="center"/>
              <w:rPr>
                <w:rFonts w:eastAsia="仿宋_GB2312"/>
                <w:sz w:val="24"/>
                <w:szCs w:val="24"/>
              </w:rPr>
            </w:pPr>
          </w:p>
        </w:tc>
        <w:tc>
          <w:tcPr>
            <w:tcW w:w="1265" w:type="dxa"/>
            <w:vMerge w:val="continue"/>
            <w:vAlign w:val="center"/>
          </w:tcPr>
          <w:p>
            <w:pPr>
              <w:pStyle w:val="11"/>
              <w:spacing w:after="0"/>
              <w:ind w:left="0" w:leftChars="0" w:firstLine="0" w:firstLineChars="0"/>
              <w:jc w:val="center"/>
              <w:rPr>
                <w:rFonts w:eastAsia="仿宋_GB2312"/>
                <w:sz w:val="24"/>
                <w:szCs w:val="24"/>
              </w:rPr>
            </w:pPr>
          </w:p>
        </w:tc>
        <w:tc>
          <w:tcPr>
            <w:tcW w:w="2075" w:type="dxa"/>
            <w:vAlign w:val="center"/>
          </w:tcPr>
          <w:p>
            <w:pPr>
              <w:ind w:firstLine="0" w:firstLineChars="0"/>
              <w:jc w:val="left"/>
              <w:rPr>
                <w:sz w:val="24"/>
                <w:szCs w:val="24"/>
              </w:rPr>
            </w:pPr>
            <w:r>
              <w:rPr>
                <w:rFonts w:hint="eastAsia"/>
                <w:sz w:val="24"/>
                <w:szCs w:val="24"/>
              </w:rPr>
              <w:t>生态幸福健康船</w:t>
            </w:r>
          </w:p>
        </w:tc>
        <w:tc>
          <w:tcPr>
            <w:tcW w:w="6325" w:type="dxa"/>
            <w:vAlign w:val="center"/>
          </w:tcPr>
          <w:p>
            <w:pPr>
              <w:ind w:firstLine="0" w:firstLineChars="0"/>
              <w:jc w:val="left"/>
              <w:rPr>
                <w:sz w:val="24"/>
                <w:szCs w:val="24"/>
              </w:rPr>
            </w:pPr>
            <w:r>
              <w:rPr>
                <w:rFonts w:hint="eastAsia"/>
                <w:sz w:val="24"/>
                <w:szCs w:val="24"/>
              </w:rPr>
              <w:t>在西湖船舶水线以下左右舷侧安装条状“固化载体靶向微生物释放器”，在船舶日常运营、码头停靠24小时不间断释放优质微生物，实现动态治水效果，降解水底各种有机淤泥、降低水域内总氮含量，消除异味及臭味，实现生态水质提升；在船舶内装中嵌入天然香料模块（由香根草及檀香进行提炼，可用10年以上），消除异味，改善游船乘坐舒适度，提升游船服务品质，进而提高杭州西湖整体旅游业态。</w:t>
            </w:r>
          </w:p>
        </w:tc>
        <w:tc>
          <w:tcPr>
            <w:tcW w:w="1237" w:type="dxa"/>
            <w:vAlign w:val="center"/>
          </w:tcPr>
          <w:p>
            <w:pPr>
              <w:ind w:firstLine="0" w:firstLineChars="0"/>
              <w:jc w:val="center"/>
              <w:rPr>
                <w:sz w:val="24"/>
                <w:szCs w:val="24"/>
              </w:rPr>
            </w:pPr>
            <w:r>
              <w:rPr>
                <w:rFonts w:hint="eastAsia"/>
                <w:sz w:val="24"/>
                <w:szCs w:val="24"/>
              </w:rPr>
              <w:t>50</w:t>
            </w:r>
          </w:p>
        </w:tc>
        <w:tc>
          <w:tcPr>
            <w:tcW w:w="1050" w:type="dxa"/>
            <w:vAlign w:val="center"/>
          </w:tcPr>
          <w:p>
            <w:pPr>
              <w:ind w:firstLine="0" w:firstLineChars="0"/>
              <w:jc w:val="center"/>
              <w:rPr>
                <w:sz w:val="24"/>
                <w:szCs w:val="24"/>
              </w:rPr>
            </w:pPr>
            <w:r>
              <w:rPr>
                <w:rFonts w:hint="eastAsia"/>
                <w:sz w:val="24"/>
                <w:szCs w:val="24"/>
              </w:rPr>
              <w:t>2022年</w:t>
            </w:r>
          </w:p>
        </w:tc>
        <w:tc>
          <w:tcPr>
            <w:tcW w:w="1625" w:type="dxa"/>
            <w:vAlign w:val="center"/>
          </w:tcPr>
          <w:p>
            <w:pPr>
              <w:ind w:firstLine="0" w:firstLineChars="0"/>
              <w:jc w:val="left"/>
              <w:rPr>
                <w:sz w:val="24"/>
                <w:szCs w:val="24"/>
              </w:rPr>
            </w:pPr>
            <w:r>
              <w:rPr>
                <w:rFonts w:hint="eastAsia"/>
                <w:sz w:val="24"/>
                <w:szCs w:val="24"/>
              </w:rPr>
              <w:t>水域管理处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pPr>
              <w:pStyle w:val="11"/>
              <w:numPr>
                <w:ilvl w:val="0"/>
                <w:numId w:val="1"/>
              </w:numPr>
              <w:spacing w:after="0"/>
              <w:ind w:leftChars="0" w:firstLineChars="0"/>
              <w:jc w:val="center"/>
              <w:rPr>
                <w:rFonts w:eastAsia="仿宋_GB2312"/>
                <w:sz w:val="24"/>
                <w:szCs w:val="24"/>
              </w:rPr>
            </w:pPr>
          </w:p>
        </w:tc>
        <w:tc>
          <w:tcPr>
            <w:tcW w:w="1265" w:type="dxa"/>
            <w:vAlign w:val="center"/>
          </w:tcPr>
          <w:p>
            <w:pPr>
              <w:pStyle w:val="11"/>
              <w:spacing w:after="0"/>
              <w:ind w:left="0" w:leftChars="0" w:firstLine="0" w:firstLineChars="0"/>
              <w:jc w:val="center"/>
              <w:rPr>
                <w:rFonts w:eastAsia="仿宋_GB2312"/>
                <w:sz w:val="24"/>
                <w:szCs w:val="24"/>
              </w:rPr>
            </w:pPr>
          </w:p>
        </w:tc>
        <w:tc>
          <w:tcPr>
            <w:tcW w:w="2075" w:type="dxa"/>
            <w:vAlign w:val="center"/>
          </w:tcPr>
          <w:p>
            <w:pPr>
              <w:ind w:firstLine="0" w:firstLineChars="0"/>
              <w:jc w:val="left"/>
              <w:rPr>
                <w:sz w:val="24"/>
                <w:szCs w:val="24"/>
              </w:rPr>
            </w:pPr>
            <w:r>
              <w:rPr>
                <w:rFonts w:hint="eastAsia"/>
                <w:sz w:val="24"/>
                <w:szCs w:val="24"/>
              </w:rPr>
              <w:t>西湖船坞（维修）环境保护改造提升工程</w:t>
            </w:r>
          </w:p>
        </w:tc>
        <w:tc>
          <w:tcPr>
            <w:tcW w:w="6325" w:type="dxa"/>
            <w:vAlign w:val="center"/>
          </w:tcPr>
          <w:p>
            <w:pPr>
              <w:ind w:firstLine="0" w:firstLineChars="0"/>
              <w:jc w:val="left"/>
              <w:rPr>
                <w:sz w:val="24"/>
                <w:szCs w:val="24"/>
              </w:rPr>
            </w:pPr>
            <w:r>
              <w:rPr>
                <w:rFonts w:hint="eastAsia"/>
                <w:sz w:val="24"/>
                <w:szCs w:val="24"/>
              </w:rPr>
              <w:t>为消除因船舶维修对西湖水体环境污染的隐患而进行的废水、废气、消声处理等工作。</w:t>
            </w:r>
          </w:p>
        </w:tc>
        <w:tc>
          <w:tcPr>
            <w:tcW w:w="1237" w:type="dxa"/>
            <w:vAlign w:val="center"/>
          </w:tcPr>
          <w:p>
            <w:pPr>
              <w:ind w:firstLine="0" w:firstLineChars="0"/>
              <w:jc w:val="center"/>
              <w:rPr>
                <w:sz w:val="24"/>
                <w:szCs w:val="24"/>
              </w:rPr>
            </w:pPr>
            <w:r>
              <w:rPr>
                <w:rFonts w:hint="eastAsia"/>
                <w:sz w:val="24"/>
                <w:szCs w:val="24"/>
              </w:rPr>
              <w:t>338.59</w:t>
            </w:r>
          </w:p>
        </w:tc>
        <w:tc>
          <w:tcPr>
            <w:tcW w:w="1050" w:type="dxa"/>
            <w:vAlign w:val="center"/>
          </w:tcPr>
          <w:p>
            <w:pPr>
              <w:ind w:firstLine="0" w:firstLineChars="0"/>
              <w:jc w:val="center"/>
              <w:rPr>
                <w:sz w:val="24"/>
                <w:szCs w:val="24"/>
              </w:rPr>
            </w:pPr>
            <w:r>
              <w:rPr>
                <w:rFonts w:hint="eastAsia"/>
                <w:sz w:val="24"/>
                <w:szCs w:val="24"/>
              </w:rPr>
              <w:t>2021年</w:t>
            </w:r>
          </w:p>
        </w:tc>
        <w:tc>
          <w:tcPr>
            <w:tcW w:w="1625" w:type="dxa"/>
            <w:vAlign w:val="center"/>
          </w:tcPr>
          <w:p>
            <w:pPr>
              <w:ind w:firstLine="0" w:firstLineChars="0"/>
              <w:jc w:val="center"/>
              <w:rPr>
                <w:sz w:val="24"/>
                <w:szCs w:val="24"/>
              </w:rPr>
            </w:pPr>
            <w:r>
              <w:rPr>
                <w:rFonts w:hint="eastAsia"/>
                <w:sz w:val="24"/>
                <w:szCs w:val="24"/>
              </w:rPr>
              <w:t>水域管理处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pPr>
              <w:pStyle w:val="11"/>
              <w:numPr>
                <w:ilvl w:val="0"/>
                <w:numId w:val="1"/>
              </w:numPr>
              <w:spacing w:after="0"/>
              <w:ind w:leftChars="0" w:firstLineChars="0"/>
              <w:jc w:val="center"/>
              <w:rPr>
                <w:rFonts w:eastAsia="仿宋_GB2312"/>
                <w:sz w:val="24"/>
                <w:szCs w:val="24"/>
              </w:rPr>
            </w:pPr>
          </w:p>
        </w:tc>
        <w:tc>
          <w:tcPr>
            <w:tcW w:w="1265" w:type="dxa"/>
            <w:vMerge w:val="restart"/>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土壤环境保护</w:t>
            </w:r>
          </w:p>
        </w:tc>
        <w:tc>
          <w:tcPr>
            <w:tcW w:w="2075" w:type="dxa"/>
            <w:vAlign w:val="center"/>
          </w:tcPr>
          <w:p>
            <w:pPr>
              <w:pStyle w:val="11"/>
              <w:spacing w:after="0"/>
              <w:ind w:left="0" w:leftChars="0" w:firstLine="0" w:firstLineChars="0"/>
              <w:jc w:val="left"/>
              <w:rPr>
                <w:rFonts w:eastAsia="仿宋_GB2312"/>
                <w:sz w:val="24"/>
                <w:szCs w:val="24"/>
              </w:rPr>
            </w:pPr>
            <w:r>
              <w:rPr>
                <w:rFonts w:hint="eastAsia" w:eastAsia="仿宋_GB2312"/>
                <w:sz w:val="24"/>
                <w:szCs w:val="24"/>
              </w:rPr>
              <w:t>西湖废弃水草资源化利用</w:t>
            </w:r>
          </w:p>
        </w:tc>
        <w:tc>
          <w:tcPr>
            <w:tcW w:w="6325" w:type="dxa"/>
            <w:vAlign w:val="center"/>
          </w:tcPr>
          <w:p>
            <w:pPr>
              <w:pStyle w:val="11"/>
              <w:spacing w:after="0"/>
              <w:ind w:left="0" w:leftChars="0" w:firstLine="0" w:firstLineChars="0"/>
              <w:jc w:val="left"/>
              <w:rPr>
                <w:rFonts w:eastAsia="仿宋_GB2312"/>
                <w:sz w:val="24"/>
                <w:szCs w:val="24"/>
              </w:rPr>
            </w:pPr>
            <w:r>
              <w:rPr>
                <w:rFonts w:hint="eastAsia" w:eastAsia="仿宋_GB2312"/>
                <w:sz w:val="24"/>
                <w:szCs w:val="24"/>
              </w:rPr>
              <w:t>引入水草微生物处理一体机，微生物处理将水草、树枝和生活垃圾等混合发酵处理加工成肥料，在资源化利用水草的同时，获得附加效益。</w:t>
            </w:r>
          </w:p>
        </w:tc>
        <w:tc>
          <w:tcPr>
            <w:tcW w:w="1237" w:type="dxa"/>
            <w:vAlign w:val="center"/>
          </w:tcPr>
          <w:p>
            <w:pPr>
              <w:pStyle w:val="11"/>
              <w:spacing w:after="0"/>
              <w:ind w:left="0" w:leftChars="0" w:firstLine="0" w:firstLineChars="0"/>
              <w:jc w:val="center"/>
              <w:rPr>
                <w:rFonts w:eastAsia="仿宋_GB2312"/>
                <w:sz w:val="24"/>
                <w:szCs w:val="24"/>
              </w:rPr>
            </w:pPr>
            <w:r>
              <w:rPr>
                <w:rFonts w:hint="eastAsia"/>
                <w:sz w:val="24"/>
                <w:szCs w:val="24"/>
              </w:rPr>
              <w:t>50</w:t>
            </w:r>
          </w:p>
        </w:tc>
        <w:tc>
          <w:tcPr>
            <w:tcW w:w="1050" w:type="dxa"/>
            <w:vAlign w:val="center"/>
          </w:tcPr>
          <w:p>
            <w:pPr>
              <w:pStyle w:val="11"/>
              <w:spacing w:after="0"/>
              <w:ind w:left="0" w:leftChars="0" w:firstLine="0" w:firstLineChars="0"/>
              <w:jc w:val="left"/>
              <w:rPr>
                <w:rFonts w:eastAsia="仿宋_GB2312"/>
                <w:sz w:val="24"/>
                <w:szCs w:val="24"/>
              </w:rPr>
            </w:pPr>
            <w:r>
              <w:rPr>
                <w:rFonts w:hint="eastAsia" w:eastAsia="仿宋_GB2312"/>
                <w:sz w:val="24"/>
                <w:szCs w:val="24"/>
              </w:rPr>
              <w:t>2022年</w:t>
            </w:r>
          </w:p>
        </w:tc>
        <w:tc>
          <w:tcPr>
            <w:tcW w:w="1625"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水域管理处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vAlign w:val="center"/>
          </w:tcPr>
          <w:p>
            <w:pPr>
              <w:pStyle w:val="11"/>
              <w:numPr>
                <w:ilvl w:val="0"/>
                <w:numId w:val="1"/>
              </w:numPr>
              <w:spacing w:after="0"/>
              <w:ind w:leftChars="0" w:firstLineChars="0"/>
              <w:jc w:val="center"/>
              <w:rPr>
                <w:rFonts w:eastAsia="仿宋_GB2312"/>
                <w:sz w:val="24"/>
                <w:szCs w:val="24"/>
              </w:rPr>
            </w:pPr>
          </w:p>
        </w:tc>
        <w:tc>
          <w:tcPr>
            <w:tcW w:w="1265"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现代化治理体系建设</w:t>
            </w:r>
          </w:p>
        </w:tc>
        <w:tc>
          <w:tcPr>
            <w:tcW w:w="2075" w:type="dxa"/>
            <w:vAlign w:val="center"/>
          </w:tcPr>
          <w:p>
            <w:pPr>
              <w:pStyle w:val="11"/>
              <w:spacing w:after="0"/>
              <w:ind w:left="0" w:leftChars="0" w:firstLine="0" w:firstLineChars="0"/>
              <w:jc w:val="left"/>
              <w:rPr>
                <w:rFonts w:eastAsia="仿宋_GB2312"/>
                <w:sz w:val="24"/>
                <w:szCs w:val="24"/>
              </w:rPr>
            </w:pPr>
            <w:r>
              <w:rPr>
                <w:rFonts w:eastAsia="仿宋_GB2312"/>
                <w:sz w:val="24"/>
                <w:szCs w:val="24"/>
              </w:rPr>
              <w:t>西湖流域防洪调控系统建设</w:t>
            </w:r>
          </w:p>
        </w:tc>
        <w:tc>
          <w:tcPr>
            <w:tcW w:w="6325" w:type="dxa"/>
            <w:vAlign w:val="center"/>
          </w:tcPr>
          <w:p>
            <w:pPr>
              <w:pStyle w:val="11"/>
              <w:spacing w:after="0"/>
              <w:ind w:left="0" w:leftChars="0" w:firstLine="0" w:firstLineChars="0"/>
              <w:jc w:val="left"/>
              <w:rPr>
                <w:rFonts w:eastAsia="仿宋_GB2312"/>
                <w:sz w:val="24"/>
                <w:szCs w:val="24"/>
              </w:rPr>
            </w:pPr>
            <w:r>
              <w:rPr>
                <w:rFonts w:eastAsia="仿宋_GB2312"/>
                <w:sz w:val="24"/>
                <w:szCs w:val="24"/>
              </w:rPr>
              <w:t>构建西湖的水雨情数据库，西湖的水文、水位预报模型，水质监测站建设、水位监测站建设、闸门远程控制改造、泵站信息采集、远程控制改造、监控及软件平台。</w:t>
            </w:r>
          </w:p>
        </w:tc>
        <w:tc>
          <w:tcPr>
            <w:tcW w:w="1237"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145.66</w:t>
            </w:r>
          </w:p>
        </w:tc>
        <w:tc>
          <w:tcPr>
            <w:tcW w:w="1050" w:type="dxa"/>
            <w:vAlign w:val="center"/>
          </w:tcPr>
          <w:p>
            <w:pPr>
              <w:pStyle w:val="11"/>
              <w:spacing w:after="0"/>
              <w:ind w:left="0" w:leftChars="0" w:firstLine="0" w:firstLineChars="0"/>
              <w:jc w:val="center"/>
              <w:rPr>
                <w:rFonts w:eastAsia="仿宋_GB2312"/>
                <w:sz w:val="24"/>
                <w:szCs w:val="24"/>
              </w:rPr>
            </w:pPr>
            <w:r>
              <w:rPr>
                <w:rFonts w:hint="eastAsia" w:eastAsia="仿宋_GB2312"/>
                <w:sz w:val="24"/>
                <w:szCs w:val="24"/>
              </w:rPr>
              <w:t>2023年</w:t>
            </w:r>
          </w:p>
        </w:tc>
        <w:tc>
          <w:tcPr>
            <w:tcW w:w="1625" w:type="dxa"/>
            <w:vAlign w:val="center"/>
          </w:tcPr>
          <w:p>
            <w:pPr>
              <w:ind w:firstLine="0" w:firstLineChars="0"/>
              <w:jc w:val="center"/>
              <w:rPr>
                <w:sz w:val="24"/>
                <w:szCs w:val="24"/>
              </w:rPr>
            </w:pPr>
            <w:r>
              <w:rPr>
                <w:rFonts w:hint="eastAsia"/>
                <w:sz w:val="24"/>
                <w:szCs w:val="24"/>
              </w:rPr>
              <w:t>杭州西湖风景名胜区综合事务保障中心</w:t>
            </w:r>
          </w:p>
        </w:tc>
      </w:tr>
    </w:tbl>
    <w:p>
      <w:pPr>
        <w:pStyle w:val="11"/>
        <w:spacing w:after="0"/>
        <w:ind w:left="0" w:leftChars="0" w:firstLine="0" w:firstLineChars="0"/>
        <w:rPr>
          <w:highlight w:val="yellow"/>
        </w:rPr>
        <w:sectPr>
          <w:pgSz w:w="16838" w:h="11906" w:orient="landscape"/>
          <w:pgMar w:top="1800" w:right="1440" w:bottom="1800" w:left="1440" w:header="851" w:footer="992" w:gutter="0"/>
          <w:cols w:space="720" w:num="1"/>
          <w:docGrid w:type="lines" w:linePitch="312" w:charSpace="0"/>
        </w:sectPr>
      </w:pPr>
      <w:r>
        <w:rPr>
          <w:rFonts w:hint="eastAsia" w:eastAsia="仿宋"/>
          <w:b/>
          <w:bCs/>
          <w:sz w:val="24"/>
          <w:szCs w:val="21"/>
        </w:rPr>
        <w:t>注：重点项目最终实施情况以立项为准。</w:t>
      </w:r>
    </w:p>
    <w:p>
      <w:pPr>
        <w:pStyle w:val="4"/>
      </w:pPr>
      <w:bookmarkStart w:id="707" w:name="_Toc18163"/>
      <w:bookmarkStart w:id="708" w:name="_Toc20539"/>
      <w:bookmarkStart w:id="709" w:name="_Toc23234"/>
      <w:bookmarkStart w:id="710" w:name="_Toc17591"/>
      <w:bookmarkStart w:id="711" w:name="_Toc29915"/>
      <w:bookmarkStart w:id="712" w:name="_Toc5981"/>
      <w:bookmarkStart w:id="713" w:name="_Toc30820"/>
      <w:bookmarkStart w:id="714" w:name="_Toc16633"/>
      <w:bookmarkStart w:id="715" w:name="_Toc9427"/>
      <w:bookmarkStart w:id="716" w:name="_Toc21485"/>
      <w:bookmarkStart w:id="717" w:name="_Toc23233"/>
      <w:bookmarkStart w:id="718" w:name="_Toc6358"/>
      <w:bookmarkStart w:id="719" w:name="_Toc5345"/>
      <w:bookmarkStart w:id="720" w:name="_Toc16899"/>
      <w:bookmarkStart w:id="721" w:name="_Toc2077"/>
      <w:bookmarkStart w:id="722" w:name="_Toc5829"/>
      <w:bookmarkStart w:id="723" w:name="_Toc16268"/>
      <w:bookmarkStart w:id="724" w:name="_Toc4500"/>
      <w:bookmarkStart w:id="725" w:name="_Toc3588"/>
      <w:bookmarkStart w:id="726" w:name="_Toc29157"/>
      <w:bookmarkStart w:id="727" w:name="_Toc5974"/>
      <w:bookmarkStart w:id="728" w:name="_Toc6486"/>
      <w:bookmarkStart w:id="729" w:name="_Toc6096"/>
      <w:bookmarkStart w:id="730" w:name="_Toc26579"/>
      <w:bookmarkStart w:id="731" w:name="_Toc24411"/>
      <w:bookmarkStart w:id="732" w:name="_Toc4122"/>
      <w:bookmarkStart w:id="733" w:name="_Toc454530002"/>
      <w:r>
        <w:rPr>
          <w:rFonts w:hint="eastAsia"/>
        </w:rPr>
        <w:t>第五章 保障措施</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bookmarkEnd w:id="733"/>
    <w:p>
      <w:pPr>
        <w:pStyle w:val="5"/>
        <w:keepNext w:val="0"/>
        <w:keepLines w:val="0"/>
        <w:spacing w:line="240" w:lineRule="auto"/>
      </w:pPr>
      <w:bookmarkStart w:id="734" w:name="_Toc13313"/>
      <w:bookmarkStart w:id="735" w:name="_Toc24682"/>
      <w:bookmarkStart w:id="736" w:name="_Toc30405"/>
      <w:bookmarkStart w:id="737" w:name="_Toc7511"/>
      <w:bookmarkStart w:id="738" w:name="_Toc25206"/>
      <w:bookmarkStart w:id="739" w:name="_Toc20409"/>
      <w:bookmarkStart w:id="740" w:name="_Toc5515"/>
      <w:bookmarkStart w:id="741" w:name="_Toc29044"/>
      <w:bookmarkStart w:id="742" w:name="_Toc10494"/>
      <w:bookmarkStart w:id="743" w:name="_Toc7747"/>
      <w:bookmarkStart w:id="744" w:name="_Toc8638"/>
      <w:bookmarkStart w:id="745" w:name="_Toc27561"/>
      <w:bookmarkStart w:id="746" w:name="_Toc2500"/>
      <w:bookmarkStart w:id="747" w:name="_Toc31532"/>
      <w:bookmarkStart w:id="748" w:name="_Toc6408"/>
      <w:bookmarkStart w:id="749" w:name="_Toc4287"/>
      <w:bookmarkStart w:id="750" w:name="_Toc8534"/>
      <w:bookmarkStart w:id="751" w:name="_Toc21767"/>
      <w:bookmarkStart w:id="752" w:name="_Toc14519"/>
      <w:bookmarkStart w:id="753" w:name="_Toc23570"/>
      <w:bookmarkStart w:id="754" w:name="_Toc9221"/>
      <w:bookmarkStart w:id="755" w:name="_Toc7255"/>
      <w:bookmarkStart w:id="756" w:name="_Toc11150"/>
      <w:bookmarkStart w:id="757" w:name="_Toc9188"/>
      <w:bookmarkStart w:id="758" w:name="_Toc5971"/>
      <w:bookmarkStart w:id="759" w:name="_Toc4951"/>
      <w:bookmarkStart w:id="760" w:name="_Toc274288326"/>
      <w:bookmarkStart w:id="761" w:name="_Toc338501592"/>
      <w:bookmarkStart w:id="762" w:name="_Toc234638805"/>
      <w:bookmarkStart w:id="763" w:name="_Toc233027799"/>
      <w:bookmarkStart w:id="764" w:name="_Toc232822896"/>
      <w:bookmarkStart w:id="765" w:name="_Toc233018815"/>
      <w:bookmarkStart w:id="766" w:name="_Toc437437423"/>
      <w:bookmarkStart w:id="767" w:name="_Toc217274829"/>
      <w:r>
        <w:t>一、</w:t>
      </w:r>
      <w:r>
        <w:rPr>
          <w:rFonts w:hint="eastAsia"/>
        </w:rPr>
        <w:t>加强</w:t>
      </w:r>
      <w:r>
        <w:t>组织领导，</w:t>
      </w:r>
      <w:r>
        <w:rPr>
          <w:rFonts w:hint="eastAsia"/>
        </w:rPr>
        <w:t>强化协调联动</w:t>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pPr>
        <w:ind w:firstLine="640"/>
        <w:rPr>
          <w:color w:val="000000"/>
          <w:sz w:val="32"/>
          <w:szCs w:val="28"/>
        </w:rPr>
      </w:pPr>
      <w:r>
        <w:rPr>
          <w:color w:val="000000"/>
          <w:sz w:val="32"/>
          <w:szCs w:val="28"/>
        </w:rPr>
        <w:t>加强领导，落实责任。分解</w:t>
      </w:r>
      <w:r>
        <w:rPr>
          <w:rFonts w:hint="eastAsia"/>
          <w:color w:val="000000"/>
          <w:sz w:val="32"/>
          <w:szCs w:val="28"/>
        </w:rPr>
        <w:t>生态</w:t>
      </w:r>
      <w:r>
        <w:rPr>
          <w:color w:val="000000"/>
          <w:sz w:val="32"/>
          <w:szCs w:val="28"/>
        </w:rPr>
        <w:t>环境保护</w:t>
      </w:r>
      <w:r>
        <w:rPr>
          <w:rFonts w:hint="eastAsia"/>
          <w:color w:val="000000"/>
          <w:sz w:val="32"/>
          <w:szCs w:val="28"/>
        </w:rPr>
        <w:t>任务</w:t>
      </w:r>
      <w:r>
        <w:rPr>
          <w:color w:val="000000"/>
          <w:sz w:val="32"/>
          <w:szCs w:val="28"/>
        </w:rPr>
        <w:t>到年度计划，层层分解规划任务。认真实行环境保护年度考核目标责任制，确保环境保护目标如期实现。强化环境保护工作的统一监督管理，全面形成政府负责、部门联动、企业主体、公众参与、环保统一监管的工作氛围和工作机制，加强部门协调，明确部门职责和任务，</w:t>
      </w:r>
      <w:r>
        <w:rPr>
          <w:rFonts w:hint="eastAsia"/>
          <w:color w:val="000000"/>
          <w:sz w:val="32"/>
          <w:szCs w:val="28"/>
        </w:rPr>
        <w:t>确保规划顺利实施</w:t>
      </w:r>
      <w:r>
        <w:rPr>
          <w:color w:val="000000"/>
          <w:sz w:val="32"/>
          <w:szCs w:val="28"/>
        </w:rPr>
        <w:t>。</w:t>
      </w:r>
    </w:p>
    <w:bookmarkEnd w:id="760"/>
    <w:bookmarkEnd w:id="761"/>
    <w:bookmarkEnd w:id="762"/>
    <w:bookmarkEnd w:id="763"/>
    <w:bookmarkEnd w:id="764"/>
    <w:bookmarkEnd w:id="765"/>
    <w:bookmarkEnd w:id="766"/>
    <w:p>
      <w:pPr>
        <w:pStyle w:val="5"/>
        <w:keepNext w:val="0"/>
        <w:keepLines w:val="0"/>
        <w:spacing w:line="240" w:lineRule="auto"/>
      </w:pPr>
      <w:bookmarkStart w:id="768" w:name="_Toc10012"/>
      <w:bookmarkStart w:id="769" w:name="_Toc11025"/>
      <w:bookmarkStart w:id="770" w:name="_Toc18223"/>
      <w:bookmarkStart w:id="771" w:name="_Toc15101"/>
      <w:bookmarkStart w:id="772" w:name="_Toc8782"/>
      <w:bookmarkStart w:id="773" w:name="_Toc26169"/>
      <w:bookmarkStart w:id="774" w:name="_Toc17930"/>
      <w:bookmarkStart w:id="775" w:name="_Toc5301"/>
      <w:bookmarkStart w:id="776" w:name="_Toc26308"/>
      <w:bookmarkStart w:id="777" w:name="_Toc22200"/>
      <w:bookmarkStart w:id="778" w:name="_Toc3738"/>
      <w:bookmarkStart w:id="779" w:name="_Toc29852"/>
      <w:bookmarkStart w:id="780" w:name="_Toc21650"/>
      <w:bookmarkStart w:id="781" w:name="_Toc21350"/>
      <w:bookmarkStart w:id="782" w:name="_Toc8167"/>
      <w:bookmarkStart w:id="783" w:name="_Toc2384"/>
      <w:bookmarkStart w:id="784" w:name="_Toc23171"/>
      <w:bookmarkStart w:id="785" w:name="_Toc10302"/>
      <w:bookmarkStart w:id="786" w:name="_Toc30391"/>
      <w:bookmarkStart w:id="787" w:name="_Toc9397"/>
      <w:bookmarkStart w:id="788" w:name="_Toc4796"/>
      <w:bookmarkStart w:id="789" w:name="_Toc28741"/>
      <w:bookmarkStart w:id="790" w:name="_Toc23196"/>
      <w:bookmarkStart w:id="791" w:name="_Toc30569"/>
      <w:bookmarkStart w:id="792" w:name="_Toc25380"/>
      <w:bookmarkStart w:id="793" w:name="_Toc7497"/>
      <w:bookmarkStart w:id="794" w:name="_Toc223691722"/>
      <w:r>
        <w:t>二、加大资金投入，</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r>
        <w:rPr>
          <w:rFonts w:hint="eastAsia"/>
        </w:rPr>
        <w:t>强化科技创新</w:t>
      </w:r>
      <w:bookmarkEnd w:id="788"/>
      <w:bookmarkEnd w:id="789"/>
      <w:bookmarkEnd w:id="790"/>
      <w:bookmarkEnd w:id="791"/>
      <w:bookmarkEnd w:id="792"/>
      <w:bookmarkEnd w:id="793"/>
    </w:p>
    <w:p>
      <w:pPr>
        <w:ind w:firstLine="640"/>
        <w:rPr>
          <w:color w:val="000000"/>
          <w:sz w:val="32"/>
          <w:szCs w:val="28"/>
        </w:rPr>
      </w:pPr>
      <w:r>
        <w:rPr>
          <w:rFonts w:hint="eastAsia"/>
          <w:color w:val="000000"/>
          <w:sz w:val="32"/>
          <w:szCs w:val="28"/>
        </w:rPr>
        <w:t>强化财政对生态环保领域的支持。拓宽社会资金筹措渠道，鼓励不同经济成分和各类投资主体参与生态环境建设。加强生态环保关键性技术研发，切实推进西湖全域综合提升。围绕规划目标和重点问题，实施一批重点工程项目，积极发挥重大工程项目的示范作用，以点带面，系统推进“十四五”生态环境保护工作。</w:t>
      </w:r>
      <w:bookmarkEnd w:id="794"/>
    </w:p>
    <w:p>
      <w:pPr>
        <w:pStyle w:val="5"/>
        <w:keepNext w:val="0"/>
        <w:keepLines w:val="0"/>
        <w:spacing w:line="240" w:lineRule="auto"/>
      </w:pPr>
      <w:bookmarkStart w:id="795" w:name="_Toc3338"/>
      <w:bookmarkStart w:id="796" w:name="_Toc19708"/>
      <w:bookmarkStart w:id="797" w:name="_Toc5771"/>
      <w:bookmarkStart w:id="798" w:name="_Toc15902"/>
      <w:bookmarkStart w:id="799" w:name="_Toc32160"/>
      <w:bookmarkStart w:id="800" w:name="_Toc30059"/>
      <w:bookmarkStart w:id="801" w:name="_Toc17503"/>
      <w:bookmarkStart w:id="802" w:name="_Toc21869"/>
      <w:bookmarkStart w:id="803" w:name="_Toc18869"/>
      <w:bookmarkStart w:id="804" w:name="_Toc3207"/>
      <w:bookmarkStart w:id="805" w:name="_Toc31510"/>
      <w:bookmarkStart w:id="806" w:name="_Toc4519"/>
      <w:bookmarkStart w:id="807" w:name="_Toc12414"/>
      <w:bookmarkStart w:id="808" w:name="_Toc22058"/>
      <w:bookmarkStart w:id="809" w:name="_Toc5487"/>
      <w:bookmarkStart w:id="810" w:name="_Toc30787"/>
      <w:bookmarkStart w:id="811" w:name="_Toc11320"/>
      <w:bookmarkStart w:id="812" w:name="_Toc17406"/>
      <w:bookmarkStart w:id="813" w:name="_Toc26075"/>
      <w:bookmarkStart w:id="814" w:name="_Toc19246"/>
      <w:bookmarkStart w:id="815" w:name="_Toc30258"/>
      <w:bookmarkStart w:id="816" w:name="_Toc16490"/>
      <w:bookmarkStart w:id="817" w:name="_Toc26533"/>
      <w:bookmarkStart w:id="818" w:name="_Toc32087"/>
      <w:bookmarkStart w:id="819" w:name="_Toc16525"/>
      <w:bookmarkStart w:id="820" w:name="_Toc17224"/>
      <w:r>
        <w:t>三、</w:t>
      </w:r>
      <w:r>
        <w:rPr>
          <w:rFonts w:hint="eastAsia"/>
        </w:rPr>
        <w:t>加强宣传引导</w:t>
      </w:r>
      <w:r>
        <w:t>，</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r>
        <w:rPr>
          <w:rFonts w:hint="eastAsia"/>
        </w:rPr>
        <w:t>推动社会监督</w:t>
      </w:r>
      <w:bookmarkEnd w:id="815"/>
      <w:bookmarkEnd w:id="816"/>
      <w:bookmarkEnd w:id="817"/>
      <w:bookmarkEnd w:id="818"/>
      <w:bookmarkEnd w:id="819"/>
      <w:bookmarkEnd w:id="820"/>
    </w:p>
    <w:p>
      <w:pPr>
        <w:ind w:firstLine="640"/>
        <w:rPr>
          <w:color w:val="000000"/>
          <w:sz w:val="32"/>
          <w:szCs w:val="28"/>
        </w:rPr>
      </w:pPr>
      <w:r>
        <w:rPr>
          <w:rFonts w:hint="eastAsia"/>
          <w:color w:val="000000"/>
          <w:sz w:val="32"/>
          <w:szCs w:val="28"/>
        </w:rPr>
        <w:t>充分利用报纸、电视、网络、社交平台和数字媒介等各类媒体，加大规划的宣传力度，激励公众积极参与生态环境保护和建设。充分发挥公众和新闻媒体等社会力量的监督作用，强化社会公众参与，建立规划实施公众反馈和监督机制。通过官方微博、微信公众号，积极宣传生态环保法律法规、政策文件、工作动态和经验做法，鼓励公众通过多种渠道举报环境违法行为。</w:t>
      </w:r>
    </w:p>
    <w:p>
      <w:pPr>
        <w:pStyle w:val="5"/>
        <w:keepNext w:val="0"/>
        <w:keepLines w:val="0"/>
        <w:spacing w:line="240" w:lineRule="auto"/>
      </w:pPr>
      <w:bookmarkStart w:id="821" w:name="_Toc15560"/>
      <w:bookmarkStart w:id="822" w:name="_Toc3256"/>
      <w:bookmarkStart w:id="823" w:name="_Toc31187"/>
      <w:bookmarkStart w:id="824" w:name="_Toc11300"/>
      <w:bookmarkStart w:id="825" w:name="_Toc3847"/>
      <w:bookmarkStart w:id="826" w:name="_Toc26179"/>
      <w:bookmarkStart w:id="827" w:name="_Toc4042"/>
      <w:bookmarkStart w:id="828" w:name="_Toc25101"/>
      <w:bookmarkStart w:id="829" w:name="_Toc8607"/>
      <w:bookmarkStart w:id="830" w:name="_Toc21653"/>
      <w:bookmarkStart w:id="831" w:name="_Toc2466"/>
      <w:bookmarkStart w:id="832" w:name="_Toc18308"/>
      <w:bookmarkStart w:id="833" w:name="_Toc28712"/>
      <w:bookmarkStart w:id="834" w:name="_Toc19717"/>
      <w:bookmarkStart w:id="835" w:name="_Toc7151"/>
      <w:bookmarkStart w:id="836" w:name="_Toc10071"/>
      <w:bookmarkStart w:id="837" w:name="_Toc4238"/>
      <w:bookmarkStart w:id="838" w:name="_Toc32680"/>
      <w:bookmarkStart w:id="839" w:name="_Toc31427"/>
      <w:bookmarkStart w:id="840" w:name="_Toc12907"/>
      <w:bookmarkStart w:id="841" w:name="_Toc21084"/>
      <w:bookmarkStart w:id="842" w:name="_Toc19282"/>
      <w:bookmarkStart w:id="843" w:name="_Toc27972"/>
      <w:bookmarkStart w:id="844" w:name="_Toc10454"/>
      <w:bookmarkStart w:id="845" w:name="_Toc863"/>
      <w:bookmarkStart w:id="846" w:name="_Toc30976"/>
      <w:bookmarkStart w:id="847" w:name="_Toc232822900"/>
      <w:bookmarkStart w:id="848" w:name="_Toc454288600"/>
      <w:bookmarkStart w:id="849" w:name="_Toc234638809"/>
      <w:bookmarkStart w:id="850" w:name="_Toc233027803"/>
      <w:bookmarkStart w:id="851" w:name="_Toc338501597"/>
      <w:bookmarkStart w:id="852" w:name="_Toc274288331"/>
      <w:bookmarkStart w:id="853" w:name="_Toc233018819"/>
      <w:bookmarkStart w:id="854" w:name="_Toc437437429"/>
      <w:r>
        <w:t>四、</w:t>
      </w:r>
      <w:r>
        <w:rPr>
          <w:rFonts w:hint="eastAsia"/>
        </w:rPr>
        <w:t>强化评估考核，促进规划实施</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pPr>
        <w:ind w:firstLine="640"/>
        <w:rPr>
          <w:rFonts w:ascii="仿宋_GB2312"/>
          <w:sz w:val="32"/>
          <w:szCs w:val="28"/>
        </w:rPr>
      </w:pPr>
      <w:r>
        <w:rPr>
          <w:rFonts w:hint="eastAsia" w:ascii="仿宋_GB2312"/>
          <w:color w:val="000000"/>
          <w:sz w:val="32"/>
          <w:szCs w:val="28"/>
        </w:rPr>
        <w:t>建立规划实施评估考核机制，对规划确定的目标指标、主要任务、重大举措和重大工程落实情况进行及时评估总结。在2023年中和2025年底，分别对规划执行情况开展中期评估和终期考核，并对评估考核结果进行通报，并向社会公开。</w:t>
      </w:r>
      <w:bookmarkEnd w:id="767"/>
      <w:bookmarkEnd w:id="847"/>
      <w:bookmarkEnd w:id="848"/>
      <w:bookmarkEnd w:id="849"/>
      <w:bookmarkEnd w:id="850"/>
      <w:bookmarkEnd w:id="851"/>
      <w:bookmarkEnd w:id="852"/>
      <w:bookmarkEnd w:id="853"/>
      <w:bookmarkEnd w:id="854"/>
    </w:p>
    <w:p>
      <w:pPr>
        <w:widowControl/>
        <w:ind w:firstLine="0" w:firstLineChars="0"/>
        <w:rPr>
          <w:szCs w:val="28"/>
        </w:rPr>
      </w:pPr>
    </w:p>
    <w:p>
      <w:pPr>
        <w:widowControl/>
        <w:ind w:firstLine="0" w:firstLineChars="0"/>
        <w:rPr>
          <w:szCs w:val="28"/>
        </w:rPr>
      </w:pPr>
    </w:p>
    <w:p>
      <w:pPr>
        <w:widowControl/>
        <w:ind w:firstLine="0" w:firstLineChars="0"/>
        <w:rPr>
          <w:szCs w:val="28"/>
        </w:rPr>
      </w:pPr>
    </w:p>
    <w:p>
      <w:pPr>
        <w:widowControl/>
        <w:ind w:firstLine="0" w:firstLineChars="0"/>
        <w:rPr>
          <w:szCs w:val="28"/>
        </w:rPr>
      </w:pPr>
    </w:p>
    <w:p>
      <w:pPr>
        <w:widowControl/>
        <w:ind w:firstLine="0" w:firstLineChars="0"/>
        <w:rPr>
          <w:szCs w:val="28"/>
        </w:rPr>
      </w:pPr>
    </w:p>
    <w:p>
      <w:pPr>
        <w:widowControl/>
        <w:ind w:firstLine="0" w:firstLineChars="0"/>
        <w:rPr>
          <w:szCs w:val="28"/>
        </w:rPr>
      </w:pPr>
    </w:p>
    <w:p>
      <w:pPr>
        <w:widowControl/>
        <w:ind w:firstLine="0" w:firstLineChars="0"/>
        <w:rPr>
          <w:szCs w:val="28"/>
        </w:rPr>
      </w:pPr>
    </w:p>
    <w:p>
      <w:pPr>
        <w:widowControl/>
        <w:ind w:firstLine="0" w:firstLineChars="0"/>
        <w:rPr>
          <w:szCs w:val="28"/>
        </w:rPr>
      </w:pPr>
    </w:p>
    <w:p>
      <w:pPr>
        <w:widowControl/>
        <w:ind w:firstLine="0" w:firstLineChars="0"/>
        <w:rPr>
          <w:szCs w:val="28"/>
        </w:rPr>
      </w:pPr>
    </w:p>
    <w:p>
      <w:pPr>
        <w:widowControl/>
        <w:ind w:firstLine="0" w:firstLineChars="0"/>
        <w:rPr>
          <w:szCs w:val="28"/>
        </w:rPr>
      </w:pPr>
    </w:p>
    <w:p>
      <w:pPr>
        <w:widowControl/>
        <w:ind w:firstLine="0" w:firstLineChars="0"/>
        <w:rPr>
          <w:szCs w:val="28"/>
        </w:rPr>
      </w:pPr>
    </w:p>
    <w:p>
      <w:pPr>
        <w:widowControl/>
        <w:ind w:firstLine="0" w:firstLineChars="0"/>
        <w:rPr>
          <w:szCs w:val="28"/>
        </w:rPr>
      </w:pPr>
    </w:p>
    <w:p>
      <w:pPr>
        <w:widowControl/>
        <w:ind w:firstLine="0" w:firstLineChars="0"/>
        <w:rPr>
          <w:szCs w:val="28"/>
        </w:rPr>
      </w:pPr>
    </w:p>
    <w:p>
      <w:pPr>
        <w:widowControl/>
        <w:ind w:firstLine="0" w:firstLineChars="0"/>
        <w:rPr>
          <w:szCs w:val="28"/>
        </w:rPr>
      </w:pPr>
    </w:p>
    <w:p>
      <w:pPr>
        <w:adjustRightInd w:val="0"/>
        <w:snapToGrid w:val="0"/>
        <w:ind w:firstLine="0" w:firstLineChars="0"/>
        <w:jc w:val="left"/>
        <w:outlineLvl w:val="0"/>
        <w:rPr>
          <w:rFonts w:ascii="黑体" w:hAnsi="黑体" w:eastAsia="黑体" w:cs="黑体"/>
          <w:b/>
          <w:bCs/>
          <w:sz w:val="32"/>
          <w:szCs w:val="24"/>
        </w:rPr>
      </w:pPr>
      <w:bookmarkStart w:id="855" w:name="_Toc12584"/>
      <w:bookmarkStart w:id="856" w:name="_Toc15162"/>
      <w:bookmarkStart w:id="857" w:name="_Toc20321"/>
      <w:bookmarkStart w:id="858" w:name="_Toc6597"/>
      <w:bookmarkStart w:id="859" w:name="_Toc14528"/>
      <w:bookmarkStart w:id="860" w:name="_Toc29439"/>
      <w:bookmarkStart w:id="861" w:name="_Toc7639"/>
      <w:bookmarkStart w:id="862" w:name="_Toc8915"/>
      <w:bookmarkStart w:id="863" w:name="_Toc22227"/>
      <w:bookmarkStart w:id="864" w:name="_Toc25766"/>
      <w:bookmarkStart w:id="865" w:name="_Toc23235"/>
      <w:bookmarkStart w:id="866" w:name="_Toc15381"/>
      <w:bookmarkStart w:id="867" w:name="_Toc13905"/>
      <w:bookmarkStart w:id="868" w:name="_Toc11240"/>
      <w:bookmarkStart w:id="869" w:name="_Toc20133"/>
      <w:bookmarkStart w:id="870" w:name="_Toc12328"/>
      <w:bookmarkStart w:id="871" w:name="_Toc30299"/>
      <w:bookmarkStart w:id="872" w:name="_Toc13615"/>
      <w:bookmarkStart w:id="873" w:name="_Toc60126331"/>
      <w:bookmarkStart w:id="874" w:name="_Toc21400"/>
      <w:bookmarkStart w:id="875" w:name="_Toc16338"/>
      <w:bookmarkStart w:id="876" w:name="_Toc5194"/>
      <w:bookmarkStart w:id="877" w:name="_Toc26736"/>
      <w:bookmarkStart w:id="878" w:name="_Toc32189"/>
      <w:bookmarkStart w:id="879" w:name="_Toc6886"/>
      <w:bookmarkStart w:id="880" w:name="_Toc22273"/>
      <w:bookmarkStart w:id="881" w:name="_Toc22709"/>
      <w:bookmarkStart w:id="882" w:name="_Toc17335"/>
      <w:r>
        <w:rPr>
          <w:rFonts w:hint="eastAsia" w:ascii="黑体" w:hAnsi="黑体" w:eastAsia="黑体" w:cs="黑体"/>
          <w:b/>
          <w:bCs/>
          <w:sz w:val="32"/>
          <w:szCs w:val="24"/>
        </w:rPr>
        <w:t>附图</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pPr>
        <w:ind w:firstLine="640"/>
        <w:outlineLvl w:val="0"/>
        <w:rPr>
          <w:sz w:val="32"/>
          <w:szCs w:val="24"/>
        </w:rPr>
      </w:pPr>
      <w:bookmarkStart w:id="883" w:name="_Toc7117"/>
      <w:bookmarkStart w:id="884" w:name="_Toc26624"/>
      <w:bookmarkStart w:id="885" w:name="_Toc30102"/>
      <w:bookmarkStart w:id="886" w:name="_Toc21061"/>
      <w:bookmarkStart w:id="887" w:name="_Toc27874"/>
      <w:bookmarkStart w:id="888" w:name="_Toc16600"/>
      <w:bookmarkStart w:id="889" w:name="_Toc18257"/>
      <w:bookmarkStart w:id="890" w:name="_Toc2039"/>
      <w:bookmarkStart w:id="891" w:name="_Toc2230"/>
      <w:bookmarkStart w:id="892" w:name="_Toc6212"/>
      <w:bookmarkStart w:id="893" w:name="_Toc14597"/>
      <w:bookmarkStart w:id="894" w:name="_Toc18873"/>
      <w:bookmarkStart w:id="895" w:name="_Toc5405"/>
      <w:bookmarkStart w:id="896" w:name="_Toc30872"/>
      <w:r>
        <w:rPr>
          <w:sz w:val="32"/>
          <w:szCs w:val="24"/>
        </w:rPr>
        <w:t>01   区位图</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p>
      <w:pPr>
        <w:ind w:firstLine="640"/>
        <w:outlineLvl w:val="0"/>
        <w:rPr>
          <w:sz w:val="32"/>
          <w:szCs w:val="24"/>
        </w:rPr>
      </w:pPr>
      <w:bookmarkStart w:id="897" w:name="_Toc24459"/>
      <w:bookmarkStart w:id="898" w:name="_Toc8911"/>
      <w:bookmarkStart w:id="899" w:name="_Toc28285"/>
      <w:bookmarkStart w:id="900" w:name="_Toc18551"/>
      <w:bookmarkStart w:id="901" w:name="_Toc31173"/>
      <w:bookmarkStart w:id="902" w:name="_Toc45"/>
      <w:bookmarkStart w:id="903" w:name="_Toc6403"/>
      <w:bookmarkStart w:id="904" w:name="_Toc25344"/>
      <w:bookmarkStart w:id="905" w:name="_Toc5129"/>
      <w:bookmarkStart w:id="906" w:name="_Toc12111"/>
      <w:bookmarkStart w:id="907" w:name="_Toc21711"/>
      <w:bookmarkStart w:id="908" w:name="_Toc16632"/>
      <w:bookmarkStart w:id="909" w:name="_Toc26403"/>
      <w:bookmarkStart w:id="910" w:name="_Toc19487"/>
      <w:r>
        <w:rPr>
          <w:sz w:val="32"/>
          <w:szCs w:val="24"/>
        </w:rPr>
        <w:t>0</w:t>
      </w:r>
      <w:r>
        <w:rPr>
          <w:rFonts w:hint="eastAsia"/>
          <w:sz w:val="32"/>
          <w:szCs w:val="24"/>
        </w:rPr>
        <w:t>2</w:t>
      </w:r>
      <w:r>
        <w:rPr>
          <w:sz w:val="32"/>
          <w:szCs w:val="24"/>
        </w:rPr>
        <w:t xml:space="preserve">   </w:t>
      </w:r>
      <w:r>
        <w:rPr>
          <w:rFonts w:hint="eastAsia"/>
          <w:sz w:val="32"/>
          <w:szCs w:val="24"/>
        </w:rPr>
        <w:t>水环境功能区划图</w:t>
      </w:r>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pPr>
        <w:ind w:firstLine="640"/>
        <w:outlineLvl w:val="0"/>
        <w:rPr>
          <w:sz w:val="32"/>
          <w:szCs w:val="24"/>
        </w:rPr>
      </w:pPr>
      <w:bookmarkStart w:id="911" w:name="_Toc3277"/>
      <w:bookmarkStart w:id="912" w:name="_Toc2235"/>
      <w:bookmarkStart w:id="913" w:name="_Toc30065"/>
      <w:bookmarkStart w:id="914" w:name="_Toc27286"/>
      <w:bookmarkStart w:id="915" w:name="_Toc18945"/>
      <w:bookmarkStart w:id="916" w:name="_Toc6301"/>
      <w:bookmarkStart w:id="917" w:name="_Toc23619"/>
      <w:bookmarkStart w:id="918" w:name="_Toc26938"/>
      <w:bookmarkStart w:id="919" w:name="_Toc10293"/>
      <w:bookmarkStart w:id="920" w:name="_Toc11116"/>
      <w:bookmarkStart w:id="921" w:name="_Toc2730"/>
      <w:bookmarkStart w:id="922" w:name="_Toc17257"/>
      <w:bookmarkStart w:id="923" w:name="_Toc11158"/>
      <w:bookmarkStart w:id="924" w:name="_Toc13414"/>
      <w:r>
        <w:rPr>
          <w:sz w:val="32"/>
          <w:szCs w:val="24"/>
        </w:rPr>
        <w:t>0</w:t>
      </w:r>
      <w:r>
        <w:rPr>
          <w:rFonts w:hint="eastAsia"/>
          <w:sz w:val="32"/>
          <w:szCs w:val="24"/>
        </w:rPr>
        <w:t>3</w:t>
      </w:r>
      <w:r>
        <w:rPr>
          <w:sz w:val="32"/>
          <w:szCs w:val="24"/>
        </w:rPr>
        <w:t xml:space="preserve">   </w:t>
      </w:r>
      <w:r>
        <w:rPr>
          <w:rFonts w:hint="eastAsia"/>
          <w:sz w:val="32"/>
          <w:szCs w:val="24"/>
        </w:rPr>
        <w:t>监测点位分布图</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pPr>
        <w:pStyle w:val="11"/>
        <w:ind w:left="0" w:leftChars="0" w:firstLine="0" w:firstLineChars="0"/>
        <w:rPr>
          <w:rFonts w:eastAsia="仿宋_GB2312"/>
          <w:szCs w:val="28"/>
        </w:rPr>
      </w:pPr>
    </w:p>
    <w:p>
      <w:pPr>
        <w:pStyle w:val="11"/>
        <w:ind w:left="0" w:leftChars="0" w:firstLine="0" w:firstLineChars="0"/>
        <w:rPr>
          <w:rFonts w:eastAsia="仿宋_GB2312"/>
          <w:szCs w:val="28"/>
        </w:rPr>
        <w:sectPr>
          <w:pgSz w:w="11906" w:h="16838"/>
          <w:pgMar w:top="1440" w:right="1800" w:bottom="1440" w:left="1800" w:header="851" w:footer="992" w:gutter="0"/>
          <w:cols w:space="720" w:num="1"/>
          <w:docGrid w:type="lines" w:linePitch="312" w:charSpace="0"/>
        </w:sectPr>
      </w:pPr>
    </w:p>
    <w:p>
      <w:pPr>
        <w:pStyle w:val="11"/>
        <w:ind w:left="0" w:leftChars="0" w:firstLine="0" w:firstLineChars="0"/>
        <w:jc w:val="center"/>
        <w:rPr>
          <w:rFonts w:eastAsia="仿宋_GB2312"/>
          <w:szCs w:val="28"/>
        </w:rPr>
      </w:pPr>
      <w:r>
        <w:rPr>
          <w:rFonts w:hint="eastAsia" w:eastAsia="仿宋_GB2312"/>
          <w:szCs w:val="28"/>
        </w:rPr>
        <w:drawing>
          <wp:inline distT="0" distB="0" distL="114300" distR="114300">
            <wp:extent cx="7439660" cy="5262880"/>
            <wp:effectExtent l="9525" t="9525" r="18415" b="23495"/>
            <wp:docPr id="4" name="图片 3" descr="区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区位图"/>
                    <pic:cNvPicPr>
                      <a:picLocks noChangeAspect="1"/>
                    </pic:cNvPicPr>
                  </pic:nvPicPr>
                  <pic:blipFill>
                    <a:blip r:embed="rId11"/>
                    <a:stretch>
                      <a:fillRect/>
                    </a:stretch>
                  </pic:blipFill>
                  <pic:spPr>
                    <a:xfrm>
                      <a:off x="0" y="0"/>
                      <a:ext cx="7439660" cy="5262880"/>
                    </a:xfrm>
                    <a:prstGeom prst="rect">
                      <a:avLst/>
                    </a:prstGeom>
                    <a:noFill/>
                    <a:ln w="9525" cap="flat" cmpd="sng">
                      <a:solidFill>
                        <a:srgbClr val="000000"/>
                      </a:solidFill>
                      <a:prstDash val="solid"/>
                      <a:round/>
                      <a:headEnd type="none" w="med" len="med"/>
                      <a:tailEnd type="none" w="med" len="med"/>
                    </a:ln>
                  </pic:spPr>
                </pic:pic>
              </a:graphicData>
            </a:graphic>
          </wp:inline>
        </w:drawing>
      </w:r>
    </w:p>
    <w:p>
      <w:pPr>
        <w:ind w:firstLine="0" w:firstLineChars="0"/>
        <w:jc w:val="center"/>
      </w:pPr>
      <w:r>
        <w:rPr>
          <w:rFonts w:hint="eastAsia"/>
        </w:rPr>
        <w:drawing>
          <wp:inline distT="0" distB="0" distL="114300" distR="114300">
            <wp:extent cx="7450455" cy="5271135"/>
            <wp:effectExtent l="9525" t="9525" r="26670" b="15240"/>
            <wp:docPr id="5" name="图片 4" descr="水环境功能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水环境功能区划图"/>
                    <pic:cNvPicPr>
                      <a:picLocks noChangeAspect="1"/>
                    </pic:cNvPicPr>
                  </pic:nvPicPr>
                  <pic:blipFill>
                    <a:blip r:embed="rId12"/>
                    <a:stretch>
                      <a:fillRect/>
                    </a:stretch>
                  </pic:blipFill>
                  <pic:spPr>
                    <a:xfrm>
                      <a:off x="0" y="0"/>
                      <a:ext cx="7450455" cy="5271135"/>
                    </a:xfrm>
                    <a:prstGeom prst="rect">
                      <a:avLst/>
                    </a:prstGeom>
                    <a:noFill/>
                    <a:ln w="9525" cap="flat" cmpd="sng">
                      <a:solidFill>
                        <a:srgbClr val="000000"/>
                      </a:solidFill>
                      <a:prstDash val="solid"/>
                      <a:round/>
                      <a:headEnd type="none" w="med" len="med"/>
                      <a:tailEnd type="none" w="med" len="med"/>
                    </a:ln>
                  </pic:spPr>
                </pic:pic>
              </a:graphicData>
            </a:graphic>
          </wp:inline>
        </w:drawing>
      </w:r>
    </w:p>
    <w:p>
      <w:pPr>
        <w:pStyle w:val="11"/>
        <w:ind w:left="0" w:leftChars="0" w:firstLine="0" w:firstLineChars="0"/>
        <w:jc w:val="center"/>
      </w:pPr>
      <w:r>
        <w:rPr>
          <w:rFonts w:hint="eastAsia"/>
        </w:rPr>
        <w:drawing>
          <wp:inline distT="0" distB="0" distL="114300" distR="114300">
            <wp:extent cx="7448550" cy="5271135"/>
            <wp:effectExtent l="9525" t="9525" r="9525" b="15240"/>
            <wp:docPr id="3" name="图片 5" descr="监测点位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监测点位分布图"/>
                    <pic:cNvPicPr>
                      <a:picLocks noChangeAspect="1"/>
                    </pic:cNvPicPr>
                  </pic:nvPicPr>
                  <pic:blipFill>
                    <a:blip r:embed="rId13"/>
                    <a:stretch>
                      <a:fillRect/>
                    </a:stretch>
                  </pic:blipFill>
                  <pic:spPr>
                    <a:xfrm>
                      <a:off x="0" y="0"/>
                      <a:ext cx="7448550" cy="5271135"/>
                    </a:xfrm>
                    <a:prstGeom prst="rect">
                      <a:avLst/>
                    </a:prstGeom>
                    <a:noFill/>
                    <a:ln w="9525" cap="flat" cmpd="sng">
                      <a:solidFill>
                        <a:srgbClr val="000000"/>
                      </a:solidFill>
                      <a:prstDash val="solid"/>
                      <a:round/>
                      <a:headEnd type="none" w="med" len="med"/>
                      <a:tailEnd type="none" w="med" len="med"/>
                    </a:ln>
                  </pic:spPr>
                </pic:pic>
              </a:graphicData>
            </a:graphic>
          </wp:inline>
        </w:drawing>
      </w:r>
    </w:p>
    <w:sectPr>
      <w:pgSz w:w="16838" w:h="11906" w:orient="landscape"/>
      <w:pgMar w:top="1800" w:right="1440" w:bottom="1800" w:left="144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8"/>
                            <w:ind w:firstLine="0" w:firstLineChars="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pPr>
                      <w:pStyle w:val="8"/>
                      <w:ind w:firstLine="0" w:firstLineChars="0"/>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8"/>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pPr>
                      <w:pStyle w:val="8"/>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E94C889"/>
    <w:multiLevelType w:val="singleLevel"/>
    <w:tmpl w:val="7E94C889"/>
    <w:lvl w:ilvl="0" w:tentative="0">
      <w:start w:val="1"/>
      <w:numFmt w:val="decimal"/>
      <w:suff w:val="nothing"/>
      <w:lvlText w:val="%1"/>
      <w:lvlJc w:val="left"/>
      <w:pPr>
        <w:tabs>
          <w:tab w:val="left" w:pos="397"/>
        </w:tabs>
        <w:ind w:left="454" w:hanging="45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jYmU2MDJkYjEwN2FlNmY0N2Y4Y2MyMjQ2N2NlZTYifQ=="/>
  </w:docVars>
  <w:rsids>
    <w:rsidRoot w:val="48A8297C"/>
    <w:rsid w:val="001A135B"/>
    <w:rsid w:val="0033702A"/>
    <w:rsid w:val="004D793E"/>
    <w:rsid w:val="00F4589C"/>
    <w:rsid w:val="29BB64E1"/>
    <w:rsid w:val="48A829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560" w:firstLineChars="200"/>
      <w:jc w:val="both"/>
    </w:pPr>
    <w:rPr>
      <w:rFonts w:ascii="Times New Roman" w:hAnsi="Times New Roman" w:eastAsia="仿宋_GB2312" w:cs="Times New Roman"/>
      <w:kern w:val="2"/>
      <w:sz w:val="28"/>
      <w:szCs w:val="22"/>
      <w:lang w:val="en-US" w:eastAsia="zh-CN" w:bidi="ar-SA"/>
    </w:rPr>
  </w:style>
  <w:style w:type="paragraph" w:styleId="4">
    <w:name w:val="heading 1"/>
    <w:basedOn w:val="1"/>
    <w:next w:val="1"/>
    <w:qFormat/>
    <w:uiPriority w:val="0"/>
    <w:pPr>
      <w:keepNext/>
      <w:keepLines/>
      <w:spacing w:before="340" w:after="330" w:line="576" w:lineRule="auto"/>
      <w:ind w:firstLine="0" w:firstLineChars="0"/>
      <w:jc w:val="center"/>
      <w:outlineLvl w:val="0"/>
    </w:pPr>
    <w:rPr>
      <w:rFonts w:eastAsia="黑体"/>
      <w:b/>
      <w:kern w:val="44"/>
      <w:sz w:val="32"/>
    </w:rPr>
  </w:style>
  <w:style w:type="paragraph" w:styleId="5">
    <w:name w:val="heading 2"/>
    <w:basedOn w:val="1"/>
    <w:next w:val="1"/>
    <w:qFormat/>
    <w:uiPriority w:val="0"/>
    <w:pPr>
      <w:keepNext/>
      <w:keepLines/>
      <w:spacing w:line="360" w:lineRule="auto"/>
      <w:ind w:firstLine="0" w:firstLineChars="0"/>
      <w:outlineLvl w:val="1"/>
    </w:pPr>
    <w:rPr>
      <w:rFonts w:ascii="Arial" w:hAnsi="Arial" w:eastAsia="黑体"/>
      <w:sz w:val="32"/>
    </w:rPr>
  </w:style>
  <w:style w:type="paragraph" w:styleId="6">
    <w:name w:val="heading 3"/>
    <w:basedOn w:val="1"/>
    <w:next w:val="1"/>
    <w:link w:val="14"/>
    <w:qFormat/>
    <w:uiPriority w:val="0"/>
    <w:pPr>
      <w:keepNext/>
      <w:keepLines/>
      <w:spacing w:line="360" w:lineRule="auto"/>
      <w:outlineLvl w:val="2"/>
    </w:pPr>
    <w:rPr>
      <w:rFonts w:eastAsia="楷体"/>
      <w:b/>
      <w:sz w:val="32"/>
    </w:rPr>
  </w:style>
  <w:style w:type="character" w:default="1" w:styleId="13">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正文文本首行缩进 21"/>
    <w:basedOn w:val="3"/>
    <w:next w:val="1"/>
    <w:unhideWhenUsed/>
    <w:qFormat/>
    <w:uiPriority w:val="99"/>
    <w:pPr>
      <w:widowControl w:val="0"/>
      <w:ind w:firstLine="420"/>
      <w:jc w:val="both"/>
    </w:pPr>
    <w:rPr>
      <w:rFonts w:ascii="Times New Roman" w:hAnsi="Times New Roman"/>
    </w:rPr>
  </w:style>
  <w:style w:type="paragraph" w:styleId="3">
    <w:name w:val="Body Text Indent"/>
    <w:basedOn w:val="1"/>
    <w:unhideWhenUsed/>
    <w:qFormat/>
    <w:uiPriority w:val="99"/>
    <w:pPr>
      <w:widowControl/>
      <w:spacing w:after="120"/>
      <w:ind w:left="420" w:leftChars="200"/>
      <w:jc w:val="left"/>
    </w:pPr>
    <w:rPr>
      <w:rFonts w:ascii="Calibri" w:hAnsi="Calibri" w:eastAsia="宋体"/>
    </w:rPr>
  </w:style>
  <w:style w:type="paragraph" w:styleId="7">
    <w:name w:val="Balloon Text"/>
    <w:basedOn w:val="1"/>
    <w:link w:val="15"/>
    <w:qFormat/>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toc 1"/>
    <w:basedOn w:val="1"/>
    <w:next w:val="1"/>
    <w:qFormat/>
    <w:uiPriority w:val="0"/>
    <w:pPr>
      <w:ind w:firstLine="0" w:firstLineChars="0"/>
    </w:pPr>
    <w:rPr>
      <w:rFonts w:eastAsia="黑体"/>
      <w:sz w:val="24"/>
    </w:rPr>
  </w:style>
  <w:style w:type="paragraph" w:styleId="10">
    <w:name w:val="toc 2"/>
    <w:basedOn w:val="1"/>
    <w:next w:val="1"/>
    <w:qFormat/>
    <w:uiPriority w:val="0"/>
    <w:rPr>
      <w:sz w:val="24"/>
    </w:rPr>
  </w:style>
  <w:style w:type="paragraph" w:styleId="11">
    <w:name w:val="Body Text First Indent 2"/>
    <w:basedOn w:val="3"/>
    <w:next w:val="1"/>
    <w:unhideWhenUsed/>
    <w:qFormat/>
    <w:uiPriority w:val="99"/>
    <w:pPr>
      <w:widowControl w:val="0"/>
      <w:ind w:firstLine="420"/>
      <w:jc w:val="both"/>
    </w:pPr>
    <w:rPr>
      <w:rFonts w:ascii="Times New Roman" w:hAnsi="Times New Roman"/>
    </w:rPr>
  </w:style>
  <w:style w:type="character" w:customStyle="1" w:styleId="14">
    <w:name w:val="标题 3 Char"/>
    <w:link w:val="6"/>
    <w:qFormat/>
    <w:uiPriority w:val="0"/>
    <w:rPr>
      <w:rFonts w:eastAsia="楷体"/>
      <w:b/>
      <w:sz w:val="32"/>
    </w:rPr>
  </w:style>
  <w:style w:type="character" w:customStyle="1" w:styleId="15">
    <w:name w:val="批注框文本 Char"/>
    <w:basedOn w:val="13"/>
    <w:link w:val="7"/>
    <w:qFormat/>
    <w:uiPriority w:val="0"/>
    <w:rPr>
      <w:rFonts w:eastAsia="仿宋_GB2312"/>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Group</Company>
  <Pages>60</Pages>
  <Words>26311</Words>
  <Characters>27147</Characters>
  <Lines>207</Lines>
  <Paragraphs>58</Paragraphs>
  <TotalTime>1</TotalTime>
  <ScaleCrop>false</ScaleCrop>
  <LinksUpToDate>false</LinksUpToDate>
  <CharactersWithSpaces>27205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2021-12-10T13:19:00Z</dcterms:created>
  <dc:creator>Z团长</dc:creator>
  <cp:lastModifiedBy>匿名用户</cp:lastModifiedBy>
  <dcterms:modified xsi:type="dcterms:W3CDTF">2022-10-24T04:22:20Z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D34C5E75E1F2437781658912FE744455</vt:lpwstr>
  </property>
</Properties>
</file>