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after="240" w:line="360" w:lineRule="auto"/>
        <w:jc w:val="center"/>
        <w:rPr>
          <w:rFonts w:ascii="黑体" w:hAnsi="黑体" w:eastAsia="黑体"/>
          <w:sz w:val="40"/>
          <w:szCs w:val="36"/>
        </w:rPr>
      </w:pPr>
      <w:r>
        <w:rPr>
          <w:rFonts w:hint="eastAsia" w:ascii="黑体" w:hAnsi="黑体" w:eastAsia="黑体"/>
          <w:sz w:val="40"/>
          <w:szCs w:val="36"/>
        </w:rPr>
        <w:t>杭州市殡葬设施专项规划（2021-2035</w:t>
      </w:r>
      <w:r>
        <w:rPr>
          <w:rFonts w:hint="eastAsia" w:ascii="黑体" w:hAnsi="黑体" w:eastAsia="黑体"/>
          <w:sz w:val="40"/>
          <w:szCs w:val="36"/>
          <w:lang w:eastAsia="zh-CN"/>
        </w:rPr>
        <w:t>年</w:t>
      </w:r>
      <w:bookmarkStart w:id="1" w:name="_GoBack"/>
      <w:bookmarkEnd w:id="1"/>
      <w:r>
        <w:rPr>
          <w:rFonts w:hint="eastAsia" w:ascii="黑体" w:hAnsi="黑体" w:eastAsia="黑体"/>
          <w:sz w:val="40"/>
          <w:szCs w:val="36"/>
        </w:rPr>
        <w:t>）</w:t>
      </w:r>
    </w:p>
    <w:p>
      <w:pPr>
        <w:spacing w:before="240" w:after="240" w:line="360" w:lineRule="auto"/>
        <w:jc w:val="center"/>
        <w:rPr>
          <w:rFonts w:ascii="黑体" w:hAnsi="黑体" w:eastAsia="黑体"/>
          <w:sz w:val="32"/>
          <w:szCs w:val="36"/>
        </w:rPr>
      </w:pPr>
      <w:r>
        <w:rPr>
          <w:rFonts w:hint="eastAsia" w:ascii="黑体" w:hAnsi="黑体" w:eastAsia="黑体"/>
          <w:sz w:val="32"/>
          <w:szCs w:val="36"/>
          <w:lang w:eastAsia="zh-CN"/>
        </w:rPr>
        <w:t>（征求意见</w:t>
      </w:r>
      <w:r>
        <w:rPr>
          <w:rFonts w:hint="eastAsia" w:ascii="黑体" w:hAnsi="黑体" w:eastAsia="黑体"/>
          <w:sz w:val="32"/>
          <w:szCs w:val="36"/>
        </w:rPr>
        <w:t>稿</w:t>
      </w:r>
      <w:r>
        <w:rPr>
          <w:rFonts w:hint="eastAsia" w:ascii="黑体" w:hAnsi="黑体" w:eastAsia="黑体"/>
          <w:sz w:val="32"/>
          <w:szCs w:val="36"/>
          <w:lang w:eastAsia="zh-CN"/>
        </w:rPr>
        <w:t>）</w:t>
      </w:r>
    </w:p>
    <w:p>
      <w:pPr>
        <w:jc w:val="left"/>
        <w:outlineLvl w:val="0"/>
        <w:rPr>
          <w:rFonts w:ascii="黑体" w:hAnsi="黑体" w:eastAsia="黑体"/>
          <w:sz w:val="28"/>
        </w:rPr>
      </w:pPr>
      <w:r>
        <w:rPr>
          <w:rFonts w:hint="eastAsia" w:ascii="黑体" w:hAnsi="黑体" w:eastAsia="黑体"/>
          <w:sz w:val="28"/>
        </w:rPr>
        <w:t>一、规划背景</w:t>
      </w:r>
    </w:p>
    <w:p>
      <w:pPr>
        <w:ind w:firstLine="560" w:firstLineChars="200"/>
        <w:rPr>
          <w:rFonts w:ascii="宋体" w:hAnsi="宋体" w:eastAsia="宋体"/>
          <w:sz w:val="28"/>
        </w:rPr>
      </w:pPr>
      <w:r>
        <w:rPr>
          <w:rFonts w:hint="eastAsia" w:ascii="宋体" w:hAnsi="宋体" w:eastAsia="宋体"/>
          <w:sz w:val="28"/>
        </w:rPr>
        <w:t>为全面贯彻落实中央深化殡葬改革要求，推进新时代民政事业高质量发展，打造殡葬综合改革“杭州样本”，特开展《杭州市殡葬设施专项规划（2021—2035）》项目编制工作，以有效指导杭州市殡葬设施的建设。</w:t>
      </w:r>
    </w:p>
    <w:p>
      <w:pPr>
        <w:jc w:val="left"/>
        <w:outlineLvl w:val="0"/>
        <w:rPr>
          <w:rFonts w:ascii="黑体" w:hAnsi="黑体" w:eastAsia="黑体"/>
          <w:sz w:val="28"/>
        </w:rPr>
      </w:pPr>
      <w:r>
        <w:rPr>
          <w:rFonts w:hint="eastAsia" w:ascii="黑体" w:hAnsi="黑体" w:eastAsia="黑体"/>
          <w:sz w:val="28"/>
        </w:rPr>
        <w:t>二、规划依据</w:t>
      </w:r>
    </w:p>
    <w:p>
      <w:pPr>
        <w:ind w:firstLine="560" w:firstLineChars="200"/>
        <w:rPr>
          <w:rFonts w:ascii="宋体" w:hAnsi="宋体" w:eastAsia="宋体"/>
          <w:sz w:val="28"/>
        </w:rPr>
      </w:pPr>
      <w:r>
        <w:rPr>
          <w:rFonts w:hint="eastAsia" w:ascii="宋体" w:hAnsi="宋体" w:eastAsia="宋体"/>
          <w:sz w:val="28"/>
        </w:rPr>
        <w:t xml:space="preserve">《中华人民共和国城乡规划法》（2019修正） </w:t>
      </w:r>
    </w:p>
    <w:p>
      <w:pPr>
        <w:ind w:firstLine="560" w:firstLineChars="200"/>
        <w:rPr>
          <w:rFonts w:ascii="宋体" w:hAnsi="宋体" w:eastAsia="宋体"/>
          <w:sz w:val="28"/>
        </w:rPr>
      </w:pPr>
      <w:r>
        <w:rPr>
          <w:rFonts w:hint="eastAsia" w:ascii="宋体" w:hAnsi="宋体" w:eastAsia="宋体"/>
          <w:sz w:val="28"/>
        </w:rPr>
        <w:t xml:space="preserve">《殡葬管理条例》（国务院令第628号，2012） </w:t>
      </w:r>
    </w:p>
    <w:p>
      <w:pPr>
        <w:ind w:firstLine="560" w:firstLineChars="200"/>
        <w:rPr>
          <w:rFonts w:ascii="宋体" w:hAnsi="宋体" w:eastAsia="宋体"/>
          <w:sz w:val="28"/>
        </w:rPr>
      </w:pPr>
      <w:r>
        <w:rPr>
          <w:rFonts w:hint="eastAsia" w:ascii="宋体" w:hAnsi="宋体" w:eastAsia="宋体"/>
          <w:sz w:val="28"/>
        </w:rPr>
        <w:t xml:space="preserve">《殡葬术语》(GB/T 23287-2009) </w:t>
      </w:r>
    </w:p>
    <w:p>
      <w:pPr>
        <w:ind w:firstLine="560" w:firstLineChars="200"/>
        <w:rPr>
          <w:rFonts w:ascii="宋体" w:hAnsi="宋体" w:eastAsia="宋体"/>
          <w:sz w:val="28"/>
        </w:rPr>
      </w:pPr>
      <w:r>
        <w:rPr>
          <w:rFonts w:hint="eastAsia" w:ascii="宋体" w:hAnsi="宋体" w:eastAsia="宋体"/>
          <w:sz w:val="28"/>
        </w:rPr>
        <w:t>《浙江省殡葬管理条例》（1998年1月1日起施行）</w:t>
      </w:r>
    </w:p>
    <w:p>
      <w:pPr>
        <w:ind w:firstLine="560" w:firstLineChars="200"/>
        <w:rPr>
          <w:rFonts w:ascii="宋体" w:hAnsi="宋体" w:eastAsia="宋体"/>
          <w:sz w:val="28"/>
        </w:rPr>
      </w:pPr>
      <w:r>
        <w:rPr>
          <w:rFonts w:hint="eastAsia" w:ascii="宋体" w:hAnsi="宋体" w:eastAsia="宋体"/>
          <w:sz w:val="28"/>
        </w:rPr>
        <w:t>《浙江省公墓管理办法》（省政府令第213号，2006）</w:t>
      </w:r>
    </w:p>
    <w:p>
      <w:pPr>
        <w:ind w:firstLine="560" w:firstLineChars="200"/>
        <w:rPr>
          <w:rFonts w:ascii="宋体" w:hAnsi="宋体" w:eastAsia="宋体"/>
          <w:sz w:val="28"/>
        </w:rPr>
      </w:pPr>
      <w:r>
        <w:rPr>
          <w:rFonts w:hint="eastAsia" w:ascii="宋体" w:hAnsi="宋体" w:eastAsia="宋体"/>
          <w:sz w:val="28"/>
        </w:rPr>
        <w:t>《关于进一步推动殡葬改革促进殡葬事业发展的指导意见》（民发〔2018〕5号）</w:t>
      </w:r>
    </w:p>
    <w:p>
      <w:pPr>
        <w:ind w:firstLine="560" w:firstLineChars="200"/>
        <w:rPr>
          <w:rFonts w:ascii="宋体" w:hAnsi="宋体" w:eastAsia="宋体"/>
          <w:sz w:val="28"/>
        </w:rPr>
      </w:pPr>
      <w:r>
        <w:rPr>
          <w:rFonts w:hint="eastAsia" w:ascii="宋体" w:hAnsi="宋体" w:eastAsia="宋体"/>
          <w:sz w:val="28"/>
        </w:rPr>
        <w:t>《关于推进新时代民政事业高质量发展的意见》（浙委发〔2019〕27号）</w:t>
      </w:r>
    </w:p>
    <w:p>
      <w:pPr>
        <w:ind w:firstLine="560" w:firstLineChars="200"/>
        <w:rPr>
          <w:rFonts w:ascii="宋体" w:hAnsi="宋体" w:eastAsia="宋体"/>
          <w:sz w:val="28"/>
        </w:rPr>
      </w:pPr>
      <w:r>
        <w:rPr>
          <w:rFonts w:hint="eastAsia" w:ascii="宋体" w:hAnsi="宋体" w:eastAsia="宋体"/>
          <w:sz w:val="28"/>
        </w:rPr>
        <w:t>《关于着力打造六大示范区推进新时代民政事业高质量发展的实施意见》（市委发〔2020〕16号）</w:t>
      </w:r>
    </w:p>
    <w:p>
      <w:pPr>
        <w:ind w:firstLine="560" w:firstLineChars="200"/>
        <w:rPr>
          <w:rFonts w:ascii="宋体" w:hAnsi="宋体" w:eastAsia="宋体"/>
          <w:sz w:val="28"/>
        </w:rPr>
      </w:pPr>
      <w:r>
        <w:rPr>
          <w:rFonts w:hint="eastAsia" w:ascii="宋体" w:hAnsi="宋体" w:eastAsia="宋体"/>
          <w:sz w:val="28"/>
        </w:rPr>
        <w:t>《关于全面深化改革的实施意见》（市委办发〔2020〕62号）</w:t>
      </w:r>
    </w:p>
    <w:p>
      <w:pPr>
        <w:ind w:firstLine="560" w:firstLineChars="200"/>
        <w:rPr>
          <w:rFonts w:ascii="宋体" w:hAnsi="宋体" w:eastAsia="宋体"/>
          <w:sz w:val="28"/>
        </w:rPr>
      </w:pPr>
      <w:r>
        <w:rPr>
          <w:rFonts w:hint="eastAsia" w:ascii="宋体" w:hAnsi="宋体" w:eastAsia="宋体"/>
          <w:sz w:val="28"/>
        </w:rPr>
        <w:t>《杭州市国土空间总体规划（2021-2035年）》（在编）</w:t>
      </w:r>
    </w:p>
    <w:p>
      <w:pPr>
        <w:ind w:firstLine="560" w:firstLineChars="200"/>
        <w:rPr>
          <w:rFonts w:ascii="宋体" w:hAnsi="宋体" w:eastAsia="宋体"/>
          <w:sz w:val="28"/>
        </w:rPr>
      </w:pPr>
      <w:r>
        <w:rPr>
          <w:rFonts w:hint="eastAsia" w:ascii="宋体" w:hAnsi="宋体" w:eastAsia="宋体"/>
          <w:sz w:val="28"/>
        </w:rPr>
        <w:t>《杭州市民政事业发展“十四五”规划》</w:t>
      </w:r>
    </w:p>
    <w:p>
      <w:pPr>
        <w:ind w:firstLine="560" w:firstLineChars="200"/>
        <w:rPr>
          <w:rFonts w:ascii="宋体" w:hAnsi="宋体" w:eastAsia="宋体"/>
          <w:sz w:val="28"/>
        </w:rPr>
      </w:pPr>
      <w:r>
        <w:rPr>
          <w:rFonts w:hint="eastAsia" w:ascii="宋体" w:hAnsi="宋体" w:eastAsia="宋体"/>
          <w:sz w:val="28"/>
        </w:rPr>
        <w:t>其他相关法律法规、政策文件、规划、规范等</w:t>
      </w:r>
    </w:p>
    <w:p>
      <w:pPr>
        <w:jc w:val="left"/>
        <w:outlineLvl w:val="0"/>
        <w:rPr>
          <w:rFonts w:ascii="黑体" w:hAnsi="黑体" w:eastAsia="黑体"/>
          <w:sz w:val="28"/>
        </w:rPr>
      </w:pPr>
      <w:r>
        <w:rPr>
          <w:rFonts w:hint="eastAsia" w:ascii="黑体" w:hAnsi="黑体" w:eastAsia="黑体"/>
          <w:sz w:val="28"/>
        </w:rPr>
        <w:t>三、规划原则</w:t>
      </w:r>
    </w:p>
    <w:p>
      <w:pPr>
        <w:ind w:firstLine="562" w:firstLineChars="200"/>
        <w:rPr>
          <w:rFonts w:ascii="宋体" w:hAnsi="宋体" w:eastAsia="宋体"/>
          <w:sz w:val="28"/>
        </w:rPr>
      </w:pPr>
      <w:bookmarkStart w:id="0" w:name="_Hlk82363510"/>
      <w:r>
        <w:rPr>
          <w:rFonts w:hint="eastAsia" w:ascii="宋体" w:hAnsi="宋体" w:eastAsia="宋体"/>
          <w:b/>
          <w:sz w:val="28"/>
        </w:rPr>
        <w:t>多规协调，合理布局</w:t>
      </w:r>
      <w:r>
        <w:rPr>
          <w:rFonts w:ascii="宋体" w:hAnsi="宋体" w:eastAsia="宋体"/>
          <w:b/>
          <w:sz w:val="28"/>
        </w:rPr>
        <w:t>：</w:t>
      </w:r>
      <w:r>
        <w:rPr>
          <w:rFonts w:hint="eastAsia" w:ascii="宋体" w:hAnsi="宋体" w:eastAsia="宋体"/>
          <w:sz w:val="28"/>
        </w:rPr>
        <w:t>抓住新一轮国土空间规划编制契机，将殡葬设施规划纳入国土空间规划，统筹解决矛盾冲突。考虑各区县市实际需求，合理布局。</w:t>
      </w:r>
    </w:p>
    <w:p>
      <w:pPr>
        <w:ind w:firstLine="562" w:firstLineChars="200"/>
        <w:rPr>
          <w:rFonts w:ascii="宋体" w:hAnsi="宋体" w:eastAsia="宋体"/>
          <w:sz w:val="28"/>
        </w:rPr>
      </w:pPr>
      <w:r>
        <w:rPr>
          <w:rFonts w:hint="eastAsia" w:ascii="宋体" w:hAnsi="宋体" w:eastAsia="宋体"/>
          <w:b/>
          <w:sz w:val="28"/>
        </w:rPr>
        <w:t>尊重历史，以人为本</w:t>
      </w:r>
      <w:r>
        <w:rPr>
          <w:rFonts w:ascii="宋体" w:hAnsi="宋体" w:eastAsia="宋体"/>
          <w:b/>
          <w:sz w:val="28"/>
        </w:rPr>
        <w:t>：</w:t>
      </w:r>
      <w:r>
        <w:rPr>
          <w:rFonts w:hint="eastAsia" w:ascii="宋体" w:hAnsi="宋体" w:eastAsia="宋体"/>
          <w:sz w:val="28"/>
        </w:rPr>
        <w:t>尊重杭州市居民传统殡葬习惯，贯彻殡葬改革精神，严格保护土地资源。推进生态文明建设，促进人和自然和谐发展。</w:t>
      </w:r>
    </w:p>
    <w:p>
      <w:pPr>
        <w:ind w:firstLine="562" w:firstLineChars="200"/>
        <w:rPr>
          <w:rFonts w:ascii="宋体" w:hAnsi="宋体" w:eastAsia="宋体"/>
          <w:sz w:val="28"/>
        </w:rPr>
      </w:pPr>
      <w:r>
        <w:rPr>
          <w:rFonts w:hint="eastAsia" w:ascii="宋体" w:hAnsi="宋体" w:eastAsia="宋体"/>
          <w:b/>
          <w:sz w:val="28"/>
        </w:rPr>
        <w:t>统筹平衡，服务多元</w:t>
      </w:r>
      <w:r>
        <w:rPr>
          <w:rFonts w:ascii="宋体" w:hAnsi="宋体" w:eastAsia="宋体"/>
          <w:b/>
          <w:sz w:val="28"/>
        </w:rPr>
        <w:t>：</w:t>
      </w:r>
      <w:r>
        <w:rPr>
          <w:rFonts w:hint="eastAsia" w:ascii="宋体" w:hAnsi="宋体" w:eastAsia="宋体"/>
          <w:sz w:val="28"/>
        </w:rPr>
        <w:t>统筹实际需求和各方面因素，因地制宜布局殡葬设施，强分区分类指导，努力缩小城乡、区域之间殡葬服务水平差距，提供多元化殡葬服务。</w:t>
      </w:r>
    </w:p>
    <w:p>
      <w:pPr>
        <w:ind w:firstLine="562" w:firstLineChars="200"/>
        <w:rPr>
          <w:rFonts w:ascii="宋体" w:hAnsi="宋体" w:eastAsia="宋体"/>
          <w:sz w:val="28"/>
        </w:rPr>
      </w:pPr>
      <w:r>
        <w:rPr>
          <w:rFonts w:hint="eastAsia" w:ascii="宋体" w:hAnsi="宋体" w:eastAsia="宋体"/>
          <w:b/>
          <w:sz w:val="28"/>
        </w:rPr>
        <w:t>生态优先，节约土地</w:t>
      </w:r>
      <w:r>
        <w:rPr>
          <w:rFonts w:ascii="宋体" w:hAnsi="宋体" w:eastAsia="宋体"/>
          <w:b/>
          <w:sz w:val="28"/>
        </w:rPr>
        <w:t>：</w:t>
      </w:r>
      <w:r>
        <w:rPr>
          <w:rFonts w:hint="eastAsia" w:ascii="宋体" w:hAnsi="宋体" w:eastAsia="宋体"/>
          <w:sz w:val="28"/>
        </w:rPr>
        <w:t>坚持绿色发展理念，大力推行不占或少占土地资源节地生态安葬方式。加强基本殡葬设施用地保障，在符合国土空间规划的前提下，优先保障节地生态安葬设施建设项目用地。</w:t>
      </w:r>
    </w:p>
    <w:p>
      <w:pPr>
        <w:ind w:firstLine="562" w:firstLineChars="200"/>
        <w:rPr>
          <w:rFonts w:ascii="宋体" w:hAnsi="宋体" w:eastAsia="宋体"/>
          <w:sz w:val="28"/>
        </w:rPr>
      </w:pPr>
      <w:r>
        <w:rPr>
          <w:rFonts w:hint="eastAsia" w:ascii="宋体" w:hAnsi="宋体" w:eastAsia="宋体"/>
          <w:b/>
          <w:sz w:val="28"/>
        </w:rPr>
        <w:t>增减挂钩，预留空间</w:t>
      </w:r>
      <w:r>
        <w:rPr>
          <w:rFonts w:ascii="宋体" w:hAnsi="宋体" w:eastAsia="宋体"/>
          <w:b/>
          <w:sz w:val="28"/>
        </w:rPr>
        <w:t>：</w:t>
      </w:r>
      <w:r>
        <w:rPr>
          <w:rFonts w:hint="eastAsia" w:ascii="宋体" w:hAnsi="宋体" w:eastAsia="宋体"/>
          <w:sz w:val="28"/>
        </w:rPr>
        <w:t>完善殡葬设施用地投入机制、服务规范和建设标准，预留好近远期殡葬设施发展空间，针对封闭性墓地提出建设性生态修复意见，腾挪建设用地指标。</w:t>
      </w:r>
    </w:p>
    <w:bookmarkEnd w:id="0"/>
    <w:p>
      <w:pPr>
        <w:jc w:val="left"/>
        <w:outlineLvl w:val="0"/>
        <w:rPr>
          <w:rFonts w:ascii="黑体" w:hAnsi="黑体" w:eastAsia="黑体"/>
          <w:sz w:val="28"/>
        </w:rPr>
      </w:pPr>
      <w:r>
        <w:rPr>
          <w:rFonts w:hint="eastAsia" w:ascii="黑体" w:hAnsi="黑体" w:eastAsia="黑体"/>
          <w:sz w:val="28"/>
        </w:rPr>
        <w:t>四、范围期限</w:t>
      </w:r>
    </w:p>
    <w:p>
      <w:pPr>
        <w:ind w:firstLine="560" w:firstLineChars="200"/>
        <w:rPr>
          <w:rFonts w:ascii="宋体" w:hAnsi="宋体" w:eastAsia="宋体"/>
          <w:sz w:val="28"/>
        </w:rPr>
      </w:pPr>
      <w:r>
        <w:rPr>
          <w:rFonts w:hint="eastAsia" w:ascii="宋体" w:hAnsi="宋体" w:eastAsia="宋体"/>
          <w:sz w:val="28"/>
        </w:rPr>
        <w:t>1、规划范围</w:t>
      </w:r>
    </w:p>
    <w:p>
      <w:pPr>
        <w:ind w:firstLine="560" w:firstLineChars="200"/>
        <w:rPr>
          <w:rFonts w:ascii="宋体" w:hAnsi="宋体" w:eastAsia="宋体"/>
          <w:sz w:val="28"/>
        </w:rPr>
      </w:pPr>
      <w:r>
        <w:rPr>
          <w:rFonts w:hint="eastAsia" w:ascii="宋体" w:hAnsi="宋体" w:eastAsia="宋体"/>
          <w:sz w:val="28"/>
        </w:rPr>
        <w:t>规划范围为杭州市域范围，约1.68万平方千米，包括上城区、拱墅区、西湖区、滨江区、萧山区、余杭区、临平区、钱塘区、富阳区、临安区、建德市、桐庐县、淳安县。</w:t>
      </w:r>
    </w:p>
    <w:p>
      <w:pPr>
        <w:ind w:firstLine="560" w:firstLineChars="200"/>
        <w:rPr>
          <w:rFonts w:ascii="宋体" w:hAnsi="宋体" w:eastAsia="宋体"/>
          <w:sz w:val="28"/>
        </w:rPr>
      </w:pPr>
      <w:r>
        <w:rPr>
          <w:rFonts w:hint="eastAsia" w:ascii="宋体" w:hAnsi="宋体" w:eastAsia="宋体"/>
          <w:sz w:val="28"/>
        </w:rPr>
        <w:t>2、规划期限</w:t>
      </w:r>
    </w:p>
    <w:p>
      <w:pPr>
        <w:ind w:firstLine="560" w:firstLineChars="200"/>
        <w:rPr>
          <w:rFonts w:ascii="宋体" w:hAnsi="宋体" w:eastAsia="宋体"/>
          <w:sz w:val="28"/>
        </w:rPr>
      </w:pPr>
      <w:r>
        <w:rPr>
          <w:rFonts w:hint="eastAsia" w:ascii="宋体" w:hAnsi="宋体" w:eastAsia="宋体"/>
          <w:sz w:val="28"/>
        </w:rPr>
        <w:t>近期：2021-2025年；</w:t>
      </w:r>
    </w:p>
    <w:p>
      <w:pPr>
        <w:ind w:firstLine="560" w:firstLineChars="200"/>
        <w:rPr>
          <w:rFonts w:ascii="宋体" w:hAnsi="宋体" w:eastAsia="宋体"/>
          <w:sz w:val="28"/>
        </w:rPr>
      </w:pPr>
      <w:r>
        <w:rPr>
          <w:rFonts w:hint="eastAsia" w:ascii="宋体" w:hAnsi="宋体" w:eastAsia="宋体"/>
          <w:sz w:val="28"/>
        </w:rPr>
        <w:t>远期：2026-2035年。</w:t>
      </w:r>
    </w:p>
    <w:p>
      <w:pPr>
        <w:jc w:val="left"/>
        <w:outlineLvl w:val="0"/>
        <w:rPr>
          <w:rFonts w:ascii="黑体" w:hAnsi="黑体" w:eastAsia="黑体"/>
          <w:sz w:val="28"/>
        </w:rPr>
      </w:pPr>
      <w:r>
        <w:rPr>
          <w:rFonts w:hint="eastAsia" w:ascii="黑体" w:hAnsi="黑体" w:eastAsia="黑体"/>
          <w:sz w:val="28"/>
        </w:rPr>
        <w:t>五、现状梳理</w:t>
      </w:r>
    </w:p>
    <w:p>
      <w:pPr>
        <w:ind w:firstLine="560" w:firstLineChars="200"/>
        <w:rPr>
          <w:rFonts w:ascii="宋体" w:hAnsi="宋体" w:eastAsia="宋体"/>
          <w:sz w:val="28"/>
        </w:rPr>
      </w:pPr>
      <w:r>
        <w:rPr>
          <w:rFonts w:hint="eastAsia" w:ascii="宋体" w:hAnsi="宋体" w:eastAsia="宋体"/>
          <w:sz w:val="28"/>
        </w:rPr>
        <w:t>现状全市共有殡仪馆9家，公墓3168处，其中市级公墓24处，区级公墓30处，乡镇公墓114处，村级公墓3024处,现状殡葬设施基本能满足使用需求。</w:t>
      </w:r>
    </w:p>
    <w:p>
      <w:pPr>
        <w:jc w:val="center"/>
        <w:rPr>
          <w:rFonts w:ascii="宋体" w:hAnsi="宋体" w:eastAsia="宋体"/>
          <w:sz w:val="28"/>
        </w:rPr>
      </w:pPr>
      <w:r>
        <w:rPr>
          <w:rFonts w:ascii="宋体" w:hAnsi="宋体" w:eastAsia="宋体"/>
          <w:sz w:val="28"/>
        </w:rPr>
        <w:drawing>
          <wp:inline distT="0" distB="0" distL="0" distR="0">
            <wp:extent cx="5274310" cy="3707765"/>
            <wp:effectExtent l="0" t="0" r="2540" b="0"/>
            <wp:docPr id="18" name="图片 17" descr="安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安葬"/>
                    <pic:cNvPicPr>
                      <a:picLocks noChangeAspect="1"/>
                    </pic:cNvPicPr>
                  </pic:nvPicPr>
                  <pic:blipFill>
                    <a:blip r:embed="rId5">
                      <a:clrChange>
                        <a:clrFrom>
                          <a:srgbClr val="FFFFFF">
                            <a:alpha val="100000"/>
                          </a:srgbClr>
                        </a:clrFrom>
                        <a:clrTo>
                          <a:srgbClr val="FFFFFF">
                            <a:alpha val="100000"/>
                            <a:alpha val="0"/>
                          </a:srgbClr>
                        </a:clrTo>
                      </a:clrChange>
                    </a:blip>
                    <a:srcRect l="355" t="1940" r="9937" b="9128"/>
                    <a:stretch>
                      <a:fillRect/>
                    </a:stretch>
                  </pic:blipFill>
                  <pic:spPr>
                    <a:xfrm>
                      <a:off x="0" y="0"/>
                      <a:ext cx="5274310" cy="3707889"/>
                    </a:xfrm>
                    <a:prstGeom prst="rect">
                      <a:avLst/>
                    </a:prstGeom>
                  </pic:spPr>
                </pic:pic>
              </a:graphicData>
            </a:graphic>
          </wp:inline>
        </w:drawing>
      </w:r>
    </w:p>
    <w:p>
      <w:pPr>
        <w:jc w:val="center"/>
        <w:rPr>
          <w:rFonts w:ascii="宋体" w:hAnsi="宋体" w:eastAsia="宋体"/>
          <w:sz w:val="24"/>
        </w:rPr>
      </w:pPr>
      <w:r>
        <w:rPr>
          <w:rFonts w:hint="eastAsia" w:ascii="宋体" w:hAnsi="宋体" w:eastAsia="宋体"/>
          <w:sz w:val="24"/>
        </w:rPr>
        <w:t>杭州市现状殡葬设施空间分布图</w:t>
      </w:r>
    </w:p>
    <w:p>
      <w:pPr>
        <w:ind w:firstLine="560" w:firstLineChars="200"/>
        <w:rPr>
          <w:rFonts w:ascii="宋体" w:hAnsi="宋体" w:eastAsia="宋体"/>
          <w:sz w:val="28"/>
        </w:rPr>
      </w:pPr>
    </w:p>
    <w:p>
      <w:pPr>
        <w:ind w:firstLine="560" w:firstLineChars="200"/>
        <w:rPr>
          <w:rFonts w:ascii="宋体" w:hAnsi="宋体" w:eastAsia="宋体"/>
          <w:sz w:val="28"/>
        </w:rPr>
      </w:pPr>
      <w:r>
        <w:rPr>
          <w:rFonts w:hint="eastAsia" w:ascii="宋体" w:hAnsi="宋体" w:eastAsia="宋体"/>
          <w:sz w:val="28"/>
        </w:rPr>
        <w:t>随着城市开发建设，人口快速增长，历史遗留殡葬设施与城市发展冲突、殡葬设施余量难以满足未来发展需求等问题逐渐凸显。</w:t>
      </w:r>
    </w:p>
    <w:p>
      <w:pPr>
        <w:ind w:firstLine="560" w:firstLineChars="200"/>
        <w:rPr>
          <w:rFonts w:ascii="宋体" w:hAnsi="宋体" w:eastAsia="宋体"/>
          <w:sz w:val="28"/>
        </w:rPr>
      </w:pPr>
    </w:p>
    <w:p>
      <w:pPr>
        <w:jc w:val="left"/>
        <w:outlineLvl w:val="0"/>
        <w:rPr>
          <w:rFonts w:ascii="黑体" w:hAnsi="黑体" w:eastAsia="黑体"/>
          <w:sz w:val="28"/>
        </w:rPr>
      </w:pPr>
      <w:r>
        <w:rPr>
          <w:rFonts w:hint="eastAsia" w:ascii="黑体" w:hAnsi="黑体" w:eastAsia="黑体"/>
          <w:sz w:val="28"/>
        </w:rPr>
        <w:t>六、目标策略</w:t>
      </w:r>
    </w:p>
    <w:p>
      <w:pPr>
        <w:ind w:firstLine="560" w:firstLineChars="200"/>
        <w:rPr>
          <w:rFonts w:ascii="宋体" w:hAnsi="宋体" w:eastAsia="宋体"/>
          <w:sz w:val="28"/>
        </w:rPr>
      </w:pPr>
      <w:r>
        <w:rPr>
          <w:rFonts w:hint="eastAsia" w:ascii="宋体" w:hAnsi="宋体" w:eastAsia="宋体"/>
          <w:sz w:val="28"/>
        </w:rPr>
        <w:t>总体目标：全面建成多层次、生态化、人文化、一体化、数字化的社会殡葬设施服务体系。</w:t>
      </w:r>
    </w:p>
    <w:p>
      <w:pPr>
        <w:ind w:firstLine="560" w:firstLineChars="200"/>
        <w:rPr>
          <w:rFonts w:ascii="宋体" w:hAnsi="宋体" w:eastAsia="宋体"/>
          <w:sz w:val="28"/>
        </w:rPr>
      </w:pPr>
      <w:r>
        <w:rPr>
          <w:rFonts w:hint="eastAsia" w:ascii="宋体" w:hAnsi="宋体" w:eastAsia="宋体"/>
          <w:sz w:val="28"/>
        </w:rPr>
        <w:t>发展策略：规范合法现有设施，提优补短；分区分类分级施策，因地制宜；殡葬设施一体化，生态节地；提升殡葬数字化水平，数字治理。</w:t>
      </w:r>
    </w:p>
    <w:p>
      <w:pPr>
        <w:jc w:val="left"/>
        <w:outlineLvl w:val="0"/>
        <w:rPr>
          <w:rFonts w:ascii="黑体" w:hAnsi="黑体" w:eastAsia="黑体"/>
          <w:sz w:val="28"/>
        </w:rPr>
      </w:pPr>
      <w:r>
        <w:rPr>
          <w:rFonts w:hint="eastAsia" w:ascii="黑体" w:hAnsi="黑体" w:eastAsia="黑体"/>
          <w:sz w:val="28"/>
        </w:rPr>
        <w:t>七、总量预测</w:t>
      </w:r>
    </w:p>
    <w:p>
      <w:pPr>
        <w:ind w:firstLine="560" w:firstLineChars="200"/>
        <w:rPr>
          <w:rFonts w:ascii="宋体" w:hAnsi="宋体" w:eastAsia="宋体"/>
          <w:sz w:val="28"/>
        </w:rPr>
      </w:pPr>
      <w:r>
        <w:rPr>
          <w:rFonts w:hint="eastAsia" w:ascii="宋体" w:hAnsi="宋体" w:eastAsia="宋体"/>
          <w:sz w:val="28"/>
        </w:rPr>
        <w:t>根据上位规划中对人口规模的预测，结合杭州市历年死亡人口数据，按照近期死亡率5‰，远期死亡率6‰计算，至2025年杭州市十三个区县市累计死亡人数为31.4万人，至2035年杭州市十三个区县市累计死亡人数为115.8万人。</w:t>
      </w:r>
    </w:p>
    <w:p>
      <w:pPr>
        <w:ind w:firstLine="560" w:firstLineChars="200"/>
        <w:rPr>
          <w:rFonts w:ascii="宋体" w:hAnsi="宋体" w:eastAsia="宋体"/>
          <w:sz w:val="28"/>
        </w:rPr>
      </w:pPr>
      <w:r>
        <w:rPr>
          <w:rFonts w:hint="eastAsia" w:ascii="宋体" w:hAnsi="宋体" w:eastAsia="宋体"/>
          <w:sz w:val="28"/>
        </w:rPr>
        <w:t>结合杭州市历年火化数据，预测近期需求殡仪馆年火化能力6.5万具，远期需求殡仪馆年火化能力9万具。结合各地城镇化水平及发展趋势，预测近期集中治丧年需求约2.8万人，远期集中治丧年需求约3.5万人。</w:t>
      </w:r>
    </w:p>
    <w:p>
      <w:pPr>
        <w:ind w:firstLine="560" w:firstLineChars="200"/>
        <w:rPr>
          <w:rFonts w:ascii="宋体" w:hAnsi="宋体" w:eastAsia="宋体"/>
          <w:sz w:val="28"/>
        </w:rPr>
      </w:pPr>
      <w:r>
        <w:rPr>
          <w:rFonts w:hint="eastAsia" w:ascii="宋体" w:hAnsi="宋体" w:eastAsia="宋体"/>
          <w:sz w:val="28"/>
        </w:rPr>
        <w:t>结合现状公墓穴位余量，综合考虑传统墓碑葬、生态墓碑葬、骨灰存放安葬、不保留骨灰安葬等葬式比例，按照公墓穴位建设指标要求，并预留现有安葬设施拆迁置换的安置土地，预测至规划期末2035年，需求安葬设施用地2092亩。</w:t>
      </w:r>
    </w:p>
    <w:p>
      <w:pPr>
        <w:jc w:val="left"/>
        <w:outlineLvl w:val="0"/>
        <w:rPr>
          <w:rFonts w:ascii="黑体" w:hAnsi="黑体" w:eastAsia="黑体"/>
          <w:sz w:val="28"/>
        </w:rPr>
      </w:pPr>
      <w:r>
        <w:rPr>
          <w:rFonts w:hint="eastAsia" w:ascii="黑体" w:hAnsi="黑体" w:eastAsia="黑体"/>
          <w:sz w:val="28"/>
        </w:rPr>
        <w:t>八、规划布局</w:t>
      </w:r>
    </w:p>
    <w:p>
      <w:pPr>
        <w:ind w:firstLine="560" w:firstLineChars="200"/>
        <w:rPr>
          <w:rFonts w:ascii="宋体" w:hAnsi="宋体" w:eastAsia="宋体"/>
          <w:sz w:val="28"/>
        </w:rPr>
      </w:pPr>
      <w:r>
        <w:rPr>
          <w:rFonts w:hint="eastAsia" w:ascii="宋体" w:hAnsi="宋体" w:eastAsia="宋体"/>
          <w:sz w:val="28"/>
        </w:rPr>
        <w:t>按照“存量为主、复合植入、一体集约”的思路开展殡葬设施布局规划。</w:t>
      </w:r>
    </w:p>
    <w:p>
      <w:pPr>
        <w:ind w:firstLine="560" w:firstLineChars="200"/>
        <w:rPr>
          <w:rFonts w:ascii="宋体" w:hAnsi="宋体" w:eastAsia="宋体"/>
          <w:sz w:val="28"/>
        </w:rPr>
      </w:pPr>
      <w:r>
        <w:rPr>
          <w:rFonts w:hint="eastAsia" w:ascii="宋体" w:hAnsi="宋体" w:eastAsia="宋体"/>
          <w:sz w:val="28"/>
        </w:rPr>
        <w:t>规划形成安葬设施3293处（含骨灰安放设施）。其中市级公墓29处，即保持现状14处，改扩建10处，新建5处；区级公墓及乡镇公墓共264处，即保持现状51处，改扩建93处，新建120处。规划可用穴位数约251万（含迁建预留及长远发展）。村级安葬设施，规划原则上不再新建传统公墓，现有村级公墓存量用完封园绿化，可适当增加村级生态公墓点位。</w:t>
      </w:r>
    </w:p>
    <w:p>
      <w:pPr>
        <w:ind w:firstLine="560" w:firstLineChars="200"/>
        <w:rPr>
          <w:rFonts w:ascii="宋体" w:hAnsi="宋体" w:eastAsia="宋体"/>
          <w:sz w:val="28"/>
        </w:rPr>
      </w:pPr>
      <w:r>
        <w:rPr>
          <w:rFonts w:hint="eastAsia" w:ascii="宋体" w:hAnsi="宋体" w:eastAsia="宋体"/>
          <w:sz w:val="28"/>
        </w:rPr>
        <w:t>规划保留现状9家殡仪馆，适时开展功能提升优化。规划在市级、区级、乡镇安葬设施中，通过提升改造、统筹建设等方法，植入殡仪服务功能（以守灵为主），满足城镇化水平较高的地区的治丧需求。</w:t>
      </w:r>
    </w:p>
    <w:p>
      <w:pPr>
        <w:rPr>
          <w:rFonts w:ascii="宋体" w:hAnsi="宋体" w:eastAsia="宋体"/>
          <w:sz w:val="28"/>
        </w:rPr>
      </w:pPr>
      <w:r>
        <w:rPr>
          <w:rFonts w:hint="eastAsia" w:ascii="宋体" w:hAnsi="宋体" w:eastAsia="宋体"/>
          <w:sz w:val="28"/>
        </w:rPr>
        <w:drawing>
          <wp:inline distT="0" distB="0" distL="0" distR="0">
            <wp:extent cx="5274310" cy="37261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3726180"/>
                    </a:xfrm>
                    <a:prstGeom prst="rect">
                      <a:avLst/>
                    </a:prstGeom>
                  </pic:spPr>
                </pic:pic>
              </a:graphicData>
            </a:graphic>
          </wp:inline>
        </w:drawing>
      </w:r>
    </w:p>
    <w:p>
      <w:pPr>
        <w:jc w:val="center"/>
        <w:rPr>
          <w:rFonts w:ascii="宋体" w:hAnsi="宋体" w:eastAsia="宋体"/>
          <w:sz w:val="24"/>
        </w:rPr>
      </w:pPr>
      <w:r>
        <w:rPr>
          <w:rFonts w:hint="eastAsia" w:ascii="宋体" w:hAnsi="宋体" w:eastAsia="宋体"/>
          <w:sz w:val="24"/>
        </w:rPr>
        <w:t>杭州市市级公墓规划布局图</w:t>
      </w:r>
    </w:p>
    <w:p>
      <w:pPr>
        <w:rPr>
          <w:rFonts w:ascii="宋体" w:hAnsi="宋体" w:eastAsia="宋体"/>
          <w:sz w:val="28"/>
        </w:rPr>
      </w:pPr>
      <w:r>
        <w:rPr>
          <w:rFonts w:hint="eastAsia" w:ascii="宋体" w:hAnsi="宋体" w:eastAsia="宋体"/>
          <w:sz w:val="28"/>
        </w:rPr>
        <w:drawing>
          <wp:inline distT="0" distB="0" distL="0" distR="0">
            <wp:extent cx="5274310" cy="37274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727450"/>
                    </a:xfrm>
                    <a:prstGeom prst="rect">
                      <a:avLst/>
                    </a:prstGeom>
                  </pic:spPr>
                </pic:pic>
              </a:graphicData>
            </a:graphic>
          </wp:inline>
        </w:drawing>
      </w:r>
    </w:p>
    <w:p>
      <w:pPr>
        <w:jc w:val="center"/>
        <w:rPr>
          <w:rFonts w:ascii="宋体" w:hAnsi="宋体" w:eastAsia="宋体"/>
          <w:sz w:val="24"/>
        </w:rPr>
      </w:pPr>
      <w:r>
        <w:rPr>
          <w:rFonts w:hint="eastAsia" w:ascii="宋体" w:hAnsi="宋体" w:eastAsia="宋体"/>
          <w:sz w:val="24"/>
        </w:rPr>
        <w:t>杭州市区级公墓、乡镇公墓规划布局图</w:t>
      </w:r>
    </w:p>
    <w:p>
      <w:pPr>
        <w:jc w:val="center"/>
        <w:rPr>
          <w:rFonts w:ascii="宋体" w:hAnsi="宋体" w:eastAsia="宋体"/>
          <w:sz w:val="24"/>
        </w:rPr>
      </w:pPr>
    </w:p>
    <w:p>
      <w:pPr>
        <w:rPr>
          <w:rFonts w:ascii="宋体" w:hAnsi="宋体" w:eastAsia="宋体"/>
          <w:sz w:val="28"/>
        </w:rPr>
      </w:pPr>
      <w:r>
        <w:rPr>
          <w:rFonts w:hint="eastAsia" w:ascii="宋体" w:hAnsi="宋体" w:eastAsia="宋体"/>
          <w:sz w:val="28"/>
        </w:rPr>
        <w:drawing>
          <wp:inline distT="0" distB="0" distL="0" distR="0">
            <wp:extent cx="5274310" cy="37528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752850"/>
                    </a:xfrm>
                    <a:prstGeom prst="rect">
                      <a:avLst/>
                    </a:prstGeom>
                  </pic:spPr>
                </pic:pic>
              </a:graphicData>
            </a:graphic>
          </wp:inline>
        </w:drawing>
      </w:r>
    </w:p>
    <w:p>
      <w:pPr>
        <w:jc w:val="center"/>
        <w:rPr>
          <w:rFonts w:ascii="宋体" w:hAnsi="宋体" w:eastAsia="宋体"/>
          <w:sz w:val="24"/>
        </w:rPr>
      </w:pPr>
      <w:r>
        <w:rPr>
          <w:rFonts w:hint="eastAsia" w:ascii="宋体" w:hAnsi="宋体" w:eastAsia="宋体"/>
          <w:sz w:val="24"/>
        </w:rPr>
        <w:t>杭州市殡仪馆、殡仪服务中心规划布局图</w:t>
      </w:r>
    </w:p>
    <w:p>
      <w:pPr>
        <w:rPr>
          <w:rFonts w:ascii="宋体" w:hAnsi="宋体" w:eastAsia="宋体"/>
          <w:sz w:val="28"/>
        </w:rPr>
      </w:pPr>
    </w:p>
    <w:p>
      <w:pPr>
        <w:ind w:firstLine="560" w:firstLineChars="200"/>
        <w:rPr>
          <w:rFonts w:ascii="宋体" w:hAnsi="宋体" w:eastAsia="宋体"/>
          <w:sz w:val="28"/>
        </w:rPr>
      </w:pPr>
    </w:p>
    <w:p>
      <w:pPr>
        <w:jc w:val="left"/>
        <w:outlineLvl w:val="0"/>
        <w:rPr>
          <w:rFonts w:ascii="黑体" w:hAnsi="黑体" w:eastAsia="黑体"/>
          <w:sz w:val="28"/>
        </w:rPr>
      </w:pPr>
      <w:r>
        <w:rPr>
          <w:rFonts w:hint="eastAsia" w:ascii="黑体" w:hAnsi="黑体" w:eastAsia="黑体"/>
          <w:sz w:val="28"/>
        </w:rPr>
        <w:t>九、近期计划</w:t>
      </w:r>
    </w:p>
    <w:p>
      <w:pPr>
        <w:ind w:firstLine="560" w:firstLineChars="200"/>
        <w:rPr>
          <w:rFonts w:ascii="宋体" w:hAnsi="宋体" w:eastAsia="宋体"/>
          <w:sz w:val="28"/>
        </w:rPr>
      </w:pPr>
      <w:r>
        <w:rPr>
          <w:rFonts w:hint="eastAsia" w:ascii="宋体" w:hAnsi="宋体" w:eastAsia="宋体"/>
          <w:sz w:val="28"/>
        </w:rPr>
        <w:t>1、近期目标</w:t>
      </w:r>
    </w:p>
    <w:p>
      <w:pPr>
        <w:ind w:firstLine="560" w:firstLineChars="200"/>
        <w:rPr>
          <w:rFonts w:ascii="宋体" w:hAnsi="宋体" w:eastAsia="宋体"/>
          <w:sz w:val="28"/>
        </w:rPr>
      </w:pPr>
      <w:r>
        <w:rPr>
          <w:rFonts w:hint="eastAsia" w:ascii="宋体" w:hAnsi="宋体" w:eastAsia="宋体"/>
          <w:sz w:val="28"/>
        </w:rPr>
        <w:t>（1）积极推进杭州市殡仪馆改扩建，建设水平达到国内先进水平，即设施现代化、环境园林化、管理规范化、服务人性化，适应城乡殡葬改革要求。</w:t>
      </w:r>
    </w:p>
    <w:p>
      <w:pPr>
        <w:ind w:firstLine="560" w:firstLineChars="200"/>
        <w:rPr>
          <w:rFonts w:ascii="宋体" w:hAnsi="宋体" w:eastAsia="宋体"/>
          <w:sz w:val="28"/>
        </w:rPr>
      </w:pPr>
      <w:r>
        <w:rPr>
          <w:rFonts w:hint="eastAsia" w:ascii="宋体" w:hAnsi="宋体" w:eastAsia="宋体"/>
          <w:sz w:val="28"/>
        </w:rPr>
        <w:t>（2）重点推进城区周边殡仪服务完善建设，满足城乡居民文明治丧需求，形成文明治丧、文明祭祀的良好风气，进一步强化精神文明建设。</w:t>
      </w:r>
    </w:p>
    <w:p>
      <w:pPr>
        <w:ind w:firstLine="560" w:firstLineChars="200"/>
        <w:rPr>
          <w:rFonts w:ascii="宋体" w:hAnsi="宋体" w:eastAsia="宋体"/>
          <w:sz w:val="28"/>
        </w:rPr>
      </w:pPr>
      <w:r>
        <w:rPr>
          <w:rFonts w:hint="eastAsia" w:ascii="宋体" w:hAnsi="宋体" w:eastAsia="宋体"/>
          <w:sz w:val="28"/>
        </w:rPr>
        <w:t>（3）完成现有安葬设施的整合，逐步减少村级公墓数量，用完封园绿化。基本确立全市安葬设施空间布局体系，重点建设经营性公墓和区镇街道级公益性公墓，满足居民安葬需求及城市建设公墓迁移置换需求。</w:t>
      </w:r>
    </w:p>
    <w:p>
      <w:pPr>
        <w:ind w:firstLine="560" w:firstLineChars="200"/>
        <w:rPr>
          <w:rFonts w:ascii="宋体" w:hAnsi="宋体" w:eastAsia="宋体"/>
          <w:sz w:val="28"/>
        </w:rPr>
      </w:pPr>
      <w:r>
        <w:rPr>
          <w:rFonts w:hint="eastAsia" w:ascii="宋体" w:hAnsi="宋体" w:eastAsia="宋体"/>
          <w:sz w:val="28"/>
        </w:rPr>
        <w:t>（4）安葬方式以骨灰墓穴为主，深化殡葬改革和深入引导居民逐步开展骨灰堂、生态葬法等新式安葬形式。</w:t>
      </w:r>
    </w:p>
    <w:p>
      <w:pPr>
        <w:ind w:firstLine="560" w:firstLineChars="200"/>
        <w:rPr>
          <w:rFonts w:ascii="宋体" w:hAnsi="宋体" w:eastAsia="宋体"/>
          <w:sz w:val="28"/>
        </w:rPr>
      </w:pPr>
      <w:r>
        <w:rPr>
          <w:rFonts w:hint="eastAsia" w:ascii="宋体" w:hAnsi="宋体" w:eastAsia="宋体"/>
          <w:sz w:val="28"/>
        </w:rPr>
        <w:t>2、近期项目选取原则</w:t>
      </w:r>
    </w:p>
    <w:p>
      <w:pPr>
        <w:ind w:firstLine="560" w:firstLineChars="200"/>
        <w:rPr>
          <w:rFonts w:ascii="宋体" w:hAnsi="宋体" w:eastAsia="宋体"/>
          <w:sz w:val="28"/>
        </w:rPr>
      </w:pPr>
      <w:r>
        <w:rPr>
          <w:rFonts w:hint="eastAsia" w:ascii="宋体" w:hAnsi="宋体" w:eastAsia="宋体"/>
          <w:sz w:val="28"/>
        </w:rPr>
        <w:t>在不侵占生态红线和避让三沿五区的基础上，依据需求迫切程度、成熟可落地原则，选取近期殡葬设施建设项目。</w:t>
      </w:r>
    </w:p>
    <w:p>
      <w:pPr>
        <w:ind w:firstLine="560" w:firstLineChars="200"/>
        <w:rPr>
          <w:rFonts w:ascii="宋体" w:hAnsi="宋体" w:eastAsia="宋体"/>
          <w:sz w:val="28"/>
        </w:rPr>
      </w:pPr>
      <w:r>
        <w:rPr>
          <w:rFonts w:hint="eastAsia" w:ascii="宋体" w:hAnsi="宋体" w:eastAsia="宋体"/>
          <w:sz w:val="28"/>
        </w:rPr>
        <w:t>3、实施手段</w:t>
      </w:r>
    </w:p>
    <w:p>
      <w:pPr>
        <w:ind w:firstLine="560" w:firstLineChars="200"/>
        <w:rPr>
          <w:rFonts w:ascii="宋体" w:hAnsi="宋体" w:eastAsia="宋体"/>
          <w:sz w:val="28"/>
        </w:rPr>
      </w:pPr>
      <w:r>
        <w:rPr>
          <w:rFonts w:hint="eastAsia" w:ascii="宋体" w:hAnsi="宋体" w:eastAsia="宋体"/>
          <w:sz w:val="28"/>
        </w:rPr>
        <w:t>计划实施“扩、改、增、迁”四种手段，按照存量为主、增量为辅的原则，优先保障“扩建”和“改建”项目，便于落地实施。</w:t>
      </w:r>
    </w:p>
    <w:p>
      <w:pPr>
        <w:ind w:firstLine="560" w:firstLineChars="200"/>
        <w:rPr>
          <w:rFonts w:ascii="宋体" w:hAnsi="宋体" w:eastAsia="宋体"/>
          <w:sz w:val="28"/>
        </w:rPr>
      </w:pPr>
      <w:r>
        <w:rPr>
          <w:rFonts w:hint="eastAsia" w:ascii="宋体" w:hAnsi="宋体" w:eastAsia="宋体"/>
          <w:sz w:val="28"/>
        </w:rPr>
        <w:t>（1）扩建</w:t>
      </w:r>
      <w:r>
        <w:rPr>
          <w:rFonts w:ascii="宋体" w:hAnsi="宋体" w:eastAsia="宋体"/>
          <w:sz w:val="28"/>
        </w:rPr>
        <w:t>：</w:t>
      </w:r>
      <w:r>
        <w:rPr>
          <w:rFonts w:hint="eastAsia" w:ascii="宋体" w:hAnsi="宋体" w:eastAsia="宋体"/>
          <w:sz w:val="28"/>
        </w:rPr>
        <w:t>现有的公墓墓穴余量无法承担未来几年的安葬需求，规划对部分有发展空间的公墓进行扩建，以满足近期的安葬需求。扩建应满足以下条件：殡葬需求较大，且有发展空间；配套成熟，原有穴位余量不足；不突破生态红线、不侵占永久农田；经过合法审批，土地性质合理。</w:t>
      </w:r>
    </w:p>
    <w:p>
      <w:pPr>
        <w:ind w:firstLine="560" w:firstLineChars="200"/>
        <w:rPr>
          <w:rFonts w:ascii="宋体" w:hAnsi="宋体" w:eastAsia="宋体"/>
          <w:sz w:val="28"/>
        </w:rPr>
      </w:pPr>
      <w:r>
        <w:rPr>
          <w:rFonts w:hint="eastAsia" w:ascii="宋体" w:hAnsi="宋体" w:eastAsia="宋体"/>
          <w:sz w:val="28"/>
        </w:rPr>
        <w:t>（2）改建</w:t>
      </w:r>
      <w:r>
        <w:rPr>
          <w:rFonts w:ascii="宋体" w:hAnsi="宋体" w:eastAsia="宋体"/>
          <w:sz w:val="28"/>
        </w:rPr>
        <w:t>：</w:t>
      </w:r>
      <w:r>
        <w:rPr>
          <w:rFonts w:hint="eastAsia" w:ascii="宋体" w:hAnsi="宋体" w:eastAsia="宋体"/>
          <w:sz w:val="28"/>
        </w:rPr>
        <w:t>对部分建设标准不达标的公墓进行整改，减少青山白化现象，统一墓穴标准尺寸，不符合规定的进行统一整改</w:t>
      </w:r>
      <w:r>
        <w:rPr>
          <w:rFonts w:ascii="宋体" w:hAnsi="宋体" w:eastAsia="宋体"/>
          <w:sz w:val="28"/>
        </w:rPr>
        <w:t>。</w:t>
      </w:r>
      <w:r>
        <w:rPr>
          <w:rFonts w:hint="eastAsia" w:ascii="宋体" w:hAnsi="宋体" w:eastAsia="宋体"/>
          <w:sz w:val="28"/>
        </w:rPr>
        <w:t>改建应满足以下条件：硬化铺装较多，青山白化现象明显；墓碑规格过大，超过最大墓碑尺寸标准；过道与墓间距过大，土地利用率低的公墓；现状具备改造实施条件的殡葬设施用地。</w:t>
      </w:r>
    </w:p>
    <w:p>
      <w:pPr>
        <w:ind w:firstLine="560" w:firstLineChars="200"/>
        <w:rPr>
          <w:rFonts w:ascii="宋体" w:hAnsi="宋体" w:eastAsia="宋体"/>
          <w:sz w:val="28"/>
        </w:rPr>
      </w:pPr>
      <w:r>
        <w:rPr>
          <w:rFonts w:hint="eastAsia" w:ascii="宋体" w:hAnsi="宋体" w:eastAsia="宋体"/>
          <w:sz w:val="28"/>
        </w:rPr>
        <w:t>（3）新建：在提倡生态环保和土地集约利用的的前提下，为满足日益增长的安葬需求，还需规划新增节地生态的安葬设施，新增设施主推骨灰存放设施。新建应满足以下条件：与城市发展轴线无冲突，邻避效应小；交通便捷服务区域30分钟可达；不突破生态红线、不侵占永久农田；殡葬需求突出，且无其他可利用地块。</w:t>
      </w:r>
    </w:p>
    <w:p>
      <w:pPr>
        <w:ind w:firstLine="560" w:firstLineChars="200"/>
        <w:rPr>
          <w:rFonts w:ascii="宋体" w:hAnsi="宋体" w:eastAsia="宋体"/>
          <w:sz w:val="28"/>
        </w:rPr>
      </w:pPr>
      <w:r>
        <w:rPr>
          <w:rFonts w:hint="eastAsia" w:ascii="宋体" w:hAnsi="宋体" w:eastAsia="宋体"/>
          <w:sz w:val="28"/>
        </w:rPr>
        <w:t>（4）迁建：针对历史和传统风俗习惯遗留的野散坟和与城市发展冲突的公墓，近期将逐步封管，待规划区级、镇街道级安葬设施建成后，陆续迁至区级、镇街道级安葬设施内安置。迁建至少满足以下条件之一：与城市发展轴线冲突，邻避效应太大；迁移成本一般，经济条件满足需求；突破生态红线、侵占永久农田；隐蔽性差，严重影响城市形象；入葬率极低、违规建设、不可生态复绿。</w:t>
      </w:r>
    </w:p>
    <w:p>
      <w:pPr>
        <w:ind w:firstLine="560" w:firstLineChars="200"/>
        <w:rPr>
          <w:rFonts w:ascii="宋体" w:hAnsi="宋体" w:eastAsia="宋体"/>
          <w:sz w:val="28"/>
        </w:rPr>
      </w:pPr>
      <w:r>
        <w:rPr>
          <w:rFonts w:ascii="宋体" w:hAnsi="宋体" w:eastAsia="宋体"/>
          <w:sz w:val="28"/>
        </w:rPr>
        <w:t>4</w:t>
      </w:r>
      <w:r>
        <w:rPr>
          <w:rFonts w:hint="eastAsia" w:ascii="宋体" w:hAnsi="宋体" w:eastAsia="宋体"/>
          <w:sz w:val="28"/>
        </w:rPr>
        <w:t>、近期项目计划</w:t>
      </w:r>
    </w:p>
    <w:p>
      <w:pPr>
        <w:ind w:firstLine="560" w:firstLineChars="200"/>
        <w:rPr>
          <w:rFonts w:ascii="宋体" w:hAnsi="宋体" w:eastAsia="宋体"/>
          <w:sz w:val="28"/>
        </w:rPr>
      </w:pPr>
      <w:r>
        <w:rPr>
          <w:rFonts w:hint="eastAsia" w:ascii="宋体" w:hAnsi="宋体" w:eastAsia="宋体"/>
          <w:sz w:val="28"/>
        </w:rPr>
        <w:t>计划近期建设殡葬设施81处，其中改建17处，扩建20处，新建43处，迁建1处。</w:t>
      </w:r>
    </w:p>
    <w:p>
      <w:pPr>
        <w:jc w:val="left"/>
        <w:outlineLvl w:val="0"/>
        <w:rPr>
          <w:rFonts w:ascii="黑体" w:hAnsi="黑体" w:eastAsia="黑体"/>
          <w:sz w:val="28"/>
        </w:rPr>
      </w:pPr>
      <w:r>
        <w:rPr>
          <w:rFonts w:hint="eastAsia" w:ascii="黑体" w:hAnsi="黑体" w:eastAsia="黑体"/>
          <w:sz w:val="28"/>
        </w:rPr>
        <w:t>十、实施保障</w:t>
      </w:r>
    </w:p>
    <w:p>
      <w:pPr>
        <w:ind w:firstLine="560" w:firstLineChars="200"/>
        <w:rPr>
          <w:rFonts w:ascii="宋体" w:hAnsi="宋体" w:eastAsia="宋体"/>
          <w:sz w:val="28"/>
        </w:rPr>
      </w:pPr>
      <w:r>
        <w:rPr>
          <w:rFonts w:ascii="宋体" w:hAnsi="宋体" w:eastAsia="宋体"/>
          <w:sz w:val="28"/>
        </w:rPr>
        <w:t>1、</w:t>
      </w:r>
      <w:r>
        <w:rPr>
          <w:rFonts w:hint="eastAsia" w:ascii="宋体" w:hAnsi="宋体" w:eastAsia="宋体"/>
          <w:sz w:val="28"/>
        </w:rPr>
        <w:t>组织保障机制</w:t>
      </w:r>
    </w:p>
    <w:p>
      <w:pPr>
        <w:ind w:firstLine="560" w:firstLineChars="200"/>
        <w:rPr>
          <w:rFonts w:ascii="宋体" w:hAnsi="宋体" w:eastAsia="宋体"/>
          <w:sz w:val="28"/>
        </w:rPr>
      </w:pPr>
      <w:r>
        <w:rPr>
          <w:rFonts w:hint="eastAsia" w:ascii="宋体" w:hAnsi="宋体" w:eastAsia="宋体"/>
          <w:sz w:val="28"/>
        </w:rPr>
        <w:t>健全工作机制，强化殡葬事业的组织领导，建立完善的工作协调机制和规章制度，加强民政部门的人员配置水平。明确部门职责，加强民政、财政、规资、建设、商务、执法等部门的分工协作。强化行业监管，健全殡葬服务的准入、退出、监管制度，健全殡葬服务规范标准和管理制度，要积极培育和发展殡葬服务行业协会。加强监督管理，加强工作绩效考核，倡导优质服务，确保责任到位、任务落实，维护居民利益。</w:t>
      </w:r>
    </w:p>
    <w:p>
      <w:pPr>
        <w:ind w:firstLine="560" w:firstLineChars="200"/>
        <w:rPr>
          <w:rFonts w:ascii="宋体" w:hAnsi="宋体" w:eastAsia="宋体"/>
          <w:sz w:val="28"/>
        </w:rPr>
      </w:pPr>
      <w:r>
        <w:rPr>
          <w:rFonts w:ascii="宋体" w:hAnsi="宋体" w:eastAsia="宋体"/>
          <w:sz w:val="28"/>
        </w:rPr>
        <w:t>2、</w:t>
      </w:r>
      <w:r>
        <w:rPr>
          <w:rFonts w:hint="eastAsia" w:ascii="宋体" w:hAnsi="宋体" w:eastAsia="宋体"/>
          <w:sz w:val="28"/>
        </w:rPr>
        <w:t>要素保障机制</w:t>
      </w:r>
    </w:p>
    <w:p>
      <w:pPr>
        <w:ind w:firstLine="560" w:firstLineChars="200"/>
        <w:rPr>
          <w:rFonts w:ascii="宋体" w:hAnsi="宋体" w:eastAsia="宋体"/>
          <w:sz w:val="28"/>
        </w:rPr>
      </w:pPr>
      <w:r>
        <w:rPr>
          <w:rFonts w:hint="eastAsia" w:ascii="宋体" w:hAnsi="宋体" w:eastAsia="宋体"/>
          <w:sz w:val="28"/>
        </w:rPr>
        <w:t>完善土地供应保障机制，将殡葬服务设施建设用地纳入经济社会发展规划、国土空间规划和年度国有建设用地供应计划。完善人才培养和就业政策，拓展人才培养渠道、创新人才培养模式，加快培养殡葬管理和运营等方面的专门人才，提高殡葬从业员工资福利待遇。完善财政支持政策，加大财政性资金支持公益性殡葬服务体系建设的力度，整合社会殡葬服务体系建设有关专项资金。</w:t>
      </w:r>
    </w:p>
    <w:p>
      <w:pPr>
        <w:ind w:firstLine="560" w:firstLineChars="200"/>
        <w:rPr>
          <w:rFonts w:ascii="宋体" w:hAnsi="宋体" w:eastAsia="宋体"/>
          <w:sz w:val="28"/>
        </w:rPr>
      </w:pPr>
      <w:r>
        <w:rPr>
          <w:rFonts w:ascii="宋体" w:hAnsi="宋体" w:eastAsia="宋体"/>
          <w:sz w:val="28"/>
        </w:rPr>
        <w:t>3、</w:t>
      </w:r>
      <w:r>
        <w:rPr>
          <w:rFonts w:hint="eastAsia" w:ascii="宋体" w:hAnsi="宋体" w:eastAsia="宋体"/>
          <w:sz w:val="28"/>
        </w:rPr>
        <w:t>创新保障机制</w:t>
      </w:r>
    </w:p>
    <w:p>
      <w:pPr>
        <w:ind w:firstLine="560" w:firstLineChars="200"/>
        <w:rPr>
          <w:rFonts w:ascii="宋体" w:hAnsi="宋体" w:eastAsia="宋体"/>
          <w:sz w:val="28"/>
        </w:rPr>
      </w:pPr>
      <w:r>
        <w:rPr>
          <w:rFonts w:hint="eastAsia" w:ascii="宋体" w:hAnsi="宋体" w:eastAsia="宋体"/>
          <w:sz w:val="28"/>
        </w:rPr>
        <w:t>深化殡葬数字化改革，结合浙江数字化改革、杭州智慧大脑城市建设，积极开展数字化殡葬建设。创新安葬模式，优化格位使用权限，探索殡葬设施资源的可持续发展使用，避免殡葬设施无休止扩展用地。</w:t>
      </w:r>
    </w:p>
    <w:p>
      <w:pPr>
        <w:jc w:val="center"/>
        <w:rPr>
          <w:rFonts w:ascii="黑体" w:hAnsi="黑体" w:eastAsia="黑体"/>
          <w:sz w:val="28"/>
          <w:szCs w:val="36"/>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DejaVu Sans">
    <w:altName w:val="Segoe Print"/>
    <w:panose1 w:val="020B0603030804020204"/>
    <w:charset w:val="00"/>
    <w:family w:val="auto"/>
    <w:pitch w:val="default"/>
    <w:sig w:usb0="00000000" w:usb1="00000000" w:usb2="0A246029" w:usb3="0400200C" w:csb0="600001FF" w:csb1="DFFF0000"/>
  </w:font>
  <w:font w:name="Noto Sans CJK JP Bold">
    <w:altName w:val="宋体"/>
    <w:panose1 w:val="020B0800000000000000"/>
    <w:charset w:val="86"/>
    <w:family w:val="auto"/>
    <w:pitch w:val="default"/>
    <w:sig w:usb0="00000000" w:usb1="00000000" w:usb2="00000016" w:usb3="00000000" w:csb0="602E0107" w:csb1="00000000"/>
  </w:font>
  <w:font w:name="Arial">
    <w:panose1 w:val="020B0604020202020204"/>
    <w:charset w:val="00"/>
    <w:family w:val="auto"/>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1904551"/>
    </w:sdtPr>
    <w:sdtContent>
      <w:p>
        <w:pPr>
          <w:pStyle w:val="3"/>
          <w:jc w:val="center"/>
        </w:pPr>
        <w:r>
          <w:fldChar w:fldCharType="begin"/>
        </w:r>
        <w:r>
          <w:instrText xml:space="preserve">PAGE   \* MERGEFORMAT</w:instrText>
        </w:r>
        <w:r>
          <w:fldChar w:fldCharType="separate"/>
        </w:r>
        <w:r>
          <w:rPr>
            <w:lang w:val="zh-CN"/>
          </w:rPr>
          <w:t>4</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47D"/>
    <w:rsid w:val="000060A5"/>
    <w:rsid w:val="00081A79"/>
    <w:rsid w:val="00124816"/>
    <w:rsid w:val="001A69CC"/>
    <w:rsid w:val="001F4DF9"/>
    <w:rsid w:val="0043647D"/>
    <w:rsid w:val="004512BB"/>
    <w:rsid w:val="0049074A"/>
    <w:rsid w:val="00503262"/>
    <w:rsid w:val="00604237"/>
    <w:rsid w:val="00615EAC"/>
    <w:rsid w:val="00626A73"/>
    <w:rsid w:val="00650691"/>
    <w:rsid w:val="006A3E4C"/>
    <w:rsid w:val="00744C0C"/>
    <w:rsid w:val="00747339"/>
    <w:rsid w:val="00807D7C"/>
    <w:rsid w:val="009A0A09"/>
    <w:rsid w:val="00A165DD"/>
    <w:rsid w:val="00A5292B"/>
    <w:rsid w:val="00A52F2D"/>
    <w:rsid w:val="00A92907"/>
    <w:rsid w:val="00B26AF5"/>
    <w:rsid w:val="00B555A6"/>
    <w:rsid w:val="00BD3B22"/>
    <w:rsid w:val="00CC6D9E"/>
    <w:rsid w:val="00D566CC"/>
    <w:rsid w:val="00E84B16"/>
    <w:rsid w:val="00F717C9"/>
    <w:rsid w:val="5A82610B"/>
    <w:rsid w:val="7A6A32E4"/>
    <w:rsid w:val="7C5D6433"/>
    <w:rsid w:val="F77D37ED"/>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qFormat/>
    <w:uiPriority w:val="99"/>
    <w:rPr>
      <w:sz w:val="18"/>
      <w:szCs w:val="18"/>
    </w:rPr>
  </w:style>
  <w:style w:type="character" w:customStyle="1" w:styleId="8">
    <w:name w:val="页脚 Char"/>
    <w:basedOn w:val="5"/>
    <w:link w:val="3"/>
    <w:qFormat/>
    <w:uiPriority w:val="99"/>
    <w:rPr>
      <w:sz w:val="18"/>
      <w:szCs w:val="18"/>
    </w:rPr>
  </w:style>
  <w:style w:type="paragraph" w:customStyle="1" w:styleId="9">
    <w:name w:val="List Paragraph"/>
    <w:basedOn w:val="1"/>
    <w:qFormat/>
    <w:uiPriority w:val="34"/>
    <w:pPr>
      <w:ind w:firstLine="420" w:firstLineChars="200"/>
    </w:pPr>
    <w:rPr>
      <w:rFonts w:ascii="Times New Roman" w:hAnsi="Times New Roman" w:eastAsia="宋体" w:cs="Times New Roman"/>
    </w:rPr>
  </w:style>
  <w:style w:type="character" w:customStyle="1" w:styleId="10">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517</Words>
  <Characters>2953</Characters>
  <Lines>24</Lines>
  <Paragraphs>6</Paragraphs>
  <TotalTime>0</TotalTime>
  <ScaleCrop>false</ScaleCrop>
  <LinksUpToDate>false</LinksUpToDate>
  <CharactersWithSpaces>3464</CharactersWithSpaces>
  <Application>WPS Office_10.1.0.5842_F1E327BC-269C-435d-A152-05C5408002CA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2022-09-09T11:26:00Z</dcterms:created>
  <dc:creator>鲍chess</dc:creator>
  <cp:lastModifiedBy>耿玲</cp:lastModifiedBy>
  <cp:lastPrinted>2022-09-09T15:23:00Z</cp:lastPrinted>
  <dcterms:modified xsi:type="dcterms:W3CDTF">2022-09-13T01:29:41Z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2052-10.1.0.5842</vt:lpwstr>
  </property>
</Properties>
</file>