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autoSpaceDN/>
        <w:bidi w:val="0"/>
        <w:adjustRightInd/>
        <w:snapToGrid/>
        <w:spacing w:line="560" w:lineRule="exact"/>
        <w:jc w:val="center"/>
        <w:rPr>
          <w:rFonts w:ascii="黑体" w:hAnsi="黑体" w:eastAsia="黑体"/>
          <w:sz w:val="36"/>
          <w:szCs w:val="36"/>
        </w:rPr>
      </w:pPr>
      <w:bookmarkStart w:id="0" w:name="_GoBack"/>
      <w:bookmarkEnd w:id="0"/>
    </w:p>
    <w:p>
      <w:pPr>
        <w:keepLines w:val="0"/>
        <w:pageBreakBefore w:val="0"/>
        <w:kinsoku/>
        <w:wordWrap/>
        <w:overflowPunct/>
        <w:topLinePunct w:val="0"/>
        <w:autoSpaceDE/>
        <w:autoSpaceDN/>
        <w:bidi w:val="0"/>
        <w:adjustRightInd/>
        <w:snapToGrid/>
        <w:spacing w:line="560" w:lineRule="exact"/>
        <w:jc w:val="center"/>
        <w:rPr>
          <w:rFonts w:ascii="黑体" w:hAnsi="黑体" w:eastAsia="黑体"/>
          <w:sz w:val="44"/>
          <w:szCs w:val="44"/>
        </w:rPr>
      </w:pPr>
      <w:r>
        <w:rPr>
          <w:rFonts w:hint="eastAsia" w:ascii="黑体" w:hAnsi="黑体" w:eastAsia="黑体"/>
          <w:sz w:val="44"/>
          <w:szCs w:val="44"/>
        </w:rPr>
        <w:t>关于建立数字赋能“家庭养老床位”</w:t>
      </w:r>
    </w:p>
    <w:p>
      <w:pPr>
        <w:keepLines w:val="0"/>
        <w:pageBreakBefore w:val="0"/>
        <w:kinsoku/>
        <w:wordWrap/>
        <w:overflowPunct/>
        <w:topLinePunct w:val="0"/>
        <w:autoSpaceDE/>
        <w:autoSpaceDN/>
        <w:bidi w:val="0"/>
        <w:adjustRightInd/>
        <w:snapToGrid/>
        <w:spacing w:line="560" w:lineRule="exact"/>
        <w:jc w:val="center"/>
        <w:rPr>
          <w:sz w:val="44"/>
          <w:szCs w:val="44"/>
        </w:rPr>
      </w:pPr>
      <w:r>
        <w:rPr>
          <w:rFonts w:hint="eastAsia" w:ascii="黑体" w:hAnsi="黑体" w:eastAsia="黑体"/>
          <w:sz w:val="44"/>
          <w:szCs w:val="44"/>
        </w:rPr>
        <w:t>管理运行机制的通知</w:t>
      </w:r>
    </w:p>
    <w:p>
      <w:pPr>
        <w:keepLines w:val="0"/>
        <w:pageBreakBefore w:val="0"/>
        <w:kinsoku/>
        <w:wordWrap/>
        <w:overflowPunct/>
        <w:topLinePunct w:val="0"/>
        <w:autoSpaceDE/>
        <w:autoSpaceDN/>
        <w:bidi w:val="0"/>
        <w:adjustRightInd/>
        <w:snapToGrid/>
        <w:spacing w:line="56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征求意见</w:t>
      </w:r>
      <w:r>
        <w:rPr>
          <w:rFonts w:hint="eastAsia" w:ascii="仿宋_GB2312" w:hAnsi="仿宋_GB2312" w:eastAsia="仿宋_GB2312" w:cs="仿宋_GB2312"/>
          <w:sz w:val="36"/>
          <w:szCs w:val="36"/>
        </w:rPr>
        <w:t>稿）</w:t>
      </w:r>
    </w:p>
    <w:p>
      <w:pPr>
        <w:keepLines w:val="0"/>
        <w:pageBreakBefore w:val="0"/>
        <w:kinsoku/>
        <w:wordWrap/>
        <w:overflowPunct/>
        <w:topLinePunct w:val="0"/>
        <w:autoSpaceDE/>
        <w:autoSpaceDN/>
        <w:bidi w:val="0"/>
        <w:adjustRightInd/>
        <w:snapToGrid/>
        <w:spacing w:line="560" w:lineRule="exact"/>
        <w:ind w:firstLine="720" w:firstLineChars="200"/>
        <w:rPr>
          <w:rFonts w:ascii="仿宋_GB2312" w:hAnsi="仿宋_GB2312" w:eastAsia="仿宋_GB2312" w:cs="仿宋_GB2312"/>
          <w:sz w:val="36"/>
          <w:szCs w:val="36"/>
        </w:rPr>
      </w:pPr>
    </w:p>
    <w:p>
      <w:pPr>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为扎实推进数字赋能“一老一小”工作，有效统筹养老照护和医疗康复资源供给，全面提升居家养老、居家医疗和居家康复的综合服务水平，现就建立数字赋能“家庭养老床位”管理运行机制通知如下。</w:t>
      </w:r>
    </w:p>
    <w:p>
      <w:pPr>
        <w:pStyle w:val="4"/>
        <w:keepLines w:val="0"/>
        <w:pageBreakBefore w:val="0"/>
        <w:numPr>
          <w:ilvl w:val="0"/>
          <w:numId w:val="1"/>
        </w:numPr>
        <w:kinsoku/>
        <w:wordWrap/>
        <w:overflowPunct/>
        <w:topLinePunct w:val="0"/>
        <w:autoSpaceDE/>
        <w:autoSpaceDN/>
        <w:bidi w:val="0"/>
        <w:adjustRightInd/>
        <w:snapToGrid/>
        <w:spacing w:line="560" w:lineRule="exact"/>
        <w:ind w:firstLine="640" w:firstLineChars="200"/>
        <w:jc w:val="both"/>
        <w:rPr>
          <w:rFonts w:ascii="黑体" w:hAnsi="黑体" w:eastAsia="黑体" w:cs="黑体"/>
          <w:b w:val="0"/>
          <w:bCs w:val="0"/>
          <w:sz w:val="32"/>
          <w:szCs w:val="32"/>
        </w:rPr>
      </w:pPr>
      <w:r>
        <w:rPr>
          <w:rFonts w:hint="eastAsia" w:ascii="黑体" w:hAnsi="黑体" w:eastAsia="黑体" w:cs="黑体"/>
          <w:b w:val="0"/>
          <w:bCs w:val="0"/>
          <w:sz w:val="32"/>
          <w:szCs w:val="32"/>
        </w:rPr>
        <w:t>总体目标</w:t>
      </w:r>
    </w:p>
    <w:p>
      <w:pPr>
        <w:pStyle w:val="3"/>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有效满足新时代杭州老年人多层次、多样化的居家</w:t>
      </w:r>
      <w:r>
        <w:rPr>
          <w:rFonts w:hint="eastAsia" w:ascii="仿宋_GB2312" w:hAnsi="仿宋_GB2312" w:eastAsia="仿宋_GB2312" w:cs="仿宋_GB2312"/>
          <w:sz w:val="32"/>
          <w:szCs w:val="32"/>
        </w:rPr>
        <w:t>养老服务需求，依托城市大脑2.0数智治理能力，以“建床无缝对接、医养服务融合、床位有序转换”为目标，健全完善“家庭</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床位”信息数据共享互通。打造“建床一件事”场景，支持通过一次建床申请，完成融合床位建设，床位互转有序衔接，享受服务长期延续，提升具有杭州特色的“家院一体”原居安养模式，打造“浙里康养”杭州标志性成果。</w:t>
      </w:r>
    </w:p>
    <w:p>
      <w:pPr>
        <w:pStyle w:val="4"/>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left"/>
        <w:rPr>
          <w:rFonts w:ascii="黑体" w:hAnsi="黑体" w:eastAsia="黑体" w:cs="黑体"/>
          <w:b w:val="0"/>
          <w:bCs w:val="0"/>
          <w:sz w:val="32"/>
          <w:szCs w:val="32"/>
        </w:rPr>
      </w:pPr>
      <w:r>
        <w:rPr>
          <w:rFonts w:hint="eastAsia" w:ascii="黑体" w:hAnsi="黑体" w:eastAsia="黑体" w:cs="黑体"/>
          <w:b w:val="0"/>
          <w:bCs w:val="0"/>
          <w:sz w:val="32"/>
          <w:szCs w:val="32"/>
        </w:rPr>
        <w:t>二、基本原则</w:t>
      </w:r>
    </w:p>
    <w:p>
      <w:pPr>
        <w:pStyle w:val="3"/>
        <w:keepLines w:val="0"/>
        <w:pageBreakBefore w:val="0"/>
        <w:widowControl/>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color w:val="000000"/>
          <w:sz w:val="32"/>
          <w:szCs w:val="32"/>
        </w:rPr>
        <w:t>（一）</w:t>
      </w:r>
      <w:r>
        <w:rPr>
          <w:rFonts w:hint="eastAsia" w:ascii="楷体" w:hAnsi="楷体" w:eastAsia="楷体" w:cs="楷体"/>
          <w:sz w:val="32"/>
          <w:szCs w:val="32"/>
        </w:rPr>
        <w:t>需求导向。</w:t>
      </w:r>
      <w:r>
        <w:rPr>
          <w:rFonts w:hint="eastAsia" w:ascii="仿宋_GB2312" w:hAnsi="仿宋_GB2312" w:eastAsia="仿宋_GB2312" w:cs="仿宋_GB2312"/>
          <w:sz w:val="32"/>
          <w:szCs w:val="32"/>
        </w:rPr>
        <w:t>满足老年人居家养老服务需求，立足基本养老服务清单，健全系统化、专业化、多样化的家庭养老床位服务套餐，</w:t>
      </w:r>
      <w:r>
        <w:rPr>
          <w:rFonts w:hint="eastAsia" w:ascii="仿宋_GB2312" w:hAnsi="仿宋_GB2312" w:eastAsia="仿宋_GB2312" w:cs="仿宋_GB2312"/>
          <w:color w:val="000000"/>
          <w:sz w:val="32"/>
          <w:szCs w:val="32"/>
          <w:shd w:val="clear" w:color="auto" w:fill="FFFFFF"/>
          <w:lang w:bidi="ar"/>
        </w:rPr>
        <w:t>推动将</w:t>
      </w:r>
      <w:r>
        <w:rPr>
          <w:rFonts w:hint="eastAsia" w:ascii="仿宋_GB2312" w:hAnsi="仿宋_GB2312" w:eastAsia="仿宋_GB2312" w:cs="仿宋_GB2312"/>
          <w:sz w:val="32"/>
          <w:szCs w:val="32"/>
          <w:lang w:bidi="ar"/>
        </w:rPr>
        <w:t>机构</w:t>
      </w:r>
      <w:r>
        <w:rPr>
          <w:rFonts w:hint="eastAsia" w:ascii="仿宋_GB2312" w:hAnsi="仿宋_GB2312" w:eastAsia="仿宋_GB2312" w:cs="仿宋_GB2312"/>
          <w:color w:val="000000"/>
          <w:sz w:val="32"/>
          <w:szCs w:val="32"/>
          <w:shd w:val="clear" w:color="auto" w:fill="FFFFFF"/>
          <w:lang w:bidi="ar"/>
        </w:rPr>
        <w:t>养老服务延伸到老年人</w:t>
      </w:r>
      <w:r>
        <w:rPr>
          <w:rFonts w:hint="eastAsia" w:ascii="仿宋_GB2312" w:hAnsi="仿宋_GB2312" w:eastAsia="仿宋_GB2312" w:cs="仿宋_GB2312"/>
          <w:sz w:val="32"/>
          <w:szCs w:val="32"/>
          <w:lang w:bidi="ar"/>
        </w:rPr>
        <w:t>家庭，实现</w:t>
      </w:r>
      <w:r>
        <w:rPr>
          <w:rFonts w:hint="eastAsia" w:ascii="仿宋_GB2312" w:hAnsi="仿宋_GB2312" w:eastAsia="仿宋_GB2312" w:cs="仿宋_GB2312"/>
          <w:sz w:val="32"/>
          <w:szCs w:val="32"/>
        </w:rPr>
        <w:t>垂暮不离亲、养老不离家。</w:t>
      </w:r>
    </w:p>
    <w:p>
      <w:pPr>
        <w:pStyle w:val="3"/>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（二）医养结合</w:t>
      </w:r>
      <w:r>
        <w:rPr>
          <w:rFonts w:hint="eastAsia" w:ascii="仿宋_GB2312" w:hAnsi="仿宋_GB2312" w:eastAsia="仿宋_GB2312" w:cs="仿宋_GB2312"/>
          <w:sz w:val="32"/>
          <w:szCs w:val="32"/>
        </w:rPr>
        <w:t>。推动养老服务资源和医疗健康服务有序共享，支持有条件的医疗卫生服务机构为居家的失能、高龄以及慢性病等行动不便或确有困难的老年人提供居家医疗服务。</w:t>
      </w:r>
    </w:p>
    <w:p>
      <w:pPr>
        <w:pStyle w:val="3"/>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（三）数字赋能。</w:t>
      </w:r>
      <w:r>
        <w:rPr>
          <w:rFonts w:hint="eastAsia" w:ascii="仿宋_GB2312" w:hAnsi="仿宋_GB2312" w:eastAsia="仿宋_GB2312" w:cs="仿宋_GB2312"/>
          <w:sz w:val="32"/>
          <w:szCs w:val="32"/>
        </w:rPr>
        <w:t>依托城市数字经济先发优势，结合物联网、大数据、人工智能等信息技术的发展，创新数字化家庭养老模式，建立完善市级平台，实现一网通办、一网统管。</w:t>
      </w:r>
    </w:p>
    <w:p>
      <w:pPr>
        <w:pStyle w:val="3"/>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（四）家庭参与。</w:t>
      </w:r>
      <w:r>
        <w:rPr>
          <w:rFonts w:hint="eastAsia" w:ascii="仿宋_GB2312" w:hAnsi="仿宋_GB2312" w:eastAsia="仿宋_GB2312" w:cs="仿宋_GB2312"/>
          <w:sz w:val="32"/>
          <w:szCs w:val="32"/>
        </w:rPr>
        <w:t>建立家庭养老床位应具备一定的家庭养老照护基础，家中有较为稳定的家庭照料者。通过宣传引导，积极发挥家庭成员的作用，协同提升居家养老的功能和水平。</w:t>
      </w:r>
    </w:p>
    <w:p>
      <w:pPr>
        <w:pStyle w:val="4"/>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left"/>
        <w:rPr>
          <w:rFonts w:ascii="黑体" w:hAnsi="黑体" w:eastAsia="黑体" w:cs="黑体"/>
          <w:b w:val="0"/>
          <w:bCs w:val="0"/>
          <w:sz w:val="32"/>
          <w:szCs w:val="32"/>
        </w:rPr>
      </w:pPr>
      <w:r>
        <w:rPr>
          <w:rFonts w:hint="eastAsia" w:ascii="黑体" w:hAnsi="黑体" w:eastAsia="黑体" w:cs="黑体"/>
          <w:b w:val="0"/>
          <w:bCs w:val="0"/>
          <w:sz w:val="32"/>
          <w:szCs w:val="32"/>
        </w:rPr>
        <w:t>三、具体内容</w:t>
      </w:r>
    </w:p>
    <w:p>
      <w:pPr>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sz w:val="32"/>
          <w:szCs w:val="32"/>
          <w:lang w:bidi="ar"/>
        </w:rPr>
      </w:pPr>
      <w:r>
        <w:rPr>
          <w:rFonts w:hint="eastAsia" w:ascii="楷体" w:hAnsi="楷体" w:eastAsia="楷体" w:cs="楷体"/>
          <w:sz w:val="32"/>
          <w:szCs w:val="32"/>
        </w:rPr>
        <w:t>（一）简化申请流程</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shd w:val="clear"/>
        </w:rPr>
        <w:t>家庭养老床位</w:t>
      </w:r>
      <w:r>
        <w:rPr>
          <w:rFonts w:hint="eastAsia" w:ascii="仿宋_GB2312" w:hAnsi="仿宋_GB2312" w:eastAsia="仿宋_GB2312" w:cs="仿宋_GB2312"/>
          <w:sz w:val="32"/>
          <w:szCs w:val="32"/>
        </w:rPr>
        <w:t>建床要求，全市</w:t>
      </w:r>
      <w:r>
        <w:rPr>
          <w:rFonts w:hint="eastAsia" w:ascii="仿宋_GB2312" w:hAnsi="仿宋_GB2312" w:eastAsia="仿宋_GB2312" w:cs="仿宋_GB2312"/>
          <w:sz w:val="32"/>
          <w:szCs w:val="32"/>
          <w:lang w:bidi="ar"/>
        </w:rPr>
        <w:t>老年人或</w:t>
      </w:r>
      <w:r>
        <w:rPr>
          <w:rFonts w:hint="eastAsia" w:ascii="仿宋_GB2312" w:hAnsi="仿宋_GB2312" w:eastAsia="仿宋_GB2312" w:cs="仿宋_GB2312"/>
          <w:sz w:val="32"/>
          <w:szCs w:val="32"/>
        </w:rPr>
        <w:t>家属统一在“浙里办”服务端“杭向颐养—建家床”应用模块进行申请，或线下向辖区符合条件的服务机构提出申请，由服务机构录入市级管理平台。市级管理平台依托一体化智能化数据平台，自动匹配老年人身份信息、老年人能力评估结果、家庭床位可享政策等信息后，形成“建床指导清单”。服务机构应充分征求老人或申请人意见后签订服务协议，开展后续服务。</w:t>
      </w:r>
    </w:p>
    <w:p>
      <w:pPr>
        <w:pStyle w:val="3"/>
        <w:keepLines w:val="0"/>
        <w:pageBreakBefore w:val="0"/>
        <w:kinsoku/>
        <w:wordWrap/>
        <w:overflowPunct/>
        <w:topLinePunct w:val="0"/>
        <w:autoSpaceDE/>
        <w:autoSpaceDN/>
        <w:bidi w:val="0"/>
        <w:adjustRightInd/>
        <w:snapToGrid/>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sz w:val="32"/>
          <w:szCs w:val="32"/>
          <w:lang w:bidi="ar"/>
        </w:rPr>
        <w:t xml:space="preserve">   </w:t>
      </w:r>
      <w:r>
        <w:rPr>
          <w:rFonts w:hint="eastAsia" w:ascii="楷体" w:hAnsi="楷体" w:eastAsia="楷体" w:cs="楷体"/>
          <w:sz w:val="32"/>
          <w:szCs w:val="32"/>
        </w:rPr>
        <w:t>（二）</w:t>
      </w:r>
      <w:r>
        <w:rPr>
          <w:rFonts w:hint="eastAsia" w:ascii="楷体" w:hAnsi="楷体" w:eastAsia="楷体" w:cs="楷体"/>
          <w:color w:val="000000" w:themeColor="text1"/>
          <w:sz w:val="32"/>
          <w:szCs w:val="32"/>
          <w14:textFill>
            <w14:solidFill>
              <w14:schemeClr w14:val="tx1"/>
            </w14:solidFill>
          </w14:textFill>
        </w:rPr>
        <w:t>规范服务管理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按照“人床匹配”要求，</w:t>
      </w:r>
      <w:r>
        <w:rPr>
          <w:rFonts w:hint="eastAsia" w:ascii="仿宋_GB2312" w:hAnsi="仿宋_GB2312" w:eastAsia="仿宋_GB2312" w:cs="仿宋_GB2312"/>
          <w:color w:val="000000" w:themeColor="text1"/>
          <w:sz w:val="32"/>
          <w:szCs w:val="32"/>
          <w14:textFill>
            <w14:solidFill>
              <w14:schemeClr w14:val="tx1"/>
            </w14:solidFill>
          </w14:textFill>
        </w:rPr>
        <w:t>家庭养老床位服务机</w:t>
      </w:r>
      <w:r>
        <w:rPr>
          <w:rFonts w:hint="eastAsia" w:ascii="仿宋_GB2312" w:hAnsi="仿宋_GB2312" w:eastAsia="仿宋_GB2312" w:cs="仿宋_GB2312"/>
          <w:sz w:val="32"/>
          <w:szCs w:val="32"/>
        </w:rPr>
        <w:t>构通过标准化接口，以“T+1”方式将建床和服务数据归集到市级平台，主要包括签约服务协议文本、建（撤）床、适老化改造</w:t>
      </w:r>
      <w:r>
        <w:rPr>
          <w:rFonts w:hint="eastAsia" w:ascii="仿宋_GB2312" w:hAnsi="仿宋_GB2312" w:eastAsia="仿宋_GB2312" w:cs="仿宋_GB2312"/>
          <w:color w:val="000000" w:themeColor="text1"/>
          <w:sz w:val="32"/>
          <w:szCs w:val="32"/>
          <w14:textFill>
            <w14:solidFill>
              <w14:schemeClr w14:val="tx1"/>
            </w14:solidFill>
          </w14:textFill>
        </w:rPr>
        <w:t>、智能设备安装、上门服务情况等（</w:t>
      </w:r>
      <w:r>
        <w:rPr>
          <w:rFonts w:hint="eastAsia" w:ascii="仿宋_GB2312" w:hAnsi="仿宋_GB2312" w:eastAsia="仿宋_GB2312" w:cs="仿宋_GB2312"/>
          <w:color w:val="000000" w:themeColor="text1"/>
          <w:sz w:val="32"/>
          <w:szCs w:val="32"/>
          <w:lang w:bidi="ar"/>
          <w14:textFill>
            <w14:solidFill>
              <w14:schemeClr w14:val="tx1"/>
            </w14:solidFill>
          </w14:textFill>
        </w:rPr>
        <w:t>数据归集规范见附件1）。</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养老服务机构应根据服务对象的生活状况、健康状况、经济状况、精神状态等因素，制订并实施专业照护方案，</w:t>
      </w:r>
      <w:r>
        <w:rPr>
          <w:rFonts w:hint="eastAsia" w:ascii="仿宋_GB2312" w:hAnsi="仿宋_GB2312" w:eastAsia="仿宋_GB2312" w:cs="仿宋_GB2312"/>
          <w:color w:val="000000" w:themeColor="text1"/>
          <w:sz w:val="32"/>
          <w:szCs w:val="32"/>
          <w:lang w:bidi="ar"/>
          <w14:textFill>
            <w14:solidFill>
              <w14:schemeClr w14:val="tx1"/>
            </w14:solidFill>
          </w14:textFill>
        </w:rPr>
        <w:t>加强流程闭环管理，确保服务记录完整、真实、连续。</w:t>
      </w:r>
    </w:p>
    <w:p>
      <w:pPr>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楷体" w:hAnsi="楷体" w:eastAsia="楷体" w:cs="楷体"/>
          <w:sz w:val="32"/>
          <w:szCs w:val="32"/>
          <w:lang w:bidi="ar"/>
        </w:rPr>
        <w:t>（三）提升智慧照护</w:t>
      </w: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sz w:val="32"/>
          <w:szCs w:val="32"/>
          <w:lang w:bidi="ar"/>
        </w:rPr>
        <w:t>服务机构应当依托必要的信息化系统和智能化设备，包括紧急呼叫、智能穿戴、智能感应、远程监控、信息传</w:t>
      </w:r>
      <w:r>
        <w:rPr>
          <w:rFonts w:hint="eastAsia" w:ascii="仿宋_GB2312" w:hAnsi="仿宋_GB2312" w:eastAsia="仿宋_GB2312" w:cs="仿宋_GB2312"/>
          <w:color w:val="000000" w:themeColor="text1"/>
          <w:sz w:val="32"/>
          <w:szCs w:val="32"/>
          <w:lang w:bidi="ar"/>
          <w14:textFill>
            <w14:solidFill>
              <w14:schemeClr w14:val="tx1"/>
            </w14:solidFill>
          </w14:textFill>
        </w:rPr>
        <w:t>输等（智能设备参考清单见附件2），将家庭养老床位纳入24小时动态管理和远程监护，通过无感式监测实</w:t>
      </w:r>
      <w:r>
        <w:rPr>
          <w:rFonts w:hint="eastAsia" w:ascii="仿宋_GB2312" w:hAnsi="仿宋_GB2312" w:eastAsia="仿宋_GB2312" w:cs="仿宋_GB2312"/>
          <w:color w:val="000000"/>
          <w:sz w:val="32"/>
          <w:szCs w:val="32"/>
          <w:lang w:bidi="ar"/>
        </w:rPr>
        <w:t>时掌握老年人身体变化和上门服务情况。经老年人及其家属同意，可根据需要联网视频通话并提供紧急援助。</w:t>
      </w:r>
    </w:p>
    <w:p>
      <w:pPr>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楷体" w:hAnsi="楷体" w:eastAsia="楷体" w:cs="楷体"/>
          <w:sz w:val="32"/>
          <w:szCs w:val="32"/>
          <w:lang w:bidi="ar"/>
        </w:rPr>
        <w:t>（四）强化医养支持。</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充分发挥“杭州健康驿站”协同管理作用，促进家庭养老床位服务人员与老年人家庭签约医生间的信息互通共享。鼓励家庭</w:t>
      </w:r>
      <w:r>
        <w:rPr>
          <w:rFonts w:hint="eastAsia" w:ascii="仿宋_GB2312" w:hAnsi="仿宋_GB2312" w:eastAsia="仿宋_GB2312" w:cs="仿宋_GB2312"/>
          <w:color w:val="000000" w:themeColor="text1"/>
          <w:sz w:val="32"/>
          <w:szCs w:val="32"/>
          <w:lang w:bidi="ar"/>
          <w14:textFill>
            <w14:solidFill>
              <w14:schemeClr w14:val="tx1"/>
            </w14:solidFill>
          </w14:textFill>
        </w:rPr>
        <w:t>养老床位服务机构就近与社区卫生服务机构或有资质的医疗服务机构合作建立“服务联合体”</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社区卫生服务中心设置个性化签约服务包，家庭养老床位服务机构</w:t>
      </w:r>
      <w:r>
        <w:rPr>
          <w:rFonts w:hint="eastAsia" w:ascii="仿宋_GB2312" w:hAnsi="仿宋_GB2312" w:eastAsia="仿宋_GB2312" w:cs="仿宋_GB2312"/>
          <w:color w:val="000000" w:themeColor="text1"/>
          <w:sz w:val="32"/>
          <w:szCs w:val="32"/>
          <w:lang w:bidi="ar"/>
          <w14:textFill>
            <w14:solidFill>
              <w14:schemeClr w14:val="tx1"/>
            </w14:solidFill>
          </w14:textFill>
        </w:rPr>
        <w:t>以购买服务的形式，由</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签约医生团队</w:t>
      </w:r>
      <w:r>
        <w:rPr>
          <w:rFonts w:hint="eastAsia" w:ascii="仿宋_GB2312" w:hAnsi="仿宋_GB2312" w:eastAsia="仿宋_GB2312" w:cs="仿宋_GB2312"/>
          <w:color w:val="000000" w:themeColor="text1"/>
          <w:sz w:val="32"/>
          <w:szCs w:val="32"/>
          <w:lang w:bidi="ar"/>
          <w14:textFill>
            <w14:solidFill>
              <w14:schemeClr w14:val="tx1"/>
            </w14:solidFill>
          </w14:textFill>
        </w:rPr>
        <w:t>提供个性化</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健康管理</w:t>
      </w:r>
      <w:r>
        <w:rPr>
          <w:rFonts w:hint="eastAsia" w:ascii="仿宋_GB2312" w:hAnsi="仿宋_GB2312" w:eastAsia="仿宋_GB2312" w:cs="仿宋_GB2312"/>
          <w:color w:val="000000" w:themeColor="text1"/>
          <w:sz w:val="32"/>
          <w:szCs w:val="32"/>
          <w:lang w:bidi="ar"/>
          <w14:textFill>
            <w14:solidFill>
              <w14:schemeClr w14:val="tx1"/>
            </w14:solidFill>
          </w14:textFill>
        </w:rPr>
        <w:t>服务项目。</w:t>
      </w:r>
    </w:p>
    <w:p>
      <w:pPr>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lang w:bidi="ar"/>
        </w:rPr>
        <w:t>（五）便利转介转养</w:t>
      </w:r>
      <w:r>
        <w:rPr>
          <w:rFonts w:hint="eastAsia" w:ascii="仿宋_GB2312" w:hAnsi="仿宋_GB2312" w:eastAsia="仿宋_GB2312" w:cs="仿宋_GB2312"/>
          <w:color w:val="000000" w:themeColor="text1"/>
          <w:sz w:val="32"/>
          <w:szCs w:val="32"/>
          <w:lang w:bidi="ar"/>
          <w14:textFill>
            <w14:solidFill>
              <w14:schemeClr w14:val="tx1"/>
            </w14:solidFill>
          </w14:textFill>
        </w:rPr>
        <w:t>。家庭养老床位服务机构应根据老年人自身需求和身体变化情况</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主动协助老年人发起转介转养申请。符合家庭病床建床条件的，通过市级平台发起转介申请，打通医养数据传输渠道，将老人信息和服务档案等相关数据共享至卫健部门，由相应的社区卫生服务中心按规定办理。长期卧床无法自行翻身、起身</w:t>
      </w:r>
      <w:r>
        <w:rPr>
          <w:rFonts w:hint="eastAsia" w:ascii="仿宋_GB2312" w:hAnsi="仿宋_GB2312" w:eastAsia="仿宋_GB2312" w:cs="仿宋_GB2312"/>
          <w:color w:val="000000" w:themeColor="text1"/>
          <w:sz w:val="32"/>
          <w:szCs w:val="32"/>
          <w:lang w:bidi="ar"/>
          <w14:textFill>
            <w14:solidFill>
              <w14:schemeClr w14:val="tx1"/>
            </w14:solidFill>
          </w14:textFill>
        </w:rPr>
        <w:t>的重度肢体功能障碍残疾人可按规定申请配置多功能护理床，逐步打通与残联部门的辅具智配线上服务场景，实现辅具适配“主动推送、你点我送”一键送达服务。需要转至养老机构的入住的，通过市级平台发起转养申请，将老人信息和服务档案等转至意向入住机构。探索“养老床位与家庭病床”的有机融合，推动老年人档案在医、康、养、护服务中的连续记录，实现“床随人走”</w:t>
      </w:r>
      <w:r>
        <w:rPr>
          <w:rFonts w:hint="eastAsia" w:ascii="仿宋_GB2312" w:hAnsi="仿宋_GB2312" w:eastAsia="仿宋_GB2312" w:cs="仿宋_GB2312"/>
          <w:sz w:val="32"/>
          <w:szCs w:val="32"/>
        </w:rPr>
        <w:t>，服务无感无缝衔接。</w:t>
      </w:r>
    </w:p>
    <w:p>
      <w:pPr>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sz w:val="32"/>
          <w:szCs w:val="32"/>
          <w:lang w:bidi="ar"/>
        </w:rPr>
        <w:t>（六）实施绩效评价。</w:t>
      </w:r>
      <w:r>
        <w:rPr>
          <w:rFonts w:hint="eastAsia" w:ascii="仿宋_GB2312" w:hAnsi="仿宋_GB2312" w:eastAsia="仿宋_GB2312" w:cs="仿宋_GB2312"/>
          <w:color w:val="000000" w:themeColor="text1"/>
          <w:sz w:val="32"/>
          <w:szCs w:val="32"/>
          <w14:textFill>
            <w14:solidFill>
              <w14:schemeClr w14:val="tx1"/>
            </w14:solidFill>
          </w14:textFill>
        </w:rPr>
        <w:t>通过数字化手段开展多种形式的质量监管，定期对老年人和家属开展满意度调查，促进家庭养老床位服务机构加强行业自律。服务质效评估情况将作为服务机构申请政府补贴的重要依据。</w:t>
      </w:r>
    </w:p>
    <w:p>
      <w:pPr>
        <w:pStyle w:val="3"/>
        <w:keepLines w:val="0"/>
        <w:pageBreakBefore w:val="0"/>
        <w:numPr>
          <w:ilvl w:val="0"/>
          <w:numId w:val="2"/>
        </w:numPr>
        <w:kinsoku/>
        <w:wordWrap/>
        <w:overflowPunct/>
        <w:topLinePunct w:val="0"/>
        <w:autoSpaceDE/>
        <w:autoSpaceDN/>
        <w:bidi w:val="0"/>
        <w:adjustRightInd/>
        <w:snapToGrid/>
        <w:spacing w:line="560" w:lineRule="exact"/>
        <w:ind w:firstLine="640" w:firstLineChars="200"/>
        <w:rPr>
          <w:rFonts w:ascii="黑体" w:hAnsi="黑体" w:eastAsia="黑体"/>
          <w:sz w:val="32"/>
          <w:szCs w:val="32"/>
        </w:rPr>
      </w:pPr>
      <w:r>
        <w:rPr>
          <w:rFonts w:hint="eastAsia" w:ascii="黑体" w:hAnsi="黑体" w:eastAsia="黑体"/>
          <w:sz w:val="32"/>
          <w:szCs w:val="32"/>
        </w:rPr>
        <w:t>机制措施</w:t>
      </w:r>
    </w:p>
    <w:p>
      <w:pPr>
        <w:keepLines w:val="0"/>
        <w:pageBreakBefore w:val="0"/>
        <w:widowControl/>
        <w:numPr>
          <w:ilvl w:val="0"/>
          <w:numId w:val="3"/>
        </w:numPr>
        <w:kinsoku/>
        <w:wordWrap/>
        <w:overflowPunct/>
        <w:topLinePunct w:val="0"/>
        <w:autoSpaceDE/>
        <w:autoSpaceDN/>
        <w:bidi w:val="0"/>
        <w:adjustRightInd/>
        <w:snapToGrid/>
        <w:spacing w:line="560" w:lineRule="exact"/>
        <w:ind w:firstLine="640" w:firstLineChars="200"/>
        <w:jc w:val="left"/>
        <w:rPr>
          <w:rFonts w:ascii="仿宋_GB2312" w:hAnsi="仿宋_GB2312" w:eastAsia="仿宋_GB2312" w:cs="仿宋_GB2312"/>
          <w:color w:val="000000"/>
          <w:sz w:val="32"/>
          <w:szCs w:val="32"/>
          <w:lang w:bidi="ar"/>
        </w:rPr>
      </w:pPr>
      <w:r>
        <w:rPr>
          <w:rFonts w:hint="eastAsia" w:ascii="楷体" w:hAnsi="楷体" w:eastAsia="楷体" w:cs="楷体"/>
          <w:sz w:val="32"/>
          <w:szCs w:val="32"/>
          <w:lang w:bidi="ar"/>
        </w:rPr>
        <w:t>加强组织领导。要</w:t>
      </w:r>
      <w:r>
        <w:rPr>
          <w:rFonts w:hint="eastAsia" w:ascii="仿宋_GB2312" w:hAnsi="仿宋_GB2312" w:eastAsia="仿宋_GB2312" w:cs="仿宋_GB2312"/>
          <w:color w:val="000000" w:themeColor="text1"/>
          <w:sz w:val="32"/>
          <w:szCs w:val="32"/>
          <w:lang w:bidi="ar"/>
          <w14:textFill>
            <w14:solidFill>
              <w14:schemeClr w14:val="tx1"/>
            </w14:solidFill>
          </w14:textFill>
        </w:rPr>
        <w:t>建立民政、卫健、残联、财政等多方参与的联动机制，定期会商、研究、解决相关问题，提升改革创新成效。</w:t>
      </w:r>
      <w:r>
        <w:rPr>
          <w:rFonts w:hint="eastAsia" w:ascii="仿宋_GB2312" w:hAnsi="仿宋_GB2312" w:eastAsia="仿宋_GB2312" w:cs="仿宋_GB2312"/>
          <w:color w:val="000000"/>
          <w:sz w:val="32"/>
          <w:szCs w:val="32"/>
        </w:rPr>
        <w:t>各地民政部门</w:t>
      </w:r>
      <w:r>
        <w:rPr>
          <w:rFonts w:hint="eastAsia" w:ascii="仿宋_GB2312" w:hAnsi="仿宋_GB2312" w:eastAsia="仿宋_GB2312" w:cs="仿宋_GB2312"/>
          <w:color w:val="000000"/>
          <w:sz w:val="32"/>
          <w:szCs w:val="32"/>
          <w:lang w:bidi="ar"/>
        </w:rPr>
        <w:t>要</w:t>
      </w:r>
      <w:r>
        <w:rPr>
          <w:rFonts w:hint="eastAsia" w:ascii="仿宋_GB2312" w:hAnsi="仿宋_GB2312" w:eastAsia="仿宋_GB2312" w:cs="仿宋_GB2312"/>
          <w:color w:val="000000" w:themeColor="text1"/>
          <w:sz w:val="32"/>
          <w:szCs w:val="32"/>
          <w:lang w:bidi="ar"/>
          <w14:textFill>
            <w14:solidFill>
              <w14:schemeClr w14:val="tx1"/>
            </w14:solidFill>
          </w14:textFill>
        </w:rPr>
        <w:t>发挥牵头作用</w:t>
      </w:r>
      <w:r>
        <w:rPr>
          <w:rFonts w:hint="eastAsia" w:ascii="仿宋_GB2312" w:hAnsi="仿宋_GB2312" w:eastAsia="仿宋_GB2312" w:cs="仿宋_GB2312"/>
          <w:color w:val="000000"/>
          <w:sz w:val="32"/>
          <w:szCs w:val="32"/>
          <w:lang w:bidi="ar"/>
        </w:rPr>
        <w:t>，切实把家庭养老床位建设作为破解当前养老服务领域痛点难点、提升老年人获得感幸福感的重要抓手，加强政策指引、业务指导、资源统筹、监督检查等，稳妥有序推进。各地卫健部门要主动对接，积极推动社区卫生服务机构或符合条件的社会办医疗机构开展社区“嵌入式、小型化、连锁化”</w:t>
      </w:r>
      <w:r>
        <w:rPr>
          <w:rFonts w:hint="eastAsia" w:ascii="仿宋_GB2312" w:hAnsi="仿宋_GB2312" w:eastAsia="仿宋_GB2312" w:cs="仿宋_GB2312"/>
          <w:color w:val="000000"/>
          <w:sz w:val="32"/>
          <w:szCs w:val="32"/>
          <w:lang w:val="en-US" w:eastAsia="zh-CN" w:bidi="ar"/>
        </w:rPr>
        <w:t>医养结合</w:t>
      </w:r>
      <w:r>
        <w:rPr>
          <w:rFonts w:hint="eastAsia" w:ascii="仿宋_GB2312" w:hAnsi="仿宋_GB2312" w:eastAsia="仿宋_GB2312" w:cs="仿宋_GB2312"/>
          <w:color w:val="000000"/>
          <w:sz w:val="32"/>
          <w:szCs w:val="32"/>
          <w:lang w:bidi="ar"/>
        </w:rPr>
        <w:t>服务，提升基层医疗卫生机构为老年人提供医疗健康服务的能力，促进老年健康发展。各地残联要深入实施“光明工程”，按规定配发护理床，加快推进我市残疾人康复服务高水平发展。</w:t>
      </w:r>
    </w:p>
    <w:p>
      <w:pPr>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200"/>
        <w:jc w:val="left"/>
        <w:rPr>
          <w:rFonts w:ascii="仿宋_GB2312" w:hAnsi="仿宋_GB2312" w:eastAsia="仿宋_GB2312" w:cs="仿宋_GB2312"/>
          <w:sz w:val="32"/>
          <w:szCs w:val="32"/>
        </w:rPr>
      </w:pPr>
      <w:r>
        <w:rPr>
          <w:rFonts w:hint="eastAsia" w:ascii="楷体" w:hAnsi="楷体" w:eastAsia="楷体" w:cs="楷体"/>
          <w:color w:val="000000"/>
          <w:sz w:val="32"/>
          <w:szCs w:val="32"/>
          <w:lang w:bidi="ar"/>
        </w:rPr>
        <w:t>加强资金保障。</w:t>
      </w:r>
      <w:r>
        <w:rPr>
          <w:rFonts w:hint="eastAsia" w:ascii="仿宋_GB2312" w:hAnsi="仿宋_GB2312" w:eastAsia="仿宋_GB2312" w:cs="仿宋_GB2312"/>
          <w:color w:val="000000"/>
          <w:sz w:val="32"/>
          <w:szCs w:val="32"/>
          <w:lang w:bidi="ar"/>
        </w:rPr>
        <w:t>各地要将开展家庭养老床位建设和服务的补助纳入市级养老服务资金补助范围，制定具体标准。</w:t>
      </w:r>
      <w:r>
        <w:rPr>
          <w:rFonts w:hint="eastAsia" w:ascii="仿宋_GB2312" w:hAnsi="仿宋_GB2312" w:eastAsia="仿宋_GB2312" w:cs="仿宋_GB2312"/>
          <w:color w:val="000000"/>
          <w:sz w:val="32"/>
          <w:szCs w:val="32"/>
          <w:lang w:val="en-US" w:eastAsia="zh-CN" w:bidi="ar"/>
        </w:rPr>
        <w:t>加大政府购买服务力度，支持符合条件的社会办医养结合机构承接养老服务。</w:t>
      </w:r>
      <w:r>
        <w:rPr>
          <w:rFonts w:hint="eastAsia" w:ascii="仿宋_GB2312" w:hAnsi="仿宋_GB2312" w:eastAsia="仿宋_GB2312" w:cs="仿宋_GB2312"/>
          <w:color w:val="000000"/>
          <w:sz w:val="32"/>
          <w:szCs w:val="32"/>
          <w:lang w:bidi="ar"/>
        </w:rPr>
        <w:t>家庭养老床位可参照购买养老服务机构综合责任保险并享受机构床位政府补贴政策。鼓励提</w:t>
      </w:r>
      <w:r>
        <w:rPr>
          <w:rFonts w:hint="eastAsia" w:ascii="仿宋_GB2312" w:hAnsi="仿宋_GB2312" w:eastAsia="仿宋_GB2312" w:cs="仿宋_GB2312"/>
          <w:color w:val="000000" w:themeColor="text1"/>
          <w:sz w:val="32"/>
          <w:szCs w:val="32"/>
          <w:lang w:bidi="ar"/>
          <w14:textFill>
            <w14:solidFill>
              <w14:schemeClr w14:val="tx1"/>
            </w14:solidFill>
          </w14:textFill>
        </w:rPr>
        <w:t>供居家</w:t>
      </w:r>
      <w:r>
        <w:rPr>
          <w:rFonts w:hint="eastAsia" w:ascii="仿宋_GB2312" w:hAnsi="仿宋_GB2312" w:eastAsia="仿宋_GB2312" w:cs="仿宋_GB2312"/>
          <w:sz w:val="32"/>
          <w:szCs w:val="32"/>
        </w:rPr>
        <w:t>护理服务的机构为其服务工作人员购买第三方责任险、意外险等。</w:t>
      </w:r>
    </w:p>
    <w:p>
      <w:pPr>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ascii="仿宋_GB2312" w:eastAsia="仿宋_GB2312"/>
          <w:color w:val="FF0000"/>
          <w:sz w:val="32"/>
          <w:szCs w:val="32"/>
        </w:rPr>
      </w:pPr>
      <w:r>
        <w:rPr>
          <w:rFonts w:hint="eastAsia" w:ascii="楷体" w:hAnsi="楷体" w:eastAsia="楷体" w:cs="楷体"/>
          <w:color w:val="000000" w:themeColor="text1"/>
          <w:sz w:val="32"/>
          <w:szCs w:val="32"/>
          <w:lang w:bidi="ar"/>
          <w14:textFill>
            <w14:solidFill>
              <w14:schemeClr w14:val="tx1"/>
            </w14:solidFill>
          </w14:textFill>
        </w:rPr>
        <w:t>(三)加强服务监管。</w:t>
      </w:r>
      <w:r>
        <w:rPr>
          <w:rFonts w:hint="eastAsia" w:ascii="仿宋_GB2312" w:hAnsi="仿宋_GB2312" w:eastAsia="仿宋_GB2312" w:cs="仿宋_GB2312"/>
          <w:sz w:val="32"/>
          <w:szCs w:val="32"/>
        </w:rPr>
        <w:t>要将建床场景统一纳入“一老一小”数字化场景。各地民政部门要督促承接家庭养老床位服务的机构按照市民政部门相关信息系统接口</w:t>
      </w:r>
      <w:r>
        <w:rPr>
          <w:rFonts w:hint="eastAsia" w:ascii="仿宋_GB2312" w:hAnsi="仿宋_GB2312" w:eastAsia="仿宋_GB2312" w:cs="仿宋_GB2312"/>
          <w:color w:val="000000" w:themeColor="text1"/>
          <w:sz w:val="32"/>
          <w:szCs w:val="32"/>
          <w:lang w:bidi="ar"/>
          <w14:textFill>
            <w14:solidFill>
              <w14:schemeClr w14:val="tx1"/>
            </w14:solidFill>
          </w14:textFill>
        </w:rPr>
        <w:t>标准和监管要求进行对接，自觉接受政府部门监督管理。把家庭养老床位服务机构纳入养老服务常态化监督管</w:t>
      </w:r>
      <w:r>
        <w:rPr>
          <w:rFonts w:hint="eastAsia" w:ascii="仿宋_GB2312" w:hAnsi="仿宋_GB2312" w:eastAsia="仿宋_GB2312" w:cs="仿宋_GB2312"/>
          <w:color w:val="000000"/>
          <w:sz w:val="32"/>
          <w:szCs w:val="32"/>
          <w:lang w:bidi="ar"/>
        </w:rPr>
        <w:t>理，建立检查监督机制、安全风险防范机制。建床期间家庭照护者可自愿报名免费参加一次护理技能提升培训。上门服务内容设定应充分考虑老年人情况，提供多样化</w:t>
      </w:r>
      <w:r>
        <w:rPr>
          <w:rFonts w:hint="eastAsia" w:ascii="仿宋_GB2312" w:hAnsi="仿宋_GB2312" w:eastAsia="仿宋_GB2312" w:cs="仿宋_GB2312"/>
          <w:color w:val="000000" w:themeColor="text1"/>
          <w:sz w:val="32"/>
          <w:szCs w:val="32"/>
          <w:lang w:bidi="ar"/>
          <w14:textFill>
            <w14:solidFill>
              <w14:schemeClr w14:val="tx1"/>
            </w14:solidFill>
          </w14:textFill>
        </w:rPr>
        <w:t>、个性化、品质化服务。</w:t>
      </w:r>
    </w:p>
    <w:p>
      <w:pPr>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楷体" w:hAnsi="楷体" w:eastAsia="楷体" w:cs="楷体"/>
          <w:color w:val="000000" w:themeColor="text1"/>
          <w:sz w:val="32"/>
          <w:szCs w:val="32"/>
          <w:lang w:bidi="ar"/>
          <w14:textFill>
            <w14:solidFill>
              <w14:schemeClr w14:val="tx1"/>
            </w14:solidFill>
          </w14:textFill>
        </w:rPr>
        <w:t>（四）加强经验总结。</w:t>
      </w:r>
      <w:r>
        <w:rPr>
          <w:rFonts w:hint="eastAsia" w:ascii="仿宋_GB2312" w:hAnsi="仿宋_GB2312" w:eastAsia="仿宋_GB2312" w:cs="仿宋_GB2312"/>
          <w:color w:val="000000" w:themeColor="text1"/>
          <w:sz w:val="32"/>
          <w:szCs w:val="32"/>
          <w:lang w:bidi="ar"/>
          <w14:textFill>
            <w14:solidFill>
              <w14:schemeClr w14:val="tx1"/>
            </w14:solidFill>
          </w14:textFill>
        </w:rPr>
        <w:t>要研究制定家庭养老床位建设和运营相关标准，规范和引导第三方服务。利用各级各类传统媒体和新媒体资源，全方位、多角度宣传家庭养老床位政策和服务工作成效，及时总结推广典型经验。</w:t>
      </w:r>
    </w:p>
    <w:p>
      <w:pPr>
        <w:pStyle w:val="3"/>
        <w:keepLines w:val="0"/>
        <w:pageBreakBefore w:val="0"/>
        <w:kinsoku/>
        <w:wordWrap/>
        <w:overflowPunct/>
        <w:topLinePunct w:val="0"/>
        <w:autoSpaceDE/>
        <w:autoSpaceDN/>
        <w:bidi w:val="0"/>
        <w:adjustRightInd/>
        <w:snapToGrid/>
        <w:spacing w:line="560" w:lineRule="exact"/>
        <w:ind w:left="0" w:leftChars="0" w:firstLine="0" w:firstLineChars="0"/>
      </w:pPr>
    </w:p>
    <w:p>
      <w:pPr>
        <w:keepLines w:val="0"/>
        <w:pageBreakBefore w:val="0"/>
        <w:kinsoku/>
        <w:wordWrap/>
        <w:overflowPunct/>
        <w:topLinePunct w:val="0"/>
        <w:autoSpaceDE/>
        <w:autoSpaceDN/>
        <w:bidi w:val="0"/>
        <w:adjustRightInd/>
        <w:snapToGrid/>
        <w:spacing w:line="560" w:lineRule="exact"/>
        <w:rPr>
          <w:rFonts w:ascii="黑体" w:hAnsi="黑体" w:eastAsia="黑体"/>
          <w:sz w:val="32"/>
          <w:szCs w:val="32"/>
        </w:rPr>
      </w:pPr>
      <w:r>
        <w:rPr>
          <w:rFonts w:hint="eastAsia" w:ascii="黑体" w:hAnsi="黑体" w:eastAsia="黑体"/>
          <w:sz w:val="32"/>
          <w:szCs w:val="32"/>
        </w:rPr>
        <w:t>附件1</w:t>
      </w:r>
    </w:p>
    <w:p>
      <w:pPr>
        <w:pStyle w:val="2"/>
        <w:keepLines w:val="0"/>
        <w:pageBreakBefore w:val="0"/>
        <w:kinsoku/>
        <w:wordWrap/>
        <w:overflowPunct/>
        <w:topLinePunct w:val="0"/>
        <w:autoSpaceDE/>
        <w:autoSpaceDN/>
        <w:bidi w:val="0"/>
        <w:adjustRightInd/>
        <w:snapToGrid/>
        <w:spacing w:line="560" w:lineRule="exact"/>
        <w:ind w:firstLine="210"/>
      </w:pPr>
    </w:p>
    <w:tbl>
      <w:tblPr>
        <w:tblStyle w:val="9"/>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6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61" w:type="dxa"/>
            <w:gridSpan w:val="2"/>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黑体"/>
                <w:b/>
                <w:color w:val="FFFFFF"/>
                <w:sz w:val="32"/>
                <w:szCs w:val="32"/>
              </w:rPr>
            </w:pPr>
            <w:r>
              <w:rPr>
                <w:rFonts w:hint="eastAsia" w:ascii="黑体" w:hAnsi="黑体" w:eastAsia="黑体"/>
                <w:bCs/>
                <w:sz w:val="32"/>
                <w:szCs w:val="32"/>
              </w:rPr>
              <w:t>数据归集规范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restart"/>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r>
              <w:rPr>
                <w:rFonts w:hint="eastAsia" w:ascii="仿宋_GB2312" w:eastAsia="仿宋_GB2312"/>
                <w:sz w:val="28"/>
                <w:szCs w:val="32"/>
              </w:rPr>
              <w:t>基本信息</w:t>
            </w: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户籍地址（三级区划＋详细地址）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建床地址（三级区划＋详细地址）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身体能力评估结果（完好、轻度、中度、重度）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经济情况（低保、低边、其他）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建床时间（如：X</w:t>
            </w:r>
            <w:r>
              <w:rPr>
                <w:rFonts w:ascii="仿宋_GB2312" w:eastAsia="仿宋_GB2312"/>
                <w:sz w:val="28"/>
                <w:szCs w:val="32"/>
              </w:rPr>
              <w:t>X</w:t>
            </w:r>
            <w:r>
              <w:rPr>
                <w:rFonts w:hint="eastAsia" w:ascii="仿宋_GB2312" w:eastAsia="仿宋_GB2312"/>
                <w:sz w:val="28"/>
                <w:szCs w:val="32"/>
              </w:rPr>
              <w:t>年</w:t>
            </w:r>
            <w:r>
              <w:rPr>
                <w:rFonts w:ascii="仿宋_GB2312" w:eastAsia="仿宋_GB2312"/>
                <w:sz w:val="28"/>
                <w:szCs w:val="32"/>
              </w:rPr>
              <w:t>XX</w:t>
            </w:r>
            <w:r>
              <w:rPr>
                <w:rFonts w:hint="eastAsia" w:ascii="仿宋_GB2312" w:eastAsia="仿宋_GB2312"/>
                <w:sz w:val="28"/>
                <w:szCs w:val="32"/>
              </w:rPr>
              <w:t>月X</w:t>
            </w:r>
            <w:r>
              <w:rPr>
                <w:rFonts w:ascii="仿宋_GB2312" w:eastAsia="仿宋_GB2312"/>
                <w:sz w:val="28"/>
                <w:szCs w:val="32"/>
              </w:rPr>
              <w:t>X</w:t>
            </w:r>
            <w:r>
              <w:rPr>
                <w:rFonts w:hint="eastAsia" w:ascii="仿宋_GB2312" w:eastAsia="仿宋_GB2312"/>
                <w:sz w:val="28"/>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restart"/>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r>
              <w:rPr>
                <w:rFonts w:hint="eastAsia" w:ascii="仿宋_GB2312" w:eastAsia="仿宋_GB2312"/>
                <w:sz w:val="28"/>
                <w:szCs w:val="32"/>
              </w:rPr>
              <w:t>智能化设备</w:t>
            </w: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智能化设备名称（如：紧急呼叫设备）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智能化设备安装数量（X</w:t>
            </w:r>
            <w:r>
              <w:rPr>
                <w:rFonts w:ascii="仿宋_GB2312" w:eastAsia="仿宋_GB2312"/>
                <w:sz w:val="28"/>
                <w:szCs w:val="32"/>
              </w:rPr>
              <w:t>X</w:t>
            </w:r>
            <w:r>
              <w:rPr>
                <w:rFonts w:hint="eastAsia" w:ascii="仿宋_GB2312" w:eastAsia="仿宋_GB2312"/>
                <w:sz w:val="28"/>
                <w:szCs w:val="32"/>
              </w:rPr>
              <w:t>设备</w:t>
            </w:r>
            <w:r>
              <w:rPr>
                <w:rFonts w:ascii="仿宋_GB2312" w:eastAsia="仿宋_GB2312"/>
                <w:sz w:val="28"/>
                <w:szCs w:val="32"/>
              </w:rPr>
              <w:t>XX</w:t>
            </w:r>
            <w:r>
              <w:rPr>
                <w:rFonts w:hint="eastAsia" w:ascii="仿宋_GB2312" w:eastAsia="仿宋_GB2312"/>
                <w:sz w:val="28"/>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restart"/>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r>
              <w:rPr>
                <w:rFonts w:hint="eastAsia" w:ascii="仿宋_GB2312" w:eastAsia="仿宋_GB2312"/>
                <w:sz w:val="28"/>
                <w:szCs w:val="32"/>
              </w:rPr>
              <w:t>适老化设备</w:t>
            </w: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适老化设备名称（如：扶手）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适老化设备安装数量（X</w:t>
            </w:r>
            <w:r>
              <w:rPr>
                <w:rFonts w:ascii="仿宋_GB2312" w:eastAsia="仿宋_GB2312"/>
                <w:sz w:val="28"/>
                <w:szCs w:val="32"/>
              </w:rPr>
              <w:t>X</w:t>
            </w:r>
            <w:r>
              <w:rPr>
                <w:rFonts w:hint="eastAsia" w:ascii="仿宋_GB2312" w:eastAsia="仿宋_GB2312"/>
                <w:sz w:val="28"/>
                <w:szCs w:val="32"/>
              </w:rPr>
              <w:t>设备</w:t>
            </w:r>
            <w:r>
              <w:rPr>
                <w:rFonts w:ascii="仿宋_GB2312" w:eastAsia="仿宋_GB2312"/>
                <w:sz w:val="28"/>
                <w:szCs w:val="32"/>
              </w:rPr>
              <w:t>XX</w:t>
            </w:r>
            <w:r>
              <w:rPr>
                <w:rFonts w:hint="eastAsia" w:ascii="仿宋_GB2312" w:eastAsia="仿宋_GB2312"/>
                <w:sz w:val="28"/>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restart"/>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r>
              <w:rPr>
                <w:rFonts w:hint="eastAsia" w:ascii="仿宋_GB2312" w:eastAsia="仿宋_GB2312"/>
                <w:sz w:val="28"/>
                <w:szCs w:val="32"/>
              </w:rPr>
              <w:t>运营分析</w:t>
            </w: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家庭养老床位服务商名称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hint="eastAsia" w:ascii="仿宋_GB2312" w:eastAsia="仿宋_GB2312"/>
                <w:sz w:val="28"/>
                <w:szCs w:val="32"/>
              </w:rPr>
            </w:pPr>
            <w:r>
              <w:rPr>
                <w:rFonts w:hint="eastAsia" w:ascii="仿宋_GB2312" w:eastAsia="仿宋_GB2312"/>
                <w:sz w:val="28"/>
                <w:szCs w:val="32"/>
              </w:rPr>
              <w:t>服务商实际运营床位数量（X</w:t>
            </w:r>
            <w:r>
              <w:rPr>
                <w:rFonts w:ascii="仿宋_GB2312" w:eastAsia="仿宋_GB2312"/>
                <w:sz w:val="28"/>
                <w:szCs w:val="32"/>
              </w:rPr>
              <w:t>X</w:t>
            </w:r>
            <w:r>
              <w:rPr>
                <w:rFonts w:hint="eastAsia" w:ascii="仿宋_GB2312" w:eastAsia="仿宋_GB2312"/>
                <w:sz w:val="28"/>
                <w:szCs w:val="32"/>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医疗合作机构（如：X</w:t>
            </w:r>
            <w:r>
              <w:rPr>
                <w:rFonts w:ascii="仿宋_GB2312" w:eastAsia="仿宋_GB2312"/>
                <w:sz w:val="28"/>
                <w:szCs w:val="32"/>
              </w:rPr>
              <w:t>XX</w:t>
            </w:r>
            <w:r>
              <w:rPr>
                <w:rFonts w:hint="eastAsia" w:ascii="仿宋_GB2312" w:eastAsia="仿宋_GB2312"/>
                <w:sz w:val="28"/>
                <w:szCs w:val="32"/>
              </w:rPr>
              <w:t>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每月上门频次（如</w:t>
            </w:r>
            <w:r>
              <w:rPr>
                <w:rFonts w:ascii="仿宋_GB2312" w:eastAsia="仿宋_GB2312"/>
                <w:sz w:val="28"/>
                <w:szCs w:val="32"/>
              </w:rPr>
              <w:t>:</w:t>
            </w:r>
            <w:r>
              <w:rPr>
                <w:rFonts w:hint="eastAsia" w:ascii="仿宋_GB2312" w:eastAsia="仿宋_GB2312"/>
                <w:sz w:val="28"/>
                <w:szCs w:val="32"/>
              </w:rPr>
              <w:t>每月X</w:t>
            </w:r>
            <w:r>
              <w:rPr>
                <w:rFonts w:ascii="仿宋_GB2312" w:eastAsia="仿宋_GB2312"/>
                <w:sz w:val="28"/>
                <w:szCs w:val="32"/>
              </w:rPr>
              <w:t>X</w:t>
            </w:r>
            <w:r>
              <w:rPr>
                <w:rFonts w:hint="eastAsia" w:ascii="仿宋_GB2312" w:eastAsia="仿宋_GB2312"/>
                <w:sz w:val="28"/>
                <w:szCs w:val="3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每月收费标准（如：每月X</w:t>
            </w:r>
            <w:r>
              <w:rPr>
                <w:rFonts w:ascii="仿宋_GB2312" w:eastAsia="仿宋_GB2312"/>
                <w:sz w:val="28"/>
                <w:szCs w:val="32"/>
              </w:rPr>
              <w:t>X</w:t>
            </w:r>
            <w:r>
              <w:rPr>
                <w:rFonts w:hint="eastAsia" w:ascii="仿宋_GB2312" w:eastAsia="仿宋_GB2312"/>
                <w:sz w:val="28"/>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restart"/>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r>
              <w:rPr>
                <w:rFonts w:hint="eastAsia" w:ascii="仿宋" w:hAnsi="仿宋" w:eastAsia="仿宋" w:cs="宋体"/>
                <w:color w:val="000000"/>
                <w:kern w:val="0"/>
                <w:sz w:val="28"/>
                <w:szCs w:val="28"/>
                <w:lang w:bidi="ar"/>
              </w:rPr>
              <w:t>服务详情</w:t>
            </w: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服务项目（对应：生活照料、生活护理、电子信息、健康管理、康复护理、精神慰藉六大类）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服务开始时间（如：</w:t>
            </w:r>
            <w:r>
              <w:rPr>
                <w:rFonts w:ascii="仿宋_GB2312" w:eastAsia="仿宋_GB2312"/>
                <w:sz w:val="28"/>
                <w:szCs w:val="32"/>
              </w:rPr>
              <w:t>2023-6-6 09</w:t>
            </w:r>
            <w:r>
              <w:rPr>
                <w:rFonts w:hint="eastAsia" w:ascii="仿宋_GB2312" w:eastAsia="仿宋_GB2312"/>
                <w:sz w:val="28"/>
                <w:szCs w:val="32"/>
              </w:rPr>
              <w:t>:1</w:t>
            </w:r>
            <w:r>
              <w:rPr>
                <w:rFonts w:ascii="仿宋_GB2312" w:eastAsia="仿宋_GB2312"/>
                <w:sz w:val="28"/>
                <w:szCs w:val="32"/>
              </w:rPr>
              <w:t>5</w:t>
            </w:r>
            <w:r>
              <w:rPr>
                <w:rFonts w:hint="eastAsia" w:ascii="仿宋_GB2312" w:eastAsia="仿宋_GB2312"/>
                <w:sz w:val="28"/>
                <w:szCs w:val="32"/>
              </w:rPr>
              <w:t>:</w:t>
            </w:r>
            <w:r>
              <w:rPr>
                <w:rFonts w:ascii="仿宋_GB2312" w:eastAsia="仿宋_GB2312"/>
                <w:sz w:val="28"/>
                <w:szCs w:val="32"/>
              </w:rPr>
              <w:t>12</w:t>
            </w:r>
            <w:r>
              <w:rPr>
                <w:rFonts w:hint="eastAsia" w:ascii="仿宋_GB2312" w:eastAsia="仿宋_GB2312"/>
                <w:sz w:val="28"/>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服务结束时间（如：</w:t>
            </w:r>
            <w:r>
              <w:rPr>
                <w:rFonts w:ascii="仿宋_GB2312" w:eastAsia="仿宋_GB2312"/>
                <w:sz w:val="28"/>
                <w:szCs w:val="32"/>
              </w:rPr>
              <w:t>2023-6-6 10</w:t>
            </w:r>
            <w:r>
              <w:rPr>
                <w:rFonts w:hint="eastAsia" w:ascii="仿宋_GB2312" w:eastAsia="仿宋_GB2312"/>
                <w:sz w:val="28"/>
                <w:szCs w:val="32"/>
              </w:rPr>
              <w:t>:1</w:t>
            </w:r>
            <w:r>
              <w:rPr>
                <w:rFonts w:ascii="仿宋_GB2312" w:eastAsia="仿宋_GB2312"/>
                <w:sz w:val="28"/>
                <w:szCs w:val="32"/>
              </w:rPr>
              <w:t>5</w:t>
            </w:r>
            <w:r>
              <w:rPr>
                <w:rFonts w:hint="eastAsia" w:ascii="仿宋_GB2312" w:eastAsia="仿宋_GB2312"/>
                <w:sz w:val="28"/>
                <w:szCs w:val="32"/>
              </w:rPr>
              <w:t>:</w:t>
            </w:r>
            <w:r>
              <w:rPr>
                <w:rFonts w:ascii="仿宋_GB2312" w:eastAsia="仿宋_GB2312"/>
                <w:sz w:val="28"/>
                <w:szCs w:val="32"/>
              </w:rPr>
              <w:t>12</w:t>
            </w:r>
            <w:r>
              <w:rPr>
                <w:rFonts w:hint="eastAsia" w:ascii="仿宋_GB2312" w:eastAsia="仿宋_GB2312"/>
                <w:sz w:val="28"/>
                <w:szCs w:val="32"/>
              </w:rPr>
              <w:t>）</w:t>
            </w:r>
          </w:p>
        </w:tc>
      </w:tr>
    </w:tbl>
    <w:p>
      <w:pPr>
        <w:keepLines w:val="0"/>
        <w:pageBreakBefore w:val="0"/>
        <w:kinsoku/>
        <w:wordWrap/>
        <w:overflowPunct/>
        <w:topLinePunct w:val="0"/>
        <w:autoSpaceDE/>
        <w:autoSpaceDN/>
        <w:bidi w:val="0"/>
        <w:adjustRightInd/>
        <w:snapToGrid/>
        <w:spacing w:line="560" w:lineRule="exact"/>
        <w:rPr>
          <w:rFonts w:ascii="黑体" w:hAnsi="黑体" w:eastAsia="黑体"/>
          <w:sz w:val="32"/>
          <w:szCs w:val="32"/>
        </w:rPr>
      </w:pPr>
      <w:r>
        <w:rPr>
          <w:rFonts w:hint="eastAsia" w:ascii="黑体" w:hAnsi="黑体" w:eastAsia="黑体"/>
          <w:sz w:val="32"/>
          <w:szCs w:val="32"/>
        </w:rPr>
        <w:t>附件2</w:t>
      </w:r>
    </w:p>
    <w:p>
      <w:pPr>
        <w:pStyle w:val="2"/>
        <w:keepLines w:val="0"/>
        <w:pageBreakBefore w:val="0"/>
        <w:kinsoku/>
        <w:wordWrap/>
        <w:overflowPunct/>
        <w:topLinePunct w:val="0"/>
        <w:autoSpaceDE/>
        <w:autoSpaceDN/>
        <w:bidi w:val="0"/>
        <w:adjustRightInd/>
        <w:snapToGrid/>
        <w:spacing w:line="560" w:lineRule="exact"/>
        <w:ind w:firstLine="210"/>
      </w:pPr>
    </w:p>
    <w:p>
      <w:pPr>
        <w:pStyle w:val="2"/>
        <w:keepLines w:val="0"/>
        <w:pageBreakBefore w:val="0"/>
        <w:kinsoku/>
        <w:wordWrap/>
        <w:overflowPunct/>
        <w:topLinePunct w:val="0"/>
        <w:autoSpaceDE/>
        <w:autoSpaceDN/>
        <w:bidi w:val="0"/>
        <w:adjustRightInd/>
        <w:snapToGrid/>
        <w:spacing w:line="560" w:lineRule="exact"/>
        <w:ind w:firstLine="210"/>
      </w:pPr>
    </w:p>
    <w:tbl>
      <w:tblPr>
        <w:tblStyle w:val="9"/>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6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8861" w:type="dxa"/>
            <w:gridSpan w:val="2"/>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黑体"/>
                <w:b/>
                <w:color w:val="FFFFFF"/>
                <w:sz w:val="32"/>
                <w:szCs w:val="32"/>
              </w:rPr>
            </w:pPr>
            <w:r>
              <w:rPr>
                <w:rFonts w:hint="eastAsia" w:ascii="黑体" w:hAnsi="黑体" w:eastAsia="黑体"/>
                <w:bCs/>
                <w:sz w:val="32"/>
                <w:szCs w:val="32"/>
                <w:lang w:eastAsia="zh-CN"/>
              </w:rPr>
              <w:t>家庭养老床位</w:t>
            </w:r>
            <w:r>
              <w:rPr>
                <w:rFonts w:hint="eastAsia" w:ascii="黑体" w:hAnsi="黑体" w:eastAsia="黑体"/>
                <w:bCs/>
                <w:sz w:val="32"/>
                <w:szCs w:val="32"/>
              </w:rPr>
              <w:t>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restart"/>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hint="eastAsia" w:ascii="仿宋" w:hAnsi="仿宋" w:eastAsia="仿宋" w:cs="宋体"/>
                <w:color w:val="000000"/>
                <w:kern w:val="0"/>
                <w:sz w:val="28"/>
                <w:szCs w:val="28"/>
                <w:lang w:eastAsia="zh-CN" w:bidi="ar"/>
              </w:rPr>
            </w:pPr>
            <w:r>
              <w:rPr>
                <w:rFonts w:hint="eastAsia" w:ascii="仿宋" w:hAnsi="仿宋" w:eastAsia="仿宋" w:cs="宋体"/>
                <w:color w:val="000000"/>
                <w:kern w:val="0"/>
                <w:sz w:val="28"/>
                <w:szCs w:val="28"/>
                <w:lang w:eastAsia="zh-CN" w:bidi="ar"/>
              </w:rPr>
              <w:t>智能设备</w:t>
            </w: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紧急呼叫设备</w:t>
            </w:r>
            <w:r>
              <w:rPr>
                <w:rFonts w:hint="eastAsia" w:ascii="宋体" w:hAnsi="宋体" w:cs="宋体"/>
                <w:color w:val="000000"/>
                <w:kern w:val="0"/>
                <w:szCs w:val="21"/>
              </w:rPr>
              <w:t>（</w:t>
            </w:r>
            <w:r>
              <w:rPr>
                <w:rFonts w:hint="eastAsia" w:ascii="仿宋_GB2312" w:eastAsia="仿宋_GB2312"/>
                <w:sz w:val="28"/>
                <w:szCs w:val="32"/>
              </w:rPr>
              <w:t>按键报警器）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活动监测设备（人体红外探测器、门磁报警器、跌倒报警器）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烟雾感应器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燃气报警器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水浸报警器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视频监控设备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生命体征监测设备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restart"/>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_GB2312" w:eastAsia="仿宋_GB2312"/>
                <w:sz w:val="28"/>
                <w:szCs w:val="32"/>
              </w:rPr>
            </w:pPr>
            <w:r>
              <w:rPr>
                <w:rFonts w:hint="eastAsia" w:ascii="仿宋_GB2312" w:eastAsia="仿宋_GB2312"/>
                <w:sz w:val="28"/>
                <w:szCs w:val="32"/>
              </w:rPr>
              <w:t>适老化设备</w:t>
            </w: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扶手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坡道</w:t>
            </w:r>
          </w:p>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center"/>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洗澡椅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防滑垫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_GB2312" w:eastAsia="仿宋_GB2312"/>
                <w:sz w:val="28"/>
                <w:szCs w:val="32"/>
              </w:rPr>
            </w:pPr>
            <w:r>
              <w:rPr>
                <w:rFonts w:hint="eastAsia" w:ascii="仿宋_GB2312" w:eastAsia="仿宋_GB2312"/>
                <w:sz w:val="28"/>
                <w:szCs w:val="32"/>
              </w:rPr>
              <w:t>坐便器</w:t>
            </w:r>
          </w:p>
          <w:p>
            <w:pPr>
              <w:pStyle w:val="2"/>
              <w:keepLines w:val="0"/>
              <w:pageBreakBefore w:val="0"/>
              <w:kinsoku/>
              <w:wordWrap/>
              <w:overflowPunct/>
              <w:topLinePunct w:val="0"/>
              <w:autoSpaceDE/>
              <w:autoSpaceDN/>
              <w:bidi w:val="0"/>
              <w:adjustRightInd/>
              <w:snapToGrid/>
              <w:spacing w:line="560" w:lineRule="exact"/>
              <w:ind w:firstLine="21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hint="eastAsia" w:ascii="仿宋_GB2312" w:eastAsia="仿宋_GB2312"/>
                <w:sz w:val="28"/>
                <w:szCs w:val="32"/>
              </w:rPr>
            </w:pPr>
            <w:r>
              <w:rPr>
                <w:rFonts w:hint="eastAsia" w:ascii="仿宋_GB2312" w:eastAsia="仿宋_GB2312"/>
                <w:sz w:val="28"/>
                <w:szCs w:val="32"/>
              </w:rPr>
              <w:t>助行器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555" w:type="dxa"/>
            <w:vMerge w:val="continue"/>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ascii="仿宋" w:hAnsi="仿宋" w:eastAsia="仿宋" w:cs="宋体"/>
                <w:color w:val="000000"/>
                <w:kern w:val="0"/>
                <w:sz w:val="28"/>
                <w:szCs w:val="28"/>
                <w:lang w:bidi="ar"/>
              </w:rPr>
            </w:pPr>
          </w:p>
        </w:tc>
        <w:tc>
          <w:tcPr>
            <w:tcW w:w="6306" w:type="dxa"/>
            <w:noWrap/>
            <w:vAlign w:val="center"/>
          </w:tcPr>
          <w:p>
            <w:pPr>
              <w:keepLines w:val="0"/>
              <w:pageBreakBefore w:val="0"/>
              <w:kinsoku/>
              <w:wordWrap/>
              <w:overflowPunct/>
              <w:topLinePunct w:val="0"/>
              <w:autoSpaceDE/>
              <w:autoSpaceDN/>
              <w:bidi w:val="0"/>
              <w:adjustRightInd/>
              <w:snapToGrid/>
              <w:spacing w:line="560" w:lineRule="exact"/>
              <w:jc w:val="left"/>
              <w:textAlignment w:val="center"/>
              <w:rPr>
                <w:rFonts w:hint="eastAsia" w:ascii="仿宋_GB2312" w:eastAsia="仿宋_GB2312"/>
                <w:sz w:val="28"/>
                <w:szCs w:val="32"/>
              </w:rPr>
            </w:pPr>
            <w:r>
              <w:rPr>
                <w:rFonts w:hint="eastAsia" w:ascii="仿宋_GB2312" w:eastAsia="仿宋_GB2312"/>
                <w:sz w:val="28"/>
                <w:szCs w:val="32"/>
              </w:rPr>
              <w:t>感应灯</w:t>
            </w:r>
          </w:p>
        </w:tc>
      </w:tr>
    </w:tbl>
    <w:p>
      <w:pPr>
        <w:pStyle w:val="3"/>
        <w:keepLines w:val="0"/>
        <w:pageBreakBefore w:val="0"/>
        <w:kinsoku/>
        <w:wordWrap/>
        <w:overflowPunct/>
        <w:topLinePunct w:val="0"/>
        <w:autoSpaceDE/>
        <w:autoSpaceDN/>
        <w:bidi w:val="0"/>
        <w:adjustRightInd/>
        <w:snapToGrid/>
        <w:spacing w:line="560" w:lineRule="exact"/>
        <w:ind w:firstLine="0"/>
        <w:rPr>
          <w:rFonts w:hint="eastAsia"/>
        </w:rPr>
      </w:pPr>
    </w:p>
    <w:p>
      <w:pPr>
        <w:pStyle w:val="4"/>
        <w:keepLines w:val="0"/>
        <w:pageBreakBefore w:val="0"/>
        <w:kinsoku/>
        <w:wordWrap/>
        <w:overflowPunct/>
        <w:topLinePunct w:val="0"/>
        <w:autoSpaceDE/>
        <w:autoSpaceDN/>
        <w:bidi w:val="0"/>
        <w:adjustRightInd/>
        <w:snapToGrid/>
        <w:spacing w:line="560" w:lineRule="exact"/>
        <w:rPr>
          <w:sz w:val="36"/>
          <w:szCs w:val="36"/>
        </w:rPr>
      </w:pPr>
      <w:r>
        <w:rPr>
          <w:rFonts w:hint="eastAsia" w:ascii="微软雅黑" w:hAnsi="微软雅黑" w:eastAsia="微软雅黑" w:cs="微软雅黑"/>
          <w:color w:val="404040"/>
          <w:sz w:val="36"/>
          <w:szCs w:val="36"/>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FEACD"/>
    <w:multiLevelType w:val="singleLevel"/>
    <w:tmpl w:val="BB7FEACD"/>
    <w:lvl w:ilvl="0" w:tentative="0">
      <w:start w:val="1"/>
      <w:numFmt w:val="chineseCounting"/>
      <w:suff w:val="nothing"/>
      <w:lvlText w:val="%1、"/>
      <w:lvlJc w:val="left"/>
      <w:rPr>
        <w:rFonts w:hint="eastAsia"/>
      </w:rPr>
    </w:lvl>
  </w:abstractNum>
  <w:abstractNum w:abstractNumId="1">
    <w:nsid w:val="EDFC44D7"/>
    <w:multiLevelType w:val="singleLevel"/>
    <w:tmpl w:val="EDFC44D7"/>
    <w:lvl w:ilvl="0" w:tentative="0">
      <w:start w:val="1"/>
      <w:numFmt w:val="chineseCounting"/>
      <w:suff w:val="nothing"/>
      <w:lvlText w:val="（%1）"/>
      <w:lvlJc w:val="left"/>
      <w:rPr>
        <w:rFonts w:hint="eastAsia"/>
      </w:rPr>
    </w:lvl>
  </w:abstractNum>
  <w:abstractNum w:abstractNumId="2">
    <w:nsid w:val="FEFE5F8D"/>
    <w:multiLevelType w:val="singleLevel"/>
    <w:tmpl w:val="FEFE5F8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M2NhZDQwNzRmZDU3NzlkN2MxNzlmZjVmN2I5NmMifQ=="/>
  </w:docVars>
  <w:rsids>
    <w:rsidRoot w:val="00764638"/>
    <w:rsid w:val="003B47F1"/>
    <w:rsid w:val="0044481F"/>
    <w:rsid w:val="005E004B"/>
    <w:rsid w:val="00764638"/>
    <w:rsid w:val="00795670"/>
    <w:rsid w:val="00B85CC6"/>
    <w:rsid w:val="17B93E0E"/>
    <w:rsid w:val="1ABF45E2"/>
    <w:rsid w:val="1FDF499B"/>
    <w:rsid w:val="26DECEFA"/>
    <w:rsid w:val="37BF181B"/>
    <w:rsid w:val="39FA4568"/>
    <w:rsid w:val="3FB737DF"/>
    <w:rsid w:val="3FDDD532"/>
    <w:rsid w:val="463B7184"/>
    <w:rsid w:val="46EEEE8A"/>
    <w:rsid w:val="4B3F9E32"/>
    <w:rsid w:val="4DFF6739"/>
    <w:rsid w:val="4E9B6846"/>
    <w:rsid w:val="4FFFB5F4"/>
    <w:rsid w:val="50EF01F8"/>
    <w:rsid w:val="5163E2AF"/>
    <w:rsid w:val="57FF5F54"/>
    <w:rsid w:val="59EFC1D6"/>
    <w:rsid w:val="5B21778B"/>
    <w:rsid w:val="5B5B1F85"/>
    <w:rsid w:val="5EBC02BE"/>
    <w:rsid w:val="5FB1D368"/>
    <w:rsid w:val="5FBB706B"/>
    <w:rsid w:val="63C30307"/>
    <w:rsid w:val="643E70EA"/>
    <w:rsid w:val="65053D6A"/>
    <w:rsid w:val="6B9F3529"/>
    <w:rsid w:val="6D733534"/>
    <w:rsid w:val="6DE04F92"/>
    <w:rsid w:val="6F3B3547"/>
    <w:rsid w:val="71A9507A"/>
    <w:rsid w:val="71D75A4B"/>
    <w:rsid w:val="769A5144"/>
    <w:rsid w:val="76BB01CF"/>
    <w:rsid w:val="77E304F0"/>
    <w:rsid w:val="79EFA857"/>
    <w:rsid w:val="7AFF9F86"/>
    <w:rsid w:val="7B5BE95D"/>
    <w:rsid w:val="7D69076E"/>
    <w:rsid w:val="7D9F51EC"/>
    <w:rsid w:val="7DBB21B6"/>
    <w:rsid w:val="7DBE61DE"/>
    <w:rsid w:val="7DE3F7CB"/>
    <w:rsid w:val="7DEF7A88"/>
    <w:rsid w:val="7DFFB24F"/>
    <w:rsid w:val="7E9BCCCC"/>
    <w:rsid w:val="7EF52F5C"/>
    <w:rsid w:val="7F1BD1C1"/>
    <w:rsid w:val="7F77A39F"/>
    <w:rsid w:val="7F9B0F35"/>
    <w:rsid w:val="7FBF39E2"/>
    <w:rsid w:val="7FE4D4FB"/>
    <w:rsid w:val="7FE7BBDC"/>
    <w:rsid w:val="7FFDC019"/>
    <w:rsid w:val="7FFFC800"/>
    <w:rsid w:val="7FFFD809"/>
    <w:rsid w:val="8FDEFB82"/>
    <w:rsid w:val="A617761D"/>
    <w:rsid w:val="AA2F7113"/>
    <w:rsid w:val="ACEFB73A"/>
    <w:rsid w:val="AF7E780A"/>
    <w:rsid w:val="AF7F5C7B"/>
    <w:rsid w:val="B3DF4CFC"/>
    <w:rsid w:val="B95B1788"/>
    <w:rsid w:val="BADAC5F7"/>
    <w:rsid w:val="BD1725EE"/>
    <w:rsid w:val="BEFF4EFE"/>
    <w:rsid w:val="BFBC0FB4"/>
    <w:rsid w:val="CCBC6EEA"/>
    <w:rsid w:val="D9A31557"/>
    <w:rsid w:val="DBCCCAC5"/>
    <w:rsid w:val="DEFF5B11"/>
    <w:rsid w:val="DF772764"/>
    <w:rsid w:val="DF7D010C"/>
    <w:rsid w:val="DF854105"/>
    <w:rsid w:val="DFBF5216"/>
    <w:rsid w:val="DFEF78CF"/>
    <w:rsid w:val="DFF7D8D0"/>
    <w:rsid w:val="DFFF6112"/>
    <w:rsid w:val="E6FE981F"/>
    <w:rsid w:val="E7671AC4"/>
    <w:rsid w:val="E7FFE025"/>
    <w:rsid w:val="EBB75386"/>
    <w:rsid w:val="EBBF116F"/>
    <w:rsid w:val="EBBFEDA5"/>
    <w:rsid w:val="ED7E8534"/>
    <w:rsid w:val="EF7FF999"/>
    <w:rsid w:val="EF8FAE7E"/>
    <w:rsid w:val="EFE78CD6"/>
    <w:rsid w:val="EFFE3FCD"/>
    <w:rsid w:val="F29EDC01"/>
    <w:rsid w:val="F3B7BD63"/>
    <w:rsid w:val="F4E74ECD"/>
    <w:rsid w:val="F767A997"/>
    <w:rsid w:val="F77F5D49"/>
    <w:rsid w:val="F8AFAA78"/>
    <w:rsid w:val="FAECC968"/>
    <w:rsid w:val="FBBBEBA2"/>
    <w:rsid w:val="FBFFE24B"/>
    <w:rsid w:val="FCF61C5E"/>
    <w:rsid w:val="FDF70B71"/>
    <w:rsid w:val="FEEAECC0"/>
    <w:rsid w:val="FF3D9955"/>
    <w:rsid w:val="FF9E5966"/>
    <w:rsid w:val="FFB07B61"/>
    <w:rsid w:val="FFBEBAA1"/>
    <w:rsid w:val="FFE7F170"/>
    <w:rsid w:val="FFFABE3A"/>
    <w:rsid w:val="FFFB8B71"/>
    <w:rsid w:val="FFFD99B7"/>
    <w:rsid w:val="FFFED036"/>
    <w:rsid w:val="FFFF1912"/>
    <w:rsid w:val="FFFF88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9"/>
    <w:pPr>
      <w:keepNext/>
      <w:jc w:val="center"/>
      <w:outlineLvl w:val="0"/>
    </w:pPr>
    <w:rPr>
      <w:rFonts w:ascii="Times New Roman" w:hAnsi="Times New Roman" w:cs="Times New Roman"/>
      <w:b/>
      <w:bCs/>
      <w:sz w:val="20"/>
      <w:szCs w:val="20"/>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99"/>
    <w:pPr>
      <w:spacing w:line="440" w:lineRule="exact"/>
      <w:ind w:firstLine="240" w:firstLineChars="100"/>
    </w:pPr>
    <w:rPr>
      <w:rFonts w:hAnsi="宋体"/>
    </w:rPr>
  </w:style>
  <w:style w:type="paragraph" w:styleId="3">
    <w:name w:val="Body Text First Indent"/>
    <w:basedOn w:val="2"/>
    <w:next w:val="1"/>
    <w:qFormat/>
    <w:uiPriority w:val="0"/>
    <w:pPr>
      <w:spacing w:line="360" w:lineRule="auto"/>
      <w:ind w:firstLine="420" w:firstLineChars="0"/>
    </w:pPr>
    <w:rPr>
      <w:rFonts w:hAnsi="Times New Roman"/>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页眉 字符"/>
    <w:basedOn w:val="10"/>
    <w:link w:val="7"/>
    <w:qFormat/>
    <w:uiPriority w:val="0"/>
    <w:rPr>
      <w:rFonts w:ascii="Calibri" w:hAnsi="Calibri" w:cs="黑体"/>
      <w:kern w:val="2"/>
      <w:sz w:val="18"/>
      <w:szCs w:val="18"/>
    </w:rPr>
  </w:style>
  <w:style w:type="character" w:customStyle="1" w:styleId="14">
    <w:name w:val="页脚 字符"/>
    <w:basedOn w:val="10"/>
    <w:link w:val="6"/>
    <w:qFormat/>
    <w:uiPriority w:val="0"/>
    <w:rPr>
      <w:rFonts w:ascii="Calibri" w:hAnsi="Calibri" w:cs="黑体"/>
      <w:kern w:val="2"/>
      <w:sz w:val="18"/>
      <w:szCs w:val="18"/>
    </w:rPr>
  </w:style>
  <w:style w:type="character" w:customStyle="1" w:styleId="15">
    <w:name w:val="正文文本 字符"/>
    <w:basedOn w:val="10"/>
    <w:link w:val="2"/>
    <w:qFormat/>
    <w:uiPriority w:val="99"/>
    <w:rPr>
      <w:rFonts w:ascii="Calibri" w:hAnsi="宋体" w:cs="黑体"/>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2927</Words>
  <Characters>2972</Characters>
  <Lines>22</Lines>
  <Paragraphs>6</Paragraphs>
  <TotalTime>2</TotalTime>
  <ScaleCrop>false</ScaleCrop>
  <LinksUpToDate>false</LinksUpToDate>
  <CharactersWithSpaces>3006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2014-11-11T04:08:00Z</dcterms:created>
  <dc:creator>Administrator</dc:creator>
  <cp:lastModifiedBy>耿小玲</cp:lastModifiedBy>
  <cp:lastPrinted>2023-06-21T11:40:00Z</cp:lastPrinted>
  <dcterms:modified xsi:type="dcterms:W3CDTF">2023-06-26T06:39:08Z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0A0C2C77E4CB44C880DF5D7138C141DA</vt:lpwstr>
  </property>
</Properties>
</file>