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绍兴市</w:t>
      </w:r>
      <w:r>
        <w:rPr>
          <w:rFonts w:hint="eastAsia" w:ascii="方正小标宋简体" w:hAnsi="方正小标宋简体" w:eastAsia="方正小标宋简体" w:cs="方正小标宋简体"/>
          <w:color w:val="auto"/>
          <w:sz w:val="44"/>
          <w:szCs w:val="44"/>
          <w:highlight w:val="none"/>
        </w:rPr>
        <w:t>老旧营运货车报废更新补贴申领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rPr>
        <w:t>操作指南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lang w:val="en-US" w:eastAsia="zh-CN"/>
        </w:rPr>
      </w:pPr>
      <w:r>
        <w:rPr>
          <w:rFonts w:hint="eastAsia" w:ascii="仿宋_GB2312" w:hAnsi="仿宋_GB2312" w:eastAsia="仿宋_GB2312" w:cs="仿宋_GB2312"/>
          <w:i w:val="0"/>
          <w:iCs w:val="0"/>
          <w:caps w:val="0"/>
          <w:color w:val="auto"/>
          <w:spacing w:val="0"/>
          <w:sz w:val="32"/>
          <w:szCs w:val="32"/>
          <w:highlight w:val="none"/>
          <w:shd w:val="clear"/>
        </w:rPr>
        <w:t>为贯彻落实</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rPr>
        <w:t>交通运输部 财政部关于实施老旧营运货车报废更新的通知</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交规划发〔2024〕90号</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）、《交通运输部办公厅 公安部办公厅 财政部办公厅 商务部办公厅关于进一步做好老旧营运货车报废更</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新工作的通知》（交办运〔2024〕44号）</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和《浙江省交通运输厅等五部门转发交通运输部+财政部关于实施老旧营运货车报废更新等文件的通知》，</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切实</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做好</w:t>
      </w:r>
      <w:r>
        <w:rPr>
          <w:rFonts w:hint="eastAsia" w:ascii="仿宋_GB2312" w:hAnsi="仿宋_GB2312" w:eastAsia="仿宋_GB2312" w:cs="仿宋_GB2312"/>
          <w:i w:val="0"/>
          <w:iCs w:val="0"/>
          <w:caps w:val="0"/>
          <w:color w:val="auto"/>
          <w:spacing w:val="0"/>
          <w:sz w:val="32"/>
          <w:szCs w:val="32"/>
          <w:highlight w:val="none"/>
          <w:shd w:val="clear"/>
        </w:rPr>
        <w:t>我</w:t>
      </w:r>
      <w:r>
        <w:rPr>
          <w:rFonts w:hint="eastAsia" w:ascii="仿宋_GB2312" w:hAnsi="仿宋_GB2312" w:eastAsia="仿宋_GB2312" w:cs="仿宋_GB2312"/>
          <w:i w:val="0"/>
          <w:iCs w:val="0"/>
          <w:caps w:val="0"/>
          <w:color w:val="auto"/>
          <w:spacing w:val="0"/>
          <w:sz w:val="32"/>
          <w:szCs w:val="32"/>
          <w:highlight w:val="none"/>
          <w:shd w:val="clear"/>
          <w:lang w:eastAsia="zh-CN"/>
        </w:rPr>
        <w:t>市</w:t>
      </w:r>
      <w:r>
        <w:rPr>
          <w:rFonts w:hint="eastAsia" w:ascii="仿宋_GB2312" w:hAnsi="仿宋_GB2312" w:eastAsia="仿宋_GB2312" w:cs="仿宋_GB2312"/>
          <w:i w:val="0"/>
          <w:iCs w:val="0"/>
          <w:caps w:val="0"/>
          <w:color w:val="auto"/>
          <w:spacing w:val="0"/>
          <w:sz w:val="32"/>
          <w:szCs w:val="32"/>
          <w:highlight w:val="none"/>
          <w:shd w:val="clear"/>
          <w:lang w:val="en-US" w:eastAsia="zh-CN"/>
        </w:rPr>
        <w:t>老旧营运货车报废更新</w:t>
      </w:r>
      <w:r>
        <w:rPr>
          <w:rFonts w:hint="eastAsia" w:ascii="仿宋_GB2312" w:hAnsi="仿宋_GB2312" w:eastAsia="仿宋_GB2312" w:cs="仿宋_GB2312"/>
          <w:i w:val="0"/>
          <w:iCs w:val="0"/>
          <w:caps w:val="0"/>
          <w:color w:val="auto"/>
          <w:spacing w:val="0"/>
          <w:sz w:val="32"/>
          <w:szCs w:val="32"/>
          <w:highlight w:val="none"/>
          <w:shd w:val="clear"/>
        </w:rPr>
        <w:t>工作</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结合我市实际，现</w:t>
      </w:r>
      <w:r>
        <w:rPr>
          <w:rFonts w:hint="eastAsia" w:ascii="仿宋_GB2312" w:hAnsi="仿宋_GB2312" w:eastAsia="仿宋_GB2312" w:cs="仿宋_GB2312"/>
          <w:i w:val="0"/>
          <w:iCs w:val="0"/>
          <w:caps w:val="0"/>
          <w:color w:val="auto"/>
          <w:spacing w:val="0"/>
          <w:sz w:val="32"/>
          <w:szCs w:val="32"/>
          <w:highlight w:val="none"/>
          <w:shd w:val="clear"/>
        </w:rPr>
        <w:t>制定《</w:t>
      </w:r>
      <w:r>
        <w:rPr>
          <w:rFonts w:hint="eastAsia" w:ascii="仿宋_GB2312" w:hAnsi="仿宋_GB2312" w:eastAsia="仿宋_GB2312" w:cs="仿宋_GB2312"/>
          <w:color w:val="auto"/>
          <w:sz w:val="32"/>
          <w:szCs w:val="32"/>
          <w:highlight w:val="none"/>
          <w:lang w:eastAsia="zh-CN"/>
        </w:rPr>
        <w:t>绍兴市</w:t>
      </w:r>
      <w:r>
        <w:rPr>
          <w:rFonts w:hint="eastAsia" w:ascii="仿宋_GB2312" w:hAnsi="仿宋_GB2312" w:eastAsia="仿宋_GB2312" w:cs="仿宋_GB2312"/>
          <w:color w:val="auto"/>
          <w:sz w:val="32"/>
          <w:szCs w:val="32"/>
          <w:highlight w:val="none"/>
        </w:rPr>
        <w:t>老旧营运货车报废更新补贴申领操作指南</w:t>
      </w:r>
      <w:r>
        <w:rPr>
          <w:rFonts w:hint="eastAsia" w:ascii="仿宋_GB2312" w:hAnsi="仿宋_GB2312" w:eastAsia="仿宋_GB2312" w:cs="仿宋_GB2312"/>
          <w:i w:val="0"/>
          <w:iCs w:val="0"/>
          <w:caps w:val="0"/>
          <w:color w:val="auto"/>
          <w:spacing w:val="0"/>
          <w:sz w:val="32"/>
          <w:szCs w:val="32"/>
          <w:highlight w:val="none"/>
          <w:shd w:val="cle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lang w:val="en-US" w:eastAsia="zh-CN"/>
        </w:rPr>
        <w:t>一</w:t>
      </w:r>
      <w:r>
        <w:rPr>
          <w:rFonts w:hint="eastAsia" w:ascii="黑体" w:hAnsi="黑体" w:eastAsia="黑体" w:cs="黑体"/>
          <w:i w:val="0"/>
          <w:iCs w:val="0"/>
          <w:caps w:val="0"/>
          <w:color w:val="auto"/>
          <w:spacing w:val="0"/>
          <w:sz w:val="32"/>
          <w:szCs w:val="32"/>
          <w:highlight w:val="none"/>
        </w:rPr>
        <w:t>、</w:t>
      </w:r>
      <w:r>
        <w:rPr>
          <w:rFonts w:hint="eastAsia" w:ascii="黑体" w:hAnsi="黑体" w:eastAsia="黑体" w:cs="黑体"/>
          <w:i w:val="0"/>
          <w:iCs w:val="0"/>
          <w:caps w:val="0"/>
          <w:color w:val="auto"/>
          <w:spacing w:val="0"/>
          <w:sz w:val="32"/>
          <w:szCs w:val="32"/>
          <w:highlight w:val="none"/>
          <w:lang w:val="en-US" w:eastAsia="zh-CN"/>
        </w:rPr>
        <w:t>补贴范围及标准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i w:val="0"/>
          <w:iCs w:val="0"/>
          <w:caps w:val="0"/>
          <w:color w:val="auto"/>
          <w:spacing w:val="0"/>
          <w:sz w:val="32"/>
          <w:szCs w:val="32"/>
          <w:highlight w:val="none"/>
          <w:lang w:val="en-US" w:eastAsia="zh-CN"/>
        </w:rPr>
        <w:t>一</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i w:val="0"/>
          <w:iCs w:val="0"/>
          <w:caps w:val="0"/>
          <w:color w:val="auto"/>
          <w:spacing w:val="0"/>
          <w:sz w:val="32"/>
          <w:szCs w:val="32"/>
          <w:highlight w:val="none"/>
          <w:lang w:val="en-US" w:eastAsia="zh-CN"/>
        </w:rPr>
        <w:t>补贴范围</w:t>
      </w:r>
    </w:p>
    <w:p>
      <w:pPr>
        <w:keepNext w:val="0"/>
        <w:keepLines w:val="0"/>
        <w:pageBreakBefore w:val="0"/>
        <w:widowControl/>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i w:val="0"/>
          <w:iCs w:val="0"/>
          <w:caps w:val="0"/>
          <w:color w:val="auto"/>
          <w:spacing w:val="0"/>
          <w:kern w:val="0"/>
          <w:sz w:val="32"/>
          <w:szCs w:val="32"/>
          <w:highlight w:val="none"/>
          <w:lang w:bidi="ar"/>
        </w:rPr>
        <w:t>报废货车《报废机动车回收证明》《机动车注销证明》日期、新购置货车《机动车行驶证》注册登记日期和《道路运输证》发放日期</w:t>
      </w:r>
      <w:r>
        <w:rPr>
          <w:rFonts w:hint="eastAsia" w:ascii="仿宋_GB2312" w:hAnsi="仿宋_GB2312" w:eastAsia="仿宋_GB2312" w:cs="仿宋_GB2312"/>
          <w:color w:val="auto"/>
          <w:kern w:val="0"/>
          <w:sz w:val="32"/>
          <w:szCs w:val="32"/>
          <w:highlight w:val="none"/>
          <w:lang w:eastAsia="zh-CN" w:bidi="ar"/>
        </w:rPr>
        <w:t>均</w:t>
      </w:r>
      <w:r>
        <w:rPr>
          <w:rFonts w:hint="eastAsia" w:ascii="仿宋_GB2312" w:hAnsi="仿宋_GB2312" w:eastAsia="仿宋_GB2312" w:cs="仿宋_GB2312"/>
          <w:color w:val="auto"/>
          <w:kern w:val="0"/>
          <w:sz w:val="32"/>
          <w:szCs w:val="32"/>
          <w:highlight w:val="none"/>
          <w:lang w:bidi="ar"/>
        </w:rPr>
        <w:t>在2024年7月3</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bidi="ar"/>
        </w:rPr>
        <w:t>日至2024年12月31日</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且符合</w:t>
      </w:r>
      <w:r>
        <w:rPr>
          <w:rFonts w:hint="eastAsia" w:ascii="仿宋_GB2312" w:hAnsi="仿宋_GB2312" w:eastAsia="仿宋_GB2312" w:cs="仿宋_GB2312"/>
          <w:color w:val="auto"/>
          <w:kern w:val="0"/>
          <w:sz w:val="32"/>
          <w:szCs w:val="32"/>
          <w:highlight w:val="none"/>
          <w:lang w:eastAsia="zh-CN" w:bidi="ar"/>
        </w:rPr>
        <w:t>以下情形的，</w:t>
      </w:r>
      <w:r>
        <w:rPr>
          <w:rFonts w:hint="eastAsia" w:ascii="仿宋_GB2312" w:hAnsi="仿宋_GB2312" w:eastAsia="仿宋_GB2312" w:cs="仿宋_GB2312"/>
          <w:color w:val="auto"/>
          <w:kern w:val="0"/>
          <w:sz w:val="32"/>
          <w:szCs w:val="32"/>
          <w:highlight w:val="none"/>
          <w:lang w:val="en-US" w:eastAsia="zh-CN" w:bidi="ar"/>
        </w:rPr>
        <w:t>车辆所有人可以申请资金</w:t>
      </w:r>
      <w:r>
        <w:rPr>
          <w:rFonts w:hint="eastAsia" w:ascii="仿宋_GB2312" w:hAnsi="仿宋_GB2312" w:eastAsia="仿宋_GB2312" w:cs="仿宋_GB2312"/>
          <w:color w:val="auto"/>
          <w:kern w:val="0"/>
          <w:sz w:val="32"/>
          <w:szCs w:val="32"/>
          <w:highlight w:val="none"/>
          <w:lang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rPr>
        <w:t>提前报废国三及以下排放标准营运柴油货车</w:t>
      </w:r>
      <w:r>
        <w:rPr>
          <w:rFonts w:hint="eastAsia" w:ascii="仿宋_GB2312" w:hAnsi="仿宋_GB2312" w:eastAsia="仿宋_GB2312" w:cs="仿宋_GB2312"/>
          <w:i w:val="0"/>
          <w:iCs w:val="0"/>
          <w:caps w:val="0"/>
          <w:color w:val="auto"/>
          <w:spacing w:val="0"/>
          <w:sz w:val="32"/>
          <w:szCs w:val="32"/>
          <w:highlight w:val="none"/>
          <w:lang w:eastAsia="zh-CN"/>
        </w:rPr>
        <w:t>的</w:t>
      </w:r>
      <w:r>
        <w:rPr>
          <w:rFonts w:hint="eastAsia" w:ascii="仿宋_GB2312" w:hAnsi="仿宋_GB2312" w:eastAsia="仿宋_GB2312" w:cs="仿宋_GB2312"/>
          <w:i w:val="0"/>
          <w:iCs w:val="0"/>
          <w:caps w:val="0"/>
          <w:color w:val="auto"/>
          <w:spacing w:val="0"/>
          <w:sz w:val="32"/>
          <w:szCs w:val="32"/>
          <w:highlight w:val="none"/>
          <w:lang w:val="en-US" w:eastAsia="zh-CN"/>
        </w:rPr>
        <w:t>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国三及以下排放标准中型、重型营运柴油货车;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持有公安机关开具的《机动车注销证明》和具有资质的报废机动车回收拆解企业开具的《报废机动车回收证明》，及车辆注销前，交通运输主管部门发放的有效《道路运输证》。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sectPr>
          <w:footerReference r:id="rId3" w:type="default"/>
          <w:pgSz w:w="11906" w:h="16838"/>
          <w:pgMar w:top="1644" w:right="1644" w:bottom="1644" w:left="1644" w:header="851" w:footer="992" w:gutter="0"/>
          <w:pgNumType w:fmt="numberInDash" w:start="1"/>
          <w:cols w:space="425"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提前报废并新购国六排放标准货车或新能源货车</w:t>
      </w:r>
      <w:r>
        <w:rPr>
          <w:rFonts w:hint="eastAsia" w:ascii="仿宋_GB2312" w:hAnsi="仿宋_GB2312" w:eastAsia="仿宋_GB2312" w:cs="仿宋_GB2312"/>
          <w:i w:val="0"/>
          <w:iCs w:val="0"/>
          <w:caps w:val="0"/>
          <w:color w:val="auto"/>
          <w:spacing w:val="0"/>
          <w:sz w:val="32"/>
          <w:szCs w:val="32"/>
          <w:highlight w:val="none"/>
          <w:lang w:eastAsia="zh-CN"/>
        </w:rPr>
        <w:t>的</w:t>
      </w:r>
      <w:r>
        <w:rPr>
          <w:rFonts w:hint="eastAsia" w:ascii="仿宋_GB2312" w:hAnsi="仿宋_GB2312" w:eastAsia="仿宋_GB2312" w:cs="仿宋_GB2312"/>
          <w:i w:val="0"/>
          <w:iCs w:val="0"/>
          <w:caps w:val="0"/>
          <w:color w:val="auto"/>
          <w:spacing w:val="0"/>
          <w:sz w:val="32"/>
          <w:szCs w:val="32"/>
          <w:highlight w:val="none"/>
          <w:lang w:val="en-US" w:eastAsia="zh-CN"/>
        </w:rPr>
        <w:t>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报废车辆应当符合前述中提前报废国三及以下排放标准营运柴油货车</w:t>
      </w:r>
      <w:r>
        <w:rPr>
          <w:rFonts w:hint="eastAsia" w:ascii="仿宋_GB2312" w:hAnsi="仿宋_GB2312" w:eastAsia="仿宋_GB2312" w:cs="仿宋_GB2312"/>
          <w:i w:val="0"/>
          <w:iCs w:val="0"/>
          <w:caps w:val="0"/>
          <w:color w:val="auto"/>
          <w:spacing w:val="0"/>
          <w:sz w:val="32"/>
          <w:szCs w:val="32"/>
          <w:highlight w:val="none"/>
          <w:lang w:eastAsia="zh-CN"/>
        </w:rPr>
        <w:t>的</w:t>
      </w:r>
      <w:r>
        <w:rPr>
          <w:rFonts w:hint="eastAsia" w:ascii="仿宋_GB2312" w:hAnsi="仿宋_GB2312" w:eastAsia="仿宋_GB2312" w:cs="仿宋_GB2312"/>
          <w:i w:val="0"/>
          <w:iCs w:val="0"/>
          <w:caps w:val="0"/>
          <w:color w:val="auto"/>
          <w:spacing w:val="0"/>
          <w:sz w:val="32"/>
          <w:szCs w:val="32"/>
          <w:highlight w:val="none"/>
        </w:rPr>
        <w:t>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新购置车辆应当为注册登记的国六排放标准或新能源车辆，并持有交通运输主管部门发放的有效《道路运输证》。其中，新能源车辆应纳入《减免车辆购置税的新能源汽车车型目录》；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新购置车辆与报废车辆注册登记所有人一致</w:t>
      </w:r>
      <w:r>
        <w:rPr>
          <w:rFonts w:hint="eastAsia" w:ascii="仿宋_GB2312" w:hAnsi="仿宋_GB2312" w:eastAsia="仿宋_GB2312" w:cs="仿宋_GB2312"/>
          <w:i w:val="0"/>
          <w:iCs w:val="0"/>
          <w:caps w:val="0"/>
          <w:color w:val="auto"/>
          <w:spacing w:val="0"/>
          <w:sz w:val="32"/>
          <w:szCs w:val="32"/>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宋体" w:eastAsia="仿宋_GB2312" w:cs="仿宋_GB2312"/>
          <w:color w:val="auto"/>
          <w:kern w:val="0"/>
          <w:sz w:val="32"/>
          <w:szCs w:val="32"/>
          <w:highlight w:val="none"/>
          <w:lang w:bidi="ar"/>
        </w:rPr>
        <w:t>提前报废时间和新购营运车辆时间的先后顺序不做强制性规定。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仅新购新能源城市冷链配送货车</w:t>
      </w:r>
      <w:r>
        <w:rPr>
          <w:rFonts w:hint="eastAsia" w:ascii="仿宋_GB2312" w:hAnsi="仿宋_GB2312" w:eastAsia="仿宋_GB2312" w:cs="仿宋_GB2312"/>
          <w:i w:val="0"/>
          <w:iCs w:val="0"/>
          <w:caps w:val="0"/>
          <w:color w:val="auto"/>
          <w:spacing w:val="0"/>
          <w:sz w:val="32"/>
          <w:szCs w:val="32"/>
          <w:highlight w:val="none"/>
          <w:lang w:eastAsia="zh-CN"/>
        </w:rPr>
        <w:t>的</w:t>
      </w:r>
      <w:r>
        <w:rPr>
          <w:rFonts w:hint="eastAsia" w:ascii="仿宋_GB2312" w:hAnsi="仿宋_GB2312" w:eastAsia="仿宋_GB2312" w:cs="仿宋_GB2312"/>
          <w:i w:val="0"/>
          <w:iCs w:val="0"/>
          <w:caps w:val="0"/>
          <w:color w:val="auto"/>
          <w:spacing w:val="0"/>
          <w:sz w:val="32"/>
          <w:szCs w:val="32"/>
          <w:highlight w:val="none"/>
          <w:lang w:val="en-US" w:eastAsia="zh-CN"/>
        </w:rPr>
        <w:t>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新购置车辆应当为注册登记的新能源城市冷链配送货车</w:t>
      </w:r>
      <w:r>
        <w:rPr>
          <w:rFonts w:hint="eastAsia" w:ascii="仿宋_GB2312" w:hAnsi="仿宋_GB2312" w:eastAsia="仿宋_GB2312" w:cs="仿宋_GB2312"/>
          <w:i w:val="0"/>
          <w:iCs w:val="0"/>
          <w:caps w:val="0"/>
          <w:color w:val="auto"/>
          <w:spacing w:val="0"/>
          <w:sz w:val="32"/>
          <w:szCs w:val="32"/>
          <w:highlight w:val="none"/>
        </w:rPr>
        <w:t>（须符合《城市物流配送汽车选型技术要求》（GB/T</w:t>
      </w: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29912）相关要求，并纳入《减免车辆购置税的新能源汽车车型目录》），且持有交通运输主管部门发放的有效《道路运输证》</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经营范围包括冷藏保鲜</w:t>
      </w:r>
      <w:r>
        <w:rPr>
          <w:rFonts w:hint="eastAsia" w:ascii="仿宋_GB2312" w:hAnsi="仿宋_GB2312" w:eastAsia="仿宋_GB2312" w:cs="仿宋_GB2312"/>
          <w:i w:val="0"/>
          <w:iCs w:val="0"/>
          <w:caps w:val="0"/>
          <w:color w:val="auto"/>
          <w:spacing w:val="0"/>
          <w:sz w:val="32"/>
          <w:szCs w:val="32"/>
          <w:highlight w:val="non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i w:val="0"/>
          <w:iCs w:val="0"/>
          <w:caps w:val="0"/>
          <w:color w:val="auto"/>
          <w:spacing w:val="0"/>
          <w:sz w:val="32"/>
          <w:szCs w:val="32"/>
          <w:highlight w:val="none"/>
          <w:lang w:val="en-US" w:eastAsia="zh-CN"/>
        </w:rPr>
        <w:t>二</w:t>
      </w:r>
      <w:r>
        <w:rPr>
          <w:rFonts w:hint="eastAsia" w:ascii="楷体_GB2312" w:hAnsi="楷体_GB2312" w:eastAsia="楷体_GB2312" w:cs="楷体_GB2312"/>
          <w:i w:val="0"/>
          <w:iCs w:val="0"/>
          <w:caps w:val="0"/>
          <w:color w:val="auto"/>
          <w:spacing w:val="0"/>
          <w:sz w:val="32"/>
          <w:szCs w:val="32"/>
          <w:highlight w:val="none"/>
          <w:lang w:eastAsia="zh-CN"/>
        </w:rPr>
        <w:t>）</w:t>
      </w:r>
      <w:r>
        <w:rPr>
          <w:rFonts w:hint="eastAsia" w:ascii="楷体_GB2312" w:hAnsi="楷体_GB2312" w:eastAsia="楷体_GB2312" w:cs="楷体_GB2312"/>
          <w:i w:val="0"/>
          <w:iCs w:val="0"/>
          <w:caps w:val="0"/>
          <w:color w:val="auto"/>
          <w:spacing w:val="0"/>
          <w:sz w:val="32"/>
          <w:szCs w:val="32"/>
          <w:highlight w:val="none"/>
          <w:lang w:val="en-US" w:eastAsia="zh-CN"/>
        </w:rPr>
        <w:t>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老旧营运货车报废更新按照报废车辆类型、提前报废时间和新购置车辆动力类型等，实施差别化资金标准，具体标准按</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rPr>
        <w:t>交通运输部 财政部关于实施老旧营运货车报废更新的通知</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交规划发〔2024〕90号</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rPr>
        <w:t>文件</w:t>
      </w:r>
      <w:r>
        <w:rPr>
          <w:rFonts w:hint="eastAsia" w:ascii="仿宋_GB2312" w:hAnsi="仿宋_GB2312" w:eastAsia="仿宋_GB2312" w:cs="仿宋_GB2312"/>
          <w:i w:val="0"/>
          <w:iCs w:val="0"/>
          <w:caps w:val="0"/>
          <w:color w:val="auto"/>
          <w:spacing w:val="0"/>
          <w:sz w:val="32"/>
          <w:szCs w:val="32"/>
          <w:highlight w:val="none"/>
          <w:lang w:val="en-US" w:eastAsia="zh-CN"/>
        </w:rPr>
        <w:t>中</w:t>
      </w:r>
      <w:r>
        <w:rPr>
          <w:rFonts w:hint="eastAsia" w:ascii="仿宋_GB2312" w:hAnsi="仿宋_GB2312" w:eastAsia="仿宋_GB2312" w:cs="仿宋_GB2312"/>
          <w:i w:val="0"/>
          <w:iCs w:val="0"/>
          <w:caps w:val="0"/>
          <w:color w:val="auto"/>
          <w:spacing w:val="0"/>
          <w:sz w:val="32"/>
          <w:szCs w:val="32"/>
          <w:highlight w:val="none"/>
          <w:lang w:eastAsia="zh-CN"/>
        </w:rPr>
        <w:t>《</w:t>
      </w:r>
      <w:r>
        <w:rPr>
          <w:rStyle w:val="7"/>
          <w:rFonts w:hint="eastAsia" w:ascii="仿宋_GB2312" w:hAnsi="仿宋_GB2312" w:eastAsia="仿宋_GB2312" w:cs="仿宋_GB2312"/>
          <w:b w:val="0"/>
          <w:bCs w:val="0"/>
          <w:i w:val="0"/>
          <w:iCs w:val="0"/>
          <w:caps w:val="0"/>
          <w:color w:val="auto"/>
          <w:spacing w:val="0"/>
          <w:sz w:val="32"/>
          <w:szCs w:val="32"/>
          <w:highlight w:val="none"/>
          <w:shd w:val="clear" w:fill="FFFFFF"/>
        </w:rPr>
        <w:t>老旧营运货车报废更新补贴标准</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执行</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附件1</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rPr>
        <w:t>对距离强制报废年限不满一年的国三及以下排放标准营运柴油货车实施报废，并新购中型或重型国六排放标准货车或新能源货车的，按照新购补贴标准予以补贴。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lang w:val="en-US" w:eastAsia="zh-CN"/>
        </w:rPr>
        <w:t>二</w:t>
      </w:r>
      <w:r>
        <w:rPr>
          <w:rFonts w:hint="eastAsia" w:ascii="黑体" w:hAnsi="黑体" w:eastAsia="黑体" w:cs="黑体"/>
          <w:i w:val="0"/>
          <w:iCs w:val="0"/>
          <w:caps w:val="0"/>
          <w:color w:val="auto"/>
          <w:spacing w:val="0"/>
          <w:sz w:val="32"/>
          <w:szCs w:val="32"/>
          <w:highlight w:val="none"/>
        </w:rPr>
        <w:t>、</w:t>
      </w:r>
      <w:r>
        <w:rPr>
          <w:rFonts w:hint="eastAsia" w:ascii="黑体" w:hAnsi="黑体" w:eastAsia="黑体" w:cs="黑体"/>
          <w:i w:val="0"/>
          <w:iCs w:val="0"/>
          <w:caps w:val="0"/>
          <w:color w:val="auto"/>
          <w:spacing w:val="0"/>
          <w:sz w:val="32"/>
          <w:szCs w:val="32"/>
          <w:highlight w:val="none"/>
          <w:lang w:val="en-US" w:eastAsia="zh-CN"/>
        </w:rPr>
        <w:t>补贴</w:t>
      </w:r>
      <w:r>
        <w:rPr>
          <w:rFonts w:hint="eastAsia" w:ascii="黑体" w:hAnsi="黑体" w:eastAsia="黑体" w:cs="黑体"/>
          <w:i w:val="0"/>
          <w:iCs w:val="0"/>
          <w:caps w:val="0"/>
          <w:color w:val="auto"/>
          <w:spacing w:val="0"/>
          <w:sz w:val="32"/>
          <w:szCs w:val="32"/>
          <w:highlight w:val="none"/>
        </w:rPr>
        <w:t>申请</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（一）申报时间。</w:t>
      </w:r>
      <w:r>
        <w:rPr>
          <w:rFonts w:hint="eastAsia" w:ascii="仿宋_GB2312" w:hAnsi="仿宋_GB2312" w:eastAsia="仿宋_GB2312" w:cs="仿宋_GB2312"/>
          <w:color w:val="auto"/>
          <w:kern w:val="0"/>
          <w:sz w:val="32"/>
          <w:szCs w:val="32"/>
          <w:highlight w:val="none"/>
          <w:lang w:val="en-US" w:eastAsia="zh-CN" w:bidi="ar"/>
        </w:rPr>
        <w:t>在2024年7月31日至2024年12月31日期间进行申报。</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_GB2312" w:hAnsi="宋体" w:eastAsia="仿宋_GB2312" w:cs="仿宋_GB2312"/>
          <w:color w:val="auto"/>
          <w:kern w:val="0"/>
          <w:sz w:val="32"/>
          <w:szCs w:val="32"/>
          <w:highlight w:val="none"/>
          <w:lang w:eastAsia="zh-CN" w:bidi="ar"/>
        </w:rPr>
      </w:pPr>
      <w:r>
        <w:rPr>
          <w:rFonts w:hint="eastAsia" w:ascii="楷体_GB2312" w:hAnsi="楷体_GB2312" w:eastAsia="楷体_GB2312" w:cs="楷体_GB2312"/>
          <w:color w:val="auto"/>
          <w:kern w:val="0"/>
          <w:sz w:val="32"/>
          <w:szCs w:val="32"/>
          <w:highlight w:val="none"/>
          <w:lang w:val="en-US" w:eastAsia="zh-CN" w:bidi="ar"/>
        </w:rPr>
        <w:t>（二）申报方式。</w:t>
      </w:r>
      <w:r>
        <w:rPr>
          <w:rFonts w:hint="eastAsia" w:ascii="仿宋_GB2312" w:hAnsi="宋体" w:eastAsia="仿宋_GB2312" w:cs="仿宋_GB2312"/>
          <w:color w:val="auto"/>
          <w:kern w:val="0"/>
          <w:sz w:val="32"/>
          <w:szCs w:val="32"/>
          <w:highlight w:val="none"/>
          <w:lang w:bidi="ar"/>
        </w:rPr>
        <w:t>向机动车行驶证注册登记地县（市</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区）级交通运输主管部门提出申请</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eastAsia="zh-CN" w:bidi="ar"/>
        </w:rPr>
        <w:t>行驶证注册登记地为</w:t>
      </w:r>
      <w:r>
        <w:rPr>
          <w:rFonts w:hint="eastAsia" w:ascii="仿宋_GB2312" w:hAnsi="宋体" w:eastAsia="仿宋_GB2312" w:cs="仿宋_GB2312"/>
          <w:color w:val="auto"/>
          <w:kern w:val="0"/>
          <w:sz w:val="32"/>
          <w:szCs w:val="32"/>
          <w:highlight w:val="none"/>
          <w:lang w:val="en-US" w:eastAsia="zh-CN" w:bidi="ar"/>
        </w:rPr>
        <w:t>斗门、马山、沥海、孙端的，向滨海新区提出申请。</w:t>
      </w:r>
      <w:r>
        <w:rPr>
          <w:rFonts w:hint="eastAsia" w:ascii="仿宋_GB2312" w:hAnsi="宋体" w:eastAsia="仿宋_GB2312" w:cs="仿宋_GB2312"/>
          <w:color w:val="auto"/>
          <w:kern w:val="0"/>
          <w:sz w:val="32"/>
          <w:szCs w:val="32"/>
          <w:highlight w:val="none"/>
          <w:lang w:eastAsia="zh-CN" w:bidi="ar"/>
        </w:rPr>
        <w:t>具体受理点详见（附件</w:t>
      </w:r>
      <w:r>
        <w:rPr>
          <w:rFonts w:hint="eastAsia" w:ascii="仿宋_GB2312" w:hAnsi="宋体" w:eastAsia="仿宋_GB2312" w:cs="仿宋_GB2312"/>
          <w:color w:val="auto"/>
          <w:kern w:val="0"/>
          <w:sz w:val="32"/>
          <w:szCs w:val="32"/>
          <w:highlight w:val="none"/>
          <w:lang w:val="en-US" w:eastAsia="zh-CN" w:bidi="ar"/>
        </w:rPr>
        <w:t>3</w:t>
      </w:r>
      <w:r>
        <w:rPr>
          <w:rFonts w:hint="eastAsia" w:ascii="仿宋_GB2312" w:hAnsi="宋体" w:eastAsia="仿宋_GB2312" w:cs="仿宋_GB2312"/>
          <w:color w:val="auto"/>
          <w:kern w:val="0"/>
          <w:sz w:val="32"/>
          <w:szCs w:val="32"/>
          <w:highlight w:val="none"/>
          <w:lang w:eastAsia="zh-CN" w:bidi="ar"/>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color w:val="auto"/>
          <w:kern w:val="0"/>
          <w:sz w:val="32"/>
          <w:szCs w:val="32"/>
          <w:highlight w:val="none"/>
          <w:lang w:val="en-US" w:eastAsia="zh-CN" w:bidi="ar"/>
        </w:rPr>
        <w:t>（三）申请材料。</w:t>
      </w:r>
      <w:r>
        <w:rPr>
          <w:rFonts w:hint="eastAsia" w:ascii="仿宋_GB2312" w:hAnsi="仿宋_GB2312" w:eastAsia="仿宋_GB2312" w:cs="仿宋_GB2312"/>
          <w:i w:val="0"/>
          <w:iCs w:val="0"/>
          <w:caps w:val="0"/>
          <w:color w:val="auto"/>
          <w:spacing w:val="0"/>
          <w:sz w:val="32"/>
          <w:szCs w:val="32"/>
          <w:highlight w:val="none"/>
        </w:rPr>
        <w:t>填报《老旧营运货车报废更新补贴资金申请表》（附件</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），并提交以下证明材料复印件或扫描件：</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仿宋_GB2312" w:hAnsi="仿宋_GB2312" w:eastAsia="仿宋_GB2312" w:cs="仿宋_GB2312"/>
          <w:i w:val="0"/>
          <w:iCs w:val="0"/>
          <w:caps w:val="0"/>
          <w:color w:val="auto"/>
          <w:spacing w:val="0"/>
          <w:sz w:val="32"/>
          <w:szCs w:val="32"/>
          <w:highlight w:val="none"/>
        </w:rPr>
        <w:t>申请老旧营运货车报废补贴资金的，提交《报废机动车回收证明》《机动车注销证明》《道路运输证》（或《道路运输证》注销证明），以及车辆注册登记所有人身份证或营业执照</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委托办理的递交委托书、被委托人身份证</w:t>
      </w:r>
      <w:r>
        <w:rPr>
          <w:rFonts w:hint="eastAsia" w:ascii="仿宋_GB2312" w:hAnsi="仿宋_GB2312" w:eastAsia="仿宋_GB2312" w:cs="仿宋_GB2312"/>
          <w:i w:val="0"/>
          <w:iCs w:val="0"/>
          <w:caps w:val="0"/>
          <w:color w:val="auto"/>
          <w:spacing w:val="0"/>
          <w:sz w:val="32"/>
          <w:szCs w:val="32"/>
          <w:highlight w:val="none"/>
          <w:lang w:eastAsia="zh-CN"/>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申请老旧营运货车报废更新补贴资金的，提交报废车辆的《报废机动车回收证明》《机动车注销证明》《道路运输证》（或《道路运输证》注销证明），新购置车辆的《机动车行驶证》《道路运输证》</w:t>
      </w:r>
      <w:r>
        <w:rPr>
          <w:rFonts w:hint="eastAsia" w:ascii="仿宋_GB2312" w:hAnsi="仿宋_GB2312" w:eastAsia="仿宋_GB2312" w:cs="仿宋_GB2312"/>
          <w:i w:val="0"/>
          <w:iCs w:val="0"/>
          <w:caps w:val="0"/>
          <w:color w:val="auto"/>
          <w:spacing w:val="0"/>
          <w:sz w:val="32"/>
          <w:szCs w:val="32"/>
          <w:highlight w:val="none"/>
          <w:lang w:eastAsia="zh-CN"/>
        </w:rPr>
        <w:t>《机动车登记证书》</w:t>
      </w:r>
      <w:r>
        <w:rPr>
          <w:rFonts w:hint="eastAsia" w:ascii="仿宋_GB2312" w:hAnsi="仿宋_GB2312" w:eastAsia="仿宋_GB2312" w:cs="仿宋_GB2312"/>
          <w:i w:val="0"/>
          <w:iCs w:val="0"/>
          <w:caps w:val="0"/>
          <w:color w:val="auto"/>
          <w:spacing w:val="0"/>
          <w:sz w:val="32"/>
          <w:szCs w:val="32"/>
          <w:highlight w:val="none"/>
        </w:rPr>
        <w:t>，以及车辆注册登记所有人身份证或营业执照，委托办理的递交委托书、被委托人身份证</w:t>
      </w:r>
      <w:r>
        <w:rPr>
          <w:rFonts w:hint="eastAsia" w:ascii="仿宋_GB2312" w:hAnsi="仿宋_GB2312" w:eastAsia="仿宋_GB2312" w:cs="仿宋_GB2312"/>
          <w:i w:val="0"/>
          <w:iCs w:val="0"/>
          <w:caps w:val="0"/>
          <w:color w:val="auto"/>
          <w:spacing w:val="0"/>
          <w:sz w:val="32"/>
          <w:szCs w:val="32"/>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申请新购置车辆补贴资金的，提交《机动车行驶证》《道路运输证》</w:t>
      </w:r>
      <w:r>
        <w:rPr>
          <w:rFonts w:hint="eastAsia" w:ascii="仿宋_GB2312" w:hAnsi="仿宋_GB2312" w:eastAsia="仿宋_GB2312" w:cs="仿宋_GB2312"/>
          <w:i w:val="0"/>
          <w:iCs w:val="0"/>
          <w:caps w:val="0"/>
          <w:color w:val="auto"/>
          <w:spacing w:val="0"/>
          <w:sz w:val="32"/>
          <w:szCs w:val="32"/>
          <w:highlight w:val="none"/>
          <w:lang w:eastAsia="zh-CN"/>
        </w:rPr>
        <w:t>《机动车登记证书》</w:t>
      </w:r>
      <w:r>
        <w:rPr>
          <w:rFonts w:hint="eastAsia" w:ascii="仿宋_GB2312" w:hAnsi="仿宋_GB2312" w:eastAsia="仿宋_GB2312" w:cs="仿宋_GB2312"/>
          <w:i w:val="0"/>
          <w:iCs w:val="0"/>
          <w:caps w:val="0"/>
          <w:color w:val="auto"/>
          <w:spacing w:val="0"/>
          <w:sz w:val="32"/>
          <w:szCs w:val="32"/>
          <w:highlight w:val="none"/>
        </w:rPr>
        <w:t>，以及车辆注册登记所有人身份证或营业执照，委托办理的递交委托书、被委托人身份证</w:t>
      </w:r>
      <w:r>
        <w:rPr>
          <w:rFonts w:hint="eastAsia" w:ascii="仿宋_GB2312" w:hAnsi="仿宋_GB2312" w:eastAsia="仿宋_GB2312" w:cs="仿宋_GB2312"/>
          <w:i w:val="0"/>
          <w:iCs w:val="0"/>
          <w:caps w:val="0"/>
          <w:color w:val="auto"/>
          <w:spacing w:val="0"/>
          <w:sz w:val="32"/>
          <w:szCs w:val="32"/>
          <w:highlight w:val="none"/>
          <w:lang w:eastAsia="zh-CN"/>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三、补贴审核</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宋体" w:eastAsia="仿宋_GB2312" w:cs="仿宋_GB2312"/>
          <w:color w:val="auto"/>
          <w:kern w:val="0"/>
          <w:sz w:val="32"/>
          <w:szCs w:val="32"/>
          <w:highlight w:val="none"/>
          <w:lang w:bidi="ar"/>
        </w:rPr>
        <w:t>受理地</w:t>
      </w:r>
      <w:r>
        <w:rPr>
          <w:rFonts w:hint="eastAsia" w:ascii="仿宋_GB2312" w:hAnsi="仿宋_GB2312" w:eastAsia="仿宋_GB2312" w:cs="仿宋_GB2312"/>
          <w:i w:val="0"/>
          <w:iCs w:val="0"/>
          <w:caps w:val="0"/>
          <w:color w:val="auto"/>
          <w:spacing w:val="0"/>
          <w:sz w:val="32"/>
          <w:szCs w:val="32"/>
          <w:highlight w:val="none"/>
        </w:rPr>
        <w:t>交通运输主管部门应及时会同公安、</w:t>
      </w:r>
      <w:r>
        <w:rPr>
          <w:rFonts w:hint="eastAsia" w:ascii="仿宋_GB2312" w:hAnsi="仿宋_GB2312" w:eastAsia="仿宋_GB2312" w:cs="仿宋_GB2312"/>
          <w:i w:val="0"/>
          <w:iCs w:val="0"/>
          <w:caps w:val="0"/>
          <w:color w:val="auto"/>
          <w:spacing w:val="0"/>
          <w:sz w:val="32"/>
          <w:szCs w:val="32"/>
          <w:highlight w:val="none"/>
          <w:lang w:val="en-US" w:eastAsia="zh-CN"/>
        </w:rPr>
        <w:t>生态、</w:t>
      </w:r>
      <w:r>
        <w:rPr>
          <w:rFonts w:hint="eastAsia" w:ascii="仿宋_GB2312" w:hAnsi="仿宋_GB2312" w:eastAsia="仿宋_GB2312" w:cs="仿宋_GB2312"/>
          <w:i w:val="0"/>
          <w:iCs w:val="0"/>
          <w:caps w:val="0"/>
          <w:color w:val="auto"/>
          <w:spacing w:val="0"/>
          <w:sz w:val="32"/>
          <w:szCs w:val="32"/>
          <w:highlight w:val="none"/>
        </w:rPr>
        <w:t>商务等部门在受理申请后15个工作日内完成审核。</w:t>
      </w:r>
      <w:r>
        <w:rPr>
          <w:rFonts w:hint="eastAsia" w:ascii="仿宋_GB2312" w:hAnsi="仿宋_GB2312" w:eastAsia="仿宋_GB2312" w:cs="仿宋_GB2312"/>
          <w:i w:val="0"/>
          <w:iCs w:val="0"/>
          <w:caps w:val="0"/>
          <w:color w:val="auto"/>
          <w:spacing w:val="0"/>
          <w:sz w:val="32"/>
          <w:szCs w:val="32"/>
          <w:highlight w:val="none"/>
          <w:lang w:val="en-US" w:eastAsia="zh-CN"/>
        </w:rPr>
        <w:t>其中，</w:t>
      </w:r>
      <w:r>
        <w:rPr>
          <w:rFonts w:hint="eastAsia" w:ascii="仿宋_GB2312" w:hAnsi="仿宋_GB2312" w:eastAsia="仿宋_GB2312" w:cs="仿宋_GB2312"/>
          <w:i w:val="0"/>
          <w:iCs w:val="0"/>
          <w:caps w:val="0"/>
          <w:color w:val="auto"/>
          <w:spacing w:val="0"/>
          <w:sz w:val="32"/>
          <w:szCs w:val="32"/>
          <w:highlight w:val="none"/>
        </w:rPr>
        <w:t>交通运输部门</w:t>
      </w:r>
      <w:r>
        <w:rPr>
          <w:rFonts w:hint="eastAsia" w:ascii="仿宋_GB2312" w:hAnsi="仿宋_GB2312" w:eastAsia="仿宋_GB2312" w:cs="仿宋_GB2312"/>
          <w:i w:val="0"/>
          <w:iCs w:val="0"/>
          <w:caps w:val="0"/>
          <w:color w:val="auto"/>
          <w:spacing w:val="0"/>
          <w:sz w:val="32"/>
          <w:szCs w:val="32"/>
          <w:highlight w:val="none"/>
          <w:lang w:val="en-US" w:eastAsia="zh-CN"/>
        </w:rPr>
        <w:t>负责审核提前淘汰车辆的道路运输证、车辆类型、营运证注销、使用年限信息，新购车辆的道路运输证、车辆类型是否纳入《减免车辆购置</w:t>
      </w:r>
      <w:bookmarkStart w:id="0" w:name="_GoBack"/>
      <w:bookmarkEnd w:id="0"/>
      <w:r>
        <w:rPr>
          <w:rFonts w:hint="eastAsia" w:ascii="仿宋_GB2312" w:hAnsi="仿宋_GB2312" w:eastAsia="仿宋_GB2312" w:cs="仿宋_GB2312"/>
          <w:i w:val="0"/>
          <w:iCs w:val="0"/>
          <w:caps w:val="0"/>
          <w:color w:val="auto"/>
          <w:spacing w:val="0"/>
          <w:sz w:val="32"/>
          <w:szCs w:val="32"/>
          <w:highlight w:val="none"/>
          <w:lang w:val="en-US" w:eastAsia="zh-CN"/>
        </w:rPr>
        <w:t>税的新能源汽车车型目录》信息。</w:t>
      </w:r>
      <w:r>
        <w:rPr>
          <w:rFonts w:hint="eastAsia" w:ascii="仿宋_GB2312" w:hAnsi="仿宋_GB2312" w:eastAsia="仿宋_GB2312" w:cs="仿宋_GB2312"/>
          <w:i w:val="0"/>
          <w:iCs w:val="0"/>
          <w:caps w:val="0"/>
          <w:color w:val="auto"/>
          <w:spacing w:val="0"/>
          <w:sz w:val="32"/>
          <w:szCs w:val="32"/>
          <w:highlight w:val="none"/>
        </w:rPr>
        <w:t>公安交管部门</w:t>
      </w:r>
      <w:r>
        <w:rPr>
          <w:rFonts w:hint="eastAsia" w:ascii="仿宋_GB2312" w:hAnsi="仿宋_GB2312" w:eastAsia="仿宋_GB2312" w:cs="仿宋_GB2312"/>
          <w:i w:val="0"/>
          <w:iCs w:val="0"/>
          <w:caps w:val="0"/>
          <w:color w:val="auto"/>
          <w:spacing w:val="0"/>
          <w:sz w:val="32"/>
          <w:szCs w:val="32"/>
          <w:highlight w:val="none"/>
          <w:lang w:val="en-US" w:eastAsia="zh-CN"/>
        </w:rPr>
        <w:t>负责审核提前淘汰车辆的车辆识别代号、品牌型号、燃料类型、行驶证登记、注销日期，新购车辆的车辆识别代号、品牌型号、新能源类型、行驶证登记日期信息。</w:t>
      </w:r>
      <w:r>
        <w:rPr>
          <w:rFonts w:hint="eastAsia" w:ascii="仿宋_GB2312" w:hAnsi="仿宋_GB2312" w:eastAsia="仿宋_GB2312" w:cs="仿宋_GB2312"/>
          <w:color w:val="auto"/>
          <w:sz w:val="32"/>
          <w:szCs w:val="32"/>
          <w:highlight w:val="none"/>
          <w:lang w:val="en-US" w:eastAsia="zh-CN"/>
        </w:rPr>
        <w:t>生态环境部门</w:t>
      </w:r>
      <w:r>
        <w:rPr>
          <w:rFonts w:hint="eastAsia" w:ascii="仿宋_GB2312" w:hAnsi="仿宋_GB2312" w:eastAsia="仿宋_GB2312" w:cs="仿宋_GB2312"/>
          <w:i w:val="0"/>
          <w:iCs w:val="0"/>
          <w:caps w:val="0"/>
          <w:color w:val="auto"/>
          <w:spacing w:val="0"/>
          <w:sz w:val="32"/>
          <w:szCs w:val="32"/>
          <w:highlight w:val="none"/>
          <w:lang w:val="en-US" w:eastAsia="zh-CN"/>
        </w:rPr>
        <w:t>负责审核提前淘汰、新购车辆的排放阶段信息。</w:t>
      </w:r>
      <w:r>
        <w:rPr>
          <w:rFonts w:hint="eastAsia" w:ascii="仿宋_GB2312" w:hAnsi="仿宋_GB2312" w:eastAsia="仿宋_GB2312" w:cs="仿宋_GB2312"/>
          <w:i w:val="0"/>
          <w:iCs w:val="0"/>
          <w:caps w:val="0"/>
          <w:color w:val="auto"/>
          <w:spacing w:val="0"/>
          <w:sz w:val="32"/>
          <w:szCs w:val="32"/>
          <w:highlight w:val="none"/>
        </w:rPr>
        <w:t>商务部门</w:t>
      </w:r>
      <w:r>
        <w:rPr>
          <w:rFonts w:hint="eastAsia" w:ascii="仿宋_GB2312" w:hAnsi="仿宋_GB2312" w:eastAsia="仿宋_GB2312" w:cs="仿宋_GB2312"/>
          <w:i w:val="0"/>
          <w:iCs w:val="0"/>
          <w:caps w:val="0"/>
          <w:color w:val="auto"/>
          <w:spacing w:val="0"/>
          <w:sz w:val="32"/>
          <w:szCs w:val="32"/>
          <w:highlight w:val="none"/>
          <w:lang w:val="en-US" w:eastAsia="zh-CN"/>
        </w:rPr>
        <w:t>负责审核提前淘汰车辆的</w:t>
      </w:r>
      <w:r>
        <w:rPr>
          <w:rFonts w:hint="eastAsia" w:ascii="仿宋_GB2312" w:hAnsi="仿宋_GB2312" w:eastAsia="仿宋_GB2312" w:cs="仿宋_GB2312"/>
          <w:i w:val="0"/>
          <w:iCs w:val="0"/>
          <w:caps w:val="0"/>
          <w:color w:val="auto"/>
          <w:spacing w:val="0"/>
          <w:sz w:val="32"/>
          <w:szCs w:val="32"/>
          <w:highlight w:val="none"/>
        </w:rPr>
        <w:t>《报废机动车回收证明》</w:t>
      </w:r>
      <w:r>
        <w:rPr>
          <w:rFonts w:hint="eastAsia" w:ascii="仿宋_GB2312" w:hAnsi="仿宋_GB2312" w:eastAsia="仿宋_GB2312" w:cs="仿宋_GB2312"/>
          <w:i w:val="0"/>
          <w:iCs w:val="0"/>
          <w:caps w:val="0"/>
          <w:color w:val="auto"/>
          <w:spacing w:val="0"/>
          <w:sz w:val="32"/>
          <w:szCs w:val="32"/>
          <w:highlight w:val="none"/>
          <w:lang w:val="en-US" w:eastAsia="zh-CN"/>
        </w:rPr>
        <w:t>信息，公布有资质的回收拆解企业信息。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申请人提交的材料真实完整，符合本</w:t>
      </w:r>
      <w:r>
        <w:rPr>
          <w:rFonts w:hint="eastAsia" w:ascii="仿宋_GB2312" w:hAnsi="仿宋_GB2312" w:eastAsia="仿宋_GB2312" w:cs="仿宋_GB2312"/>
          <w:i w:val="0"/>
          <w:iCs w:val="0"/>
          <w:caps w:val="0"/>
          <w:color w:val="auto"/>
          <w:spacing w:val="0"/>
          <w:sz w:val="32"/>
          <w:szCs w:val="32"/>
          <w:highlight w:val="none"/>
          <w:lang w:val="en-US" w:eastAsia="zh-CN"/>
        </w:rPr>
        <w:t>指南</w:t>
      </w:r>
      <w:r>
        <w:rPr>
          <w:rFonts w:hint="eastAsia" w:ascii="仿宋_GB2312" w:hAnsi="仿宋_GB2312" w:eastAsia="仿宋_GB2312" w:cs="仿宋_GB2312"/>
          <w:i w:val="0"/>
          <w:iCs w:val="0"/>
          <w:caps w:val="0"/>
          <w:color w:val="auto"/>
          <w:spacing w:val="0"/>
          <w:sz w:val="32"/>
          <w:szCs w:val="32"/>
          <w:highlight w:val="none"/>
        </w:rPr>
        <w:t>要求的，予以审核通过。申请人提交的材料不完整或不清晰无法辨识的，受理单位应当将补正信息要求告知申请人，申请人应当按要求补充有关信息。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default"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val="en-US" w:eastAsia="zh-CN"/>
        </w:rPr>
        <w:t>补贴发放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受理地交通运输主管部门应当至少每月汇总审核通过的老旧营运货车报废更新信息，向同级财政部门提出补贴资金安排建议，同级财政部门按程序拨付补贴资金至交通运输主管部门，由交通运输主管部门按规定发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附件：1.老旧营运货车报废更新补贴标准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2.老旧营运货车报废更新资金申请表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_GB2312" w:hAnsi="宋体" w:eastAsia="仿宋_GB2312" w:cs="仿宋_GB2312"/>
          <w:color w:val="auto"/>
          <w:kern w:val="0"/>
          <w:sz w:val="32"/>
          <w:szCs w:val="32"/>
          <w:highlight w:val="none"/>
          <w:lang w:bidi="ar"/>
        </w:rPr>
        <w:sectPr>
          <w:footerReference r:id="rId4" w:type="default"/>
          <w:pgSz w:w="11906" w:h="16838"/>
          <w:pgMar w:top="1644" w:right="1644" w:bottom="1644" w:left="1644"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绍兴市老旧营运货车报废更新补贴</w:t>
      </w:r>
      <w:r>
        <w:rPr>
          <w:rFonts w:hint="eastAsia" w:ascii="仿宋_GB2312" w:hAnsi="仿宋_GB2312" w:eastAsia="仿宋_GB2312" w:cs="仿宋_GB2312"/>
          <w:color w:val="auto"/>
          <w:sz w:val="32"/>
          <w:szCs w:val="32"/>
          <w:highlight w:val="none"/>
          <w:lang w:val="en-US" w:eastAsia="zh-CN"/>
        </w:rPr>
        <w:t>建议</w:t>
      </w:r>
      <w:r>
        <w:rPr>
          <w:rFonts w:hint="default" w:ascii="仿宋_GB2312" w:hAnsi="仿宋_GB2312" w:eastAsia="仿宋_GB2312" w:cs="仿宋_GB2312"/>
          <w:color w:val="auto"/>
          <w:sz w:val="32"/>
          <w:szCs w:val="32"/>
          <w:highlight w:val="none"/>
          <w:lang w:val="en-US" w:eastAsia="zh-CN"/>
        </w:rPr>
        <w:t>受理点</w:t>
      </w:r>
    </w:p>
    <w:p>
      <w:pPr>
        <w:wordWrap w:val="0"/>
        <w:spacing w:line="580" w:lineRule="atLeast"/>
        <w:jc w:val="both"/>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 w:val="0"/>
          <w:bCs w:val="0"/>
          <w:color w:val="auto"/>
          <w:spacing w:val="0"/>
          <w:sz w:val="36"/>
          <w:szCs w:val="36"/>
          <w:highlight w:val="none"/>
        </w:rPr>
        <w:t>老旧营运货车报废更新补贴标准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Arial"/>
          <w:color w:val="auto"/>
          <w:sz w:val="21"/>
          <w:highlight w:val="none"/>
        </w:rPr>
      </w:pP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sz w:val="32"/>
          <w:szCs w:val="32"/>
          <w:highlight w:val="none"/>
        </w:rPr>
        <w:t>一、提前报废老旧营运柴油货车补贴标准见表1。</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1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rPr>
        <w:t>二、提前报废老旧营运货车，并新购营运货车补贴标准按以下</w:t>
      </w:r>
      <w:r>
        <w:rPr>
          <w:rFonts w:hint="eastAsia" w:ascii="仿宋_GB2312" w:hAnsi="仿宋_GB2312" w:eastAsia="仿宋_GB2312" w:cs="仿宋_GB2312"/>
          <w:color w:val="auto"/>
          <w:spacing w:val="-5"/>
          <w:sz w:val="32"/>
          <w:szCs w:val="32"/>
          <w:highlight w:val="none"/>
        </w:rPr>
        <w:t>方法计算：</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8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1"/>
          <w:sz w:val="32"/>
          <w:szCs w:val="32"/>
          <w:highlight w:val="none"/>
        </w:rPr>
        <w:t>报废并新购国六排放标准营运柴油货车补贴=提前报废</w:t>
      </w:r>
      <w:r>
        <w:rPr>
          <w:rFonts w:hint="eastAsia" w:ascii="仿宋_GB2312" w:hAnsi="仿宋_GB2312" w:eastAsia="仿宋_GB2312" w:cs="仿宋_GB2312"/>
          <w:color w:val="auto"/>
          <w:spacing w:val="10"/>
          <w:sz w:val="32"/>
          <w:szCs w:val="32"/>
          <w:highlight w:val="none"/>
        </w:rPr>
        <w:t>老旧</w:t>
      </w:r>
      <w:r>
        <w:rPr>
          <w:rFonts w:hint="eastAsia" w:ascii="仿宋_GB2312" w:hAnsi="仿宋_GB2312" w:eastAsia="仿宋_GB2312" w:cs="仿宋_GB2312"/>
          <w:color w:val="auto"/>
          <w:spacing w:val="5"/>
          <w:sz w:val="32"/>
          <w:szCs w:val="32"/>
          <w:highlight w:val="none"/>
        </w:rPr>
        <w:t>营运柴油货车补贴</w:t>
      </w:r>
      <w:r>
        <w:rPr>
          <w:rFonts w:hint="eastAsia" w:ascii="仿宋_GB2312" w:hAnsi="仿宋_GB2312" w:eastAsia="仿宋_GB2312" w:cs="仿宋_GB2312"/>
          <w:color w:val="auto"/>
          <w:spacing w:val="5"/>
          <w:sz w:val="32"/>
          <w:szCs w:val="32"/>
          <w:highlight w:val="none"/>
          <w:lang w:eastAsia="zh-CN"/>
        </w:rPr>
        <w:t>+</w:t>
      </w:r>
      <w:r>
        <w:rPr>
          <w:rFonts w:hint="eastAsia" w:ascii="仿宋_GB2312" w:hAnsi="仿宋_GB2312" w:eastAsia="仿宋_GB2312" w:cs="仿宋_GB2312"/>
          <w:color w:val="auto"/>
          <w:spacing w:val="5"/>
          <w:sz w:val="32"/>
          <w:szCs w:val="32"/>
          <w:highlight w:val="none"/>
        </w:rPr>
        <w:t>新购国六排放标准营运柴油货车补贴</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8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1"/>
          <w:sz w:val="32"/>
          <w:szCs w:val="32"/>
          <w:highlight w:val="none"/>
        </w:rPr>
        <w:t>报废并新购新能源货车补贴=提前报废老旧营运柴油货车补</w:t>
      </w:r>
      <w:r>
        <w:rPr>
          <w:rFonts w:hint="eastAsia" w:ascii="仿宋_GB2312" w:hAnsi="仿宋_GB2312" w:eastAsia="仿宋_GB2312" w:cs="仿宋_GB2312"/>
          <w:color w:val="auto"/>
          <w:spacing w:val="6"/>
          <w:sz w:val="32"/>
          <w:szCs w:val="32"/>
          <w:highlight w:val="none"/>
        </w:rPr>
        <w:t>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新购新能源营运货车补贴</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rPr>
        <w:t>其中，新购国六排放标准营运柴油货车或新能源营运</w:t>
      </w:r>
      <w:r>
        <w:rPr>
          <w:rFonts w:hint="eastAsia" w:ascii="仿宋_GB2312" w:hAnsi="仿宋_GB2312" w:eastAsia="仿宋_GB2312" w:cs="仿宋_GB2312"/>
          <w:color w:val="auto"/>
          <w:spacing w:val="5"/>
          <w:sz w:val="32"/>
          <w:szCs w:val="32"/>
          <w:highlight w:val="none"/>
        </w:rPr>
        <w:t>货车补</w:t>
      </w:r>
      <w:r>
        <w:rPr>
          <w:rFonts w:hint="eastAsia" w:ascii="仿宋_GB2312" w:hAnsi="仿宋_GB2312" w:eastAsia="仿宋_GB2312" w:cs="仿宋_GB2312"/>
          <w:color w:val="auto"/>
          <w:spacing w:val="7"/>
          <w:sz w:val="32"/>
          <w:szCs w:val="32"/>
          <w:highlight w:val="none"/>
        </w:rPr>
        <w:t>贴标准见表2。</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1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rPr>
        <w:t>三、仅新购新能源城市冷链配送货车补贴标准为3.5万元/辆。</w:t>
      </w:r>
    </w:p>
    <w:p>
      <w:pPr>
        <w:spacing w:before="0" w:line="224" w:lineRule="auto"/>
        <w:ind w:left="0"/>
        <w:jc w:val="center"/>
        <w:rPr>
          <w:rFonts w:hint="eastAsia" w:ascii="黑体" w:hAnsi="黑体" w:eastAsia="黑体" w:cs="黑体"/>
          <w:b w:val="0"/>
          <w:bCs w:val="0"/>
          <w:color w:val="auto"/>
          <w:spacing w:val="6"/>
          <w:sz w:val="32"/>
          <w:szCs w:val="32"/>
          <w:highlight w:val="none"/>
          <w:lang w:eastAsia="en-US"/>
        </w:rPr>
      </w:pPr>
    </w:p>
    <w:p>
      <w:pPr>
        <w:spacing w:before="0" w:line="224" w:lineRule="auto"/>
        <w:ind w:left="0"/>
        <w:jc w:val="center"/>
        <w:rPr>
          <w:rFonts w:hint="default" w:ascii="黑体" w:hAnsi="黑体" w:eastAsia="黑体" w:cs="黑体"/>
          <w:color w:val="auto"/>
          <w:sz w:val="28"/>
          <w:szCs w:val="28"/>
          <w:highlight w:val="none"/>
        </w:rPr>
      </w:pPr>
      <w:r>
        <w:rPr>
          <w:rFonts w:hint="eastAsia" w:ascii="黑体" w:hAnsi="黑体" w:eastAsia="黑体" w:cs="黑体"/>
          <w:b w:val="0"/>
          <w:bCs w:val="0"/>
          <w:color w:val="auto"/>
          <w:spacing w:val="6"/>
          <w:sz w:val="32"/>
          <w:szCs w:val="32"/>
          <w:highlight w:val="none"/>
          <w:lang w:eastAsia="en-US"/>
        </w:rPr>
        <w:t>表</w:t>
      </w:r>
      <w:r>
        <w:rPr>
          <w:rFonts w:hint="eastAsia" w:ascii="黑体" w:hAnsi="黑体" w:eastAsia="黑体" w:cs="黑体"/>
          <w:color w:val="auto"/>
          <w:spacing w:val="6"/>
          <w:sz w:val="32"/>
          <w:szCs w:val="32"/>
          <w:highlight w:val="none"/>
          <w:lang w:eastAsia="en-US"/>
        </w:rPr>
        <w:t xml:space="preserve"> </w:t>
      </w:r>
      <w:r>
        <w:rPr>
          <w:rFonts w:hint="eastAsia" w:ascii="黑体" w:hAnsi="黑体" w:eastAsia="黑体" w:cs="黑体"/>
          <w:b w:val="0"/>
          <w:bCs w:val="0"/>
          <w:color w:val="auto"/>
          <w:spacing w:val="6"/>
          <w:sz w:val="32"/>
          <w:szCs w:val="32"/>
          <w:highlight w:val="none"/>
          <w:lang w:eastAsia="en-US"/>
        </w:rPr>
        <w:t>1</w:t>
      </w:r>
      <w:r>
        <w:rPr>
          <w:rFonts w:hint="eastAsia" w:ascii="黑体" w:hAnsi="黑体" w:eastAsia="黑体" w:cs="黑体"/>
          <w:color w:val="auto"/>
          <w:spacing w:val="6"/>
          <w:sz w:val="32"/>
          <w:szCs w:val="32"/>
          <w:highlight w:val="none"/>
          <w:lang w:eastAsia="en-US"/>
        </w:rPr>
        <w:t xml:space="preserve"> </w:t>
      </w:r>
      <w:r>
        <w:rPr>
          <w:rFonts w:hint="eastAsia" w:ascii="黑体" w:hAnsi="黑体" w:eastAsia="黑体" w:cs="黑体"/>
          <w:color w:val="auto"/>
          <w:spacing w:val="6"/>
          <w:sz w:val="32"/>
          <w:szCs w:val="32"/>
          <w:highlight w:val="none"/>
          <w:lang w:val="en-US" w:eastAsia="en-US"/>
        </w:rPr>
        <w:t>提前报废老旧营运柴油货车补贴标准</w:t>
      </w:r>
    </w:p>
    <w:p>
      <w:pPr>
        <w:spacing w:line="78" w:lineRule="exact"/>
        <w:rPr>
          <w:rFonts w:hint="eastAsia" w:ascii="仿宋_GB2312" w:hAnsi="仿宋_GB2312" w:eastAsia="仿宋_GB2312" w:cs="仿宋_GB2312"/>
          <w:color w:val="auto"/>
          <w:sz w:val="28"/>
          <w:szCs w:val="28"/>
          <w:highlight w:val="none"/>
        </w:rPr>
      </w:pPr>
    </w:p>
    <w:tbl>
      <w:tblPr>
        <w:tblStyle w:val="10"/>
        <w:tblW w:w="8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8"/>
        <w:gridCol w:w="3729"/>
        <w:gridCol w:w="3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1808"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车辆类型</w:t>
            </w: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提前报废时间</w:t>
            </w:r>
          </w:p>
        </w:tc>
        <w:tc>
          <w:tcPr>
            <w:tcW w:w="3168"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补贴标准(万元/辆)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1808" w:type="dxa"/>
            <w:vMerge w:val="restart"/>
            <w:tcBorders>
              <w:bottom w:val="nil"/>
            </w:tcBorders>
            <w:vAlign w:val="center"/>
          </w:tcPr>
          <w:p>
            <w:pPr>
              <w:pStyle w:val="9"/>
              <w:spacing w:before="0" w:line="22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6"/>
                <w:sz w:val="28"/>
                <w:szCs w:val="28"/>
                <w:highlight w:val="none"/>
              </w:rPr>
              <w:t>中</w:t>
            </w:r>
            <w:r>
              <w:rPr>
                <w:rFonts w:hint="eastAsia" w:ascii="仿宋_GB2312" w:hAnsi="仿宋_GB2312" w:eastAsia="仿宋_GB2312" w:cs="仿宋_GB2312"/>
                <w:color w:val="auto"/>
                <w:spacing w:val="64"/>
                <w:sz w:val="28"/>
                <w:szCs w:val="28"/>
                <w:highlight w:val="none"/>
              </w:rPr>
              <w:t xml:space="preserve"> </w:t>
            </w:r>
            <w:r>
              <w:rPr>
                <w:rFonts w:hint="eastAsia" w:ascii="仿宋_GB2312" w:hAnsi="仿宋_GB2312" w:eastAsia="仿宋_GB2312" w:cs="仿宋_GB2312"/>
                <w:color w:val="auto"/>
                <w:spacing w:val="-16"/>
                <w:sz w:val="28"/>
                <w:szCs w:val="28"/>
                <w:highlight w:val="none"/>
              </w:rPr>
              <w:t>型</w:t>
            </w: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满1年(含)不足2年</w:t>
            </w:r>
          </w:p>
        </w:tc>
        <w:tc>
          <w:tcPr>
            <w:tcW w:w="3168" w:type="dxa"/>
            <w:vAlign w:val="center"/>
          </w:tcPr>
          <w:p>
            <w:pPr>
              <w:pStyle w:val="9"/>
              <w:spacing w:before="0" w:line="184"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808" w:type="dxa"/>
            <w:vMerge w:val="continue"/>
            <w:tcBorders>
              <w:top w:val="nil"/>
              <w:bottom w:val="nil"/>
            </w:tcBorders>
            <w:vAlign w:val="center"/>
          </w:tcPr>
          <w:p>
            <w:pPr>
              <w:jc w:val="center"/>
              <w:rPr>
                <w:rFonts w:hint="eastAsia" w:ascii="仿宋_GB2312" w:hAnsi="仿宋_GB2312" w:eastAsia="仿宋_GB2312" w:cs="仿宋_GB2312"/>
                <w:color w:val="auto"/>
                <w:sz w:val="28"/>
                <w:szCs w:val="28"/>
                <w:highlight w:val="none"/>
              </w:rPr>
            </w:pP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满2年(含)不足4年</w:t>
            </w:r>
          </w:p>
        </w:tc>
        <w:tc>
          <w:tcPr>
            <w:tcW w:w="3168" w:type="dxa"/>
            <w:vAlign w:val="center"/>
          </w:tcPr>
          <w:p>
            <w:pPr>
              <w:pStyle w:val="9"/>
              <w:spacing w:before="0" w:line="184"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808" w:type="dxa"/>
            <w:vMerge w:val="continue"/>
            <w:tcBorders>
              <w:top w:val="nil"/>
            </w:tcBorders>
            <w:vAlign w:val="center"/>
          </w:tcPr>
          <w:p>
            <w:pPr>
              <w:jc w:val="center"/>
              <w:rPr>
                <w:rFonts w:hint="eastAsia" w:ascii="仿宋_GB2312" w:hAnsi="仿宋_GB2312" w:eastAsia="仿宋_GB2312" w:cs="仿宋_GB2312"/>
                <w:color w:val="auto"/>
                <w:sz w:val="28"/>
                <w:szCs w:val="28"/>
                <w:highlight w:val="none"/>
              </w:rPr>
            </w:pP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满4年(含)以上</w:t>
            </w:r>
          </w:p>
        </w:tc>
        <w:tc>
          <w:tcPr>
            <w:tcW w:w="3168" w:type="dxa"/>
            <w:vAlign w:val="center"/>
          </w:tcPr>
          <w:p>
            <w:pPr>
              <w:pStyle w:val="9"/>
              <w:spacing w:before="0" w:line="183"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1808" w:type="dxa"/>
            <w:vMerge w:val="restart"/>
            <w:tcBorders>
              <w:bottom w:val="nil"/>
            </w:tcBorders>
            <w:vAlign w:val="center"/>
          </w:tcPr>
          <w:p>
            <w:pPr>
              <w:pStyle w:val="9"/>
              <w:spacing w:before="0" w:line="227"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重</w:t>
            </w:r>
            <w:r>
              <w:rPr>
                <w:rFonts w:hint="eastAsia" w:ascii="仿宋_GB2312" w:hAnsi="仿宋_GB2312" w:eastAsia="仿宋_GB2312" w:cs="仿宋_GB2312"/>
                <w:color w:val="auto"/>
                <w:spacing w:val="43"/>
                <w:sz w:val="28"/>
                <w:szCs w:val="28"/>
                <w:highlight w:val="none"/>
              </w:rPr>
              <w:t xml:space="preserve"> </w:t>
            </w:r>
            <w:r>
              <w:rPr>
                <w:rFonts w:hint="eastAsia" w:ascii="仿宋_GB2312" w:hAnsi="仿宋_GB2312" w:eastAsia="仿宋_GB2312" w:cs="仿宋_GB2312"/>
                <w:color w:val="auto"/>
                <w:spacing w:val="-6"/>
                <w:sz w:val="28"/>
                <w:szCs w:val="28"/>
                <w:highlight w:val="none"/>
              </w:rPr>
              <w:t>型</w:t>
            </w: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满1年(含)不足2年</w:t>
            </w:r>
          </w:p>
        </w:tc>
        <w:tc>
          <w:tcPr>
            <w:tcW w:w="3168" w:type="dxa"/>
            <w:vAlign w:val="center"/>
          </w:tcPr>
          <w:p>
            <w:pPr>
              <w:pStyle w:val="9"/>
              <w:spacing w:before="0" w:line="184"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1808" w:type="dxa"/>
            <w:vMerge w:val="continue"/>
            <w:tcBorders>
              <w:top w:val="nil"/>
              <w:bottom w:val="nil"/>
            </w:tcBorders>
            <w:vAlign w:val="center"/>
          </w:tcPr>
          <w:p>
            <w:pPr>
              <w:jc w:val="center"/>
              <w:rPr>
                <w:rFonts w:hint="eastAsia" w:ascii="仿宋_GB2312" w:hAnsi="仿宋_GB2312" w:eastAsia="仿宋_GB2312" w:cs="仿宋_GB2312"/>
                <w:color w:val="auto"/>
                <w:sz w:val="28"/>
                <w:szCs w:val="28"/>
                <w:highlight w:val="none"/>
              </w:rPr>
            </w:pP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满2年(含)不足4年</w:t>
            </w:r>
          </w:p>
        </w:tc>
        <w:tc>
          <w:tcPr>
            <w:tcW w:w="3168" w:type="dxa"/>
            <w:vAlign w:val="center"/>
          </w:tcPr>
          <w:p>
            <w:pPr>
              <w:pStyle w:val="9"/>
              <w:spacing w:before="0" w:line="183"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1808" w:type="dxa"/>
            <w:vMerge w:val="continue"/>
            <w:tcBorders>
              <w:top w:val="nil"/>
            </w:tcBorders>
            <w:vAlign w:val="center"/>
          </w:tcPr>
          <w:p>
            <w:pPr>
              <w:jc w:val="center"/>
              <w:rPr>
                <w:rFonts w:hint="eastAsia" w:ascii="仿宋_GB2312" w:hAnsi="仿宋_GB2312" w:eastAsia="仿宋_GB2312" w:cs="仿宋_GB2312"/>
                <w:color w:val="auto"/>
                <w:sz w:val="28"/>
                <w:szCs w:val="28"/>
                <w:highlight w:val="none"/>
              </w:rPr>
            </w:pPr>
          </w:p>
        </w:tc>
        <w:tc>
          <w:tcPr>
            <w:tcW w:w="3729" w:type="dxa"/>
            <w:vAlign w:val="center"/>
          </w:tcPr>
          <w:p>
            <w:pPr>
              <w:pStyle w:val="9"/>
              <w:spacing w:before="0" w:line="219"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满4年(含)以上</w:t>
            </w:r>
          </w:p>
        </w:tc>
        <w:tc>
          <w:tcPr>
            <w:tcW w:w="3168" w:type="dxa"/>
            <w:vAlign w:val="center"/>
          </w:tcPr>
          <w:p>
            <w:pPr>
              <w:pStyle w:val="9"/>
              <w:spacing w:before="0" w:line="183"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4.5</w:t>
            </w:r>
          </w:p>
        </w:tc>
      </w:tr>
    </w:tbl>
    <w:p>
      <w:pPr>
        <w:rPr>
          <w:rFonts w:hint="eastAsia" w:ascii="仿宋_GB2312" w:hAnsi="仿宋_GB2312" w:eastAsia="仿宋_GB2312" w:cs="仿宋_GB2312"/>
          <w:color w:val="auto"/>
          <w:sz w:val="21"/>
          <w:szCs w:val="21"/>
          <w:highlight w:val="none"/>
        </w:rPr>
        <w:sectPr>
          <w:footerReference r:id="rId5" w:type="default"/>
          <w:pgSz w:w="11950" w:h="16880"/>
          <w:pgMar w:top="1434" w:right="1792" w:bottom="2028" w:left="1460" w:header="0" w:footer="1732" w:gutter="0"/>
          <w:pgNumType w:fmt="numberInDash"/>
          <w:cols w:space="720" w:num="1"/>
        </w:sectPr>
      </w:pPr>
    </w:p>
    <w:p>
      <w:pPr>
        <w:spacing w:before="0" w:line="240" w:lineRule="auto"/>
        <w:ind w:left="0"/>
        <w:jc w:val="center"/>
        <w:rPr>
          <w:rFonts w:hint="eastAsia" w:ascii="黑体" w:hAnsi="黑体" w:eastAsia="黑体" w:cs="黑体"/>
          <w:color w:val="auto"/>
          <w:spacing w:val="6"/>
          <w:sz w:val="32"/>
          <w:szCs w:val="32"/>
          <w:highlight w:val="none"/>
          <w:lang w:eastAsia="en-US"/>
        </w:rPr>
      </w:pPr>
      <w:r>
        <w:rPr>
          <w:rFonts w:hint="eastAsia" w:ascii="黑体" w:hAnsi="黑体" w:eastAsia="黑体" w:cs="黑体"/>
          <w:b w:val="0"/>
          <w:bCs w:val="0"/>
          <w:color w:val="auto"/>
          <w:spacing w:val="6"/>
          <w:sz w:val="32"/>
          <w:szCs w:val="32"/>
          <w:highlight w:val="none"/>
          <w:lang w:eastAsia="en-US"/>
        </w:rPr>
        <w:t>表</w:t>
      </w:r>
      <w:r>
        <w:rPr>
          <w:rFonts w:hint="eastAsia" w:ascii="黑体" w:hAnsi="黑体" w:eastAsia="黑体" w:cs="黑体"/>
          <w:color w:val="auto"/>
          <w:spacing w:val="6"/>
          <w:sz w:val="32"/>
          <w:szCs w:val="32"/>
          <w:highlight w:val="none"/>
          <w:lang w:eastAsia="en-US"/>
        </w:rPr>
        <w:t xml:space="preserve"> </w:t>
      </w:r>
      <w:r>
        <w:rPr>
          <w:rFonts w:hint="eastAsia" w:ascii="黑体" w:hAnsi="黑体" w:eastAsia="黑体" w:cs="黑体"/>
          <w:b w:val="0"/>
          <w:bCs w:val="0"/>
          <w:color w:val="auto"/>
          <w:spacing w:val="6"/>
          <w:sz w:val="32"/>
          <w:szCs w:val="32"/>
          <w:highlight w:val="none"/>
          <w:lang w:eastAsia="en-US"/>
        </w:rPr>
        <w:t>2</w:t>
      </w:r>
      <w:r>
        <w:rPr>
          <w:rFonts w:hint="eastAsia" w:ascii="黑体" w:hAnsi="黑体" w:eastAsia="黑体" w:cs="黑体"/>
          <w:color w:val="auto"/>
          <w:spacing w:val="6"/>
          <w:sz w:val="32"/>
          <w:szCs w:val="32"/>
          <w:highlight w:val="none"/>
          <w:lang w:eastAsia="en-US"/>
        </w:rPr>
        <w:t xml:space="preserve"> </w:t>
      </w:r>
      <w:r>
        <w:rPr>
          <w:rFonts w:hint="eastAsia" w:ascii="黑体" w:hAnsi="黑体" w:eastAsia="黑体" w:cs="黑体"/>
          <w:b w:val="0"/>
          <w:bCs w:val="0"/>
          <w:color w:val="auto"/>
          <w:spacing w:val="6"/>
          <w:sz w:val="32"/>
          <w:szCs w:val="32"/>
          <w:highlight w:val="none"/>
          <w:lang w:eastAsia="en-US"/>
        </w:rPr>
        <w:t>新购营运货车补贴标准</w:t>
      </w:r>
    </w:p>
    <w:p>
      <w:pPr>
        <w:spacing w:line="79" w:lineRule="exact"/>
        <w:rPr>
          <w:rFonts w:hint="eastAsia" w:ascii="仿宋_GB2312" w:hAnsi="仿宋_GB2312" w:eastAsia="仿宋_GB2312" w:cs="仿宋_GB2312"/>
          <w:color w:val="auto"/>
          <w:highlight w:val="none"/>
        </w:rPr>
      </w:pPr>
    </w:p>
    <w:tbl>
      <w:tblPr>
        <w:tblStyle w:val="10"/>
        <w:tblW w:w="8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201"/>
        <w:gridCol w:w="4149"/>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2" w:hRule="atLeast"/>
        </w:trPr>
        <w:tc>
          <w:tcPr>
            <w:tcW w:w="1831" w:type="dxa"/>
            <w:gridSpan w:val="2"/>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车辆类型</w:t>
            </w:r>
          </w:p>
        </w:tc>
        <w:tc>
          <w:tcPr>
            <w:tcW w:w="4149"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新购国六排放标准营运柴油货车</w:t>
            </w:r>
          </w:p>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补贴标准(万元/辆)</w:t>
            </w:r>
          </w:p>
        </w:tc>
        <w:tc>
          <w:tcPr>
            <w:tcW w:w="2798" w:type="dxa"/>
            <w:vAlign w:val="center"/>
          </w:tcPr>
          <w:p>
            <w:pPr>
              <w:pStyle w:val="9"/>
              <w:spacing w:before="0" w:line="240" w:lineRule="auto"/>
              <w:ind w:left="0" w:right="0" w:hanging="49"/>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新购新能源营运货车</w:t>
            </w:r>
            <w:r>
              <w:rPr>
                <w:rFonts w:hint="eastAsia" w:ascii="仿宋_GB2312" w:hAnsi="仿宋_GB2312" w:eastAsia="仿宋_GB2312" w:cs="仿宋_GB2312"/>
                <w:color w:val="auto"/>
                <w:spacing w:val="7"/>
                <w:sz w:val="28"/>
                <w:szCs w:val="28"/>
                <w:highlight w:val="none"/>
              </w:rPr>
              <w:t xml:space="preserve"> </w:t>
            </w:r>
            <w:r>
              <w:rPr>
                <w:rFonts w:hint="eastAsia" w:ascii="仿宋_GB2312" w:hAnsi="仿宋_GB2312" w:eastAsia="仿宋_GB2312" w:cs="仿宋_GB2312"/>
                <w:color w:val="auto"/>
                <w:spacing w:val="4"/>
                <w:sz w:val="28"/>
                <w:szCs w:val="28"/>
                <w:highlight w:val="none"/>
              </w:rPr>
              <w:t>补贴标准(万元/辆)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1831" w:type="dxa"/>
            <w:gridSpan w:val="2"/>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5"/>
                <w:sz w:val="28"/>
                <w:szCs w:val="28"/>
                <w:highlight w:val="none"/>
              </w:rPr>
              <w:t>中</w:t>
            </w:r>
            <w:r>
              <w:rPr>
                <w:rFonts w:hint="eastAsia" w:ascii="仿宋_GB2312" w:hAnsi="仿宋_GB2312" w:eastAsia="仿宋_GB2312" w:cs="仿宋_GB2312"/>
                <w:color w:val="auto"/>
                <w:spacing w:val="29"/>
                <w:sz w:val="28"/>
                <w:szCs w:val="28"/>
                <w:highlight w:val="none"/>
              </w:rPr>
              <w:t xml:space="preserve">  </w:t>
            </w:r>
            <w:r>
              <w:rPr>
                <w:rFonts w:hint="eastAsia" w:ascii="仿宋_GB2312" w:hAnsi="仿宋_GB2312" w:eastAsia="仿宋_GB2312" w:cs="仿宋_GB2312"/>
                <w:color w:val="auto"/>
                <w:spacing w:val="-15"/>
                <w:sz w:val="28"/>
                <w:szCs w:val="28"/>
                <w:highlight w:val="none"/>
              </w:rPr>
              <w:t>型</w:t>
            </w:r>
          </w:p>
        </w:tc>
        <w:tc>
          <w:tcPr>
            <w:tcW w:w="4149"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2.5</w:t>
            </w:r>
          </w:p>
        </w:tc>
        <w:tc>
          <w:tcPr>
            <w:tcW w:w="2798"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30" w:type="dxa"/>
            <w:vMerge w:val="restart"/>
            <w:tcBorders>
              <w:bottom w:val="nil"/>
            </w:tcBorders>
            <w:vAlign w:val="center"/>
          </w:tcPr>
          <w:p>
            <w:pPr>
              <w:pStyle w:val="9"/>
              <w:spacing w:before="0" w:line="240" w:lineRule="auto"/>
              <w:ind w:left="0"/>
              <w:jc w:val="center"/>
              <w:rPr>
                <w:rFonts w:hint="eastAsia" w:ascii="仿宋_GB2312" w:hAnsi="仿宋_GB2312" w:eastAsia="仿宋_GB2312" w:cs="仿宋_GB2312"/>
                <w:color w:val="auto"/>
                <w:spacing w:val="7"/>
                <w:sz w:val="28"/>
                <w:szCs w:val="28"/>
                <w:highlight w:val="none"/>
              </w:rPr>
            </w:pPr>
          </w:p>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重型</w:t>
            </w:r>
          </w:p>
        </w:tc>
        <w:tc>
          <w:tcPr>
            <w:tcW w:w="1201"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2轴</w:t>
            </w:r>
          </w:p>
        </w:tc>
        <w:tc>
          <w:tcPr>
            <w:tcW w:w="4149"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4.0</w:t>
            </w:r>
          </w:p>
        </w:tc>
        <w:tc>
          <w:tcPr>
            <w:tcW w:w="2798"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630" w:type="dxa"/>
            <w:vMerge w:val="continue"/>
            <w:tcBorders>
              <w:top w:val="nil"/>
              <w:bottom w:val="nil"/>
            </w:tcBorders>
            <w:vAlign w:val="center"/>
          </w:tcPr>
          <w:p>
            <w:pPr>
              <w:jc w:val="center"/>
              <w:rPr>
                <w:rFonts w:hint="eastAsia" w:ascii="仿宋_GB2312" w:hAnsi="仿宋_GB2312" w:eastAsia="仿宋_GB2312" w:cs="仿宋_GB2312"/>
                <w:color w:val="auto"/>
                <w:sz w:val="28"/>
                <w:szCs w:val="28"/>
                <w:highlight w:val="none"/>
              </w:rPr>
            </w:pPr>
          </w:p>
        </w:tc>
        <w:tc>
          <w:tcPr>
            <w:tcW w:w="1201"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3轴</w:t>
            </w:r>
          </w:p>
        </w:tc>
        <w:tc>
          <w:tcPr>
            <w:tcW w:w="4149"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5.5</w:t>
            </w:r>
          </w:p>
        </w:tc>
        <w:tc>
          <w:tcPr>
            <w:tcW w:w="2798"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630" w:type="dxa"/>
            <w:vMerge w:val="continue"/>
            <w:tcBorders>
              <w:top w:val="nil"/>
            </w:tcBorders>
            <w:vAlign w:val="center"/>
          </w:tcPr>
          <w:p>
            <w:pPr>
              <w:jc w:val="center"/>
              <w:rPr>
                <w:rFonts w:hint="eastAsia" w:ascii="仿宋_GB2312" w:hAnsi="仿宋_GB2312" w:eastAsia="仿宋_GB2312" w:cs="仿宋_GB2312"/>
                <w:color w:val="auto"/>
                <w:sz w:val="28"/>
                <w:szCs w:val="28"/>
                <w:highlight w:val="none"/>
              </w:rPr>
            </w:pPr>
          </w:p>
        </w:tc>
        <w:tc>
          <w:tcPr>
            <w:tcW w:w="1201"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4轴及以上</w:t>
            </w:r>
          </w:p>
        </w:tc>
        <w:tc>
          <w:tcPr>
            <w:tcW w:w="4149"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6.5</w:t>
            </w:r>
          </w:p>
        </w:tc>
        <w:tc>
          <w:tcPr>
            <w:tcW w:w="2798" w:type="dxa"/>
            <w:vAlign w:val="center"/>
          </w:tcPr>
          <w:p>
            <w:pPr>
              <w:pStyle w:val="9"/>
              <w:spacing w:before="0" w:line="240" w:lineRule="auto"/>
              <w:ind w:lef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9.5</w:t>
            </w:r>
          </w:p>
        </w:tc>
      </w:tr>
    </w:tbl>
    <w:p>
      <w:pPr>
        <w:rPr>
          <w:rFonts w:ascii="Arial"/>
          <w:color w:val="auto"/>
          <w:sz w:val="21"/>
          <w:highlight w:val="none"/>
        </w:rPr>
      </w:pPr>
    </w:p>
    <w:p>
      <w:pPr>
        <w:rPr>
          <w:rFonts w:ascii="Arial" w:hAnsi="Arial" w:eastAsia="Arial" w:cs="Arial"/>
          <w:color w:val="auto"/>
          <w:sz w:val="21"/>
          <w:szCs w:val="21"/>
          <w:highlight w:val="none"/>
        </w:rPr>
        <w:sectPr>
          <w:footerReference r:id="rId6" w:type="default"/>
          <w:pgSz w:w="11900" w:h="16860"/>
          <w:pgMar w:top="1433" w:right="1345" w:bottom="1933" w:left="1785" w:header="0" w:footer="1676" w:gutter="0"/>
          <w:pgNumType w:fmt="numberInDash"/>
          <w:cols w:space="720" w:num="1"/>
        </w:sectPr>
      </w:pPr>
    </w:p>
    <w:p>
      <w:pPr>
        <w:pStyle w:val="2"/>
        <w:rPr>
          <w:rFonts w:ascii="Times New Roman" w:hAnsi="Times New Roman"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老旧营运货车报废更新资金申请表</w:t>
      </w:r>
    </w:p>
    <w:tbl>
      <w:tblPr>
        <w:tblStyle w:val="8"/>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
        <w:gridCol w:w="542"/>
        <w:gridCol w:w="427"/>
        <w:gridCol w:w="450"/>
        <w:gridCol w:w="854"/>
        <w:gridCol w:w="650"/>
        <w:gridCol w:w="365"/>
        <w:gridCol w:w="715"/>
        <w:gridCol w:w="693"/>
        <w:gridCol w:w="527"/>
        <w:gridCol w:w="361"/>
        <w:gridCol w:w="739"/>
        <w:gridCol w:w="403"/>
        <w:gridCol w:w="508"/>
        <w:gridCol w:w="26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333" w:type="dxa"/>
            <w:gridSpan w:val="17"/>
            <w:tcBorders>
              <w:top w:val="nil"/>
              <w:left w:val="nil"/>
              <w:bottom w:val="single" w:color="auto" w:sz="4" w:space="0"/>
              <w:right w:val="nil"/>
            </w:tcBorders>
            <w:vAlign w:val="center"/>
          </w:tcPr>
          <w:p>
            <w:pPr>
              <w:snapToGrid w:val="0"/>
              <w:spacing w:line="240" w:lineRule="atLeast"/>
              <w:jc w:val="left"/>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235" w:type="dxa"/>
            <w:gridSpan w:val="5"/>
            <w:tcBorders>
              <w:top w:val="single" w:color="auto" w:sz="4" w:space="0"/>
            </w:tcBorders>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申请资金类型</w:t>
            </w:r>
          </w:p>
        </w:tc>
        <w:tc>
          <w:tcPr>
            <w:tcW w:w="7098" w:type="dxa"/>
            <w:gridSpan w:val="12"/>
            <w:tcBorders>
              <w:top w:val="single" w:color="auto" w:sz="4" w:space="0"/>
            </w:tcBorders>
            <w:vAlign w:val="center"/>
          </w:tcPr>
          <w:p>
            <w:pP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□仅报废营运柴油货车 □报废并更新营运货车 □仅新购置新能源城市冷链配送货车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235" w:type="dxa"/>
            <w:gridSpan w:val="5"/>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车辆注册登记所有人</w:t>
            </w:r>
          </w:p>
        </w:tc>
        <w:tc>
          <w:tcPr>
            <w:tcW w:w="1504"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2300" w:type="dxa"/>
            <w:gridSpan w:val="4"/>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所有人身份证号码或统一社会信用代码</w:t>
            </w:r>
          </w:p>
        </w:tc>
        <w:tc>
          <w:tcPr>
            <w:tcW w:w="3294" w:type="dxa"/>
            <w:gridSpan w:val="6"/>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235" w:type="dxa"/>
            <w:gridSpan w:val="5"/>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所有人地址</w:t>
            </w:r>
          </w:p>
        </w:tc>
        <w:tc>
          <w:tcPr>
            <w:tcW w:w="2584" w:type="dxa"/>
            <w:gridSpan w:val="4"/>
            <w:vAlign w:val="center"/>
          </w:tcPr>
          <w:p>
            <w:pPr>
              <w:snapToGrid w:val="0"/>
              <w:spacing w:line="240" w:lineRule="atLeast"/>
              <w:jc w:val="center"/>
              <w:rPr>
                <w:rFonts w:ascii="Times New Roman" w:hAnsi="Times New Roman" w:eastAsia="仿宋_GB2312"/>
                <w:color w:val="auto"/>
                <w:szCs w:val="21"/>
                <w:highlight w:val="none"/>
              </w:rPr>
            </w:pPr>
          </w:p>
        </w:tc>
        <w:tc>
          <w:tcPr>
            <w:tcW w:w="1220"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联系电话</w:t>
            </w:r>
          </w:p>
        </w:tc>
        <w:tc>
          <w:tcPr>
            <w:tcW w:w="3294" w:type="dxa"/>
            <w:gridSpan w:val="6"/>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3089" w:type="dxa"/>
            <w:gridSpan w:val="6"/>
            <w:vAlign w:val="center"/>
          </w:tcPr>
          <w:p>
            <w:pP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开户银行名称（须填写全称）</w:t>
            </w:r>
          </w:p>
        </w:tc>
        <w:tc>
          <w:tcPr>
            <w:tcW w:w="6244" w:type="dxa"/>
            <w:gridSpan w:val="11"/>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3089" w:type="dxa"/>
            <w:gridSpan w:val="6"/>
            <w:vAlign w:val="center"/>
          </w:tcPr>
          <w:p>
            <w:pP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开户银行账号</w:t>
            </w:r>
          </w:p>
        </w:tc>
        <w:tc>
          <w:tcPr>
            <w:tcW w:w="6244" w:type="dxa"/>
            <w:gridSpan w:val="11"/>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333" w:type="dxa"/>
            <w:gridSpan w:val="17"/>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报废营运柴油货车基本情况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358" w:type="dxa"/>
            <w:gridSpan w:val="3"/>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总数（辆）</w:t>
            </w:r>
          </w:p>
        </w:tc>
        <w:tc>
          <w:tcPr>
            <w:tcW w:w="7975" w:type="dxa"/>
            <w:gridSpan w:val="14"/>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66"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序号</w:t>
            </w:r>
          </w:p>
        </w:tc>
        <w:tc>
          <w:tcPr>
            <w:tcW w:w="692"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车辆号码</w:t>
            </w:r>
          </w:p>
        </w:tc>
        <w:tc>
          <w:tcPr>
            <w:tcW w:w="877"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车辆识别代号</w:t>
            </w:r>
          </w:p>
        </w:tc>
        <w:tc>
          <w:tcPr>
            <w:tcW w:w="854"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道路运输证号</w:t>
            </w:r>
          </w:p>
        </w:tc>
        <w:tc>
          <w:tcPr>
            <w:tcW w:w="650"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品牌型号</w:t>
            </w:r>
          </w:p>
        </w:tc>
        <w:tc>
          <w:tcPr>
            <w:tcW w:w="1080" w:type="dxa"/>
            <w:gridSpan w:val="2"/>
            <w:vAlign w:val="center"/>
          </w:tcPr>
          <w:p>
            <w:pPr>
              <w:snapToGrid w:val="0"/>
              <w:spacing w:line="240" w:lineRule="atLeast"/>
              <w:jc w:val="center"/>
              <w:rPr>
                <w:rFonts w:hint="eastAsia" w:ascii="Times New Roman" w:hAnsi="Times New Roman" w:eastAsia="仿宋_GB2312"/>
                <w:color w:val="auto"/>
                <w:szCs w:val="21"/>
                <w:highlight w:val="none"/>
                <w:lang w:eastAsia="zh-CN"/>
              </w:rPr>
            </w:pPr>
            <w:r>
              <w:rPr>
                <w:rFonts w:ascii="Times New Roman" w:hAnsi="Times New Roman" w:eastAsia="仿宋_GB2312"/>
                <w:color w:val="auto"/>
                <w:szCs w:val="21"/>
                <w:highlight w:val="none"/>
              </w:rPr>
              <w:t>车辆类型</w:t>
            </w:r>
          </w:p>
        </w:tc>
        <w:tc>
          <w:tcPr>
            <w:tcW w:w="693"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排放阶段</w:t>
            </w:r>
          </w:p>
        </w:tc>
        <w:tc>
          <w:tcPr>
            <w:tcW w:w="888"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注册登记日期</w:t>
            </w:r>
          </w:p>
        </w:tc>
        <w:tc>
          <w:tcPr>
            <w:tcW w:w="1142" w:type="dxa"/>
            <w:gridSpan w:val="2"/>
            <w:vAlign w:val="center"/>
          </w:tcPr>
          <w:p>
            <w:pPr>
              <w:snapToGrid w:val="0"/>
              <w:spacing w:line="240" w:lineRule="atLeast"/>
              <w:ind w:left="-105" w:leftChars="-50" w:right="-105" w:rightChars="-50"/>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注销证明（编号）</w:t>
            </w:r>
          </w:p>
        </w:tc>
        <w:tc>
          <w:tcPr>
            <w:tcW w:w="774"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注销日期</w:t>
            </w:r>
          </w:p>
        </w:tc>
        <w:tc>
          <w:tcPr>
            <w:tcW w:w="1017"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实际使用年限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66"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1</w:t>
            </w:r>
          </w:p>
        </w:tc>
        <w:tc>
          <w:tcPr>
            <w:tcW w:w="692" w:type="dxa"/>
            <w:gridSpan w:val="2"/>
            <w:vAlign w:val="center"/>
          </w:tcPr>
          <w:p>
            <w:pPr>
              <w:snapToGrid w:val="0"/>
              <w:spacing w:line="240" w:lineRule="atLeast"/>
              <w:ind w:left="-283"/>
              <w:jc w:val="center"/>
              <w:rPr>
                <w:rFonts w:ascii="Times New Roman" w:hAnsi="Times New Roman" w:eastAsia="仿宋_GB2312"/>
                <w:color w:val="auto"/>
                <w:szCs w:val="21"/>
                <w:highlight w:val="none"/>
              </w:rPr>
            </w:pPr>
          </w:p>
        </w:tc>
        <w:tc>
          <w:tcPr>
            <w:tcW w:w="877"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854" w:type="dxa"/>
            <w:vAlign w:val="center"/>
          </w:tcPr>
          <w:p>
            <w:pPr>
              <w:snapToGrid w:val="0"/>
              <w:spacing w:line="240" w:lineRule="atLeast"/>
              <w:jc w:val="center"/>
              <w:rPr>
                <w:rFonts w:ascii="Times New Roman" w:hAnsi="Times New Roman" w:eastAsia="仿宋_GB2312"/>
                <w:color w:val="auto"/>
                <w:szCs w:val="21"/>
                <w:highlight w:val="none"/>
              </w:rPr>
            </w:pPr>
          </w:p>
        </w:tc>
        <w:tc>
          <w:tcPr>
            <w:tcW w:w="650" w:type="dxa"/>
            <w:vAlign w:val="center"/>
          </w:tcPr>
          <w:p>
            <w:pPr>
              <w:snapToGrid w:val="0"/>
              <w:spacing w:line="240" w:lineRule="atLeast"/>
              <w:jc w:val="center"/>
              <w:rPr>
                <w:rFonts w:ascii="Times New Roman" w:hAnsi="Times New Roman" w:eastAsia="仿宋_GB2312"/>
                <w:color w:val="auto"/>
                <w:szCs w:val="21"/>
                <w:highlight w:val="none"/>
              </w:rPr>
            </w:pPr>
          </w:p>
        </w:tc>
        <w:tc>
          <w:tcPr>
            <w:tcW w:w="1080"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693" w:type="dxa"/>
            <w:vAlign w:val="center"/>
          </w:tcPr>
          <w:p>
            <w:pPr>
              <w:snapToGrid w:val="0"/>
              <w:spacing w:line="240" w:lineRule="atLeast"/>
              <w:jc w:val="center"/>
              <w:rPr>
                <w:rFonts w:ascii="Times New Roman" w:hAnsi="Times New Roman" w:eastAsia="仿宋_GB2312"/>
                <w:color w:val="auto"/>
                <w:szCs w:val="21"/>
                <w:highlight w:val="none"/>
              </w:rPr>
            </w:pPr>
          </w:p>
        </w:tc>
        <w:tc>
          <w:tcPr>
            <w:tcW w:w="888"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142"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774"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017" w:type="dxa"/>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66"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2</w:t>
            </w:r>
          </w:p>
        </w:tc>
        <w:tc>
          <w:tcPr>
            <w:tcW w:w="692"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w:t>
            </w:r>
          </w:p>
        </w:tc>
        <w:tc>
          <w:tcPr>
            <w:tcW w:w="877"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854" w:type="dxa"/>
            <w:vAlign w:val="center"/>
          </w:tcPr>
          <w:p>
            <w:pPr>
              <w:snapToGrid w:val="0"/>
              <w:spacing w:line="240" w:lineRule="atLeast"/>
              <w:jc w:val="center"/>
              <w:rPr>
                <w:rFonts w:ascii="Times New Roman" w:hAnsi="Times New Roman" w:eastAsia="仿宋_GB2312"/>
                <w:color w:val="auto"/>
                <w:szCs w:val="21"/>
                <w:highlight w:val="none"/>
              </w:rPr>
            </w:pPr>
          </w:p>
        </w:tc>
        <w:tc>
          <w:tcPr>
            <w:tcW w:w="650" w:type="dxa"/>
            <w:vAlign w:val="center"/>
          </w:tcPr>
          <w:p>
            <w:pPr>
              <w:snapToGrid w:val="0"/>
              <w:spacing w:line="240" w:lineRule="atLeast"/>
              <w:jc w:val="center"/>
              <w:rPr>
                <w:rFonts w:ascii="Times New Roman" w:hAnsi="Times New Roman" w:eastAsia="仿宋_GB2312"/>
                <w:color w:val="auto"/>
                <w:szCs w:val="21"/>
                <w:highlight w:val="none"/>
              </w:rPr>
            </w:pPr>
          </w:p>
        </w:tc>
        <w:tc>
          <w:tcPr>
            <w:tcW w:w="1080"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693" w:type="dxa"/>
            <w:vAlign w:val="center"/>
          </w:tcPr>
          <w:p>
            <w:pPr>
              <w:snapToGrid w:val="0"/>
              <w:spacing w:line="240" w:lineRule="atLeast"/>
              <w:jc w:val="center"/>
              <w:rPr>
                <w:rFonts w:ascii="Times New Roman" w:hAnsi="Times New Roman" w:eastAsia="仿宋_GB2312"/>
                <w:color w:val="auto"/>
                <w:szCs w:val="21"/>
                <w:highlight w:val="none"/>
              </w:rPr>
            </w:pPr>
          </w:p>
        </w:tc>
        <w:tc>
          <w:tcPr>
            <w:tcW w:w="888"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142"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774"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017" w:type="dxa"/>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333" w:type="dxa"/>
            <w:gridSpan w:val="17"/>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新购置车辆基本情况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785" w:type="dxa"/>
            <w:gridSpan w:val="4"/>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总数（辆）</w:t>
            </w:r>
          </w:p>
        </w:tc>
        <w:tc>
          <w:tcPr>
            <w:tcW w:w="7548" w:type="dxa"/>
            <w:gridSpan w:val="13"/>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16"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序号</w:t>
            </w:r>
          </w:p>
        </w:tc>
        <w:tc>
          <w:tcPr>
            <w:tcW w:w="969"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车牌号码</w:t>
            </w:r>
          </w:p>
        </w:tc>
        <w:tc>
          <w:tcPr>
            <w:tcW w:w="1304"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车辆识别代号</w:t>
            </w:r>
          </w:p>
        </w:tc>
        <w:tc>
          <w:tcPr>
            <w:tcW w:w="1015"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道路运输证号</w:t>
            </w:r>
          </w:p>
        </w:tc>
        <w:tc>
          <w:tcPr>
            <w:tcW w:w="715" w:type="dxa"/>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品牌型号</w:t>
            </w:r>
          </w:p>
        </w:tc>
        <w:tc>
          <w:tcPr>
            <w:tcW w:w="1220"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车辆类型</w:t>
            </w:r>
          </w:p>
          <w:p>
            <w:pPr>
              <w:snapToGrid w:val="0"/>
              <w:spacing w:line="240" w:lineRule="atLeast"/>
              <w:jc w:val="center"/>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注明车轴数</w:t>
            </w:r>
            <w:r>
              <w:rPr>
                <w:rFonts w:hint="eastAsia" w:ascii="Times New Roman" w:hAnsi="Times New Roman" w:eastAsia="仿宋_GB2312"/>
                <w:color w:val="auto"/>
                <w:szCs w:val="21"/>
                <w:highlight w:val="none"/>
                <w:lang w:eastAsia="zh-CN"/>
              </w:rPr>
              <w:t>）</w:t>
            </w:r>
          </w:p>
        </w:tc>
        <w:tc>
          <w:tcPr>
            <w:tcW w:w="1100"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排放阶段</w:t>
            </w:r>
          </w:p>
        </w:tc>
        <w:tc>
          <w:tcPr>
            <w:tcW w:w="911"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新能源类型</w:t>
            </w:r>
          </w:p>
        </w:tc>
        <w:tc>
          <w:tcPr>
            <w:tcW w:w="1283"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注册登记日期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16"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1</w:t>
            </w:r>
          </w:p>
        </w:tc>
        <w:tc>
          <w:tcPr>
            <w:tcW w:w="969"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304"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015"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715" w:type="dxa"/>
            <w:vAlign w:val="center"/>
          </w:tcPr>
          <w:p>
            <w:pPr>
              <w:snapToGrid w:val="0"/>
              <w:spacing w:line="240" w:lineRule="atLeast"/>
              <w:jc w:val="center"/>
              <w:rPr>
                <w:rFonts w:ascii="Times New Roman" w:hAnsi="Times New Roman" w:eastAsia="仿宋_GB2312"/>
                <w:color w:val="auto"/>
                <w:szCs w:val="21"/>
                <w:highlight w:val="none"/>
              </w:rPr>
            </w:pPr>
          </w:p>
        </w:tc>
        <w:tc>
          <w:tcPr>
            <w:tcW w:w="1220"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100"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911"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283" w:type="dxa"/>
            <w:gridSpan w:val="2"/>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16"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2</w:t>
            </w:r>
          </w:p>
        </w:tc>
        <w:tc>
          <w:tcPr>
            <w:tcW w:w="969" w:type="dxa"/>
            <w:gridSpan w:val="2"/>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w:t>
            </w:r>
          </w:p>
        </w:tc>
        <w:tc>
          <w:tcPr>
            <w:tcW w:w="1304"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015"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715" w:type="dxa"/>
            <w:vAlign w:val="center"/>
          </w:tcPr>
          <w:p>
            <w:pPr>
              <w:snapToGrid w:val="0"/>
              <w:spacing w:line="240" w:lineRule="atLeast"/>
              <w:jc w:val="center"/>
              <w:rPr>
                <w:rFonts w:ascii="Times New Roman" w:hAnsi="Times New Roman" w:eastAsia="仿宋_GB2312"/>
                <w:color w:val="auto"/>
                <w:szCs w:val="21"/>
                <w:highlight w:val="none"/>
              </w:rPr>
            </w:pPr>
          </w:p>
        </w:tc>
        <w:tc>
          <w:tcPr>
            <w:tcW w:w="1220"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100"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911" w:type="dxa"/>
            <w:gridSpan w:val="2"/>
            <w:vAlign w:val="center"/>
          </w:tcPr>
          <w:p>
            <w:pPr>
              <w:snapToGrid w:val="0"/>
              <w:spacing w:line="240" w:lineRule="atLeast"/>
              <w:jc w:val="center"/>
              <w:rPr>
                <w:rFonts w:ascii="Times New Roman" w:hAnsi="Times New Roman" w:eastAsia="仿宋_GB2312"/>
                <w:color w:val="auto"/>
                <w:szCs w:val="21"/>
                <w:highlight w:val="none"/>
              </w:rPr>
            </w:pPr>
          </w:p>
        </w:tc>
        <w:tc>
          <w:tcPr>
            <w:tcW w:w="1283" w:type="dxa"/>
            <w:gridSpan w:val="2"/>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16" w:type="dxa"/>
            <w:gridSpan w:val="2"/>
            <w:vMerge w:val="restart"/>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资金构成</w:t>
            </w:r>
          </w:p>
        </w:tc>
        <w:tc>
          <w:tcPr>
            <w:tcW w:w="2273" w:type="dxa"/>
            <w:gridSpan w:val="4"/>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申请资金类型</w:t>
            </w:r>
          </w:p>
        </w:tc>
        <w:tc>
          <w:tcPr>
            <w:tcW w:w="1730" w:type="dxa"/>
            <w:gridSpan w:val="3"/>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补贴标准</w:t>
            </w:r>
          </w:p>
        </w:tc>
        <w:tc>
          <w:tcPr>
            <w:tcW w:w="2320" w:type="dxa"/>
            <w:gridSpan w:val="4"/>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数量（辆）</w:t>
            </w:r>
          </w:p>
        </w:tc>
        <w:tc>
          <w:tcPr>
            <w:tcW w:w="2194" w:type="dxa"/>
            <w:gridSpan w:val="4"/>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申请资金（元）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16" w:type="dxa"/>
            <w:gridSpan w:val="2"/>
            <w:vMerge w:val="continue"/>
            <w:vAlign w:val="center"/>
          </w:tcPr>
          <w:p>
            <w:pPr>
              <w:snapToGrid w:val="0"/>
              <w:spacing w:line="240" w:lineRule="atLeast"/>
              <w:jc w:val="center"/>
              <w:rPr>
                <w:rFonts w:ascii="Times New Roman" w:hAnsi="Times New Roman" w:eastAsia="仿宋_GB2312"/>
                <w:color w:val="auto"/>
                <w:szCs w:val="21"/>
                <w:highlight w:val="none"/>
              </w:rPr>
            </w:pPr>
          </w:p>
        </w:tc>
        <w:tc>
          <w:tcPr>
            <w:tcW w:w="2273" w:type="dxa"/>
            <w:gridSpan w:val="4"/>
            <w:vAlign w:val="center"/>
          </w:tcPr>
          <w:p>
            <w:pPr>
              <w:snapToGrid w:val="0"/>
              <w:spacing w:line="240" w:lineRule="atLeast"/>
              <w:jc w:val="center"/>
              <w:rPr>
                <w:rFonts w:ascii="Times New Roman" w:hAnsi="Times New Roman" w:eastAsia="仿宋_GB2312"/>
                <w:color w:val="auto"/>
                <w:szCs w:val="21"/>
                <w:highlight w:val="none"/>
              </w:rPr>
            </w:pPr>
          </w:p>
        </w:tc>
        <w:tc>
          <w:tcPr>
            <w:tcW w:w="1730" w:type="dxa"/>
            <w:gridSpan w:val="3"/>
            <w:vAlign w:val="center"/>
          </w:tcPr>
          <w:p>
            <w:pPr>
              <w:snapToGrid w:val="0"/>
              <w:spacing w:line="240" w:lineRule="atLeast"/>
              <w:jc w:val="center"/>
              <w:rPr>
                <w:rFonts w:ascii="Times New Roman" w:hAnsi="Times New Roman" w:eastAsia="仿宋_GB2312"/>
                <w:color w:val="auto"/>
                <w:szCs w:val="21"/>
                <w:highlight w:val="none"/>
              </w:rPr>
            </w:pPr>
          </w:p>
        </w:tc>
        <w:tc>
          <w:tcPr>
            <w:tcW w:w="2320" w:type="dxa"/>
            <w:gridSpan w:val="4"/>
            <w:vAlign w:val="center"/>
          </w:tcPr>
          <w:p>
            <w:pPr>
              <w:snapToGrid w:val="0"/>
              <w:spacing w:line="240" w:lineRule="atLeast"/>
              <w:jc w:val="center"/>
              <w:rPr>
                <w:rFonts w:ascii="Times New Roman" w:hAnsi="Times New Roman" w:eastAsia="仿宋_GB2312"/>
                <w:color w:val="auto"/>
                <w:szCs w:val="21"/>
                <w:highlight w:val="none"/>
              </w:rPr>
            </w:pPr>
          </w:p>
        </w:tc>
        <w:tc>
          <w:tcPr>
            <w:tcW w:w="2194" w:type="dxa"/>
            <w:gridSpan w:val="4"/>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16" w:type="dxa"/>
            <w:gridSpan w:val="2"/>
            <w:vMerge w:val="continue"/>
            <w:vAlign w:val="center"/>
          </w:tcPr>
          <w:p>
            <w:pPr>
              <w:snapToGrid w:val="0"/>
              <w:spacing w:line="240" w:lineRule="atLeast"/>
              <w:jc w:val="center"/>
              <w:rPr>
                <w:rFonts w:ascii="Times New Roman" w:hAnsi="Times New Roman" w:eastAsia="仿宋_GB2312"/>
                <w:color w:val="auto"/>
                <w:szCs w:val="21"/>
                <w:highlight w:val="none"/>
              </w:rPr>
            </w:pPr>
          </w:p>
        </w:tc>
        <w:tc>
          <w:tcPr>
            <w:tcW w:w="2273" w:type="dxa"/>
            <w:gridSpan w:val="4"/>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w:t>
            </w:r>
          </w:p>
        </w:tc>
        <w:tc>
          <w:tcPr>
            <w:tcW w:w="1730" w:type="dxa"/>
            <w:gridSpan w:val="3"/>
            <w:vAlign w:val="center"/>
          </w:tcPr>
          <w:p>
            <w:pPr>
              <w:snapToGrid w:val="0"/>
              <w:spacing w:line="240" w:lineRule="atLeast"/>
              <w:jc w:val="center"/>
              <w:rPr>
                <w:rFonts w:ascii="Times New Roman" w:hAnsi="Times New Roman" w:eastAsia="仿宋_GB2312"/>
                <w:color w:val="auto"/>
                <w:szCs w:val="21"/>
                <w:highlight w:val="none"/>
              </w:rPr>
            </w:pPr>
          </w:p>
        </w:tc>
        <w:tc>
          <w:tcPr>
            <w:tcW w:w="2320" w:type="dxa"/>
            <w:gridSpan w:val="4"/>
            <w:vAlign w:val="center"/>
          </w:tcPr>
          <w:p>
            <w:pPr>
              <w:snapToGrid w:val="0"/>
              <w:spacing w:line="240" w:lineRule="atLeast"/>
              <w:jc w:val="center"/>
              <w:rPr>
                <w:rFonts w:ascii="Times New Roman" w:hAnsi="Times New Roman" w:eastAsia="仿宋_GB2312"/>
                <w:color w:val="auto"/>
                <w:szCs w:val="21"/>
                <w:highlight w:val="none"/>
              </w:rPr>
            </w:pPr>
          </w:p>
        </w:tc>
        <w:tc>
          <w:tcPr>
            <w:tcW w:w="2194" w:type="dxa"/>
            <w:gridSpan w:val="4"/>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819" w:type="dxa"/>
            <w:gridSpan w:val="9"/>
            <w:vAlign w:val="center"/>
          </w:tcPr>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申请资金合计（元）</w:t>
            </w:r>
          </w:p>
        </w:tc>
        <w:tc>
          <w:tcPr>
            <w:tcW w:w="4514" w:type="dxa"/>
            <w:gridSpan w:val="8"/>
            <w:vAlign w:val="center"/>
          </w:tcPr>
          <w:p>
            <w:pPr>
              <w:snapToGrid w:val="0"/>
              <w:spacing w:line="240" w:lineRule="atLeast"/>
              <w:jc w:val="center"/>
              <w:rPr>
                <w:rFonts w:ascii="Times New Roman" w:hAnsi="Times New Roman"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9333" w:type="dxa"/>
            <w:gridSpan w:val="17"/>
            <w:vAlign w:val="center"/>
          </w:tcPr>
          <w:p>
            <w:pPr>
              <w:rPr>
                <w:rFonts w:ascii="Times New Roman" w:hAnsi="Times New Roman" w:eastAsia="仿宋_GB2312"/>
                <w:color w:val="auto"/>
                <w:kern w:val="0"/>
                <w:szCs w:val="21"/>
                <w:highlight w:val="none"/>
              </w:rPr>
            </w:pPr>
            <w:r>
              <w:rPr>
                <w:rFonts w:ascii="Times New Roman" w:hAnsi="Times New Roman" w:eastAsia="仿宋_GB2312"/>
                <w:color w:val="auto"/>
                <w:kern w:val="0"/>
                <w:szCs w:val="21"/>
                <w:highlight w:val="none"/>
              </w:rPr>
              <w:t>本人（单位）承诺所填内容真实有效，自愿承担相关法律责任。</w:t>
            </w:r>
          </w:p>
          <w:p>
            <w:pPr>
              <w:rPr>
                <w:rFonts w:ascii="Times New Roman" w:hAnsi="Times New Roman" w:eastAsia="仿宋_GB2312"/>
                <w:color w:val="auto"/>
                <w:kern w:val="0"/>
                <w:szCs w:val="21"/>
                <w:highlight w:val="none"/>
              </w:rPr>
            </w:pPr>
            <w:r>
              <w:rPr>
                <w:rFonts w:ascii="Times New Roman" w:hAnsi="Times New Roman" w:eastAsia="仿宋_GB2312"/>
                <w:color w:val="auto"/>
                <w:kern w:val="0"/>
                <w:szCs w:val="21"/>
                <w:highlight w:val="none"/>
              </w:rPr>
              <w:t xml:space="preserve">申领人（签字或盖章）：                                                </w:t>
            </w:r>
          </w:p>
          <w:p>
            <w:pPr>
              <w:rPr>
                <w:rFonts w:ascii="Times New Roman" w:hAnsi="Times New Roman" w:eastAsia="仿宋_GB2312"/>
                <w:color w:val="auto"/>
                <w:kern w:val="0"/>
                <w:szCs w:val="21"/>
                <w:highlight w:val="none"/>
              </w:rPr>
            </w:pPr>
            <w:r>
              <w:rPr>
                <w:rFonts w:ascii="Times New Roman" w:hAnsi="Times New Roman" w:eastAsia="仿宋_GB2312"/>
                <w:color w:val="auto"/>
                <w:kern w:val="0"/>
                <w:szCs w:val="21"/>
                <w:highlight w:val="none"/>
              </w:rPr>
              <w:t xml:space="preserve">                                                      </w:t>
            </w:r>
          </w:p>
          <w:p>
            <w:pPr>
              <w:snapToGrid w:val="0"/>
              <w:spacing w:line="240" w:lineRule="atLeast"/>
              <w:jc w:val="center"/>
              <w:rPr>
                <w:rFonts w:ascii="Times New Roman" w:hAnsi="Times New Roman" w:eastAsia="仿宋_GB2312"/>
                <w:color w:val="auto"/>
                <w:szCs w:val="21"/>
                <w:highlight w:val="none"/>
              </w:rPr>
            </w:pPr>
            <w:r>
              <w:rPr>
                <w:rFonts w:ascii="Times New Roman" w:hAnsi="Times New Roman" w:eastAsia="仿宋_GB2312"/>
                <w:color w:val="auto"/>
                <w:kern w:val="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333" w:type="dxa"/>
            <w:gridSpan w:val="17"/>
            <w:vAlign w:val="center"/>
          </w:tcPr>
          <w:p>
            <w:pPr>
              <w:jc w:val="both"/>
              <w:rPr>
                <w:rFonts w:hint="eastAsia" w:ascii="Times New Roman" w:hAnsi="Times New Roman" w:eastAsia="仿宋_GB2312"/>
                <w:color w:val="auto"/>
                <w:szCs w:val="21"/>
                <w:highlight w:val="none"/>
                <w:lang w:eastAsia="zh-CN"/>
              </w:rPr>
            </w:pPr>
            <w:r>
              <w:rPr>
                <w:rFonts w:hint="default" w:ascii="Times New Roman" w:hAnsi="Times New Roman" w:eastAsia="仿宋_GB2312" w:cstheme="minorBidi"/>
                <w:color w:val="auto"/>
                <w:kern w:val="2"/>
                <w:sz w:val="21"/>
                <w:szCs w:val="21"/>
                <w:highlight w:val="none"/>
                <w:lang w:bidi="ar"/>
              </w:rPr>
              <w:t>县（市</w:t>
            </w:r>
            <w:r>
              <w:rPr>
                <w:rFonts w:hint="eastAsia" w:ascii="Times New Roman" w:hAnsi="Times New Roman" w:eastAsia="仿宋_GB2312" w:cstheme="minorBidi"/>
                <w:color w:val="auto"/>
                <w:kern w:val="2"/>
                <w:sz w:val="21"/>
                <w:szCs w:val="21"/>
                <w:highlight w:val="none"/>
                <w:lang w:eastAsia="zh-CN" w:bidi="ar"/>
              </w:rPr>
              <w:t>、</w:t>
            </w:r>
            <w:r>
              <w:rPr>
                <w:rFonts w:hint="default" w:ascii="Times New Roman" w:hAnsi="Times New Roman" w:eastAsia="仿宋_GB2312" w:cstheme="minorBidi"/>
                <w:color w:val="auto"/>
                <w:kern w:val="2"/>
                <w:sz w:val="21"/>
                <w:szCs w:val="21"/>
                <w:highlight w:val="none"/>
                <w:lang w:bidi="ar"/>
              </w:rPr>
              <w:t>区）</w:t>
            </w:r>
            <w:r>
              <w:rPr>
                <w:rFonts w:ascii="Times New Roman" w:hAnsi="Times New Roman" w:eastAsia="仿宋_GB2312"/>
                <w:color w:val="auto"/>
                <w:szCs w:val="21"/>
                <w:highlight w:val="none"/>
              </w:rPr>
              <w:t>交通运输主管部门</w:t>
            </w:r>
            <w:r>
              <w:rPr>
                <w:rFonts w:hint="eastAsia" w:ascii="Times New Roman" w:hAnsi="Times New Roman" w:eastAsia="仿宋_GB2312"/>
                <w:color w:val="auto"/>
                <w:szCs w:val="21"/>
                <w:highlight w:val="none"/>
                <w:lang w:eastAsia="zh-CN"/>
              </w:rPr>
              <w:t>意见：</w:t>
            </w:r>
          </w:p>
          <w:p>
            <w:pPr>
              <w:jc w:val="cente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104" w:type="dxa"/>
            <w:gridSpan w:val="8"/>
            <w:vAlign w:val="center"/>
          </w:tcPr>
          <w:p>
            <w:pPr>
              <w:jc w:val="both"/>
              <w:rPr>
                <w:rFonts w:hint="eastAsia" w:ascii="Times New Roman" w:hAnsi="Times New Roman" w:eastAsia="仿宋_GB2312"/>
                <w:color w:val="auto"/>
                <w:szCs w:val="21"/>
                <w:highlight w:val="none"/>
                <w:lang w:eastAsia="zh-CN"/>
              </w:rPr>
            </w:pPr>
            <w:r>
              <w:rPr>
                <w:rFonts w:hint="default" w:ascii="Times New Roman" w:hAnsi="Times New Roman" w:eastAsia="仿宋_GB2312" w:cstheme="minorBidi"/>
                <w:color w:val="auto"/>
                <w:kern w:val="2"/>
                <w:sz w:val="21"/>
                <w:szCs w:val="21"/>
                <w:highlight w:val="none"/>
                <w:lang w:bidi="ar"/>
              </w:rPr>
              <w:t>县（市</w:t>
            </w:r>
            <w:r>
              <w:rPr>
                <w:rFonts w:hint="eastAsia" w:ascii="Times New Roman" w:hAnsi="Times New Roman" w:eastAsia="仿宋_GB2312" w:cstheme="minorBidi"/>
                <w:color w:val="auto"/>
                <w:kern w:val="2"/>
                <w:sz w:val="21"/>
                <w:szCs w:val="21"/>
                <w:highlight w:val="none"/>
                <w:lang w:eastAsia="zh-CN" w:bidi="ar"/>
              </w:rPr>
              <w:t>、</w:t>
            </w:r>
            <w:r>
              <w:rPr>
                <w:rFonts w:hint="default" w:ascii="Times New Roman" w:hAnsi="Times New Roman" w:eastAsia="仿宋_GB2312" w:cstheme="minorBidi"/>
                <w:color w:val="auto"/>
                <w:kern w:val="2"/>
                <w:sz w:val="21"/>
                <w:szCs w:val="21"/>
                <w:highlight w:val="none"/>
                <w:lang w:bidi="ar"/>
              </w:rPr>
              <w:t>区）</w:t>
            </w:r>
            <w:r>
              <w:rPr>
                <w:rFonts w:hint="eastAsia" w:ascii="Times New Roman" w:hAnsi="Times New Roman" w:eastAsia="仿宋_GB2312"/>
                <w:color w:val="auto"/>
                <w:szCs w:val="21"/>
                <w:highlight w:val="none"/>
                <w:lang w:eastAsia="zh-CN"/>
              </w:rPr>
              <w:t>公安</w:t>
            </w:r>
            <w:r>
              <w:rPr>
                <w:rFonts w:ascii="Times New Roman" w:hAnsi="Times New Roman" w:eastAsia="仿宋_GB2312"/>
                <w:color w:val="auto"/>
                <w:szCs w:val="21"/>
                <w:highlight w:val="none"/>
              </w:rPr>
              <w:t>部门意见</w:t>
            </w:r>
            <w:r>
              <w:rPr>
                <w:rFonts w:hint="eastAsia" w:ascii="Times New Roman" w:hAnsi="Times New Roman" w:eastAsia="仿宋_GB2312"/>
                <w:color w:val="auto"/>
                <w:szCs w:val="21"/>
                <w:highlight w:val="none"/>
                <w:lang w:eastAsia="zh-CN"/>
              </w:rPr>
              <w:t>：</w:t>
            </w:r>
          </w:p>
          <w:p>
            <w:pPr>
              <w:ind w:firstLine="1680" w:firstLineChars="800"/>
              <w:jc w:val="both"/>
              <w:rPr>
                <w:rFonts w:ascii="Times New Roman" w:hAnsi="Times New Roman" w:eastAsia="仿宋_GB2312"/>
                <w:color w:val="auto"/>
                <w:szCs w:val="21"/>
                <w:highlight w:val="none"/>
              </w:rPr>
            </w:pPr>
            <w:r>
              <w:rPr>
                <w:rFonts w:ascii="Times New Roman" w:hAnsi="Times New Roman" w:eastAsia="仿宋_GB2312"/>
                <w:color w:val="auto"/>
                <w:szCs w:val="21"/>
                <w:highlight w:val="none"/>
              </w:rPr>
              <w:t>（盖章）</w:t>
            </w:r>
          </w:p>
        </w:tc>
        <w:tc>
          <w:tcPr>
            <w:tcW w:w="5229" w:type="dxa"/>
            <w:gridSpan w:val="9"/>
            <w:vAlign w:val="center"/>
          </w:tcPr>
          <w:p>
            <w:pPr>
              <w:jc w:val="left"/>
              <w:rPr>
                <w:rFonts w:hint="eastAsia" w:ascii="Times New Roman" w:hAnsi="Times New Roman" w:eastAsia="仿宋_GB2312"/>
                <w:color w:val="auto"/>
                <w:szCs w:val="21"/>
                <w:highlight w:val="none"/>
                <w:lang w:eastAsia="zh-CN"/>
              </w:rPr>
            </w:pPr>
            <w:r>
              <w:rPr>
                <w:rFonts w:hint="default" w:ascii="Times New Roman" w:hAnsi="Times New Roman" w:eastAsia="仿宋_GB2312" w:cstheme="minorBidi"/>
                <w:color w:val="auto"/>
                <w:kern w:val="2"/>
                <w:sz w:val="21"/>
                <w:szCs w:val="21"/>
                <w:highlight w:val="none"/>
                <w:lang w:bidi="ar"/>
              </w:rPr>
              <w:t>县（市</w:t>
            </w:r>
            <w:r>
              <w:rPr>
                <w:rFonts w:hint="eastAsia" w:ascii="Times New Roman" w:hAnsi="Times New Roman" w:eastAsia="仿宋_GB2312" w:cstheme="minorBidi"/>
                <w:color w:val="auto"/>
                <w:kern w:val="2"/>
                <w:sz w:val="21"/>
                <w:szCs w:val="21"/>
                <w:highlight w:val="none"/>
                <w:lang w:eastAsia="zh-CN" w:bidi="ar"/>
              </w:rPr>
              <w:t>、</w:t>
            </w:r>
            <w:r>
              <w:rPr>
                <w:rFonts w:hint="default" w:ascii="Times New Roman" w:hAnsi="Times New Roman" w:eastAsia="仿宋_GB2312" w:cstheme="minorBidi"/>
                <w:color w:val="auto"/>
                <w:kern w:val="2"/>
                <w:sz w:val="21"/>
                <w:szCs w:val="21"/>
                <w:highlight w:val="none"/>
                <w:lang w:bidi="ar"/>
              </w:rPr>
              <w:t>区）</w:t>
            </w:r>
            <w:r>
              <w:rPr>
                <w:rFonts w:hint="eastAsia" w:ascii="Times New Roman" w:hAnsi="Times New Roman" w:eastAsia="仿宋_GB2312"/>
                <w:color w:val="auto"/>
                <w:szCs w:val="21"/>
                <w:highlight w:val="none"/>
                <w:lang w:eastAsia="zh-CN"/>
              </w:rPr>
              <w:t>生态</w:t>
            </w:r>
            <w:r>
              <w:rPr>
                <w:rFonts w:ascii="Times New Roman" w:hAnsi="Times New Roman" w:eastAsia="仿宋_GB2312"/>
                <w:color w:val="auto"/>
                <w:szCs w:val="21"/>
                <w:highlight w:val="none"/>
              </w:rPr>
              <w:t>部门意见</w:t>
            </w:r>
            <w:r>
              <w:rPr>
                <w:rFonts w:hint="eastAsia" w:ascii="Times New Roman" w:hAnsi="Times New Roman" w:eastAsia="仿宋_GB2312"/>
                <w:color w:val="auto"/>
                <w:szCs w:val="21"/>
                <w:highlight w:val="none"/>
                <w:lang w:eastAsia="zh-CN"/>
              </w:rPr>
              <w:t>：</w:t>
            </w:r>
          </w:p>
          <w:p>
            <w:pPr>
              <w:jc w:val="center"/>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lang w:val="en-US" w:eastAsia="zh-CN"/>
              </w:rPr>
              <w:t xml:space="preserve">   </w:t>
            </w:r>
            <w:r>
              <w:rPr>
                <w:rFonts w:ascii="Times New Roman" w:hAnsi="Times New Roman" w:eastAsia="仿宋_GB2312"/>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104" w:type="dxa"/>
            <w:gridSpan w:val="8"/>
            <w:vAlign w:val="center"/>
          </w:tcPr>
          <w:p>
            <w:pPr>
              <w:jc w:val="both"/>
              <w:rPr>
                <w:rFonts w:ascii="Times New Roman" w:hAnsi="Times New Roman" w:eastAsia="仿宋_GB2312"/>
                <w:color w:val="auto"/>
                <w:szCs w:val="21"/>
                <w:highlight w:val="none"/>
              </w:rPr>
            </w:pPr>
            <w:r>
              <w:rPr>
                <w:rFonts w:hint="default" w:ascii="Times New Roman" w:hAnsi="Times New Roman" w:eastAsia="仿宋_GB2312" w:cstheme="minorBidi"/>
                <w:color w:val="auto"/>
                <w:kern w:val="2"/>
                <w:sz w:val="21"/>
                <w:szCs w:val="21"/>
                <w:highlight w:val="none"/>
                <w:lang w:bidi="ar"/>
              </w:rPr>
              <w:t>县（市</w:t>
            </w:r>
            <w:r>
              <w:rPr>
                <w:rFonts w:hint="eastAsia" w:ascii="Times New Roman" w:hAnsi="Times New Roman" w:eastAsia="仿宋_GB2312" w:cstheme="minorBidi"/>
                <w:color w:val="auto"/>
                <w:kern w:val="2"/>
                <w:sz w:val="21"/>
                <w:szCs w:val="21"/>
                <w:highlight w:val="none"/>
                <w:lang w:eastAsia="zh-CN" w:bidi="ar"/>
              </w:rPr>
              <w:t>、</w:t>
            </w:r>
            <w:r>
              <w:rPr>
                <w:rFonts w:hint="default" w:ascii="Times New Roman" w:hAnsi="Times New Roman" w:eastAsia="仿宋_GB2312" w:cstheme="minorBidi"/>
                <w:color w:val="auto"/>
                <w:kern w:val="2"/>
                <w:sz w:val="21"/>
                <w:szCs w:val="21"/>
                <w:highlight w:val="none"/>
                <w:lang w:bidi="ar"/>
              </w:rPr>
              <w:t>区）</w:t>
            </w:r>
            <w:r>
              <w:rPr>
                <w:rFonts w:hint="eastAsia" w:ascii="Times New Roman" w:hAnsi="Times New Roman" w:eastAsia="仿宋_GB2312"/>
                <w:color w:val="auto"/>
                <w:szCs w:val="21"/>
                <w:highlight w:val="none"/>
                <w:lang w:eastAsia="zh-CN"/>
              </w:rPr>
              <w:t>商务</w:t>
            </w:r>
            <w:r>
              <w:rPr>
                <w:rFonts w:ascii="Times New Roman" w:hAnsi="Times New Roman" w:eastAsia="仿宋_GB2312"/>
                <w:color w:val="auto"/>
                <w:szCs w:val="21"/>
                <w:highlight w:val="none"/>
              </w:rPr>
              <w:t>部门意见</w:t>
            </w:r>
          </w:p>
          <w:p>
            <w:pPr>
              <w:ind w:firstLine="1680" w:firstLineChars="800"/>
              <w:jc w:val="both"/>
              <w:rPr>
                <w:rFonts w:ascii="Times New Roman" w:hAnsi="Times New Roman" w:eastAsia="仿宋_GB2312"/>
                <w:color w:val="auto"/>
                <w:kern w:val="0"/>
                <w:szCs w:val="21"/>
                <w:highlight w:val="none"/>
              </w:rPr>
            </w:pPr>
            <w:r>
              <w:rPr>
                <w:rFonts w:ascii="Times New Roman" w:hAnsi="Times New Roman" w:eastAsia="仿宋_GB2312"/>
                <w:color w:val="auto"/>
                <w:szCs w:val="21"/>
                <w:highlight w:val="none"/>
              </w:rPr>
              <w:t>（盖章）</w:t>
            </w:r>
          </w:p>
        </w:tc>
        <w:tc>
          <w:tcPr>
            <w:tcW w:w="5229" w:type="dxa"/>
            <w:gridSpan w:val="9"/>
            <w:vAlign w:val="center"/>
          </w:tcPr>
          <w:p>
            <w:pPr>
              <w:jc w:val="both"/>
              <w:rPr>
                <w:rFonts w:hint="eastAsia" w:ascii="Times New Roman" w:hAnsi="Times New Roman" w:eastAsia="仿宋_GB2312"/>
                <w:color w:val="auto"/>
                <w:szCs w:val="21"/>
                <w:highlight w:val="none"/>
                <w:lang w:eastAsia="zh-CN"/>
              </w:rPr>
            </w:pPr>
            <w:r>
              <w:rPr>
                <w:rFonts w:hint="default" w:ascii="Times New Roman" w:hAnsi="Times New Roman" w:eastAsia="仿宋_GB2312" w:cstheme="minorBidi"/>
                <w:color w:val="auto"/>
                <w:kern w:val="2"/>
                <w:sz w:val="21"/>
                <w:szCs w:val="21"/>
                <w:highlight w:val="none"/>
                <w:lang w:bidi="ar"/>
              </w:rPr>
              <w:t>县（市</w:t>
            </w:r>
            <w:r>
              <w:rPr>
                <w:rFonts w:hint="eastAsia" w:ascii="Times New Roman" w:hAnsi="Times New Roman" w:eastAsia="仿宋_GB2312" w:cstheme="minorBidi"/>
                <w:color w:val="auto"/>
                <w:kern w:val="2"/>
                <w:sz w:val="21"/>
                <w:szCs w:val="21"/>
                <w:highlight w:val="none"/>
                <w:lang w:eastAsia="zh-CN" w:bidi="ar"/>
              </w:rPr>
              <w:t>、</w:t>
            </w:r>
            <w:r>
              <w:rPr>
                <w:rFonts w:hint="default" w:ascii="Times New Roman" w:hAnsi="Times New Roman" w:eastAsia="仿宋_GB2312" w:cstheme="minorBidi"/>
                <w:color w:val="auto"/>
                <w:kern w:val="2"/>
                <w:sz w:val="21"/>
                <w:szCs w:val="21"/>
                <w:highlight w:val="none"/>
                <w:lang w:bidi="ar"/>
              </w:rPr>
              <w:t>区）</w:t>
            </w:r>
            <w:r>
              <w:rPr>
                <w:rFonts w:ascii="Times New Roman" w:hAnsi="Times New Roman" w:eastAsia="仿宋_GB2312"/>
                <w:color w:val="auto"/>
                <w:szCs w:val="21"/>
                <w:highlight w:val="none"/>
              </w:rPr>
              <w:t>财政部门</w:t>
            </w:r>
            <w:r>
              <w:rPr>
                <w:rFonts w:hint="eastAsia" w:ascii="Times New Roman" w:hAnsi="Times New Roman" w:eastAsia="仿宋_GB2312"/>
                <w:color w:val="auto"/>
                <w:szCs w:val="21"/>
                <w:highlight w:val="none"/>
                <w:lang w:eastAsia="zh-CN"/>
              </w:rPr>
              <w:t>意见：</w:t>
            </w:r>
          </w:p>
          <w:p>
            <w:pPr>
              <w:jc w:val="center"/>
              <w:rPr>
                <w:rFonts w:ascii="Times New Roman" w:hAnsi="Times New Roman" w:eastAsia="仿宋_GB2312"/>
                <w:color w:val="auto"/>
                <w:kern w:val="0"/>
                <w:szCs w:val="21"/>
                <w:highlight w:val="none"/>
              </w:rPr>
            </w:pPr>
            <w:r>
              <w:rPr>
                <w:rFonts w:ascii="Times New Roman" w:hAnsi="Times New Roman" w:eastAsia="仿宋_GB2312"/>
                <w:color w:val="auto"/>
                <w:szCs w:val="21"/>
                <w:highlight w:val="none"/>
              </w:rPr>
              <w:t>（盖章）</w:t>
            </w:r>
          </w:p>
        </w:tc>
      </w:tr>
    </w:tbl>
    <w:p>
      <w:pPr>
        <w:rPr>
          <w:rFonts w:ascii="Times New Roman" w:hAnsi="Times New Roman" w:eastAsia="仿宋_GB2312"/>
          <w:color w:val="auto"/>
          <w:szCs w:val="21"/>
          <w:highlight w:val="none"/>
        </w:rPr>
      </w:pPr>
      <w:r>
        <w:rPr>
          <w:rFonts w:ascii="Times New Roman" w:hAnsi="Times New Roman" w:eastAsia="仿宋_GB2312"/>
          <w:color w:val="auto"/>
          <w:szCs w:val="21"/>
          <w:highlight w:val="none"/>
        </w:rPr>
        <w:t>注：1.此表一式</w:t>
      </w:r>
      <w:r>
        <w:rPr>
          <w:rFonts w:hint="eastAsia" w:ascii="Times New Roman" w:hAnsi="Times New Roman" w:eastAsia="仿宋_GB2312"/>
          <w:color w:val="auto"/>
          <w:szCs w:val="21"/>
          <w:highlight w:val="none"/>
        </w:rPr>
        <w:t>四</w:t>
      </w:r>
      <w:r>
        <w:rPr>
          <w:rFonts w:ascii="Times New Roman" w:hAnsi="Times New Roman" w:eastAsia="仿宋_GB2312"/>
          <w:color w:val="auto"/>
          <w:szCs w:val="21"/>
          <w:highlight w:val="none"/>
        </w:rPr>
        <w:t>份，市</w:t>
      </w:r>
      <w:r>
        <w:rPr>
          <w:rFonts w:hint="eastAsia" w:ascii="Times New Roman" w:hAnsi="Times New Roman" w:eastAsia="仿宋_GB2312"/>
          <w:color w:val="auto"/>
          <w:szCs w:val="21"/>
          <w:highlight w:val="none"/>
          <w:lang w:eastAsia="zh-CN"/>
        </w:rPr>
        <w:t>、</w:t>
      </w:r>
      <w:r>
        <w:rPr>
          <w:rFonts w:hint="eastAsia" w:ascii="Times New Roman" w:hAnsi="Times New Roman" w:eastAsia="仿宋_GB2312"/>
          <w:color w:val="auto"/>
          <w:szCs w:val="21"/>
          <w:highlight w:val="none"/>
          <w:lang w:val="en-US" w:eastAsia="zh-CN"/>
        </w:rPr>
        <w:t>县</w:t>
      </w:r>
      <w:r>
        <w:rPr>
          <w:rFonts w:ascii="Times New Roman" w:hAnsi="Times New Roman" w:eastAsia="仿宋_GB2312"/>
          <w:color w:val="auto"/>
          <w:szCs w:val="21"/>
          <w:highlight w:val="none"/>
        </w:rPr>
        <w:t>交通运输主管部门、财政部门各留存一份。</w:t>
      </w:r>
    </w:p>
    <w:p>
      <w:pPr>
        <w:widowControl/>
        <w:ind w:firstLine="420"/>
        <w:rPr>
          <w:rFonts w:hint="default"/>
          <w:color w:val="auto"/>
          <w:sz w:val="32"/>
          <w:szCs w:val="32"/>
          <w:highlight w:val="none"/>
        </w:rPr>
      </w:pPr>
      <w:r>
        <w:rPr>
          <w:rFonts w:ascii="Times New Roman" w:hAnsi="Times New Roman" w:eastAsia="仿宋_GB2312"/>
          <w:color w:val="auto"/>
          <w:szCs w:val="21"/>
          <w:highlight w:val="none"/>
        </w:rPr>
        <w:t>2.其中，编号由</w:t>
      </w:r>
      <w:r>
        <w:rPr>
          <w:rFonts w:hint="default" w:ascii="Times New Roman" w:hAnsi="Times New Roman" w:eastAsia="仿宋_GB2312" w:cstheme="minorBidi"/>
          <w:color w:val="auto"/>
          <w:kern w:val="2"/>
          <w:sz w:val="21"/>
          <w:szCs w:val="21"/>
          <w:highlight w:val="none"/>
          <w:lang w:bidi="ar"/>
        </w:rPr>
        <w:t>县（市</w:t>
      </w:r>
      <w:r>
        <w:rPr>
          <w:rFonts w:hint="eastAsia" w:ascii="Times New Roman" w:hAnsi="Times New Roman" w:eastAsia="仿宋_GB2312" w:cstheme="minorBidi"/>
          <w:color w:val="auto"/>
          <w:kern w:val="2"/>
          <w:sz w:val="21"/>
          <w:szCs w:val="21"/>
          <w:highlight w:val="none"/>
          <w:lang w:eastAsia="zh-CN" w:bidi="ar"/>
        </w:rPr>
        <w:t>、</w:t>
      </w:r>
      <w:r>
        <w:rPr>
          <w:rFonts w:hint="default" w:ascii="Times New Roman" w:hAnsi="Times New Roman" w:eastAsia="仿宋_GB2312" w:cstheme="minorBidi"/>
          <w:color w:val="auto"/>
          <w:kern w:val="2"/>
          <w:sz w:val="21"/>
          <w:szCs w:val="21"/>
          <w:highlight w:val="none"/>
          <w:lang w:bidi="ar"/>
        </w:rPr>
        <w:t>区）</w:t>
      </w:r>
      <w:r>
        <w:rPr>
          <w:rFonts w:ascii="Times New Roman" w:hAnsi="Times New Roman" w:eastAsia="仿宋_GB2312"/>
          <w:color w:val="auto"/>
          <w:szCs w:val="21"/>
          <w:highlight w:val="none"/>
        </w:rPr>
        <w:t>交通运输主管部门编制，由</w:t>
      </w:r>
      <w:r>
        <w:rPr>
          <w:rFonts w:hint="eastAsia" w:ascii="Times New Roman" w:hAnsi="Times New Roman" w:eastAsia="仿宋_GB2312" w:cstheme="minorBidi"/>
          <w:color w:val="auto"/>
          <w:kern w:val="2"/>
          <w:sz w:val="21"/>
          <w:szCs w:val="21"/>
          <w:highlight w:val="none"/>
          <w:lang w:val="en-US" w:eastAsia="zh-CN" w:bidi="ar"/>
        </w:rPr>
        <w:t>市县</w:t>
      </w:r>
      <w:r>
        <w:rPr>
          <w:rFonts w:ascii="Times New Roman" w:hAnsi="Times New Roman" w:eastAsia="仿宋_GB2312"/>
          <w:color w:val="auto"/>
          <w:szCs w:val="21"/>
          <w:highlight w:val="none"/>
        </w:rPr>
        <w:t>名称、年代代码（申请年）和6位数字流水号组成，如</w:t>
      </w:r>
      <w:r>
        <w:rPr>
          <w:rFonts w:hint="eastAsia" w:ascii="Times New Roman" w:hAnsi="Times New Roman" w:eastAsia="仿宋_GB2312"/>
          <w:color w:val="auto"/>
          <w:szCs w:val="21"/>
          <w:highlight w:val="none"/>
          <w:lang w:val="en-US" w:eastAsia="zh-CN"/>
        </w:rPr>
        <w:t>绍兴市嵊州市</w:t>
      </w:r>
      <w:r>
        <w:rPr>
          <w:rFonts w:ascii="Times New Roman" w:hAnsi="Times New Roman" w:eastAsia="仿宋_GB2312"/>
          <w:color w:val="auto"/>
          <w:szCs w:val="21"/>
          <w:highlight w:val="none"/>
          <w:shd w:val="clear" w:color="auto" w:fill="FFFFFF"/>
        </w:rPr>
        <w:t>（2024）</w:t>
      </w:r>
      <w:r>
        <w:rPr>
          <w:rFonts w:ascii="Times New Roman" w:hAnsi="Times New Roman" w:eastAsia="仿宋_GB2312"/>
          <w:color w:val="auto"/>
          <w:szCs w:val="21"/>
          <w:highlight w:val="none"/>
        </w:rPr>
        <w:t>000001；报废车辆和新购置车辆基本情况按有关证书及实际情况填写；车辆类型请填写中型或重型；车辆实际使用年限请填写不足11年、满11年不足13年、满13年不足14年。</w:t>
      </w:r>
    </w:p>
    <w:p>
      <w:pPr>
        <w:rPr>
          <w:highlight w:val="none"/>
        </w:rPr>
        <w:sectPr>
          <w:footerReference r:id="rId7" w:type="default"/>
          <w:pgSz w:w="11906" w:h="16838"/>
          <w:pgMar w:top="283" w:right="1800" w:bottom="283" w:left="1800" w:header="851" w:footer="992" w:gutter="0"/>
          <w:pgNumType w:fmt="numberInDash"/>
          <w:cols w:space="0" w:num="1"/>
          <w:rtlGutter w:val="0"/>
          <w:docGrid w:type="lines" w:linePitch="312" w:charSpace="0"/>
        </w:sectPr>
      </w:pPr>
    </w:p>
    <w:p>
      <w:pPr>
        <w:wordWrap w:val="0"/>
        <w:spacing w:line="580" w:lineRule="atLeast"/>
        <w:jc w:val="both"/>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附件3</w:t>
      </w:r>
    </w:p>
    <w:p>
      <w:pPr>
        <w:widowControl/>
        <w:numPr>
          <w:ilvl w:val="0"/>
          <w:numId w:val="0"/>
        </w:numPr>
        <w:jc w:val="center"/>
        <w:rPr>
          <w:rFonts w:hint="default" w:ascii="Times New Roman" w:hAnsi="Times New Roman" w:eastAsia="仿宋_GB2312"/>
          <w:b/>
          <w:bCs/>
          <w:color w:val="auto"/>
          <w:sz w:val="32"/>
          <w:szCs w:val="32"/>
          <w:highlight w:val="none"/>
        </w:rPr>
      </w:pPr>
      <w:r>
        <w:rPr>
          <w:rFonts w:hint="default" w:ascii="Times New Roman" w:hAnsi="Times New Roman" w:eastAsia="仿宋_GB2312"/>
          <w:b/>
          <w:bCs/>
          <w:color w:val="auto"/>
          <w:sz w:val="32"/>
          <w:szCs w:val="32"/>
          <w:highlight w:val="none"/>
        </w:rPr>
        <w:t>绍兴市老旧营运货车报废更新补贴</w:t>
      </w:r>
      <w:r>
        <w:rPr>
          <w:rFonts w:hint="eastAsia" w:ascii="Times New Roman" w:hAnsi="Times New Roman" w:eastAsia="仿宋_GB2312"/>
          <w:b/>
          <w:bCs/>
          <w:color w:val="auto"/>
          <w:sz w:val="32"/>
          <w:szCs w:val="32"/>
          <w:highlight w:val="none"/>
          <w:lang w:eastAsia="zh-CN"/>
        </w:rPr>
        <w:t>建议</w:t>
      </w:r>
      <w:r>
        <w:rPr>
          <w:rFonts w:hint="default" w:ascii="Times New Roman" w:hAnsi="Times New Roman" w:eastAsia="仿宋_GB2312"/>
          <w:b/>
          <w:bCs/>
          <w:color w:val="auto"/>
          <w:sz w:val="32"/>
          <w:szCs w:val="32"/>
          <w:highlight w:val="none"/>
        </w:rPr>
        <w:t>受理点</w:t>
      </w:r>
    </w:p>
    <w:tbl>
      <w:tblPr>
        <w:tblStyle w:val="8"/>
        <w:tblW w:w="14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4"/>
        <w:gridCol w:w="854"/>
        <w:gridCol w:w="2879"/>
        <w:gridCol w:w="2025"/>
        <w:gridCol w:w="1351"/>
        <w:gridCol w:w="1516"/>
        <w:gridCol w:w="1245"/>
        <w:gridCol w:w="1621"/>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区县</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受理点名称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具体地址</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受理点</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负责人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联系电话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工作人员</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联系电话</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受理点工作时间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8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越城区</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越城区交通执法队受理点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越城区育贤东路78号附楼307室</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赵怡筠</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88261701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蒋钧浩</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057588261693</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工作日：8：30-11：30</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14：00-16：30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8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滨海新区</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滨海新区行政审批交通窗口受理点（斗门、马山、沥海、孙端）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滨海新区南滨路98号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应登超</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89297971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张松、余雯沁</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057589297971；057589291210</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工作日：8：30-11：30</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14：00-16：30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柯桥区</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柯桥区交通执法队受理点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柯桥区华舍街道越州大道210号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余岳标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84880229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吴小青、冯樑</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057588376587</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工作日：8：30-11：30</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14：00-16：30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上虞区</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绍兴市上虞区物资再生利用有限公司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上虞区曹娥街道蒿坝石门塘</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徐晖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13505853359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经威</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1386750318</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工作日：8：30-17:00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诸暨市</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诸暨市交通执法队受理点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诸暨市暨东路71号交通运输局1506办公室</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金永亮</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18658538039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钟颖操</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18658538039</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工作日：8：30-11：30</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14：00-16：30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嵊州市</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绍兴市上虞区物资再生利用有限公司嵊州分公司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嵊州市三江街道兴旺街7号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王国江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18067878869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竺沪杰</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057583193358</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工作日：8：30-17:00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嵊州市</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天台县恒源再生资源回收有限公司嵊州分公司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嵊州市剡湖街道禹溪村沙山南面</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徐金松</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15257540565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曾小炜</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13858579880</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作日：8：30-17:00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新昌县</w:t>
            </w:r>
          </w:p>
        </w:tc>
        <w:tc>
          <w:tcPr>
            <w:tcW w:w="2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新昌县交通执法队受理点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新昌县大道西路456号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杨皓乾</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057586336355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张恪菁</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86023591</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工作日：8：30-11：30</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14：00-16：30</w:t>
            </w:r>
          </w:p>
        </w:tc>
      </w:tr>
    </w:tbl>
    <w:p>
      <w:pPr>
        <w:widowControl/>
        <w:numPr>
          <w:ilvl w:val="0"/>
          <w:numId w:val="0"/>
        </w:numPr>
        <w:jc w:val="center"/>
        <w:rPr>
          <w:rFonts w:hint="default" w:ascii="Times New Roman" w:hAnsi="Times New Roman" w:eastAsia="仿宋_GB2312"/>
          <w:b/>
          <w:bCs/>
          <w:color w:val="auto"/>
          <w:sz w:val="32"/>
          <w:szCs w:val="32"/>
          <w:highlight w:val="none"/>
        </w:rPr>
      </w:pPr>
    </w:p>
    <w:p>
      <w:pPr>
        <w:widowControl/>
        <w:numPr>
          <w:ilvl w:val="0"/>
          <w:numId w:val="0"/>
        </w:numPr>
        <w:rPr>
          <w:rFonts w:ascii="Times New Roman" w:hAnsi="Times New Roman" w:eastAsia="仿宋_GB2312"/>
          <w:color w:val="auto"/>
          <w:szCs w:val="21"/>
          <w:highlight w:val="none"/>
        </w:rPr>
      </w:pPr>
    </w:p>
    <w:p>
      <w:pPr>
        <w:rPr>
          <w:highlight w:val="none"/>
        </w:rPr>
      </w:pPr>
    </w:p>
    <w:sectPr>
      <w:pgSz w:w="16838" w:h="11906" w:orient="landscape"/>
      <w:pgMar w:top="1417" w:right="283" w:bottom="567" w:left="1304"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11634"/>
    <w:rsid w:val="08C72834"/>
    <w:rsid w:val="0C682D67"/>
    <w:rsid w:val="111847AA"/>
    <w:rsid w:val="1C7D0F9B"/>
    <w:rsid w:val="2BC63B06"/>
    <w:rsid w:val="30995375"/>
    <w:rsid w:val="30E11634"/>
    <w:rsid w:val="32774835"/>
    <w:rsid w:val="33F1249A"/>
    <w:rsid w:val="3F823448"/>
    <w:rsid w:val="4E331B85"/>
    <w:rsid w:val="57224BF5"/>
    <w:rsid w:val="58DB116A"/>
    <w:rsid w:val="64F86978"/>
    <w:rsid w:val="66897100"/>
    <w:rsid w:val="69D07993"/>
    <w:rsid w:val="74B570B9"/>
    <w:rsid w:val="7A4C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3"/>
      <w:szCs w:val="33"/>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2024-09-05T02:38:00Z</dcterms:created>
  <dc:creator>杨东黎</dc:creator>
  <cp:lastModifiedBy>杨东黎</cp:lastModifiedBy>
  <cp:lastPrinted>2024-09-05T07:38:00Z</cp:lastPrinted>
  <dcterms:modified xsi:type="dcterms:W3CDTF">2024-09-10T04:32:36Z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