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607" w:tblpY="405"/>
        <w:tblOverlap w:val="never"/>
        <w:tblW w:w="0" w:type="auto"/>
        <w:tblInd w:w="0" w:type="dxa"/>
        <w:tblLayout w:type="fixed"/>
        <w:tblCellMar>
          <w:top w:w="0" w:type="dxa"/>
          <w:left w:w="108" w:type="dxa"/>
          <w:bottom w:w="0" w:type="dxa"/>
          <w:right w:w="108" w:type="dxa"/>
        </w:tblCellMar>
      </w:tblPr>
      <w:tblGrid>
        <w:gridCol w:w="7455"/>
        <w:gridCol w:w="1605"/>
      </w:tblGrid>
      <w:tr>
        <w:tblPrEx>
          <w:tblCellMar>
            <w:top w:w="0" w:type="dxa"/>
            <w:left w:w="108" w:type="dxa"/>
            <w:bottom w:w="0" w:type="dxa"/>
            <w:right w:w="108" w:type="dxa"/>
          </w:tblCellMar>
        </w:tblPrEx>
        <w:trPr>
          <w:trHeight w:val="1204" w:hRule="atLeast"/>
          <w:hidden/>
        </w:trPr>
        <w:tc>
          <w:tcPr>
            <w:tcW w:w="7455" w:type="dxa"/>
            <w:noWrap w:val="0"/>
            <w:vAlign w:val="center"/>
          </w:tcPr>
          <w:p>
            <w:pPr>
              <w:adjustRightInd w:val="0"/>
              <w:snapToGrid w:val="0"/>
              <w:spacing w:beforeLines="0" w:afterLines="0"/>
              <w:jc w:val="distribute"/>
              <w:rPr>
                <w:rFonts w:hint="eastAsia" w:ascii="方正小标宋简体" w:hAnsi="方正小标宋简体" w:eastAsia="方正小标宋简体" w:cs="方正小标宋简体"/>
                <w:vanish w:val="0"/>
                <w:color w:val="FF0000"/>
                <w:sz w:val="68"/>
                <w:szCs w:val="72"/>
                <w:lang w:eastAsia="zh-CN"/>
              </w:rPr>
            </w:pPr>
            <w:bookmarkStart w:id="0" w:name="docHead"/>
            <w:r>
              <w:rPr>
                <w:rFonts w:hint="eastAsia" w:ascii="方正小标宋简体" w:hAnsi="方正小标宋简体" w:eastAsia="方正小标宋简体" w:cs="方正小标宋简体"/>
                <w:vanish w:val="0"/>
                <w:color w:val="FF0000"/>
                <w:sz w:val="68"/>
                <w:szCs w:val="72"/>
                <w:lang w:eastAsia="zh-CN"/>
              </w:rPr>
              <w:t>绍兴市财政局</w:t>
            </w:r>
          </w:p>
          <w:p>
            <w:r>
              <w:rPr>
                <w:rFonts w:hint="eastAsia" w:ascii="方正小标宋简体" w:hAnsi="方正小标宋简体" w:eastAsia="方正小标宋简体" w:cs="方正小标宋简体"/>
                <w:vanish w:val="0"/>
                <w:color w:val="FF0000"/>
                <w:sz w:val="68"/>
                <w:szCs w:val="72"/>
                <w:lang w:eastAsia="zh-CN"/>
              </w:rPr>
              <w:t>绍兴市教育局</w:t>
            </w:r>
            <w:bookmarkEnd w:id="0"/>
          </w:p>
          <w:p>
            <w:pPr>
              <w:adjustRightInd w:val="0"/>
              <w:snapToGrid w:val="0"/>
              <w:spacing w:beforeLines="0" w:afterLines="0"/>
              <w:jc w:val="distribute"/>
              <w:rPr>
                <w:rFonts w:hint="eastAsia" w:ascii="方正小标宋简体" w:hAnsi="方正小标宋简体" w:eastAsia="方正小标宋简体" w:cs="方正小标宋简体"/>
                <w:vanish w:val="0"/>
                <w:color w:val="FF0000"/>
                <w:sz w:val="68"/>
                <w:szCs w:val="72"/>
                <w:lang w:eastAsia="zh-CN"/>
              </w:rPr>
            </w:pPr>
          </w:p>
        </w:tc>
        <w:tc>
          <w:tcPr>
            <w:tcW w:w="1605" w:type="dxa"/>
            <w:noWrap w:val="0"/>
            <w:vAlign w:val="center"/>
          </w:tcPr>
          <w:p>
            <w:pPr>
              <w:adjustRightInd w:val="0"/>
              <w:snapToGrid w:val="0"/>
              <w:spacing w:beforeLines="0" w:afterLines="0"/>
              <w:rPr>
                <w:rFonts w:hint="eastAsia" w:ascii="方正小标宋简体" w:hAnsi="方正小标宋简体" w:eastAsia="方正小标宋简体" w:cs="方正小标宋简体"/>
                <w:vanish w:val="0"/>
                <w:color w:val="FF0000"/>
                <w:sz w:val="72"/>
                <w:szCs w:val="72"/>
                <w:lang w:eastAsia="zh-CN"/>
              </w:rPr>
            </w:pPr>
            <w:bookmarkStart w:id="1" w:name="docHeadType"/>
            <w:r>
              <w:rPr>
                <w:rFonts w:hint="eastAsia" w:ascii="方正小标宋简体" w:hAnsi="方正小标宋简体" w:eastAsia="方正小标宋简体" w:cs="方正小标宋简体"/>
                <w:vanish w:val="0"/>
                <w:color w:val="FF0000"/>
                <w:sz w:val="68"/>
                <w:szCs w:val="72"/>
                <w:lang w:eastAsia="zh-CN"/>
              </w:rPr>
              <w:t>文件</w:t>
            </w:r>
            <w:bookmarkEnd w:id="1"/>
          </w:p>
        </w:tc>
      </w:tr>
    </w:tbl>
    <w:p>
      <w:pPr>
        <w:adjustRightInd w:val="0"/>
        <w:snapToGrid w:val="0"/>
        <w:spacing w:beforeLines="0" w:afterLines="0"/>
        <w:jc w:val="both"/>
        <w:rPr>
          <w:rFonts w:hint="eastAsia" w:ascii="华文仿宋" w:hAnsi="华文仿宋" w:eastAsia="华文仿宋" w:cs="华文仿宋"/>
          <w:vanish w:val="0"/>
          <w:sz w:val="32"/>
          <w:szCs w:val="32"/>
        </w:rPr>
      </w:pPr>
      <w:bookmarkStart w:id="2" w:name="filetype2_2"/>
      <w:bookmarkEnd w:id="2"/>
      <w:bookmarkStart w:id="3" w:name="docSendNo"/>
      <w:bookmarkEnd w:id="3"/>
    </w:p>
    <w:p>
      <w:pPr>
        <w:spacing w:line="800" w:lineRule="exact"/>
        <w:jc w:val="center"/>
      </w:pPr>
      <w:r>
        <w:rPr>
          <w:rFonts w:hint="eastAsia" w:ascii="华文仿宋" w:hAnsi="华文仿宋" w:eastAsia="华文仿宋" w:cs="华文仿宋"/>
          <w:vanish w:val="0"/>
          <w:sz w:val="32"/>
          <w:szCs w:val="32"/>
        </w:rPr>
        <w:t xml:space="preserve"> </w:t>
      </w:r>
      <w:bookmarkStart w:id="4" w:name="year2_2"/>
      <w:bookmarkEnd w:id="4"/>
      <w:r>
        <w:rPr>
          <w:rFonts w:hint="eastAsia" w:ascii="华文仿宋" w:hAnsi="华文仿宋" w:eastAsia="华文仿宋" w:cs="华文仿宋"/>
          <w:vanish w:val="0"/>
          <w:sz w:val="32"/>
          <w:szCs w:val="32"/>
          <w:lang w:eastAsia="zh-CN"/>
        </w:rPr>
        <w:t>绍市财教</w:t>
      </w:r>
      <w:r>
        <w:rPr>
          <w:rFonts w:hint="eastAsia" w:ascii="仿宋_GB2312" w:eastAsia="仿宋_GB2312"/>
          <w:sz w:val="32"/>
        </w:rPr>
        <w:t>〔20</w:t>
      </w:r>
      <w:r>
        <w:rPr>
          <w:rFonts w:hint="eastAsia" w:ascii="仿宋_GB2312" w:eastAsia="仿宋_GB2312"/>
          <w:sz w:val="32"/>
          <w:lang w:val="en-US" w:eastAsia="zh-CN"/>
        </w:rPr>
        <w:t>20</w:t>
      </w:r>
      <w:r>
        <w:rPr>
          <w:rFonts w:hint="eastAsia" w:ascii="仿宋_GB2312" w:eastAsia="仿宋_GB2312"/>
          <w:sz w:val="32"/>
        </w:rPr>
        <w:t>〕</w:t>
      </w:r>
      <w:r>
        <w:rPr>
          <w:rFonts w:hint="eastAsia" w:ascii="仿宋_GB2312" w:eastAsia="仿宋_GB2312"/>
          <w:sz w:val="32"/>
          <w:lang w:val="en-US" w:eastAsia="zh-CN"/>
        </w:rPr>
        <w:t>5</w:t>
      </w:r>
      <w:r>
        <w:rPr>
          <w:rFonts w:hint="eastAsia" w:ascii="仿宋_GB2312" w:eastAsia="仿宋_GB2312"/>
          <w:sz w:val="32"/>
        </w:rPr>
        <w:t>号</w:t>
      </w:r>
    </w:p>
    <w:p>
      <w:pPr>
        <w:jc w:val="center"/>
        <w:rPr>
          <w:rFonts w:hint="eastAsia" w:ascii="方正小标宋简体" w:hAnsi="方正小标宋简体" w:eastAsia="方正小标宋简体" w:cs="方正小标宋简体"/>
          <w:sz w:val="44"/>
          <w:szCs w:val="44"/>
        </w:rPr>
      </w:pPr>
      <w:r>
        <mc:AlternateContent>
          <mc:Choice Requires="wps">
            <w:drawing>
              <wp:anchor distT="0" distB="0" distL="114300" distR="114300" simplePos="0" relativeHeight="251659264" behindDoc="0" locked="0" layoutInCell="0" allowOverlap="1">
                <wp:simplePos x="0" y="0"/>
                <wp:positionH relativeFrom="column">
                  <wp:posOffset>-35560</wp:posOffset>
                </wp:positionH>
                <wp:positionV relativeFrom="paragraph">
                  <wp:posOffset>192405</wp:posOffset>
                </wp:positionV>
                <wp:extent cx="5600700" cy="0"/>
                <wp:effectExtent l="0" t="13970" r="7620" b="16510"/>
                <wp:wrapNone/>
                <wp:docPr id="2" name="直接连接符 2"/>
                <wp:cNvGraphicFramePr/>
                <a:graphic xmlns:a="http://schemas.openxmlformats.org/drawingml/2006/main">
                  <a:graphicData uri="http://schemas.microsoft.com/office/word/2010/wordprocessingShape">
                    <wps:wsp>
                      <wps:cNvSp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pt;margin-top:15.15pt;height:0pt;width:441pt;z-index:251659264;mso-width-relative:page;mso-height-relative:page;" filled="f" stroked="t" coordsize="21600,21600" o:allowincell="f" o:gfxdata="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29RFfXAAAACAEAAA8AAAAAAAAAAQAgAAAAIgAAAGRycy9kb3ducmV2LnhtbFBL&#10;AQIUABQAAAAIAIdO4kDbHutu9wEAAOUDAAAOAAAAAAAAAAEAIAAAACYBAABkcnMvZTJvRG9jLnht&#10;bFBLBQYAAAAABgAGAFkBAACPBQAAAAA=&#10;">
                <v:path arrowok="t"/>
                <v:fill on="f" focussize="0,0"/>
                <v:stroke weight="2.25pt" color="#FF0000"/>
                <v:imagedata o:title=""/>
                <o:lock v:ext="edit" grouping="f" rotation="f" text="f" aspectratio="f"/>
              </v:line>
            </w:pict>
          </mc:Fallback>
        </mc:AlternateContent>
      </w:r>
    </w:p>
    <w:p>
      <w:pPr>
        <w:adjustRightInd w:val="0"/>
        <w:snapToGrid w:val="0"/>
        <w:spacing w:line="640" w:lineRule="exact"/>
        <w:jc w:val="center"/>
        <w:rPr>
          <w:rFonts w:hint="eastAsia" w:ascii="方正小标宋简体" w:hAnsi="方正小标宋简体" w:eastAsia="方正小标宋简体" w:cs="方正小标宋简体"/>
          <w:b w:val="0"/>
          <w:bCs/>
          <w:sz w:val="44"/>
          <w:szCs w:val="44"/>
        </w:rPr>
      </w:pPr>
      <w:bookmarkStart w:id="5" w:name="docTitle"/>
      <w:bookmarkStart w:id="8" w:name="_GoBack"/>
      <w:r>
        <w:rPr>
          <w:rFonts w:hint="eastAsia" w:ascii="方正小标宋简体" w:hAnsi="方正小标宋简体" w:eastAsia="方正小标宋简体" w:cs="方正小标宋简体"/>
          <w:b w:val="0"/>
          <w:bCs/>
          <w:sz w:val="44"/>
          <w:szCs w:val="44"/>
          <w:lang w:eastAsia="zh-CN"/>
        </w:rPr>
        <w:t>绍兴市财政局 绍兴市教育局关于印发《绍兴市高等教育内涵建设专项资金使用管理办法(修订)》的通知</w:t>
      </w:r>
      <w:bookmarkEnd w:id="5"/>
      <w:bookmarkEnd w:id="8"/>
      <w:r>
        <w:rPr>
          <w:rFonts w:hint="eastAsia" w:ascii="方正小标宋简体" w:hAnsi="方正小标宋简体" w:eastAsia="宋体" w:cs="方正小标宋简体"/>
          <w:b w:val="0"/>
          <w:bCs/>
          <w:sz w:val="44"/>
          <w:szCs w:val="44"/>
        </w:rPr>
        <w:t xml:space="preserve"> </w:t>
      </w:r>
    </w:p>
    <w:p>
      <w:pPr>
        <w:adjustRightInd w:val="0"/>
        <w:snapToGrid w:val="0"/>
        <w:spacing w:line="640" w:lineRule="exact"/>
        <w:jc w:val="center"/>
        <w:rPr>
          <w:rFonts w:hint="eastAsia" w:ascii="方正小标宋简体" w:hAnsi="方正小标宋简体" w:eastAsia="方正小标宋简体" w:cs="方正小标宋简体"/>
          <w:b/>
          <w:sz w:val="44"/>
          <w:szCs w:val="44"/>
        </w:rPr>
      </w:pPr>
    </w:p>
    <w:p>
      <w:pPr>
        <w:adjustRightInd w:val="0"/>
        <w:snapToGrid w:val="0"/>
        <w:spacing w:beforeLines="0" w:afterLines="0" w:line="640" w:lineRule="exact"/>
        <w:rPr>
          <w:rFonts w:hint="eastAsia" w:ascii="仿宋_GB2312" w:hAnsi="仿宋_GB2312" w:eastAsia="仿宋_GB2312" w:cs="仿宋_GB2312"/>
          <w:sz w:val="32"/>
          <w:szCs w:val="32"/>
        </w:rPr>
      </w:pPr>
      <w:bookmarkStart w:id="6" w:name="mainSend"/>
      <w:r>
        <w:rPr>
          <w:rFonts w:hint="eastAsia" w:ascii="仿宋_GB2312" w:hAnsi="仿宋_GB2312" w:eastAsia="仿宋_GB2312" w:cs="仿宋_GB2312"/>
          <w:sz w:val="32"/>
          <w:szCs w:val="32"/>
          <w:lang w:eastAsia="zh-CN"/>
        </w:rPr>
        <w:t>各区、县（市）财政局</w:t>
      </w:r>
      <w:bookmarkEnd w:id="6"/>
      <w:r>
        <w:rPr>
          <w:rFonts w:hint="eastAsia" w:ascii="仿宋_GB2312" w:hAnsi="仿宋_GB2312" w:eastAsia="仿宋_GB2312" w:cs="仿宋_GB2312"/>
          <w:color w:val="000000"/>
          <w:sz w:val="32"/>
          <w:szCs w:val="32"/>
          <w:lang w:val="en-US" w:eastAsia="zh-CN"/>
        </w:rPr>
        <w:t>、教体局</w:t>
      </w:r>
      <w:r>
        <w:rPr>
          <w:rFonts w:hint="eastAsia" w:ascii="仿宋_GB2312" w:hAnsi="仿宋_GB2312" w:eastAsia="仿宋_GB2312" w:cs="仿宋_GB2312"/>
          <w:color w:val="000000"/>
          <w:sz w:val="32"/>
          <w:szCs w:val="32"/>
        </w:rPr>
        <w:t>，各在绍高校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640" w:lineRule="exact"/>
        <w:ind w:left="0" w:leftChars="0" w:right="0" w:rightChars="0" w:firstLine="640" w:firstLineChars="200"/>
        <w:jc w:val="both"/>
        <w:textAlignment w:val="auto"/>
        <w:outlineLvl w:val="9"/>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val="en-US" w:eastAsia="zh-CN"/>
        </w:rPr>
        <w:t>绍兴市委、市政府</w:t>
      </w:r>
      <w:r>
        <w:rPr>
          <w:rFonts w:hint="eastAsia" w:ascii="仿宋_GB2312" w:hAnsi="仿宋_GB2312" w:eastAsia="仿宋_GB2312" w:cs="仿宋_GB2312"/>
          <w:color w:val="000000"/>
          <w:sz w:val="32"/>
          <w:szCs w:val="32"/>
        </w:rPr>
        <w:t>《关于全面实施高等教育强市战略的意见》（绍市委发〔2019〕32号）</w:t>
      </w:r>
      <w:r>
        <w:rPr>
          <w:rFonts w:hint="eastAsia" w:ascii="仿宋_GB2312" w:hAnsi="仿宋_GB2312" w:eastAsia="仿宋_GB2312" w:cs="仿宋_GB2312"/>
          <w:color w:val="000000"/>
          <w:sz w:val="32"/>
          <w:szCs w:val="32"/>
          <w:lang w:val="en-US" w:eastAsia="zh-CN"/>
        </w:rPr>
        <w:t>精神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我们对原《</w:t>
      </w:r>
      <w:r>
        <w:rPr>
          <w:rFonts w:hint="eastAsia" w:ascii="仿宋_GB2312" w:hAnsi="仿宋_GB2312" w:eastAsia="仿宋_GB2312" w:cs="仿宋_GB2312"/>
          <w:color w:val="000000"/>
          <w:sz w:val="32"/>
          <w:szCs w:val="32"/>
        </w:rPr>
        <w:t>绍兴市高等教育内涵建设专项资金使用管理办法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绍市财行〔20</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进行了修订，</w:t>
      </w:r>
      <w:r>
        <w:rPr>
          <w:rFonts w:hint="eastAsia" w:ascii="仿宋_GB2312" w:hAnsi="仿宋_GB2312" w:eastAsia="仿宋_GB2312" w:cs="仿宋_GB2312"/>
          <w:color w:val="000000"/>
          <w:sz w:val="32"/>
          <w:szCs w:val="32"/>
        </w:rPr>
        <w:t>现将《绍兴市高等教育内涵建设专项资金使用管理办法</w:t>
      </w:r>
      <w:r>
        <w:rPr>
          <w:rFonts w:hint="eastAsia" w:ascii="仿宋_GB2312" w:hAnsi="仿宋_GB2312" w:eastAsia="仿宋_GB2312" w:cs="仿宋_GB2312"/>
          <w:color w:val="000000"/>
          <w:sz w:val="32"/>
          <w:szCs w:val="32"/>
          <w:lang w:eastAsia="zh-CN"/>
        </w:rPr>
        <w:t>（修订）</w:t>
      </w:r>
      <w:r>
        <w:rPr>
          <w:rFonts w:hint="eastAsia" w:ascii="仿宋_GB2312" w:hAnsi="仿宋_GB2312" w:eastAsia="仿宋_GB2312" w:cs="仿宋_GB2312"/>
          <w:color w:val="000000"/>
          <w:sz w:val="32"/>
          <w:szCs w:val="32"/>
        </w:rPr>
        <w:t>》印发给你们，请认真贯彻执行。</w:t>
      </w:r>
    </w:p>
    <w:p>
      <w:pPr>
        <w:keepNext w:val="0"/>
        <w:keepLines w:val="0"/>
        <w:pageBreakBefore w:val="0"/>
        <w:widowControl w:val="0"/>
        <w:kinsoku/>
        <w:wordWrap/>
        <w:overflowPunct/>
        <w:topLinePunct w:val="0"/>
        <w:autoSpaceDE/>
        <w:autoSpaceDN/>
        <w:bidi w:val="0"/>
        <w:adjustRightInd w:val="0"/>
        <w:snapToGrid w:val="0"/>
        <w:spacing w:beforeLines="0" w:afterLines="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绍兴市高等教育内涵建设专项资金使用管理办法</w:t>
      </w:r>
    </w:p>
    <w:p>
      <w:pPr>
        <w:keepNext w:val="0"/>
        <w:keepLines w:val="0"/>
        <w:pageBreakBefore w:val="0"/>
        <w:widowControl w:val="0"/>
        <w:kinsoku/>
        <w:wordWrap/>
        <w:overflowPunct/>
        <w:topLinePunct w:val="0"/>
        <w:autoSpaceDE/>
        <w:autoSpaceDN/>
        <w:bidi w:val="0"/>
        <w:adjustRightInd w:val="0"/>
        <w:snapToGrid w:val="0"/>
        <w:spacing w:beforeLines="0" w:afterLines="0" w:line="640" w:lineRule="exact"/>
        <w:ind w:left="0" w:leftChars="0" w:right="0" w:rightChars="0" w:firstLine="1600" w:firstLineChars="5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（修订）》</w:t>
      </w:r>
    </w:p>
    <w:p>
      <w:pPr>
        <w:keepNext w:val="0"/>
        <w:keepLines w:val="0"/>
        <w:pageBreakBefore w:val="0"/>
        <w:widowControl w:val="0"/>
        <w:kinsoku/>
        <w:wordWrap/>
        <w:overflowPunct/>
        <w:topLinePunct w:val="0"/>
        <w:autoSpaceDE/>
        <w:autoSpaceDN/>
        <w:bidi w:val="0"/>
        <w:adjustRightInd w:val="0"/>
        <w:snapToGrid w:val="0"/>
        <w:spacing w:beforeLines="0" w:afterLines="0" w:line="640" w:lineRule="exact"/>
        <w:ind w:left="0" w:leftChars="0" w:right="0" w:rightChars="0" w:firstLine="640" w:firstLineChars="200"/>
        <w:jc w:val="both"/>
        <w:textAlignment w:val="auto"/>
        <w:outlineLvl w:val="9"/>
        <w:rPr>
          <w:rFonts w:hint="eastAsia" w:ascii="仿宋_GB2312" w:hAnsi="宋体" w:eastAsia="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640" w:lineRule="exact"/>
        <w:ind w:left="0" w:leftChars="0" w:right="0" w:rightChars="0" w:firstLine="640" w:firstLineChars="200"/>
        <w:jc w:val="both"/>
        <w:textAlignment w:val="auto"/>
        <w:outlineLvl w:val="9"/>
        <w:rPr>
          <w:rFonts w:hint="eastAsia" w:ascii="仿宋_GB2312" w:hAnsi="宋体" w:eastAsia="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640" w:lineRule="exact"/>
        <w:ind w:left="0" w:leftChars="0" w:right="0" w:rightChars="0" w:firstLine="640" w:firstLineChars="200"/>
        <w:jc w:val="both"/>
        <w:textAlignment w:val="auto"/>
        <w:outlineLvl w:val="9"/>
        <w:rPr>
          <w:rFonts w:hint="eastAsia" w:ascii="仿宋_GB2312" w:hAnsi="宋体" w:eastAsia="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640" w:lineRule="exact"/>
        <w:ind w:left="0" w:leftChars="0" w:right="0" w:rightChars="0" w:firstLine="0" w:firstLineChars="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绍兴市财政局               绍兴市教育局</w:t>
      </w:r>
    </w:p>
    <w:p>
      <w:pPr>
        <w:keepNext w:val="0"/>
        <w:keepLines w:val="0"/>
        <w:pageBreakBefore w:val="0"/>
        <w:widowControl w:val="0"/>
        <w:kinsoku/>
        <w:wordWrap/>
        <w:overflowPunct/>
        <w:topLinePunct w:val="0"/>
        <w:autoSpaceDE/>
        <w:autoSpaceDN/>
        <w:bidi w:val="0"/>
        <w:adjustRightInd w:val="0"/>
        <w:snapToGrid w:val="0"/>
        <w:spacing w:beforeLines="0" w:afterLines="0" w:line="640" w:lineRule="exact"/>
        <w:ind w:left="0" w:leftChars="0" w:right="0" w:rightChars="0" w:firstLine="5440" w:firstLineChars="17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2020年10月27日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adjustRightInd w:val="0"/>
        <w:snapToGrid w:val="0"/>
        <w:spacing w:beforeLines="0" w:afterLines="0" w:line="560" w:lineRule="exact"/>
        <w:jc w:val="both"/>
        <w:rPr>
          <w:rFonts w:hint="eastAsia" w:ascii="方正小标宋简体" w:hAnsi="方正小标宋简体" w:eastAsia="方正小标宋简体" w:cs="方正小标宋简体"/>
          <w:b w:val="0"/>
          <w:bCs/>
          <w:color w:val="000000"/>
          <w:spacing w:val="-11"/>
          <w:sz w:val="36"/>
          <w:szCs w:val="44"/>
          <w:lang w:eastAsia="zh-CN"/>
        </w:rPr>
      </w:pPr>
      <w:r>
        <w:rPr>
          <w:rFonts w:hint="eastAsia" w:ascii="仿宋_GB2312" w:eastAsia="仿宋_GB2312"/>
          <w:sz w:val="32"/>
          <w:szCs w:val="32"/>
        </w:rPr>
        <w:br w:type="page"/>
      </w:r>
      <w:r>
        <w:rPr>
          <w:rFonts w:hint="eastAsia" w:ascii="黑体" w:hAnsi="黑体" w:eastAsia="黑体" w:cs="黑体"/>
          <w:b w:val="0"/>
          <w:bCs/>
          <w:color w:val="000000"/>
          <w:spacing w:val="-11"/>
          <w:sz w:val="32"/>
          <w:szCs w:val="32"/>
          <w:lang w:eastAsia="zh-CN"/>
        </w:rPr>
        <w:t>附件</w:t>
      </w:r>
    </w:p>
    <w:p>
      <w:pPr>
        <w:adjustRightInd w:val="0"/>
        <w:snapToGrid w:val="0"/>
        <w:spacing w:beforeLines="0" w:afterLines="0" w:line="560" w:lineRule="exact"/>
        <w:jc w:val="center"/>
        <w:rPr>
          <w:rFonts w:hint="eastAsia" w:ascii="方正小标宋简体" w:hAnsi="方正小标宋简体" w:eastAsia="方正小标宋简体" w:cs="方正小标宋简体"/>
          <w:b w:val="0"/>
          <w:bCs/>
          <w:color w:val="000000"/>
          <w:spacing w:val="-11"/>
          <w:sz w:val="44"/>
          <w:szCs w:val="44"/>
        </w:rPr>
      </w:pPr>
      <w:r>
        <w:rPr>
          <w:rFonts w:hint="eastAsia" w:ascii="方正小标宋简体" w:hAnsi="方正小标宋简体" w:eastAsia="方正小标宋简体" w:cs="方正小标宋简体"/>
          <w:b w:val="0"/>
          <w:bCs/>
          <w:color w:val="000000"/>
          <w:spacing w:val="-11"/>
          <w:sz w:val="44"/>
          <w:szCs w:val="44"/>
        </w:rPr>
        <w:t>绍兴市高等教育内涵建设专项资金</w:t>
      </w:r>
    </w:p>
    <w:p>
      <w:pPr>
        <w:adjustRightInd w:val="0"/>
        <w:snapToGrid w:val="0"/>
        <w:spacing w:beforeLines="0" w:afterLines="0" w:line="560" w:lineRule="exact"/>
        <w:jc w:val="center"/>
        <w:rPr>
          <w:rFonts w:hint="eastAsia" w:ascii="方正小标宋简体" w:hAnsi="方正小标宋简体" w:eastAsia="方正小标宋简体" w:cs="方正小标宋简体"/>
          <w:b w:val="0"/>
          <w:bCs/>
          <w:color w:val="000000"/>
          <w:spacing w:val="-11"/>
          <w:sz w:val="44"/>
          <w:szCs w:val="44"/>
        </w:rPr>
      </w:pPr>
      <w:r>
        <w:rPr>
          <w:rFonts w:hint="eastAsia" w:ascii="方正小标宋简体" w:hAnsi="方正小标宋简体" w:eastAsia="方正小标宋简体" w:cs="方正小标宋简体"/>
          <w:b w:val="0"/>
          <w:bCs/>
          <w:color w:val="000000"/>
          <w:spacing w:val="-11"/>
          <w:sz w:val="44"/>
          <w:szCs w:val="44"/>
        </w:rPr>
        <w:t>使用管理办法（修订）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center"/>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center"/>
        <w:textAlignment w:val="auto"/>
        <w:outlineLvl w:val="9"/>
        <w:rPr>
          <w:rFonts w:hint="eastAsia" w:ascii="黑体" w:hAnsi="黑体" w:eastAsia="黑体" w:cs="黑体"/>
          <w:b/>
          <w:bCs/>
          <w:color w:val="000000"/>
          <w:sz w:val="32"/>
          <w:szCs w:val="32"/>
        </w:rPr>
      </w:pPr>
      <w:r>
        <w:rPr>
          <w:rFonts w:hint="eastAsia" w:ascii="黑体" w:hAnsi="黑体" w:eastAsia="黑体" w:cs="黑体"/>
          <w:color w:val="000000"/>
          <w:sz w:val="32"/>
          <w:szCs w:val="32"/>
        </w:rPr>
        <w:t xml:space="preserve">第一章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eastAsia" w:ascii="仿宋_GB2312" w:hAnsi="仿宋_GB2312" w:eastAsia="仿宋_GB2312" w:cs="仿宋_GB2312"/>
          <w:b/>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第一条  </w:t>
      </w:r>
      <w:r>
        <w:rPr>
          <w:rFonts w:hint="eastAsia" w:ascii="仿宋_GB2312" w:hAnsi="仿宋_GB2312" w:eastAsia="仿宋_GB2312" w:cs="仿宋_GB2312"/>
          <w:color w:val="000000"/>
          <w:sz w:val="32"/>
          <w:szCs w:val="32"/>
        </w:rPr>
        <w:t>为加强和规范高等教育内涵建设专项资金（以下简称“专项资金”）管理，提高资金使用</w:t>
      </w:r>
      <w:r>
        <w:rPr>
          <w:rFonts w:hint="eastAsia" w:ascii="仿宋_GB2312" w:hAnsi="仿宋_GB2312" w:eastAsia="仿宋_GB2312" w:cs="仿宋_GB2312"/>
          <w:color w:val="000000"/>
          <w:sz w:val="32"/>
          <w:szCs w:val="32"/>
          <w:lang w:eastAsia="zh-CN"/>
        </w:rPr>
        <w:t>绩</w:t>
      </w:r>
      <w:r>
        <w:rPr>
          <w:rFonts w:hint="eastAsia" w:ascii="仿宋_GB2312" w:hAnsi="仿宋_GB2312" w:eastAsia="仿宋_GB2312" w:cs="仿宋_GB2312"/>
          <w:color w:val="000000"/>
          <w:sz w:val="32"/>
          <w:szCs w:val="32"/>
        </w:rPr>
        <w:t xml:space="preserve">效，特制定本办法。  </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3"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000000"/>
          <w:sz w:val="32"/>
          <w:szCs w:val="32"/>
        </w:rPr>
        <w:t xml:space="preserve">第二条  </w:t>
      </w:r>
      <w:r>
        <w:rPr>
          <w:rFonts w:hint="eastAsia" w:ascii="仿宋_GB2312" w:hAnsi="仿宋_GB2312" w:eastAsia="仿宋_GB2312" w:cs="仿宋_GB2312"/>
          <w:b w:val="0"/>
          <w:bCs w:val="0"/>
          <w:color w:val="auto"/>
          <w:sz w:val="32"/>
          <w:szCs w:val="32"/>
        </w:rPr>
        <w:t>专项资金来源主要为财政专项拨款，其中，市财政负责越城区行政区域内（含滨海新区）高校的内涵建设资金，并实行内涵建设资金增长机制，按照三年一定的原则，</w:t>
      </w:r>
      <w:r>
        <w:rPr>
          <w:rFonts w:hint="eastAsia" w:ascii="仿宋_GB2312" w:hAnsi="仿宋_GB2312" w:eastAsia="仿宋_GB2312" w:cs="仿宋_GB2312"/>
          <w:b w:val="0"/>
          <w:bCs w:val="0"/>
          <w:color w:val="auto"/>
          <w:sz w:val="32"/>
          <w:szCs w:val="32"/>
          <w:lang w:val="en-US" w:eastAsia="zh-CN"/>
        </w:rPr>
        <w:t>在原600万专项资金基础上</w:t>
      </w:r>
      <w:r>
        <w:rPr>
          <w:rFonts w:hint="eastAsia" w:ascii="仿宋_GB2312" w:hAnsi="仿宋_GB2312" w:eastAsia="仿宋_GB2312" w:cs="仿宋_GB2312"/>
          <w:b w:val="0"/>
          <w:bCs w:val="0"/>
          <w:color w:val="auto"/>
          <w:sz w:val="32"/>
          <w:szCs w:val="32"/>
        </w:rPr>
        <w:t>每年增长20%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三年周期满后，未调整专项资金增幅前，按第三年基数执行。其中，用于市级内涵项目培育的资金不高于专项资金总量的70%。</w:t>
      </w:r>
      <w:r>
        <w:rPr>
          <w:rFonts w:hint="eastAsia" w:ascii="仿宋_GB2312" w:hAnsi="仿宋_GB2312" w:eastAsia="仿宋_GB2312" w:cs="仿宋_GB2312"/>
          <w:b w:val="0"/>
          <w:bCs w:val="0"/>
          <w:color w:val="auto"/>
          <w:sz w:val="32"/>
          <w:szCs w:val="32"/>
          <w:highlight w:val="none"/>
        </w:rPr>
        <w:t>其他属地区（县、市）负责落实本区域内引进高校的内涵建设资金。</w:t>
      </w:r>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第三条  </w:t>
      </w:r>
      <w:r>
        <w:rPr>
          <w:rFonts w:hint="eastAsia" w:ascii="仿宋_GB2312" w:hAnsi="仿宋_GB2312" w:eastAsia="仿宋_GB2312" w:cs="仿宋_GB2312"/>
          <w:sz w:val="32"/>
          <w:szCs w:val="32"/>
        </w:rPr>
        <w:t>专项资金</w:t>
      </w:r>
      <w:r>
        <w:rPr>
          <w:rFonts w:hint="eastAsia" w:ascii="仿宋_GB2312" w:hAnsi="仿宋_GB2312" w:eastAsia="仿宋_GB2312" w:cs="仿宋_GB2312"/>
          <w:color w:val="000000"/>
          <w:sz w:val="32"/>
          <w:szCs w:val="32"/>
        </w:rPr>
        <w:t>主要用于硕士点建设、重点学科（专业）建设、产教融合示范基地、教育教学改革项目、精品在线课程建设、高等教育教学成果奖、高校德育创新成果奖、大学生学科技能竞赛基地建设等8个类别。</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第四条  </w:t>
      </w:r>
      <w:r>
        <w:rPr>
          <w:rFonts w:hint="eastAsia" w:ascii="仿宋_GB2312" w:hAnsi="仿宋_GB2312" w:eastAsia="仿宋_GB2312" w:cs="仿宋_GB2312"/>
          <w:color w:val="000000"/>
          <w:sz w:val="32"/>
          <w:szCs w:val="32"/>
        </w:rPr>
        <w:t>专项资金遵循“公平竞争、择优立项；总体规划、分年实施；</w:t>
      </w:r>
      <w:r>
        <w:rPr>
          <w:rFonts w:hint="eastAsia" w:ascii="仿宋_GB2312" w:hAnsi="仿宋_GB2312" w:eastAsia="仿宋_GB2312" w:cs="仿宋_GB2312"/>
          <w:sz w:val="32"/>
          <w:szCs w:val="32"/>
          <w:lang w:eastAsia="zh-CN"/>
        </w:rPr>
        <w:t>培育为主、激励并重；</w:t>
      </w:r>
      <w:r>
        <w:rPr>
          <w:rFonts w:hint="eastAsia" w:ascii="仿宋_GB2312" w:hAnsi="仿宋_GB2312" w:eastAsia="仿宋_GB2312" w:cs="仿宋_GB2312"/>
          <w:sz w:val="32"/>
          <w:szCs w:val="32"/>
        </w:rPr>
        <w:t>绩效</w:t>
      </w:r>
      <w:r>
        <w:rPr>
          <w:rFonts w:hint="eastAsia" w:ascii="仿宋_GB2312" w:hAnsi="仿宋_GB2312" w:eastAsia="仿宋_GB2312" w:cs="仿宋_GB2312"/>
          <w:sz w:val="32"/>
          <w:szCs w:val="32"/>
          <w:lang w:eastAsia="zh-CN"/>
        </w:rPr>
        <w:t>优先、动态调整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管放结合、科学管理</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的原则，对专项资金支持的项目进行统一跟踪管理。</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0" w:firstLineChars="200"/>
        <w:jc w:val="center"/>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0" w:firstLineChars="200"/>
        <w:jc w:val="center"/>
        <w:textAlignment w:val="auto"/>
        <w:outlineLvl w:val="9"/>
        <w:rPr>
          <w:rFonts w:hint="eastAsia" w:ascii="黑体" w:hAnsi="黑体" w:eastAsia="黑体" w:cs="黑体"/>
          <w:b/>
          <w:color w:val="000000"/>
          <w:sz w:val="32"/>
          <w:szCs w:val="32"/>
        </w:rPr>
      </w:pPr>
      <w:r>
        <w:rPr>
          <w:rFonts w:hint="eastAsia" w:ascii="黑体" w:hAnsi="黑体" w:eastAsia="黑体" w:cs="黑体"/>
          <w:color w:val="000000"/>
          <w:sz w:val="32"/>
          <w:szCs w:val="32"/>
        </w:rPr>
        <w:t xml:space="preserve">第二章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使用管理</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31" w:rightChars="15" w:firstLine="643" w:firstLineChars="200"/>
        <w:textAlignment w:val="auto"/>
        <w:outlineLvl w:val="9"/>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31" w:rightChars="15"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第五条  </w:t>
      </w:r>
      <w:r>
        <w:rPr>
          <w:rFonts w:hint="eastAsia" w:ascii="仿宋_GB2312" w:hAnsi="仿宋_GB2312" w:eastAsia="仿宋_GB2312" w:cs="仿宋_GB2312"/>
          <w:color w:val="auto"/>
          <w:sz w:val="32"/>
          <w:szCs w:val="32"/>
        </w:rPr>
        <w:t>专项资金各项目经费分配额度:</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（一）硕士学位点建设：对新增硕士学位培育建设学科给予每年20万元的扶持资金，扶持年限为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对新审批设立的硕士学位点给予一次性奖励</w:t>
      </w:r>
      <w:r>
        <w:rPr>
          <w:rFonts w:hint="eastAsia" w:ascii="仿宋_GB2312" w:hAnsi="仿宋_GB2312" w:eastAsia="仿宋_GB2312" w:cs="仿宋_GB2312"/>
          <w:color w:val="auto"/>
          <w:sz w:val="32"/>
          <w:szCs w:val="32"/>
          <w:lang w:val="en-US" w:eastAsia="zh-CN"/>
        </w:rPr>
        <w:t>30万元。</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（二）重点学科（专业）建设：市级建设周期为五年,文科类每年资助15万元、理科类（含经济类）每年资助20万元、工科类每年资助25万元。</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当年度评上</w:t>
      </w:r>
      <w:r>
        <w:rPr>
          <w:rFonts w:hint="eastAsia" w:ascii="仿宋_GB2312" w:hAnsi="仿宋_GB2312" w:eastAsia="仿宋_GB2312" w:cs="仿宋_GB2312"/>
          <w:color w:val="auto"/>
          <w:sz w:val="32"/>
          <w:szCs w:val="32"/>
        </w:rPr>
        <w:t>省级一流学科（A）一次性资助</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rPr>
        <w:t>；省级一流学科（B）一次性资助</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rPr>
        <w:t>；对教育部国家学科评估结果属于</w:t>
      </w: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rPr>
        <w:t>、B档次的，分别予以一次性资助</w:t>
      </w:r>
      <w:r>
        <w:rPr>
          <w:rFonts w:hint="eastAsia" w:ascii="仿宋_GB2312" w:hAnsi="仿宋_GB2312" w:eastAsia="仿宋_GB2312" w:cs="仿宋_GB2312"/>
          <w:color w:val="auto"/>
          <w:sz w:val="32"/>
          <w:szCs w:val="32"/>
          <w:lang w:val="en-US" w:eastAsia="zh-CN"/>
        </w:rPr>
        <w:t>80万元、30万元</w:t>
      </w:r>
      <w:r>
        <w:rPr>
          <w:rFonts w:hint="eastAsia" w:ascii="仿宋_GB2312" w:hAnsi="仿宋_GB2312" w:eastAsia="仿宋_GB2312" w:cs="仿宋_GB2312"/>
          <w:color w:val="auto"/>
          <w:sz w:val="32"/>
          <w:szCs w:val="32"/>
          <w:lang w:eastAsia="zh-CN"/>
        </w:rPr>
        <w:t>；对国家一流学科</w:t>
      </w:r>
      <w:r>
        <w:rPr>
          <w:rFonts w:hint="eastAsia" w:ascii="仿宋_GB2312" w:hAnsi="仿宋_GB2312" w:eastAsia="仿宋_GB2312" w:cs="仿宋_GB2312"/>
          <w:color w:val="auto"/>
          <w:sz w:val="32"/>
          <w:szCs w:val="32"/>
        </w:rPr>
        <w:t>一次性资助</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元。</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eastAsia="zh-CN"/>
        </w:rPr>
        <w:t>被评为</w:t>
      </w:r>
      <w:r>
        <w:rPr>
          <w:rFonts w:hint="eastAsia" w:ascii="仿宋_GB2312" w:hAnsi="仿宋_GB2312" w:eastAsia="仿宋_GB2312" w:cs="仿宋_GB2312"/>
          <w:color w:val="auto"/>
          <w:sz w:val="32"/>
          <w:szCs w:val="32"/>
          <w:lang w:val="en-US" w:eastAsia="zh-CN"/>
        </w:rPr>
        <w:t>省级一流（</w:t>
      </w:r>
      <w:r>
        <w:rPr>
          <w:rFonts w:hint="eastAsia" w:ascii="仿宋_GB2312" w:hAnsi="仿宋_GB2312" w:eastAsia="仿宋_GB2312" w:cs="仿宋_GB2312"/>
          <w:color w:val="auto"/>
          <w:sz w:val="32"/>
          <w:szCs w:val="32"/>
        </w:rPr>
        <w:t>优势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专业</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一次性资助</w:t>
      </w: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万</w:t>
      </w:r>
      <w:r>
        <w:rPr>
          <w:rFonts w:hint="eastAsia" w:ascii="仿宋_GB2312" w:hAnsi="仿宋_GB2312" w:eastAsia="仿宋_GB2312" w:cs="仿宋_GB2312"/>
          <w:b w:val="0"/>
          <w:bCs w:val="0"/>
          <w:color w:val="auto"/>
          <w:sz w:val="32"/>
          <w:szCs w:val="32"/>
          <w:lang w:eastAsia="zh-CN"/>
        </w:rPr>
        <w:t>元</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被评为</w:t>
      </w:r>
      <w:r>
        <w:rPr>
          <w:rFonts w:hint="eastAsia" w:ascii="仿宋_GB2312" w:hAnsi="仿宋_GB2312" w:eastAsia="仿宋_GB2312" w:cs="仿宋_GB2312"/>
          <w:b w:val="0"/>
          <w:bCs w:val="0"/>
          <w:color w:val="auto"/>
          <w:sz w:val="32"/>
          <w:szCs w:val="32"/>
        </w:rPr>
        <w:t>省</w:t>
      </w:r>
      <w:r>
        <w:rPr>
          <w:rFonts w:hint="eastAsia" w:ascii="仿宋_GB2312" w:hAnsi="仿宋_GB2312" w:eastAsia="仿宋_GB2312" w:cs="仿宋_GB2312"/>
          <w:b w:val="0"/>
          <w:bCs w:val="0"/>
          <w:color w:val="auto"/>
          <w:sz w:val="32"/>
          <w:szCs w:val="32"/>
          <w:lang w:eastAsia="zh-CN"/>
        </w:rPr>
        <w:t>特色</w:t>
      </w:r>
      <w:r>
        <w:rPr>
          <w:rFonts w:hint="eastAsia" w:ascii="仿宋_GB2312" w:hAnsi="仿宋_GB2312" w:eastAsia="仿宋_GB2312" w:cs="仿宋_GB2312"/>
          <w:b w:val="0"/>
          <w:bCs w:val="0"/>
          <w:color w:val="auto"/>
          <w:sz w:val="32"/>
          <w:szCs w:val="32"/>
        </w:rPr>
        <w:t>专业</w:t>
      </w:r>
      <w:r>
        <w:rPr>
          <w:rFonts w:hint="eastAsia" w:ascii="仿宋_GB2312" w:hAnsi="仿宋_GB2312" w:eastAsia="仿宋_GB2312" w:cs="仿宋_GB2312"/>
          <w:b w:val="0"/>
          <w:bCs w:val="0"/>
          <w:color w:val="auto"/>
          <w:sz w:val="32"/>
          <w:szCs w:val="32"/>
          <w:lang w:val="en-US" w:eastAsia="zh-CN"/>
        </w:rPr>
        <w:t>A、B类</w:t>
      </w:r>
      <w:r>
        <w:rPr>
          <w:rFonts w:hint="eastAsia" w:ascii="仿宋_GB2312" w:hAnsi="仿宋_GB2312" w:eastAsia="仿宋_GB2312" w:cs="仿宋_GB2312"/>
          <w:b w:val="0"/>
          <w:bCs w:val="0"/>
          <w:color w:val="auto"/>
          <w:sz w:val="32"/>
          <w:szCs w:val="32"/>
          <w:lang w:eastAsia="zh-CN"/>
        </w:rPr>
        <w:t>的，分别予以</w:t>
      </w:r>
      <w:r>
        <w:rPr>
          <w:rFonts w:hint="eastAsia" w:ascii="仿宋_GB2312" w:hAnsi="仿宋_GB2312" w:eastAsia="仿宋_GB2312" w:cs="仿宋_GB2312"/>
          <w:b w:val="0"/>
          <w:bCs w:val="0"/>
          <w:color w:val="auto"/>
          <w:sz w:val="32"/>
          <w:szCs w:val="32"/>
        </w:rPr>
        <w:t>一次性资助</w:t>
      </w:r>
      <w:r>
        <w:rPr>
          <w:rFonts w:hint="eastAsia" w:ascii="仿宋_GB2312" w:hAnsi="仿宋_GB2312" w:eastAsia="仿宋_GB2312" w:cs="仿宋_GB2312"/>
          <w:b w:val="0"/>
          <w:bCs w:val="0"/>
          <w:color w:val="auto"/>
          <w:sz w:val="32"/>
          <w:szCs w:val="32"/>
          <w:lang w:val="en-US" w:eastAsia="zh-CN"/>
        </w:rPr>
        <w:t>15</w:t>
      </w:r>
      <w:r>
        <w:rPr>
          <w:rFonts w:hint="eastAsia" w:ascii="仿宋_GB2312" w:hAnsi="仿宋_GB2312" w:eastAsia="仿宋_GB2312" w:cs="仿宋_GB2312"/>
          <w:b w:val="0"/>
          <w:bCs w:val="0"/>
          <w:color w:val="auto"/>
          <w:sz w:val="32"/>
          <w:szCs w:val="32"/>
        </w:rPr>
        <w:t>万</w:t>
      </w:r>
      <w:r>
        <w:rPr>
          <w:rFonts w:hint="eastAsia" w:ascii="仿宋_GB2312" w:hAnsi="仿宋_GB2312" w:eastAsia="仿宋_GB2312" w:cs="仿宋_GB2312"/>
          <w:b w:val="0"/>
          <w:bCs w:val="0"/>
          <w:color w:val="auto"/>
          <w:sz w:val="32"/>
          <w:szCs w:val="32"/>
          <w:lang w:eastAsia="zh-CN"/>
        </w:rPr>
        <w:t>元、</w:t>
      </w:r>
      <w:r>
        <w:rPr>
          <w:rFonts w:hint="eastAsia" w:ascii="仿宋_GB2312" w:hAnsi="仿宋_GB2312" w:eastAsia="仿宋_GB2312" w:cs="仿宋_GB2312"/>
          <w:b w:val="0"/>
          <w:bCs w:val="0"/>
          <w:color w:val="auto"/>
          <w:sz w:val="32"/>
          <w:szCs w:val="32"/>
          <w:lang w:val="en-US" w:eastAsia="zh-CN"/>
        </w:rPr>
        <w:t>10万元</w:t>
      </w:r>
      <w:r>
        <w:rPr>
          <w:rFonts w:hint="eastAsia" w:ascii="仿宋_GB2312" w:hAnsi="仿宋_GB2312" w:eastAsia="仿宋_GB2312" w:cs="仿宋_GB2312"/>
          <w:b w:val="0"/>
          <w:bCs w:val="0"/>
          <w:color w:val="auto"/>
          <w:sz w:val="32"/>
          <w:szCs w:val="32"/>
        </w:rPr>
        <w:t>；被列入国家级一流专业</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，一次性资助</w:t>
      </w:r>
      <w:r>
        <w:rPr>
          <w:rFonts w:hint="eastAsia" w:ascii="仿宋_GB2312" w:hAnsi="仿宋_GB2312" w:eastAsia="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万</w:t>
      </w:r>
      <w:r>
        <w:rPr>
          <w:rFonts w:hint="eastAsia" w:ascii="仿宋_GB2312" w:hAnsi="仿宋_GB2312" w:eastAsia="仿宋_GB2312" w:cs="仿宋_GB2312"/>
          <w:b w:val="0"/>
          <w:bCs w:val="0"/>
          <w:color w:val="auto"/>
          <w:sz w:val="32"/>
          <w:szCs w:val="32"/>
          <w:lang w:val="en-US" w:eastAsia="zh-CN"/>
        </w:rPr>
        <w:t>元</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（三）产教融合示范基地：</w:t>
      </w:r>
      <w:r>
        <w:rPr>
          <w:rFonts w:hint="eastAsia" w:ascii="仿宋_GB2312" w:hAnsi="仿宋_GB2312" w:eastAsia="仿宋_GB2312" w:cs="仿宋_GB2312"/>
          <w:color w:val="auto"/>
          <w:sz w:val="32"/>
          <w:szCs w:val="32"/>
          <w:lang w:val="en-US" w:eastAsia="zh-CN"/>
        </w:rPr>
        <w:t>市级</w:t>
      </w:r>
      <w:r>
        <w:rPr>
          <w:rFonts w:hint="eastAsia" w:ascii="仿宋_GB2312" w:hAnsi="仿宋_GB2312" w:eastAsia="仿宋_GB2312" w:cs="仿宋_GB2312"/>
          <w:color w:val="auto"/>
          <w:sz w:val="32"/>
          <w:szCs w:val="32"/>
        </w:rPr>
        <w:t>建设周期为三年，每年资</w:t>
      </w:r>
      <w:r>
        <w:rPr>
          <w:rFonts w:hint="eastAsia" w:ascii="仿宋_GB2312" w:hAnsi="仿宋_GB2312" w:eastAsia="仿宋_GB2312" w:cs="仿宋_GB2312"/>
          <w:b w:val="0"/>
          <w:bCs w:val="0"/>
          <w:color w:val="auto"/>
          <w:sz w:val="32"/>
          <w:szCs w:val="32"/>
        </w:rPr>
        <w:t>助</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0万元。</w:t>
      </w:r>
      <w:r>
        <w:rPr>
          <w:rFonts w:hint="eastAsia" w:ascii="仿宋_GB2312" w:hAnsi="仿宋_GB2312" w:eastAsia="仿宋_GB2312" w:cs="仿宋_GB2312"/>
          <w:b w:val="0"/>
          <w:bCs w:val="0"/>
          <w:color w:val="auto"/>
          <w:sz w:val="32"/>
          <w:szCs w:val="32"/>
          <w:lang w:eastAsia="zh-CN"/>
        </w:rPr>
        <w:t>被评为省级产教融合示范基地的，给予一次性资助</w:t>
      </w:r>
      <w:r>
        <w:rPr>
          <w:rFonts w:hint="eastAsia" w:ascii="仿宋_GB2312" w:hAnsi="仿宋_GB2312" w:eastAsia="仿宋_GB2312" w:cs="仿宋_GB2312"/>
          <w:b w:val="0"/>
          <w:bCs w:val="0"/>
          <w:color w:val="auto"/>
          <w:sz w:val="32"/>
          <w:szCs w:val="32"/>
          <w:lang w:val="en-US" w:eastAsia="zh-CN"/>
        </w:rPr>
        <w:t>20万</w:t>
      </w:r>
      <w:r>
        <w:rPr>
          <w:rFonts w:hint="eastAsia" w:ascii="仿宋_GB2312" w:hAnsi="仿宋_GB2312" w:eastAsia="仿宋_GB2312" w:cs="仿宋_GB2312"/>
          <w:color w:val="auto"/>
          <w:sz w:val="32"/>
          <w:szCs w:val="32"/>
          <w:lang w:val="en-US" w:eastAsia="zh-CN"/>
        </w:rPr>
        <w:t>元。</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（四）教育教学改革项目：</w:t>
      </w:r>
      <w:r>
        <w:rPr>
          <w:rFonts w:hint="eastAsia" w:ascii="仿宋_GB2312" w:hAnsi="仿宋_GB2312" w:eastAsia="仿宋_GB2312" w:cs="仿宋_GB2312"/>
          <w:color w:val="auto"/>
          <w:sz w:val="32"/>
          <w:szCs w:val="32"/>
          <w:lang w:val="en-US" w:eastAsia="zh-CN"/>
        </w:rPr>
        <w:t>市级教改项目立项不资助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立项为省级教改项目的，给予一次性资助</w:t>
      </w:r>
      <w:r>
        <w:rPr>
          <w:rFonts w:hint="eastAsia" w:ascii="仿宋_GB2312" w:hAnsi="仿宋_GB2312" w:eastAsia="仿宋_GB2312" w:cs="仿宋_GB2312"/>
          <w:color w:val="auto"/>
          <w:sz w:val="32"/>
          <w:szCs w:val="32"/>
          <w:lang w:val="en-US" w:eastAsia="zh-CN"/>
        </w:rPr>
        <w:t>1万元；立项为国家级教改项目的，给予一次性资助2万元。</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（五）精品在线课程建设：市级每年资助立项不少于20项，总额不低于</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被列入省级精品在线课程建设，每门</w:t>
      </w:r>
      <w:r>
        <w:rPr>
          <w:rFonts w:hint="eastAsia" w:ascii="仿宋_GB2312" w:hAnsi="仿宋_GB2312" w:eastAsia="仿宋_GB2312" w:cs="仿宋_GB2312"/>
          <w:color w:val="auto"/>
          <w:sz w:val="32"/>
          <w:szCs w:val="32"/>
          <w:lang w:val="en-US" w:eastAsia="zh-CN"/>
        </w:rPr>
        <w:t>一次性</w:t>
      </w:r>
      <w:r>
        <w:rPr>
          <w:rFonts w:hint="eastAsia" w:ascii="仿宋_GB2312" w:hAnsi="仿宋_GB2312" w:eastAsia="仿宋_GB2312" w:cs="仿宋_GB2312"/>
          <w:color w:val="auto"/>
          <w:sz w:val="32"/>
          <w:szCs w:val="32"/>
          <w:lang w:eastAsia="zh-CN"/>
        </w:rPr>
        <w:t>资助</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lang w:val="en-US" w:eastAsia="zh-CN"/>
        </w:rPr>
        <w:t>元</w:t>
      </w:r>
      <w:r>
        <w:rPr>
          <w:rFonts w:hint="eastAsia" w:ascii="仿宋_GB2312" w:hAnsi="仿宋_GB2312" w:eastAsia="仿宋_GB2312" w:cs="仿宋_GB2312"/>
          <w:color w:val="auto"/>
          <w:sz w:val="32"/>
          <w:szCs w:val="32"/>
          <w:lang w:eastAsia="zh-CN"/>
        </w:rPr>
        <w:t>；被列入国家级精品在线课程建设，每门</w:t>
      </w:r>
      <w:r>
        <w:rPr>
          <w:rFonts w:hint="eastAsia" w:ascii="仿宋_GB2312" w:hAnsi="仿宋_GB2312" w:eastAsia="仿宋_GB2312" w:cs="仿宋_GB2312"/>
          <w:color w:val="auto"/>
          <w:sz w:val="32"/>
          <w:szCs w:val="32"/>
          <w:lang w:val="en-US" w:eastAsia="zh-CN"/>
        </w:rPr>
        <w:t>一次性</w:t>
      </w:r>
      <w:r>
        <w:rPr>
          <w:rFonts w:hint="eastAsia" w:ascii="仿宋_GB2312" w:hAnsi="仿宋_GB2312" w:eastAsia="仿宋_GB2312" w:cs="仿宋_GB2312"/>
          <w:color w:val="auto"/>
          <w:sz w:val="32"/>
          <w:szCs w:val="32"/>
          <w:lang w:eastAsia="zh-CN"/>
        </w:rPr>
        <w:t>资助</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lang w:val="en-US" w:eastAsia="zh-CN"/>
        </w:rPr>
        <w:t>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（六）高等教育教学成果奖：原则上每四年评定一次，对一等奖的每个项目奖励</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万元，对二等奖的每个项目奖励</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（七）高校德育成果奖：原则上每两年评定一次，一等奖的每个项目奖励2万元，对二等奖的每个项目奖励1万元。</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auto"/>
          <w:sz w:val="32"/>
          <w:szCs w:val="32"/>
        </w:rPr>
        <w:t>（八）大学生学科和技能竞赛基地:每个基地每年资助5万元。</w:t>
      </w:r>
      <w:r>
        <w:rPr>
          <w:rFonts w:hint="eastAsia" w:ascii="仿宋_GB2312" w:hAnsi="仿宋_GB2312" w:eastAsia="仿宋_GB2312" w:cs="仿宋_GB2312"/>
          <w:color w:val="auto"/>
          <w:sz w:val="32"/>
          <w:szCs w:val="32"/>
          <w:lang w:eastAsia="zh-CN"/>
        </w:rPr>
        <w:t>被列入省级大学生学科和技能竞赛基地的，每个基地每年资助</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万元；被列入国家级大学生学科和技能竞赛基地的，每个基地每年资助</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万元。</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3"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color w:val="000000"/>
          <w:sz w:val="32"/>
          <w:szCs w:val="32"/>
          <w:lang w:eastAsia="zh-CN"/>
        </w:rPr>
        <w:t>第六条</w:t>
      </w:r>
      <w:r>
        <w:rPr>
          <w:rFonts w:hint="eastAsia" w:ascii="仿宋_GB2312" w:hAnsi="仿宋_GB2312" w:eastAsia="仿宋_GB2312" w:cs="仿宋_GB2312"/>
          <w:color w:val="000000"/>
          <w:sz w:val="32"/>
          <w:szCs w:val="32"/>
          <w:lang w:eastAsia="zh-CN"/>
        </w:rPr>
        <w:t xml:space="preserve">  专项资金管理的职责分工：</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（一）市财政局负责专项资金的管理和协调工作，负责专项资金支出资金调度和统筹安排，及时拨付和下达专项资金，组织实施专项资金财政监督检查和总体绩效评价。</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（二）市教育局负责项目建设管理和专项资金的具体管理工作，会同市财政局完成专项资金的计划安排和预算编制，牵头开展绩效目标编审、绩效自评、中期检查和验收评估等工作。</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（三）高校是项目建设主体，负责制定专项资金的建设规划或实施方案，编制项目绩效目标，组织实施项目建设并进行全过程管理，按规定用途统筹安排使用资金，开展绩效自评，确保资金使用安全。</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31" w:rightChars="15"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color w:val="000000"/>
          <w:sz w:val="32"/>
          <w:szCs w:val="32"/>
        </w:rPr>
        <w:t>建立项目申报立项机制。为保证把好项目的入口关，确保评审立项的科学公正，各高校要建立项目校级初评制度，择优上报；市教育局、市财政局按照合理的立项程序、标准和方法（具体程序、标准和方法按各项目立项要求另行通知），经公示无异议后确定项目立项。</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3"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第八条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color w:val="000000"/>
          <w:sz w:val="32"/>
          <w:szCs w:val="32"/>
        </w:rPr>
        <w:t>建立项目建设预</w:t>
      </w:r>
      <w:r>
        <w:rPr>
          <w:rFonts w:hint="eastAsia" w:ascii="仿宋_GB2312" w:hAnsi="仿宋_GB2312" w:eastAsia="仿宋_GB2312" w:cs="仿宋_GB2312"/>
          <w:color w:val="000000"/>
          <w:sz w:val="32"/>
          <w:szCs w:val="32"/>
          <w:lang w:eastAsia="zh-CN"/>
        </w:rPr>
        <w:t>决</w:t>
      </w:r>
      <w:r>
        <w:rPr>
          <w:rFonts w:hint="eastAsia" w:ascii="仿宋_GB2312" w:hAnsi="仿宋_GB2312" w:eastAsia="仿宋_GB2312" w:cs="仿宋_GB2312"/>
          <w:color w:val="000000"/>
          <w:sz w:val="32"/>
          <w:szCs w:val="32"/>
        </w:rPr>
        <w:t>算管理机制。各项目学校要编制本校年度专项及配套资金预算，不得随意更改资金使用方向和内容，原则上当年预算当年执行。因不可抗力因素需调整建设内容、专项资金使用方案的，须按规定程序报批。高校应将专项资金收支情况纳入年度决算统一编报，决算资料应对专项资金预算执行情况、资金使用效益情况、管理情况、存在的问题和建议等情况进行说明。</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lang w:eastAsia="zh-CN"/>
        </w:rPr>
        <w:t>第九条</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color w:val="000000"/>
          <w:sz w:val="32"/>
          <w:szCs w:val="32"/>
        </w:rPr>
        <w:t>项目专项资金根据</w:t>
      </w:r>
      <w:r>
        <w:rPr>
          <w:rFonts w:hint="eastAsia" w:ascii="仿宋_GB2312" w:hAnsi="仿宋_GB2312" w:eastAsia="仿宋_GB2312" w:cs="仿宋_GB2312"/>
          <w:color w:val="000000"/>
          <w:sz w:val="32"/>
          <w:szCs w:val="32"/>
          <w:lang w:eastAsia="zh-CN"/>
        </w:rPr>
        <w:t>各</w:t>
      </w:r>
      <w:r>
        <w:rPr>
          <w:rFonts w:hint="eastAsia" w:ascii="仿宋_GB2312" w:hAnsi="仿宋_GB2312" w:eastAsia="仿宋_GB2312" w:cs="仿宋_GB2312"/>
          <w:color w:val="000000"/>
          <w:sz w:val="32"/>
          <w:szCs w:val="32"/>
        </w:rPr>
        <w:t>项目使用范围和要求，结合项目建设效益检查和经费绩效考核按年度由市财政直接拨付到各高校。</w:t>
      </w:r>
      <w:r>
        <w:rPr>
          <w:rFonts w:hint="eastAsia" w:ascii="仿宋_GB2312" w:hAnsi="仿宋_GB2312" w:eastAsia="仿宋_GB2312" w:cs="仿宋_GB2312"/>
          <w:sz w:val="32"/>
          <w:szCs w:val="32"/>
        </w:rPr>
        <w:t>专项资金由高校自主统筹安排使用。</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专项资金不得用于基本建设、对外投资、偿还债务、支付利息、捐赠赞助等支出，不得用于建设项目之外的人员经费支出以及与建设项目无关的日常公用经费开支，不得提取工作经费或管理经费，不得用于按照国家规定不得列支的其他支出。</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参与建设的高校应在遵循有关法律法规的前提下，强化资源统筹配置能力，创新资源配置方式，科学合理编制专项资金年度预算，细化资金安排使用方案，提高资金安排的集中性和有效性。</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0" w:firstLineChars="20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31" w:rightChars="15" w:firstLine="640" w:firstLineChars="200"/>
        <w:jc w:val="center"/>
        <w:textAlignment w:val="auto"/>
        <w:outlineLvl w:val="9"/>
        <w:rPr>
          <w:rFonts w:hint="eastAsia" w:ascii="仿宋" w:hAnsi="仿宋" w:eastAsia="仿宋"/>
          <w:b/>
          <w:bCs/>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 监督检查</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3" w:firstLineChars="200"/>
        <w:textAlignment w:val="auto"/>
        <w:outlineLvl w:val="9"/>
        <w:rPr>
          <w:rFonts w:hint="eastAsia" w:ascii="仿宋_GB2312" w:hAnsi="仿宋_GB2312" w:eastAsia="仿宋_GB2312" w:cs="仿宋_GB2312"/>
          <w:b/>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eastAsia="zh-CN"/>
        </w:rPr>
        <w:t>十二</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建立项目建设的年度检查、中期检查和终期评估制度。市教育局会同市财政局组织专家对项目建设进行年度检查、中期检查和终期评估。年度检查结果与下拨年度建设经费挂钩，</w:t>
      </w:r>
      <w:r>
        <w:rPr>
          <w:rFonts w:hint="eastAsia" w:ascii="仿宋_GB2312" w:hAnsi="仿宋_GB2312" w:eastAsia="仿宋_GB2312" w:cs="仿宋_GB2312"/>
          <w:sz w:val="32"/>
          <w:szCs w:val="32"/>
        </w:rPr>
        <w:t>对无正当理由没有完成预定建设目标、建设无成效的建设项目，将减少或停止下一年度的拨款。</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3"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eastAsia="zh-CN"/>
        </w:rPr>
        <w:t>三</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建立项目建设的绩效评价制度。项目学校应根据经批准的项目建设规划和分年实施计划，每年上报项目年度实施情况。在项目建设任务完成后，应对照项目预期建设目标和效益，上报项目实施总结报告，确保项目建设的预期效益。</w:t>
      </w:r>
      <w:r>
        <w:rPr>
          <w:rFonts w:hint="eastAsia" w:ascii="仿宋_GB2312" w:hAnsi="仿宋_GB2312" w:eastAsia="仿宋_GB2312" w:cs="仿宋_GB2312"/>
          <w:sz w:val="32"/>
          <w:szCs w:val="32"/>
        </w:rPr>
        <w:t>建设项目因</w:t>
      </w:r>
      <w:r>
        <w:rPr>
          <w:rFonts w:hint="eastAsia" w:ascii="仿宋_GB2312" w:hAnsi="仿宋_GB2312" w:eastAsia="仿宋_GB2312" w:cs="仿宋_GB2312"/>
          <w:sz w:val="32"/>
          <w:szCs w:val="32"/>
          <w:lang w:eastAsia="zh-CN"/>
        </w:rPr>
        <w:t>不可抗力</w:t>
      </w:r>
      <w:r>
        <w:rPr>
          <w:rFonts w:hint="eastAsia" w:ascii="仿宋_GB2312" w:hAnsi="仿宋_GB2312" w:eastAsia="仿宋_GB2312" w:cs="仿宋_GB2312"/>
          <w:sz w:val="32"/>
          <w:szCs w:val="32"/>
        </w:rPr>
        <w:t>终止</w:t>
      </w:r>
      <w:r>
        <w:rPr>
          <w:rFonts w:hint="eastAsia" w:ascii="仿宋_GB2312" w:hAnsi="仿宋_GB2312" w:eastAsia="仿宋_GB2312" w:cs="仿宋_GB2312"/>
          <w:sz w:val="32"/>
          <w:szCs w:val="32"/>
          <w:lang w:eastAsia="zh-CN"/>
        </w:rPr>
        <w:t>或无法完成建设预期目标的，</w:t>
      </w:r>
      <w:r>
        <w:rPr>
          <w:rFonts w:hint="eastAsia" w:ascii="仿宋_GB2312" w:hAnsi="仿宋_GB2312" w:eastAsia="仿宋_GB2312" w:cs="仿宋_GB2312"/>
          <w:color w:val="000000"/>
          <w:sz w:val="32"/>
          <w:szCs w:val="32"/>
          <w:lang w:eastAsia="zh-CN"/>
        </w:rPr>
        <w:t>应提交书面情况说明及时终止项目，并</w:t>
      </w:r>
      <w:r>
        <w:rPr>
          <w:rFonts w:hint="eastAsia" w:ascii="仿宋_GB2312" w:hAnsi="仿宋_GB2312" w:eastAsia="仿宋_GB2312" w:cs="仿宋_GB2312"/>
          <w:color w:val="000000"/>
          <w:sz w:val="32"/>
          <w:szCs w:val="32"/>
        </w:rPr>
        <w:t>对账目、资产等进行清理，</w:t>
      </w:r>
      <w:r>
        <w:rPr>
          <w:rFonts w:hint="eastAsia" w:ascii="仿宋_GB2312" w:hAnsi="仿宋_GB2312" w:eastAsia="仿宋_GB2312" w:cs="仿宋_GB2312"/>
          <w:color w:val="000000"/>
          <w:sz w:val="32"/>
          <w:szCs w:val="32"/>
          <w:lang w:eastAsia="zh-CN"/>
        </w:rPr>
        <w:t>建设</w:t>
      </w:r>
      <w:r>
        <w:rPr>
          <w:rFonts w:hint="eastAsia" w:ascii="仿宋_GB2312" w:hAnsi="仿宋_GB2312" w:eastAsia="仿宋_GB2312" w:cs="仿宋_GB2312"/>
          <w:color w:val="000000"/>
          <w:sz w:val="32"/>
          <w:szCs w:val="32"/>
        </w:rPr>
        <w:t>经费按原渠道归还。</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3" w:firstLineChars="200"/>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color w:val="000000"/>
          <w:sz w:val="32"/>
          <w:szCs w:val="32"/>
        </w:rPr>
        <w:t>项目学校应制定本校项目资金使用管理规章制度，建立项目资金管理责任制，对专项资金使用的合法性、真实性和有效性实施全面管理。</w:t>
      </w:r>
      <w:r>
        <w:rPr>
          <w:rFonts w:hint="eastAsia" w:ascii="仿宋_GB2312" w:hAnsi="仿宋_GB2312" w:eastAsia="仿宋_GB2312" w:cs="仿宋_GB2312"/>
          <w:color w:val="000000"/>
          <w:sz w:val="32"/>
          <w:szCs w:val="32"/>
          <w:lang w:eastAsia="zh-CN"/>
        </w:rPr>
        <w:t>对因管理不力导致项目无故终止或无法完成预定建设目标的，取消学校项目申报资格。</w:t>
      </w:r>
      <w:r>
        <w:rPr>
          <w:rFonts w:hint="eastAsia" w:ascii="仿宋_GB2312" w:hAnsi="仿宋_GB2312" w:eastAsia="仿宋_GB2312" w:cs="仿宋_GB2312"/>
          <w:sz w:val="32"/>
          <w:szCs w:val="32"/>
        </w:rPr>
        <w:t xml:space="preserve"> </w:t>
      </w:r>
    </w:p>
    <w:p>
      <w:pPr>
        <w:spacing w:beforeLines="0" w:afterLines="0"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w:t>
      </w:r>
      <w:r>
        <w:rPr>
          <w:rFonts w:hint="eastAsia" w:ascii="仿宋_GB2312" w:hAnsi="仿宋_GB2312" w:eastAsia="仿宋_GB2312" w:cs="仿宋_GB2312"/>
          <w:b/>
          <w:color w:val="000000"/>
          <w:sz w:val="32"/>
          <w:szCs w:val="32"/>
          <w:lang w:eastAsia="zh-CN"/>
        </w:rPr>
        <w:t>五</w:t>
      </w:r>
      <w:r>
        <w:rPr>
          <w:rFonts w:hint="eastAsia" w:ascii="仿宋_GB2312" w:hAnsi="仿宋_GB2312" w:eastAsia="仿宋_GB2312" w:cs="仿宋_GB2312"/>
          <w:b/>
          <w:color w:val="000000"/>
          <w:sz w:val="32"/>
          <w:szCs w:val="32"/>
        </w:rPr>
        <w:t xml:space="preserve">条  </w:t>
      </w:r>
      <w:r>
        <w:rPr>
          <w:rFonts w:hint="eastAsia" w:ascii="仿宋_GB2312" w:hAnsi="仿宋_GB2312" w:eastAsia="仿宋_GB2312" w:cs="仿宋_GB2312"/>
          <w:color w:val="000000"/>
          <w:sz w:val="32"/>
          <w:szCs w:val="32"/>
        </w:rPr>
        <w:t>建立专项资金使用责任追究制度。市财政局、市教育局将按照</w:t>
      </w:r>
      <w:r>
        <w:rPr>
          <w:rFonts w:hint="eastAsia" w:ascii="仿宋_GB2312" w:hAnsi="仿宋_GB2312" w:eastAsia="仿宋_GB2312" w:cs="仿宋_GB2312"/>
          <w:color w:val="auto"/>
          <w:sz w:val="32"/>
          <w:szCs w:val="32"/>
          <w:highlight w:val="none"/>
          <w:lang w:val="en-US" w:eastAsia="zh-CN"/>
        </w:rPr>
        <w:t>绩效评价管理</w:t>
      </w:r>
      <w:r>
        <w:rPr>
          <w:rFonts w:hint="eastAsia" w:ascii="仿宋_GB2312" w:hAnsi="仿宋_GB2312" w:eastAsia="仿宋_GB2312" w:cs="仿宋_GB2312"/>
          <w:color w:val="000000"/>
          <w:sz w:val="32"/>
          <w:szCs w:val="32"/>
        </w:rPr>
        <w:t>有关规定，对项目建设经费使用年度绩效考核不合格的</w:t>
      </w:r>
      <w:r>
        <w:rPr>
          <w:rFonts w:hint="eastAsia" w:ascii="仿宋_GB2312" w:hAnsi="仿宋_GB2312" w:eastAsia="仿宋_GB2312" w:cs="仿宋_GB2312"/>
          <w:color w:val="000000"/>
          <w:sz w:val="32"/>
          <w:szCs w:val="32"/>
          <w:lang w:eastAsia="zh-CN"/>
        </w:rPr>
        <w:t>，督促项目学校进行整改</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000000"/>
          <w:sz w:val="32"/>
          <w:szCs w:val="32"/>
        </w:rPr>
        <w:t>对不进行整改或整改不到位的，根据情况相应调减预算或整改到位后再予安排</w:t>
      </w:r>
      <w:r>
        <w:rPr>
          <w:rFonts w:hint="eastAsia" w:ascii="仿宋_GB2312" w:hAnsi="仿宋_GB2312" w:eastAsia="仿宋_GB2312" w:cs="仿宋_GB2312"/>
          <w:color w:val="000000"/>
          <w:sz w:val="32"/>
          <w:szCs w:val="32"/>
          <w:lang w:eastAsia="zh-CN"/>
        </w:rPr>
        <w:t>预算</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sz w:val="32"/>
          <w:szCs w:val="32"/>
        </w:rPr>
        <w:t>对</w:t>
      </w:r>
      <w:r>
        <w:rPr>
          <w:rFonts w:hint="eastAsia" w:ascii="仿宋_GB2312" w:hAnsi="仿宋_GB2312" w:eastAsia="仿宋_GB2312" w:cs="仿宋_GB2312"/>
          <w:sz w:val="32"/>
          <w:szCs w:val="32"/>
        </w:rPr>
        <w:t>专项资金使用过程中弄虚作假，截留、挪用、挤占等违反财经纪律的行为，按照《财政违法行为处罚处分条例》（国务院第427号令）等有关规定进行查处，情节严重构成犯罪的，依法移送司法机关追究</w:t>
      </w:r>
      <w:r>
        <w:rPr>
          <w:rFonts w:hint="eastAsia" w:ascii="仿宋_GB2312" w:hAnsi="仿宋_GB2312" w:eastAsia="仿宋_GB2312" w:cs="仿宋_GB2312"/>
          <w:color w:val="000000"/>
          <w:sz w:val="32"/>
          <w:szCs w:val="32"/>
        </w:rPr>
        <w:t>刑事责任。</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31" w:rightChars="15" w:firstLine="640" w:firstLineChars="200"/>
        <w:jc w:val="center"/>
        <w:textAlignment w:val="auto"/>
        <w:outlineLvl w:val="9"/>
        <w:rPr>
          <w:rFonts w:hint="eastAsia" w:ascii="仿宋" w:hAnsi="仿宋" w:eastAsia="仿宋"/>
          <w:color w:val="000000"/>
          <w:sz w:val="32"/>
          <w:szCs w:val="32"/>
        </w:rPr>
      </w:pPr>
      <w:r>
        <w:rPr>
          <w:rFonts w:hint="eastAsia" w:ascii="黑体" w:hAnsi="黑体" w:eastAsia="黑体" w:cs="黑体"/>
          <w:color w:val="000000"/>
          <w:sz w:val="32"/>
          <w:szCs w:val="32"/>
        </w:rPr>
        <w:t xml:space="preserve">第四章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3" w:firstLineChars="200"/>
        <w:textAlignment w:val="auto"/>
        <w:outlineLvl w:val="9"/>
        <w:rPr>
          <w:rFonts w:hint="eastAsia" w:ascii="仿宋_GB2312" w:hAnsi="仿宋_GB2312" w:eastAsia="仿宋_GB2312" w:cs="仿宋_GB2312"/>
          <w:b/>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4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lang w:eastAsia="zh-CN"/>
        </w:rPr>
        <w:t>第十六条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sz w:val="32"/>
          <w:szCs w:val="32"/>
        </w:rPr>
        <w:t>本办法适用于全市全日制普通高</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auto"/>
          <w:sz w:val="32"/>
          <w:szCs w:val="32"/>
          <w:highlight w:val="none"/>
          <w:lang w:eastAsia="zh-CN"/>
        </w:rPr>
        <w:t>第十七</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b/>
          <w:color w:val="000000"/>
          <w:sz w:val="32"/>
          <w:szCs w:val="32"/>
          <w:highlight w:val="none"/>
        </w:rPr>
        <w:t xml:space="preserve"> </w:t>
      </w:r>
      <w:r>
        <w:rPr>
          <w:rFonts w:hint="eastAsia" w:ascii="仿宋_GB2312" w:hAnsi="仿宋_GB2312" w:eastAsia="仿宋_GB2312" w:cs="仿宋_GB2312"/>
          <w:color w:val="000000"/>
          <w:sz w:val="32"/>
          <w:szCs w:val="32"/>
          <w:highlight w:val="none"/>
        </w:rPr>
        <w:t>本办法自</w:t>
      </w:r>
      <w:r>
        <w:rPr>
          <w:rFonts w:hint="eastAsia" w:ascii="仿宋_GB2312" w:hAnsi="仿宋_GB2312" w:eastAsia="仿宋_GB2312" w:cs="仿宋_GB2312"/>
          <w:color w:val="auto"/>
          <w:sz w:val="32"/>
          <w:szCs w:val="32"/>
          <w:highlight w:val="none"/>
          <w:lang w:val="en-US" w:eastAsia="zh-CN"/>
        </w:rPr>
        <w:t>2020年  月  日起</w:t>
      </w:r>
      <w:r>
        <w:rPr>
          <w:rFonts w:hint="eastAsia" w:ascii="仿宋_GB2312" w:hAnsi="仿宋_GB2312" w:eastAsia="仿宋_GB2312" w:cs="仿宋_GB2312"/>
          <w:color w:val="000000"/>
          <w:sz w:val="32"/>
          <w:szCs w:val="32"/>
          <w:highlight w:val="none"/>
        </w:rPr>
        <w:t>实施。</w:t>
      </w:r>
      <w:r>
        <w:rPr>
          <w:rFonts w:hint="eastAsia" w:ascii="仿宋_GB2312" w:hAnsi="仿宋_GB2312" w:eastAsia="仿宋_GB2312" w:cs="仿宋_GB2312"/>
          <w:color w:val="000000"/>
          <w:sz w:val="32"/>
          <w:szCs w:val="32"/>
        </w:rPr>
        <w:t>2011年印发的《绍兴市高等教育内涵建设专项资金使用管理办法》（绍市财行〔201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〕8号）同日起废止。</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outlineLvl w:val="9"/>
        <w:rPr>
          <w:rFonts w:hint="eastAsia" w:ascii="仿宋_GB2312" w:hAnsi="仿宋_GB2312" w:eastAsia="仿宋_GB2312" w:cs="仿宋_GB2312"/>
          <w:color w:val="000000"/>
          <w:sz w:val="32"/>
          <w:szCs w:val="32"/>
        </w:rPr>
      </w:pPr>
    </w:p>
    <w:p>
      <w:pPr>
        <w:ind w:firstLine="640" w:firstLineChars="200"/>
        <w:jc w:val="both"/>
        <w:rPr>
          <w:rFonts w:hint="eastAsia" w:ascii="宋体" w:hAnsi="宋体" w:eastAsia="宋体" w:cs="宋体"/>
          <w:b/>
          <w:bCs w:val="0"/>
          <w:sz w:val="36"/>
          <w:szCs w:val="36"/>
          <w:lang w:val="en-US" w:eastAsia="zh-CN"/>
        </w:rPr>
      </w:pPr>
      <w:r>
        <w:rPr>
          <w:rFonts w:hint="eastAsia" w:ascii="仿宋_GB2312" w:hAnsi="仿宋_GB2312" w:eastAsia="仿宋_GB2312" w:cs="仿宋_GB2312"/>
          <w:color w:val="000000"/>
          <w:sz w:val="32"/>
          <w:szCs w:val="32"/>
          <w:lang w:eastAsia="zh-CN"/>
        </w:rPr>
        <w:t>附：</w:t>
      </w:r>
      <w:r>
        <w:rPr>
          <w:rFonts w:hint="eastAsia" w:ascii="仿宋_GB2312" w:hAnsi="仿宋_GB2312" w:eastAsia="仿宋_GB2312" w:cs="仿宋_GB2312"/>
          <w:color w:val="000000"/>
          <w:sz w:val="32"/>
          <w:szCs w:val="32"/>
        </w:rPr>
        <w:t>绍兴市高等教育内涵建设专项资金</w:t>
      </w:r>
      <w:r>
        <w:rPr>
          <w:rFonts w:hint="eastAsia" w:ascii="仿宋_GB2312" w:hAnsi="仿宋_GB2312" w:eastAsia="仿宋_GB2312" w:cs="仿宋_GB2312"/>
          <w:color w:val="000000"/>
          <w:sz w:val="32"/>
          <w:szCs w:val="32"/>
          <w:lang w:val="en-US" w:eastAsia="zh-CN"/>
        </w:rPr>
        <w:t>绩效目标表</w:t>
      </w:r>
    </w:p>
    <w:p/>
    <w:p/>
    <w:p/>
    <w:p>
      <w:pPr>
        <w:jc w:val="center"/>
        <w:rPr>
          <w:rFonts w:hint="eastAsia" w:ascii="宋体" w:hAnsi="宋体" w:eastAsia="宋体" w:cs="宋体"/>
          <w:b/>
          <w:bCs w:val="0"/>
          <w:color w:val="000000"/>
          <w:sz w:val="36"/>
          <w:szCs w:val="36"/>
        </w:rPr>
      </w:pPr>
    </w:p>
    <w:p>
      <w:pPr>
        <w:jc w:val="center"/>
        <w:rPr>
          <w:rFonts w:hint="eastAsia" w:ascii="宋体" w:hAnsi="宋体" w:eastAsia="宋体" w:cs="宋体"/>
          <w:b/>
          <w:bCs w:val="0"/>
          <w:color w:val="000000"/>
          <w:sz w:val="36"/>
          <w:szCs w:val="36"/>
        </w:rPr>
      </w:pPr>
    </w:p>
    <w:p>
      <w:pPr>
        <w:jc w:val="center"/>
        <w:rPr>
          <w:rFonts w:hint="eastAsia" w:ascii="宋体" w:hAnsi="宋体" w:eastAsia="宋体" w:cs="宋体"/>
          <w:b/>
          <w:bCs w:val="0"/>
          <w:color w:val="000000"/>
          <w:sz w:val="36"/>
          <w:szCs w:val="36"/>
        </w:rPr>
      </w:pPr>
    </w:p>
    <w:p>
      <w:pPr>
        <w:jc w:val="center"/>
        <w:rPr>
          <w:rFonts w:hint="eastAsia" w:ascii="宋体" w:hAnsi="宋体" w:eastAsia="宋体" w:cs="宋体"/>
          <w:b/>
          <w:bCs w:val="0"/>
          <w:color w:val="000000"/>
          <w:sz w:val="36"/>
          <w:szCs w:val="36"/>
        </w:rPr>
      </w:pPr>
    </w:p>
    <w:p>
      <w:pPr>
        <w:jc w:val="center"/>
        <w:rPr>
          <w:rFonts w:hint="eastAsia" w:ascii="宋体" w:hAnsi="宋体" w:eastAsia="宋体" w:cs="宋体"/>
          <w:b/>
          <w:bCs w:val="0"/>
          <w:sz w:val="36"/>
          <w:szCs w:val="36"/>
          <w:lang w:val="en-US" w:eastAsia="zh-CN"/>
        </w:rPr>
      </w:pPr>
      <w:r>
        <w:rPr>
          <w:rFonts w:hint="eastAsia" w:ascii="宋体" w:hAnsi="宋体" w:eastAsia="宋体" w:cs="宋体"/>
          <w:b/>
          <w:bCs w:val="0"/>
          <w:color w:val="000000"/>
          <w:sz w:val="36"/>
          <w:szCs w:val="36"/>
        </w:rPr>
        <w:t>绍兴市高等教育内涵建设专项资金</w:t>
      </w:r>
      <w:r>
        <w:rPr>
          <w:rFonts w:hint="eastAsia" w:ascii="宋体" w:hAnsi="宋体" w:eastAsia="宋体" w:cs="宋体"/>
          <w:b/>
          <w:bCs w:val="0"/>
          <w:sz w:val="36"/>
          <w:szCs w:val="36"/>
          <w:lang w:val="en-US" w:eastAsia="zh-CN"/>
        </w:rPr>
        <w:t>绩效目标表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val="0"/>
          <w:sz w:val="36"/>
          <w:szCs w:val="36"/>
          <w:lang w:val="en-US" w:eastAsia="zh-CN"/>
        </w:rPr>
      </w:pPr>
    </w:p>
    <w:p>
      <w:pPr>
        <w:jc w:val="center"/>
      </w:pP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lang w:val="en-US" w:eastAsia="zh-CN"/>
        </w:rPr>
        <w:t>*</w:t>
      </w:r>
      <w:r>
        <w:rPr>
          <w:rFonts w:hint="eastAsia" w:ascii="宋体" w:hAnsi="宋体" w:cs="宋体"/>
          <w:b w:val="0"/>
          <w:bCs/>
          <w:sz w:val="24"/>
          <w:szCs w:val="24"/>
          <w:lang w:val="en-US" w:eastAsia="zh-CN"/>
        </w:rPr>
        <w:t>年度）</w:t>
      </w:r>
    </w:p>
    <w:tbl>
      <w:tblPr>
        <w:tblStyle w:val="4"/>
        <w:tblW w:w="0" w:type="auto"/>
        <w:tblInd w:w="0" w:type="dxa"/>
        <w:tblLayout w:type="fixed"/>
        <w:tblCellMar>
          <w:top w:w="0" w:type="dxa"/>
          <w:left w:w="0" w:type="dxa"/>
          <w:bottom w:w="0" w:type="dxa"/>
          <w:right w:w="0" w:type="dxa"/>
        </w:tblCellMar>
      </w:tblPr>
      <w:tblGrid>
        <w:gridCol w:w="1378"/>
        <w:gridCol w:w="1208"/>
        <w:gridCol w:w="1627"/>
        <w:gridCol w:w="2700"/>
        <w:gridCol w:w="1425"/>
      </w:tblGrid>
      <w:tr>
        <w:tblPrEx>
          <w:tblCellMar>
            <w:top w:w="0" w:type="dxa"/>
            <w:left w:w="0" w:type="dxa"/>
            <w:bottom w:w="0" w:type="dxa"/>
            <w:right w:w="0" w:type="dxa"/>
          </w:tblCellMar>
        </w:tblPrEx>
        <w:trPr>
          <w:trHeight w:val="567" w:hRule="atLeast"/>
        </w:trPr>
        <w:tc>
          <w:tcPr>
            <w:tcW w:w="1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专项名称</w:t>
            </w:r>
          </w:p>
        </w:tc>
        <w:tc>
          <w:tcPr>
            <w:tcW w:w="696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绍兴市高等教育内涵建设专项资金</w:t>
            </w:r>
          </w:p>
        </w:tc>
      </w:tr>
      <w:tr>
        <w:tblPrEx>
          <w:tblCellMar>
            <w:top w:w="0" w:type="dxa"/>
            <w:left w:w="0" w:type="dxa"/>
            <w:bottom w:w="0" w:type="dxa"/>
            <w:right w:w="0" w:type="dxa"/>
          </w:tblCellMar>
        </w:tblPrEx>
        <w:trPr>
          <w:trHeight w:val="567" w:hRule="atLeast"/>
        </w:trPr>
        <w:tc>
          <w:tcPr>
            <w:tcW w:w="1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主管部门</w:t>
            </w:r>
          </w:p>
        </w:tc>
        <w:tc>
          <w:tcPr>
            <w:tcW w:w="696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市财政局、市教育局</w:t>
            </w:r>
          </w:p>
        </w:tc>
      </w:tr>
      <w:tr>
        <w:tblPrEx>
          <w:tblCellMar>
            <w:top w:w="0" w:type="dxa"/>
            <w:left w:w="0" w:type="dxa"/>
            <w:bottom w:w="0" w:type="dxa"/>
            <w:right w:w="0" w:type="dxa"/>
          </w:tblCellMar>
        </w:tblPrEx>
        <w:trPr>
          <w:trHeight w:val="567" w:hRule="atLeast"/>
        </w:trPr>
        <w:tc>
          <w:tcPr>
            <w:tcW w:w="1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资金情况</w:t>
            </w:r>
          </w:p>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（年度金额）</w:t>
            </w:r>
          </w:p>
        </w:tc>
        <w:tc>
          <w:tcPr>
            <w:tcW w:w="696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r>
      <w:tr>
        <w:tblPrEx>
          <w:tblCellMar>
            <w:top w:w="0" w:type="dxa"/>
            <w:left w:w="0" w:type="dxa"/>
            <w:bottom w:w="0" w:type="dxa"/>
            <w:right w:w="0" w:type="dxa"/>
          </w:tblCellMar>
        </w:tblPrEx>
        <w:trPr>
          <w:trHeight w:val="567" w:hRule="atLeast"/>
        </w:trPr>
        <w:tc>
          <w:tcPr>
            <w:tcW w:w="1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总体目标</w:t>
            </w:r>
          </w:p>
        </w:tc>
        <w:tc>
          <w:tcPr>
            <w:tcW w:w="696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公平竞争、择优立项，加大市级内涵建设项目培育力度；</w:t>
            </w:r>
          </w:p>
          <w:p>
            <w:pPr>
              <w:keepNext w:val="0"/>
              <w:keepLines w:val="0"/>
              <w:widowControl/>
              <w:numPr>
                <w:ilvl w:val="0"/>
                <w:numId w:val="1"/>
              </w:numPr>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培育为主、激励并重，提高省级及以上内涵项目竞争力；</w:t>
            </w:r>
          </w:p>
          <w:p>
            <w:pPr>
              <w:keepNext w:val="0"/>
              <w:keepLines w:val="0"/>
              <w:widowControl/>
              <w:numPr>
                <w:ilvl w:val="0"/>
                <w:numId w:val="1"/>
              </w:numPr>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增强学生创新精神和实践能力，提升应用型人才培养质量；</w:t>
            </w:r>
          </w:p>
          <w:p>
            <w:pPr>
              <w:keepNext w:val="0"/>
              <w:keepLines w:val="0"/>
              <w:widowControl/>
              <w:numPr>
                <w:ilvl w:val="0"/>
                <w:numId w:val="1"/>
              </w:numPr>
              <w:suppressLineNumbers w:val="0"/>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提升在绍高校内涵建设水平和办学层次。</w:t>
            </w:r>
          </w:p>
        </w:tc>
      </w:tr>
      <w:tr>
        <w:tblPrEx>
          <w:tblCellMar>
            <w:top w:w="0" w:type="dxa"/>
            <w:left w:w="0" w:type="dxa"/>
            <w:bottom w:w="0" w:type="dxa"/>
            <w:right w:w="0" w:type="dxa"/>
          </w:tblCellMar>
        </w:tblPrEx>
        <w:trPr>
          <w:trHeight w:val="567" w:hRule="atLeast"/>
        </w:trPr>
        <w:tc>
          <w:tcPr>
            <w:tcW w:w="1378"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tabs>
                <w:tab w:val="left" w:pos="403"/>
              </w:tabs>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绩效指标</w:t>
            </w:r>
          </w:p>
        </w:tc>
        <w:tc>
          <w:tcPr>
            <w:tcW w:w="12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一级指标</w:t>
            </w:r>
          </w:p>
        </w:tc>
        <w:tc>
          <w:tcPr>
            <w:tcW w:w="16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二级指标</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三级指标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567" w:hRule="atLeast"/>
        </w:trPr>
        <w:tc>
          <w:tcPr>
            <w:tcW w:w="137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208"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产出指标</w:t>
            </w:r>
          </w:p>
        </w:tc>
        <w:tc>
          <w:tcPr>
            <w:tcW w:w="1627"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数量指标</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评审次数</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p>
        </w:tc>
      </w:tr>
      <w:tr>
        <w:tblPrEx>
          <w:tblCellMar>
            <w:top w:w="0" w:type="dxa"/>
            <w:left w:w="0" w:type="dxa"/>
            <w:bottom w:w="0" w:type="dxa"/>
            <w:right w:w="0" w:type="dxa"/>
          </w:tblCellMar>
        </w:tblPrEx>
        <w:trPr>
          <w:trHeight w:val="567" w:hRule="atLeast"/>
        </w:trPr>
        <w:tc>
          <w:tcPr>
            <w:tcW w:w="137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20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627"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差额立项比例</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p>
        </w:tc>
      </w:tr>
      <w:tr>
        <w:tblPrEx>
          <w:tblCellMar>
            <w:top w:w="0" w:type="dxa"/>
            <w:left w:w="0" w:type="dxa"/>
            <w:bottom w:w="0" w:type="dxa"/>
            <w:right w:w="0" w:type="dxa"/>
          </w:tblCellMar>
        </w:tblPrEx>
        <w:trPr>
          <w:trHeight w:val="567" w:hRule="atLeast"/>
        </w:trPr>
        <w:tc>
          <w:tcPr>
            <w:tcW w:w="137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20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627"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教师各类获奖数量</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p>
        </w:tc>
      </w:tr>
      <w:tr>
        <w:tblPrEx>
          <w:tblCellMar>
            <w:top w:w="0" w:type="dxa"/>
            <w:left w:w="0" w:type="dxa"/>
            <w:bottom w:w="0" w:type="dxa"/>
            <w:right w:w="0" w:type="dxa"/>
          </w:tblCellMar>
        </w:tblPrEx>
        <w:trPr>
          <w:trHeight w:val="567" w:hRule="atLeast"/>
        </w:trPr>
        <w:tc>
          <w:tcPr>
            <w:tcW w:w="137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rPr>
            </w:pPr>
          </w:p>
        </w:tc>
        <w:tc>
          <w:tcPr>
            <w:tcW w:w="120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627"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学生各类获奖数量</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400"/>
              </w:tabs>
              <w:jc w:val="left"/>
              <w:textAlignment w:val="center"/>
              <w:rPr>
                <w:rFonts w:hint="eastAsia" w:ascii="仿宋_GB2312" w:hAnsi="仿宋_GB2312" w:eastAsia="仿宋_GB2312" w:cs="仿宋_GB2312"/>
                <w:b w:val="0"/>
                <w:bCs w:val="0"/>
                <w:i w:val="0"/>
                <w:color w:val="000000"/>
                <w:sz w:val="24"/>
                <w:szCs w:val="24"/>
                <w:u w:val="none"/>
                <w:lang w:eastAsia="zh-CN"/>
              </w:rPr>
            </w:pPr>
            <w:r>
              <w:rPr>
                <w:rFonts w:hint="eastAsia" w:ascii="仿宋_GB2312" w:hAnsi="仿宋_GB2312" w:eastAsia="仿宋_GB2312" w:cs="仿宋_GB2312"/>
                <w:b w:val="0"/>
                <w:bCs w:val="0"/>
                <w:i w:val="0"/>
                <w:color w:val="000000"/>
                <w:sz w:val="24"/>
                <w:szCs w:val="24"/>
                <w:u w:val="none"/>
                <w:lang w:eastAsia="zh-CN"/>
              </w:rPr>
              <w:tab/>
            </w:r>
          </w:p>
        </w:tc>
      </w:tr>
      <w:tr>
        <w:tblPrEx>
          <w:tblCellMar>
            <w:top w:w="0" w:type="dxa"/>
            <w:left w:w="0" w:type="dxa"/>
            <w:bottom w:w="0" w:type="dxa"/>
            <w:right w:w="0" w:type="dxa"/>
          </w:tblCellMar>
        </w:tblPrEx>
        <w:trPr>
          <w:trHeight w:val="567" w:hRule="atLeast"/>
        </w:trPr>
        <w:tc>
          <w:tcPr>
            <w:tcW w:w="137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rPr>
            </w:pPr>
          </w:p>
        </w:tc>
        <w:tc>
          <w:tcPr>
            <w:tcW w:w="120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质量指标</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市级培育项目立项数</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p>
        </w:tc>
      </w:tr>
      <w:tr>
        <w:tblPrEx>
          <w:tblCellMar>
            <w:top w:w="0" w:type="dxa"/>
            <w:left w:w="0" w:type="dxa"/>
            <w:bottom w:w="0" w:type="dxa"/>
            <w:right w:w="0" w:type="dxa"/>
          </w:tblCellMar>
        </w:tblPrEx>
        <w:trPr>
          <w:trHeight w:val="567" w:hRule="atLeast"/>
        </w:trPr>
        <w:tc>
          <w:tcPr>
            <w:tcW w:w="137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rPr>
            </w:pPr>
          </w:p>
        </w:tc>
        <w:tc>
          <w:tcPr>
            <w:tcW w:w="120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省级及以上项目激励数</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rPr>
            </w:pPr>
          </w:p>
        </w:tc>
      </w:tr>
      <w:tr>
        <w:tblPrEx>
          <w:tblCellMar>
            <w:top w:w="0" w:type="dxa"/>
            <w:left w:w="0" w:type="dxa"/>
            <w:bottom w:w="0" w:type="dxa"/>
            <w:right w:w="0" w:type="dxa"/>
          </w:tblCellMar>
        </w:tblPrEx>
        <w:trPr>
          <w:trHeight w:val="567" w:hRule="atLeast"/>
        </w:trPr>
        <w:tc>
          <w:tcPr>
            <w:tcW w:w="137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效益指标</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社会效益指标</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校企合作数</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rPr>
            </w:pPr>
          </w:p>
        </w:tc>
      </w:tr>
      <w:tr>
        <w:tblPrEx>
          <w:tblCellMar>
            <w:top w:w="0" w:type="dxa"/>
            <w:left w:w="0" w:type="dxa"/>
            <w:bottom w:w="0" w:type="dxa"/>
            <w:right w:w="0" w:type="dxa"/>
          </w:tblCellMar>
        </w:tblPrEx>
        <w:trPr>
          <w:trHeight w:val="567" w:hRule="atLeast"/>
        </w:trPr>
        <w:tc>
          <w:tcPr>
            <w:tcW w:w="137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服务政府决策数</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rPr>
            </w:pPr>
          </w:p>
        </w:tc>
      </w:tr>
      <w:tr>
        <w:tblPrEx>
          <w:tblCellMar>
            <w:top w:w="0" w:type="dxa"/>
            <w:left w:w="0" w:type="dxa"/>
            <w:bottom w:w="0" w:type="dxa"/>
            <w:right w:w="0" w:type="dxa"/>
          </w:tblCellMar>
        </w:tblPrEx>
        <w:trPr>
          <w:trHeight w:val="567" w:hRule="atLeast"/>
        </w:trPr>
        <w:tc>
          <w:tcPr>
            <w:tcW w:w="137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可持续影响</w:t>
            </w:r>
          </w:p>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指标</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在同类高校中的竞争力</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rPr>
            </w:pPr>
          </w:p>
        </w:tc>
      </w:tr>
      <w:tr>
        <w:tblPrEx>
          <w:tblCellMar>
            <w:top w:w="0" w:type="dxa"/>
            <w:left w:w="0" w:type="dxa"/>
            <w:bottom w:w="0" w:type="dxa"/>
            <w:right w:w="0" w:type="dxa"/>
          </w:tblCellMar>
        </w:tblPrEx>
        <w:trPr>
          <w:trHeight w:val="567" w:hRule="atLeast"/>
        </w:trPr>
        <w:tc>
          <w:tcPr>
            <w:tcW w:w="137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rPr>
            </w:pP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服务对象满意度指标</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教师满意度</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p>
        </w:tc>
      </w:tr>
      <w:tr>
        <w:tblPrEx>
          <w:tblCellMar>
            <w:top w:w="0" w:type="dxa"/>
            <w:left w:w="0" w:type="dxa"/>
            <w:bottom w:w="0" w:type="dxa"/>
            <w:right w:w="0" w:type="dxa"/>
          </w:tblCellMar>
        </w:tblPrEx>
        <w:trPr>
          <w:trHeight w:val="567" w:hRule="atLeast"/>
        </w:trPr>
        <w:tc>
          <w:tcPr>
            <w:tcW w:w="1378"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lang w:val="en-US" w:eastAsia="zh-CN"/>
              </w:rPr>
            </w:pPr>
            <w:r>
              <w:rPr>
                <w:rFonts w:hint="eastAsia" w:ascii="仿宋_GB2312" w:hAnsi="仿宋_GB2312" w:eastAsia="仿宋_GB2312" w:cs="仿宋_GB2312"/>
                <w:b w:val="0"/>
                <w:bCs w:val="0"/>
                <w:i w:val="0"/>
                <w:color w:val="000000"/>
                <w:sz w:val="24"/>
                <w:szCs w:val="24"/>
                <w:u w:val="none"/>
                <w:lang w:val="en-US" w:eastAsia="zh-CN"/>
              </w:rPr>
              <w:t>学生满意度</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4"/>
                <w:szCs w:val="24"/>
                <w:u w:val="none"/>
              </w:rPr>
            </w:pPr>
          </w:p>
        </w:tc>
      </w:tr>
    </w:tbl>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ind w:firstLine="280" w:firstLineChars="100"/>
        <w:jc w:val="both"/>
        <w:rPr>
          <w:rFonts w:hint="eastAsia" w:ascii="仿宋_GB2312" w:eastAsia="仿宋_GB2312"/>
          <w:sz w:val="28"/>
          <w:szCs w:val="28"/>
          <w:lang w:val="en-US" w:eastAsia="zh-CN"/>
        </w:rPr>
      </w:pPr>
      <w:r>
        <w:rPr>
          <w:rFonts w:hint="eastAsia" w:ascii="仿宋_GB2312" w:eastAsia="仿宋_GB2312"/>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13335</wp:posOffset>
                </wp:positionV>
                <wp:extent cx="543306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4330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1.05pt;height:0pt;width:427.8pt;z-index:251661312;mso-width-relative:page;mso-height-relative:page;" filled="f" stroked="t" coordsize="21600,21600" o:gfxdata="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JqgFNMAAAAEAQAADwAAAAAAAAABACAAAAAiAAAAZHJzL2Rvd25yZXYueG1s&#10;UEsBAhQAFAAAAAgAh07iQFhlzN39AQAA7AMAAA4AAAAAAAAAAQAgAAAAIgEAAGRycy9lMm9Eb2Mu&#10;eG1sUEsFBgAAAAAGAAYAWQEAAJEFAAAAAA==&#10;">
                <v:path arrowok="t"/>
                <v:fill on="f" focussize="0,0"/>
                <v:stroke/>
                <v:imagedata o:title=""/>
                <o:lock v:ext="edit" aspectratio="f"/>
              </v:shape>
            </w:pict>
          </mc:Fallback>
        </mc:AlternateContent>
      </w:r>
      <w:r>
        <w:rPr>
          <w:rFonts w:hint="eastAsia" w:ascii="仿宋_GB2312" w:eastAsia="仿宋_GB2312"/>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426720</wp:posOffset>
                </wp:positionV>
                <wp:extent cx="541147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4114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pt;margin-top:33.6pt;height:0pt;width:426.1pt;z-index:251660288;mso-width-relative:page;mso-height-relative:page;" filled="f" stroked="t" coordsize="21600,21600" o:gfxdata="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vA4vnVAAAABwEAAA8AAAAAAAAAAQAgAAAAIgAAAGRycy9kb3ducmV2Lnht&#10;bFBLAQIUABQAAAAIAIdO4kA82jXf/AEAAOwDAAAOAAAAAAAAAAEAIAAAACQBAABkcnMvZTJvRG9j&#10;LnhtbFBLBQYAAAAABgAGAFkBAACSBQAAAAA=&#10;">
                <v:path arrowok="t"/>
                <v:fill on="f" focussize="0,0"/>
                <v:stroke/>
                <v:imagedata o:title=""/>
                <o:lock v:ext="edit" aspectratio="f"/>
              </v:shape>
            </w:pict>
          </mc:Fallback>
        </mc:AlternateContent>
      </w:r>
      <w:r>
        <w:rPr>
          <w:rFonts w:hint="eastAsia" w:ascii="仿宋_GB2312" w:eastAsia="仿宋_GB2312"/>
          <w:sz w:val="28"/>
          <w:szCs w:val="28"/>
          <w:lang w:val="en-US" w:eastAsia="zh-CN"/>
        </w:rPr>
        <w:t xml:space="preserve">绍兴市财政局办公室                   </w:t>
      </w:r>
      <w:bookmarkStart w:id="7" w:name="yfDate"/>
      <w:r>
        <w:rPr>
          <w:rFonts w:hint="eastAsia" w:ascii="仿宋_GB2312" w:eastAsia="仿宋_GB2312"/>
          <w:sz w:val="28"/>
          <w:szCs w:val="28"/>
          <w:lang w:val="en-US" w:eastAsia="zh-CN"/>
        </w:rPr>
        <w:t>2020年10月27日</w:t>
      </w:r>
      <w:bookmarkEnd w:id="7"/>
      <w:r>
        <w:rPr>
          <w:rFonts w:hint="eastAsia" w:ascii="仿宋_GB2312" w:eastAsia="仿宋_GB2312"/>
          <w:sz w:val="28"/>
          <w:szCs w:val="28"/>
          <w:lang w:val="en-US" w:eastAsia="zh-CN"/>
        </w:rPr>
        <w:t>印发</w:t>
      </w:r>
    </w:p>
    <w:p/>
    <w:sectPr>
      <w:headerReference r:id="rId3" w:type="default"/>
      <w:footerReference r:id="rId4" w:type="default"/>
      <w:footerReference r:id="rId5" w:type="even"/>
      <w:pgSz w:w="11906" w:h="16838"/>
      <w:pgMar w:top="2438" w:right="1644" w:bottom="1701" w:left="1644"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6"/>
        <w:rFonts w:hint="eastAsia"/>
        <w:sz w:val="24"/>
      </w:rPr>
    </w:pPr>
    <w:r>
      <w:rPr>
        <w:rStyle w:val="6"/>
        <w:rFonts w:hint="eastAsia"/>
        <w:sz w:val="24"/>
      </w:rPr>
      <w:t xml:space="preserve">— </w:t>
    </w:r>
    <w:r>
      <w:rPr>
        <w:sz w:val="24"/>
      </w:rPr>
      <w:fldChar w:fldCharType="begin"/>
    </w:r>
    <w:r>
      <w:rPr>
        <w:rStyle w:val="6"/>
        <w:sz w:val="24"/>
      </w:rPr>
      <w:instrText xml:space="preserve">PAGE  </w:instrText>
    </w:r>
    <w:r>
      <w:rPr>
        <w:sz w:val="24"/>
      </w:rPr>
      <w:fldChar w:fldCharType="separate"/>
    </w:r>
    <w:r>
      <w:rPr>
        <w:rStyle w:val="6"/>
        <w:sz w:val="24"/>
      </w:rPr>
      <w:t>1</w:t>
    </w:r>
    <w:r>
      <w:rPr>
        <w:sz w:val="24"/>
      </w:rPr>
      <w:fldChar w:fldCharType="end"/>
    </w:r>
    <w:r>
      <w:rPr>
        <w:rStyle w:val="6"/>
        <w:rFonts w:hint="eastAsia"/>
        <w:sz w:val="24"/>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72EC5"/>
    <w:multiLevelType w:val="singleLevel"/>
    <w:tmpl w:val="5EE72EC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F08C4"/>
    <w:rsid w:val="04BF0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2022-12-20T08:30:00Z</dcterms:created>
  <dc:creator>何婷茹</dc:creator>
  <cp:lastModifiedBy>何婷茹</cp:lastModifiedBy>
  <dcterms:modified xsi:type="dcterms:W3CDTF">2022-12-20T08:31:00Z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