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24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color w:val="343434"/>
          <w:sz w:val="32"/>
          <w:szCs w:val="32"/>
        </w:rPr>
        <w:t>ZJDC12-2022-0003</w:t>
      </w:r>
    </w:p>
    <w:tbl>
      <w:tblPr>
        <w:tblStyle w:val="6"/>
        <w:tblpPr w:leftFromText="180" w:rightFromText="180" w:vertAnchor="text" w:horzAnchor="page" w:tblpX="1607" w:tblpY="405"/>
        <w:tblOverlap w:val="never"/>
        <w:tblW w:w="9060" w:type="dxa"/>
        <w:tblInd w:w="0" w:type="dxa"/>
        <w:tblLayout w:type="fixed"/>
        <w:tblCellMar>
          <w:top w:w="0" w:type="dxa"/>
          <w:left w:w="108" w:type="dxa"/>
          <w:bottom w:w="0" w:type="dxa"/>
          <w:right w:w="108" w:type="dxa"/>
        </w:tblCellMar>
      </w:tblPr>
      <w:tblGrid>
        <w:gridCol w:w="7238"/>
        <w:gridCol w:w="1822"/>
      </w:tblGrid>
      <w:tr>
        <w:tblPrEx>
          <w:tblCellMar>
            <w:top w:w="0" w:type="dxa"/>
            <w:left w:w="108" w:type="dxa"/>
            <w:bottom w:w="0" w:type="dxa"/>
            <w:right w:w="108" w:type="dxa"/>
          </w:tblCellMar>
        </w:tblPrEx>
        <w:trPr>
          <w:trHeight w:val="1204" w:hRule="atLeast"/>
          <w:hidden/>
        </w:trPr>
        <w:tc>
          <w:tcPr>
            <w:tcW w:w="7238" w:type="dxa"/>
            <w:vAlign w:val="center"/>
          </w:tcPr>
          <w:p>
            <w:pPr>
              <w:jc w:val="distribute"/>
              <w:rPr>
                <w:rFonts w:hint="eastAsia" w:ascii="方正小标宋简体" w:hAnsi="方正小标宋简体" w:eastAsia="方正小标宋简体" w:cs="方正小标宋简体"/>
                <w:vanish w:val="0"/>
                <w:color w:val="FF0000"/>
                <w:sz w:val="72"/>
                <w:szCs w:val="72"/>
                <w:lang w:val="en" w:eastAsia="zh-CN"/>
              </w:rPr>
            </w:pPr>
            <w:bookmarkStart w:id="0" w:name="docHead"/>
            <w:r>
              <w:rPr>
                <w:rFonts w:hint="eastAsia" w:ascii="方正小标宋简体" w:hAnsi="方正小标宋简体" w:eastAsia="方正小标宋简体" w:cs="方正小标宋简体"/>
                <w:vanish w:val="0"/>
                <w:color w:val="FF0000"/>
                <w:sz w:val="68"/>
                <w:szCs w:val="72"/>
                <w:lang w:val="en" w:eastAsia="zh-CN"/>
              </w:rPr>
              <w:t>绍兴市财政局</w:t>
            </w:r>
            <w:bookmarkEnd w:id="0"/>
          </w:p>
        </w:tc>
        <w:tc>
          <w:tcPr>
            <w:tcW w:w="1822" w:type="dxa"/>
            <w:vAlign w:val="center"/>
          </w:tcPr>
          <w:p>
            <w:pPr>
              <w:rPr>
                <w:rFonts w:hint="default" w:ascii="方正小标宋简体" w:hAnsi="方正小标宋简体" w:eastAsia="方正小标宋简体" w:cs="方正小标宋简体"/>
                <w:vanish w:val="0"/>
                <w:color w:val="FF0000"/>
                <w:sz w:val="72"/>
                <w:szCs w:val="72"/>
                <w:lang w:val="en"/>
              </w:rPr>
            </w:pPr>
          </w:p>
        </w:tc>
      </w:tr>
      <w:tr>
        <w:tblPrEx>
          <w:tblCellMar>
            <w:top w:w="0" w:type="dxa"/>
            <w:left w:w="108" w:type="dxa"/>
            <w:bottom w:w="0" w:type="dxa"/>
            <w:right w:w="108" w:type="dxa"/>
          </w:tblCellMar>
        </w:tblPrEx>
        <w:trPr>
          <w:trHeight w:val="1204" w:hRule="atLeast"/>
          <w:hidden/>
        </w:trPr>
        <w:tc>
          <w:tcPr>
            <w:tcW w:w="7238" w:type="dxa"/>
            <w:vAlign w:val="center"/>
          </w:tcPr>
          <w:p>
            <w:pPr>
              <w:rPr>
                <w:rFonts w:hint="default" w:ascii="方正小标宋简体" w:hAnsi="方正小标宋简体" w:eastAsia="方正小标宋简体" w:cs="方正小标宋简体"/>
                <w:vanish w:val="0"/>
                <w:color w:val="FF0000"/>
                <w:sz w:val="72"/>
                <w:szCs w:val="72"/>
                <w:lang w:val="en"/>
              </w:rPr>
            </w:pPr>
            <w:r>
              <w:rPr>
                <w:rFonts w:hint="eastAsia" w:ascii="方正小标宋简体" w:hAnsi="方正小标宋简体" w:eastAsia="方正小标宋简体" w:cs="方正小标宋简体"/>
                <w:vanish w:val="0"/>
                <w:color w:val="FF0000"/>
                <w:w w:val="89"/>
                <w:sz w:val="72"/>
                <w:szCs w:val="72"/>
                <w:lang w:eastAsia="zh-CN"/>
              </w:rPr>
              <w:t>绍兴市住房和城乡建设局</w:t>
            </w:r>
            <w:r>
              <w:rPr>
                <w:rFonts w:hint="default" w:ascii="方正小标宋简体" w:hAnsi="方正小标宋简体" w:eastAsia="方正小标宋简体" w:cs="方正小标宋简体"/>
                <w:b w:val="0"/>
                <w:bCs/>
                <w:sz w:val="44"/>
                <w:szCs w:val="44"/>
                <w:lang w:val="en"/>
              </w:rPr>
              <w:t xml:space="preserve"> </w:t>
            </w:r>
          </w:p>
        </w:tc>
        <w:tc>
          <w:tcPr>
            <w:tcW w:w="1822" w:type="dxa"/>
            <w:vAlign w:val="center"/>
          </w:tcPr>
          <w:p>
            <w:pPr>
              <w:rPr>
                <w:rFonts w:hint="eastAsia" w:ascii="方正小标宋简体" w:hAnsi="方正小标宋简体" w:eastAsia="方正小标宋简体" w:cs="方正小标宋简体"/>
                <w:vanish w:val="0"/>
                <w:color w:val="FF0000"/>
                <w:sz w:val="72"/>
                <w:szCs w:val="72"/>
                <w:lang w:val="en" w:eastAsia="zh-CN"/>
              </w:rPr>
            </w:pPr>
            <w:bookmarkStart w:id="1" w:name="docHeadType"/>
            <w:r>
              <w:rPr>
                <w:rFonts w:hint="eastAsia" w:ascii="方正小标宋简体" w:hAnsi="方正小标宋简体" w:eastAsia="方正小标宋简体" w:cs="方正小标宋简体"/>
                <w:vanish w:val="0"/>
                <w:color w:val="FF0000"/>
                <w:sz w:val="68"/>
                <w:szCs w:val="72"/>
                <w:lang w:val="en" w:eastAsia="zh-CN"/>
              </w:rPr>
              <w:t>文件</w:t>
            </w:r>
            <w:bookmarkEnd w:id="1"/>
          </w:p>
        </w:tc>
      </w:tr>
      <w:tr>
        <w:tblPrEx>
          <w:tblCellMar>
            <w:top w:w="0" w:type="dxa"/>
            <w:left w:w="108" w:type="dxa"/>
            <w:bottom w:w="0" w:type="dxa"/>
            <w:right w:w="108" w:type="dxa"/>
          </w:tblCellMar>
        </w:tblPrEx>
        <w:trPr>
          <w:trHeight w:val="1204" w:hRule="atLeast"/>
          <w:hidden/>
        </w:trPr>
        <w:tc>
          <w:tcPr>
            <w:tcW w:w="7238" w:type="dxa"/>
            <w:vAlign w:val="center"/>
          </w:tcPr>
          <w:p>
            <w:pPr>
              <w:rPr>
                <w:rFonts w:hint="default" w:ascii="方正小标宋简体" w:hAnsi="方正小标宋简体" w:eastAsia="方正小标宋简体" w:cs="方正小标宋简体"/>
                <w:vanish w:val="0"/>
                <w:color w:val="FF0000"/>
                <w:sz w:val="72"/>
                <w:szCs w:val="72"/>
                <w:lang w:val="en"/>
              </w:rPr>
            </w:pPr>
            <w:r>
              <w:rPr>
                <w:rFonts w:hint="eastAsia" w:ascii="方正小标宋简体" w:hAnsi="方正小标宋简体" w:eastAsia="方正小标宋简体" w:cs="方正小标宋简体"/>
                <w:vanish w:val="0"/>
                <w:color w:val="FF0000"/>
                <w:w w:val="89"/>
                <w:sz w:val="72"/>
                <w:szCs w:val="72"/>
                <w:lang w:eastAsia="zh-CN"/>
              </w:rPr>
              <w:t>绍兴市发展和改革委员会</w:t>
            </w:r>
          </w:p>
        </w:tc>
        <w:tc>
          <w:tcPr>
            <w:tcW w:w="1822" w:type="dxa"/>
            <w:vAlign w:val="center"/>
          </w:tcPr>
          <w:p>
            <w:pPr>
              <w:rPr>
                <w:rFonts w:hint="default" w:ascii="方正小标宋简体" w:hAnsi="方正小标宋简体" w:eastAsia="方正小标宋简体" w:cs="方正小标宋简体"/>
                <w:vanish w:val="0"/>
                <w:color w:val="FF0000"/>
                <w:sz w:val="72"/>
                <w:szCs w:val="72"/>
                <w:lang w:val="en"/>
              </w:rPr>
            </w:pPr>
          </w:p>
        </w:tc>
      </w:tr>
    </w:tbl>
    <w:p>
      <w:pPr>
        <w:rPr>
          <w:vanish w:val="0"/>
          <w:sz w:val="10"/>
          <w:szCs w:val="10"/>
        </w:rPr>
      </w:pPr>
    </w:p>
    <w:p>
      <w:pPr>
        <w:rPr>
          <w:vanish w:val="0"/>
        </w:rPr>
      </w:pPr>
    </w:p>
    <w:p>
      <w:pPr>
        <w:rPr>
          <w:vanish w:val="0"/>
        </w:rPr>
      </w:pPr>
    </w:p>
    <w:p>
      <w:pPr>
        <w:spacing w:line="600" w:lineRule="exact"/>
        <w:ind w:firstLine="2560" w:firstLineChars="8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 w:eastAsia="zh-CN"/>
        </w:rPr>
        <w:t>绍市财建〔</w:t>
      </w:r>
      <w:r>
        <w:rPr>
          <w:rFonts w:hint="eastAsia" w:ascii="仿宋_GB2312" w:hAnsi="Times New Roman" w:eastAsia="仿宋_GB2312" w:cs="Times New Roman"/>
          <w:sz w:val="32"/>
          <w:szCs w:val="32"/>
          <w:lang w:val="en-US" w:eastAsia="zh-CN"/>
        </w:rPr>
        <w:t>2022</w:t>
      </w:r>
      <w:r>
        <w:rPr>
          <w:rFonts w:hint="eastAsia" w:ascii="仿宋_GB2312" w:hAnsi="Times New Roman" w:eastAsia="仿宋_GB2312" w:cs="Times New Roman"/>
          <w:sz w:val="32"/>
          <w:szCs w:val="32"/>
          <w:lang w:val="en" w:eastAsia="zh-CN"/>
        </w:rPr>
        <w:t>〕</w:t>
      </w:r>
      <w:r>
        <w:rPr>
          <w:rFonts w:hint="eastAsia" w:ascii="仿宋_GB2312" w:hAnsi="Times New Roman" w:eastAsia="仿宋_GB2312" w:cs="Times New Roman"/>
          <w:sz w:val="32"/>
          <w:szCs w:val="32"/>
          <w:lang w:val="en-US" w:eastAsia="zh-CN"/>
        </w:rPr>
        <w:t>18号</w:t>
      </w:r>
    </w:p>
    <w:p>
      <w:pPr>
        <w:jc w:val="center"/>
        <w:rPr>
          <w:rFonts w:hint="eastAsia" w:ascii="方正小标宋简体" w:hAnsi="方正小标宋简体" w:eastAsia="方正小标宋简体" w:cs="方正小标宋简体"/>
          <w:sz w:val="44"/>
          <w:szCs w:val="44"/>
        </w:rPr>
      </w:pPr>
      <w:r>
        <mc:AlternateContent>
          <mc:Choice Requires="wps">
            <w:drawing>
              <wp:anchor distT="0" distB="0" distL="114300" distR="114300" simplePos="0" relativeHeight="251659264" behindDoc="0" locked="0" layoutInCell="0" allowOverlap="1">
                <wp:simplePos x="0" y="0"/>
                <wp:positionH relativeFrom="column">
                  <wp:posOffset>-35560</wp:posOffset>
                </wp:positionH>
                <wp:positionV relativeFrom="paragraph">
                  <wp:posOffset>192405</wp:posOffset>
                </wp:positionV>
                <wp:extent cx="5600700" cy="0"/>
                <wp:effectExtent l="0" t="13970" r="0" b="14605"/>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pt;margin-top:15.15pt;height:0pt;width:441pt;z-index:251659264;mso-width-relative:page;mso-height-relative:page;" filled="f" stroked="t" coordsize="21600,21600" o:allowincell="f" o:gfxdata="UEsDBAoAAAAAAIdO4kAAAAAAAAAAAAAAAAAEAAAAZHJzL1BLAwQUAAAACACHTuJATb1EV9cAAAAI&#10;AQAADwAAAGRycy9kb3ducmV2LnhtbE2PzW7CMBCE75V4B2uRegMbaNMojYOgam+VUNMfribexhHx&#10;OopNCG+Pqx7a4+yMZr7N16Nt2YC9bxxJWMwFMKTK6YZqCR/vL7MUmA+KtGodoYQLelgXk5tcZdqd&#10;6Q2HMtQslpDPlAQTQpdx7iuDVvm565Ci9+16q0KUfc11r86x3LZ8KUTCrWooLhjV4ZPB6lierITx&#10;K92Y/WvYPrvPnTmO+9IOy4uUt9OFeAQWcAx/YfjBj+hQRKaDO5H2rJUwu09iUsJKrIBFP31I7oAd&#10;fg+8yPn/B4orUEsDBBQAAAAIAIdO4kBw04zR9wEAAOUDAAAOAAAAZHJzL2Uyb0RvYy54bWytU82O&#10;0zAQviPxDpbvNGml7q6ipnuglAuClRYeYOo4iSX/yeM27UvwAkjc4MSRO2/D8hiMnW4Xdi89bA7O&#10;2DP+Zr5vxovrvdFsJwMqZ2s+nZScSStco2xX808f16+uOMMItgHtrKz5QSK/Xr58sRh8JWeud7qR&#10;gRGIxWrwNe9j9FVRoOilAZw4Ly05WxcMRNqGrmgCDIRudDEry4ticKHxwQmJSKer0cmPiOEcQNe2&#10;SsiVE1sjbRxRg9QQiRL2yiNf5mrbVor4oW1RRqZrTkxjXikJ2Zu0FssFVF0A3ytxLAHOKeERJwPK&#10;UtIT1AoisG1QT6CMEsGha+NEOFOMRLIixGJaPtLmtgcvMxeSGv1JdHw+WPF+dxOYamgSOLNgqOF3&#10;X37+/vztz6+vtN79+M6mSaTBY0Wxt/4mHHdIZmK8b4NJf+LC9lnYw0lYuY9M0OH8oiwvS9Jc3PuK&#10;h4s+YHwrnWHJqLlWNnGGCnbvMFIyCr0PScfasqHms6v55ZzwgCawpc6TaTyxQNvly+i0atZK63QF&#10;Q7d5rQPbAU3Bel3SlzgR8H9hKcsKsB/jsmucj15C88Y2LB486WPpWfBUg5ENZ1rSK0oWAUIVQelz&#10;Iim1tlRBknUUMlkb1xyoG1sfVNeTFFn5HEPdz/UeJzWN17/7jPTwOpd/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29RFfXAAAACAEAAA8AAAAAAAAAAQAgAAAAIgAAAGRycy9kb3ducmV2LnhtbFBL&#10;AQIUABQAAAAIAIdO4kBw04zR9wEAAOUDAAAOAAAAAAAAAAEAIAAAACYBAABkcnMvZTJvRG9jLnht&#10;bFBLBQYAAAAABgAGAFkBAACPBQAAAAA=&#10;">
                <v:path arrowok="t"/>
                <v:fill on="f" focussize="0,0"/>
                <v:stroke weight="2.25pt" color="#FF0000"/>
                <v:imagedata o:title=""/>
                <o:lock v:ext="edit" grouping="f" rotation="f" text="f" aspectratio="f"/>
              </v:line>
            </w:pict>
          </mc:Fallback>
        </mc:AlternateContent>
      </w:r>
    </w:p>
    <w:p>
      <w:pPr>
        <w:adjustRightInd w:val="0"/>
        <w:snapToGrid w:val="0"/>
        <w:spacing w:line="0" w:lineRule="atLeast"/>
        <w:jc w:val="center"/>
        <w:rPr>
          <w:rFonts w:hint="eastAsia" w:ascii="方正小标宋简体" w:hAnsi="方正小标宋简体" w:eastAsia="方正小标宋简体" w:cs="方正小标宋简体"/>
          <w:b w:val="0"/>
          <w:bCs/>
          <w:sz w:val="44"/>
          <w:szCs w:val="44"/>
        </w:rPr>
      </w:pPr>
      <w:bookmarkStart w:id="2" w:name="docTitle"/>
      <w:r>
        <w:rPr>
          <w:rFonts w:hint="eastAsia" w:ascii="方正小标宋简体" w:hAnsi="方正小标宋简体" w:eastAsia="方正小标宋简体" w:cs="方正小标宋简体"/>
          <w:b w:val="0"/>
          <w:bCs/>
          <w:sz w:val="44"/>
          <w:szCs w:val="44"/>
          <w:lang w:val="en" w:eastAsia="zh-CN"/>
        </w:rPr>
        <w:t>绍兴市财政局  绍兴市住房和城乡建设局  绍兴市发展和改革委员会关于印发《绍兴市市级政府投资项目工程总承包管理办法》的通知</w:t>
      </w:r>
      <w:bookmarkEnd w:id="2"/>
      <w:r>
        <w:rPr>
          <w:rFonts w:hint="eastAsia" w:ascii="方正小标宋简体" w:hAnsi="方正小标宋简体" w:eastAsia="方正小标宋简体" w:cs="方正小标宋简体"/>
          <w:b w:val="0"/>
          <w:bCs/>
          <w:sz w:val="44"/>
          <w:szCs w:val="44"/>
        </w:rPr>
        <w:t xml:space="preserve"> </w:t>
      </w:r>
    </w:p>
    <w:p>
      <w:pPr>
        <w:spacing w:line="420" w:lineRule="exact"/>
        <w:ind w:firstLine="643" w:firstLineChars="200"/>
        <w:outlineLvl w:val="0"/>
        <w:rPr>
          <w:b/>
          <w:sz w:val="32"/>
          <w:szCs w:val="32"/>
        </w:rPr>
      </w:pPr>
    </w:p>
    <w:p>
      <w:pPr>
        <w:spacing w:line="600" w:lineRule="exact"/>
        <w:rPr>
          <w:rFonts w:hint="eastAsia" w:ascii="仿宋_GB2312" w:eastAsia="仿宋_GB2312"/>
          <w:sz w:val="32"/>
          <w:szCs w:val="32"/>
        </w:rPr>
      </w:pPr>
      <w:bookmarkStart w:id="3" w:name="mainSend"/>
      <w:r>
        <w:rPr>
          <w:rFonts w:hint="eastAsia" w:ascii="仿宋_GB2312" w:eastAsia="仿宋_GB2312"/>
          <w:sz w:val="32"/>
          <w:szCs w:val="32"/>
          <w:lang w:val="en" w:eastAsia="zh-CN"/>
        </w:rPr>
        <w:t>市级各部门、单位</w:t>
      </w:r>
      <w:bookmarkEnd w:id="3"/>
      <w:r>
        <w:rPr>
          <w:rFonts w:hint="eastAsia" w:ascii="仿宋_GB2312" w:eastAsia="仿宋_GB2312"/>
          <w:sz w:val="32"/>
          <w:szCs w:val="32"/>
        </w:rPr>
        <w:t>：</w:t>
      </w:r>
    </w:p>
    <w:p>
      <w:pPr>
        <w:adjustRightInd w:val="0"/>
        <w:snapToGrid w:val="0"/>
        <w:spacing w:beforeLines="0" w:afterLines="0" w:line="56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为切实加强政府投资项目管理，规范工程总承包项目建设，提高投资效益和工程质量，特制定《绍兴市市级政府投资</w:t>
      </w:r>
    </w:p>
    <w:p>
      <w:pPr>
        <w:adjustRightInd w:val="0"/>
        <w:snapToGrid w:val="0"/>
        <w:spacing w:beforeLines="0" w:afterLines="0" w:line="560" w:lineRule="exact"/>
        <w:ind w:firstLine="0" w:firstLineChars="0"/>
        <w:rPr>
          <w:rFonts w:hint="eastAsia" w:ascii="仿宋_GB2312" w:eastAsia="仿宋_GB2312"/>
          <w:sz w:val="32"/>
          <w:szCs w:val="32"/>
          <w:lang w:val="en-US" w:eastAsia="zh-CN"/>
        </w:rPr>
      </w:pPr>
      <w:r>
        <w:rPr>
          <w:rFonts w:hint="eastAsia" w:ascii="仿宋_GB2312" w:eastAsia="仿宋_GB2312"/>
          <w:spacing w:val="0"/>
          <w:sz w:val="32"/>
          <w:szCs w:val="32"/>
          <w:lang w:val="en-US" w:eastAsia="zh-CN"/>
        </w:rPr>
        <w:t>项目工程总承包管理办法》，现印发给你们，请遵照执行。</w:t>
      </w:r>
    </w:p>
    <w:p>
      <w:pPr>
        <w:spacing w:line="560" w:lineRule="exact"/>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绍兴市财政局              绍兴市住房和城乡建设局                       </w:t>
      </w: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spacing w:line="560" w:lineRule="exact"/>
        <w:ind w:firstLine="2560" w:firstLineChars="800"/>
        <w:rPr>
          <w:rFonts w:hint="eastAsia" w:ascii="仿宋_GB2312" w:eastAsia="仿宋_GB2312"/>
          <w:sz w:val="32"/>
          <w:szCs w:val="32"/>
          <w:lang w:val="en-US" w:eastAsia="zh-CN"/>
        </w:rPr>
      </w:pPr>
      <w:r>
        <w:rPr>
          <w:rFonts w:hint="eastAsia" w:ascii="仿宋_GB2312" w:eastAsia="仿宋_GB2312"/>
          <w:sz w:val="32"/>
          <w:szCs w:val="32"/>
          <w:lang w:val="en-US" w:eastAsia="zh-CN"/>
        </w:rPr>
        <w:t>绍兴市发展和改革委员会</w:t>
      </w:r>
    </w:p>
    <w:p>
      <w:pPr>
        <w:spacing w:line="5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2022年9月30日</w:t>
      </w: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bookmarkStart w:id="5" w:name="_GoBack"/>
      <w:bookmarkEnd w:id="5"/>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pStyle w:val="5"/>
        <w:pBdr>
          <w:top w:val="none" w:color="auto" w:sz="0" w:space="0"/>
          <w:left w:val="none" w:color="auto" w:sz="0" w:space="0"/>
          <w:bottom w:val="none" w:color="auto" w:sz="0" w:space="0"/>
          <w:right w:val="none" w:color="auto" w:sz="0" w:space="0"/>
        </w:pBdr>
        <w:shd w:val="clear" w:color="auto" w:fill="FFFFFF"/>
        <w:adjustRightInd w:val="0"/>
        <w:snapToGrid w:val="0"/>
        <w:spacing w:before="0" w:beforeLines="0" w:beforeAutospacing="0" w:after="0" w:afterLines="0" w:afterAutospacing="0" w:line="560" w:lineRule="exact"/>
        <w:jc w:val="center"/>
        <w:rPr>
          <w:rFonts w:hint="eastAsia" w:ascii="方正小标宋简体" w:hAnsi="方正小标宋简体" w:eastAsia="方正小标宋简体" w:cs="方正小标宋简体"/>
          <w:i w:val="0"/>
          <w:caps w:val="0"/>
          <w:color w:val="121212"/>
          <w:spacing w:val="0"/>
          <w:sz w:val="44"/>
          <w:szCs w:val="44"/>
          <w:highlight w:val="none"/>
          <w:shd w:val="clear" w:color="auto" w:fill="FFFFFF"/>
          <w:lang w:eastAsia="zh-CN"/>
        </w:rPr>
      </w:pPr>
      <w:r>
        <w:rPr>
          <w:rFonts w:hint="eastAsia" w:ascii="方正小标宋简体" w:hAnsi="方正小标宋简体" w:eastAsia="方正小标宋简体" w:cs="方正小标宋简体"/>
          <w:i w:val="0"/>
          <w:caps w:val="0"/>
          <w:color w:val="343434"/>
          <w:spacing w:val="-6"/>
          <w:sz w:val="44"/>
          <w:szCs w:val="44"/>
          <w:highlight w:val="none"/>
          <w:lang w:eastAsia="zh-CN"/>
        </w:rPr>
        <w:t>绍兴市</w:t>
      </w:r>
      <w:r>
        <w:rPr>
          <w:rFonts w:hint="eastAsia" w:ascii="方正小标宋简体" w:hAnsi="方正小标宋简体" w:eastAsia="方正小标宋简体" w:cs="方正小标宋简体"/>
          <w:i w:val="0"/>
          <w:caps w:val="0"/>
          <w:color w:val="343434"/>
          <w:spacing w:val="-6"/>
          <w:sz w:val="44"/>
          <w:szCs w:val="44"/>
          <w:highlight w:val="none"/>
          <w:lang w:val="en-US" w:eastAsia="zh-CN"/>
        </w:rPr>
        <w:t>市级</w:t>
      </w:r>
      <w:r>
        <w:rPr>
          <w:rFonts w:hint="eastAsia" w:ascii="方正小标宋简体" w:hAnsi="方正小标宋简体" w:eastAsia="方正小标宋简体" w:cs="方正小标宋简体"/>
          <w:i w:val="0"/>
          <w:caps w:val="0"/>
          <w:color w:val="343434"/>
          <w:spacing w:val="-6"/>
          <w:sz w:val="44"/>
          <w:szCs w:val="44"/>
          <w:highlight w:val="none"/>
        </w:rPr>
        <w:t>政府投资</w:t>
      </w:r>
      <w:r>
        <w:rPr>
          <w:rFonts w:hint="eastAsia" w:ascii="方正小标宋简体" w:hAnsi="方正小标宋简体" w:eastAsia="方正小标宋简体" w:cs="方正小标宋简体"/>
          <w:i w:val="0"/>
          <w:caps w:val="0"/>
          <w:color w:val="343434"/>
          <w:spacing w:val="-6"/>
          <w:sz w:val="44"/>
          <w:szCs w:val="44"/>
          <w:highlight w:val="none"/>
          <w:lang w:val="en-US" w:eastAsia="zh-CN"/>
        </w:rPr>
        <w:t>项目</w:t>
      </w:r>
      <w:r>
        <w:rPr>
          <w:rFonts w:hint="eastAsia" w:ascii="方正小标宋简体" w:hAnsi="方正小标宋简体" w:eastAsia="方正小标宋简体" w:cs="方正小标宋简体"/>
          <w:i w:val="0"/>
          <w:caps w:val="0"/>
          <w:color w:val="343434"/>
          <w:spacing w:val="-6"/>
          <w:sz w:val="44"/>
          <w:szCs w:val="44"/>
          <w:highlight w:val="none"/>
        </w:rPr>
        <w:t>工</w:t>
      </w:r>
      <w:r>
        <w:rPr>
          <w:rFonts w:hint="eastAsia" w:ascii="方正小标宋简体" w:hAnsi="方正小标宋简体" w:eastAsia="方正小标宋简体" w:cs="方正小标宋简体"/>
          <w:i w:val="0"/>
          <w:caps w:val="0"/>
          <w:color w:val="343434"/>
          <w:spacing w:val="-6"/>
          <w:sz w:val="44"/>
          <w:szCs w:val="44"/>
          <w:highlight w:val="none"/>
          <w:lang w:val="en-US" w:eastAsia="zh-CN"/>
        </w:rPr>
        <w:t>程总承包</w:t>
      </w:r>
      <w:r>
        <w:rPr>
          <w:rFonts w:hint="eastAsia" w:ascii="方正小标宋简体" w:hAnsi="方正小标宋简体" w:eastAsia="方正小标宋简体" w:cs="方正小标宋简体"/>
          <w:i w:val="0"/>
          <w:caps w:val="0"/>
          <w:color w:val="121212"/>
          <w:spacing w:val="-6"/>
          <w:sz w:val="44"/>
          <w:szCs w:val="44"/>
          <w:highlight w:val="none"/>
          <w:shd w:val="clear" w:color="auto" w:fill="FFFFFF"/>
        </w:rPr>
        <w:t>管理办法</w:t>
      </w:r>
    </w:p>
    <w:p>
      <w:pPr>
        <w:pStyle w:val="5"/>
        <w:pBdr>
          <w:top w:val="none" w:color="auto" w:sz="0" w:space="0"/>
          <w:left w:val="none" w:color="auto" w:sz="0" w:space="0"/>
          <w:bottom w:val="none" w:color="auto" w:sz="0" w:space="0"/>
          <w:right w:val="none" w:color="auto" w:sz="0" w:space="0"/>
        </w:pBdr>
        <w:shd w:val="clear" w:color="auto" w:fill="FFFFFF"/>
        <w:adjustRightInd w:val="0"/>
        <w:snapToGrid w:val="0"/>
        <w:spacing w:before="0" w:beforeLines="0" w:beforeAutospacing="0" w:after="0" w:afterLines="0" w:afterAutospacing="0" w:line="560" w:lineRule="exact"/>
        <w:jc w:val="center"/>
        <w:rPr>
          <w:rFonts w:hint="eastAsia" w:ascii="方正小标宋简体" w:hAnsi="方正小标宋简体" w:eastAsia="方正小标宋简体" w:cs="方正小标宋简体"/>
          <w:i w:val="0"/>
          <w:caps w:val="0"/>
          <w:color w:val="121212"/>
          <w:spacing w:val="0"/>
          <w:sz w:val="44"/>
          <w:szCs w:val="44"/>
          <w:highlight w:val="none"/>
          <w:shd w:val="clear" w:color="auto" w:fill="FFFFFF"/>
          <w:lang w:eastAsia="zh-CN"/>
        </w:rPr>
      </w:pP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firstLine="640" w:firstLineChars="200"/>
        <w:rPr>
          <w:rFonts w:hint="eastAsia" w:ascii="仿宋_GB2312" w:hAnsi="仿宋_GB2312" w:eastAsia="仿宋_GB2312" w:cs="仿宋_GB2312"/>
          <w:b w:val="0"/>
          <w:bCs w:val="0"/>
          <w:caps w:val="0"/>
          <w:color w:val="auto"/>
          <w:spacing w:val="0"/>
          <w:sz w:val="32"/>
          <w:szCs w:val="32"/>
          <w:highlight w:val="none"/>
          <w:u w:val="none"/>
          <w:shd w:val="clear" w:color="auto" w:fill="FFFFFF"/>
        </w:rPr>
      </w:pPr>
      <w:r>
        <w:rPr>
          <w:rFonts w:hint="eastAsia" w:ascii="黑体" w:hAnsi="黑体" w:eastAsia="黑体" w:cs="黑体"/>
          <w:b w:val="0"/>
          <w:bCs/>
          <w:caps w:val="0"/>
          <w:color w:val="333333"/>
          <w:spacing w:val="0"/>
          <w:sz w:val="32"/>
          <w:szCs w:val="32"/>
          <w:highlight w:val="none"/>
          <w:shd w:val="clear" w:color="auto" w:fill="FFFFFF"/>
          <w:lang w:eastAsia="zh-CN"/>
        </w:rPr>
        <w:t>一、</w:t>
      </w:r>
      <w:r>
        <w:rPr>
          <w:rFonts w:hint="eastAsia" w:ascii="黑体" w:hAnsi="黑体" w:eastAsia="黑体" w:cs="黑体"/>
          <w:b w:val="0"/>
          <w:bCs/>
          <w:caps w:val="0"/>
          <w:color w:val="333333"/>
          <w:spacing w:val="0"/>
          <w:sz w:val="32"/>
          <w:szCs w:val="32"/>
          <w:highlight w:val="none"/>
          <w:shd w:val="clear" w:color="auto" w:fill="FFFFFF"/>
        </w:rPr>
        <w:t>总</w:t>
      </w:r>
      <w:r>
        <w:rPr>
          <w:rFonts w:hint="eastAsia" w:ascii="黑体" w:hAnsi="黑体" w:eastAsia="黑体" w:cs="黑体"/>
          <w:b w:val="0"/>
          <w:bCs/>
          <w:caps w:val="0"/>
          <w:color w:val="333333"/>
          <w:spacing w:val="0"/>
          <w:sz w:val="32"/>
          <w:szCs w:val="32"/>
          <w:highlight w:val="none"/>
          <w:shd w:val="clear" w:color="auto" w:fill="FFFFFF"/>
          <w:lang w:val="en-US" w:eastAsia="zh-CN"/>
        </w:rPr>
        <w:t xml:space="preserve"> </w:t>
      </w:r>
      <w:r>
        <w:rPr>
          <w:rFonts w:hint="eastAsia" w:ascii="黑体" w:hAnsi="黑体" w:eastAsia="黑体" w:cs="黑体"/>
          <w:b w:val="0"/>
          <w:bCs/>
          <w:caps w:val="0"/>
          <w:color w:val="333333"/>
          <w:spacing w:val="0"/>
          <w:sz w:val="32"/>
          <w:szCs w:val="32"/>
          <w:highlight w:val="none"/>
          <w:shd w:val="clear" w:color="auto" w:fill="FFFFFF"/>
        </w:rPr>
        <w:t>则</w:t>
      </w:r>
    </w:p>
    <w:p>
      <w:pPr>
        <w:keepNext w:val="0"/>
        <w:keepLines w:val="0"/>
        <w:pageBreakBefore w:val="0"/>
        <w:widowControl/>
        <w:suppressLineNumbers w:val="0"/>
        <w:kinsoku/>
        <w:wordWrap/>
        <w:overflowPunct/>
        <w:topLinePunct w:val="0"/>
        <w:autoSpaceDE/>
        <w:autoSpaceDN/>
        <w:bidi w:val="0"/>
        <w:adjustRightInd w:val="0"/>
        <w:snapToGrid w:val="0"/>
        <w:spacing w:beforeLines="0" w:afterLines="0" w:line="560" w:lineRule="exact"/>
        <w:ind w:firstLine="640" w:firstLineChars="200"/>
        <w:jc w:val="both"/>
        <w:textAlignment w:val="auto"/>
        <w:rPr>
          <w:rFonts w:hint="eastAsia" w:ascii="仿宋_GB2312" w:hAnsi="仿宋_GB2312" w:eastAsia="仿宋_GB2312" w:cs="仿宋_GB2312"/>
          <w:b w:val="0"/>
          <w:bCs w:val="0"/>
          <w:caps w:val="0"/>
          <w:color w:val="auto"/>
          <w:spacing w:val="0"/>
          <w:sz w:val="32"/>
          <w:szCs w:val="32"/>
          <w:highlight w:val="none"/>
          <w:u w:val="none"/>
        </w:rPr>
      </w:pP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（一）</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为完善政府投资管理体制,</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eastAsia="zh-CN"/>
        </w:rPr>
        <w:t>规范</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工程总承包项目管理</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，提高我</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eastAsia="zh-CN"/>
        </w:rPr>
        <w:t>市</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政府投资工程建设水平和投资效益，根据《</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关于印发房屋建筑和市政基础设施项目工程总承包管理办法的通知</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》（建市</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eastAsia="zh-CN"/>
        </w:rPr>
        <w:t>规</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〔201</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9</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12</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号）《</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eastAsia="zh-CN"/>
        </w:rPr>
        <w:t>关于进一步推进房屋建筑和市政基础设施项目工程总承包发展的实施意见</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eastAsia="zh-CN"/>
        </w:rPr>
        <w:t>浙建</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〔20</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21</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2</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号）等相关规定，结合我</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eastAsia="zh-CN"/>
        </w:rPr>
        <w:t>市</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kern w:val="0"/>
          <w:sz w:val="32"/>
          <w:szCs w:val="32"/>
          <w:highlight w:val="none"/>
          <w:u w:val="none"/>
          <w:shd w:val="clear" w:color="auto" w:fill="FFFFFF"/>
          <w:lang w:bidi="ar-SA"/>
        </w:rPr>
        <w:t>　</w:t>
      </w:r>
      <w:r>
        <w:rPr>
          <w:rFonts w:hint="eastAsia" w:ascii="仿宋_GB2312" w:hAnsi="仿宋_GB2312" w:eastAsia="仿宋_GB2312" w:cs="仿宋_GB2312"/>
          <w:b w:val="0"/>
          <w:bCs w:val="0"/>
          <w:i w:val="0"/>
          <w:caps w:val="0"/>
          <w:color w:val="auto"/>
          <w:spacing w:val="0"/>
          <w:kern w:val="0"/>
          <w:sz w:val="32"/>
          <w:szCs w:val="32"/>
          <w:highlight w:val="none"/>
          <w:u w:val="none"/>
          <w:shd w:val="clear" w:color="auto" w:fill="FFFFFF"/>
          <w:lang w:eastAsia="zh-CN" w:bidi="ar-SA"/>
        </w:rPr>
        <w:t>（二）</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市级</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政府投资建设项目实行工程总承包的，适用本办法</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eastAsia="zh-CN"/>
        </w:rPr>
        <w:t>，区（县、市）政府投资项目</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可参照执行</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（三）</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本办法所称工程总承包，是指承包单位按照与建设单位签订的合同，对工程设计、采购、施工或者设计、施工等阶段实行总承包，并对工程的质量、安全、工期和造价等全面负责的工程建设组织实施方式。</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（四）</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工程总承包活动应当遵循合法、公平、诚实守信的原则，合理分担风险，保证工程质量和安全，节约能源，保护生态环境，不得损害社会公共利益和他人的合法权益。</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 xml:space="preserve">    （五）工程总承包项目建设单位是工程总承包项目责任主体，建设单位主管部门是工程总承包项目的监督主体，共同负责对所属项目进行全过程管理。</w:t>
      </w:r>
      <w:r>
        <w:rPr>
          <w:rFonts w:hint="eastAsia" w:ascii="仿宋_GB2312" w:hAnsi="仿宋_GB2312" w:eastAsia="仿宋_GB2312" w:cs="仿宋_GB2312"/>
          <w:b w:val="0"/>
          <w:bCs w:val="0"/>
          <w:color w:val="auto"/>
          <w:sz w:val="32"/>
          <w:szCs w:val="32"/>
          <w:highlight w:val="none"/>
          <w:u w:val="none"/>
          <w:lang w:val="en-US" w:eastAsia="zh-CN"/>
        </w:rPr>
        <w:t>建设行政主管部门或其授权部门对房屋建筑和市政基础设施工程总承包活动实施监督管理，交通、水利等其他行政主管部门对管辖范围内的工程总承包活动实施监督管理。</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发展改革部门依据固定资产投资建设管理的相关法律法规履行相应的管理职责</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财政部门负责对政府投资工程总承包项目全过程财务监督，对</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eastAsia="zh-CN"/>
        </w:rPr>
        <w:t>招标控制价、</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施工图预算和工程价款结算进行审核。</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仿宋" w:hAnsi="仿宋" w:eastAsia="仿宋" w:cs="仿宋"/>
          <w:b w:val="0"/>
          <w:bCs w:val="0"/>
          <w:i w:val="0"/>
          <w:caps w:val="0"/>
          <w:color w:val="auto"/>
          <w:spacing w:val="0"/>
          <w:sz w:val="32"/>
          <w:szCs w:val="32"/>
          <w:highlight w:val="none"/>
          <w:u w:val="none"/>
          <w:shd w:val="clear" w:color="auto" w:fill="FFFFFF"/>
        </w:rPr>
      </w:pPr>
      <w:r>
        <w:rPr>
          <w:rFonts w:hint="eastAsia" w:ascii="黑体" w:hAnsi="黑体" w:eastAsia="黑体" w:cs="黑体"/>
          <w:b w:val="0"/>
          <w:bCs w:val="0"/>
          <w:i w:val="0"/>
          <w:caps w:val="0"/>
          <w:color w:val="auto"/>
          <w:spacing w:val="0"/>
          <w:sz w:val="32"/>
          <w:szCs w:val="32"/>
          <w:highlight w:val="none"/>
          <w:u w:val="none"/>
          <w:shd w:val="clear" w:color="auto" w:fill="FFFFFF"/>
          <w:lang w:val="en-US" w:eastAsia="zh-CN"/>
        </w:rPr>
        <w:t>二</w:t>
      </w:r>
      <w:r>
        <w:rPr>
          <w:rFonts w:hint="eastAsia" w:ascii="黑体" w:hAnsi="黑体" w:eastAsia="黑体" w:cs="黑体"/>
          <w:b w:val="0"/>
          <w:bCs w:val="0"/>
          <w:caps w:val="0"/>
          <w:color w:val="333333"/>
          <w:spacing w:val="0"/>
          <w:sz w:val="32"/>
          <w:szCs w:val="32"/>
          <w:highlight w:val="none"/>
          <w:shd w:val="clear" w:color="auto" w:fill="FFFFFF"/>
          <w:lang w:eastAsia="zh-CN"/>
        </w:rPr>
        <w:t>、</w:t>
      </w:r>
      <w:r>
        <w:rPr>
          <w:rFonts w:hint="eastAsia" w:ascii="黑体" w:hAnsi="黑体" w:eastAsia="黑体" w:cs="黑体"/>
          <w:b w:val="0"/>
          <w:bCs w:val="0"/>
          <w:i w:val="0"/>
          <w:caps w:val="0"/>
          <w:color w:val="auto"/>
          <w:spacing w:val="0"/>
          <w:sz w:val="32"/>
          <w:szCs w:val="32"/>
          <w:highlight w:val="none"/>
          <w:u w:val="none"/>
          <w:shd w:val="clear" w:color="auto" w:fill="FFFFFF"/>
        </w:rPr>
        <w:t>工程总承包项目的发承包</w:t>
      </w:r>
      <w:r>
        <w:rPr>
          <w:rFonts w:hint="eastAsia" w:ascii="黑体" w:hAnsi="黑体" w:eastAsia="黑体" w:cs="黑体"/>
          <w:b w:val="0"/>
          <w:bCs w:val="0"/>
          <w:i w:val="0"/>
          <w:caps w:val="0"/>
          <w:color w:val="auto"/>
          <w:spacing w:val="0"/>
          <w:sz w:val="32"/>
          <w:szCs w:val="32"/>
          <w:highlight w:val="none"/>
          <w:u w:val="none"/>
          <w:shd w:val="clear" w:color="auto" w:fill="FFFFFF"/>
          <w:lang w:val="en-US" w:eastAsia="zh-CN"/>
        </w:rPr>
        <w:t>及风险管理</w:t>
      </w:r>
    </w:p>
    <w:p>
      <w:pPr>
        <w:pStyle w:val="5"/>
        <w:keepNext w:val="0"/>
        <w:keepLines w:val="0"/>
        <w:pageBreakBefore w:val="0"/>
        <w:widowControl/>
        <w:numPr>
          <w:ilvl w:val="0"/>
          <w:numId w:val="0"/>
        </w:numPr>
        <w:suppressLineNumbers w:val="0"/>
        <w:shd w:val="clear" w:color="auto" w:fill="FFFFFF"/>
        <w:kinsoku/>
        <w:wordWrap/>
        <w:overflowPunct/>
        <w:topLinePunct w:val="0"/>
        <w:autoSpaceDE w:val="0"/>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（六）</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建设单位应当根据项目的规模和复杂程度及自身管理能力等，合理选择工程建设组织实施方式。对建设范围、建设规模、建设标准、功能需求等前期条件清晰、建设内容明确、技术方案成熟</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标准化程度较高、通用性较强</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的项目，宜采用工程总承包</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方式并</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严格执行相关建设标准。</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对个性化要求较高、情况较复杂、</w:t>
      </w:r>
      <w:r>
        <w:rPr>
          <w:rFonts w:hint="eastAsia" w:ascii="仿宋_GB2312" w:hAnsi="仿宋_GB2312" w:eastAsia="仿宋_GB2312" w:cs="仿宋_GB2312"/>
          <w:b w:val="0"/>
          <w:bCs w:val="0"/>
          <w:color w:val="auto"/>
          <w:sz w:val="32"/>
          <w:szCs w:val="32"/>
          <w:highlight w:val="none"/>
          <w:u w:val="none"/>
          <w:lang w:val="en-US" w:eastAsia="zh-CN"/>
        </w:rPr>
        <w:t>专业性较强、</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建设需求和标准存在较多变数的项目</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如以地下工程为主的建设工程、纪念性建筑、文体场馆</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医院</w:t>
      </w:r>
      <w:r>
        <w:rPr>
          <w:rFonts w:hint="eastAsia" w:ascii="仿宋_GB2312" w:hAnsi="仿宋_GB2312" w:eastAsia="仿宋_GB2312" w:cs="仿宋_GB2312"/>
          <w:b w:val="0"/>
          <w:bCs w:val="0"/>
          <w:caps w:val="0"/>
          <w:color w:val="auto"/>
          <w:spacing w:val="0"/>
          <w:sz w:val="32"/>
          <w:szCs w:val="32"/>
          <w:highlight w:val="none"/>
          <w:u w:val="none"/>
          <w:shd w:val="clear" w:color="auto" w:fill="FFFFFF"/>
        </w:rPr>
        <w:t>等工程项目不宜采用工程总承包方式。</w:t>
      </w:r>
      <w:r>
        <w:rPr>
          <w:rFonts w:hint="eastAsia" w:ascii="仿宋_GB2312" w:hAnsi="仿宋_GB2312" w:eastAsia="仿宋_GB2312" w:cs="仿宋_GB2312"/>
          <w:b w:val="0"/>
          <w:bCs w:val="0"/>
          <w:caps w:val="0"/>
          <w:color w:val="auto"/>
          <w:spacing w:val="0"/>
          <w:sz w:val="32"/>
          <w:szCs w:val="32"/>
          <w:highlight w:val="none"/>
          <w:u w:val="none"/>
          <w:shd w:val="clear" w:color="auto" w:fill="FFFFFF"/>
          <w:lang w:val="en-US" w:eastAsia="zh-CN"/>
        </w:rPr>
        <w:t>政府投资项目确需采用工程总承包应在发包前报市政府明确。</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62"/>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（七）</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建设单位依法采用招标或者直接发包等方式选择工程总承包单位。</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62"/>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工程总承包项目范围内的设计、采购或者施工中，有任一项属于依法必须进行招标的项目范围且达到国家规定规模标准的，应当采用招标的方式选择工程总承包单位。</w:t>
      </w:r>
    </w:p>
    <w:p>
      <w:pPr>
        <w:numPr>
          <w:ilvl w:val="0"/>
          <w:numId w:val="0"/>
        </w:numPr>
        <w:adjustRightInd w:val="0"/>
        <w:snapToGrid w:val="0"/>
        <w:spacing w:beforeLines="0" w:afterLines="0" w:line="560" w:lineRule="exact"/>
        <w:ind w:firstLine="640" w:firstLineChars="200"/>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color w:val="auto"/>
          <w:sz w:val="32"/>
          <w:szCs w:val="32"/>
          <w:u w:val="none"/>
          <w:lang w:val="en-US" w:eastAsia="zh-CN"/>
        </w:rPr>
        <w:t>采用招标选择工程总承包单位的，</w:t>
      </w:r>
      <w:r>
        <w:rPr>
          <w:rFonts w:hint="eastAsia" w:ascii="仿宋_GB2312" w:hAnsi="仿宋_GB2312" w:eastAsia="仿宋_GB2312" w:cs="仿宋_GB2312"/>
          <w:b w:val="0"/>
          <w:bCs w:val="0"/>
          <w:color w:val="auto"/>
          <w:kern w:val="0"/>
          <w:sz w:val="32"/>
          <w:szCs w:val="32"/>
          <w:u w:val="none"/>
        </w:rPr>
        <w:t>一般采用综合评估法；</w:t>
      </w:r>
      <w:r>
        <w:rPr>
          <w:rFonts w:hint="eastAsia" w:ascii="仿宋_GB2312" w:hAnsi="仿宋_GB2312" w:eastAsia="仿宋_GB2312" w:cs="仿宋_GB2312"/>
          <w:b w:val="0"/>
          <w:bCs w:val="0"/>
          <w:color w:val="auto"/>
          <w:sz w:val="32"/>
          <w:szCs w:val="32"/>
          <w:u w:val="none"/>
          <w:lang w:val="en-US" w:eastAsia="zh-CN"/>
        </w:rPr>
        <w:t>投标资格条件和评审标准按相关规定执行。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djustRightInd w:val="0"/>
        <w:snapToGrid w:val="0"/>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（八）</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工程总承包应实行限额设计和施工，应设置招标控制价作为投标的最高限价。招标控制价按项目初步设计</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及</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概算的编制方法及要求编制</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b w:val="0"/>
          <w:bCs w:val="0"/>
          <w:color w:val="auto"/>
          <w:sz w:val="32"/>
          <w:szCs w:val="32"/>
          <w:u w:val="none"/>
          <w:lang w:val="en-US" w:eastAsia="zh-CN"/>
        </w:rPr>
        <w:t>原则上应比对应概算至少下浮5%</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。最高限价应充分考虑招标项目的特点，合理确定费用；费用组成中</w:t>
      </w:r>
      <w:r>
        <w:rPr>
          <w:rFonts w:hint="eastAsia" w:ascii="仿宋_GB2312" w:hAnsi="仿宋_GB2312" w:eastAsia="仿宋_GB2312" w:cs="仿宋_GB2312"/>
          <w:b w:val="0"/>
          <w:bCs w:val="0"/>
          <w:i w:val="0"/>
          <w:caps w:val="0"/>
          <w:color w:val="auto"/>
          <w:spacing w:val="-6"/>
          <w:sz w:val="32"/>
          <w:szCs w:val="32"/>
          <w:highlight w:val="none"/>
          <w:u w:val="none"/>
          <w:shd w:val="clear" w:color="auto" w:fill="FFFFFF"/>
        </w:rPr>
        <w:t>应包括与工程总承包相关的设计、施工、设备、管理等各项费用。</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（九）</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建设单位应当根据招标项目的特点和需要编制工程总承包项目招标文件，主要包括以下内容：</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1</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投标人须知；</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2</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评标办法和标准；</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3</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拟签订合同的主要条款；</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4</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发包人要求，</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须</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列明项目的目标、范围、设计和其他技术标准，包括对项目的内容、范围、规模、标准、功能、质量、安全、节约能源、生态环境保护、</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绿色建筑标准、装配率标准、绿色建材应用标准、</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工期、验收等的明确要求；</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5</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建设单位提供的资料和条件，包括发包前完成的水文地质、工程地质、地形等勘察资料，以及可行性研究报告、方案设计文件或者初步设计文件等；</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6</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投标文件格式；</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7</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要求投标人提交的其他材料。</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lang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xml:space="preserve">　  </w:t>
      </w:r>
      <w:r>
        <w:rPr>
          <w:rFonts w:hint="eastAsia" w:ascii="仿宋_GB2312" w:hAnsi="仿宋_GB2312" w:eastAsia="仿宋_GB2312" w:cs="仿宋_GB2312"/>
          <w:b w:val="0"/>
          <w:bCs w:val="0"/>
          <w:color w:val="auto"/>
          <w:kern w:val="0"/>
          <w:sz w:val="32"/>
          <w:szCs w:val="32"/>
          <w:highlight w:val="none"/>
          <w:u w:val="none"/>
          <w:lang w:val="en-US" w:eastAsia="zh-CN" w:bidi="ar"/>
        </w:rPr>
        <w:t>建设单位可以在招标文件中提出对履约担保的要求，并提供对等的支付担保，依法要求投标文件载明拟分包的内容。</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推荐使用</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住建部门</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制定的工程总承包合同示范文本。</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建设单位</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在</w:t>
      </w:r>
      <w:r>
        <w:rPr>
          <w:rFonts w:hint="eastAsia" w:ascii="仿宋_GB2312" w:hAnsi="仿宋_GB2312" w:eastAsia="仿宋_GB2312" w:cs="仿宋_GB2312"/>
          <w:b w:val="0"/>
          <w:bCs w:val="0"/>
          <w:color w:val="auto"/>
          <w:sz w:val="32"/>
          <w:szCs w:val="32"/>
          <w:u w:val="none"/>
          <w:lang w:val="en-US" w:eastAsia="zh-CN"/>
        </w:rPr>
        <w:t>招标文件（资格预审文件）公示</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前，应将招标文件</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送财政部门</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（十）</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工程总承包单位应当同时具有与工程规模相适应的工程设计资质和施工资质，或者由具有相应资质的设计单位和施工单位组成联合体。工程总承包单位应当具有相应的项目管理体系和项目管理能力、财务和风险承担能力，以及与发包工程相类似的设计、施工或者工程总承包业绩。</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设计单位和施工单位组成联合体的，应当根据项目的特点和复杂程度，合理确定牵头单位，并在联合体协议中明确联合体成员单位的责任和权利。联合体各方应当共同与建设单位签订工程总承包合同，就工程总承包项目承担连带责任。</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（十一）</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工程总承包单位不得是工程总承包项目的代</w:t>
      </w:r>
      <w:r>
        <w:rPr>
          <w:rFonts w:hint="eastAsia" w:ascii="仿宋_GB2312" w:hAnsi="仿宋_GB2312" w:eastAsia="仿宋_GB2312" w:cs="仿宋_GB2312"/>
          <w:b w:val="0"/>
          <w:bCs w:val="0"/>
          <w:i w:val="0"/>
          <w:caps w:val="0"/>
          <w:color w:val="auto"/>
          <w:spacing w:val="-11"/>
          <w:sz w:val="32"/>
          <w:szCs w:val="32"/>
          <w:highlight w:val="none"/>
          <w:u w:val="none"/>
          <w:shd w:val="clear" w:color="auto" w:fill="FFFFFF"/>
        </w:rPr>
        <w:t>建单位、项目管理单位、监理单位、造价咨询单位、招标代理单位。</w:t>
      </w:r>
    </w:p>
    <w:p>
      <w:pPr>
        <w:numPr>
          <w:ilvl w:val="0"/>
          <w:numId w:val="0"/>
        </w:numPr>
        <w:adjustRightInd w:val="0"/>
        <w:snapToGrid w:val="0"/>
        <w:spacing w:beforeLines="0" w:afterLines="0" w:line="560" w:lineRule="exact"/>
        <w:ind w:firstLine="640" w:firstLineChars="200"/>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政府投资项目的项目建议书、可行性研究报告、初步设计文件编制单位及其评估单位，一般不得成为该项目的工程总承包单位。</w:t>
      </w:r>
      <w:r>
        <w:rPr>
          <w:rFonts w:hint="eastAsia" w:ascii="仿宋_GB2312" w:hAnsi="仿宋_GB2312" w:eastAsia="仿宋_GB2312" w:cs="仿宋_GB2312"/>
          <w:b w:val="0"/>
          <w:bCs w:val="0"/>
          <w:i w:val="0"/>
          <w:caps w:val="0"/>
          <w:color w:val="121212"/>
          <w:spacing w:val="0"/>
          <w:sz w:val="32"/>
          <w:szCs w:val="32"/>
          <w:shd w:val="clear" w:color="auto" w:fill="FFFFFF"/>
        </w:rPr>
        <w:t>招标人公开</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已经完成的项目建议书、可行性研究报告、初步设计文件的，</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其</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编制单位及其评估单位可以参与该工程总承包项目的投标，经依法评标、定标，成为工程总承包单位。</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招标人最迟应在</w:t>
      </w:r>
      <w:r>
        <w:rPr>
          <w:rFonts w:hint="eastAsia" w:ascii="仿宋_GB2312" w:hAnsi="仿宋_GB2312" w:eastAsia="仿宋_GB2312" w:cs="仿宋_GB2312"/>
          <w:b w:val="0"/>
          <w:bCs w:val="0"/>
          <w:color w:val="auto"/>
          <w:sz w:val="32"/>
          <w:szCs w:val="32"/>
          <w:highlight w:val="none"/>
          <w:u w:val="none"/>
          <w:lang w:val="en-US" w:eastAsia="zh-CN"/>
        </w:rPr>
        <w:t>招标文件（资格预审文件）公示</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时一并公开上述资料。</w:t>
      </w:r>
    </w:p>
    <w:p>
      <w:pPr>
        <w:numPr>
          <w:ilvl w:val="0"/>
          <w:numId w:val="0"/>
        </w:numPr>
        <w:adjustRightInd w:val="0"/>
        <w:snapToGrid w:val="0"/>
        <w:spacing w:beforeLines="0" w:afterLines="0" w:line="560" w:lineRule="exact"/>
        <w:ind w:firstLine="640" w:firstLineChars="200"/>
        <w:rPr>
          <w:rFonts w:hint="eastAsia" w:ascii="仿宋_GB2312" w:hAnsi="仿宋_GB2312" w:eastAsia="仿宋_GB2312" w:cs="仿宋_GB2312"/>
          <w:b w:val="0"/>
          <w:bCs w:val="0"/>
          <w:i w:val="0"/>
          <w:caps w:val="0"/>
          <w:color w:val="auto"/>
          <w:spacing w:val="0"/>
          <w:sz w:val="32"/>
          <w:szCs w:val="32"/>
          <w:highlight w:val="yellow"/>
          <w:u w:val="none"/>
          <w:shd w:val="clear" w:color="auto" w:fill="FFFFFF"/>
        </w:rPr>
      </w:pPr>
      <w:r>
        <w:rPr>
          <w:rFonts w:hint="eastAsia" w:ascii="仿宋_GB2312" w:hAnsi="仿宋_GB2312" w:eastAsia="仿宋_GB2312" w:cs="仿宋_GB2312"/>
          <w:b w:val="0"/>
          <w:bCs w:val="0"/>
          <w:i w:val="0"/>
          <w:caps w:val="0"/>
          <w:color w:val="auto"/>
          <w:spacing w:val="0"/>
          <w:kern w:val="0"/>
          <w:sz w:val="32"/>
          <w:szCs w:val="32"/>
          <w:highlight w:val="none"/>
          <w:u w:val="none"/>
          <w:shd w:val="clear" w:color="auto" w:fill="FFFFFF"/>
          <w:lang w:val="en-US" w:eastAsia="zh-CN" w:bidi="ar"/>
        </w:rPr>
        <w:t>（十二）</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建设单位应当依法确定投标人编制工程总承包项目投标文件所需要的合理时间。</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（十三）建设单位依法组</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建</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评标委员会。评标委员会应由建设单位代表、技术（包括设计、施工、工程咨询管理等）、经济（包括工程造价等）等方面的专家组成，招标控制价</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1亿元以上（含）项目的评标委员会宜为7人以上单数。</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（十四）</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建设单位和工程总承包单位应当加强风险管理，合理分担风险。</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建设单位承担的风险主要包括：</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1</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主要工程材料、设备、人工价格与招标时基期价相比，波动幅度超过合同约定幅度的部分；</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2</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因国家法律法规政策变化引起的合同价格的变化；</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3</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不可预见的地质条件造成的工程费用和工期的变化；</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4</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因建设单位原因产生的工程费用和工期的变化；</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5</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不可抗力造成的工程费用和工期的变化。</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具体风险分担内容由双方在合同中约定。</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鼓励建设单位和工程总承包单位运用保险手段增强防范风险能力。</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（十五）</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工</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程总承包合同</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原则上</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采用总价合同，除</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因</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国家政策调整、价格上涨、地质条件发生重大变化</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和招标文件约定可以调整的情形</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外，合同总价不予调整，</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如有上述原因确实需要调整的，</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调整后的合同总价原则上不得超过经核定的投资概算。</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确因工程项目特殊、条件复杂等因素难以确定项目总价的，可采用单价合同、成本加酬金合同。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djustRightInd w:val="0"/>
        <w:snapToGrid w:val="0"/>
        <w:spacing w:before="0" w:beforeLines="0" w:beforeAutospacing="0" w:after="0" w:afterLines="0" w:afterAutospacing="0" w:line="560" w:lineRule="exact"/>
        <w:ind w:left="0" w:right="0" w:firstLine="640" w:firstLineChars="200"/>
        <w:jc w:val="both"/>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（十六）</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建设单位和工程总承包单位应当在合同中约定工程总承包的计量规则和计价方法，并严格履行合同约定的责任和义务。</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工程总承包合同在合同签订后应送</w:t>
      </w:r>
      <w:r>
        <w:rPr>
          <w:rFonts w:hint="eastAsia" w:ascii="仿宋_GB2312" w:hAnsi="仿宋_GB2312" w:eastAsia="仿宋_GB2312" w:cs="仿宋_GB2312"/>
          <w:b w:val="0"/>
          <w:bCs w:val="0"/>
          <w:i w:val="0"/>
          <w:caps w:val="0"/>
          <w:color w:val="auto"/>
          <w:spacing w:val="0"/>
          <w:sz w:val="32"/>
          <w:szCs w:val="32"/>
          <w:highlight w:val="none"/>
          <w:u w:val="none"/>
          <w:lang w:eastAsia="zh-CN"/>
        </w:rPr>
        <w:t>财政部门</w:t>
      </w:r>
      <w:r>
        <w:rPr>
          <w:rFonts w:hint="eastAsia" w:ascii="仿宋_GB2312" w:hAnsi="仿宋_GB2312" w:eastAsia="仿宋_GB2312" w:cs="仿宋_GB2312"/>
          <w:b w:val="0"/>
          <w:bCs w:val="0"/>
          <w:i w:val="0"/>
          <w:caps w:val="0"/>
          <w:color w:val="auto"/>
          <w:spacing w:val="0"/>
          <w:sz w:val="32"/>
          <w:szCs w:val="32"/>
          <w:highlight w:val="none"/>
          <w:u w:val="none"/>
        </w:rPr>
        <w:t>。</w:t>
      </w:r>
    </w:p>
    <w:p>
      <w:pPr>
        <w:pStyle w:val="5"/>
        <w:widowControl/>
        <w:shd w:val="clear" w:color="auto" w:fill="FFFFFF"/>
        <w:autoSpaceDE w:val="0"/>
        <w:adjustRightInd w:val="0"/>
        <w:snapToGrid w:val="0"/>
        <w:spacing w:before="0" w:beforeLines="0" w:beforeAutospacing="0" w:after="0" w:afterLines="0" w:afterAutospacing="0" w:line="560" w:lineRule="exact"/>
        <w:ind w:firstLine="0"/>
        <w:jc w:val="both"/>
        <w:rPr>
          <w:rFonts w:hint="eastAsia" w:ascii="仿宋" w:hAnsi="仿宋" w:eastAsia="仿宋"/>
          <w:b w:val="0"/>
          <w:bCs w:val="0"/>
          <w:color w:val="auto"/>
          <w:sz w:val="32"/>
          <w:szCs w:val="32"/>
          <w:highlight w:val="none"/>
          <w:u w:val="none"/>
          <w:shd w:val="clear" w:color="auto" w:fill="FFFFFF"/>
        </w:rPr>
      </w:pPr>
      <w:r>
        <w:rPr>
          <w:rFonts w:hint="eastAsia" w:ascii="仿宋" w:hAnsi="仿宋" w:eastAsia="仿宋"/>
          <w:b w:val="0"/>
          <w:bCs w:val="0"/>
          <w:color w:val="auto"/>
          <w:sz w:val="32"/>
          <w:szCs w:val="32"/>
          <w:highlight w:val="none"/>
          <w:u w:val="none"/>
          <w:shd w:val="clear" w:color="auto" w:fill="FFFFFF"/>
          <w:lang w:val="en-US" w:eastAsia="zh-CN"/>
        </w:rPr>
        <w:t xml:space="preserve">    </w:t>
      </w:r>
      <w:r>
        <w:rPr>
          <w:rFonts w:hint="eastAsia" w:ascii="黑体" w:hAnsi="黑体" w:eastAsia="黑体"/>
          <w:b w:val="0"/>
          <w:bCs w:val="0"/>
          <w:color w:val="auto"/>
          <w:sz w:val="32"/>
          <w:szCs w:val="32"/>
          <w:highlight w:val="none"/>
          <w:u w:val="none"/>
          <w:shd w:val="clear" w:color="auto" w:fill="FFFFFF"/>
          <w:lang w:val="en-US" w:eastAsia="zh-CN"/>
        </w:rPr>
        <w:t>三</w:t>
      </w:r>
      <w:r>
        <w:rPr>
          <w:rFonts w:hint="eastAsia" w:ascii="黑体" w:hAnsi="黑体" w:eastAsia="黑体" w:cs="黑体"/>
          <w:b w:val="0"/>
          <w:bCs w:val="0"/>
          <w:caps w:val="0"/>
          <w:color w:val="333333"/>
          <w:spacing w:val="0"/>
          <w:sz w:val="32"/>
          <w:szCs w:val="32"/>
          <w:highlight w:val="none"/>
          <w:shd w:val="clear" w:color="auto" w:fill="FFFFFF"/>
          <w:lang w:eastAsia="zh-CN"/>
        </w:rPr>
        <w:t>、</w:t>
      </w:r>
      <w:r>
        <w:rPr>
          <w:rFonts w:hint="eastAsia" w:ascii="黑体" w:hAnsi="黑体" w:eastAsia="黑体"/>
          <w:b w:val="0"/>
          <w:bCs w:val="0"/>
          <w:color w:val="auto"/>
          <w:sz w:val="32"/>
          <w:szCs w:val="32"/>
          <w:highlight w:val="none"/>
          <w:u w:val="none"/>
          <w:shd w:val="clear" w:color="auto" w:fill="FFFFFF"/>
        </w:rPr>
        <w:t>工程总承包招标控制价管理</w:t>
      </w:r>
      <w:r>
        <w:rPr>
          <w:rFonts w:hint="eastAsia" w:ascii="仿宋" w:hAnsi="仿宋" w:eastAsia="仿宋"/>
          <w:b w:val="0"/>
          <w:bCs w:val="0"/>
          <w:color w:val="auto"/>
          <w:sz w:val="32"/>
          <w:szCs w:val="32"/>
          <w:highlight w:val="none"/>
          <w:u w:val="none"/>
          <w:shd w:val="clear" w:color="auto" w:fill="FFFFFF"/>
        </w:rPr>
        <w:t xml:space="preserve"> </w:t>
      </w:r>
    </w:p>
    <w:p>
      <w:pPr>
        <w:pStyle w:val="5"/>
        <w:widowControl/>
        <w:shd w:val="clear" w:color="auto" w:fill="FFFFFF"/>
        <w:autoSpaceDE w:val="0"/>
        <w:adjustRightInd w:val="0"/>
        <w:snapToGrid w:val="0"/>
        <w:spacing w:before="0" w:beforeLines="0" w:beforeAutospacing="0" w:after="0" w:afterLines="0" w:afterAutospacing="0" w:line="560" w:lineRule="exact"/>
        <w:ind w:firstLine="540"/>
        <w:jc w:val="both"/>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shd w:val="clear" w:color="auto" w:fill="FFFFFF"/>
          <w:lang w:eastAsia="zh-CN"/>
        </w:rPr>
        <w:t>（十七）</w:t>
      </w:r>
      <w:r>
        <w:rPr>
          <w:rFonts w:hint="eastAsia" w:ascii="仿宋_GB2312" w:hAnsi="仿宋_GB2312" w:eastAsia="仿宋_GB2312" w:cs="仿宋_GB2312"/>
          <w:b w:val="0"/>
          <w:bCs w:val="0"/>
          <w:color w:val="auto"/>
          <w:sz w:val="32"/>
          <w:szCs w:val="32"/>
          <w:highlight w:val="none"/>
          <w:u w:val="none"/>
        </w:rPr>
        <w:t>工程总承包招标控制价实行审核管理。建设单位可委托造价咨询单位进行招标控制价编制。代建单位可根据委托合同的约定</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协助建设单位对招标控制价进行管理、</w:t>
      </w:r>
      <w:r>
        <w:rPr>
          <w:rFonts w:hint="eastAsia" w:ascii="仿宋_GB2312" w:hAnsi="仿宋_GB2312" w:eastAsia="仿宋_GB2312" w:cs="仿宋_GB2312"/>
          <w:b w:val="0"/>
          <w:bCs w:val="0"/>
          <w:color w:val="auto"/>
          <w:sz w:val="32"/>
          <w:szCs w:val="32"/>
          <w:highlight w:val="none"/>
          <w:u w:val="none"/>
          <w:lang w:val="en-US" w:eastAsia="zh-CN"/>
        </w:rPr>
        <w:t>编制</w:t>
      </w:r>
      <w:r>
        <w:rPr>
          <w:rFonts w:hint="eastAsia" w:ascii="仿宋_GB2312" w:hAnsi="仿宋_GB2312" w:eastAsia="仿宋_GB2312" w:cs="仿宋_GB2312"/>
          <w:b w:val="0"/>
          <w:bCs w:val="0"/>
          <w:color w:val="auto"/>
          <w:sz w:val="32"/>
          <w:szCs w:val="32"/>
          <w:highlight w:val="none"/>
          <w:u w:val="none"/>
        </w:rPr>
        <w:t>及报审等工作。市财政局负责招标控制价监督管理，对建设单位提交的招标控制价进行审核，出具审核意见。</w:t>
      </w:r>
    </w:p>
    <w:p>
      <w:pPr>
        <w:pStyle w:val="5"/>
        <w:widowControl/>
        <w:shd w:val="clear" w:color="auto" w:fill="FFFFFF"/>
        <w:autoSpaceDE w:val="0"/>
        <w:adjustRightInd w:val="0"/>
        <w:snapToGrid w:val="0"/>
        <w:spacing w:before="0" w:beforeLines="0" w:beforeAutospacing="0" w:after="0" w:afterLines="0" w:afterAutospacing="0" w:line="560" w:lineRule="exact"/>
        <w:ind w:firstLine="540"/>
        <w:jc w:val="both"/>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shd w:val="clear" w:color="auto" w:fill="FFFFFF"/>
          <w:lang w:eastAsia="zh-CN"/>
        </w:rPr>
        <w:t>（十八）</w:t>
      </w:r>
      <w:r>
        <w:rPr>
          <w:rFonts w:hint="eastAsia" w:ascii="仿宋_GB2312" w:hAnsi="仿宋_GB2312" w:eastAsia="仿宋_GB2312" w:cs="仿宋_GB2312"/>
          <w:b w:val="0"/>
          <w:bCs w:val="0"/>
          <w:color w:val="auto"/>
          <w:sz w:val="32"/>
          <w:szCs w:val="32"/>
          <w:highlight w:val="none"/>
          <w:u w:val="none"/>
        </w:rPr>
        <w:t xml:space="preserve">工程总承包招标控制价应当按照浙江省工程总承包计价规则编制和审核。 </w:t>
      </w:r>
    </w:p>
    <w:p>
      <w:pPr>
        <w:pStyle w:val="5"/>
        <w:widowControl/>
        <w:shd w:val="clear" w:color="auto" w:fill="FFFFFF"/>
        <w:autoSpaceDE w:val="0"/>
        <w:adjustRightInd w:val="0"/>
        <w:snapToGrid w:val="0"/>
        <w:spacing w:before="0" w:beforeLines="0" w:beforeAutospacing="0" w:after="0" w:afterLines="0" w:afterAutospacing="0" w:line="560" w:lineRule="exact"/>
        <w:ind w:firstLine="540"/>
        <w:jc w:val="both"/>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建设单位应当在招标文件中充分考虑并明确建设标准和发包人需求，并在招标控制价编制中</w:t>
      </w:r>
      <w:r>
        <w:rPr>
          <w:rFonts w:hint="eastAsia" w:ascii="仿宋_GB2312" w:hAnsi="仿宋_GB2312" w:eastAsia="仿宋_GB2312" w:cs="仿宋_GB2312"/>
          <w:b w:val="0"/>
          <w:bCs w:val="0"/>
          <w:color w:val="auto"/>
          <w:sz w:val="32"/>
          <w:szCs w:val="32"/>
          <w:highlight w:val="none"/>
          <w:u w:val="none"/>
          <w:lang w:val="en-US" w:eastAsia="zh-CN"/>
        </w:rPr>
        <w:t>清晰描述</w:t>
      </w:r>
      <w:r>
        <w:rPr>
          <w:rFonts w:hint="eastAsia" w:ascii="仿宋_GB2312" w:hAnsi="仿宋_GB2312" w:eastAsia="仿宋_GB2312" w:cs="仿宋_GB2312"/>
          <w:b w:val="0"/>
          <w:bCs w:val="0"/>
          <w:color w:val="auto"/>
          <w:sz w:val="32"/>
          <w:szCs w:val="32"/>
          <w:highlight w:val="none"/>
          <w:u w:val="none"/>
        </w:rPr>
        <w:t>。</w:t>
      </w:r>
    </w:p>
    <w:p>
      <w:pPr>
        <w:autoSpaceDE w:val="0"/>
        <w:adjustRightInd w:val="0"/>
        <w:snapToGrid w:val="0"/>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建设单位应及时委托造价咨询单位进行招标控制价编制，造价咨询单位向建设单位出具</w:t>
      </w:r>
      <w:r>
        <w:rPr>
          <w:rFonts w:hint="eastAsia" w:ascii="仿宋_GB2312" w:hAnsi="仿宋_GB2312" w:eastAsia="仿宋_GB2312" w:cs="仿宋_GB2312"/>
          <w:b w:val="0"/>
          <w:bCs w:val="0"/>
          <w:color w:val="auto"/>
          <w:sz w:val="32"/>
          <w:szCs w:val="32"/>
          <w:highlight w:val="none"/>
          <w:u w:val="none"/>
          <w:lang w:val="en-US" w:eastAsia="zh-CN"/>
        </w:rPr>
        <w:t>编制</w:t>
      </w:r>
      <w:r>
        <w:rPr>
          <w:rFonts w:hint="eastAsia" w:ascii="仿宋_GB2312" w:hAnsi="仿宋_GB2312" w:eastAsia="仿宋_GB2312" w:cs="仿宋_GB2312"/>
          <w:b w:val="0"/>
          <w:bCs w:val="0"/>
          <w:color w:val="auto"/>
          <w:sz w:val="32"/>
          <w:szCs w:val="32"/>
          <w:highlight w:val="none"/>
          <w:u w:val="none"/>
        </w:rPr>
        <w:t>报告，建设单位履行内部审核程序，对</w:t>
      </w:r>
      <w:r>
        <w:rPr>
          <w:rFonts w:hint="eastAsia" w:ascii="仿宋_GB2312" w:hAnsi="仿宋_GB2312" w:eastAsia="仿宋_GB2312" w:cs="仿宋_GB2312"/>
          <w:b w:val="0"/>
          <w:bCs w:val="0"/>
          <w:color w:val="auto"/>
          <w:sz w:val="32"/>
          <w:szCs w:val="32"/>
          <w:highlight w:val="none"/>
          <w:u w:val="none"/>
          <w:lang w:val="en-US" w:eastAsia="zh-CN"/>
        </w:rPr>
        <w:t>编制</w:t>
      </w:r>
      <w:r>
        <w:rPr>
          <w:rFonts w:hint="eastAsia" w:ascii="仿宋_GB2312" w:hAnsi="仿宋_GB2312" w:eastAsia="仿宋_GB2312" w:cs="仿宋_GB2312"/>
          <w:b w:val="0"/>
          <w:bCs w:val="0"/>
          <w:color w:val="auto"/>
          <w:sz w:val="32"/>
          <w:szCs w:val="32"/>
          <w:highlight w:val="none"/>
          <w:u w:val="none"/>
        </w:rPr>
        <w:t>报告进行确认并报市财政局审</w:t>
      </w:r>
      <w:r>
        <w:rPr>
          <w:rFonts w:hint="eastAsia" w:ascii="仿宋_GB2312" w:hAnsi="仿宋_GB2312" w:eastAsia="仿宋_GB2312" w:cs="仿宋_GB2312"/>
          <w:b w:val="0"/>
          <w:bCs w:val="0"/>
          <w:color w:val="auto"/>
          <w:sz w:val="32"/>
          <w:szCs w:val="32"/>
          <w:highlight w:val="none"/>
          <w:u w:val="none"/>
          <w:lang w:val="en-US" w:eastAsia="zh-CN"/>
        </w:rPr>
        <w:t>核</w:t>
      </w:r>
      <w:r>
        <w:rPr>
          <w:rFonts w:hint="eastAsia" w:ascii="仿宋_GB2312" w:hAnsi="仿宋_GB2312" w:eastAsia="仿宋_GB2312" w:cs="仿宋_GB2312"/>
          <w:b w:val="0"/>
          <w:bCs w:val="0"/>
          <w:color w:val="auto"/>
          <w:sz w:val="32"/>
          <w:szCs w:val="32"/>
          <w:highlight w:val="none"/>
          <w:u w:val="none"/>
        </w:rPr>
        <w:t>。</w:t>
      </w:r>
    </w:p>
    <w:p>
      <w:pPr>
        <w:autoSpaceDE w:val="0"/>
        <w:adjustRightInd w:val="0"/>
        <w:snapToGrid w:val="0"/>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市财政局及时组织</w:t>
      </w:r>
      <w:r>
        <w:rPr>
          <w:rFonts w:hint="eastAsia" w:ascii="仿宋_GB2312" w:hAnsi="仿宋_GB2312" w:eastAsia="仿宋_GB2312" w:cs="仿宋_GB2312"/>
          <w:b w:val="0"/>
          <w:bCs w:val="0"/>
          <w:color w:val="auto"/>
          <w:sz w:val="32"/>
          <w:szCs w:val="32"/>
          <w:highlight w:val="none"/>
          <w:u w:val="none"/>
          <w:lang w:eastAsia="zh-CN"/>
        </w:rPr>
        <w:t>并</w:t>
      </w:r>
      <w:r>
        <w:rPr>
          <w:rFonts w:hint="eastAsia" w:ascii="仿宋_GB2312" w:hAnsi="仿宋_GB2312" w:eastAsia="仿宋_GB2312" w:cs="仿宋_GB2312"/>
          <w:b w:val="0"/>
          <w:bCs w:val="0"/>
          <w:color w:val="auto"/>
          <w:sz w:val="32"/>
          <w:szCs w:val="32"/>
          <w:highlight w:val="none"/>
          <w:u w:val="none"/>
        </w:rPr>
        <w:t>委托造价审核单位对招标控制价进行审核，造价审核单位出具审核报告，市财政局根据审核报告向建设单位出具审</w:t>
      </w:r>
      <w:r>
        <w:rPr>
          <w:rFonts w:hint="eastAsia" w:ascii="仿宋_GB2312" w:hAnsi="仿宋_GB2312" w:eastAsia="仿宋_GB2312" w:cs="仿宋_GB2312"/>
          <w:b w:val="0"/>
          <w:bCs w:val="0"/>
          <w:color w:val="auto"/>
          <w:sz w:val="32"/>
          <w:szCs w:val="32"/>
          <w:highlight w:val="none"/>
          <w:u w:val="none"/>
          <w:lang w:eastAsia="zh-CN"/>
        </w:rPr>
        <w:t>核</w:t>
      </w:r>
      <w:r>
        <w:rPr>
          <w:rFonts w:hint="eastAsia" w:ascii="仿宋_GB2312" w:hAnsi="仿宋_GB2312" w:eastAsia="仿宋_GB2312" w:cs="仿宋_GB2312"/>
          <w:b w:val="0"/>
          <w:bCs w:val="0"/>
          <w:color w:val="auto"/>
          <w:sz w:val="32"/>
          <w:szCs w:val="32"/>
          <w:highlight w:val="none"/>
          <w:u w:val="none"/>
        </w:rPr>
        <w:t>意见。</w:t>
      </w:r>
    </w:p>
    <w:p>
      <w:pPr>
        <w:pStyle w:val="5"/>
        <w:widowControl/>
        <w:shd w:val="clear" w:color="auto" w:fill="FFFFFF"/>
        <w:autoSpaceDE w:val="0"/>
        <w:adjustRightInd w:val="0"/>
        <w:snapToGrid w:val="0"/>
        <w:spacing w:before="0" w:beforeLines="0" w:beforeAutospacing="0" w:after="0" w:afterLines="0" w:afterAutospacing="0" w:line="560" w:lineRule="exact"/>
        <w:ind w:firstLine="540"/>
        <w:jc w:val="both"/>
        <w:rPr>
          <w:rFonts w:hint="eastAsia" w:ascii="仿宋_GB2312" w:hAnsi="仿宋_GB2312" w:eastAsia="仿宋_GB2312" w:cs="仿宋_GB2312"/>
          <w:b w:val="0"/>
          <w:bCs w:val="0"/>
          <w:color w:val="auto"/>
          <w:kern w:val="2"/>
          <w:sz w:val="32"/>
          <w:szCs w:val="32"/>
          <w:highlight w:val="none"/>
          <w:u w:val="none"/>
        </w:rPr>
      </w:pPr>
      <w:r>
        <w:rPr>
          <w:rFonts w:hint="eastAsia" w:ascii="仿宋_GB2312" w:hAnsi="仿宋_GB2312" w:eastAsia="仿宋_GB2312" w:cs="仿宋_GB2312"/>
          <w:b w:val="0"/>
          <w:bCs w:val="0"/>
          <w:color w:val="auto"/>
          <w:sz w:val="32"/>
          <w:szCs w:val="32"/>
          <w:highlight w:val="none"/>
          <w:u w:val="none"/>
        </w:rPr>
        <w:t>建设单位根据市财政局的审</w:t>
      </w:r>
      <w:r>
        <w:rPr>
          <w:rFonts w:hint="eastAsia" w:ascii="仿宋_GB2312" w:hAnsi="仿宋_GB2312" w:eastAsia="仿宋_GB2312" w:cs="仿宋_GB2312"/>
          <w:b w:val="0"/>
          <w:bCs w:val="0"/>
          <w:color w:val="auto"/>
          <w:sz w:val="32"/>
          <w:szCs w:val="32"/>
          <w:highlight w:val="none"/>
          <w:u w:val="none"/>
          <w:lang w:val="en-US" w:eastAsia="zh-CN"/>
        </w:rPr>
        <w:t>核</w:t>
      </w:r>
      <w:r>
        <w:rPr>
          <w:rFonts w:hint="eastAsia" w:ascii="仿宋_GB2312" w:hAnsi="仿宋_GB2312" w:eastAsia="仿宋_GB2312" w:cs="仿宋_GB2312"/>
          <w:b w:val="0"/>
          <w:bCs w:val="0"/>
          <w:color w:val="auto"/>
          <w:sz w:val="32"/>
          <w:szCs w:val="32"/>
          <w:highlight w:val="none"/>
          <w:u w:val="none"/>
        </w:rPr>
        <w:t>意见及时整改</w:t>
      </w:r>
      <w:r>
        <w:rPr>
          <w:rFonts w:hint="eastAsia" w:ascii="仿宋_GB2312" w:hAnsi="仿宋_GB2312" w:eastAsia="仿宋_GB2312" w:cs="仿宋_GB2312"/>
          <w:b w:val="0"/>
          <w:bCs w:val="0"/>
          <w:color w:val="auto"/>
          <w:sz w:val="32"/>
          <w:szCs w:val="32"/>
          <w:highlight w:val="none"/>
          <w:u w:val="none"/>
          <w:lang w:eastAsia="zh-CN"/>
        </w:rPr>
        <w:t>问题</w:t>
      </w:r>
      <w:r>
        <w:rPr>
          <w:rFonts w:hint="eastAsia" w:ascii="仿宋_GB2312" w:hAnsi="仿宋_GB2312" w:eastAsia="仿宋_GB2312" w:cs="仿宋_GB2312"/>
          <w:b w:val="0"/>
          <w:bCs w:val="0"/>
          <w:color w:val="auto"/>
          <w:sz w:val="32"/>
          <w:szCs w:val="32"/>
          <w:highlight w:val="none"/>
          <w:u w:val="none"/>
        </w:rPr>
        <w:t>，最终</w:t>
      </w:r>
      <w:r>
        <w:rPr>
          <w:rFonts w:hint="eastAsia" w:ascii="仿宋_GB2312" w:hAnsi="仿宋_GB2312" w:eastAsia="仿宋_GB2312" w:cs="仿宋_GB2312"/>
          <w:b w:val="0"/>
          <w:bCs w:val="0"/>
          <w:color w:val="auto"/>
          <w:sz w:val="32"/>
          <w:szCs w:val="32"/>
          <w:highlight w:val="none"/>
          <w:u w:val="none"/>
          <w:lang w:val="en-US" w:eastAsia="zh-CN"/>
        </w:rPr>
        <w:t>确</w:t>
      </w:r>
      <w:r>
        <w:rPr>
          <w:rFonts w:hint="eastAsia" w:ascii="仿宋_GB2312" w:hAnsi="仿宋_GB2312" w:eastAsia="仿宋_GB2312" w:cs="仿宋_GB2312"/>
          <w:b w:val="0"/>
          <w:bCs w:val="0"/>
          <w:color w:val="auto"/>
          <w:sz w:val="32"/>
          <w:szCs w:val="32"/>
          <w:highlight w:val="none"/>
          <w:u w:val="none"/>
        </w:rPr>
        <w:t>定招标控制价，</w:t>
      </w:r>
      <w:r>
        <w:rPr>
          <w:rFonts w:hint="eastAsia" w:ascii="仿宋_GB2312" w:hAnsi="仿宋_GB2312" w:eastAsia="仿宋_GB2312" w:cs="仿宋_GB2312"/>
          <w:b w:val="0"/>
          <w:bCs w:val="0"/>
          <w:color w:val="auto"/>
          <w:sz w:val="32"/>
          <w:szCs w:val="32"/>
          <w:highlight w:val="none"/>
          <w:u w:val="none"/>
          <w:lang w:eastAsia="zh-CN"/>
        </w:rPr>
        <w:t>并</w:t>
      </w:r>
      <w:r>
        <w:rPr>
          <w:rFonts w:hint="eastAsia" w:ascii="仿宋_GB2312" w:hAnsi="仿宋_GB2312" w:eastAsia="仿宋_GB2312" w:cs="仿宋_GB2312"/>
          <w:b w:val="0"/>
          <w:bCs w:val="0"/>
          <w:color w:val="auto"/>
          <w:sz w:val="32"/>
          <w:szCs w:val="32"/>
          <w:highlight w:val="none"/>
          <w:u w:val="none"/>
        </w:rPr>
        <w:t>将</w:t>
      </w:r>
      <w:r>
        <w:rPr>
          <w:rFonts w:hint="eastAsia" w:ascii="仿宋_GB2312" w:hAnsi="仿宋_GB2312" w:eastAsia="仿宋_GB2312" w:cs="仿宋_GB2312"/>
          <w:b w:val="0"/>
          <w:bCs w:val="0"/>
          <w:color w:val="auto"/>
          <w:sz w:val="32"/>
          <w:szCs w:val="32"/>
          <w:highlight w:val="none"/>
          <w:u w:val="none"/>
          <w:lang w:val="en-US" w:eastAsia="zh-CN"/>
        </w:rPr>
        <w:t>确</w:t>
      </w:r>
      <w:r>
        <w:rPr>
          <w:rFonts w:hint="eastAsia" w:ascii="仿宋_GB2312" w:hAnsi="仿宋_GB2312" w:eastAsia="仿宋_GB2312" w:cs="仿宋_GB2312"/>
          <w:b w:val="0"/>
          <w:bCs w:val="0"/>
          <w:color w:val="auto"/>
          <w:sz w:val="32"/>
          <w:szCs w:val="32"/>
          <w:highlight w:val="none"/>
          <w:u w:val="none"/>
        </w:rPr>
        <w:t>定的招标控制价</w:t>
      </w:r>
      <w:r>
        <w:rPr>
          <w:rFonts w:hint="eastAsia" w:ascii="仿宋_GB2312" w:hAnsi="仿宋_GB2312" w:eastAsia="仿宋_GB2312" w:cs="仿宋_GB2312"/>
          <w:b w:val="0"/>
          <w:bCs w:val="0"/>
          <w:color w:val="auto"/>
          <w:sz w:val="32"/>
          <w:szCs w:val="32"/>
          <w:highlight w:val="none"/>
          <w:u w:val="none"/>
          <w:lang w:val="en-US" w:eastAsia="zh-CN"/>
        </w:rPr>
        <w:t>送</w:t>
      </w:r>
      <w:r>
        <w:rPr>
          <w:rFonts w:hint="eastAsia" w:ascii="仿宋_GB2312" w:hAnsi="仿宋_GB2312" w:eastAsia="仿宋_GB2312" w:cs="仿宋_GB2312"/>
          <w:b w:val="0"/>
          <w:bCs w:val="0"/>
          <w:color w:val="auto"/>
          <w:sz w:val="32"/>
          <w:szCs w:val="32"/>
          <w:highlight w:val="none"/>
          <w:u w:val="none"/>
        </w:rPr>
        <w:t>市财政局。</w:t>
      </w:r>
    </w:p>
    <w:p>
      <w:pPr>
        <w:autoSpaceDE w:val="0"/>
        <w:adjustRightInd w:val="0"/>
        <w:snapToGrid w:val="0"/>
        <w:spacing w:beforeLines="0" w:afterLines="0" w:line="560" w:lineRule="exact"/>
        <w:ind w:firstLine="640" w:firstLineChars="200"/>
        <w:rPr>
          <w:rFonts w:hint="eastAsia" w:ascii="仿宋_GB2312" w:hAnsi="仿宋_GB2312" w:eastAsia="仿宋_GB2312" w:cs="仿宋_GB2312"/>
          <w:b w:val="0"/>
          <w:bCs w:val="0"/>
          <w:color w:val="auto"/>
          <w:spacing w:val="-6"/>
          <w:sz w:val="32"/>
          <w:szCs w:val="32"/>
          <w:highlight w:val="none"/>
          <w:u w:val="none"/>
        </w:rPr>
      </w:pPr>
      <w:r>
        <w:rPr>
          <w:rFonts w:hint="eastAsia" w:ascii="仿宋_GB2312" w:hAnsi="仿宋_GB2312" w:eastAsia="仿宋_GB2312" w:cs="仿宋_GB2312"/>
          <w:b w:val="0"/>
          <w:bCs w:val="0"/>
          <w:color w:val="auto"/>
          <w:spacing w:val="0"/>
          <w:kern w:val="0"/>
          <w:sz w:val="32"/>
          <w:szCs w:val="32"/>
          <w:highlight w:val="none"/>
          <w:u w:val="none"/>
          <w:shd w:val="clear" w:color="auto" w:fill="FFFFFF"/>
          <w:lang w:eastAsia="zh-CN" w:bidi="ar"/>
        </w:rPr>
        <w:t>（十九）</w:t>
      </w:r>
      <w:r>
        <w:rPr>
          <w:rFonts w:hint="eastAsia" w:ascii="仿宋_GB2312" w:hAnsi="仿宋_GB2312" w:eastAsia="仿宋_GB2312" w:cs="仿宋_GB2312"/>
          <w:b w:val="0"/>
          <w:bCs w:val="0"/>
          <w:color w:val="auto"/>
          <w:spacing w:val="-6"/>
          <w:sz w:val="32"/>
          <w:szCs w:val="32"/>
          <w:highlight w:val="none"/>
          <w:u w:val="none"/>
        </w:rPr>
        <w:t>工程总承包招标控制价审</w:t>
      </w:r>
      <w:r>
        <w:rPr>
          <w:rFonts w:hint="eastAsia" w:ascii="仿宋_GB2312" w:hAnsi="仿宋_GB2312" w:eastAsia="仿宋_GB2312" w:cs="仿宋_GB2312"/>
          <w:b w:val="0"/>
          <w:bCs w:val="0"/>
          <w:color w:val="auto"/>
          <w:spacing w:val="-6"/>
          <w:sz w:val="32"/>
          <w:szCs w:val="32"/>
          <w:highlight w:val="none"/>
          <w:u w:val="none"/>
          <w:lang w:val="en-US" w:eastAsia="zh-CN"/>
        </w:rPr>
        <w:t>核</w:t>
      </w:r>
      <w:r>
        <w:rPr>
          <w:rFonts w:hint="eastAsia" w:ascii="仿宋_GB2312" w:hAnsi="仿宋_GB2312" w:eastAsia="仿宋_GB2312" w:cs="仿宋_GB2312"/>
          <w:b w:val="0"/>
          <w:bCs w:val="0"/>
          <w:color w:val="auto"/>
          <w:spacing w:val="-6"/>
          <w:sz w:val="32"/>
          <w:szCs w:val="32"/>
          <w:highlight w:val="none"/>
          <w:u w:val="none"/>
        </w:rPr>
        <w:t>范围、内容和时间</w:t>
      </w:r>
      <w:r>
        <w:rPr>
          <w:rFonts w:hint="eastAsia" w:ascii="仿宋_GB2312" w:hAnsi="仿宋_GB2312" w:eastAsia="仿宋_GB2312" w:cs="仿宋_GB2312"/>
          <w:b w:val="0"/>
          <w:bCs w:val="0"/>
          <w:color w:val="auto"/>
          <w:spacing w:val="-6"/>
          <w:sz w:val="32"/>
          <w:szCs w:val="32"/>
          <w:highlight w:val="none"/>
          <w:u w:val="none"/>
          <w:lang w:val="en-US" w:eastAsia="zh-CN"/>
        </w:rPr>
        <w:t xml:space="preserve">。    </w:t>
      </w:r>
    </w:p>
    <w:p>
      <w:pPr>
        <w:autoSpaceDE w:val="0"/>
        <w:adjustRightInd w:val="0"/>
        <w:snapToGrid w:val="0"/>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1</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rPr>
        <w:t>工程总承包招标控制价审</w:t>
      </w:r>
      <w:r>
        <w:rPr>
          <w:rFonts w:hint="eastAsia" w:ascii="仿宋_GB2312" w:hAnsi="仿宋_GB2312" w:eastAsia="仿宋_GB2312" w:cs="仿宋_GB2312"/>
          <w:b w:val="0"/>
          <w:bCs w:val="0"/>
          <w:color w:val="auto"/>
          <w:sz w:val="32"/>
          <w:szCs w:val="32"/>
          <w:highlight w:val="none"/>
          <w:u w:val="none"/>
          <w:lang w:eastAsia="zh-CN"/>
        </w:rPr>
        <w:t>核</w:t>
      </w:r>
      <w:r>
        <w:rPr>
          <w:rFonts w:hint="eastAsia" w:ascii="仿宋_GB2312" w:hAnsi="仿宋_GB2312" w:eastAsia="仿宋_GB2312" w:cs="仿宋_GB2312"/>
          <w:b w:val="0"/>
          <w:bCs w:val="0"/>
          <w:color w:val="auto"/>
          <w:sz w:val="32"/>
          <w:szCs w:val="32"/>
          <w:highlight w:val="none"/>
          <w:u w:val="none"/>
        </w:rPr>
        <w:t>的范围应包括</w:t>
      </w:r>
      <w:r>
        <w:rPr>
          <w:rFonts w:hint="eastAsia" w:ascii="仿宋_GB2312" w:hAnsi="仿宋_GB2312" w:eastAsia="仿宋_GB2312" w:cs="仿宋_GB2312"/>
          <w:b w:val="0"/>
          <w:bCs w:val="0"/>
          <w:color w:val="auto"/>
          <w:sz w:val="32"/>
          <w:szCs w:val="32"/>
          <w:highlight w:val="none"/>
          <w:u w:val="none"/>
          <w:lang w:val="en-US" w:eastAsia="zh-CN"/>
        </w:rPr>
        <w:t>对应</w:t>
      </w:r>
      <w:r>
        <w:rPr>
          <w:rFonts w:hint="eastAsia" w:ascii="仿宋_GB2312" w:hAnsi="仿宋_GB2312" w:eastAsia="仿宋_GB2312" w:cs="仿宋_GB2312"/>
          <w:b w:val="0"/>
          <w:bCs w:val="0"/>
          <w:color w:val="auto"/>
          <w:sz w:val="32"/>
          <w:szCs w:val="32"/>
          <w:highlight w:val="none"/>
          <w:u w:val="none"/>
        </w:rPr>
        <w:t>概算范围内的全部内容；</w:t>
      </w:r>
    </w:p>
    <w:p>
      <w:pPr>
        <w:autoSpaceDE w:val="0"/>
        <w:adjustRightInd w:val="0"/>
        <w:snapToGrid w:val="0"/>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2</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rPr>
        <w:t>工程总承包招标控制价审</w:t>
      </w:r>
      <w:r>
        <w:rPr>
          <w:rFonts w:hint="eastAsia" w:ascii="仿宋_GB2312" w:hAnsi="仿宋_GB2312" w:eastAsia="仿宋_GB2312" w:cs="仿宋_GB2312"/>
          <w:b w:val="0"/>
          <w:bCs w:val="0"/>
          <w:color w:val="auto"/>
          <w:sz w:val="32"/>
          <w:szCs w:val="32"/>
          <w:highlight w:val="none"/>
          <w:u w:val="none"/>
          <w:lang w:val="en-US" w:eastAsia="zh-CN"/>
        </w:rPr>
        <w:t>核</w:t>
      </w:r>
      <w:r>
        <w:rPr>
          <w:rFonts w:hint="eastAsia" w:ascii="仿宋_GB2312" w:hAnsi="仿宋_GB2312" w:eastAsia="仿宋_GB2312" w:cs="仿宋_GB2312"/>
          <w:b w:val="0"/>
          <w:bCs w:val="0"/>
          <w:color w:val="auto"/>
          <w:sz w:val="32"/>
          <w:szCs w:val="32"/>
          <w:highlight w:val="none"/>
          <w:u w:val="none"/>
        </w:rPr>
        <w:t>包括程序性审查和技术性审查。其中程序性审查主要指建设程序是否合法合规。</w:t>
      </w:r>
    </w:p>
    <w:p>
      <w:pPr>
        <w:autoSpaceDE w:val="0"/>
        <w:adjustRightInd w:val="0"/>
        <w:snapToGrid w:val="0"/>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技术性审查主要包括：</w:t>
      </w:r>
    </w:p>
    <w:p>
      <w:pPr>
        <w:autoSpaceDE w:val="0"/>
        <w:adjustRightInd w:val="0"/>
        <w:snapToGrid w:val="0"/>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1</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工程总承包招标控制价是否在批复的概算内</w:t>
      </w:r>
      <w:r>
        <w:rPr>
          <w:rFonts w:hint="eastAsia" w:ascii="仿宋_GB2312" w:hAnsi="仿宋_GB2312" w:eastAsia="仿宋_GB2312" w:cs="仿宋_GB2312"/>
          <w:b w:val="0"/>
          <w:bCs w:val="0"/>
          <w:color w:val="auto"/>
          <w:sz w:val="32"/>
          <w:szCs w:val="32"/>
          <w:highlight w:val="none"/>
          <w:u w:val="none"/>
          <w:lang w:eastAsia="zh-CN"/>
        </w:rPr>
        <w:t>；</w:t>
      </w:r>
    </w:p>
    <w:p>
      <w:pPr>
        <w:autoSpaceDE w:val="0"/>
        <w:adjustRightInd w:val="0"/>
        <w:snapToGrid w:val="0"/>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2</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招</w:t>
      </w:r>
      <w:r>
        <w:rPr>
          <w:rFonts w:hint="eastAsia" w:ascii="仿宋_GB2312" w:hAnsi="仿宋_GB2312" w:eastAsia="仿宋_GB2312" w:cs="仿宋_GB2312"/>
          <w:b w:val="0"/>
          <w:bCs w:val="0"/>
          <w:color w:val="auto"/>
          <w:sz w:val="32"/>
          <w:szCs w:val="32"/>
          <w:highlight w:val="none"/>
          <w:u w:val="none"/>
        </w:rPr>
        <w:t xml:space="preserve">标控制价编制是否符合浙江省工程总承包计价规则和其他有关规定 </w:t>
      </w:r>
      <w:r>
        <w:rPr>
          <w:rFonts w:hint="eastAsia" w:ascii="仿宋_GB2312" w:hAnsi="仿宋_GB2312" w:eastAsia="仿宋_GB2312" w:cs="仿宋_GB2312"/>
          <w:b w:val="0"/>
          <w:bCs w:val="0"/>
          <w:color w:val="auto"/>
          <w:sz w:val="32"/>
          <w:szCs w:val="32"/>
          <w:highlight w:val="none"/>
          <w:u w:val="none"/>
          <w:lang w:eastAsia="zh-CN"/>
        </w:rPr>
        <w:t>；</w:t>
      </w:r>
    </w:p>
    <w:p>
      <w:pPr>
        <w:autoSpaceDE w:val="0"/>
        <w:adjustRightInd w:val="0"/>
        <w:snapToGrid w:val="0"/>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3</w:t>
      </w:r>
      <w:r>
        <w:rPr>
          <w:rFonts w:hint="eastAsia" w:ascii="仿宋_GB2312" w:hAnsi="仿宋_GB2312" w:eastAsia="仿宋_GB2312" w:cs="仿宋_GB2312"/>
          <w:b w:val="0"/>
          <w:bCs w:val="0"/>
          <w:color w:val="auto"/>
          <w:sz w:val="32"/>
          <w:szCs w:val="32"/>
          <w:highlight w:val="none"/>
          <w:u w:val="none"/>
          <w:lang w:eastAsia="zh-CN"/>
        </w:rPr>
        <w:t>）暂估价</w:t>
      </w:r>
      <w:r>
        <w:rPr>
          <w:rFonts w:hint="eastAsia" w:ascii="仿宋_GB2312" w:hAnsi="仿宋_GB2312" w:eastAsia="仿宋_GB2312" w:cs="仿宋_GB2312"/>
          <w:b w:val="0"/>
          <w:bCs w:val="0"/>
          <w:color w:val="auto"/>
          <w:sz w:val="32"/>
          <w:szCs w:val="32"/>
          <w:highlight w:val="none"/>
          <w:u w:val="none"/>
        </w:rPr>
        <w:t>的品</w:t>
      </w:r>
      <w:r>
        <w:rPr>
          <w:rFonts w:hint="eastAsia" w:ascii="仿宋_GB2312" w:hAnsi="仿宋_GB2312" w:eastAsia="仿宋_GB2312" w:cs="仿宋_GB2312"/>
          <w:b w:val="0"/>
          <w:bCs w:val="0"/>
          <w:color w:val="auto"/>
          <w:sz w:val="32"/>
          <w:szCs w:val="32"/>
          <w:highlight w:val="none"/>
          <w:u w:val="none"/>
          <w:lang w:val="en-US" w:eastAsia="zh-CN"/>
        </w:rPr>
        <w:t>种</w:t>
      </w:r>
      <w:r>
        <w:rPr>
          <w:rFonts w:hint="eastAsia" w:ascii="仿宋_GB2312" w:hAnsi="仿宋_GB2312" w:eastAsia="仿宋_GB2312" w:cs="仿宋_GB2312"/>
          <w:b w:val="0"/>
          <w:bCs w:val="0"/>
          <w:color w:val="auto"/>
          <w:sz w:val="32"/>
          <w:szCs w:val="32"/>
          <w:highlight w:val="none"/>
          <w:u w:val="none"/>
        </w:rPr>
        <w:t>选定和询价程序是否符合相关规定，价格是否合理；</w:t>
      </w:r>
    </w:p>
    <w:p>
      <w:pPr>
        <w:autoSpaceDE w:val="0"/>
        <w:adjustRightInd w:val="0"/>
        <w:snapToGrid w:val="0"/>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4</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工程量的计量是否准确；</w:t>
      </w:r>
    </w:p>
    <w:p>
      <w:pPr>
        <w:autoSpaceDE w:val="0"/>
        <w:adjustRightInd w:val="0"/>
        <w:snapToGrid w:val="0"/>
        <w:spacing w:beforeLines="0" w:afterLines="0" w:line="56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5</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重大技术措施方案是否经过论证，价格是否合理等。</w:t>
      </w:r>
    </w:p>
    <w:p>
      <w:pPr>
        <w:pStyle w:val="5"/>
        <w:widowControl/>
        <w:shd w:val="clear" w:color="auto" w:fill="FFFFFF"/>
        <w:autoSpaceDE w:val="0"/>
        <w:adjustRightInd w:val="0"/>
        <w:snapToGrid w:val="0"/>
        <w:spacing w:before="0" w:beforeLines="0" w:beforeAutospacing="0" w:after="0" w:afterLines="0" w:afterAutospacing="0" w:line="560" w:lineRule="exact"/>
        <w:ind w:firstLine="540"/>
        <w:jc w:val="both"/>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val="en-US" w:eastAsia="zh-CN"/>
        </w:rPr>
        <w:t xml:space="preserve"> 3.招标控制价编制审核时限</w:t>
      </w:r>
      <w:r>
        <w:rPr>
          <w:rFonts w:hint="eastAsia" w:ascii="仿宋_GB2312" w:hAnsi="仿宋_GB2312" w:eastAsia="仿宋_GB2312" w:cs="仿宋_GB2312"/>
          <w:b w:val="0"/>
          <w:bCs w:val="0"/>
          <w:color w:val="auto"/>
          <w:sz w:val="32"/>
          <w:szCs w:val="32"/>
          <w:highlight w:val="none"/>
          <w:u w:val="none"/>
        </w:rPr>
        <w:t>：</w:t>
      </w:r>
    </w:p>
    <w:tbl>
      <w:tblPr>
        <w:tblStyle w:val="6"/>
        <w:tblW w:w="8750" w:type="dxa"/>
        <w:tblInd w:w="93" w:type="dxa"/>
        <w:tblLayout w:type="fixed"/>
        <w:tblCellMar>
          <w:top w:w="0" w:type="dxa"/>
          <w:left w:w="108" w:type="dxa"/>
          <w:bottom w:w="0" w:type="dxa"/>
          <w:right w:w="108" w:type="dxa"/>
        </w:tblCellMar>
      </w:tblPr>
      <w:tblGrid>
        <w:gridCol w:w="2283"/>
        <w:gridCol w:w="1604"/>
        <w:gridCol w:w="1373"/>
        <w:gridCol w:w="1765"/>
        <w:gridCol w:w="1725"/>
      </w:tblGrid>
      <w:tr>
        <w:tblPrEx>
          <w:tblCellMar>
            <w:top w:w="0" w:type="dxa"/>
            <w:left w:w="108" w:type="dxa"/>
            <w:bottom w:w="0" w:type="dxa"/>
            <w:right w:w="108" w:type="dxa"/>
          </w:tblCellMar>
        </w:tblPrEx>
        <w:trPr>
          <w:trHeight w:val="680" w:hRule="atLeast"/>
        </w:trPr>
        <w:tc>
          <w:tcPr>
            <w:tcW w:w="2283" w:type="dxa"/>
            <w:vMerge w:val="restart"/>
            <w:tcBorders>
              <w:top w:val="single" w:color="000000" w:sz="8" w:space="0"/>
              <w:left w:val="single" w:color="000000" w:sz="8" w:space="0"/>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合同金额</w:t>
            </w:r>
          </w:p>
        </w:tc>
        <w:tc>
          <w:tcPr>
            <w:tcW w:w="2977" w:type="dxa"/>
            <w:gridSpan w:val="2"/>
            <w:tcBorders>
              <w:top w:val="single" w:color="000000" w:sz="8" w:space="0"/>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招标控制价编制时间（天）</w:t>
            </w:r>
          </w:p>
        </w:tc>
        <w:tc>
          <w:tcPr>
            <w:tcW w:w="3490" w:type="dxa"/>
            <w:gridSpan w:val="2"/>
            <w:tcBorders>
              <w:top w:val="single" w:color="000000" w:sz="8" w:space="0"/>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审核时间（天）</w:t>
            </w:r>
          </w:p>
        </w:tc>
      </w:tr>
      <w:tr>
        <w:tblPrEx>
          <w:tblCellMar>
            <w:top w:w="0" w:type="dxa"/>
            <w:left w:w="108" w:type="dxa"/>
            <w:bottom w:w="0" w:type="dxa"/>
            <w:right w:w="108" w:type="dxa"/>
          </w:tblCellMar>
        </w:tblPrEx>
        <w:trPr>
          <w:trHeight w:val="560" w:hRule="atLeast"/>
        </w:trPr>
        <w:tc>
          <w:tcPr>
            <w:tcW w:w="2283" w:type="dxa"/>
            <w:vMerge w:val="continue"/>
            <w:tcBorders>
              <w:top w:val="single" w:color="000000" w:sz="8" w:space="0"/>
              <w:left w:val="single" w:color="000000" w:sz="8" w:space="0"/>
              <w:bottom w:val="single" w:color="000000" w:sz="8" w:space="0"/>
              <w:right w:val="single" w:color="000000" w:sz="8" w:space="0"/>
            </w:tcBorders>
            <w:vAlign w:val="center"/>
          </w:tcPr>
          <w:p>
            <w:pPr>
              <w:adjustRightInd w:val="0"/>
              <w:snapToGrid w:val="0"/>
              <w:spacing w:beforeLines="0" w:afterLines="0" w:line="240" w:lineRule="auto"/>
              <w:rPr>
                <w:rFonts w:hint="eastAsia" w:ascii="仿宋_GB2312" w:hAnsi="仿宋_GB2312" w:eastAsia="仿宋_GB2312" w:cs="仿宋_GB2312"/>
                <w:b w:val="0"/>
                <w:bCs w:val="0"/>
                <w:color w:val="auto"/>
                <w:sz w:val="28"/>
                <w:szCs w:val="28"/>
                <w:highlight w:val="none"/>
                <w:u w:val="none"/>
              </w:rPr>
            </w:pPr>
          </w:p>
        </w:tc>
        <w:tc>
          <w:tcPr>
            <w:tcW w:w="1604"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固定总价合同</w:t>
            </w:r>
          </w:p>
        </w:tc>
        <w:tc>
          <w:tcPr>
            <w:tcW w:w="1373" w:type="dxa"/>
            <w:tcBorders>
              <w:top w:val="single" w:color="000000" w:sz="8" w:space="0"/>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固定单价合同</w:t>
            </w:r>
          </w:p>
        </w:tc>
        <w:tc>
          <w:tcPr>
            <w:tcW w:w="1765"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固定总价合同</w:t>
            </w:r>
          </w:p>
        </w:tc>
        <w:tc>
          <w:tcPr>
            <w:tcW w:w="1725" w:type="dxa"/>
            <w:tcBorders>
              <w:top w:val="single" w:color="000000" w:sz="8" w:space="0"/>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固定单价合同</w:t>
            </w:r>
          </w:p>
        </w:tc>
      </w:tr>
      <w:tr>
        <w:tblPrEx>
          <w:tblCellMar>
            <w:top w:w="0" w:type="dxa"/>
            <w:left w:w="108" w:type="dxa"/>
            <w:bottom w:w="0" w:type="dxa"/>
            <w:right w:w="108" w:type="dxa"/>
          </w:tblCellMar>
        </w:tblPrEx>
        <w:trPr>
          <w:trHeight w:val="560" w:hRule="atLeast"/>
        </w:trPr>
        <w:tc>
          <w:tcPr>
            <w:tcW w:w="2283" w:type="dxa"/>
            <w:tcBorders>
              <w:top w:val="nil"/>
              <w:left w:val="single" w:color="000000" w:sz="8" w:space="0"/>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1亿元（含）以下</w:t>
            </w:r>
          </w:p>
        </w:tc>
        <w:tc>
          <w:tcPr>
            <w:tcW w:w="1604"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30</w:t>
            </w:r>
          </w:p>
        </w:tc>
        <w:tc>
          <w:tcPr>
            <w:tcW w:w="1373"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20</w:t>
            </w:r>
          </w:p>
        </w:tc>
        <w:tc>
          <w:tcPr>
            <w:tcW w:w="1765"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20</w:t>
            </w:r>
          </w:p>
        </w:tc>
        <w:tc>
          <w:tcPr>
            <w:tcW w:w="1725"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15</w:t>
            </w:r>
          </w:p>
        </w:tc>
      </w:tr>
      <w:tr>
        <w:tblPrEx>
          <w:tblCellMar>
            <w:top w:w="0" w:type="dxa"/>
            <w:left w:w="108" w:type="dxa"/>
            <w:bottom w:w="0" w:type="dxa"/>
            <w:right w:w="108" w:type="dxa"/>
          </w:tblCellMar>
        </w:tblPrEx>
        <w:trPr>
          <w:trHeight w:val="400" w:hRule="atLeast"/>
        </w:trPr>
        <w:tc>
          <w:tcPr>
            <w:tcW w:w="2283" w:type="dxa"/>
            <w:tcBorders>
              <w:top w:val="nil"/>
              <w:left w:val="single" w:color="000000" w:sz="8" w:space="0"/>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1亿元-10亿元（含）</w:t>
            </w:r>
          </w:p>
        </w:tc>
        <w:tc>
          <w:tcPr>
            <w:tcW w:w="1604"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45</w:t>
            </w:r>
          </w:p>
        </w:tc>
        <w:tc>
          <w:tcPr>
            <w:tcW w:w="1373"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30</w:t>
            </w:r>
          </w:p>
        </w:tc>
        <w:tc>
          <w:tcPr>
            <w:tcW w:w="1765"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30</w:t>
            </w:r>
          </w:p>
        </w:tc>
        <w:tc>
          <w:tcPr>
            <w:tcW w:w="1725"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20</w:t>
            </w:r>
          </w:p>
        </w:tc>
      </w:tr>
      <w:tr>
        <w:tblPrEx>
          <w:tblCellMar>
            <w:top w:w="0" w:type="dxa"/>
            <w:left w:w="108" w:type="dxa"/>
            <w:bottom w:w="0" w:type="dxa"/>
            <w:right w:w="108" w:type="dxa"/>
          </w:tblCellMar>
        </w:tblPrEx>
        <w:trPr>
          <w:trHeight w:val="540" w:hRule="atLeast"/>
        </w:trPr>
        <w:tc>
          <w:tcPr>
            <w:tcW w:w="2283" w:type="dxa"/>
            <w:tcBorders>
              <w:top w:val="nil"/>
              <w:left w:val="single" w:color="000000" w:sz="8" w:space="0"/>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10亿元以上</w:t>
            </w:r>
          </w:p>
        </w:tc>
        <w:tc>
          <w:tcPr>
            <w:tcW w:w="1604"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60</w:t>
            </w:r>
          </w:p>
        </w:tc>
        <w:tc>
          <w:tcPr>
            <w:tcW w:w="1373"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45</w:t>
            </w:r>
          </w:p>
        </w:tc>
        <w:tc>
          <w:tcPr>
            <w:tcW w:w="1765"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45</w:t>
            </w:r>
          </w:p>
        </w:tc>
        <w:tc>
          <w:tcPr>
            <w:tcW w:w="1725" w:type="dxa"/>
            <w:tcBorders>
              <w:top w:val="nil"/>
              <w:left w:val="nil"/>
              <w:bottom w:val="single" w:color="000000" w:sz="8" w:space="0"/>
              <w:right w:val="single" w:color="000000" w:sz="8" w:space="0"/>
            </w:tcBorders>
            <w:vAlign w:val="center"/>
          </w:tcPr>
          <w:p>
            <w:pPr>
              <w:adjustRightInd w:val="0"/>
              <w:snapToGrid w:val="0"/>
              <w:spacing w:beforeLines="0" w:afterLines="0" w:line="240" w:lineRule="auto"/>
              <w:jc w:val="center"/>
              <w:textAlignment w:val="center"/>
              <w:rPr>
                <w:rFonts w:hint="eastAsia" w:ascii="仿宋_GB2312" w:hAnsi="仿宋_GB2312" w:eastAsia="仿宋_GB2312" w:cs="仿宋_GB2312"/>
                <w:b w:val="0"/>
                <w:bCs w:val="0"/>
                <w:color w:val="auto"/>
                <w:sz w:val="28"/>
                <w:szCs w:val="28"/>
                <w:highlight w:val="none"/>
                <w:u w:val="none"/>
              </w:rPr>
            </w:pPr>
            <w:r>
              <w:rPr>
                <w:rFonts w:hint="eastAsia" w:ascii="仿宋_GB2312" w:hAnsi="仿宋_GB2312" w:eastAsia="仿宋_GB2312" w:cs="仿宋_GB2312"/>
                <w:b w:val="0"/>
                <w:bCs w:val="0"/>
                <w:color w:val="auto"/>
                <w:sz w:val="28"/>
                <w:szCs w:val="28"/>
                <w:highlight w:val="none"/>
                <w:u w:val="none"/>
              </w:rPr>
              <w:t>30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val="0"/>
        <w:snapToGrid w:val="0"/>
        <w:spacing w:before="0" w:beforeLines="0" w:beforeAutospacing="0" w:after="0" w:afterLines="0" w:afterAutospacing="0" w:line="560" w:lineRule="exact"/>
        <w:ind w:left="0" w:right="0" w:firstLine="640" w:firstLineChars="200"/>
        <w:jc w:val="left"/>
        <w:textAlignment w:val="auto"/>
        <w:rPr>
          <w:rFonts w:hint="eastAsia" w:ascii="仿宋" w:hAnsi="仿宋" w:eastAsia="仿宋" w:cs="仿宋"/>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color w:val="auto"/>
          <w:sz w:val="32"/>
          <w:szCs w:val="32"/>
          <w:highlight w:val="none"/>
          <w:u w:val="none"/>
          <w:shd w:val="clear" w:color="auto" w:fill="FFFFFF"/>
          <w:lang w:val="en-US" w:eastAsia="zh-CN"/>
        </w:rPr>
        <w:t>（二十）</w:t>
      </w:r>
      <w:r>
        <w:rPr>
          <w:rFonts w:hint="eastAsia" w:ascii="仿宋_GB2312" w:hAnsi="仿宋_GB2312" w:eastAsia="仿宋_GB2312" w:cs="仿宋_GB2312"/>
          <w:b w:val="0"/>
          <w:bCs w:val="0"/>
          <w:color w:val="auto"/>
          <w:sz w:val="32"/>
          <w:szCs w:val="32"/>
          <w:highlight w:val="none"/>
          <w:u w:val="none"/>
          <w:shd w:val="clear" w:color="auto" w:fill="FFFFFF"/>
          <w:lang w:eastAsia="zh-CN"/>
        </w:rPr>
        <w:t>工程总承包项目招标时应控制暂估价使用，对列入暂估价的品种、技术要求、规格、数量和供货时间等在招标文件中进行明确，同时暂估价作为最高限价。</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黑体" w:hAnsi="黑体" w:eastAsia="黑体" w:cs="黑体"/>
          <w:b w:val="0"/>
          <w:bCs w:val="0"/>
          <w:i w:val="0"/>
          <w:caps w:val="0"/>
          <w:color w:val="auto"/>
          <w:spacing w:val="0"/>
          <w:sz w:val="32"/>
          <w:szCs w:val="32"/>
          <w:highlight w:val="none"/>
          <w:u w:val="none"/>
          <w:shd w:val="clear" w:color="auto" w:fill="FFFFFF"/>
          <w:lang w:val="en-US" w:eastAsia="zh-CN"/>
        </w:rPr>
      </w:pPr>
      <w:r>
        <w:rPr>
          <w:rFonts w:hint="eastAsia" w:ascii="黑体" w:hAnsi="黑体" w:eastAsia="黑体" w:cs="黑体"/>
          <w:b w:val="0"/>
          <w:bCs w:val="0"/>
          <w:i w:val="0"/>
          <w:caps w:val="0"/>
          <w:color w:val="auto"/>
          <w:spacing w:val="0"/>
          <w:sz w:val="32"/>
          <w:szCs w:val="32"/>
          <w:highlight w:val="none"/>
          <w:u w:val="none"/>
          <w:shd w:val="clear" w:color="auto" w:fill="FFFFFF"/>
          <w:lang w:val="en-US" w:eastAsia="zh-CN"/>
        </w:rPr>
        <w:t>四</w:t>
      </w:r>
      <w:r>
        <w:rPr>
          <w:rFonts w:hint="eastAsia" w:ascii="黑体" w:hAnsi="黑体" w:eastAsia="黑体" w:cs="黑体"/>
          <w:b w:val="0"/>
          <w:bCs w:val="0"/>
          <w:caps w:val="0"/>
          <w:color w:val="333333"/>
          <w:spacing w:val="0"/>
          <w:sz w:val="32"/>
          <w:szCs w:val="32"/>
          <w:highlight w:val="none"/>
          <w:shd w:val="clear" w:color="auto" w:fill="FFFFFF"/>
          <w:lang w:eastAsia="zh-CN"/>
        </w:rPr>
        <w:t>、</w:t>
      </w:r>
      <w:r>
        <w:rPr>
          <w:rFonts w:hint="eastAsia" w:ascii="黑体" w:hAnsi="黑体" w:eastAsia="黑体" w:cs="黑体"/>
          <w:b w:val="0"/>
          <w:bCs w:val="0"/>
          <w:i w:val="0"/>
          <w:caps w:val="0"/>
          <w:color w:val="auto"/>
          <w:spacing w:val="0"/>
          <w:sz w:val="32"/>
          <w:szCs w:val="32"/>
          <w:highlight w:val="none"/>
          <w:u w:val="none"/>
          <w:shd w:val="clear" w:color="auto" w:fill="FFFFFF"/>
          <w:lang w:val="en-US" w:eastAsia="zh-CN"/>
        </w:rPr>
        <w:t>项目预算管理</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highlight w:val="none"/>
          <w:u w:val="none"/>
          <w:lang w:bidi="ar"/>
        </w:rPr>
      </w:pPr>
      <w:r>
        <w:rPr>
          <w:rFonts w:hint="eastAsia" w:ascii="仿宋_GB2312" w:hAnsi="仿宋_GB2312" w:eastAsia="仿宋_GB2312" w:cs="仿宋_GB2312"/>
          <w:b w:val="0"/>
          <w:bCs w:val="0"/>
          <w:i w:val="0"/>
          <w:caps w:val="0"/>
          <w:color w:val="auto"/>
          <w:spacing w:val="0"/>
          <w:kern w:val="0"/>
          <w:sz w:val="32"/>
          <w:szCs w:val="32"/>
          <w:highlight w:val="none"/>
          <w:u w:val="none"/>
          <w:shd w:val="clear" w:color="auto" w:fill="FFFFFF"/>
          <w:lang w:val="en-US" w:eastAsia="zh-CN" w:bidi="ar"/>
        </w:rPr>
        <w:t>（二十一）</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不采用总价合同的</w:t>
      </w:r>
      <w:r>
        <w:rPr>
          <w:rFonts w:hint="eastAsia" w:ascii="仿宋_GB2312" w:hAnsi="仿宋_GB2312" w:eastAsia="仿宋_GB2312" w:cs="仿宋_GB2312"/>
          <w:b w:val="0"/>
          <w:bCs w:val="0"/>
          <w:color w:val="auto"/>
          <w:kern w:val="0"/>
          <w:sz w:val="32"/>
          <w:szCs w:val="32"/>
          <w:highlight w:val="none"/>
          <w:u w:val="none"/>
          <w:lang w:eastAsia="zh-CN" w:bidi="ar"/>
        </w:rPr>
        <w:t>工程总承包</w:t>
      </w:r>
      <w:r>
        <w:rPr>
          <w:rFonts w:hint="eastAsia" w:ascii="仿宋_GB2312" w:hAnsi="仿宋_GB2312" w:eastAsia="仿宋_GB2312" w:cs="仿宋_GB2312"/>
          <w:b w:val="0"/>
          <w:bCs w:val="0"/>
          <w:color w:val="auto"/>
          <w:kern w:val="0"/>
          <w:sz w:val="32"/>
          <w:szCs w:val="32"/>
          <w:highlight w:val="none"/>
          <w:u w:val="none"/>
          <w:lang w:bidi="ar"/>
        </w:rPr>
        <w:t>项目</w:t>
      </w:r>
      <w:r>
        <w:rPr>
          <w:rFonts w:hint="eastAsia" w:ascii="仿宋_GB2312" w:hAnsi="仿宋_GB2312" w:eastAsia="仿宋_GB2312" w:cs="仿宋_GB2312"/>
          <w:b w:val="0"/>
          <w:bCs w:val="0"/>
          <w:color w:val="auto"/>
          <w:kern w:val="0"/>
          <w:sz w:val="32"/>
          <w:szCs w:val="32"/>
          <w:highlight w:val="none"/>
          <w:u w:val="none"/>
          <w:lang w:eastAsia="zh-CN" w:bidi="ar"/>
        </w:rPr>
        <w:t>，</w:t>
      </w:r>
      <w:r>
        <w:rPr>
          <w:rFonts w:hint="eastAsia" w:ascii="仿宋_GB2312" w:hAnsi="仿宋_GB2312" w:eastAsia="仿宋_GB2312" w:cs="仿宋_GB2312"/>
          <w:b w:val="0"/>
          <w:bCs w:val="0"/>
          <w:color w:val="auto"/>
          <w:kern w:val="0"/>
          <w:sz w:val="32"/>
          <w:szCs w:val="32"/>
          <w:highlight w:val="none"/>
          <w:u w:val="none"/>
          <w:lang w:bidi="ar"/>
        </w:rPr>
        <w:t>施工图预算按以下程序编制</w:t>
      </w:r>
      <w:r>
        <w:rPr>
          <w:rFonts w:hint="eastAsia" w:ascii="仿宋_GB2312" w:hAnsi="仿宋_GB2312" w:eastAsia="仿宋_GB2312" w:cs="仿宋_GB2312"/>
          <w:b w:val="0"/>
          <w:bCs w:val="0"/>
          <w:color w:val="auto"/>
          <w:kern w:val="0"/>
          <w:sz w:val="32"/>
          <w:szCs w:val="32"/>
          <w:highlight w:val="none"/>
          <w:u w:val="none"/>
          <w:lang w:eastAsia="zh-CN" w:bidi="ar"/>
        </w:rPr>
        <w:t>。</w:t>
      </w:r>
    </w:p>
    <w:p>
      <w:pPr>
        <w:adjustRightInd w:val="0"/>
        <w:snapToGrid w:val="0"/>
        <w:spacing w:before="0" w:beforeLines="0" w:beforeAutospacing="0" w:after="0" w:afterLines="0" w:afterAutospacing="0" w:line="560" w:lineRule="exact"/>
        <w:ind w:firstLine="640" w:firstLineChars="200"/>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u w:val="none"/>
          <w:lang w:bidi="ar"/>
        </w:rPr>
        <w:t>工程总承包单位在工程总承包合同生效后</w:t>
      </w:r>
      <w:r>
        <w:rPr>
          <w:rFonts w:hint="eastAsia" w:ascii="仿宋_GB2312" w:hAnsi="仿宋_GB2312" w:eastAsia="仿宋_GB2312" w:cs="仿宋_GB2312"/>
          <w:b w:val="0"/>
          <w:bCs w:val="0"/>
          <w:color w:val="auto"/>
          <w:kern w:val="0"/>
          <w:sz w:val="32"/>
          <w:szCs w:val="32"/>
          <w:highlight w:val="none"/>
          <w:u w:val="none"/>
          <w:lang w:val="en-US" w:eastAsia="zh-CN" w:bidi="ar"/>
        </w:rPr>
        <w:t>按规定时间</w:t>
      </w:r>
      <w:r>
        <w:rPr>
          <w:rFonts w:hint="eastAsia" w:ascii="仿宋_GB2312" w:hAnsi="仿宋_GB2312" w:eastAsia="仿宋_GB2312" w:cs="仿宋_GB2312"/>
          <w:b w:val="0"/>
          <w:bCs w:val="0"/>
          <w:color w:val="auto"/>
          <w:kern w:val="0"/>
          <w:sz w:val="32"/>
          <w:szCs w:val="32"/>
          <w:highlight w:val="none"/>
          <w:u w:val="none"/>
          <w:lang w:bidi="ar"/>
        </w:rPr>
        <w:t>设计施工图，并提交建设单位，建设单位对施工图进行论证和确认，并将施工图送审查机构审查，工程总承包单位协助完成</w:t>
      </w:r>
      <w:r>
        <w:rPr>
          <w:rFonts w:hint="eastAsia" w:ascii="仿宋_GB2312" w:hAnsi="仿宋_GB2312" w:eastAsia="仿宋_GB2312" w:cs="仿宋_GB2312"/>
          <w:b w:val="0"/>
          <w:bCs w:val="0"/>
          <w:color w:val="auto"/>
          <w:sz w:val="32"/>
          <w:szCs w:val="32"/>
          <w:highlight w:val="none"/>
          <w:u w:val="none"/>
          <w:lang w:val="en-US" w:eastAsia="zh-CN"/>
        </w:rPr>
        <w:t>施工图技术审查工作。</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val="en-US" w:eastAsia="zh-CN" w:bidi="ar-SA"/>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bidi="ar-SA"/>
        </w:rPr>
        <w:t>图审完成后，建设单位应及时组织施工图预算编制，编制的施工图预算送市财政局审核。建设单位对总承包单位是否按图施工进行动态管理。</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eastAsia="zh-CN"/>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建设单位根据市财政局</w:t>
      </w:r>
      <w:r>
        <w:rPr>
          <w:rFonts w:hint="eastAsia" w:ascii="仿宋_GB2312" w:hAnsi="仿宋_GB2312" w:eastAsia="仿宋_GB2312" w:cs="仿宋_GB2312"/>
          <w:b w:val="0"/>
          <w:bCs w:val="0"/>
          <w:color w:val="auto"/>
          <w:kern w:val="2"/>
          <w:sz w:val="32"/>
          <w:szCs w:val="32"/>
          <w:highlight w:val="none"/>
          <w:u w:val="none"/>
          <w:shd w:val="clear" w:color="auto" w:fill="auto"/>
          <w:lang w:eastAsia="zh-CN"/>
        </w:rPr>
        <w:t>审</w:t>
      </w: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核</w:t>
      </w:r>
      <w:r>
        <w:rPr>
          <w:rFonts w:hint="eastAsia" w:ascii="仿宋_GB2312" w:hAnsi="仿宋_GB2312" w:eastAsia="仿宋_GB2312" w:cs="仿宋_GB2312"/>
          <w:b w:val="0"/>
          <w:bCs w:val="0"/>
          <w:color w:val="auto"/>
          <w:kern w:val="2"/>
          <w:sz w:val="32"/>
          <w:szCs w:val="32"/>
          <w:highlight w:val="none"/>
          <w:u w:val="none"/>
          <w:shd w:val="clear" w:color="auto" w:fill="auto"/>
          <w:lang w:eastAsia="zh-CN"/>
        </w:rPr>
        <w:t>意见对施工图预算进行</w:t>
      </w: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修改完善</w:t>
      </w:r>
      <w:r>
        <w:rPr>
          <w:rFonts w:hint="eastAsia" w:ascii="仿宋_GB2312" w:hAnsi="仿宋_GB2312" w:eastAsia="仿宋_GB2312" w:cs="仿宋_GB2312"/>
          <w:b w:val="0"/>
          <w:bCs w:val="0"/>
          <w:color w:val="auto"/>
          <w:kern w:val="2"/>
          <w:sz w:val="32"/>
          <w:szCs w:val="32"/>
          <w:highlight w:val="none"/>
          <w:u w:val="none"/>
          <w:shd w:val="clear" w:color="auto" w:fill="auto"/>
          <w:lang w:eastAsia="zh-CN"/>
        </w:rPr>
        <w:t>，</w:t>
      </w: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送工程总承包单位确认</w:t>
      </w:r>
      <w:r>
        <w:rPr>
          <w:rFonts w:hint="eastAsia" w:ascii="仿宋_GB2312" w:hAnsi="仿宋_GB2312" w:eastAsia="仿宋_GB2312" w:cs="仿宋_GB2312"/>
          <w:b w:val="0"/>
          <w:bCs w:val="0"/>
          <w:color w:val="auto"/>
          <w:kern w:val="2"/>
          <w:sz w:val="32"/>
          <w:szCs w:val="32"/>
          <w:highlight w:val="none"/>
          <w:u w:val="none"/>
          <w:shd w:val="clear" w:color="auto" w:fill="auto"/>
          <w:lang w:eastAsia="zh-CN"/>
        </w:rPr>
        <w:t>，</w:t>
      </w: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经确认的施工图预算报市财政局备案</w:t>
      </w:r>
      <w:r>
        <w:rPr>
          <w:rFonts w:hint="eastAsia" w:ascii="仿宋_GB2312" w:hAnsi="仿宋_GB2312" w:eastAsia="仿宋_GB2312" w:cs="仿宋_GB2312"/>
          <w:b w:val="0"/>
          <w:bCs w:val="0"/>
          <w:color w:val="auto"/>
          <w:kern w:val="2"/>
          <w:sz w:val="32"/>
          <w:szCs w:val="32"/>
          <w:highlight w:val="none"/>
          <w:u w:val="none"/>
          <w:shd w:val="clear" w:color="auto" w:fill="auto"/>
          <w:lang w:eastAsia="zh-CN"/>
        </w:rPr>
        <w:t>。</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超过招标控制价的施工图预算市财政局不予受理。</w:t>
      </w: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bidi="ar"/>
        </w:rPr>
        <w:t>（二十二）</w:t>
      </w: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施工图预算审核范围、内容、时间。</w:t>
      </w:r>
    </w:p>
    <w:p>
      <w:pPr>
        <w:keepNext w:val="0"/>
        <w:keepLines w:val="0"/>
        <w:pageBreakBefore w:val="0"/>
        <w:widowControl/>
        <w:kinsoku/>
        <w:wordWrap/>
        <w:overflowPunct/>
        <w:topLinePunct w:val="0"/>
        <w:autoSpaceDE/>
        <w:autoSpaceDN/>
        <w:bidi w:val="0"/>
        <w:adjustRightInd w:val="0"/>
        <w:snapToGrid w:val="0"/>
        <w:spacing w:beforeLines="0" w:beforeAutospacing="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highlight w:val="none"/>
          <w:u w:val="none"/>
          <w:shd w:val="clear" w:color="auto" w:fill="auto"/>
          <w:lang w:eastAsia="zh-CN"/>
        </w:rPr>
      </w:pPr>
      <w:r>
        <w:rPr>
          <w:rFonts w:hint="eastAsia" w:ascii="仿宋_GB2312" w:hAnsi="仿宋_GB2312" w:eastAsia="仿宋_GB2312" w:cs="仿宋_GB2312"/>
          <w:b w:val="0"/>
          <w:bCs w:val="0"/>
          <w:color w:val="auto"/>
          <w:sz w:val="32"/>
          <w:szCs w:val="32"/>
          <w:highlight w:val="none"/>
          <w:u w:val="none"/>
          <w:shd w:val="clear" w:color="auto" w:fill="auto"/>
          <w:lang w:eastAsia="zh-CN"/>
        </w:rPr>
        <w:t>1</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w:t>
      </w:r>
      <w:r>
        <w:rPr>
          <w:rFonts w:hint="eastAsia" w:ascii="仿宋_GB2312" w:hAnsi="仿宋_GB2312" w:eastAsia="仿宋_GB2312" w:cs="仿宋_GB2312"/>
          <w:b w:val="0"/>
          <w:bCs w:val="0"/>
          <w:color w:val="auto"/>
          <w:sz w:val="32"/>
          <w:szCs w:val="32"/>
          <w:highlight w:val="none"/>
          <w:u w:val="none"/>
          <w:shd w:val="clear" w:color="auto" w:fill="auto"/>
          <w:lang w:eastAsia="zh-CN"/>
        </w:rPr>
        <w:t>施工图预算审核的范围包括：经图审合格并经建设单位确认的施工图范围内的全部内容。</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2.施工图预算审核内容包括程序性审查和技术性审查。其中程序性审查主要包括：</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（1）建设程序是否合法合规；</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（2）概算执行是否到位，是否严格按概算批复建设；</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（3）合同执行是否到位，</w:t>
      </w:r>
      <w:r>
        <w:rPr>
          <w:rFonts w:hint="eastAsia" w:ascii="仿宋_GB2312" w:hAnsi="仿宋_GB2312" w:eastAsia="仿宋_GB2312" w:cs="仿宋_GB2312"/>
          <w:b w:val="0"/>
          <w:bCs w:val="0"/>
          <w:color w:val="auto"/>
          <w:sz w:val="32"/>
          <w:szCs w:val="32"/>
          <w:highlight w:val="none"/>
          <w:u w:val="none"/>
          <w:lang w:val="en-US" w:eastAsia="zh-CN"/>
        </w:rPr>
        <w:t>建</w:t>
      </w: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设单位是否按合同约定的时间办理施工图图审、施工图纸确认等工作，是否存在延期提交施工图预算审核等。</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技术性审查主要包括：</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（1）施工图预算是否在合同限价内；</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right="0" w:rightChars="0" w:firstLine="640" w:firstLineChars="200"/>
        <w:jc w:val="left"/>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（2）定额套用、税费计取、人材机的价格取定是否符合合同约定；</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right="0" w:rightChars="0" w:firstLine="640" w:firstLineChars="200"/>
        <w:jc w:val="left"/>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（3）暂估价的品种选定和询价程序是否符合相关规定，价格是否合理；</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right="0" w:rightChars="0" w:firstLine="640" w:firstLineChars="200"/>
        <w:jc w:val="left"/>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（4）工程量的计量是否准确；</w:t>
      </w:r>
    </w:p>
    <w:p>
      <w:pPr>
        <w:adjustRightInd w:val="0"/>
        <w:snapToGrid w:val="0"/>
        <w:spacing w:before="0" w:beforeLines="0" w:beforeAutospacing="0" w:after="0" w:afterLines="0" w:afterAutospacing="0" w:line="560" w:lineRule="exact"/>
        <w:ind w:firstLine="640" w:firstLineChars="200"/>
        <w:rPr>
          <w:rFonts w:hint="eastAsia" w:ascii="仿宋_GB2312" w:hAnsi="仿宋_GB2312" w:eastAsia="仿宋_GB2312" w:cs="仿宋_GB2312"/>
          <w:b w:val="0"/>
          <w:bCs w:val="0"/>
          <w:color w:val="auto"/>
          <w:kern w:val="2"/>
          <w:sz w:val="32"/>
          <w:szCs w:val="32"/>
          <w:highlight w:val="none"/>
          <w:u w:val="none"/>
          <w:shd w:val="clear" w:color="auto" w:fill="auto"/>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（5）重大技术措施方案是否经过论证，价格是否合理等。</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540"/>
        <w:textAlignment w:val="auto"/>
        <w:rPr>
          <w:rFonts w:hint="eastAsia" w:ascii="仿宋_GB2312" w:hAnsi="仿宋_GB2312" w:eastAsia="仿宋_GB2312" w:cs="仿宋_GB2312"/>
          <w:b w:val="0"/>
          <w:bCs w:val="0"/>
          <w:color w:val="auto"/>
          <w:kern w:val="2"/>
          <w:sz w:val="32"/>
          <w:szCs w:val="32"/>
          <w:highlight w:val="none"/>
          <w:u w:val="none"/>
          <w:shd w:val="clear" w:color="auto" w:fill="auto"/>
          <w:lang w:eastAsia="zh-CN"/>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3.</w:t>
      </w:r>
      <w:r>
        <w:rPr>
          <w:rFonts w:hint="eastAsia" w:ascii="仿宋_GB2312" w:hAnsi="仿宋_GB2312" w:eastAsia="仿宋_GB2312" w:cs="仿宋_GB2312"/>
          <w:b w:val="0"/>
          <w:bCs w:val="0"/>
          <w:color w:val="auto"/>
          <w:sz w:val="32"/>
          <w:szCs w:val="32"/>
          <w:highlight w:val="none"/>
          <w:u w:val="none"/>
          <w:lang w:val="en-US" w:eastAsia="zh-CN"/>
        </w:rPr>
        <w:t>施工图预算编制审核时限</w:t>
      </w:r>
      <w:r>
        <w:rPr>
          <w:rFonts w:hint="eastAsia" w:ascii="仿宋_GB2312" w:hAnsi="仿宋_GB2312" w:eastAsia="仿宋_GB2312" w:cs="仿宋_GB2312"/>
          <w:b w:val="0"/>
          <w:bCs w:val="0"/>
          <w:color w:val="auto"/>
          <w:sz w:val="32"/>
          <w:szCs w:val="32"/>
          <w:highlight w:val="none"/>
          <w:u w:val="none"/>
        </w:rPr>
        <w:t>：</w:t>
      </w:r>
    </w:p>
    <w:tbl>
      <w:tblPr>
        <w:tblStyle w:val="6"/>
        <w:tblW w:w="88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26"/>
        <w:gridCol w:w="1725"/>
        <w:gridCol w:w="1740"/>
        <w:gridCol w:w="1785"/>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0" w:hRule="atLeast"/>
        </w:trPr>
        <w:tc>
          <w:tcPr>
            <w:tcW w:w="1926"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合同金额</w:t>
            </w:r>
          </w:p>
        </w:tc>
        <w:tc>
          <w:tcPr>
            <w:tcW w:w="3465" w:type="dxa"/>
            <w:gridSpan w:val="2"/>
            <w:tcBorders>
              <w:top w:val="single" w:color="000000" w:sz="8" w:space="0"/>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kern w:val="0"/>
                <w:sz w:val="28"/>
                <w:szCs w:val="28"/>
                <w:highlight w:val="none"/>
                <w:u w:val="none"/>
                <w:lang w:val="en-US" w:eastAsia="zh-CN" w:bidi="ar"/>
              </w:rPr>
            </w:pPr>
            <w:r>
              <w:rPr>
                <w:rFonts w:hint="eastAsia" w:ascii="仿宋_GB2312" w:hAnsi="仿宋_GB2312" w:eastAsia="仿宋_GB2312" w:cs="仿宋_GB2312"/>
                <w:b w:val="0"/>
                <w:bCs w:val="0"/>
                <w:i w:val="0"/>
                <w:color w:val="auto"/>
                <w:kern w:val="0"/>
                <w:sz w:val="28"/>
                <w:szCs w:val="28"/>
                <w:highlight w:val="none"/>
                <w:u w:val="none"/>
                <w:lang w:val="en-US" w:eastAsia="zh-CN" w:bidi="ar"/>
              </w:rPr>
              <w:t>合同签订后至提交财政</w:t>
            </w:r>
          </w:p>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审核时间（天）</w:t>
            </w:r>
          </w:p>
        </w:tc>
        <w:tc>
          <w:tcPr>
            <w:tcW w:w="3420" w:type="dxa"/>
            <w:gridSpan w:val="2"/>
            <w:tcBorders>
              <w:top w:val="single" w:color="000000" w:sz="8" w:space="0"/>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财政审核时间（天）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926" w:type="dxa"/>
            <w:vMerge w:val="continue"/>
            <w:tcBorders>
              <w:top w:val="single" w:color="000000" w:sz="8" w:space="0"/>
              <w:left w:val="single" w:color="000000" w:sz="8" w:space="0"/>
              <w:bottom w:val="single" w:color="000000" w:sz="8" w:space="0"/>
              <w:right w:val="single" w:color="000000" w:sz="8" w:space="0"/>
            </w:tcBorders>
            <w:vAlign w:val="center"/>
          </w:tcPr>
          <w:p>
            <w:pPr>
              <w:widowControl/>
              <w:adjustRightInd w:val="0"/>
              <w:snapToGrid w:val="0"/>
              <w:spacing w:beforeLines="0" w:afterLines="0" w:line="240" w:lineRule="auto"/>
              <w:jc w:val="center"/>
              <w:rPr>
                <w:rFonts w:hint="eastAsia" w:ascii="仿宋_GB2312" w:hAnsi="仿宋_GB2312" w:eastAsia="仿宋_GB2312" w:cs="仿宋_GB2312"/>
                <w:b w:val="0"/>
                <w:bCs w:val="0"/>
                <w:i w:val="0"/>
                <w:color w:val="auto"/>
                <w:sz w:val="28"/>
                <w:szCs w:val="28"/>
                <w:highlight w:val="none"/>
                <w:u w:val="none"/>
              </w:rPr>
            </w:pPr>
          </w:p>
        </w:tc>
        <w:tc>
          <w:tcPr>
            <w:tcW w:w="1725"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kern w:val="0"/>
                <w:sz w:val="28"/>
                <w:szCs w:val="28"/>
                <w:highlight w:val="none"/>
                <w:u w:val="none"/>
                <w:lang w:val="en-US" w:eastAsia="zh-CN" w:bidi="ar"/>
              </w:rPr>
            </w:pPr>
            <w:r>
              <w:rPr>
                <w:rFonts w:hint="eastAsia" w:ascii="仿宋_GB2312" w:hAnsi="仿宋_GB2312" w:eastAsia="仿宋_GB2312" w:cs="仿宋_GB2312"/>
                <w:b w:val="0"/>
                <w:bCs w:val="0"/>
                <w:i w:val="0"/>
                <w:color w:val="auto"/>
                <w:kern w:val="0"/>
                <w:sz w:val="28"/>
                <w:szCs w:val="28"/>
                <w:highlight w:val="none"/>
                <w:u w:val="none"/>
                <w:lang w:val="en-US" w:eastAsia="zh-CN" w:bidi="ar"/>
              </w:rPr>
              <w:t>固定总价</w:t>
            </w:r>
          </w:p>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合同</w:t>
            </w:r>
          </w:p>
        </w:tc>
        <w:tc>
          <w:tcPr>
            <w:tcW w:w="174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kern w:val="0"/>
                <w:sz w:val="28"/>
                <w:szCs w:val="28"/>
                <w:highlight w:val="none"/>
                <w:u w:val="none"/>
                <w:lang w:val="en-US" w:eastAsia="zh-CN" w:bidi="ar"/>
              </w:rPr>
            </w:pPr>
            <w:r>
              <w:rPr>
                <w:rFonts w:hint="eastAsia" w:ascii="仿宋_GB2312" w:hAnsi="仿宋_GB2312" w:eastAsia="仿宋_GB2312" w:cs="仿宋_GB2312"/>
                <w:b w:val="0"/>
                <w:bCs w:val="0"/>
                <w:i w:val="0"/>
                <w:color w:val="auto"/>
                <w:kern w:val="0"/>
                <w:sz w:val="28"/>
                <w:szCs w:val="28"/>
                <w:highlight w:val="none"/>
                <w:u w:val="none"/>
                <w:lang w:val="en-US" w:eastAsia="zh-CN" w:bidi="ar"/>
              </w:rPr>
              <w:t>固定单价</w:t>
            </w:r>
          </w:p>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合同</w:t>
            </w:r>
          </w:p>
        </w:tc>
        <w:tc>
          <w:tcPr>
            <w:tcW w:w="1785"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kern w:val="0"/>
                <w:sz w:val="28"/>
                <w:szCs w:val="28"/>
                <w:highlight w:val="none"/>
                <w:u w:val="none"/>
                <w:lang w:val="en-US" w:eastAsia="zh-CN" w:bidi="ar"/>
              </w:rPr>
            </w:pPr>
            <w:r>
              <w:rPr>
                <w:rFonts w:hint="eastAsia" w:ascii="仿宋_GB2312" w:hAnsi="仿宋_GB2312" w:eastAsia="仿宋_GB2312" w:cs="仿宋_GB2312"/>
                <w:b w:val="0"/>
                <w:bCs w:val="0"/>
                <w:i w:val="0"/>
                <w:color w:val="auto"/>
                <w:kern w:val="0"/>
                <w:sz w:val="28"/>
                <w:szCs w:val="28"/>
                <w:highlight w:val="none"/>
                <w:u w:val="none"/>
                <w:lang w:val="en-US" w:eastAsia="zh-CN" w:bidi="ar"/>
              </w:rPr>
              <w:t>固定总价</w:t>
            </w:r>
          </w:p>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合同</w:t>
            </w:r>
          </w:p>
        </w:tc>
        <w:tc>
          <w:tcPr>
            <w:tcW w:w="163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kern w:val="0"/>
                <w:sz w:val="28"/>
                <w:szCs w:val="28"/>
                <w:highlight w:val="none"/>
                <w:u w:val="none"/>
                <w:lang w:val="en-US" w:eastAsia="zh-CN" w:bidi="ar"/>
              </w:rPr>
            </w:pPr>
            <w:r>
              <w:rPr>
                <w:rFonts w:hint="eastAsia" w:ascii="仿宋_GB2312" w:hAnsi="仿宋_GB2312" w:eastAsia="仿宋_GB2312" w:cs="仿宋_GB2312"/>
                <w:b w:val="0"/>
                <w:bCs w:val="0"/>
                <w:i w:val="0"/>
                <w:color w:val="auto"/>
                <w:kern w:val="0"/>
                <w:sz w:val="28"/>
                <w:szCs w:val="28"/>
                <w:highlight w:val="none"/>
                <w:u w:val="none"/>
                <w:lang w:val="en-US" w:eastAsia="zh-CN" w:bidi="ar"/>
              </w:rPr>
              <w:t>固定单价</w:t>
            </w:r>
          </w:p>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1926"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1亿元（含）以下</w:t>
            </w:r>
          </w:p>
        </w:tc>
        <w:tc>
          <w:tcPr>
            <w:tcW w:w="1725"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90</w:t>
            </w:r>
          </w:p>
        </w:tc>
        <w:tc>
          <w:tcPr>
            <w:tcW w:w="1740"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85</w:t>
            </w:r>
          </w:p>
        </w:tc>
        <w:tc>
          <w:tcPr>
            <w:tcW w:w="1785"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25</w:t>
            </w:r>
          </w:p>
        </w:tc>
        <w:tc>
          <w:tcPr>
            <w:tcW w:w="1635"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26"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1亿元-10亿元（含）</w:t>
            </w:r>
          </w:p>
        </w:tc>
        <w:tc>
          <w:tcPr>
            <w:tcW w:w="1725"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120</w:t>
            </w:r>
          </w:p>
        </w:tc>
        <w:tc>
          <w:tcPr>
            <w:tcW w:w="1740"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lang w:val="en-US" w:eastAsia="zh-CN"/>
              </w:rPr>
            </w:pPr>
            <w:r>
              <w:rPr>
                <w:rFonts w:hint="eastAsia" w:ascii="仿宋_GB2312" w:hAnsi="仿宋_GB2312" w:eastAsia="仿宋_GB2312" w:cs="仿宋_GB2312"/>
                <w:b w:val="0"/>
                <w:bCs w:val="0"/>
                <w:i w:val="0"/>
                <w:color w:val="auto"/>
                <w:sz w:val="28"/>
                <w:szCs w:val="28"/>
                <w:highlight w:val="none"/>
                <w:u w:val="none"/>
                <w:lang w:val="en-US" w:eastAsia="zh-CN"/>
              </w:rPr>
              <w:t>110</w:t>
            </w:r>
          </w:p>
        </w:tc>
        <w:tc>
          <w:tcPr>
            <w:tcW w:w="1785"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40</w:t>
            </w:r>
          </w:p>
        </w:tc>
        <w:tc>
          <w:tcPr>
            <w:tcW w:w="1635"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926"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10亿元以上</w:t>
            </w:r>
          </w:p>
        </w:tc>
        <w:tc>
          <w:tcPr>
            <w:tcW w:w="1725"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180</w:t>
            </w:r>
          </w:p>
        </w:tc>
        <w:tc>
          <w:tcPr>
            <w:tcW w:w="1740"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160</w:t>
            </w:r>
          </w:p>
        </w:tc>
        <w:tc>
          <w:tcPr>
            <w:tcW w:w="1785"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55</w:t>
            </w:r>
          </w:p>
        </w:tc>
        <w:tc>
          <w:tcPr>
            <w:tcW w:w="1635" w:type="dxa"/>
            <w:tcBorders>
              <w:top w:val="nil"/>
              <w:left w:val="nil"/>
              <w:bottom w:val="single" w:color="000000" w:sz="8" w:space="0"/>
              <w:right w:val="single" w:color="000000" w:sz="8" w:space="0"/>
            </w:tcBorders>
            <w:vAlign w:val="center"/>
          </w:tcPr>
          <w:p>
            <w:pPr>
              <w:keepNext w:val="0"/>
              <w:keepLines w:val="0"/>
              <w:widowControl/>
              <w:suppressLineNumbers w:val="0"/>
              <w:adjustRightInd w:val="0"/>
              <w:snapToGrid w:val="0"/>
              <w:spacing w:beforeLines="0" w:afterLines="0" w:line="240" w:lineRule="auto"/>
              <w:jc w:val="center"/>
              <w:textAlignment w:val="center"/>
              <w:rPr>
                <w:rFonts w:hint="eastAsia" w:ascii="仿宋_GB2312" w:hAnsi="仿宋_GB2312" w:eastAsia="仿宋_GB2312" w:cs="仿宋_GB2312"/>
                <w:b w:val="0"/>
                <w:bCs w:val="0"/>
                <w:i w:val="0"/>
                <w:color w:val="auto"/>
                <w:sz w:val="28"/>
                <w:szCs w:val="28"/>
                <w:highlight w:val="none"/>
                <w:u w:val="none"/>
              </w:rPr>
            </w:pPr>
            <w:r>
              <w:rPr>
                <w:rFonts w:hint="eastAsia" w:ascii="仿宋_GB2312" w:hAnsi="仿宋_GB2312" w:eastAsia="仿宋_GB2312" w:cs="仿宋_GB2312"/>
                <w:b w:val="0"/>
                <w:bCs w:val="0"/>
                <w:i w:val="0"/>
                <w:color w:val="auto"/>
                <w:kern w:val="0"/>
                <w:sz w:val="28"/>
                <w:szCs w:val="28"/>
                <w:highlight w:val="none"/>
                <w:u w:val="none"/>
                <w:lang w:val="en-US" w:eastAsia="zh-CN" w:bidi="ar"/>
              </w:rPr>
              <w:t>45</w:t>
            </w:r>
          </w:p>
        </w:tc>
      </w:tr>
    </w:tbl>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val="0"/>
          <w:bCs w:val="0"/>
          <w:color w:val="auto"/>
          <w:sz w:val="32"/>
          <w:szCs w:val="32"/>
          <w:highlight w:val="none"/>
          <w:u w:val="none"/>
          <w:shd w:val="clear" w:color="auto" w:fill="FFFFFF"/>
          <w:lang w:val="en-US" w:eastAsia="zh-CN"/>
        </w:rPr>
        <w:t>（二十三）</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根据合同约定，政府投资项目的政府方支付</w:t>
      </w:r>
      <w:r>
        <w:rPr>
          <w:rFonts w:hint="eastAsia" w:ascii="仿宋_GB2312" w:hAnsi="仿宋_GB2312" w:eastAsia="仿宋_GB2312" w:cs="仿宋_GB2312"/>
          <w:b w:val="0"/>
          <w:bCs w:val="0"/>
          <w:color w:val="auto"/>
          <w:spacing w:val="-11"/>
          <w:sz w:val="32"/>
          <w:szCs w:val="32"/>
          <w:highlight w:val="none"/>
          <w:u w:val="none"/>
          <w:shd w:val="clear" w:color="auto" w:fill="auto"/>
          <w:lang w:val="en-US" w:eastAsia="zh-CN"/>
        </w:rPr>
        <w:t>责任与施工图预算额度</w:t>
      </w:r>
      <w:r>
        <w:rPr>
          <w:rFonts w:hint="eastAsia" w:ascii="仿宋_GB2312" w:hAnsi="仿宋_GB2312" w:eastAsia="仿宋_GB2312" w:cs="仿宋_GB2312"/>
          <w:b w:val="0"/>
          <w:bCs w:val="0"/>
          <w:color w:val="auto"/>
          <w:spacing w:val="-11"/>
          <w:sz w:val="32"/>
          <w:szCs w:val="32"/>
          <w:highlight w:val="none"/>
          <w:u w:val="none"/>
          <w:shd w:val="clear" w:color="auto" w:fill="auto"/>
          <w:lang w:eastAsia="zh-CN"/>
        </w:rPr>
        <w:t>无关联</w:t>
      </w:r>
      <w:r>
        <w:rPr>
          <w:rFonts w:hint="eastAsia" w:ascii="仿宋_GB2312" w:hAnsi="仿宋_GB2312" w:eastAsia="仿宋_GB2312" w:cs="仿宋_GB2312"/>
          <w:b w:val="0"/>
          <w:bCs w:val="0"/>
          <w:color w:val="auto"/>
          <w:spacing w:val="-11"/>
          <w:sz w:val="32"/>
          <w:szCs w:val="32"/>
          <w:highlight w:val="none"/>
          <w:u w:val="none"/>
          <w:shd w:val="clear" w:color="auto" w:fill="auto"/>
          <w:lang w:val="en-US" w:eastAsia="zh-CN"/>
        </w:rPr>
        <w:t>的，财政部门不再审核施工图预算。</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firstLine="640" w:firstLineChars="200"/>
        <w:textAlignment w:val="auto"/>
        <w:rPr>
          <w:rFonts w:hint="eastAsia" w:ascii="黑体" w:hAnsi="黑体" w:eastAsia="黑体" w:cs="黑体"/>
          <w:b w:val="0"/>
          <w:bCs w:val="0"/>
          <w:i w:val="0"/>
          <w:caps w:val="0"/>
          <w:color w:val="auto"/>
          <w:spacing w:val="0"/>
          <w:sz w:val="32"/>
          <w:szCs w:val="32"/>
          <w:highlight w:val="none"/>
          <w:u w:val="none"/>
          <w:shd w:val="clear" w:color="auto" w:fill="FFFFFF"/>
        </w:rPr>
      </w:pPr>
      <w:r>
        <w:rPr>
          <w:rFonts w:hint="eastAsia" w:ascii="黑体" w:hAnsi="黑体" w:eastAsia="黑体" w:cs="黑体"/>
          <w:b w:val="0"/>
          <w:bCs w:val="0"/>
          <w:i w:val="0"/>
          <w:caps w:val="0"/>
          <w:color w:val="auto"/>
          <w:spacing w:val="0"/>
          <w:sz w:val="32"/>
          <w:szCs w:val="32"/>
          <w:highlight w:val="none"/>
          <w:u w:val="none"/>
          <w:shd w:val="clear" w:color="auto" w:fill="FFFFFF"/>
          <w:lang w:val="en-US" w:eastAsia="zh-CN"/>
        </w:rPr>
        <w:t>五</w:t>
      </w:r>
      <w:r>
        <w:rPr>
          <w:rFonts w:hint="eastAsia" w:ascii="黑体" w:hAnsi="黑体" w:eastAsia="黑体" w:cs="黑体"/>
          <w:b w:val="0"/>
          <w:bCs w:val="0"/>
          <w:caps w:val="0"/>
          <w:color w:val="333333"/>
          <w:spacing w:val="0"/>
          <w:sz w:val="32"/>
          <w:szCs w:val="32"/>
          <w:highlight w:val="none"/>
          <w:shd w:val="clear" w:color="auto" w:fill="FFFFFF"/>
          <w:lang w:eastAsia="zh-CN"/>
        </w:rPr>
        <w:t>、</w:t>
      </w:r>
      <w:r>
        <w:rPr>
          <w:rFonts w:hint="eastAsia" w:ascii="黑体" w:hAnsi="黑体" w:eastAsia="黑体" w:cs="黑体"/>
          <w:b w:val="0"/>
          <w:bCs w:val="0"/>
          <w:i w:val="0"/>
          <w:caps w:val="0"/>
          <w:color w:val="auto"/>
          <w:spacing w:val="0"/>
          <w:sz w:val="32"/>
          <w:szCs w:val="32"/>
          <w:highlight w:val="none"/>
          <w:u w:val="none"/>
          <w:shd w:val="clear" w:color="auto" w:fill="FFFFFF"/>
        </w:rPr>
        <w:t>工程总承包项目实施</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（二十四）</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工程总承包单位应当建立与工程总承包相适应的组织机构和管理制度，形成项目设计、采购、施工、试运行管理以及质量、安全、工期、造价、节约能源和生态环境保护管理等工程总承包综合管理能力。</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（二十五）</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工程总承包单位应当设立项目管理机构，设置项目经理，配备相应管理人员，加强设计、采购与施工的协调，完善和优化设计，改进施工方案，实现对工程总承包项目的有效管理控制。</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（二十六）</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工程总承包项目经理应当具备下列条件：</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1</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取得相应工程建设类注册执业资格，包括注册建筑师、勘察设计注册工程师、注册建造师或者注册监理工程师等；未实施注册执业资格的，取得高级专业技术职称；</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2</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担任过与拟建项目相类似的工程总承包项目经理、设计项目负责人、施工项目负责人或者项目总监理工程师；</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3</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熟悉工程技术和工程总承包项目管理知识以及相关法律法规、标准规范；</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4</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具有较强的组织协调能力和良好的职业道德。</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工程总承包项目经理不得同时在两个或者两个以上工程项目担任工程总承包项目经理、施工项目负责人。</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b w:val="0"/>
          <w:bCs w:val="0"/>
          <w:color w:val="auto"/>
          <w:sz w:val="32"/>
          <w:szCs w:val="32"/>
          <w:highlight w:val="none"/>
          <w:u w:val="none"/>
          <w:shd w:val="clear" w:color="auto" w:fill="auto"/>
          <w:lang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（二十七）</w:t>
      </w:r>
      <w:r>
        <w:rPr>
          <w:rFonts w:hint="eastAsia" w:ascii="仿宋_GB2312" w:hAnsi="仿宋_GB2312" w:eastAsia="仿宋_GB2312" w:cs="仿宋_GB2312"/>
          <w:b w:val="0"/>
          <w:bCs w:val="0"/>
          <w:color w:val="auto"/>
          <w:sz w:val="32"/>
          <w:szCs w:val="32"/>
          <w:highlight w:val="none"/>
          <w:u w:val="none"/>
          <w:shd w:val="clear" w:color="auto" w:fill="auto"/>
          <w:lang w:eastAsia="zh-CN"/>
        </w:rPr>
        <w:t>建设单位可以一次性申请领取工程总承包项目的施工许可证，也可依法分阶段申请领取施工许可证。</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 xml:space="preserve">  （二十八）</w:t>
      </w:r>
      <w:r>
        <w:rPr>
          <w:rFonts w:hint="eastAsia" w:ascii="仿宋_GB2312" w:hAnsi="仿宋_GB2312" w:eastAsia="仿宋_GB2312" w:cs="仿宋_GB2312"/>
          <w:b w:val="0"/>
          <w:bCs w:val="0"/>
          <w:color w:val="auto"/>
          <w:sz w:val="32"/>
          <w:szCs w:val="32"/>
          <w:highlight w:val="none"/>
          <w:u w:val="none"/>
          <w:shd w:val="clear" w:color="auto" w:fill="auto"/>
          <w:lang w:eastAsia="zh-CN"/>
        </w:rPr>
        <w:t>建设单位应当加强工程总承包项目全过程管理。采用工程总承包的项目，率先推行涵盖投资决策、建设实施、运营维护等阶段的全过程工程咨询服务。</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（二十九）</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工程总承包单位应当对其承包的全部建设工程质量负责，分包单位对其分包工程的质量负责，分包不免除工程总承包单位对其承包的全部建设工程所负的质量责任。</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工程总承包单位、工程总承包项目经理依法承担质量终身责任。</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（三十）</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以联合体方式招标的工程总承包项目，提倡由一家设计单位和一家施工单位组成联合体</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应在联合体协议中约定其中一方为牵头方，</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并在联合体协议中明确联合体成员的责任和权利。</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联合体各方应当共同与建设单位签订工程总承包合同，就工程总承包项目承担连带责任。涉及项目分包的，联合体各方</w:t>
      </w:r>
      <w:r>
        <w:rPr>
          <w:rFonts w:hint="eastAsia" w:ascii="仿宋_GB2312" w:hAnsi="仿宋_GB2312" w:eastAsia="仿宋_GB2312" w:cs="仿宋_GB2312"/>
          <w:b w:val="0"/>
          <w:bCs w:val="0"/>
          <w:i w:val="0"/>
          <w:caps w:val="0"/>
          <w:color w:val="auto"/>
          <w:spacing w:val="-6"/>
          <w:sz w:val="32"/>
          <w:szCs w:val="32"/>
          <w:highlight w:val="none"/>
          <w:u w:val="none"/>
          <w:shd w:val="clear" w:color="auto" w:fill="FFFFFF"/>
        </w:rPr>
        <w:t>应当共同与分包单位签订分包合同，就分包工程承担连带责任。</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联合体各方应当根据联合体协议共同组建项目管理机构，其中工程总承包项目经理、造价负责人宜由联合体牵头人的人员担任。</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联合体各方应当按照联合体协议分别自行完成主体工程的施工图设计和施工业务。</w:t>
      </w:r>
    </w:p>
    <w:p>
      <w:pPr>
        <w:widowControl w:val="0"/>
        <w:numPr>
          <w:ilvl w:val="0"/>
          <w:numId w:val="0"/>
        </w:numPr>
        <w:adjustRightInd w:val="0"/>
        <w:snapToGrid w:val="0"/>
        <w:spacing w:before="0" w:beforeLines="0" w:beforeAutospacing="0" w:after="0" w:afterLines="0" w:afterAutospacing="0" w:line="560" w:lineRule="exact"/>
        <w:ind w:firstLine="720"/>
        <w:jc w:val="both"/>
        <w:outlineLvl w:val="9"/>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工程总承包单位为联合体的，</w:t>
      </w:r>
      <w:r>
        <w:rPr>
          <w:rFonts w:hint="eastAsia" w:ascii="仿宋_GB2312" w:hAnsi="仿宋_GB2312" w:eastAsia="仿宋_GB2312" w:cs="仿宋_GB2312"/>
          <w:b w:val="0"/>
          <w:bCs w:val="0"/>
          <w:color w:val="auto"/>
          <w:sz w:val="32"/>
          <w:szCs w:val="32"/>
          <w:highlight w:val="none"/>
          <w:u w:val="none"/>
          <w:lang w:val="en-US" w:eastAsia="zh-CN"/>
        </w:rPr>
        <w:t>由联合体中的施工总承包单位开设农民工工资专用账户，专项用于支付该工程建设项目农民工工资。</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right="0" w:firstLine="640" w:firstLineChars="200"/>
        <w:jc w:val="both"/>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（三十一）</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建设单位和总承包单位不得擅自变更建设内容、扩大建设规模和提高建设标准。工程建设过程中，原则上</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不</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再进行变更、签证，若因特殊原因发生变更的，按《绍兴市政府投资项目工程变更管理办法》的规定处理</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确因</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国家政策调整、价格上涨、地质条件发生重大变化</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功能改变等情形导致变更价款调整超合同总价的，经审批部门批准后允许在预备费中平衡相关费用，不足部分可在概算范围内平衡</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变更价款调整导致超概算的，应调整变更方案直至在概算范围内。</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right="0" w:firstLine="640" w:firstLineChars="200"/>
        <w:jc w:val="both"/>
        <w:textAlignment w:val="auto"/>
        <w:rPr>
          <w:rFonts w:hint="eastAsia" w:ascii="仿宋_GB2312" w:hAnsi="仿宋_GB2312" w:eastAsia="仿宋_GB2312" w:cs="仿宋_GB2312"/>
          <w:b w:val="0"/>
          <w:bCs w:val="0"/>
          <w:color w:val="auto"/>
          <w:sz w:val="32"/>
          <w:szCs w:val="32"/>
          <w:highlight w:val="none"/>
          <w:u w:val="none"/>
          <w:shd w:val="clear" w:color="auto" w:fill="FFFFFF"/>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（三十二）建设单位在</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招标文件和合同中要根据工程费结算计</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价</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rPr>
        <w:t>方式约定合同价款风险范围及调整办法。</w:t>
      </w:r>
      <w:r>
        <w:rPr>
          <w:rFonts w:hint="eastAsia" w:ascii="仿宋_GB2312" w:hAnsi="仿宋_GB2312" w:eastAsia="仿宋_GB2312" w:cs="仿宋_GB2312"/>
          <w:b w:val="0"/>
          <w:bCs w:val="0"/>
          <w:color w:val="auto"/>
          <w:sz w:val="32"/>
          <w:szCs w:val="32"/>
          <w:highlight w:val="none"/>
          <w:u w:val="none"/>
          <w:shd w:val="clear" w:color="auto" w:fill="FFFFFF"/>
        </w:rPr>
        <w:t>实施中</w:t>
      </w:r>
      <w:r>
        <w:rPr>
          <w:rFonts w:hint="eastAsia" w:ascii="仿宋_GB2312" w:hAnsi="仿宋_GB2312" w:eastAsia="仿宋_GB2312" w:cs="仿宋_GB2312"/>
          <w:b w:val="0"/>
          <w:bCs w:val="0"/>
          <w:color w:val="auto"/>
          <w:sz w:val="32"/>
          <w:szCs w:val="32"/>
          <w:highlight w:val="none"/>
          <w:u w:val="none"/>
          <w:shd w:val="clear" w:color="auto" w:fill="FFFFFF"/>
          <w:lang w:val="en-US" w:eastAsia="zh-CN"/>
        </w:rPr>
        <w:t>因建设单位提供的初步设计文件不符合设计规范及相关规定要求或错漏项的</w:t>
      </w:r>
      <w:r>
        <w:rPr>
          <w:rFonts w:hint="eastAsia" w:ascii="仿宋_GB2312" w:hAnsi="仿宋_GB2312" w:eastAsia="仿宋_GB2312" w:cs="仿宋_GB2312"/>
          <w:b w:val="0"/>
          <w:bCs w:val="0"/>
          <w:color w:val="auto"/>
          <w:sz w:val="32"/>
          <w:szCs w:val="32"/>
          <w:highlight w:val="none"/>
          <w:u w:val="none"/>
          <w:shd w:val="clear" w:color="auto" w:fill="FFFFFF"/>
          <w:lang w:eastAsia="zh-CN"/>
        </w:rPr>
        <w:t>，</w:t>
      </w:r>
      <w:r>
        <w:rPr>
          <w:rFonts w:hint="eastAsia" w:ascii="仿宋_GB2312" w:hAnsi="仿宋_GB2312" w:eastAsia="仿宋_GB2312" w:cs="仿宋_GB2312"/>
          <w:b w:val="0"/>
          <w:bCs w:val="0"/>
          <w:color w:val="auto"/>
          <w:sz w:val="32"/>
          <w:szCs w:val="32"/>
          <w:highlight w:val="none"/>
          <w:u w:val="none"/>
          <w:shd w:val="clear" w:color="auto" w:fill="FFFFFF"/>
        </w:rPr>
        <w:t>应根据合同甄别责任，属建设</w:t>
      </w:r>
      <w:r>
        <w:rPr>
          <w:rFonts w:hint="eastAsia" w:ascii="仿宋_GB2312" w:hAnsi="仿宋_GB2312" w:eastAsia="仿宋_GB2312" w:cs="仿宋_GB2312"/>
          <w:b w:val="0"/>
          <w:bCs w:val="0"/>
          <w:color w:val="auto"/>
          <w:sz w:val="32"/>
          <w:szCs w:val="32"/>
          <w:highlight w:val="none"/>
          <w:u w:val="none"/>
          <w:shd w:val="clear" w:color="auto" w:fill="FFFFFF"/>
          <w:lang w:val="en-US" w:eastAsia="zh-CN"/>
        </w:rPr>
        <w:t>单位</w:t>
      </w:r>
      <w:r>
        <w:rPr>
          <w:rFonts w:hint="eastAsia" w:ascii="仿宋_GB2312" w:hAnsi="仿宋_GB2312" w:eastAsia="仿宋_GB2312" w:cs="仿宋_GB2312"/>
          <w:b w:val="0"/>
          <w:bCs w:val="0"/>
          <w:color w:val="auto"/>
          <w:sz w:val="32"/>
          <w:szCs w:val="32"/>
          <w:highlight w:val="none"/>
          <w:u w:val="none"/>
          <w:shd w:val="clear" w:color="auto" w:fill="FFFFFF"/>
        </w:rPr>
        <w:t>责任</w:t>
      </w:r>
      <w:r>
        <w:rPr>
          <w:rFonts w:hint="eastAsia" w:ascii="仿宋_GB2312" w:hAnsi="仿宋_GB2312" w:eastAsia="仿宋_GB2312" w:cs="仿宋_GB2312"/>
          <w:b w:val="0"/>
          <w:bCs w:val="0"/>
          <w:color w:val="auto"/>
          <w:sz w:val="32"/>
          <w:szCs w:val="32"/>
          <w:highlight w:val="none"/>
          <w:u w:val="none"/>
          <w:shd w:val="clear" w:color="auto" w:fill="FFFFFF"/>
          <w:lang w:val="en-US" w:eastAsia="zh-CN"/>
        </w:rPr>
        <w:t>的</w:t>
      </w:r>
      <w:r>
        <w:rPr>
          <w:rFonts w:hint="eastAsia" w:ascii="仿宋_GB2312" w:hAnsi="仿宋_GB2312" w:eastAsia="仿宋_GB2312" w:cs="仿宋_GB2312"/>
          <w:b w:val="0"/>
          <w:bCs w:val="0"/>
          <w:color w:val="auto"/>
          <w:sz w:val="32"/>
          <w:szCs w:val="32"/>
          <w:highlight w:val="none"/>
          <w:u w:val="none"/>
          <w:shd w:val="clear" w:color="auto" w:fill="FFFFFF"/>
        </w:rPr>
        <w:t>可据实调整，属</w:t>
      </w:r>
      <w:r>
        <w:rPr>
          <w:rFonts w:hint="eastAsia" w:ascii="仿宋_GB2312" w:hAnsi="仿宋_GB2312" w:eastAsia="仿宋_GB2312" w:cs="仿宋_GB2312"/>
          <w:b w:val="0"/>
          <w:bCs w:val="0"/>
          <w:color w:val="auto"/>
          <w:sz w:val="32"/>
          <w:szCs w:val="32"/>
          <w:highlight w:val="none"/>
          <w:u w:val="none"/>
          <w:shd w:val="clear" w:color="auto" w:fill="FFFFFF"/>
          <w:lang w:val="en-US" w:eastAsia="zh-CN"/>
        </w:rPr>
        <w:t>总承包单位</w:t>
      </w:r>
      <w:r>
        <w:rPr>
          <w:rFonts w:hint="eastAsia" w:ascii="仿宋_GB2312" w:hAnsi="仿宋_GB2312" w:eastAsia="仿宋_GB2312" w:cs="仿宋_GB2312"/>
          <w:b w:val="0"/>
          <w:bCs w:val="0"/>
          <w:color w:val="auto"/>
          <w:sz w:val="32"/>
          <w:szCs w:val="32"/>
          <w:highlight w:val="none"/>
          <w:u w:val="none"/>
          <w:shd w:val="clear" w:color="auto" w:fill="FFFFFF"/>
        </w:rPr>
        <w:t>责任的应由</w:t>
      </w:r>
      <w:r>
        <w:rPr>
          <w:rFonts w:hint="eastAsia" w:ascii="仿宋_GB2312" w:hAnsi="仿宋_GB2312" w:eastAsia="仿宋_GB2312" w:cs="仿宋_GB2312"/>
          <w:b w:val="0"/>
          <w:bCs w:val="0"/>
          <w:color w:val="auto"/>
          <w:sz w:val="32"/>
          <w:szCs w:val="32"/>
          <w:highlight w:val="none"/>
          <w:u w:val="none"/>
          <w:shd w:val="clear" w:color="auto" w:fill="FFFFFF"/>
          <w:lang w:val="en-US" w:eastAsia="zh-CN"/>
        </w:rPr>
        <w:t>总承包单位</w:t>
      </w:r>
      <w:r>
        <w:rPr>
          <w:rFonts w:hint="eastAsia" w:ascii="仿宋_GB2312" w:hAnsi="仿宋_GB2312" w:eastAsia="仿宋_GB2312" w:cs="仿宋_GB2312"/>
          <w:b w:val="0"/>
          <w:bCs w:val="0"/>
          <w:color w:val="auto"/>
          <w:sz w:val="32"/>
          <w:szCs w:val="32"/>
          <w:highlight w:val="none"/>
          <w:u w:val="none"/>
          <w:shd w:val="clear" w:color="auto" w:fill="FFFFFF"/>
        </w:rPr>
        <w:t>承担。</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right="0" w:firstLine="640" w:firstLineChars="200"/>
        <w:jc w:val="both"/>
        <w:textAlignment w:val="auto"/>
        <w:rPr>
          <w:rFonts w:hint="eastAsia" w:ascii="仿宋_GB2312" w:hAnsi="仿宋_GB2312" w:eastAsia="仿宋_GB2312" w:cs="仿宋_GB2312"/>
          <w:b w:val="0"/>
          <w:bCs w:val="0"/>
          <w:color w:val="auto"/>
          <w:sz w:val="32"/>
          <w:szCs w:val="32"/>
          <w:highlight w:val="none"/>
          <w:u w:val="none"/>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highlight w:val="none"/>
          <w:u w:val="none"/>
          <w:lang w:val="en-US" w:eastAsia="zh-CN"/>
        </w:rPr>
        <w:t>总承包单位在满足招标文件所列内容，符合设计规范和工程验收标准的条件下，可优化设计，</w:t>
      </w:r>
      <w:r>
        <w:rPr>
          <w:rFonts w:hint="eastAsia" w:ascii="仿宋_GB2312" w:hAnsi="仿宋_GB2312" w:eastAsia="仿宋_GB2312" w:cs="仿宋_GB2312"/>
          <w:b w:val="0"/>
          <w:bCs w:val="0"/>
          <w:color w:val="auto"/>
          <w:sz w:val="32"/>
          <w:szCs w:val="32"/>
          <w:highlight w:val="none"/>
          <w:u w:val="none"/>
          <w:shd w:val="clear" w:color="auto" w:fill="FFFFFF"/>
        </w:rPr>
        <w:t>变更后</w:t>
      </w:r>
      <w:r>
        <w:rPr>
          <w:rFonts w:hint="eastAsia" w:ascii="仿宋_GB2312" w:hAnsi="仿宋_GB2312" w:eastAsia="仿宋_GB2312" w:cs="仿宋_GB2312"/>
          <w:b w:val="0"/>
          <w:bCs w:val="0"/>
          <w:color w:val="auto"/>
          <w:sz w:val="32"/>
          <w:szCs w:val="32"/>
          <w:highlight w:val="none"/>
          <w:u w:val="none"/>
          <w:shd w:val="clear" w:color="auto" w:fill="FFFFFF"/>
          <w:lang w:val="en-US" w:eastAsia="zh-CN"/>
        </w:rPr>
        <w:t>的工程造价</w:t>
      </w:r>
      <w:r>
        <w:rPr>
          <w:rFonts w:hint="eastAsia" w:ascii="仿宋_GB2312" w:hAnsi="仿宋_GB2312" w:eastAsia="仿宋_GB2312" w:cs="仿宋_GB2312"/>
          <w:b w:val="0"/>
          <w:bCs w:val="0"/>
          <w:color w:val="auto"/>
          <w:sz w:val="32"/>
          <w:szCs w:val="32"/>
          <w:highlight w:val="none"/>
          <w:u w:val="none"/>
          <w:shd w:val="clear" w:color="auto" w:fill="FFFFFF"/>
        </w:rPr>
        <w:t>不得超过</w:t>
      </w:r>
      <w:r>
        <w:rPr>
          <w:rFonts w:hint="eastAsia" w:ascii="仿宋_GB2312" w:hAnsi="仿宋_GB2312" w:eastAsia="仿宋_GB2312" w:cs="仿宋_GB2312"/>
          <w:b w:val="0"/>
          <w:bCs w:val="0"/>
          <w:color w:val="auto"/>
          <w:sz w:val="32"/>
          <w:szCs w:val="32"/>
          <w:highlight w:val="none"/>
          <w:u w:val="none"/>
          <w:shd w:val="clear" w:color="auto" w:fill="FFFFFF"/>
          <w:lang w:val="en-US" w:eastAsia="zh-CN"/>
        </w:rPr>
        <w:t>合同总</w:t>
      </w:r>
      <w:r>
        <w:rPr>
          <w:rFonts w:hint="eastAsia" w:ascii="仿宋_GB2312" w:hAnsi="仿宋_GB2312" w:eastAsia="仿宋_GB2312" w:cs="仿宋_GB2312"/>
          <w:b w:val="0"/>
          <w:bCs w:val="0"/>
          <w:color w:val="auto"/>
          <w:sz w:val="32"/>
          <w:szCs w:val="32"/>
          <w:highlight w:val="none"/>
          <w:u w:val="none"/>
          <w:shd w:val="clear" w:color="auto" w:fill="FFFFFF"/>
        </w:rPr>
        <w:t>价</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rPr>
        <w:t>建设</w:t>
      </w:r>
      <w:r>
        <w:rPr>
          <w:rFonts w:hint="eastAsia" w:ascii="仿宋_GB2312" w:hAnsi="仿宋_GB2312" w:eastAsia="仿宋_GB2312" w:cs="仿宋_GB2312"/>
          <w:b w:val="0"/>
          <w:bCs w:val="0"/>
          <w:color w:val="auto"/>
          <w:sz w:val="32"/>
          <w:szCs w:val="32"/>
          <w:highlight w:val="none"/>
          <w:u w:val="none"/>
          <w:lang w:val="en-US" w:eastAsia="zh-CN"/>
        </w:rPr>
        <w:t>单位</w:t>
      </w:r>
      <w:r>
        <w:rPr>
          <w:rFonts w:hint="eastAsia" w:ascii="仿宋_GB2312" w:hAnsi="仿宋_GB2312" w:eastAsia="仿宋_GB2312" w:cs="仿宋_GB2312"/>
          <w:b w:val="0"/>
          <w:bCs w:val="0"/>
          <w:color w:val="auto"/>
          <w:sz w:val="32"/>
          <w:szCs w:val="32"/>
          <w:highlight w:val="none"/>
          <w:u w:val="none"/>
        </w:rPr>
        <w:t>变更仅限于功能调整和设计优化</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变更价款调整导致工程造价超过合同总价的，</w:t>
      </w:r>
      <w:r>
        <w:rPr>
          <w:rFonts w:hint="eastAsia" w:ascii="仿宋_GB2312" w:hAnsi="仿宋_GB2312" w:eastAsia="仿宋_GB2312" w:cs="仿宋_GB2312"/>
          <w:b w:val="0"/>
          <w:bCs w:val="0"/>
          <w:color w:val="auto"/>
          <w:sz w:val="32"/>
          <w:szCs w:val="32"/>
          <w:highlight w:val="none"/>
          <w:u w:val="none"/>
          <w:shd w:val="clear" w:color="auto" w:fill="FFFFFF"/>
          <w:lang w:val="en-US" w:eastAsia="zh-CN"/>
        </w:rPr>
        <w:t>应调整变更方案直至在合同总价范围内。</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（三十三）</w:t>
      </w:r>
      <w:r>
        <w:rPr>
          <w:rFonts w:hint="eastAsia" w:ascii="仿宋_GB2312" w:hAnsi="仿宋_GB2312" w:eastAsia="仿宋_GB2312" w:cs="仿宋_GB2312"/>
          <w:b w:val="0"/>
          <w:bCs w:val="0"/>
          <w:i w:val="0"/>
          <w:caps w:val="0"/>
          <w:color w:val="auto"/>
          <w:spacing w:val="0"/>
          <w:sz w:val="32"/>
          <w:szCs w:val="32"/>
          <w:highlight w:val="none"/>
          <w:u w:val="none"/>
          <w:lang w:eastAsia="zh-CN"/>
        </w:rPr>
        <w:t>市财政局委托全过程咨询服务机构</w:t>
      </w:r>
      <w:r>
        <w:rPr>
          <w:rFonts w:hint="eastAsia" w:ascii="仿宋_GB2312" w:hAnsi="仿宋_GB2312" w:eastAsia="仿宋_GB2312" w:cs="仿宋_GB2312"/>
          <w:b w:val="0"/>
          <w:bCs w:val="0"/>
          <w:i w:val="0"/>
          <w:caps w:val="0"/>
          <w:color w:val="auto"/>
          <w:spacing w:val="0"/>
          <w:sz w:val="32"/>
          <w:szCs w:val="32"/>
          <w:highlight w:val="none"/>
          <w:u w:val="none"/>
        </w:rPr>
        <w:t>对</w:t>
      </w:r>
      <w:r>
        <w:rPr>
          <w:rFonts w:hint="eastAsia" w:ascii="仿宋_GB2312" w:hAnsi="仿宋_GB2312" w:eastAsia="仿宋_GB2312" w:cs="仿宋_GB2312"/>
          <w:b w:val="0"/>
          <w:bCs w:val="0"/>
          <w:i w:val="0"/>
          <w:caps w:val="0"/>
          <w:color w:val="auto"/>
          <w:spacing w:val="0"/>
          <w:sz w:val="32"/>
          <w:szCs w:val="32"/>
          <w:highlight w:val="none"/>
          <w:u w:val="none"/>
          <w:lang w:eastAsia="zh-CN"/>
        </w:rPr>
        <w:t>工程总承包</w:t>
      </w:r>
      <w:r>
        <w:rPr>
          <w:rFonts w:hint="eastAsia" w:ascii="仿宋_GB2312" w:hAnsi="仿宋_GB2312" w:eastAsia="仿宋_GB2312" w:cs="仿宋_GB2312"/>
          <w:b w:val="0"/>
          <w:bCs w:val="0"/>
          <w:i w:val="0"/>
          <w:caps w:val="0"/>
          <w:color w:val="auto"/>
          <w:spacing w:val="0"/>
          <w:sz w:val="32"/>
          <w:szCs w:val="32"/>
          <w:highlight w:val="none"/>
          <w:u w:val="none"/>
        </w:rPr>
        <w:t>项目采取全过程跟踪</w:t>
      </w:r>
      <w:r>
        <w:rPr>
          <w:rFonts w:hint="eastAsia" w:ascii="仿宋_GB2312" w:hAnsi="仿宋_GB2312" w:eastAsia="仿宋_GB2312" w:cs="仿宋_GB2312"/>
          <w:b w:val="0"/>
          <w:bCs w:val="0"/>
          <w:i w:val="0"/>
          <w:caps w:val="0"/>
          <w:color w:val="auto"/>
          <w:spacing w:val="0"/>
          <w:sz w:val="32"/>
          <w:szCs w:val="32"/>
          <w:highlight w:val="none"/>
          <w:u w:val="none"/>
          <w:lang w:eastAsia="zh-CN"/>
        </w:rPr>
        <w:t>管理</w:t>
      </w:r>
      <w:r>
        <w:rPr>
          <w:rFonts w:hint="eastAsia" w:ascii="仿宋_GB2312" w:hAnsi="仿宋_GB2312" w:eastAsia="仿宋_GB2312" w:cs="仿宋_GB2312"/>
          <w:b w:val="0"/>
          <w:bCs w:val="0"/>
          <w:i w:val="0"/>
          <w:caps w:val="0"/>
          <w:color w:val="auto"/>
          <w:spacing w:val="0"/>
          <w:sz w:val="32"/>
          <w:szCs w:val="32"/>
          <w:highlight w:val="none"/>
          <w:u w:val="none"/>
        </w:rPr>
        <w:t>，在跟踪</w:t>
      </w:r>
      <w:r>
        <w:rPr>
          <w:rFonts w:hint="eastAsia" w:ascii="仿宋_GB2312" w:hAnsi="仿宋_GB2312" w:eastAsia="仿宋_GB2312" w:cs="仿宋_GB2312"/>
          <w:b w:val="0"/>
          <w:bCs w:val="0"/>
          <w:i w:val="0"/>
          <w:caps w:val="0"/>
          <w:color w:val="auto"/>
          <w:spacing w:val="0"/>
          <w:sz w:val="32"/>
          <w:szCs w:val="32"/>
          <w:highlight w:val="none"/>
          <w:u w:val="none"/>
          <w:lang w:eastAsia="zh-CN"/>
        </w:rPr>
        <w:t>管理</w:t>
      </w:r>
      <w:r>
        <w:rPr>
          <w:rFonts w:hint="eastAsia" w:ascii="仿宋_GB2312" w:hAnsi="仿宋_GB2312" w:eastAsia="仿宋_GB2312" w:cs="仿宋_GB2312"/>
          <w:b w:val="0"/>
          <w:bCs w:val="0"/>
          <w:i w:val="0"/>
          <w:caps w:val="0"/>
          <w:color w:val="auto"/>
          <w:spacing w:val="0"/>
          <w:sz w:val="32"/>
          <w:szCs w:val="32"/>
          <w:highlight w:val="none"/>
          <w:u w:val="none"/>
        </w:rPr>
        <w:t>过程中发现的问题，及时向</w:t>
      </w:r>
      <w:r>
        <w:rPr>
          <w:rFonts w:hint="eastAsia" w:ascii="仿宋_GB2312" w:hAnsi="仿宋_GB2312" w:eastAsia="仿宋_GB2312" w:cs="仿宋_GB2312"/>
          <w:b w:val="0"/>
          <w:bCs w:val="0"/>
          <w:i w:val="0"/>
          <w:caps w:val="0"/>
          <w:color w:val="auto"/>
          <w:spacing w:val="0"/>
          <w:sz w:val="32"/>
          <w:szCs w:val="32"/>
          <w:highlight w:val="none"/>
          <w:u w:val="none"/>
          <w:lang w:eastAsia="zh-CN"/>
        </w:rPr>
        <w:t>建设单位</w:t>
      </w:r>
      <w:r>
        <w:rPr>
          <w:rFonts w:hint="eastAsia" w:ascii="仿宋_GB2312" w:hAnsi="仿宋_GB2312" w:eastAsia="仿宋_GB2312" w:cs="仿宋_GB2312"/>
          <w:b w:val="0"/>
          <w:bCs w:val="0"/>
          <w:i w:val="0"/>
          <w:caps w:val="0"/>
          <w:color w:val="auto"/>
          <w:spacing w:val="0"/>
          <w:sz w:val="32"/>
          <w:szCs w:val="32"/>
          <w:highlight w:val="none"/>
          <w:u w:val="none"/>
        </w:rPr>
        <w:t>通报，并要求其整改。</w:t>
      </w:r>
      <w:r>
        <w:rPr>
          <w:rFonts w:hint="eastAsia" w:ascii="仿宋_GB2312" w:hAnsi="仿宋_GB2312" w:eastAsia="仿宋_GB2312" w:cs="仿宋_GB2312"/>
          <w:b w:val="0"/>
          <w:bCs w:val="0"/>
          <w:i w:val="0"/>
          <w:caps w:val="0"/>
          <w:color w:val="auto"/>
          <w:spacing w:val="0"/>
          <w:sz w:val="32"/>
          <w:szCs w:val="32"/>
          <w:highlight w:val="none"/>
          <w:u w:val="none"/>
          <w:lang w:eastAsia="zh-CN"/>
        </w:rPr>
        <w:t>建设单位</w:t>
      </w:r>
      <w:r>
        <w:rPr>
          <w:rFonts w:hint="eastAsia" w:ascii="仿宋_GB2312" w:hAnsi="仿宋_GB2312" w:eastAsia="仿宋_GB2312" w:cs="仿宋_GB2312"/>
          <w:b w:val="0"/>
          <w:bCs w:val="0"/>
          <w:i w:val="0"/>
          <w:caps w:val="0"/>
          <w:color w:val="auto"/>
          <w:spacing w:val="0"/>
          <w:sz w:val="32"/>
          <w:szCs w:val="32"/>
          <w:highlight w:val="none"/>
          <w:u w:val="none"/>
        </w:rPr>
        <w:t>应及时整改并将整改结果书面回复</w:t>
      </w:r>
      <w:r>
        <w:rPr>
          <w:rFonts w:hint="eastAsia" w:ascii="仿宋_GB2312" w:hAnsi="仿宋_GB2312" w:eastAsia="仿宋_GB2312" w:cs="仿宋_GB2312"/>
          <w:b w:val="0"/>
          <w:bCs w:val="0"/>
          <w:i w:val="0"/>
          <w:caps w:val="0"/>
          <w:color w:val="auto"/>
          <w:spacing w:val="0"/>
          <w:sz w:val="32"/>
          <w:szCs w:val="32"/>
          <w:highlight w:val="none"/>
          <w:u w:val="none"/>
          <w:lang w:eastAsia="zh-CN"/>
        </w:rPr>
        <w:t>市财政局</w:t>
      </w:r>
      <w:r>
        <w:rPr>
          <w:rFonts w:hint="eastAsia" w:ascii="仿宋_GB2312" w:hAnsi="仿宋_GB2312" w:eastAsia="仿宋_GB2312" w:cs="仿宋_GB2312"/>
          <w:b w:val="0"/>
          <w:bCs w:val="0"/>
          <w:i w:val="0"/>
          <w:caps w:val="0"/>
          <w:color w:val="auto"/>
          <w:spacing w:val="0"/>
          <w:sz w:val="32"/>
          <w:szCs w:val="32"/>
          <w:highlight w:val="none"/>
          <w:u w:val="none"/>
        </w:rPr>
        <w:t>。</w:t>
      </w:r>
      <w:r>
        <w:rPr>
          <w:rFonts w:hint="eastAsia" w:ascii="仿宋_GB2312" w:hAnsi="仿宋_GB2312" w:eastAsia="仿宋_GB2312" w:cs="仿宋_GB2312"/>
          <w:b w:val="0"/>
          <w:bCs w:val="0"/>
          <w:i w:val="0"/>
          <w:caps w:val="0"/>
          <w:color w:val="auto"/>
          <w:spacing w:val="0"/>
          <w:sz w:val="32"/>
          <w:szCs w:val="32"/>
          <w:highlight w:val="none"/>
          <w:u w:val="none"/>
          <w:lang w:eastAsia="zh-CN"/>
        </w:rPr>
        <w:t>建设单位</w:t>
      </w:r>
      <w:r>
        <w:rPr>
          <w:rFonts w:hint="eastAsia" w:ascii="仿宋_GB2312" w:hAnsi="仿宋_GB2312" w:eastAsia="仿宋_GB2312" w:cs="仿宋_GB2312"/>
          <w:b w:val="0"/>
          <w:bCs w:val="0"/>
          <w:i w:val="0"/>
          <w:caps w:val="0"/>
          <w:color w:val="auto"/>
          <w:spacing w:val="0"/>
          <w:sz w:val="32"/>
          <w:szCs w:val="32"/>
          <w:highlight w:val="none"/>
          <w:u w:val="none"/>
        </w:rPr>
        <w:t>应在招标、开工、竣工等主要时间节点全面准确的向</w:t>
      </w:r>
      <w:r>
        <w:rPr>
          <w:rFonts w:hint="eastAsia" w:ascii="仿宋_GB2312" w:hAnsi="仿宋_GB2312" w:eastAsia="仿宋_GB2312" w:cs="仿宋_GB2312"/>
          <w:b w:val="0"/>
          <w:bCs w:val="0"/>
          <w:i w:val="0"/>
          <w:caps w:val="0"/>
          <w:color w:val="auto"/>
          <w:spacing w:val="0"/>
          <w:sz w:val="32"/>
          <w:szCs w:val="32"/>
          <w:highlight w:val="none"/>
          <w:u w:val="none"/>
          <w:lang w:eastAsia="zh-CN"/>
        </w:rPr>
        <w:t>市财政局</w:t>
      </w:r>
      <w:r>
        <w:rPr>
          <w:rFonts w:hint="eastAsia" w:ascii="仿宋_GB2312" w:hAnsi="仿宋_GB2312" w:eastAsia="仿宋_GB2312" w:cs="仿宋_GB2312"/>
          <w:b w:val="0"/>
          <w:bCs w:val="0"/>
          <w:i w:val="0"/>
          <w:caps w:val="0"/>
          <w:color w:val="auto"/>
          <w:spacing w:val="0"/>
          <w:sz w:val="32"/>
          <w:szCs w:val="32"/>
          <w:highlight w:val="none"/>
          <w:u w:val="none"/>
        </w:rPr>
        <w:t>报告</w:t>
      </w:r>
      <w:r>
        <w:rPr>
          <w:rFonts w:hint="eastAsia" w:ascii="仿宋_GB2312" w:hAnsi="仿宋_GB2312" w:eastAsia="仿宋_GB2312" w:cs="仿宋_GB2312"/>
          <w:b w:val="0"/>
          <w:bCs w:val="0"/>
          <w:i w:val="0"/>
          <w:caps w:val="0"/>
          <w:color w:val="auto"/>
          <w:spacing w:val="0"/>
          <w:sz w:val="32"/>
          <w:szCs w:val="32"/>
          <w:highlight w:val="none"/>
          <w:u w:val="none"/>
          <w:lang w:eastAsia="zh-CN"/>
        </w:rPr>
        <w:t>工程总承包</w:t>
      </w:r>
      <w:r>
        <w:rPr>
          <w:rFonts w:hint="eastAsia" w:ascii="仿宋_GB2312" w:hAnsi="仿宋_GB2312" w:eastAsia="仿宋_GB2312" w:cs="仿宋_GB2312"/>
          <w:b w:val="0"/>
          <w:bCs w:val="0"/>
          <w:i w:val="0"/>
          <w:caps w:val="0"/>
          <w:color w:val="auto"/>
          <w:spacing w:val="0"/>
          <w:sz w:val="32"/>
          <w:szCs w:val="32"/>
          <w:highlight w:val="none"/>
          <w:u w:val="none"/>
        </w:rPr>
        <w:t>项目的推进情况，包括工程质量、进度、重大设计变更等。</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（三十四）</w:t>
      </w:r>
      <w:r>
        <w:rPr>
          <w:rFonts w:hint="eastAsia" w:ascii="仿宋_GB2312" w:hAnsi="仿宋_GB2312" w:eastAsia="仿宋_GB2312" w:cs="仿宋_GB2312"/>
          <w:b w:val="0"/>
          <w:bCs w:val="0"/>
          <w:color w:val="auto"/>
          <w:sz w:val="32"/>
          <w:szCs w:val="32"/>
          <w:highlight w:val="none"/>
          <w:u w:val="none"/>
          <w:shd w:val="clear" w:color="auto" w:fill="auto"/>
          <w:lang w:eastAsia="zh-CN"/>
        </w:rPr>
        <w:t>建设单位收到工程总承包单位提交的建设工程竣工报告后，应当及时组织工程总承包、工程监理等有关单位进行工程竣工验收。工程保修责任书由建设单位与工程总承包单位签署，并由工程总承包单位负责向建设单位移交全套工程技术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highlight w:val="none"/>
          <w:u w:val="none"/>
          <w:lang w:val="en-US"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（三十五）</w:t>
      </w:r>
      <w:r>
        <w:rPr>
          <w:rFonts w:hint="eastAsia" w:ascii="仿宋_GB2312" w:hAnsi="仿宋_GB2312" w:eastAsia="仿宋_GB2312" w:cs="仿宋_GB2312"/>
          <w:b w:val="0"/>
          <w:bCs w:val="0"/>
          <w:color w:val="auto"/>
          <w:sz w:val="32"/>
          <w:szCs w:val="32"/>
          <w:highlight w:val="none"/>
          <w:u w:val="none"/>
          <w:shd w:val="clear" w:color="auto" w:fill="auto"/>
          <w:lang w:eastAsia="zh-CN"/>
        </w:rPr>
        <w:t>工程总承包项目预付款的支付比例不得低于签约合同价（扣除暂列金额）的</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10%，原则上不高于签约合同价（扣除暂列金额）的30%。对合同金额较大的工程，可按年度施工计划预付。工程进度款中人工费按月支付，其余支付方法在合同中予以明确</w:t>
      </w:r>
      <w:r>
        <w:rPr>
          <w:rFonts w:hint="eastAsia" w:ascii="仿宋_GB2312" w:hAnsi="仿宋_GB2312" w:eastAsia="仿宋_GB2312" w:cs="仿宋_GB2312"/>
          <w:b w:val="0"/>
          <w:bCs w:val="0"/>
          <w:color w:val="auto"/>
          <w:sz w:val="32"/>
          <w:szCs w:val="32"/>
          <w:highlight w:val="none"/>
          <w:u w:val="none"/>
          <w:shd w:val="clear" w:color="auto" w:fill="auto"/>
          <w:lang w:eastAsia="zh-CN"/>
        </w:rPr>
        <w:t>。工程总承包项目不采用总价合同的，施工图预算未</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报</w:t>
      </w:r>
      <w:r>
        <w:rPr>
          <w:rFonts w:hint="eastAsia" w:ascii="仿宋_GB2312" w:hAnsi="仿宋_GB2312" w:eastAsia="仿宋_GB2312" w:cs="仿宋_GB2312"/>
          <w:b w:val="0"/>
          <w:bCs w:val="0"/>
          <w:color w:val="auto"/>
          <w:sz w:val="32"/>
          <w:szCs w:val="32"/>
          <w:highlight w:val="none"/>
          <w:u w:val="none"/>
          <w:shd w:val="clear" w:color="auto" w:fill="auto"/>
          <w:lang w:eastAsia="zh-CN"/>
        </w:rPr>
        <w:t>财政审核前，</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除按规定支付农民工工资外，</w:t>
      </w:r>
      <w:r>
        <w:rPr>
          <w:rFonts w:hint="eastAsia" w:ascii="仿宋_GB2312" w:hAnsi="仿宋_GB2312" w:eastAsia="仿宋_GB2312" w:cs="仿宋_GB2312"/>
          <w:b w:val="0"/>
          <w:bCs w:val="0"/>
          <w:color w:val="auto"/>
          <w:sz w:val="32"/>
          <w:szCs w:val="32"/>
          <w:highlight w:val="none"/>
          <w:u w:val="none"/>
          <w:shd w:val="clear" w:color="auto" w:fill="auto"/>
          <w:lang w:eastAsia="zh-CN"/>
        </w:rPr>
        <w:t>建</w:t>
      </w:r>
      <w:r>
        <w:rPr>
          <w:rFonts w:hint="eastAsia" w:ascii="仿宋_GB2312" w:hAnsi="仿宋_GB2312" w:eastAsia="仿宋_GB2312" w:cs="仿宋_GB2312"/>
          <w:b w:val="0"/>
          <w:bCs w:val="0"/>
          <w:color w:val="auto"/>
          <w:spacing w:val="-17"/>
          <w:sz w:val="32"/>
          <w:szCs w:val="32"/>
          <w:highlight w:val="none"/>
          <w:u w:val="none"/>
          <w:shd w:val="clear" w:color="auto" w:fill="auto"/>
          <w:lang w:eastAsia="zh-CN"/>
        </w:rPr>
        <w:t>设单位不予支付工程进度款，资金支付方式在招标</w:t>
      </w:r>
      <w:r>
        <w:rPr>
          <w:rFonts w:hint="eastAsia" w:ascii="仿宋_GB2312" w:hAnsi="仿宋_GB2312" w:eastAsia="仿宋_GB2312" w:cs="仿宋_GB2312"/>
          <w:b w:val="0"/>
          <w:bCs w:val="0"/>
          <w:color w:val="auto"/>
          <w:spacing w:val="-17"/>
          <w:sz w:val="32"/>
          <w:szCs w:val="32"/>
          <w:highlight w:val="none"/>
          <w:u w:val="none"/>
          <w:shd w:val="clear" w:color="auto" w:fill="auto"/>
          <w:lang w:val="en-US" w:eastAsia="zh-CN"/>
        </w:rPr>
        <w:t>文件</w:t>
      </w:r>
      <w:r>
        <w:rPr>
          <w:rFonts w:hint="eastAsia" w:ascii="仿宋_GB2312" w:hAnsi="仿宋_GB2312" w:eastAsia="仿宋_GB2312" w:cs="仿宋_GB2312"/>
          <w:b w:val="0"/>
          <w:bCs w:val="0"/>
          <w:color w:val="auto"/>
          <w:spacing w:val="-17"/>
          <w:sz w:val="32"/>
          <w:szCs w:val="32"/>
          <w:highlight w:val="none"/>
          <w:u w:val="none"/>
          <w:shd w:val="clear" w:color="auto" w:fill="auto"/>
          <w:lang w:eastAsia="zh-CN"/>
        </w:rPr>
        <w:t>中予以明确。</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 xml:space="preserve">     </w:t>
      </w:r>
    </w:p>
    <w:p>
      <w:pPr>
        <w:pStyle w:val="5"/>
        <w:widowControl/>
        <w:shd w:val="clear" w:color="auto" w:fill="FFFFFF"/>
        <w:adjustRightInd w:val="0"/>
        <w:snapToGrid w:val="0"/>
        <w:spacing w:before="0" w:beforeLines="0" w:beforeAutospacing="0" w:after="0" w:afterLines="0" w:afterAutospacing="0" w:line="560" w:lineRule="exact"/>
        <w:ind w:firstLine="640" w:firstLineChars="200"/>
        <w:jc w:val="both"/>
        <w:rPr>
          <w:rFonts w:hint="eastAsia" w:ascii="仿宋_GB2312" w:hAnsi="仿宋_GB2312" w:eastAsia="仿宋_GB2312" w:cs="仿宋_GB2312"/>
          <w:b w:val="0"/>
          <w:bCs w:val="0"/>
          <w:i w:val="0"/>
          <w:caps w:val="0"/>
          <w:color w:val="auto"/>
          <w:spacing w:val="0"/>
          <w:sz w:val="32"/>
          <w:szCs w:val="32"/>
          <w:highlight w:val="none"/>
          <w:u w:val="none"/>
        </w:rPr>
      </w:pPr>
      <w:r>
        <w:rPr>
          <w:rFonts w:hint="eastAsia" w:ascii="黑体" w:hAnsi="黑体" w:eastAsia="黑体" w:cs="黑体"/>
          <w:b w:val="0"/>
          <w:bCs w:val="0"/>
          <w:i w:val="0"/>
          <w:caps w:val="0"/>
          <w:color w:val="auto"/>
          <w:spacing w:val="0"/>
          <w:sz w:val="32"/>
          <w:szCs w:val="32"/>
          <w:highlight w:val="none"/>
          <w:u w:val="none"/>
          <w:shd w:val="clear" w:color="auto" w:fill="FFFFFF"/>
          <w:lang w:val="en-US" w:eastAsia="zh-CN"/>
        </w:rPr>
        <w:t>六</w:t>
      </w:r>
      <w:r>
        <w:rPr>
          <w:rFonts w:hint="eastAsia" w:ascii="黑体" w:hAnsi="黑体" w:eastAsia="黑体" w:cs="黑体"/>
          <w:b w:val="0"/>
          <w:bCs w:val="0"/>
          <w:caps w:val="0"/>
          <w:color w:val="333333"/>
          <w:spacing w:val="0"/>
          <w:sz w:val="32"/>
          <w:szCs w:val="32"/>
          <w:highlight w:val="none"/>
          <w:shd w:val="clear" w:color="auto" w:fill="FFFFFF"/>
          <w:lang w:eastAsia="zh-CN"/>
        </w:rPr>
        <w:t>、</w:t>
      </w:r>
      <w:r>
        <w:rPr>
          <w:rFonts w:hint="eastAsia" w:ascii="黑体" w:hAnsi="黑体" w:eastAsia="黑体" w:cs="黑体"/>
          <w:b w:val="0"/>
          <w:bCs w:val="0"/>
          <w:i w:val="0"/>
          <w:caps w:val="0"/>
          <w:color w:val="auto"/>
          <w:spacing w:val="0"/>
          <w:sz w:val="32"/>
          <w:szCs w:val="32"/>
          <w:highlight w:val="none"/>
          <w:u w:val="none"/>
          <w:shd w:val="clear" w:color="auto" w:fill="FFFFFF"/>
        </w:rPr>
        <w:t>项目</w:t>
      </w:r>
      <w:r>
        <w:rPr>
          <w:rFonts w:hint="eastAsia" w:ascii="黑体" w:hAnsi="黑体" w:eastAsia="黑体" w:cs="黑体"/>
          <w:b w:val="0"/>
          <w:bCs w:val="0"/>
          <w:i w:val="0"/>
          <w:caps w:val="0"/>
          <w:color w:val="auto"/>
          <w:spacing w:val="0"/>
          <w:sz w:val="32"/>
          <w:szCs w:val="32"/>
          <w:highlight w:val="none"/>
          <w:u w:val="none"/>
          <w:shd w:val="clear" w:color="auto" w:fill="FFFFFF"/>
          <w:lang w:eastAsia="zh-CN"/>
        </w:rPr>
        <w:t>结算决算</w:t>
      </w:r>
      <w:r>
        <w:rPr>
          <w:rFonts w:hint="eastAsia" w:ascii="黑体" w:hAnsi="黑体" w:eastAsia="黑体" w:cs="黑体"/>
          <w:b w:val="0"/>
          <w:bCs w:val="0"/>
          <w:i w:val="0"/>
          <w:caps w:val="0"/>
          <w:color w:val="auto"/>
          <w:spacing w:val="0"/>
          <w:sz w:val="32"/>
          <w:szCs w:val="32"/>
          <w:highlight w:val="none"/>
          <w:u w:val="none"/>
          <w:shd w:val="clear" w:color="auto" w:fill="FFFFFF"/>
          <w:lang w:val="en-US" w:eastAsia="zh-CN"/>
        </w:rPr>
        <w:t>管理</w:t>
      </w:r>
    </w:p>
    <w:p>
      <w:pPr>
        <w:pStyle w:val="5"/>
        <w:widowControl/>
        <w:shd w:val="clear" w:color="auto" w:fill="FFFFFF"/>
        <w:adjustRightInd w:val="0"/>
        <w:snapToGrid w:val="0"/>
        <w:spacing w:before="0" w:beforeLines="0" w:beforeAutospacing="0" w:after="0" w:afterLines="0" w:afterAutospacing="0" w:line="560" w:lineRule="exact"/>
        <w:ind w:firstLine="540"/>
        <w:jc w:val="both"/>
        <w:rPr>
          <w:rFonts w:hint="eastAsia" w:ascii="仿宋_GB2312" w:hAnsi="仿宋_GB2312" w:eastAsia="仿宋_GB2312" w:cs="仿宋_GB2312"/>
          <w:b w:val="0"/>
          <w:bCs w:val="0"/>
          <w:color w:val="auto"/>
          <w:spacing w:val="-6"/>
          <w:kern w:val="2"/>
          <w:sz w:val="32"/>
          <w:szCs w:val="32"/>
          <w:highlight w:val="none"/>
          <w:u w:val="none"/>
          <w:shd w:val="clear" w:color="auto" w:fill="auto"/>
          <w:lang w:eastAsia="zh-CN"/>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eastAsia="zh-CN"/>
        </w:rPr>
        <w:t>（三十六）</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工程总承包项目工程结算实行审核管理。项目竣工验收合格后，总承包单位应及时编制工程结算，报</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建设单位审核。</w:t>
      </w: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bidi="ar-SA"/>
        </w:rPr>
        <w:t>建设单位及时组织结算审核，委托</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造价咨询单位</w:t>
      </w: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bidi="ar-SA"/>
        </w:rPr>
        <w:t>对结算进行审核，</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造价咨询单位</w:t>
      </w: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bidi="ar-SA"/>
        </w:rPr>
        <w:t>向建设单位出具审核报告，建设单位履行内部审核程序，对审核报告进行确认，</w:t>
      </w:r>
      <w:r>
        <w:rPr>
          <w:rFonts w:hint="eastAsia" w:ascii="仿宋_GB2312" w:hAnsi="仿宋_GB2312" w:eastAsia="仿宋_GB2312" w:cs="仿宋_GB2312"/>
          <w:b w:val="0"/>
          <w:bCs w:val="0"/>
          <w:color w:val="auto"/>
          <w:kern w:val="2"/>
          <w:sz w:val="32"/>
          <w:szCs w:val="32"/>
          <w:highlight w:val="none"/>
          <w:u w:val="none"/>
          <w:shd w:val="clear" w:color="auto" w:fill="auto"/>
          <w:lang w:eastAsia="zh-CN"/>
        </w:rPr>
        <w:t>报市财政局审核。</w:t>
      </w:r>
      <w:r>
        <w:rPr>
          <w:rFonts w:hint="eastAsia" w:ascii="仿宋_GB2312" w:hAnsi="仿宋_GB2312" w:eastAsia="仿宋_GB2312" w:cs="仿宋_GB2312"/>
          <w:b w:val="0"/>
          <w:bCs w:val="0"/>
          <w:color w:val="auto"/>
          <w:sz w:val="32"/>
          <w:szCs w:val="32"/>
          <w:highlight w:val="none"/>
          <w:u w:val="none"/>
          <w:lang w:val="en-US" w:eastAsia="zh-CN"/>
        </w:rPr>
        <w:t>符合实施过程结算条件的工程总承包项目应推行过程结算，施工过程结算周期可按施工形象进度节点划分，做到与工程进度款支付相衔接。经双方确认的施工过程结算文件是竣工</w:t>
      </w:r>
      <w:r>
        <w:rPr>
          <w:rFonts w:hint="eastAsia" w:ascii="仿宋_GB2312" w:hAnsi="仿宋_GB2312" w:eastAsia="仿宋_GB2312" w:cs="仿宋_GB2312"/>
          <w:b w:val="0"/>
          <w:bCs w:val="0"/>
          <w:color w:val="auto"/>
          <w:spacing w:val="-6"/>
          <w:sz w:val="32"/>
          <w:szCs w:val="32"/>
          <w:highlight w:val="none"/>
          <w:u w:val="none"/>
          <w:lang w:val="en-US" w:eastAsia="zh-CN"/>
        </w:rPr>
        <w:t>结算文件的组成部分，对已完成结算部分原则上不再重复审核。</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highlight w:val="none"/>
          <w:u w:val="none"/>
          <w:shd w:val="clear" w:color="auto" w:fill="auto"/>
          <w:lang w:eastAsia="zh-CN"/>
        </w:rPr>
      </w:pP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市财政局及时组织工程结算抽查审核，委托造价审核单位对工程结算进行审核，造价审核单位出具审核报告，市财政局根据审核报告向建设单位出具抽查审核意见</w:t>
      </w:r>
      <w:r>
        <w:rPr>
          <w:rFonts w:hint="eastAsia" w:ascii="仿宋_GB2312" w:hAnsi="仿宋_GB2312" w:eastAsia="仿宋_GB2312" w:cs="仿宋_GB2312"/>
          <w:b w:val="0"/>
          <w:bCs w:val="0"/>
          <w:color w:val="auto"/>
          <w:kern w:val="2"/>
          <w:sz w:val="32"/>
          <w:szCs w:val="32"/>
          <w:highlight w:val="none"/>
          <w:u w:val="none"/>
          <w:shd w:val="clear" w:color="auto" w:fill="auto"/>
          <w:lang w:eastAsia="zh-CN"/>
        </w:rPr>
        <w:t>。</w:t>
      </w:r>
    </w:p>
    <w:p>
      <w:pPr>
        <w:keepNext w:val="0"/>
        <w:keepLines w:val="0"/>
        <w:adjustRightInd w:val="0"/>
        <w:snapToGrid w:val="0"/>
        <w:spacing w:beforeLines="0" w:afterLines="0" w:line="560" w:lineRule="exact"/>
        <w:ind w:left="0" w:firstLine="640" w:firstLineChars="200"/>
        <w:jc w:val="both"/>
        <w:outlineLvl w:val="9"/>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b w:val="0"/>
          <w:bCs w:val="0"/>
          <w:i w:val="0"/>
          <w:caps w:val="0"/>
          <w:color w:val="auto"/>
          <w:spacing w:val="0"/>
          <w:kern w:val="0"/>
          <w:sz w:val="32"/>
          <w:szCs w:val="32"/>
          <w:highlight w:val="none"/>
          <w:u w:val="none"/>
          <w:shd w:val="clear" w:color="auto" w:fill="FFFFFF"/>
          <w:lang w:eastAsia="zh-CN" w:bidi="ar"/>
        </w:rPr>
        <w:t>（三十七）</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工程总承包项目竣工财务决算实行审核批复管理。建设单位完成竣工结算后，应及时办理项目竣工财务决算。项目竣工财务决算按照“先审核，后审批”的原则进行，审核批复部门应建立健全项目竣工财务决算评审和审核管理机制，以及内部控制制度。具体审核审批按《绍兴市政府投资项目竣工财务决算审核批复操作规程》（绍市财建〔2019〕64号）文件执行。</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黑体" w:hAnsi="黑体" w:eastAsia="黑体" w:cs="黑体"/>
          <w:b w:val="0"/>
          <w:bCs w:val="0"/>
          <w:i w:val="0"/>
          <w:caps w:val="0"/>
          <w:color w:val="auto"/>
          <w:spacing w:val="0"/>
          <w:sz w:val="32"/>
          <w:szCs w:val="32"/>
          <w:highlight w:val="none"/>
          <w:u w:val="none"/>
          <w:shd w:val="clear" w:color="auto" w:fill="FFFFFF"/>
          <w:lang w:val="en-US" w:eastAsia="zh-CN"/>
        </w:rPr>
        <w:t>七</w:t>
      </w:r>
      <w:r>
        <w:rPr>
          <w:rFonts w:hint="eastAsia" w:ascii="黑体" w:hAnsi="黑体" w:eastAsia="黑体" w:cs="黑体"/>
          <w:b w:val="0"/>
          <w:bCs w:val="0"/>
          <w:caps w:val="0"/>
          <w:color w:val="333333"/>
          <w:spacing w:val="0"/>
          <w:sz w:val="32"/>
          <w:szCs w:val="32"/>
          <w:highlight w:val="none"/>
          <w:shd w:val="clear" w:color="auto" w:fill="FFFFFF"/>
          <w:lang w:eastAsia="zh-CN"/>
        </w:rPr>
        <w:t>、</w:t>
      </w:r>
      <w:r>
        <w:rPr>
          <w:rFonts w:hint="eastAsia" w:ascii="黑体" w:hAnsi="黑体" w:eastAsia="黑体" w:cs="黑体"/>
          <w:b w:val="0"/>
          <w:bCs w:val="0"/>
          <w:i w:val="0"/>
          <w:caps w:val="0"/>
          <w:color w:val="auto"/>
          <w:spacing w:val="0"/>
          <w:sz w:val="32"/>
          <w:szCs w:val="32"/>
          <w:highlight w:val="none"/>
          <w:u w:val="none"/>
          <w:shd w:val="clear" w:color="auto" w:fill="FFFFFF"/>
          <w:lang w:val="en-US" w:eastAsia="zh-CN"/>
        </w:rPr>
        <w:t>责任追究</w:t>
      </w:r>
    </w:p>
    <w:p>
      <w:pPr>
        <w:pStyle w:val="5"/>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right="0" w:firstLine="540"/>
        <w:jc w:val="both"/>
        <w:textAlignment w:val="auto"/>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en-US" w:eastAsia="zh-CN"/>
        </w:rPr>
        <w:t>（三十八）</w:t>
      </w: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建设单位应当合法、合规做好项目管理，</w:t>
      </w:r>
      <w:r>
        <w:rPr>
          <w:rFonts w:hint="eastAsia" w:ascii="仿宋_GB2312" w:hAnsi="仿宋_GB2312" w:eastAsia="仿宋_GB2312" w:cs="仿宋_GB2312"/>
          <w:b w:val="0"/>
          <w:bCs w:val="0"/>
          <w:color w:val="auto"/>
          <w:sz w:val="32"/>
          <w:szCs w:val="32"/>
          <w:highlight w:val="none"/>
          <w:u w:val="none"/>
          <w:shd w:val="clear" w:color="auto" w:fill="auto"/>
        </w:rPr>
        <w:t>对造成的投资失控、</w:t>
      </w:r>
      <w:r>
        <w:rPr>
          <w:rFonts w:hint="eastAsia" w:ascii="仿宋_GB2312" w:hAnsi="仿宋_GB2312" w:eastAsia="仿宋_GB2312" w:cs="仿宋_GB2312"/>
          <w:b w:val="0"/>
          <w:bCs w:val="0"/>
          <w:color w:val="auto"/>
          <w:sz w:val="32"/>
          <w:szCs w:val="32"/>
          <w:highlight w:val="none"/>
          <w:u w:val="none"/>
          <w:shd w:val="clear" w:color="auto" w:fill="auto"/>
          <w:lang w:eastAsia="zh-CN"/>
        </w:rPr>
        <w:t>农民工工资拖欠、</w:t>
      </w:r>
      <w:r>
        <w:rPr>
          <w:rFonts w:hint="eastAsia" w:ascii="仿宋_GB2312" w:hAnsi="仿宋_GB2312" w:eastAsia="仿宋_GB2312" w:cs="仿宋_GB2312"/>
          <w:b w:val="0"/>
          <w:bCs w:val="0"/>
          <w:color w:val="auto"/>
          <w:sz w:val="32"/>
          <w:szCs w:val="32"/>
          <w:highlight w:val="none"/>
          <w:u w:val="none"/>
          <w:shd w:val="clear" w:color="auto" w:fill="auto"/>
        </w:rPr>
        <w:t>工程价款结算纠纷等不良后果，将依法依纪追究</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当事</w:t>
      </w:r>
      <w:r>
        <w:rPr>
          <w:rFonts w:hint="eastAsia" w:ascii="仿宋_GB2312" w:hAnsi="仿宋_GB2312" w:eastAsia="仿宋_GB2312" w:cs="仿宋_GB2312"/>
          <w:b w:val="0"/>
          <w:bCs w:val="0"/>
          <w:color w:val="auto"/>
          <w:sz w:val="32"/>
          <w:szCs w:val="32"/>
          <w:highlight w:val="none"/>
          <w:u w:val="none"/>
          <w:shd w:val="clear" w:color="auto" w:fill="auto"/>
        </w:rPr>
        <w:t>单位及</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当事</w:t>
      </w:r>
      <w:r>
        <w:rPr>
          <w:rFonts w:hint="eastAsia" w:ascii="仿宋_GB2312" w:hAnsi="仿宋_GB2312" w:eastAsia="仿宋_GB2312" w:cs="仿宋_GB2312"/>
          <w:b w:val="0"/>
          <w:bCs w:val="0"/>
          <w:color w:val="auto"/>
          <w:sz w:val="32"/>
          <w:szCs w:val="32"/>
          <w:highlight w:val="none"/>
          <w:u w:val="none"/>
          <w:shd w:val="clear" w:color="auto" w:fill="auto"/>
        </w:rPr>
        <w:t>人</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责任</w:t>
      </w:r>
      <w:r>
        <w:rPr>
          <w:rFonts w:hint="eastAsia" w:ascii="仿宋_GB2312" w:hAnsi="仿宋_GB2312" w:eastAsia="仿宋_GB2312" w:cs="仿宋_GB2312"/>
          <w:b w:val="0"/>
          <w:bCs w:val="0"/>
          <w:color w:val="auto"/>
          <w:sz w:val="32"/>
          <w:szCs w:val="32"/>
          <w:highlight w:val="none"/>
          <w:u w:val="none"/>
          <w:shd w:val="clear" w:color="auto" w:fill="auto"/>
          <w:lang w:eastAsia="zh-CN"/>
        </w:rPr>
        <w:t>，</w:t>
      </w:r>
      <w:r>
        <w:rPr>
          <w:rFonts w:hint="eastAsia" w:ascii="仿宋_GB2312" w:hAnsi="仿宋_GB2312" w:eastAsia="仿宋_GB2312" w:cs="仿宋_GB2312"/>
          <w:b w:val="0"/>
          <w:bCs w:val="0"/>
          <w:color w:val="auto"/>
          <w:sz w:val="32"/>
          <w:szCs w:val="32"/>
          <w:highlight w:val="none"/>
          <w:u w:val="none"/>
          <w:shd w:val="clear" w:color="auto" w:fill="auto"/>
        </w:rPr>
        <w:t>涉嫌犯罪的，依法移送司法机关追究刑事责任。</w:t>
      </w:r>
    </w:p>
    <w:p>
      <w:pPr>
        <w:pStyle w:val="5"/>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firstLine="570"/>
        <w:jc w:val="both"/>
        <w:textAlignment w:val="auto"/>
        <w:outlineLvl w:val="9"/>
        <w:rPr>
          <w:rFonts w:hint="eastAsia" w:ascii="仿宋_GB2312" w:hAnsi="仿宋_GB2312" w:eastAsia="仿宋_GB2312" w:cs="仿宋_GB2312"/>
          <w:b w:val="0"/>
          <w:bCs w:val="0"/>
          <w:color w:val="auto"/>
          <w:sz w:val="32"/>
          <w:szCs w:val="32"/>
          <w:highlight w:val="none"/>
          <w:u w:val="none"/>
          <w:shd w:val="clear" w:color="auto" w:fill="auto"/>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（三十九）工程总承包项目各政府监管部门发现建设管理存在重大问题的需要整改的，建设单位应限期整改。</w:t>
      </w:r>
      <w:r>
        <w:rPr>
          <w:rFonts w:hint="eastAsia" w:ascii="仿宋_GB2312" w:hAnsi="仿宋_GB2312" w:eastAsia="仿宋_GB2312" w:cs="仿宋_GB2312"/>
          <w:b w:val="0"/>
          <w:bCs w:val="0"/>
          <w:color w:val="auto"/>
          <w:sz w:val="32"/>
          <w:szCs w:val="32"/>
          <w:highlight w:val="none"/>
          <w:u w:val="none"/>
          <w:shd w:val="clear" w:color="auto" w:fill="auto"/>
        </w:rPr>
        <w:t>对造成</w:t>
      </w:r>
      <w:r>
        <w:rPr>
          <w:rFonts w:hint="eastAsia" w:ascii="仿宋_GB2312" w:hAnsi="仿宋_GB2312" w:eastAsia="仿宋_GB2312" w:cs="仿宋_GB2312"/>
          <w:b w:val="0"/>
          <w:bCs w:val="0"/>
          <w:color w:val="auto"/>
          <w:spacing w:val="-6"/>
          <w:sz w:val="32"/>
          <w:szCs w:val="32"/>
          <w:highlight w:val="none"/>
          <w:u w:val="none"/>
          <w:shd w:val="clear" w:color="auto" w:fill="auto"/>
        </w:rPr>
        <w:t>投资失控、</w:t>
      </w:r>
      <w:r>
        <w:rPr>
          <w:rFonts w:hint="eastAsia" w:ascii="仿宋_GB2312" w:hAnsi="仿宋_GB2312" w:eastAsia="仿宋_GB2312" w:cs="仿宋_GB2312"/>
          <w:b w:val="0"/>
          <w:bCs w:val="0"/>
          <w:color w:val="auto"/>
          <w:spacing w:val="-6"/>
          <w:sz w:val="32"/>
          <w:szCs w:val="32"/>
          <w:highlight w:val="none"/>
          <w:u w:val="none"/>
          <w:shd w:val="clear" w:color="auto" w:fill="auto"/>
          <w:lang w:eastAsia="zh-CN"/>
        </w:rPr>
        <w:t>国有资产流失</w:t>
      </w:r>
      <w:r>
        <w:rPr>
          <w:rFonts w:hint="eastAsia" w:ascii="仿宋_GB2312" w:hAnsi="仿宋_GB2312" w:eastAsia="仿宋_GB2312" w:cs="仿宋_GB2312"/>
          <w:b w:val="0"/>
          <w:bCs w:val="0"/>
          <w:color w:val="auto"/>
          <w:spacing w:val="-6"/>
          <w:sz w:val="32"/>
          <w:szCs w:val="32"/>
          <w:highlight w:val="none"/>
          <w:u w:val="none"/>
          <w:shd w:val="clear" w:color="auto" w:fill="auto"/>
        </w:rPr>
        <w:t>等不良后果，将依法依纪追究</w:t>
      </w:r>
      <w:r>
        <w:rPr>
          <w:rFonts w:hint="eastAsia" w:ascii="仿宋_GB2312" w:hAnsi="仿宋_GB2312" w:eastAsia="仿宋_GB2312" w:cs="仿宋_GB2312"/>
          <w:b w:val="0"/>
          <w:bCs w:val="0"/>
          <w:color w:val="auto"/>
          <w:spacing w:val="-6"/>
          <w:sz w:val="32"/>
          <w:szCs w:val="32"/>
          <w:highlight w:val="none"/>
          <w:u w:val="none"/>
          <w:shd w:val="clear" w:color="auto" w:fill="auto"/>
          <w:lang w:val="en-US" w:eastAsia="zh-CN"/>
        </w:rPr>
        <w:t>当事</w:t>
      </w:r>
      <w:r>
        <w:rPr>
          <w:rFonts w:hint="eastAsia" w:ascii="仿宋_GB2312" w:hAnsi="仿宋_GB2312" w:eastAsia="仿宋_GB2312" w:cs="仿宋_GB2312"/>
          <w:b w:val="0"/>
          <w:bCs w:val="0"/>
          <w:color w:val="auto"/>
          <w:spacing w:val="-6"/>
          <w:sz w:val="32"/>
          <w:szCs w:val="32"/>
          <w:highlight w:val="none"/>
          <w:u w:val="none"/>
          <w:shd w:val="clear" w:color="auto" w:fill="auto"/>
        </w:rPr>
        <w:t>单位及</w:t>
      </w:r>
      <w:r>
        <w:rPr>
          <w:rFonts w:hint="eastAsia" w:ascii="仿宋_GB2312" w:hAnsi="仿宋_GB2312" w:eastAsia="仿宋_GB2312" w:cs="仿宋_GB2312"/>
          <w:b w:val="0"/>
          <w:bCs w:val="0"/>
          <w:color w:val="auto"/>
          <w:spacing w:val="-6"/>
          <w:sz w:val="32"/>
          <w:szCs w:val="32"/>
          <w:highlight w:val="none"/>
          <w:u w:val="none"/>
          <w:shd w:val="clear" w:color="auto" w:fill="auto"/>
          <w:lang w:val="en-US" w:eastAsia="zh-CN"/>
        </w:rPr>
        <w:t>当事</w:t>
      </w:r>
      <w:r>
        <w:rPr>
          <w:rFonts w:hint="eastAsia" w:ascii="仿宋_GB2312" w:hAnsi="仿宋_GB2312" w:eastAsia="仿宋_GB2312" w:cs="仿宋_GB2312"/>
          <w:b w:val="0"/>
          <w:bCs w:val="0"/>
          <w:color w:val="auto"/>
          <w:spacing w:val="-6"/>
          <w:sz w:val="32"/>
          <w:szCs w:val="32"/>
          <w:highlight w:val="none"/>
          <w:u w:val="none"/>
          <w:shd w:val="clear" w:color="auto" w:fill="auto"/>
        </w:rPr>
        <w:t>人</w:t>
      </w:r>
      <w:r>
        <w:rPr>
          <w:rFonts w:hint="eastAsia" w:ascii="仿宋_GB2312" w:hAnsi="仿宋_GB2312" w:eastAsia="仿宋_GB2312" w:cs="仿宋_GB2312"/>
          <w:b w:val="0"/>
          <w:bCs w:val="0"/>
          <w:color w:val="auto"/>
          <w:spacing w:val="-6"/>
          <w:sz w:val="32"/>
          <w:szCs w:val="32"/>
          <w:highlight w:val="none"/>
          <w:u w:val="none"/>
          <w:shd w:val="clear" w:color="auto" w:fill="auto"/>
          <w:lang w:val="en-US" w:eastAsia="zh-CN"/>
        </w:rPr>
        <w:t>责任</w:t>
      </w:r>
      <w:r>
        <w:rPr>
          <w:rFonts w:hint="eastAsia" w:ascii="仿宋_GB2312" w:hAnsi="仿宋_GB2312" w:eastAsia="仿宋_GB2312" w:cs="仿宋_GB2312"/>
          <w:b w:val="0"/>
          <w:bCs w:val="0"/>
          <w:color w:val="auto"/>
          <w:spacing w:val="-6"/>
          <w:sz w:val="32"/>
          <w:szCs w:val="32"/>
          <w:highlight w:val="none"/>
          <w:u w:val="none"/>
          <w:shd w:val="clear" w:color="auto" w:fill="auto"/>
          <w:lang w:eastAsia="zh-CN"/>
        </w:rPr>
        <w:t>，</w:t>
      </w:r>
      <w:r>
        <w:rPr>
          <w:rFonts w:hint="eastAsia" w:ascii="仿宋_GB2312" w:hAnsi="仿宋_GB2312" w:eastAsia="仿宋_GB2312" w:cs="仿宋_GB2312"/>
          <w:b w:val="0"/>
          <w:bCs w:val="0"/>
          <w:color w:val="auto"/>
          <w:spacing w:val="-6"/>
          <w:sz w:val="32"/>
          <w:szCs w:val="32"/>
          <w:highlight w:val="none"/>
          <w:u w:val="none"/>
          <w:shd w:val="clear" w:color="auto" w:fill="auto"/>
        </w:rPr>
        <w:t>涉嫌犯罪的，依法移送司法机关追究刑事责任。</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shd w:val="clear" w:color="auto" w:fill="auto"/>
        </w:rPr>
      </w:pPr>
      <w:r>
        <w:rPr>
          <w:rFonts w:hint="eastAsia" w:ascii="仿宋_GB2312" w:hAnsi="仿宋_GB2312" w:eastAsia="仿宋_GB2312" w:cs="仿宋_GB2312"/>
          <w:b w:val="0"/>
          <w:bCs w:val="0"/>
          <w:color w:val="auto"/>
          <w:sz w:val="32"/>
          <w:szCs w:val="32"/>
          <w:highlight w:val="none"/>
          <w:u w:val="none"/>
          <w:shd w:val="clear" w:color="auto" w:fill="FFFFFF"/>
          <w:lang w:val="en-US" w:eastAsia="zh-CN"/>
        </w:rPr>
        <w:t>（四十）</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不采用总价合同的工程总承包项目建设单位未在规定时间内将施工图预算提交市财政局审核的，市财政局将向建设单位发送风险提醒函，限期整改；到</w:t>
      </w:r>
      <w:r>
        <w:rPr>
          <w:rFonts w:hint="eastAsia" w:ascii="仿宋_GB2312" w:hAnsi="仿宋_GB2312" w:eastAsia="仿宋_GB2312" w:cs="仿宋_GB2312"/>
          <w:b w:val="0"/>
          <w:bCs w:val="0"/>
          <w:color w:val="auto"/>
          <w:kern w:val="2"/>
          <w:sz w:val="32"/>
          <w:szCs w:val="32"/>
          <w:highlight w:val="none"/>
          <w:u w:val="none"/>
          <w:shd w:val="clear" w:color="auto" w:fill="auto"/>
          <w:lang w:val="en-US" w:eastAsia="zh-CN"/>
        </w:rPr>
        <w:t>整改期限仍未提交的，财政部门应当暂缓拨付项目建设资金。</w:t>
      </w:r>
      <w:r>
        <w:rPr>
          <w:rFonts w:hint="eastAsia" w:ascii="仿宋_GB2312" w:hAnsi="仿宋_GB2312" w:eastAsia="仿宋_GB2312" w:cs="仿宋_GB2312"/>
          <w:b w:val="0"/>
          <w:bCs w:val="0"/>
          <w:color w:val="auto"/>
          <w:sz w:val="32"/>
          <w:szCs w:val="32"/>
          <w:highlight w:val="none"/>
          <w:u w:val="none"/>
          <w:shd w:val="clear" w:color="auto" w:fill="auto"/>
          <w:lang w:val="en-US" w:eastAsia="zh-CN"/>
        </w:rPr>
        <w:t>工程竣工后提交施工图预算审核的，市财政局不予受理。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djustRightInd w:val="0"/>
        <w:snapToGrid w:val="0"/>
        <w:spacing w:before="0" w:beforeLines="0" w:beforeAutospacing="0" w:after="0" w:afterLines="0" w:afterAutospacing="0" w:line="560" w:lineRule="exact"/>
        <w:ind w:right="0" w:firstLine="640" w:firstLineChars="200"/>
        <w:jc w:val="both"/>
        <w:rPr>
          <w:rFonts w:hint="default" w:ascii="黑体" w:hAnsi="黑体" w:eastAsia="黑体" w:cs="黑体"/>
          <w:b w:val="0"/>
          <w:bCs w:val="0"/>
          <w:i w:val="0"/>
          <w:caps w:val="0"/>
          <w:color w:val="auto"/>
          <w:spacing w:val="0"/>
          <w:sz w:val="32"/>
          <w:szCs w:val="32"/>
          <w:highlight w:val="none"/>
          <w:u w:val="none"/>
          <w:shd w:val="clear" w:color="auto" w:fill="FFFFFF"/>
        </w:rPr>
      </w:pPr>
      <w:r>
        <w:rPr>
          <w:rFonts w:hint="eastAsia" w:ascii="黑体" w:hAnsi="黑体" w:eastAsia="黑体" w:cs="黑体"/>
          <w:b w:val="0"/>
          <w:bCs w:val="0"/>
          <w:i w:val="0"/>
          <w:caps w:val="0"/>
          <w:color w:val="auto"/>
          <w:spacing w:val="0"/>
          <w:sz w:val="32"/>
          <w:szCs w:val="32"/>
          <w:highlight w:val="none"/>
          <w:u w:val="none"/>
          <w:shd w:val="clear" w:color="auto" w:fill="FFFFFF"/>
          <w:lang w:val="en-US" w:eastAsia="zh-CN"/>
        </w:rPr>
        <w:t>八</w:t>
      </w:r>
      <w:r>
        <w:rPr>
          <w:rFonts w:hint="eastAsia" w:ascii="黑体" w:hAnsi="黑体" w:eastAsia="黑体" w:cs="黑体"/>
          <w:b w:val="0"/>
          <w:bCs w:val="0"/>
          <w:caps w:val="0"/>
          <w:color w:val="333333"/>
          <w:spacing w:val="0"/>
          <w:sz w:val="32"/>
          <w:szCs w:val="32"/>
          <w:highlight w:val="none"/>
          <w:shd w:val="clear" w:color="auto" w:fill="FFFFFF"/>
          <w:lang w:eastAsia="zh-CN"/>
        </w:rPr>
        <w:t>、</w:t>
      </w:r>
      <w:r>
        <w:rPr>
          <w:rFonts w:hint="default" w:ascii="黑体" w:hAnsi="黑体" w:eastAsia="黑体" w:cs="黑体"/>
          <w:b w:val="0"/>
          <w:bCs w:val="0"/>
          <w:i w:val="0"/>
          <w:caps w:val="0"/>
          <w:color w:val="auto"/>
          <w:spacing w:val="0"/>
          <w:sz w:val="32"/>
          <w:szCs w:val="32"/>
          <w:highlight w:val="none"/>
          <w:u w:val="none"/>
          <w:shd w:val="clear" w:color="auto" w:fill="FFFFFF"/>
        </w:rPr>
        <w:t>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djustRightInd w:val="0"/>
        <w:snapToGrid w:val="0"/>
        <w:spacing w:before="0" w:beforeLines="0" w:beforeAutospacing="0" w:after="0" w:afterLines="0" w:afterAutospacing="0" w:line="560" w:lineRule="exact"/>
        <w:ind w:left="0" w:right="0" w:firstLine="0"/>
        <w:jc w:val="both"/>
        <w:rPr>
          <w:rFonts w:hint="eastAsia" w:ascii="仿宋_GB2312" w:hAnsi="仿宋_GB2312" w:eastAsia="仿宋_GB2312" w:cs="仿宋_GB2312"/>
          <w:b w:val="0"/>
          <w:bCs w:val="0"/>
          <w:i w:val="0"/>
          <w:caps w:val="0"/>
          <w:color w:val="auto"/>
          <w:spacing w:val="0"/>
          <w:sz w:val="32"/>
          <w:szCs w:val="32"/>
          <w:highlight w:val="none"/>
          <w:u w:val="none"/>
        </w:rPr>
      </w:pPr>
      <w:r>
        <w:rPr>
          <w:rFonts w:hint="default" w:ascii="微软雅黑" w:hAnsi="微软雅黑" w:eastAsia="微软雅黑" w:cs="微软雅黑"/>
          <w:b w:val="0"/>
          <w:bCs w:val="0"/>
          <w:caps w:val="0"/>
          <w:color w:val="auto"/>
          <w:spacing w:val="0"/>
          <w:sz w:val="32"/>
          <w:szCs w:val="32"/>
          <w:highlight w:val="none"/>
          <w:u w:val="none"/>
          <w:shd w:val="clear" w:color="auto" w:fill="FFFFFF"/>
        </w:rPr>
        <w:t>　</w:t>
      </w:r>
      <w:r>
        <w:rPr>
          <w:rFonts w:hint="eastAsia" w:ascii="仿宋_GB2312" w:hAnsi="仿宋_GB2312" w:eastAsia="仿宋_GB2312" w:cs="仿宋_GB2312"/>
          <w:b w:val="0"/>
          <w:bCs w:val="0"/>
          <w:i w:val="0"/>
          <w:caps w:val="0"/>
          <w:color w:val="auto"/>
          <w:spacing w:val="0"/>
          <w:sz w:val="32"/>
          <w:szCs w:val="32"/>
          <w:highlight w:val="none"/>
          <w:u w:val="none"/>
        </w:rPr>
        <w:t>　</w:t>
      </w: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（四十一）</w:t>
      </w:r>
      <w:r>
        <w:rPr>
          <w:rFonts w:hint="eastAsia" w:ascii="仿宋_GB2312" w:hAnsi="仿宋_GB2312" w:eastAsia="仿宋_GB2312" w:cs="仿宋_GB2312"/>
          <w:b w:val="0"/>
          <w:bCs w:val="0"/>
          <w:i w:val="0"/>
          <w:caps w:val="0"/>
          <w:color w:val="auto"/>
          <w:spacing w:val="0"/>
          <w:sz w:val="32"/>
          <w:szCs w:val="32"/>
          <w:highlight w:val="none"/>
          <w:u w:val="none"/>
        </w:rPr>
        <w:t>本办法由</w:t>
      </w:r>
      <w:r>
        <w:rPr>
          <w:rFonts w:hint="eastAsia" w:ascii="仿宋_GB2312" w:hAnsi="仿宋_GB2312" w:eastAsia="仿宋_GB2312" w:cs="仿宋_GB2312"/>
          <w:b w:val="0"/>
          <w:bCs w:val="0"/>
          <w:i w:val="0"/>
          <w:caps w:val="0"/>
          <w:color w:val="auto"/>
          <w:spacing w:val="0"/>
          <w:sz w:val="32"/>
          <w:szCs w:val="32"/>
          <w:highlight w:val="none"/>
          <w:u w:val="none"/>
          <w:lang w:eastAsia="zh-CN"/>
        </w:rPr>
        <w:t>绍兴</w:t>
      </w:r>
      <w:r>
        <w:rPr>
          <w:rFonts w:hint="eastAsia" w:ascii="仿宋_GB2312" w:hAnsi="仿宋_GB2312" w:eastAsia="仿宋_GB2312" w:cs="仿宋_GB2312"/>
          <w:b w:val="0"/>
          <w:bCs w:val="0"/>
          <w:i w:val="0"/>
          <w:caps w:val="0"/>
          <w:color w:val="auto"/>
          <w:spacing w:val="0"/>
          <w:sz w:val="32"/>
          <w:szCs w:val="32"/>
          <w:highlight w:val="none"/>
          <w:u w:val="none"/>
        </w:rPr>
        <w:t>市</w:t>
      </w:r>
      <w:r>
        <w:rPr>
          <w:rFonts w:hint="eastAsia" w:ascii="仿宋_GB2312" w:hAnsi="仿宋_GB2312" w:eastAsia="仿宋_GB2312" w:cs="仿宋_GB2312"/>
          <w:b w:val="0"/>
          <w:bCs w:val="0"/>
          <w:i w:val="0"/>
          <w:caps w:val="0"/>
          <w:color w:val="auto"/>
          <w:spacing w:val="0"/>
          <w:sz w:val="32"/>
          <w:szCs w:val="32"/>
          <w:highlight w:val="none"/>
          <w:u w:val="none"/>
          <w:lang w:eastAsia="zh-CN"/>
        </w:rPr>
        <w:t>财政局</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w:t>
      </w:r>
      <w:r>
        <w:rPr>
          <w:rFonts w:hint="eastAsia" w:ascii="仿宋_GB2312" w:hAnsi="仿宋_GB2312" w:eastAsia="仿宋_GB2312" w:cs="仿宋_GB2312"/>
          <w:b w:val="0"/>
          <w:bCs w:val="0"/>
          <w:i w:val="0"/>
          <w:caps w:val="0"/>
          <w:color w:val="auto"/>
          <w:spacing w:val="0"/>
          <w:sz w:val="32"/>
          <w:szCs w:val="32"/>
          <w:highlight w:val="none"/>
          <w:u w:val="none"/>
          <w:lang w:eastAsia="zh-CN"/>
        </w:rPr>
        <w:t>绍兴市住房和城乡建设</w:t>
      </w:r>
      <w:r>
        <w:rPr>
          <w:rFonts w:hint="eastAsia" w:ascii="仿宋_GB2312" w:hAnsi="仿宋_GB2312" w:eastAsia="仿宋_GB2312" w:cs="仿宋_GB2312"/>
          <w:b w:val="0"/>
          <w:bCs w:val="0"/>
          <w:i w:val="0"/>
          <w:caps w:val="0"/>
          <w:color w:val="auto"/>
          <w:spacing w:val="0"/>
          <w:sz w:val="32"/>
          <w:szCs w:val="32"/>
          <w:highlight w:val="none"/>
          <w:u w:val="none"/>
        </w:rPr>
        <w:t>局</w:t>
      </w:r>
      <w:r>
        <w:rPr>
          <w:rFonts w:hint="eastAsia" w:ascii="仿宋_GB2312" w:hAnsi="仿宋_GB2312" w:eastAsia="仿宋_GB2312" w:cs="仿宋_GB2312"/>
          <w:b w:val="0"/>
          <w:bCs w:val="0"/>
          <w:i w:val="0"/>
          <w:caps w:val="0"/>
          <w:color w:val="auto"/>
          <w:spacing w:val="0"/>
          <w:sz w:val="32"/>
          <w:szCs w:val="32"/>
          <w:highlight w:val="none"/>
          <w:u w:val="none"/>
          <w:lang w:eastAsia="zh-CN"/>
        </w:rPr>
        <w:t>和绍兴市发展和改革委员会</w:t>
      </w:r>
      <w:r>
        <w:rPr>
          <w:rFonts w:hint="eastAsia" w:ascii="仿宋_GB2312" w:hAnsi="仿宋_GB2312" w:eastAsia="仿宋_GB2312" w:cs="仿宋_GB2312"/>
          <w:b w:val="0"/>
          <w:bCs w:val="0"/>
          <w:i w:val="0"/>
          <w:caps w:val="0"/>
          <w:color w:val="auto"/>
          <w:spacing w:val="0"/>
          <w:sz w:val="32"/>
          <w:szCs w:val="32"/>
          <w:highlight w:val="none"/>
          <w:u w:val="none"/>
        </w:rPr>
        <w:t>负责解释。本办法未尽之处，按照国家、</w:t>
      </w:r>
      <w:r>
        <w:rPr>
          <w:rFonts w:hint="eastAsia" w:ascii="仿宋_GB2312" w:hAnsi="仿宋_GB2312" w:eastAsia="仿宋_GB2312" w:cs="仿宋_GB2312"/>
          <w:b w:val="0"/>
          <w:bCs w:val="0"/>
          <w:i w:val="0"/>
          <w:caps w:val="0"/>
          <w:color w:val="auto"/>
          <w:spacing w:val="0"/>
          <w:sz w:val="32"/>
          <w:szCs w:val="32"/>
          <w:highlight w:val="none"/>
          <w:u w:val="none"/>
          <w:lang w:eastAsia="zh-CN"/>
        </w:rPr>
        <w:t>浙江省</w:t>
      </w:r>
      <w:r>
        <w:rPr>
          <w:rFonts w:hint="eastAsia" w:ascii="仿宋_GB2312" w:hAnsi="仿宋_GB2312" w:eastAsia="仿宋_GB2312" w:cs="仿宋_GB2312"/>
          <w:b w:val="0"/>
          <w:bCs w:val="0"/>
          <w:i w:val="0"/>
          <w:caps w:val="0"/>
          <w:color w:val="auto"/>
          <w:spacing w:val="0"/>
          <w:sz w:val="32"/>
          <w:szCs w:val="32"/>
          <w:highlight w:val="none"/>
          <w:u w:val="none"/>
        </w:rPr>
        <w:t>及</w:t>
      </w:r>
      <w:r>
        <w:rPr>
          <w:rFonts w:hint="eastAsia" w:ascii="仿宋_GB2312" w:hAnsi="仿宋_GB2312" w:eastAsia="仿宋_GB2312" w:cs="仿宋_GB2312"/>
          <w:b w:val="0"/>
          <w:bCs w:val="0"/>
          <w:i w:val="0"/>
          <w:caps w:val="0"/>
          <w:color w:val="auto"/>
          <w:spacing w:val="0"/>
          <w:sz w:val="32"/>
          <w:szCs w:val="32"/>
          <w:highlight w:val="none"/>
          <w:u w:val="none"/>
          <w:lang w:eastAsia="zh-CN"/>
        </w:rPr>
        <w:t>绍兴市</w:t>
      </w:r>
      <w:r>
        <w:rPr>
          <w:rFonts w:hint="eastAsia" w:ascii="仿宋_GB2312" w:hAnsi="仿宋_GB2312" w:eastAsia="仿宋_GB2312" w:cs="仿宋_GB2312"/>
          <w:b w:val="0"/>
          <w:bCs w:val="0"/>
          <w:i w:val="0"/>
          <w:caps w:val="0"/>
          <w:color w:val="auto"/>
          <w:spacing w:val="0"/>
          <w:sz w:val="32"/>
          <w:szCs w:val="32"/>
          <w:highlight w:val="none"/>
          <w:u w:val="none"/>
        </w:rPr>
        <w:t>的相关法律、法规及规定执行。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djustRightInd w:val="0"/>
        <w:snapToGrid w:val="0"/>
        <w:spacing w:before="0" w:beforeLines="0" w:beforeAutospacing="0" w:after="0" w:afterLines="0" w:afterAutospacing="0" w:line="560" w:lineRule="exact"/>
        <w:ind w:left="0" w:right="0" w:firstLine="641"/>
        <w:jc w:val="both"/>
        <w:rPr>
          <w:rFonts w:hint="eastAsia" w:ascii="仿宋_GB2312" w:hAnsi="仿宋_GB2312" w:eastAsia="仿宋_GB2312" w:cs="仿宋_GB2312"/>
          <w:i w:val="0"/>
          <w:caps w:val="0"/>
          <w:color w:val="auto"/>
          <w:spacing w:val="0"/>
          <w:sz w:val="32"/>
          <w:szCs w:val="32"/>
          <w:highlight w:val="none"/>
          <w:u w:val="none"/>
        </w:rPr>
      </w:pPr>
      <w:r>
        <w:rPr>
          <w:rFonts w:hint="eastAsia" w:ascii="仿宋_GB2312" w:hAnsi="仿宋_GB2312" w:eastAsia="仿宋_GB2312" w:cs="仿宋_GB2312"/>
          <w:b w:val="0"/>
          <w:bCs w:val="0"/>
          <w:i w:val="0"/>
          <w:caps w:val="0"/>
          <w:color w:val="auto"/>
          <w:spacing w:val="0"/>
          <w:sz w:val="32"/>
          <w:szCs w:val="32"/>
          <w:highlight w:val="none"/>
          <w:u w:val="none"/>
          <w:shd w:val="clear" w:color="auto" w:fill="FFFFFF"/>
          <w:lang w:val="en-US" w:eastAsia="zh-CN"/>
        </w:rPr>
        <w:t>（四十二）</w:t>
      </w:r>
      <w:r>
        <w:rPr>
          <w:rFonts w:hint="eastAsia" w:ascii="仿宋_GB2312" w:hAnsi="仿宋_GB2312" w:eastAsia="仿宋_GB2312" w:cs="仿宋_GB2312"/>
          <w:b w:val="0"/>
          <w:bCs w:val="0"/>
          <w:i w:val="0"/>
          <w:caps w:val="0"/>
          <w:color w:val="auto"/>
          <w:spacing w:val="0"/>
          <w:sz w:val="32"/>
          <w:szCs w:val="32"/>
          <w:highlight w:val="none"/>
          <w:u w:val="none"/>
          <w:lang w:eastAsia="zh-CN"/>
        </w:rPr>
        <w:t>本办法自</w:t>
      </w:r>
      <w:r>
        <w:rPr>
          <w:rFonts w:hint="eastAsia" w:ascii="仿宋_GB2312" w:hAnsi="仿宋_GB2312" w:eastAsia="仿宋_GB2312" w:cs="仿宋_GB2312"/>
          <w:b w:val="0"/>
          <w:bCs w:val="0"/>
          <w:i w:val="0"/>
          <w:caps w:val="0"/>
          <w:color w:val="auto"/>
          <w:spacing w:val="0"/>
          <w:sz w:val="32"/>
          <w:szCs w:val="32"/>
          <w:highlight w:val="none"/>
          <w:u w:val="none"/>
          <w:lang w:val="en-US" w:eastAsia="zh-CN"/>
        </w:rPr>
        <w:t>2022年9月  日起施行</w:t>
      </w:r>
      <w:r>
        <w:rPr>
          <w:rFonts w:hint="eastAsia" w:ascii="仿宋_GB2312" w:hAnsi="仿宋_GB2312" w:eastAsia="仿宋_GB2312" w:cs="仿宋_GB2312"/>
          <w:b w:val="0"/>
          <w:bCs w:val="0"/>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rPr>
        <w:t>在本办法实施之日前已进入招标阶段并已发布招标公告的，参照本办法执行。</w:t>
      </w:r>
      <w:r>
        <w:rPr>
          <w:rFonts w:hint="eastAsia" w:ascii="仿宋_GB2312" w:hAnsi="仿宋_GB2312" w:eastAsia="仿宋_GB2312" w:cs="仿宋_GB2312"/>
          <w:color w:val="auto"/>
          <w:sz w:val="32"/>
          <w:szCs w:val="32"/>
          <w:highlight w:val="none"/>
          <w:lang w:val="en-US" w:eastAsia="zh-CN"/>
        </w:rPr>
        <w:t>《绍兴市财政局  绍兴市住房和城乡建设局 绍兴市发展和改革委员会关于印发&lt;绍兴市市级政府投资项目工程总承包管理办法&gt;（试行）的通知》（绍市财建〔2021〕24号）</w:t>
      </w:r>
      <w:r>
        <w:rPr>
          <w:rFonts w:hint="eastAsia" w:ascii="仿宋_GB2312" w:hAnsi="仿宋_GB2312" w:eastAsia="仿宋_GB2312" w:cs="仿宋_GB2312"/>
          <w:b w:val="0"/>
          <w:bCs w:val="0"/>
          <w:color w:val="auto"/>
          <w:kern w:val="0"/>
          <w:sz w:val="32"/>
          <w:szCs w:val="32"/>
          <w:highlight w:val="none"/>
          <w:lang w:val="en-US" w:eastAsia="zh-CN" w:bidi="ar-SA"/>
        </w:rPr>
        <w:t>同日废止。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djustRightInd w:val="0"/>
        <w:snapToGrid w:val="0"/>
        <w:spacing w:before="0" w:beforeLines="0" w:beforeAutospacing="0" w:after="0" w:afterLines="0" w:afterAutospacing="0" w:line="560" w:lineRule="exact"/>
        <w:ind w:left="0" w:right="0" w:firstLine="641"/>
        <w:jc w:val="both"/>
        <w:rPr>
          <w:rFonts w:hint="eastAsia" w:ascii="仿宋" w:hAnsi="仿宋" w:eastAsia="仿宋" w:cs="仿宋"/>
          <w:b w:val="0"/>
          <w:bCs w:val="0"/>
          <w:i w:val="0"/>
          <w:caps w:val="0"/>
          <w:color w:val="auto"/>
          <w:spacing w:val="0"/>
          <w:sz w:val="32"/>
          <w:szCs w:val="32"/>
          <w:highlight w:val="none"/>
          <w:u w:val="none"/>
        </w:rPr>
      </w:pPr>
    </w:p>
    <w:p>
      <w:pPr>
        <w:ind w:firstLine="280" w:firstLineChars="100"/>
        <w:jc w:val="both"/>
        <w:rPr>
          <w:rFonts w:hint="eastAsia" w:ascii="仿宋_GB2312" w:eastAsia="仿宋_GB2312"/>
          <w:sz w:val="28"/>
          <w:szCs w:val="28"/>
          <w:lang w:val="en-US" w:eastAsia="zh-CN"/>
        </w:rPr>
      </w:pPr>
    </w:p>
    <w:p>
      <w:pPr>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ind w:firstLine="280" w:firstLineChars="100"/>
        <w:jc w:val="both"/>
        <w:rPr>
          <w:rFonts w:hint="eastAsia" w:ascii="仿宋_GB2312" w:eastAsia="仿宋_GB2312"/>
          <w:sz w:val="28"/>
          <w:szCs w:val="28"/>
          <w:lang w:val="en-US" w:eastAsia="zh-CN"/>
        </w:rPr>
      </w:pPr>
      <w:r>
        <w:rPr>
          <w:rFonts w:hint="eastAsia" w:ascii="仿宋_GB2312" w:eastAsia="仿宋_GB2312"/>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13335</wp:posOffset>
                </wp:positionV>
                <wp:extent cx="543306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4330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1.05pt;height:0pt;width:427.8pt;z-index:251661312;mso-width-relative:page;mso-height-relative:page;" filled="f" stroked="t" coordsize="21600,21600" o:gfxdata="UEsDBAoAAAAAAIdO4kAAAAAAAAAAAAAAAAAEAAAAZHJzL1BLAwQUAAAACACHTuJAAJqgFNMAAAAE&#10;AQAADwAAAGRycy9kb3ducmV2LnhtbE2PQWvCQBSE74X+h+UVeil1N4GITbMREXrosSp4XbOvSTT7&#10;NmQ3xvrr+9qLHocZZr4plhfXiTMOofWkIZkpEEiVty3VGnbbj9cFiBANWdN5Qg0/GGBZPj4UJrd+&#10;oi88b2ItuIRCbjQ0Mfa5lKFq0Jkw8z0Se99+cCayHGppBzNxuetkqtRcOtMSLzSmx3WD1WkzOg0Y&#10;xixRqzdX7z6v08s+vR6nfqv181Oi3kFEvMRbGP7wGR1KZjr4kWwQnQY+EjWkCQg2F1k2B3H417Is&#10;5D18+QtQSwMEFAAAAAgAh07iQDxyb0b9AQAA7AMAAA4AAABkcnMvZTJvRG9jLnhtbK1TzY7TMBC+&#10;I/EOlu80bZeuIGq6h5blgqAS8ABTx0ks+U8eb9O+BC+AxAk4Aae98zSwPAZjp9uF5dIDOThjj+eb&#10;+T7PzC92RrOtDKicrfhkNOZMWuFqZduKv31z+egJZxjB1qCdlRXfS+QXi4cP5r0v5dR1TtcyMAKx&#10;WPa+4l2MviwKFJ00gCPnpSVn44KBSNvQFnWAntCNLqbj8XnRu1D74IREpNPV4OQHxHAKoGsaJeTK&#10;iSsjbRxQg9QQiRJ2yiNf5GqbRor4qmlQRqYrTkxjXikJ2Zu0Fos5lG0A3ylxKAFOKeEeJwPKUtIj&#10;1AoisKug/oEySgSHrokj4UwxEMmKEIvJ+J42rzvwMnMhqdEfRcf/BytebteBqbriU84sGHrwm/fX&#10;P999uvn29cfH61/fPyT7y2c2TVL1HkuKWNp1OOzQr0PivWuCSX9ixHZZ3v1RXrmLTNDh7PHZ2fic&#10;lBe3vuIu0AeMz6UzLBkVxxhAtV1cOmvpEV2YZHlh+wIjpabA24CUVVvWV/zpbDojcKCmbKgZyDSe&#10;iKFtcyw6repLpXWKwNBuljqwLaTGyF8iSLh/XUtJVoDdcC+7hpbpJNTPbM3i3pNkliaFpxKMrDnT&#10;kgYrWQQIZQSlT7lJqbWlCpLGg6rJ2rh6n8XO59QEucZDw6Yu+3Ofo++GdP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JqgFNMAAAAEAQAADwAAAAAAAAABACAAAAAiAAAAZHJzL2Rvd25yZXYueG1s&#10;UEsBAhQAFAAAAAgAh07iQDxyb0b9AQAA7AMAAA4AAAAAAAAAAQAgAAAAIgEAAGRycy9lMm9Eb2Mu&#10;eG1sUEsFBgAAAAAGAAYAWQEAAJEFAAAAAA==&#10;">
                <v:path arrowok="t"/>
                <v:fill on="f" focussize="0,0"/>
                <v:stroke/>
                <v:imagedata o:title=""/>
                <o:lock v:ext="edit" aspectratio="f"/>
              </v:shape>
            </w:pict>
          </mc:Fallback>
        </mc:AlternateContent>
      </w:r>
      <w:r>
        <w:rPr>
          <w:rFonts w:hint="eastAsia" w:ascii="仿宋_GB2312" w:eastAsia="仿宋_GB2312"/>
          <w:sz w:val="28"/>
          <w:szCs w:val="28"/>
          <w:lang w:val="en-US" w:eastAsia="zh-CN"/>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426720</wp:posOffset>
                </wp:positionV>
                <wp:extent cx="541147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4114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pt;margin-top:33.6pt;height:0pt;width:426.1pt;z-index:251660288;mso-width-relative:page;mso-height-relative:page;" filled="f" stroked="t" coordsize="21600,21600" o:gfxdata="UEsDBAoAAAAAAIdO4kAAAAAAAAAAAAAAAAAEAAAAZHJzL1BLAwQUAAAACACHTuJAG8Di+dUAAAAH&#10;AQAADwAAAGRycy9kb3ducmV2LnhtbE2OzU7DMBCE70i8g7VIXBC1E0goIU6FkDj0SFuJqxsvSSBe&#10;R7HTlD59F3GA4/xo5itXR9eLA46h86QhWSgQSLW3HTUadtvX2yWIEA1Z03tCDd8YYFVdXpSmsH6m&#10;NzxsYiN4hEJhNLQxDoWUoW7RmbDwAxJnH350JrIcG2lHM/O462WqVC6d6YgfWjPgS4v112ZyGjBM&#10;WaKeH12zW5/mm/f09DkPW62vrxL1BCLiMf6V4Qef0aFipr2fyAbRa7i756KG/CEFwfEyy3IQ+19D&#10;VqX8z1+dAVBLAwQUAAAACACHTuJAtfICM/4BAADsAwAADgAAAGRycy9lMm9Eb2MueG1srVPNbhMx&#10;EL4j8Q6W72STtOFnlU0PCeWCoBLwABOvd9eS/+Rxs8lL8AJInIAT5dQ7TwPlMRh70xTKJQf24B17&#10;PN/M93lmfrY1mm1kQOVsxSejMWfSClcr21b83dvzR085wwi2Bu2srPhOIj9bPHww730pp65zupaB&#10;EYjFsvcV72L0ZVGg6KQBHDkvLTkbFwxE2oa2qAP0hG50MR2PHxe9C7UPTkhEOl0NTr5HDMcAuqZR&#10;Qq6cuDTSxgE1SA2RKGGnPPJFrrZppIivmwZlZLrixDTmlZKQvU5rsZhD2QbwnRL7EuCYEu5xMqAs&#10;JT1ArSACuwzqHyijRHDomjgSzhQDkawIsZiM72nzpgMvMxeSGv1BdPx/sOLV5iIwVVf8hDMLhh78&#10;5sP1z/efb75d/fh0/ev7x2R//cJOklS9x5IilvYi7HfoL0LivW2CSX9ixLZZ3t1BXrmNTNDh7HQy&#10;OX1CyotbX3EX6APGF9IZloyKYwyg2i4unbX0iC5MsryweYmRUlPgbUDKqi3rK/5sNp0ROFBTNtQM&#10;ZBpPxNC2ORadVvW50jpFYGjXSx3YBlJj5C8RJNy/rqUkK8BuuJddQ8t0EurntmZx50kyS5PCUwlG&#10;1pxpSYOVLAKEMoLSx9yk1NpSBUnjQdVkrV29y2Lnc2qCXOO+YVOX/bnP0XdDuv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8Di+dUAAAAHAQAADwAAAAAAAAABACAAAAAiAAAAZHJzL2Rvd25yZXYu&#10;eG1sUEsBAhQAFAAAAAgAh07iQLXyAjP+AQAA7AMAAA4AAAAAAAAAAQAgAAAAJAEAAGRycy9lMm9E&#10;b2MueG1sUEsFBgAAAAAGAAYAWQEAAJQFAAAAAA==&#10;">
                <v:path arrowok="t"/>
                <v:fill on="f" focussize="0,0"/>
                <v:stroke/>
                <v:imagedata o:title=""/>
                <o:lock v:ext="edit" aspectratio="f"/>
              </v:shape>
            </w:pict>
          </mc:Fallback>
        </mc:AlternateContent>
      </w:r>
      <w:r>
        <w:rPr>
          <w:rFonts w:hint="eastAsia" w:ascii="仿宋_GB2312" w:eastAsia="仿宋_GB2312"/>
          <w:sz w:val="28"/>
          <w:szCs w:val="28"/>
          <w:lang w:val="en-US" w:eastAsia="zh-CN"/>
        </w:rPr>
        <w:t xml:space="preserve">绍兴市财政局办公室                   </w:t>
      </w:r>
      <w:bookmarkStart w:id="4" w:name="yfDate"/>
      <w:r>
        <w:rPr>
          <w:rFonts w:hint="eastAsia" w:ascii="仿宋_GB2312" w:eastAsia="仿宋_GB2312"/>
          <w:sz w:val="28"/>
          <w:szCs w:val="28"/>
          <w:lang w:val="en" w:eastAsia="zh-CN"/>
        </w:rPr>
        <w:t>2022年</w:t>
      </w:r>
      <w:r>
        <w:rPr>
          <w:rFonts w:hint="eastAsia" w:ascii="仿宋_GB2312" w:eastAsia="仿宋_GB2312"/>
          <w:sz w:val="28"/>
          <w:szCs w:val="28"/>
          <w:lang w:val="en-US" w:eastAsia="zh-CN"/>
        </w:rPr>
        <w:t>9</w:t>
      </w:r>
      <w:r>
        <w:rPr>
          <w:rFonts w:hint="eastAsia" w:ascii="仿宋_GB2312" w:eastAsia="仿宋_GB2312"/>
          <w:sz w:val="28"/>
          <w:szCs w:val="28"/>
          <w:lang w:val="en" w:eastAsia="zh-CN"/>
        </w:rPr>
        <w:t>月</w:t>
      </w:r>
      <w:r>
        <w:rPr>
          <w:rFonts w:hint="eastAsia" w:ascii="仿宋_GB2312" w:eastAsia="仿宋_GB2312"/>
          <w:sz w:val="28"/>
          <w:szCs w:val="28"/>
          <w:lang w:val="en-US" w:eastAsia="zh-CN"/>
        </w:rPr>
        <w:t>30</w:t>
      </w:r>
      <w:r>
        <w:rPr>
          <w:rFonts w:hint="eastAsia" w:ascii="仿宋_GB2312" w:eastAsia="仿宋_GB2312"/>
          <w:sz w:val="28"/>
          <w:szCs w:val="28"/>
          <w:lang w:val="en" w:eastAsia="zh-CN"/>
        </w:rPr>
        <w:t>日</w:t>
      </w:r>
      <w:bookmarkEnd w:id="4"/>
      <w:r>
        <w:rPr>
          <w:rFonts w:hint="eastAsia" w:ascii="仿宋_GB2312" w:eastAsia="仿宋_GB2312"/>
          <w:sz w:val="28"/>
          <w:szCs w:val="28"/>
          <w:lang w:val="en-US" w:eastAsia="zh-CN"/>
        </w:rPr>
        <w:t>印发</w:t>
      </w:r>
    </w:p>
    <w:p/>
    <w:sectPr>
      <w:headerReference r:id="rId3" w:type="default"/>
      <w:footerReference r:id="rId4" w:type="default"/>
      <w:footerReference r:id="rId5" w:type="even"/>
      <w:pgSz w:w="11906" w:h="16838"/>
      <w:pgMar w:top="2438" w:right="1644" w:bottom="1701" w:left="1644"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30101010101"/>
    <w:charset w:val="86"/>
    <w:family w:val="swiss"/>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8"/>
        <w:rFonts w:hint="eastAsia"/>
        <w:sz w:val="24"/>
      </w:rPr>
    </w:pPr>
    <w:r>
      <w:rPr>
        <w:rStyle w:val="8"/>
        <w:rFonts w:hint="eastAsia"/>
        <w:sz w:val="24"/>
      </w:rPr>
      <w:t xml:space="preserve">— </w:t>
    </w:r>
    <w:r>
      <w:rPr>
        <w:sz w:val="24"/>
      </w:rPr>
      <w:fldChar w:fldCharType="begin"/>
    </w:r>
    <w:r>
      <w:rPr>
        <w:rStyle w:val="8"/>
        <w:sz w:val="24"/>
      </w:rPr>
      <w:instrText xml:space="preserve">PAGE  </w:instrText>
    </w:r>
    <w:r>
      <w:rPr>
        <w:sz w:val="24"/>
      </w:rPr>
      <w:fldChar w:fldCharType="separate"/>
    </w:r>
    <w:r>
      <w:rPr>
        <w:rStyle w:val="8"/>
        <w:sz w:val="24"/>
      </w:rPr>
      <w:t>1</w:t>
    </w:r>
    <w:r>
      <w:rPr>
        <w:sz w:val="24"/>
      </w:rPr>
      <w:fldChar w:fldCharType="end"/>
    </w:r>
    <w:r>
      <w:rPr>
        <w:rStyle w:val="8"/>
        <w:rFonts w:hint="eastAsia"/>
        <w:sz w:val="24"/>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separate"/>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F8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beforeLines="0" w:afterLines="0"/>
    </w:pPr>
    <w:rPr>
      <w:rFonts w:hint="default" w:ascii="FangSong_GB2312" w:hAnsi="FangSong_GB2312" w:eastAsia="FangSong_GB2312" w:cs="Times New Roman"/>
      <w:color w:val="000000"/>
      <w:sz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张奇</cp:lastModifiedBy>
  <dcterms:modified xsi:type="dcterms:W3CDTF">2022-10-12T08:53:54Z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