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AF8A3">
      <w:pPr>
        <w:bidi w:val="0"/>
        <w:jc w:val="center"/>
        <w:rPr>
          <w:rFonts w:hint="eastAsia" w:asciiTheme="minorEastAsia" w:hAnsiTheme="minorEastAsia" w:eastAsiaTheme="minorEastAsia" w:cstheme="minorEastAsia"/>
          <w:sz w:val="44"/>
          <w:szCs w:val="44"/>
          <w:lang w:val="en-US" w:eastAsia="zh-CN"/>
        </w:rPr>
      </w:pPr>
    </w:p>
    <w:p w14:paraId="3CC4822E">
      <w:pPr>
        <w:bidi w:val="0"/>
        <w:jc w:val="both"/>
        <w:rPr>
          <w:rFonts w:hint="eastAsia" w:asciiTheme="minorEastAsia" w:hAnsiTheme="minorEastAsia" w:eastAsiaTheme="minorEastAsia" w:cstheme="minorEastAsia"/>
          <w:sz w:val="44"/>
          <w:szCs w:val="44"/>
          <w:lang w:val="en-US" w:eastAsia="zh-CN"/>
        </w:rPr>
      </w:pPr>
    </w:p>
    <w:p w14:paraId="312068E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嘉兴市人民政府地方性法规案和规章</w:t>
      </w:r>
    </w:p>
    <w:p w14:paraId="65CFD7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制定办法</w:t>
      </w:r>
    </w:p>
    <w:p w14:paraId="1221C6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（2025年1月21日嘉兴市人民政府令第55号公布 自2025年3月1日起施行）</w:t>
      </w:r>
    </w:p>
    <w:p w14:paraId="55131152">
      <w:pPr>
        <w:keepNext w:val="0"/>
        <w:keepLines w:val="0"/>
        <w:pageBreakBefore w:val="0"/>
        <w:widowControl w:val="0"/>
        <w:kinsoku/>
        <w:wordWrap/>
        <w:overflowPunct w:val="0"/>
        <w:topLinePunct w:val="0"/>
        <w:autoSpaceDE/>
        <w:autoSpaceDN/>
        <w:bidi w:val="0"/>
        <w:adjustRightInd w:val="0"/>
        <w:snapToGrid w:val="0"/>
        <w:spacing w:line="600" w:lineRule="exact"/>
        <w:ind w:firstLine="0" w:firstLineChars="0"/>
        <w:jc w:val="center"/>
        <w:textAlignment w:val="auto"/>
        <w:rPr>
          <w:rFonts w:hint="eastAsia" w:ascii="黑体" w:hAnsi="黑体" w:eastAsia="黑体"/>
          <w:snapToGrid w:val="0"/>
          <w:spacing w:val="0"/>
          <w:kern w:val="0"/>
          <w:sz w:val="32"/>
          <w:szCs w:val="32"/>
        </w:rPr>
      </w:pPr>
    </w:p>
    <w:p w14:paraId="4154BBDA">
      <w:pPr>
        <w:keepNext w:val="0"/>
        <w:keepLines w:val="0"/>
        <w:pageBreakBefore w:val="0"/>
        <w:widowControl w:val="0"/>
        <w:kinsoku/>
        <w:wordWrap/>
        <w:overflowPunct w:val="0"/>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val="0"/>
          <w:color w:val="auto"/>
          <w:spacing w:val="0"/>
          <w:kern w:val="0"/>
          <w:sz w:val="32"/>
          <w:szCs w:val="32"/>
          <w:shd w:val="clear" w:color="auto" w:fill="FFFFFF"/>
          <w:lang w:val="en-US" w:eastAsia="zh-CN"/>
        </w:rPr>
      </w:pPr>
      <w:r>
        <w:rPr>
          <w:rFonts w:hint="eastAsia" w:ascii="黑体" w:hAnsi="黑体" w:eastAsia="黑体" w:cs="黑体"/>
          <w:snapToGrid w:val="0"/>
          <w:color w:val="auto"/>
          <w:spacing w:val="0"/>
          <w:kern w:val="0"/>
          <w:sz w:val="32"/>
          <w:szCs w:val="32"/>
          <w:shd w:val="clear" w:color="auto" w:fill="FFFFFF"/>
          <w:lang w:val="en-US" w:eastAsia="zh-CN"/>
        </w:rPr>
        <w:t>第一章  总  则</w:t>
      </w:r>
    </w:p>
    <w:p w14:paraId="60615BDB">
      <w:pPr>
        <w:keepNext w:val="0"/>
        <w:keepLines w:val="0"/>
        <w:pageBreakBefore w:val="0"/>
        <w:widowControl w:val="0"/>
        <w:kinsoku/>
        <w:wordWrap/>
        <w:overflowPunct w:val="0"/>
        <w:topLinePunct w:val="0"/>
        <w:autoSpaceDE/>
        <w:autoSpaceDN/>
        <w:bidi w:val="0"/>
        <w:adjustRightInd w:val="0"/>
        <w:snapToGrid w:val="0"/>
        <w:spacing w:line="600" w:lineRule="exact"/>
        <w:ind w:firstLine="0" w:firstLineChars="0"/>
        <w:jc w:val="center"/>
        <w:textAlignment w:val="auto"/>
        <w:rPr>
          <w:snapToGrid w:val="0"/>
          <w:color w:val="auto"/>
          <w:spacing w:val="0"/>
          <w:kern w:val="0"/>
          <w:highlight w:val="none"/>
          <w:u w:val="none"/>
        </w:rPr>
      </w:pPr>
    </w:p>
    <w:p w14:paraId="5D66000E">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黑体" w:hAnsi="黑体" w:eastAsia="黑体" w:cs="黑体"/>
          <w:snapToGrid w:val="0"/>
          <w:color w:val="auto"/>
          <w:spacing w:val="0"/>
          <w:kern w:val="0"/>
          <w:sz w:val="32"/>
          <w:szCs w:val="32"/>
          <w:shd w:val="clear" w:color="auto" w:fill="FFFFFF"/>
          <w:lang w:val="en-US" w:eastAsia="zh-CN"/>
        </w:rPr>
        <w:t>第一条</w:t>
      </w:r>
      <w:r>
        <w:rPr>
          <w:rFonts w:hint="eastAsia" w:ascii="仿宋_GB2312" w:hAnsi="Times New Roman" w:eastAsia="仿宋_GB2312" w:cs="Times New Roman"/>
          <w:snapToGrid w:val="0"/>
          <w:spacing w:val="0"/>
          <w:kern w:val="0"/>
          <w:sz w:val="32"/>
          <w:szCs w:val="32"/>
        </w:rPr>
        <w:t>　</w:t>
      </w:r>
      <w:r>
        <w:rPr>
          <w:rFonts w:hint="eastAsia" w:ascii="仿宋_GB2312" w:hAnsi="Times New Roman" w:eastAsia="仿宋_GB2312" w:cs="Times New Roman"/>
          <w:snapToGrid w:val="0"/>
          <w:spacing w:val="0"/>
          <w:kern w:val="0"/>
          <w:sz w:val="32"/>
          <w:szCs w:val="32"/>
          <w:lang w:val="en-US" w:eastAsia="zh-CN"/>
        </w:rPr>
        <w:t>为了规范政府立法活动，完善政府立法程序，提高政府立法质量，根据《中华人民共和国立法法》《规章制定程序条例》《浙江省人民政府地方性法规案和规章制定办法》《嘉兴市制定地方性法规条例》等法律、法规，结合本市实际，制定本办法。</w:t>
      </w:r>
    </w:p>
    <w:p w14:paraId="6D648E24">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黑体" w:hAnsi="黑体" w:eastAsia="黑体" w:cs="黑体"/>
          <w:snapToGrid w:val="0"/>
          <w:color w:val="auto"/>
          <w:spacing w:val="0"/>
          <w:kern w:val="0"/>
          <w:sz w:val="32"/>
          <w:szCs w:val="32"/>
          <w:shd w:val="clear" w:color="auto" w:fill="FFFFFF"/>
          <w:lang w:val="en-US" w:eastAsia="zh-CN"/>
        </w:rPr>
        <w:t>第二条</w:t>
      </w:r>
      <w:r>
        <w:rPr>
          <w:rFonts w:hint="eastAsia" w:ascii="仿宋_GB2312" w:hAnsi="Times New Roman" w:eastAsia="仿宋_GB2312" w:cs="Times New Roman"/>
          <w:snapToGrid w:val="0"/>
          <w:spacing w:val="0"/>
          <w:kern w:val="0"/>
          <w:sz w:val="32"/>
          <w:szCs w:val="32"/>
        </w:rPr>
        <w:t>　</w:t>
      </w:r>
      <w:r>
        <w:rPr>
          <w:rFonts w:hint="eastAsia" w:ascii="仿宋_GB2312" w:hAnsi="Times New Roman" w:eastAsia="仿宋_GB2312" w:cs="Times New Roman"/>
          <w:snapToGrid w:val="0"/>
          <w:spacing w:val="0"/>
          <w:kern w:val="0"/>
          <w:sz w:val="32"/>
          <w:szCs w:val="32"/>
          <w:lang w:val="en-US" w:eastAsia="zh-CN"/>
        </w:rPr>
        <w:t>市人民政府向市人民代表大会或其常务委员会提请审议的地方性法规案（以下简称地方性法规案）和市人民政府规章（以下简称规章）的制定，适用本办法。</w:t>
      </w:r>
    </w:p>
    <w:p w14:paraId="37FC4674">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前款所称地方性法规案和规章的制定，是指地方性法规案的起草、审查、审议和规章的立项、起草、审查、审议、公布、备案、解释、评估、清理等工作。</w:t>
      </w:r>
    </w:p>
    <w:p w14:paraId="751E0457">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黑体" w:hAnsi="黑体" w:eastAsia="黑体" w:cs="黑体"/>
          <w:snapToGrid w:val="0"/>
          <w:color w:val="auto"/>
          <w:spacing w:val="0"/>
          <w:kern w:val="0"/>
          <w:sz w:val="32"/>
          <w:szCs w:val="32"/>
          <w:shd w:val="clear" w:color="auto" w:fill="FFFFFF"/>
          <w:lang w:val="en-US" w:eastAsia="zh-CN"/>
        </w:rPr>
        <w:t>第三条</w:t>
      </w:r>
      <w:r>
        <w:rPr>
          <w:rFonts w:hint="eastAsia" w:ascii="仿宋_GB2312" w:hAnsi="Times New Roman" w:eastAsia="仿宋_GB2312" w:cs="Times New Roman"/>
          <w:snapToGrid w:val="0"/>
          <w:spacing w:val="0"/>
          <w:kern w:val="0"/>
          <w:sz w:val="32"/>
          <w:szCs w:val="32"/>
        </w:rPr>
        <w:t>　</w:t>
      </w:r>
      <w:r>
        <w:rPr>
          <w:rFonts w:hint="eastAsia" w:ascii="仿宋_GB2312" w:hAnsi="Times New Roman" w:eastAsia="仿宋_GB2312" w:cs="Times New Roman"/>
          <w:snapToGrid w:val="0"/>
          <w:spacing w:val="0"/>
          <w:kern w:val="0"/>
          <w:sz w:val="32"/>
          <w:szCs w:val="32"/>
          <w:lang w:val="en-US" w:eastAsia="zh-CN"/>
        </w:rPr>
        <w:t>坚持党对制定地方性法规案和规章的领导，坚持科学立法、民主立法、依法立法，维护社会主义法制统一，符合本市经济社会发展和改革要求，体现地方特色。</w:t>
      </w:r>
    </w:p>
    <w:p w14:paraId="1BB47FD0">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黑体" w:hAnsi="黑体" w:eastAsia="黑体" w:cs="黑体"/>
          <w:snapToGrid w:val="0"/>
          <w:color w:val="auto"/>
          <w:spacing w:val="0"/>
          <w:kern w:val="0"/>
          <w:sz w:val="32"/>
          <w:szCs w:val="32"/>
          <w:shd w:val="clear" w:color="auto" w:fill="FFFFFF"/>
          <w:lang w:val="en-US" w:eastAsia="zh-CN"/>
        </w:rPr>
        <w:t>第四条</w:t>
      </w:r>
      <w:r>
        <w:rPr>
          <w:rFonts w:hint="eastAsia" w:ascii="仿宋_GB2312" w:hAnsi="Times New Roman" w:eastAsia="仿宋_GB2312" w:cs="Times New Roman"/>
          <w:snapToGrid w:val="0"/>
          <w:spacing w:val="0"/>
          <w:kern w:val="0"/>
          <w:sz w:val="32"/>
          <w:szCs w:val="32"/>
        </w:rPr>
        <w:t>　</w:t>
      </w:r>
      <w:r>
        <w:rPr>
          <w:rFonts w:hint="eastAsia" w:ascii="仿宋_GB2312" w:hAnsi="Times New Roman" w:eastAsia="仿宋_GB2312" w:cs="Times New Roman"/>
          <w:snapToGrid w:val="0"/>
          <w:spacing w:val="0"/>
          <w:kern w:val="0"/>
          <w:sz w:val="32"/>
          <w:szCs w:val="32"/>
          <w:lang w:val="en-US" w:eastAsia="zh-CN"/>
        </w:rPr>
        <w:t>市人民政府负责组织制定地方性法规案和规章的工作，统筹协调重大事项，并将所需工作经费纳入财政预算。</w:t>
      </w:r>
    </w:p>
    <w:p w14:paraId="64785EC3">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市人民政府有关部门（单位）、县（市、区）人民政府负责地方性法规案和规章的前期调研、立法项目申报、送审稿起草、立法意见反馈等工作。</w:t>
      </w:r>
    </w:p>
    <w:p w14:paraId="37A55B9D">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市司法行政部门负责编制市人民政府年度立法工作计划草案、组织实施市人民政府年度立法工作计划，以及审查送审稿等工作。</w:t>
      </w:r>
    </w:p>
    <w:p w14:paraId="3521582D">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黑体" w:hAnsi="黑体" w:eastAsia="黑体" w:cs="黑体"/>
          <w:snapToGrid w:val="0"/>
          <w:color w:val="auto"/>
          <w:spacing w:val="0"/>
          <w:kern w:val="0"/>
          <w:sz w:val="32"/>
          <w:szCs w:val="32"/>
          <w:shd w:val="clear" w:color="auto" w:fill="FFFFFF"/>
          <w:lang w:val="en-US" w:eastAsia="zh-CN"/>
        </w:rPr>
        <w:t>第五条</w:t>
      </w:r>
      <w:r>
        <w:rPr>
          <w:rFonts w:hint="eastAsia" w:ascii="仿宋_GB2312" w:hAnsi="Times New Roman" w:eastAsia="仿宋_GB2312" w:cs="Times New Roman"/>
          <w:snapToGrid w:val="0"/>
          <w:spacing w:val="0"/>
          <w:kern w:val="0"/>
          <w:sz w:val="32"/>
          <w:szCs w:val="32"/>
        </w:rPr>
        <w:t>　</w:t>
      </w:r>
      <w:r>
        <w:rPr>
          <w:rFonts w:hint="eastAsia" w:ascii="仿宋_GB2312" w:hAnsi="Times New Roman" w:eastAsia="仿宋_GB2312" w:cs="Times New Roman"/>
          <w:snapToGrid w:val="0"/>
          <w:spacing w:val="0"/>
          <w:kern w:val="0"/>
          <w:sz w:val="32"/>
          <w:szCs w:val="32"/>
          <w:lang w:val="en-US" w:eastAsia="zh-CN"/>
        </w:rPr>
        <w:t>市司法行政部门应当建立健全社会公众参与政府立法的制度，建立和完善政府立法专家库、政府立法联系点等工作机制，拓宽社会公众参与政府立法的途径。</w:t>
      </w:r>
    </w:p>
    <w:p w14:paraId="05504337">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shd w:val="clear" w:color="auto" w:fill="FFFFFF"/>
          <w:lang w:val="en-US" w:eastAsia="zh-CN"/>
        </w:rPr>
      </w:pPr>
      <w:r>
        <w:rPr>
          <w:rFonts w:hint="eastAsia" w:ascii="黑体" w:hAnsi="黑体" w:eastAsia="黑体" w:cs="黑体"/>
          <w:snapToGrid w:val="0"/>
          <w:color w:val="auto"/>
          <w:spacing w:val="0"/>
          <w:kern w:val="0"/>
          <w:sz w:val="32"/>
          <w:szCs w:val="32"/>
          <w:shd w:val="clear" w:color="auto" w:fill="FFFFFF"/>
          <w:lang w:val="en-US" w:eastAsia="zh-CN"/>
        </w:rPr>
        <w:t>第六条</w:t>
      </w:r>
      <w:r>
        <w:rPr>
          <w:rFonts w:hint="eastAsia" w:ascii="仿宋_GB2312" w:hAnsi="Times New Roman" w:eastAsia="仿宋_GB2312" w:cs="Times New Roman"/>
          <w:snapToGrid w:val="0"/>
          <w:spacing w:val="0"/>
          <w:kern w:val="0"/>
          <w:sz w:val="32"/>
          <w:szCs w:val="32"/>
        </w:rPr>
        <w:t>　</w:t>
      </w:r>
      <w:r>
        <w:rPr>
          <w:rFonts w:hint="eastAsia" w:ascii="仿宋_GB2312" w:hAnsi="Times New Roman" w:eastAsia="仿宋_GB2312" w:cs="Times New Roman"/>
          <w:snapToGrid w:val="0"/>
          <w:spacing w:val="0"/>
          <w:kern w:val="0"/>
          <w:sz w:val="32"/>
          <w:szCs w:val="32"/>
          <w:lang w:val="en-US" w:eastAsia="zh-CN"/>
        </w:rPr>
        <w:t>市司法行政部门应当推动建立和完善与市政协、民主党派、社会团体等立法协商机制。</w:t>
      </w:r>
    </w:p>
    <w:p w14:paraId="6B8E3D5A">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黑体" w:hAnsi="黑体" w:eastAsia="黑体" w:cs="黑体"/>
          <w:snapToGrid w:val="0"/>
          <w:color w:val="auto"/>
          <w:spacing w:val="0"/>
          <w:kern w:val="0"/>
          <w:sz w:val="32"/>
          <w:szCs w:val="32"/>
          <w:shd w:val="clear" w:color="auto" w:fill="FFFFFF"/>
          <w:lang w:val="en-US" w:eastAsia="zh-CN"/>
        </w:rPr>
        <w:t>第七条</w:t>
      </w:r>
      <w:r>
        <w:rPr>
          <w:rFonts w:hint="eastAsia" w:ascii="仿宋_GB2312" w:hAnsi="Times New Roman" w:eastAsia="仿宋_GB2312" w:cs="Times New Roman"/>
          <w:snapToGrid w:val="0"/>
          <w:spacing w:val="0"/>
          <w:kern w:val="0"/>
          <w:sz w:val="32"/>
          <w:szCs w:val="32"/>
        </w:rPr>
        <w:t>　</w:t>
      </w:r>
      <w:r>
        <w:rPr>
          <w:rFonts w:hint="eastAsia" w:ascii="仿宋_GB2312" w:hAnsi="Times New Roman" w:eastAsia="仿宋_GB2312" w:cs="Times New Roman"/>
          <w:snapToGrid w:val="0"/>
          <w:spacing w:val="0"/>
          <w:kern w:val="0"/>
          <w:sz w:val="32"/>
          <w:szCs w:val="32"/>
          <w:lang w:val="en-US" w:eastAsia="zh-CN"/>
        </w:rPr>
        <w:t>市人民政府可以根据区域协调发展的需要，会同有关设区的市人民政府建立区域协同立法工作机制，通过征求意见、协商沟通、联席会议等方式，开展协同立法。</w:t>
      </w:r>
    </w:p>
    <w:p w14:paraId="6CEC536D">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snapToGrid w:val="0"/>
          <w:color w:val="auto"/>
          <w:spacing w:val="0"/>
          <w:kern w:val="0"/>
          <w:sz w:val="32"/>
          <w:szCs w:val="32"/>
          <w:shd w:val="clear" w:color="auto" w:fill="FFFFFF"/>
          <w:lang w:val="en-US" w:eastAsia="zh-CN"/>
        </w:rPr>
      </w:pPr>
    </w:p>
    <w:p w14:paraId="097A585E">
      <w:pPr>
        <w:keepNext w:val="0"/>
        <w:keepLines w:val="0"/>
        <w:pageBreakBefore w:val="0"/>
        <w:widowControl w:val="0"/>
        <w:kinsoku/>
        <w:wordWrap/>
        <w:overflowPunct w:val="0"/>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val="0"/>
          <w:color w:val="auto"/>
          <w:spacing w:val="0"/>
          <w:kern w:val="0"/>
          <w:sz w:val="32"/>
          <w:szCs w:val="32"/>
          <w:shd w:val="clear" w:color="auto" w:fill="FFFFFF"/>
          <w:lang w:val="en-US" w:eastAsia="zh-CN"/>
        </w:rPr>
      </w:pPr>
    </w:p>
    <w:p w14:paraId="51DD6ACB">
      <w:pPr>
        <w:keepNext w:val="0"/>
        <w:keepLines w:val="0"/>
        <w:pageBreakBefore w:val="0"/>
        <w:widowControl w:val="0"/>
        <w:kinsoku/>
        <w:wordWrap/>
        <w:overflowPunct w:val="0"/>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val="0"/>
          <w:color w:val="auto"/>
          <w:spacing w:val="0"/>
          <w:kern w:val="0"/>
          <w:sz w:val="32"/>
          <w:szCs w:val="32"/>
          <w:shd w:val="clear" w:color="auto" w:fill="FFFFFF"/>
          <w:lang w:val="en-US" w:eastAsia="zh-CN"/>
        </w:rPr>
      </w:pPr>
      <w:r>
        <w:rPr>
          <w:rFonts w:hint="eastAsia" w:ascii="黑体" w:hAnsi="黑体" w:eastAsia="黑体" w:cs="黑体"/>
          <w:snapToGrid w:val="0"/>
          <w:color w:val="auto"/>
          <w:spacing w:val="0"/>
          <w:kern w:val="0"/>
          <w:sz w:val="32"/>
          <w:szCs w:val="32"/>
          <w:shd w:val="clear" w:color="auto" w:fill="FFFFFF"/>
          <w:lang w:val="en-US" w:eastAsia="zh-CN"/>
        </w:rPr>
        <w:t>第二章  立  项</w:t>
      </w:r>
    </w:p>
    <w:p w14:paraId="48792C8D">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snapToGrid w:val="0"/>
          <w:color w:val="auto"/>
          <w:spacing w:val="0"/>
          <w:kern w:val="0"/>
          <w:sz w:val="32"/>
          <w:szCs w:val="32"/>
          <w:shd w:val="clear" w:color="auto" w:fill="FFFFFF"/>
          <w:lang w:val="en-US" w:eastAsia="zh-CN"/>
        </w:rPr>
      </w:pPr>
    </w:p>
    <w:p w14:paraId="57DDDCA2">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黑体" w:hAnsi="黑体" w:eastAsia="黑体" w:cs="黑体"/>
          <w:snapToGrid w:val="0"/>
          <w:color w:val="auto"/>
          <w:spacing w:val="0"/>
          <w:kern w:val="0"/>
          <w:sz w:val="32"/>
          <w:szCs w:val="32"/>
          <w:shd w:val="clear" w:color="auto" w:fill="FFFFFF"/>
          <w:lang w:val="en-US" w:eastAsia="zh-CN"/>
        </w:rPr>
        <w:t>第八条</w:t>
      </w:r>
      <w:r>
        <w:rPr>
          <w:rFonts w:hint="eastAsia" w:ascii="仿宋_GB2312" w:hAnsi="Times New Roman" w:eastAsia="仿宋_GB2312" w:cs="Times New Roman"/>
          <w:snapToGrid w:val="0"/>
          <w:spacing w:val="0"/>
          <w:kern w:val="0"/>
          <w:sz w:val="32"/>
          <w:szCs w:val="32"/>
        </w:rPr>
        <w:t>　</w:t>
      </w:r>
      <w:r>
        <w:rPr>
          <w:rFonts w:hint="eastAsia" w:ascii="仿宋_GB2312" w:hAnsi="Times New Roman" w:eastAsia="仿宋_GB2312" w:cs="Times New Roman"/>
          <w:snapToGrid w:val="0"/>
          <w:spacing w:val="0"/>
          <w:kern w:val="0"/>
          <w:sz w:val="32"/>
          <w:szCs w:val="32"/>
          <w:lang w:val="en-US" w:eastAsia="zh-CN"/>
        </w:rPr>
        <w:t>市人民政府于每年年底前组织编制下一年度规章制定工作计划。</w:t>
      </w:r>
    </w:p>
    <w:p w14:paraId="159D48A6">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年度规章制定工作计划项目分为两类：一类项目为年度内力争制定出台的规章项目；二类项目为需要进一步调研、论证，待条件成熟时制定出台的规章项目。</w:t>
      </w:r>
    </w:p>
    <w:p w14:paraId="0EF63492">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黑体" w:hAnsi="黑体" w:eastAsia="黑体" w:cs="黑体"/>
          <w:snapToGrid w:val="0"/>
          <w:color w:val="auto"/>
          <w:spacing w:val="0"/>
          <w:kern w:val="0"/>
          <w:sz w:val="32"/>
          <w:szCs w:val="32"/>
          <w:shd w:val="clear" w:color="auto" w:fill="FFFFFF"/>
          <w:lang w:val="en-US" w:eastAsia="zh-CN"/>
        </w:rPr>
        <w:t>第九条</w:t>
      </w:r>
      <w:r>
        <w:rPr>
          <w:rFonts w:hint="eastAsia" w:ascii="仿宋_GB2312" w:hAnsi="Times New Roman" w:eastAsia="仿宋_GB2312" w:cs="Times New Roman"/>
          <w:snapToGrid w:val="0"/>
          <w:spacing w:val="0"/>
          <w:kern w:val="0"/>
          <w:sz w:val="32"/>
          <w:szCs w:val="32"/>
        </w:rPr>
        <w:t>　</w:t>
      </w:r>
      <w:r>
        <w:rPr>
          <w:rFonts w:hint="eastAsia" w:ascii="仿宋_GB2312" w:hAnsi="Times New Roman" w:eastAsia="仿宋_GB2312" w:cs="Times New Roman"/>
          <w:snapToGrid w:val="0"/>
          <w:spacing w:val="0"/>
          <w:kern w:val="0"/>
          <w:sz w:val="32"/>
          <w:szCs w:val="32"/>
          <w:lang w:val="en-US" w:eastAsia="zh-CN"/>
        </w:rPr>
        <w:t>市司法行政部门应当于每年第三季度向社会公开征集下一年度规章项目建议，书面通知市人民政府有关部门（单位）、县（市、区）人民政府申报下一年度规章项目。</w:t>
      </w:r>
    </w:p>
    <w:p w14:paraId="4C62EC1B">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黑体" w:hAnsi="黑体" w:eastAsia="黑体" w:cs="黑体"/>
          <w:snapToGrid w:val="0"/>
          <w:color w:val="auto"/>
          <w:spacing w:val="0"/>
          <w:kern w:val="0"/>
          <w:sz w:val="32"/>
          <w:szCs w:val="32"/>
          <w:shd w:val="clear" w:color="auto" w:fill="FFFFFF"/>
          <w:lang w:val="en-US" w:eastAsia="zh-CN"/>
        </w:rPr>
        <w:t>第十条</w:t>
      </w:r>
      <w:r>
        <w:rPr>
          <w:rFonts w:hint="eastAsia" w:ascii="仿宋_GB2312" w:hAnsi="Times New Roman" w:eastAsia="仿宋_GB2312" w:cs="Times New Roman"/>
          <w:snapToGrid w:val="0"/>
          <w:spacing w:val="0"/>
          <w:kern w:val="0"/>
          <w:sz w:val="32"/>
          <w:szCs w:val="32"/>
        </w:rPr>
        <w:t>　</w:t>
      </w:r>
      <w:r>
        <w:rPr>
          <w:rFonts w:hint="eastAsia" w:ascii="仿宋_GB2312" w:hAnsi="Times New Roman" w:eastAsia="仿宋_GB2312" w:cs="Times New Roman"/>
          <w:snapToGrid w:val="0"/>
          <w:spacing w:val="0"/>
          <w:kern w:val="0"/>
          <w:sz w:val="32"/>
          <w:szCs w:val="32"/>
          <w:lang w:val="en-US" w:eastAsia="zh-CN"/>
        </w:rPr>
        <w:t>申报规章项目的，应当同时向市司法行政部门报送规章项目立项报告。规章项目立项报告应当包括下列内容：</w:t>
      </w:r>
    </w:p>
    <w:p w14:paraId="76FEBD5F">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（一）规章的名称；</w:t>
      </w:r>
    </w:p>
    <w:p w14:paraId="27796A8C">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（二）制定的必要性、可行性；</w:t>
      </w:r>
    </w:p>
    <w:p w14:paraId="06108D3C">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（三）立法的主要目标和需要规范的主要问题；</w:t>
      </w:r>
    </w:p>
    <w:p w14:paraId="03404AE2">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（四）拟规定的主要制度和管理措施；</w:t>
      </w:r>
    </w:p>
    <w:p w14:paraId="0F0D1A29">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（五）制定规章的法律、法规、政策依据；</w:t>
      </w:r>
    </w:p>
    <w:p w14:paraId="09060182">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（六）其他要求提交的材料。</w:t>
      </w:r>
    </w:p>
    <w:p w14:paraId="0EB56726">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shd w:val="clear" w:color="auto" w:fill="FFFFFF"/>
          <w:lang w:val="en-US" w:eastAsia="zh-CN"/>
        </w:rPr>
      </w:pPr>
      <w:r>
        <w:rPr>
          <w:rFonts w:hint="eastAsia" w:ascii="仿宋_GB2312" w:hAnsi="Times New Roman" w:eastAsia="仿宋_GB2312" w:cs="Times New Roman"/>
          <w:snapToGrid w:val="0"/>
          <w:spacing w:val="0"/>
          <w:kern w:val="0"/>
          <w:sz w:val="32"/>
          <w:szCs w:val="32"/>
          <w:lang w:val="en-US" w:eastAsia="zh-CN"/>
        </w:rPr>
        <w:t>申报年度规章制定工</w:t>
      </w:r>
      <w:r>
        <w:rPr>
          <w:rFonts w:hint="eastAsia" w:ascii="仿宋_GB2312" w:hAnsi="仿宋_GB2312" w:eastAsia="仿宋_GB2312" w:cs="仿宋_GB2312"/>
          <w:snapToGrid w:val="0"/>
          <w:color w:val="auto"/>
          <w:spacing w:val="0"/>
          <w:kern w:val="0"/>
          <w:sz w:val="32"/>
          <w:szCs w:val="32"/>
          <w:shd w:val="clear" w:color="auto" w:fill="FFFFFF"/>
          <w:lang w:val="en-US" w:eastAsia="zh-CN"/>
        </w:rPr>
        <w:t>作计划一类项目的，应当提交立法前评估报告。</w:t>
      </w:r>
    </w:p>
    <w:p w14:paraId="7A6525AB">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黑体" w:hAnsi="黑体" w:eastAsia="黑体" w:cs="黑体"/>
          <w:snapToGrid w:val="0"/>
          <w:color w:val="auto"/>
          <w:spacing w:val="0"/>
          <w:kern w:val="0"/>
          <w:sz w:val="32"/>
          <w:szCs w:val="32"/>
          <w:shd w:val="clear" w:color="auto" w:fill="FFFFFF"/>
          <w:lang w:val="en-US" w:eastAsia="zh-CN"/>
        </w:rPr>
        <w:t>第十一条</w:t>
      </w:r>
      <w:r>
        <w:rPr>
          <w:rFonts w:hint="eastAsia" w:ascii="仿宋_GB2312" w:hAnsi="Times New Roman" w:eastAsia="仿宋_GB2312" w:cs="Times New Roman"/>
          <w:snapToGrid w:val="0"/>
          <w:spacing w:val="0"/>
          <w:kern w:val="0"/>
          <w:sz w:val="32"/>
          <w:szCs w:val="32"/>
        </w:rPr>
        <w:t>　</w:t>
      </w:r>
      <w:r>
        <w:rPr>
          <w:rFonts w:hint="eastAsia" w:ascii="仿宋_GB2312" w:hAnsi="Times New Roman" w:eastAsia="仿宋_GB2312" w:cs="Times New Roman"/>
          <w:snapToGrid w:val="0"/>
          <w:spacing w:val="0"/>
          <w:kern w:val="0"/>
          <w:sz w:val="32"/>
          <w:szCs w:val="32"/>
          <w:lang w:val="en-US" w:eastAsia="zh-CN"/>
        </w:rPr>
        <w:t>市司法行政部门应当对规章项目立项报告和规章项目建议开展研究、论证，拟订年度规章制定工作计划草案，报市人民政府审议，经审议通过后向社会公布。</w:t>
      </w:r>
    </w:p>
    <w:p w14:paraId="2C6AE254">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年度规章制定工作计划应当与市人民代表大会常务委员会年度立法计划相衔接，形成市人民政府年度立法工作计划。</w:t>
      </w:r>
    </w:p>
    <w:p w14:paraId="5BDF7483">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黑体" w:hAnsi="黑体" w:eastAsia="黑体" w:cs="黑体"/>
          <w:snapToGrid w:val="0"/>
          <w:color w:val="auto"/>
          <w:spacing w:val="0"/>
          <w:kern w:val="0"/>
          <w:sz w:val="32"/>
          <w:szCs w:val="32"/>
          <w:shd w:val="clear" w:color="auto" w:fill="FFFFFF"/>
          <w:lang w:val="en-US" w:eastAsia="zh-CN"/>
        </w:rPr>
        <w:t>第十二条</w:t>
      </w:r>
      <w:r>
        <w:rPr>
          <w:rFonts w:hint="eastAsia" w:ascii="仿宋_GB2312" w:hAnsi="Times New Roman" w:eastAsia="仿宋_GB2312" w:cs="Times New Roman"/>
          <w:snapToGrid w:val="0"/>
          <w:spacing w:val="0"/>
          <w:kern w:val="0"/>
          <w:sz w:val="32"/>
          <w:szCs w:val="32"/>
        </w:rPr>
        <w:t>　</w:t>
      </w:r>
      <w:r>
        <w:rPr>
          <w:rFonts w:hint="eastAsia" w:ascii="仿宋_GB2312" w:hAnsi="Times New Roman" w:eastAsia="仿宋_GB2312" w:cs="Times New Roman"/>
          <w:snapToGrid w:val="0"/>
          <w:spacing w:val="0"/>
          <w:kern w:val="0"/>
          <w:sz w:val="32"/>
          <w:szCs w:val="32"/>
          <w:lang w:val="en-US" w:eastAsia="zh-CN"/>
        </w:rPr>
        <w:t>市司法行政部门根据市人民政府年度立法工作计划制定实施方案，明确立法项目办理进度安排。</w:t>
      </w:r>
    </w:p>
    <w:p w14:paraId="1DD357B8">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市人民政府年度立法工作计划实施过程中需要新增或者暂缓制定规章项目的，由市人民政府确定。</w:t>
      </w:r>
    </w:p>
    <w:p w14:paraId="2C5CF92C">
      <w:pPr>
        <w:keepNext w:val="0"/>
        <w:keepLines w:val="0"/>
        <w:pageBreakBefore w:val="0"/>
        <w:widowControl w:val="0"/>
        <w:kinsoku/>
        <w:wordWrap/>
        <w:overflowPunct w:val="0"/>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val="0"/>
          <w:color w:val="auto"/>
          <w:spacing w:val="0"/>
          <w:kern w:val="0"/>
          <w:sz w:val="32"/>
          <w:szCs w:val="32"/>
          <w:shd w:val="clear" w:color="auto" w:fill="FFFFFF"/>
          <w:lang w:val="en-US" w:eastAsia="zh-CN"/>
        </w:rPr>
      </w:pPr>
    </w:p>
    <w:p w14:paraId="1C4D0373">
      <w:pPr>
        <w:keepNext w:val="0"/>
        <w:keepLines w:val="0"/>
        <w:pageBreakBefore w:val="0"/>
        <w:widowControl w:val="0"/>
        <w:kinsoku/>
        <w:wordWrap/>
        <w:overflowPunct w:val="0"/>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val="0"/>
          <w:color w:val="auto"/>
          <w:spacing w:val="0"/>
          <w:kern w:val="0"/>
          <w:sz w:val="32"/>
          <w:szCs w:val="32"/>
          <w:shd w:val="clear" w:color="auto" w:fill="FFFFFF"/>
          <w:lang w:val="en-US" w:eastAsia="zh-CN"/>
        </w:rPr>
      </w:pPr>
      <w:r>
        <w:rPr>
          <w:rFonts w:hint="eastAsia" w:ascii="黑体" w:hAnsi="黑体" w:eastAsia="黑体" w:cs="黑体"/>
          <w:snapToGrid w:val="0"/>
          <w:color w:val="auto"/>
          <w:spacing w:val="0"/>
          <w:kern w:val="0"/>
          <w:sz w:val="32"/>
          <w:szCs w:val="32"/>
          <w:shd w:val="clear" w:color="auto" w:fill="FFFFFF"/>
          <w:lang w:val="en-US" w:eastAsia="zh-CN"/>
        </w:rPr>
        <w:t>第三章  起  草</w:t>
      </w:r>
    </w:p>
    <w:p w14:paraId="0FA5ECCF">
      <w:pPr>
        <w:keepNext w:val="0"/>
        <w:keepLines w:val="0"/>
        <w:pageBreakBefore w:val="0"/>
        <w:widowControl w:val="0"/>
        <w:kinsoku/>
        <w:wordWrap/>
        <w:overflowPunct w:val="0"/>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val="0"/>
          <w:color w:val="auto"/>
          <w:spacing w:val="0"/>
          <w:kern w:val="0"/>
          <w:sz w:val="32"/>
          <w:szCs w:val="32"/>
          <w:shd w:val="clear" w:color="auto" w:fill="FFFFFF"/>
          <w:lang w:val="en-US" w:eastAsia="zh-CN"/>
        </w:rPr>
      </w:pPr>
    </w:p>
    <w:p w14:paraId="6ED8D7E8">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黑体" w:hAnsi="黑体" w:eastAsia="黑体" w:cs="黑体"/>
          <w:snapToGrid w:val="0"/>
          <w:color w:val="auto"/>
          <w:spacing w:val="0"/>
          <w:kern w:val="0"/>
          <w:sz w:val="32"/>
          <w:szCs w:val="32"/>
          <w:shd w:val="clear" w:color="auto" w:fill="FFFFFF"/>
          <w:lang w:val="en-US" w:eastAsia="zh-CN"/>
        </w:rPr>
        <w:t>第十三条</w:t>
      </w:r>
      <w:r>
        <w:rPr>
          <w:rFonts w:hint="eastAsia" w:ascii="仿宋_GB2312" w:hAnsi="Times New Roman" w:eastAsia="仿宋_GB2312" w:cs="Times New Roman"/>
          <w:snapToGrid w:val="0"/>
          <w:spacing w:val="0"/>
          <w:kern w:val="0"/>
          <w:sz w:val="32"/>
          <w:szCs w:val="32"/>
        </w:rPr>
        <w:t>　</w:t>
      </w:r>
      <w:r>
        <w:rPr>
          <w:rFonts w:hint="eastAsia" w:ascii="仿宋_GB2312" w:hAnsi="Times New Roman" w:eastAsia="仿宋_GB2312" w:cs="Times New Roman"/>
          <w:snapToGrid w:val="0"/>
          <w:spacing w:val="0"/>
          <w:kern w:val="0"/>
          <w:sz w:val="32"/>
          <w:szCs w:val="32"/>
          <w:lang w:val="en-US" w:eastAsia="zh-CN"/>
        </w:rPr>
        <w:t>起草工作应当按照市人民政府年度立法工作计划及其实施方案进行。</w:t>
      </w:r>
    </w:p>
    <w:p w14:paraId="39AAE6A8">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起草单位应当根据市人民政府年度立法工作计划及实施方</w:t>
      </w:r>
      <w:r>
        <w:rPr>
          <w:rFonts w:hint="eastAsia" w:ascii="仿宋_GB2312" w:hAnsi="Times New Roman" w:eastAsia="仿宋_GB2312" w:cs="Times New Roman"/>
          <w:snapToGrid w:val="0"/>
          <w:spacing w:val="-6"/>
          <w:kern w:val="0"/>
          <w:sz w:val="32"/>
          <w:szCs w:val="32"/>
          <w:lang w:val="en-US" w:eastAsia="zh-CN"/>
        </w:rPr>
        <w:t>案的要求，确定起草工作负责人，拟定工作方案，报送市司法行政部门；共同起草的，应当分别确定负责人，成立联合起草工作小组。</w:t>
      </w:r>
    </w:p>
    <w:p w14:paraId="21B83B68">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对专业性较强的立法项目，起草单位可以邀请相关领域的专家参与，或者委托有关专家、教学科研单位、社会组织开展起草工作。</w:t>
      </w:r>
    </w:p>
    <w:p w14:paraId="1B78F7C7">
      <w:pPr>
        <w:keepNext w:val="0"/>
        <w:keepLines w:val="0"/>
        <w:pageBreakBefore w:val="0"/>
        <w:widowControl w:val="0"/>
        <w:kinsoku/>
        <w:wordWrap/>
        <w:overflowPunct w:val="0"/>
        <w:topLinePunct w:val="0"/>
        <w:autoSpaceDE/>
        <w:autoSpaceDN/>
        <w:bidi w:val="0"/>
        <w:adjustRightInd w:val="0"/>
        <w:snapToGrid w:val="0"/>
        <w:spacing w:line="61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黑体" w:hAnsi="黑体" w:eastAsia="黑体" w:cs="黑体"/>
          <w:snapToGrid w:val="0"/>
          <w:color w:val="auto"/>
          <w:spacing w:val="0"/>
          <w:kern w:val="0"/>
          <w:sz w:val="32"/>
          <w:szCs w:val="32"/>
          <w:shd w:val="clear" w:color="auto" w:fill="FFFFFF"/>
          <w:lang w:val="en-US" w:eastAsia="zh-CN"/>
        </w:rPr>
        <w:t>第十四条</w:t>
      </w:r>
      <w:r>
        <w:rPr>
          <w:rFonts w:hint="eastAsia" w:ascii="仿宋_GB2312" w:hAnsi="Times New Roman" w:eastAsia="仿宋_GB2312" w:cs="Times New Roman"/>
          <w:snapToGrid w:val="0"/>
          <w:spacing w:val="0"/>
          <w:kern w:val="0"/>
          <w:sz w:val="32"/>
          <w:szCs w:val="32"/>
        </w:rPr>
        <w:t>　</w:t>
      </w:r>
      <w:r>
        <w:rPr>
          <w:rFonts w:hint="eastAsia" w:ascii="仿宋_GB2312" w:hAnsi="Times New Roman" w:eastAsia="仿宋_GB2312" w:cs="Times New Roman"/>
          <w:snapToGrid w:val="0"/>
          <w:spacing w:val="0"/>
          <w:kern w:val="0"/>
          <w:sz w:val="32"/>
          <w:szCs w:val="32"/>
          <w:lang w:val="en-US" w:eastAsia="zh-CN"/>
        </w:rPr>
        <w:t>起草单位应当按照下列要求深入调查研究，总结实践经验，广泛听取意见：</w:t>
      </w:r>
    </w:p>
    <w:p w14:paraId="2C65E09A">
      <w:pPr>
        <w:keepNext w:val="0"/>
        <w:keepLines w:val="0"/>
        <w:pageBreakBefore w:val="0"/>
        <w:widowControl w:val="0"/>
        <w:kinsoku/>
        <w:wordWrap/>
        <w:overflowPunct w:val="0"/>
        <w:topLinePunct w:val="0"/>
        <w:autoSpaceDE/>
        <w:autoSpaceDN/>
        <w:bidi w:val="0"/>
        <w:adjustRightInd w:val="0"/>
        <w:snapToGrid w:val="0"/>
        <w:spacing w:line="61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（一）除依法需要保密的以外，起草单位应当将立法项目征求意见稿及其起草说明等向社会公开征求意见，征求意见的期限一般不少于30日；</w:t>
      </w:r>
    </w:p>
    <w:p w14:paraId="10394B6C">
      <w:pPr>
        <w:keepNext w:val="0"/>
        <w:keepLines w:val="0"/>
        <w:pageBreakBefore w:val="0"/>
        <w:widowControl w:val="0"/>
        <w:kinsoku/>
        <w:wordWrap/>
        <w:overflowPunct w:val="0"/>
        <w:topLinePunct w:val="0"/>
        <w:autoSpaceDE/>
        <w:autoSpaceDN/>
        <w:bidi w:val="0"/>
        <w:adjustRightInd w:val="0"/>
        <w:snapToGrid w:val="0"/>
        <w:spacing w:line="61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（二）书面征求有关单位的意见；</w:t>
      </w:r>
    </w:p>
    <w:p w14:paraId="2EADCE11">
      <w:pPr>
        <w:keepNext w:val="0"/>
        <w:keepLines w:val="0"/>
        <w:pageBreakBefore w:val="0"/>
        <w:widowControl w:val="0"/>
        <w:kinsoku/>
        <w:wordWrap/>
        <w:overflowPunct w:val="0"/>
        <w:topLinePunct w:val="0"/>
        <w:autoSpaceDE/>
        <w:autoSpaceDN/>
        <w:bidi w:val="0"/>
        <w:adjustRightInd w:val="0"/>
        <w:snapToGrid w:val="0"/>
        <w:spacing w:line="61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（三）涉及重大疑难问题的，专业性技术性较强的，或者意见分歧较大的，应当召开专家论证会，听取有关专家意见；</w:t>
      </w:r>
    </w:p>
    <w:p w14:paraId="6E1C189A">
      <w:pPr>
        <w:keepNext w:val="0"/>
        <w:keepLines w:val="0"/>
        <w:pageBreakBefore w:val="0"/>
        <w:widowControl w:val="0"/>
        <w:kinsoku/>
        <w:wordWrap/>
        <w:overflowPunct w:val="0"/>
        <w:topLinePunct w:val="0"/>
        <w:autoSpaceDE/>
        <w:autoSpaceDN/>
        <w:bidi w:val="0"/>
        <w:adjustRightInd w:val="0"/>
        <w:snapToGrid w:val="0"/>
        <w:spacing w:line="61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（四）涉及重大利益调整、存在重大意见分歧，对公民、法人和其他组织的权利义务有较大影响，社会公众普遍关注，需要进行听证的，应当举行听证会听取意见；</w:t>
      </w:r>
    </w:p>
    <w:p w14:paraId="4DFFA030">
      <w:pPr>
        <w:keepNext w:val="0"/>
        <w:keepLines w:val="0"/>
        <w:pageBreakBefore w:val="0"/>
        <w:widowControl w:val="0"/>
        <w:kinsoku/>
        <w:wordWrap/>
        <w:overflowPunct w:val="0"/>
        <w:topLinePunct w:val="0"/>
        <w:autoSpaceDE/>
        <w:autoSpaceDN/>
        <w:bidi w:val="0"/>
        <w:adjustRightInd w:val="0"/>
        <w:snapToGrid w:val="0"/>
        <w:spacing w:line="61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（五）与经营主体的生产经营活动密切相关的，应当充分听取有关经营主体、人民团体、行业协会等的意见。</w:t>
      </w:r>
    </w:p>
    <w:p w14:paraId="7D6B1EBA">
      <w:pPr>
        <w:keepNext w:val="0"/>
        <w:keepLines w:val="0"/>
        <w:pageBreakBefore w:val="0"/>
        <w:widowControl w:val="0"/>
        <w:kinsoku/>
        <w:wordWrap/>
        <w:overflowPunct w:val="0"/>
        <w:topLinePunct w:val="0"/>
        <w:autoSpaceDE/>
        <w:autoSpaceDN/>
        <w:bidi w:val="0"/>
        <w:adjustRightInd w:val="0"/>
        <w:snapToGrid w:val="0"/>
        <w:spacing w:line="61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黑体" w:hAnsi="黑体" w:eastAsia="黑体" w:cs="黑体"/>
          <w:snapToGrid w:val="0"/>
          <w:color w:val="auto"/>
          <w:spacing w:val="0"/>
          <w:kern w:val="0"/>
          <w:sz w:val="32"/>
          <w:szCs w:val="32"/>
          <w:shd w:val="clear" w:color="auto" w:fill="FFFFFF"/>
          <w:lang w:val="en-US" w:eastAsia="zh-CN"/>
        </w:rPr>
        <w:t>第十五条</w:t>
      </w:r>
      <w:r>
        <w:rPr>
          <w:rFonts w:hint="eastAsia" w:ascii="仿宋_GB2312" w:hAnsi="Times New Roman" w:eastAsia="仿宋_GB2312" w:cs="Times New Roman"/>
          <w:snapToGrid w:val="0"/>
          <w:spacing w:val="0"/>
          <w:kern w:val="0"/>
          <w:sz w:val="32"/>
          <w:szCs w:val="32"/>
        </w:rPr>
        <w:t>　</w:t>
      </w:r>
      <w:r>
        <w:rPr>
          <w:rFonts w:hint="eastAsia" w:ascii="仿宋_GB2312" w:hAnsi="Times New Roman" w:eastAsia="仿宋_GB2312" w:cs="Times New Roman"/>
          <w:snapToGrid w:val="0"/>
          <w:spacing w:val="0"/>
          <w:kern w:val="0"/>
          <w:sz w:val="32"/>
          <w:szCs w:val="32"/>
          <w:lang w:val="en-US" w:eastAsia="zh-CN"/>
        </w:rPr>
        <w:t>立法项目涉及职责争议的，起草单位应当充分征求有关单位意见，协商一致；不能取得一致意见的，应当在报送立法项目送审稿时说明情况和理由。</w:t>
      </w:r>
    </w:p>
    <w:p w14:paraId="290BF148">
      <w:pPr>
        <w:keepNext w:val="0"/>
        <w:keepLines w:val="0"/>
        <w:pageBreakBefore w:val="0"/>
        <w:widowControl w:val="0"/>
        <w:kinsoku/>
        <w:wordWrap/>
        <w:overflowPunct w:val="0"/>
        <w:topLinePunct w:val="0"/>
        <w:autoSpaceDE/>
        <w:autoSpaceDN/>
        <w:bidi w:val="0"/>
        <w:adjustRightInd w:val="0"/>
        <w:snapToGrid w:val="0"/>
        <w:spacing w:line="61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黑体" w:hAnsi="黑体" w:eastAsia="黑体" w:cs="黑体"/>
          <w:snapToGrid w:val="0"/>
          <w:color w:val="auto"/>
          <w:spacing w:val="0"/>
          <w:kern w:val="0"/>
          <w:sz w:val="32"/>
          <w:szCs w:val="32"/>
          <w:shd w:val="clear" w:color="auto" w:fill="FFFFFF"/>
          <w:lang w:val="en-US" w:eastAsia="zh-CN"/>
        </w:rPr>
        <w:t>第十六条</w:t>
      </w:r>
      <w:r>
        <w:rPr>
          <w:rFonts w:hint="eastAsia" w:ascii="仿宋_GB2312" w:hAnsi="Times New Roman" w:eastAsia="仿宋_GB2312" w:cs="Times New Roman"/>
          <w:snapToGrid w:val="0"/>
          <w:spacing w:val="0"/>
          <w:kern w:val="0"/>
          <w:sz w:val="32"/>
          <w:szCs w:val="32"/>
        </w:rPr>
        <w:t>　</w:t>
      </w:r>
      <w:r>
        <w:rPr>
          <w:rFonts w:hint="eastAsia" w:ascii="仿宋_GB2312" w:hAnsi="Times New Roman" w:eastAsia="仿宋_GB2312" w:cs="Times New Roman"/>
          <w:snapToGrid w:val="0"/>
          <w:spacing w:val="0"/>
          <w:kern w:val="0"/>
          <w:sz w:val="32"/>
          <w:szCs w:val="32"/>
          <w:lang w:val="en-US" w:eastAsia="zh-CN"/>
        </w:rPr>
        <w:t>起草单位应当按照市人民政府年度立法工作计划要求，向市人民政府报送立法项目送审稿、起草说明和指引资料。</w:t>
      </w:r>
    </w:p>
    <w:p w14:paraId="61D4466A">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p>
    <w:p w14:paraId="5308FDE3">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立法项目送审稿和起草说明应当经起草单位集体讨论通过，由主要负责人签署；共同起草的，应当由各起草单位主要负责人共同签署。</w:t>
      </w:r>
    </w:p>
    <w:p w14:paraId="1734345A">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黑体" w:hAnsi="黑体" w:eastAsia="黑体" w:cs="黑体"/>
          <w:snapToGrid w:val="0"/>
          <w:color w:val="auto"/>
          <w:spacing w:val="0"/>
          <w:kern w:val="0"/>
          <w:sz w:val="32"/>
          <w:szCs w:val="32"/>
          <w:shd w:val="clear" w:color="auto" w:fill="FFFFFF"/>
          <w:lang w:val="en-US" w:eastAsia="zh-CN"/>
        </w:rPr>
        <w:t>第十七条</w:t>
      </w:r>
      <w:r>
        <w:rPr>
          <w:rFonts w:hint="eastAsia" w:ascii="仿宋_GB2312" w:hAnsi="Times New Roman" w:eastAsia="仿宋_GB2312" w:cs="Times New Roman"/>
          <w:snapToGrid w:val="0"/>
          <w:spacing w:val="0"/>
          <w:kern w:val="0"/>
          <w:sz w:val="32"/>
          <w:szCs w:val="32"/>
        </w:rPr>
        <w:t>　</w:t>
      </w:r>
      <w:r>
        <w:rPr>
          <w:rFonts w:hint="eastAsia" w:ascii="仿宋_GB2312" w:hAnsi="Times New Roman" w:eastAsia="仿宋_GB2312" w:cs="Times New Roman"/>
          <w:snapToGrid w:val="0"/>
          <w:spacing w:val="0"/>
          <w:kern w:val="0"/>
          <w:sz w:val="32"/>
          <w:szCs w:val="32"/>
          <w:lang w:val="en-US" w:eastAsia="zh-CN"/>
        </w:rPr>
        <w:t>立法</w:t>
      </w:r>
      <w:r>
        <w:rPr>
          <w:rFonts w:hint="eastAsia" w:ascii="仿宋_GB2312" w:hAnsi="Times New Roman" w:eastAsia="仿宋_GB2312" w:cs="Times New Roman"/>
          <w:snapToGrid w:val="0"/>
          <w:spacing w:val="0"/>
          <w:kern w:val="0"/>
          <w:sz w:val="32"/>
          <w:szCs w:val="32"/>
          <w:highlight w:val="none"/>
          <w:lang w:val="en-US" w:eastAsia="zh-CN"/>
        </w:rPr>
        <w:t>项目起草说明内容应当包括：</w:t>
      </w:r>
    </w:p>
    <w:p w14:paraId="353EE340">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（一）立法的主要依据和必要性；</w:t>
      </w:r>
    </w:p>
    <w:p w14:paraId="47A1F8D8">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（二）立法起草过程；</w:t>
      </w:r>
    </w:p>
    <w:p w14:paraId="2880319B">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（三）立法项目送审稿的主要内容、需要解决的问题、拟采取的措施；</w:t>
      </w:r>
    </w:p>
    <w:p w14:paraId="7C23AE8A">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highlight w:val="none"/>
          <w:lang w:val="en-US" w:eastAsia="zh-CN"/>
        </w:rPr>
      </w:pPr>
      <w:r>
        <w:rPr>
          <w:rFonts w:hint="eastAsia" w:ascii="仿宋_GB2312" w:hAnsi="Times New Roman" w:eastAsia="仿宋_GB2312" w:cs="Times New Roman"/>
          <w:snapToGrid w:val="0"/>
          <w:spacing w:val="0"/>
          <w:kern w:val="0"/>
          <w:sz w:val="32"/>
          <w:szCs w:val="32"/>
          <w:lang w:val="en-US" w:eastAsia="zh-CN"/>
        </w:rPr>
        <w:t>（四）公开征求意</w:t>
      </w:r>
      <w:r>
        <w:rPr>
          <w:rFonts w:hint="eastAsia" w:ascii="仿宋_GB2312" w:hAnsi="Times New Roman" w:eastAsia="仿宋_GB2312" w:cs="Times New Roman"/>
          <w:snapToGrid w:val="0"/>
          <w:spacing w:val="0"/>
          <w:kern w:val="0"/>
          <w:sz w:val="32"/>
          <w:szCs w:val="32"/>
          <w:highlight w:val="none"/>
          <w:lang w:val="en-US" w:eastAsia="zh-CN"/>
        </w:rPr>
        <w:t>见以及部门协调的有关情况；</w:t>
      </w:r>
    </w:p>
    <w:p w14:paraId="43254E21">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highlight w:val="none"/>
          <w:lang w:val="en-US" w:eastAsia="zh-CN"/>
        </w:rPr>
      </w:pPr>
      <w:r>
        <w:rPr>
          <w:rFonts w:hint="eastAsia" w:ascii="仿宋_GB2312" w:hAnsi="Times New Roman" w:eastAsia="仿宋_GB2312" w:cs="Times New Roman"/>
          <w:snapToGrid w:val="0"/>
          <w:spacing w:val="0"/>
          <w:kern w:val="0"/>
          <w:sz w:val="32"/>
          <w:szCs w:val="32"/>
          <w:highlight w:val="none"/>
          <w:lang w:val="en-US" w:eastAsia="zh-CN"/>
        </w:rPr>
        <w:t>（五）其他需要说明的情况。</w:t>
      </w:r>
    </w:p>
    <w:p w14:paraId="51889E24">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黑体" w:hAnsi="黑体" w:eastAsia="黑体" w:cs="黑体"/>
          <w:snapToGrid w:val="0"/>
          <w:color w:val="auto"/>
          <w:spacing w:val="0"/>
          <w:kern w:val="0"/>
          <w:sz w:val="32"/>
          <w:szCs w:val="32"/>
          <w:shd w:val="clear" w:color="auto" w:fill="FFFFFF"/>
          <w:lang w:val="en-US" w:eastAsia="zh-CN"/>
        </w:rPr>
        <w:t>第十八条</w:t>
      </w:r>
      <w:r>
        <w:rPr>
          <w:rFonts w:hint="eastAsia" w:ascii="仿宋_GB2312" w:hAnsi="Times New Roman" w:eastAsia="仿宋_GB2312" w:cs="Times New Roman"/>
          <w:snapToGrid w:val="0"/>
          <w:spacing w:val="0"/>
          <w:kern w:val="0"/>
          <w:sz w:val="32"/>
          <w:szCs w:val="32"/>
        </w:rPr>
        <w:t>　</w:t>
      </w:r>
      <w:r>
        <w:rPr>
          <w:rFonts w:hint="eastAsia" w:ascii="仿宋_GB2312" w:hAnsi="Times New Roman" w:eastAsia="仿宋_GB2312" w:cs="Times New Roman"/>
          <w:snapToGrid w:val="0"/>
          <w:spacing w:val="0"/>
          <w:kern w:val="0"/>
          <w:sz w:val="32"/>
          <w:szCs w:val="32"/>
          <w:lang w:val="en-US" w:eastAsia="zh-CN"/>
        </w:rPr>
        <w:t>立法项目指引</w:t>
      </w:r>
      <w:r>
        <w:rPr>
          <w:rFonts w:hint="eastAsia" w:ascii="仿宋_GB2312" w:hAnsi="Times New Roman" w:eastAsia="仿宋_GB2312" w:cs="Times New Roman"/>
          <w:snapToGrid w:val="0"/>
          <w:spacing w:val="0"/>
          <w:kern w:val="0"/>
          <w:sz w:val="32"/>
          <w:szCs w:val="32"/>
          <w:highlight w:val="none"/>
          <w:lang w:val="en-US" w:eastAsia="zh-CN"/>
        </w:rPr>
        <w:t>资料应当包括</w:t>
      </w:r>
      <w:r>
        <w:rPr>
          <w:rFonts w:hint="eastAsia" w:ascii="仿宋_GB2312" w:hAnsi="Times New Roman" w:eastAsia="仿宋_GB2312" w:cs="Times New Roman"/>
          <w:snapToGrid w:val="0"/>
          <w:spacing w:val="0"/>
          <w:kern w:val="0"/>
          <w:sz w:val="32"/>
          <w:szCs w:val="32"/>
          <w:lang w:val="en-US" w:eastAsia="zh-CN"/>
        </w:rPr>
        <w:t>：</w:t>
      </w:r>
    </w:p>
    <w:p w14:paraId="32168F6E">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（一）条文的上位法依据，国家、省有关规定；</w:t>
      </w:r>
    </w:p>
    <w:p w14:paraId="34032958">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snapToGrid w:val="0"/>
          <w:spacing w:val="0"/>
          <w:kern w:val="0"/>
          <w:lang w:val="en-US" w:eastAsia="zh-CN"/>
        </w:rPr>
      </w:pPr>
      <w:r>
        <w:rPr>
          <w:rFonts w:hint="eastAsia" w:ascii="仿宋_GB2312" w:hAnsi="Times New Roman" w:eastAsia="仿宋_GB2312" w:cs="Times New Roman"/>
          <w:snapToGrid w:val="0"/>
          <w:spacing w:val="0"/>
          <w:kern w:val="0"/>
          <w:sz w:val="32"/>
          <w:szCs w:val="32"/>
          <w:lang w:val="en-US" w:eastAsia="zh-CN"/>
        </w:rPr>
        <w:t>（二）国内外相关立法经验；</w:t>
      </w:r>
    </w:p>
    <w:p w14:paraId="709CE160">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（三）立法依据对照表、意见征集以及处理情况；</w:t>
      </w:r>
    </w:p>
    <w:p w14:paraId="631F9953">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（四）涉及社会稳定的，同时报送社会稳定风险评估有关材料；</w:t>
      </w:r>
    </w:p>
    <w:p w14:paraId="2A9F7C1E">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（五）涉及经营者经济活动的，同时报送公平竞争审查相关材料；</w:t>
      </w:r>
    </w:p>
    <w:p w14:paraId="3A484F3E">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（六）其他需要提供的资料。</w:t>
      </w:r>
    </w:p>
    <w:p w14:paraId="78990D3F">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snapToGrid w:val="0"/>
          <w:color w:val="auto"/>
          <w:spacing w:val="0"/>
          <w:kern w:val="0"/>
          <w:sz w:val="32"/>
          <w:szCs w:val="32"/>
          <w:shd w:val="clear" w:color="auto" w:fill="FFFFFF"/>
          <w:lang w:val="en-US" w:eastAsia="zh-CN"/>
        </w:rPr>
      </w:pPr>
    </w:p>
    <w:p w14:paraId="0CB7C413">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snapToGrid w:val="0"/>
          <w:color w:val="auto"/>
          <w:spacing w:val="0"/>
          <w:kern w:val="0"/>
          <w:sz w:val="32"/>
          <w:szCs w:val="32"/>
          <w:shd w:val="clear" w:color="auto" w:fill="FFFFFF"/>
          <w:lang w:val="en-US" w:eastAsia="zh-CN"/>
        </w:rPr>
      </w:pPr>
    </w:p>
    <w:p w14:paraId="3F1EBB65">
      <w:pPr>
        <w:keepNext w:val="0"/>
        <w:keepLines w:val="0"/>
        <w:pageBreakBefore w:val="0"/>
        <w:widowControl w:val="0"/>
        <w:kinsoku/>
        <w:wordWrap/>
        <w:overflowPunct w:val="0"/>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val="0"/>
          <w:color w:val="auto"/>
          <w:spacing w:val="0"/>
          <w:kern w:val="0"/>
          <w:sz w:val="32"/>
          <w:szCs w:val="32"/>
          <w:shd w:val="clear" w:color="auto" w:fill="FFFFFF"/>
          <w:lang w:val="en-US" w:eastAsia="zh-CN"/>
        </w:rPr>
      </w:pPr>
      <w:r>
        <w:rPr>
          <w:rFonts w:hint="eastAsia" w:ascii="黑体" w:hAnsi="黑体" w:eastAsia="黑体" w:cs="黑体"/>
          <w:snapToGrid w:val="0"/>
          <w:color w:val="auto"/>
          <w:spacing w:val="0"/>
          <w:kern w:val="0"/>
          <w:sz w:val="32"/>
          <w:szCs w:val="32"/>
          <w:shd w:val="clear" w:color="auto" w:fill="FFFFFF"/>
          <w:lang w:val="en-US" w:eastAsia="zh-CN"/>
        </w:rPr>
        <w:t>第四章  审  查</w:t>
      </w:r>
    </w:p>
    <w:p w14:paraId="1B0438F5">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snapToGrid w:val="0"/>
          <w:color w:val="auto"/>
          <w:spacing w:val="0"/>
          <w:kern w:val="0"/>
          <w:sz w:val="32"/>
          <w:szCs w:val="32"/>
          <w:shd w:val="clear" w:color="auto" w:fill="FFFFFF"/>
          <w:lang w:val="en-US" w:eastAsia="zh-CN"/>
        </w:rPr>
      </w:pPr>
    </w:p>
    <w:p w14:paraId="2EA8FD2B">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黑体" w:hAnsi="黑体" w:eastAsia="黑体" w:cs="黑体"/>
          <w:snapToGrid w:val="0"/>
          <w:color w:val="auto"/>
          <w:spacing w:val="0"/>
          <w:kern w:val="0"/>
          <w:sz w:val="32"/>
          <w:szCs w:val="32"/>
          <w:shd w:val="clear" w:color="auto" w:fill="FFFFFF"/>
          <w:lang w:val="en-US" w:eastAsia="zh-CN"/>
        </w:rPr>
        <w:t>第十九条</w:t>
      </w:r>
      <w:r>
        <w:rPr>
          <w:rFonts w:hint="eastAsia" w:ascii="仿宋_GB2312" w:hAnsi="Times New Roman" w:eastAsia="仿宋_GB2312" w:cs="Times New Roman"/>
          <w:snapToGrid w:val="0"/>
          <w:spacing w:val="0"/>
          <w:kern w:val="0"/>
          <w:sz w:val="32"/>
          <w:szCs w:val="32"/>
        </w:rPr>
        <w:t>　</w:t>
      </w:r>
      <w:r>
        <w:rPr>
          <w:rFonts w:hint="eastAsia" w:ascii="仿宋_GB2312" w:hAnsi="Times New Roman" w:eastAsia="仿宋_GB2312" w:cs="Times New Roman"/>
          <w:snapToGrid w:val="0"/>
          <w:spacing w:val="0"/>
          <w:kern w:val="0"/>
          <w:sz w:val="32"/>
          <w:szCs w:val="32"/>
          <w:lang w:val="en-US" w:eastAsia="zh-CN"/>
        </w:rPr>
        <w:t>市司法行政部门负责对立法项目送审稿的下列内容进行审查：</w:t>
      </w:r>
    </w:p>
    <w:p w14:paraId="3C93A5D2">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（一）是否符合立法权限和程序；</w:t>
      </w:r>
    </w:p>
    <w:p w14:paraId="3197B285">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（二）是否符合法律、法规和国家、省有关规定；</w:t>
      </w:r>
    </w:p>
    <w:p w14:paraId="699EEBA2">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（三）拟确定的制度和措施是否具有必要性和可行性；</w:t>
      </w:r>
    </w:p>
    <w:p w14:paraId="3B7980F9">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（四）是否按照规定征求意见，并对有关意见进行采纳或者协调；</w:t>
      </w:r>
    </w:p>
    <w:p w14:paraId="0DB96F8D">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（五）是否符合立法技术要求；</w:t>
      </w:r>
    </w:p>
    <w:p w14:paraId="250C7562">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（六）其他需要审查的事项。</w:t>
      </w:r>
    </w:p>
    <w:p w14:paraId="62204816">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黑体" w:hAnsi="黑体" w:eastAsia="黑体" w:cs="黑体"/>
          <w:snapToGrid w:val="0"/>
          <w:color w:val="auto"/>
          <w:spacing w:val="0"/>
          <w:kern w:val="0"/>
          <w:sz w:val="32"/>
          <w:szCs w:val="32"/>
          <w:shd w:val="clear" w:color="auto" w:fill="FFFFFF"/>
          <w:lang w:val="en-US" w:eastAsia="zh-CN"/>
        </w:rPr>
        <w:t>第二十条</w:t>
      </w:r>
      <w:r>
        <w:rPr>
          <w:rFonts w:hint="eastAsia" w:ascii="仿宋_GB2312" w:hAnsi="Times New Roman" w:eastAsia="仿宋_GB2312" w:cs="Times New Roman"/>
          <w:snapToGrid w:val="0"/>
          <w:spacing w:val="0"/>
          <w:kern w:val="0"/>
          <w:sz w:val="32"/>
          <w:szCs w:val="32"/>
        </w:rPr>
        <w:t>　</w:t>
      </w:r>
      <w:r>
        <w:rPr>
          <w:rFonts w:hint="eastAsia" w:ascii="仿宋_GB2312" w:hAnsi="Times New Roman" w:eastAsia="仿宋_GB2312" w:cs="Times New Roman"/>
          <w:snapToGrid w:val="0"/>
          <w:spacing w:val="0"/>
          <w:kern w:val="0"/>
          <w:sz w:val="32"/>
          <w:szCs w:val="32"/>
          <w:lang w:val="en-US" w:eastAsia="zh-CN"/>
        </w:rPr>
        <w:t>起草单位报送材料不符合本办法第十六条、第十七条和第十八条规定的，市司法行政部门可以要求其在5个工作日内予以补正。逾期不补正的，市司法行政部门可以退回，并要求起草单位提出合理解决方案。</w:t>
      </w:r>
    </w:p>
    <w:p w14:paraId="0A5B09F0">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黑体" w:hAnsi="黑体" w:eastAsia="黑体" w:cs="黑体"/>
          <w:snapToGrid w:val="0"/>
          <w:color w:val="auto"/>
          <w:spacing w:val="0"/>
          <w:kern w:val="0"/>
          <w:sz w:val="32"/>
          <w:szCs w:val="32"/>
          <w:shd w:val="clear" w:color="auto" w:fill="FFFFFF"/>
          <w:lang w:val="en-US" w:eastAsia="zh-CN"/>
        </w:rPr>
        <w:t>第二十一条</w:t>
      </w:r>
      <w:r>
        <w:rPr>
          <w:rFonts w:hint="eastAsia" w:ascii="仿宋_GB2312" w:hAnsi="Times New Roman" w:eastAsia="仿宋_GB2312" w:cs="Times New Roman"/>
          <w:snapToGrid w:val="0"/>
          <w:spacing w:val="0"/>
          <w:kern w:val="0"/>
          <w:sz w:val="32"/>
          <w:szCs w:val="32"/>
        </w:rPr>
        <w:t>　</w:t>
      </w:r>
      <w:r>
        <w:rPr>
          <w:rFonts w:hint="eastAsia" w:ascii="仿宋_GB2312" w:hAnsi="Times New Roman" w:eastAsia="仿宋_GB2312" w:cs="Times New Roman"/>
          <w:snapToGrid w:val="0"/>
          <w:spacing w:val="0"/>
          <w:kern w:val="0"/>
          <w:sz w:val="32"/>
          <w:szCs w:val="32"/>
          <w:lang w:val="en-US" w:eastAsia="zh-CN"/>
        </w:rPr>
        <w:t>对起草单位无法在规定时间内提出合理解决方案的，市司法行政部门应当书面报告市人民政府同意后终止审查。其中，决定终止审查地方性法规案送审稿的，应当按照地方性法规立法工作程序执行。</w:t>
      </w:r>
    </w:p>
    <w:p w14:paraId="6F0AF181">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黑体" w:hAnsi="黑体" w:eastAsia="黑体" w:cs="黑体"/>
          <w:b w:val="0"/>
          <w:bCs w:val="0"/>
          <w:snapToGrid w:val="0"/>
          <w:color w:val="auto"/>
          <w:spacing w:val="0"/>
          <w:kern w:val="0"/>
          <w:sz w:val="32"/>
          <w:szCs w:val="32"/>
          <w:shd w:val="clear" w:color="auto" w:fill="FFFFFF"/>
          <w:lang w:val="en-US" w:eastAsia="zh-CN"/>
        </w:rPr>
        <w:t>第二十二条</w:t>
      </w:r>
      <w:r>
        <w:rPr>
          <w:rFonts w:hint="eastAsia" w:ascii="仿宋_GB2312" w:hAnsi="Times New Roman" w:eastAsia="仿宋_GB2312" w:cs="Times New Roman"/>
          <w:snapToGrid w:val="0"/>
          <w:spacing w:val="0"/>
          <w:kern w:val="0"/>
          <w:sz w:val="32"/>
          <w:szCs w:val="32"/>
        </w:rPr>
        <w:t>　</w:t>
      </w:r>
      <w:r>
        <w:rPr>
          <w:rFonts w:hint="eastAsia" w:ascii="仿宋_GB2312" w:hAnsi="Times New Roman" w:eastAsia="仿宋_GB2312" w:cs="Times New Roman"/>
          <w:snapToGrid w:val="0"/>
          <w:spacing w:val="0"/>
          <w:kern w:val="0"/>
          <w:sz w:val="32"/>
          <w:szCs w:val="32"/>
          <w:lang w:val="en-US" w:eastAsia="zh-CN"/>
        </w:rPr>
        <w:t>市司法行政部门审查立法项目送审稿，应当书面征求市人民政府有关部门（单位）、县（市、区）人民政府的意见，并通过政府门户网站、政务新媒体或者报刊、广播、电视</w:t>
      </w:r>
      <w:r>
        <w:rPr>
          <w:rFonts w:hint="eastAsia" w:ascii="仿宋_GB2312" w:hAnsi="Times New Roman" w:eastAsia="仿宋_GB2312" w:cs="Times New Roman"/>
          <w:snapToGrid w:val="0"/>
          <w:spacing w:val="2"/>
          <w:kern w:val="0"/>
          <w:sz w:val="32"/>
          <w:szCs w:val="32"/>
          <w:lang w:val="en-US" w:eastAsia="zh-CN"/>
        </w:rPr>
        <w:t>等便于社会公众知晓的途径公开征求社会</w:t>
      </w:r>
      <w:r>
        <w:rPr>
          <w:rFonts w:hint="eastAsia" w:ascii="仿宋_GB2312" w:hAnsi="Times New Roman" w:eastAsia="仿宋_GB2312" w:cs="Times New Roman"/>
          <w:snapToGrid w:val="0"/>
          <w:spacing w:val="2"/>
          <w:kern w:val="0"/>
          <w:sz w:val="32"/>
          <w:szCs w:val="32"/>
          <w:highlight w:val="none"/>
          <w:lang w:val="en-US" w:eastAsia="zh-CN"/>
        </w:rPr>
        <w:t>公众意见。</w:t>
      </w:r>
      <w:r>
        <w:rPr>
          <w:rFonts w:hint="eastAsia" w:ascii="仿宋_GB2312" w:hAnsi="Times New Roman" w:eastAsia="仿宋_GB2312" w:cs="Times New Roman"/>
          <w:snapToGrid w:val="0"/>
          <w:spacing w:val="2"/>
          <w:kern w:val="0"/>
          <w:sz w:val="32"/>
          <w:szCs w:val="32"/>
          <w:lang w:val="en-US" w:eastAsia="zh-CN"/>
        </w:rPr>
        <w:t>结合立法项目实际情况，有针对性地听取政府立法专家和政府立法联系点意见。</w:t>
      </w:r>
    </w:p>
    <w:p w14:paraId="2D273C9E">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市司法行政部门应当就立法项目送审稿涉及的主要问题，深入调查研究，可以通过召开座谈会、论证会、听证会等形式广泛听取公民、法人和其他组织意见。</w:t>
      </w:r>
    </w:p>
    <w:p w14:paraId="2C255AF9">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黑体" w:hAnsi="黑体" w:eastAsia="黑体" w:cs="黑体"/>
          <w:snapToGrid w:val="0"/>
          <w:color w:val="auto"/>
          <w:spacing w:val="0"/>
          <w:kern w:val="0"/>
          <w:sz w:val="32"/>
          <w:szCs w:val="32"/>
          <w:shd w:val="clear" w:color="auto" w:fill="FFFFFF"/>
          <w:lang w:val="en-US" w:eastAsia="zh-CN"/>
        </w:rPr>
        <w:t>第二十三条</w:t>
      </w:r>
      <w:r>
        <w:rPr>
          <w:rFonts w:hint="eastAsia" w:ascii="仿宋_GB2312" w:hAnsi="Times New Roman" w:eastAsia="仿宋_GB2312" w:cs="Times New Roman"/>
          <w:snapToGrid w:val="0"/>
          <w:spacing w:val="0"/>
          <w:kern w:val="0"/>
          <w:sz w:val="32"/>
          <w:szCs w:val="32"/>
        </w:rPr>
        <w:t>　</w:t>
      </w:r>
      <w:r>
        <w:rPr>
          <w:rFonts w:hint="eastAsia" w:ascii="仿宋_GB2312" w:hAnsi="Times New Roman" w:eastAsia="仿宋_GB2312" w:cs="Times New Roman"/>
          <w:snapToGrid w:val="0"/>
          <w:spacing w:val="0"/>
          <w:kern w:val="0"/>
          <w:sz w:val="32"/>
          <w:szCs w:val="32"/>
          <w:lang w:val="en-US" w:eastAsia="zh-CN"/>
        </w:rPr>
        <w:t>市司法行政部门应当全面收集、整理各方提出的立法意见，组织分析研究，采纳合理意见，并以适当方式予以反馈。</w:t>
      </w:r>
    </w:p>
    <w:p w14:paraId="53409F88">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黑体" w:hAnsi="黑体" w:eastAsia="黑体" w:cs="黑体"/>
          <w:snapToGrid w:val="0"/>
          <w:color w:val="auto"/>
          <w:spacing w:val="0"/>
          <w:kern w:val="0"/>
          <w:sz w:val="32"/>
          <w:szCs w:val="32"/>
          <w:shd w:val="clear" w:color="auto" w:fill="FFFFFF"/>
          <w:lang w:val="en-US" w:eastAsia="zh-CN"/>
        </w:rPr>
        <w:t>第二十四条</w:t>
      </w:r>
      <w:r>
        <w:rPr>
          <w:rFonts w:hint="eastAsia" w:ascii="仿宋_GB2312" w:hAnsi="Times New Roman" w:eastAsia="仿宋_GB2312" w:cs="Times New Roman"/>
          <w:snapToGrid w:val="0"/>
          <w:spacing w:val="0"/>
          <w:kern w:val="0"/>
          <w:sz w:val="32"/>
          <w:szCs w:val="32"/>
        </w:rPr>
        <w:t>　</w:t>
      </w:r>
      <w:r>
        <w:rPr>
          <w:rFonts w:hint="eastAsia" w:ascii="仿宋_GB2312" w:hAnsi="Times New Roman" w:eastAsia="仿宋_GB2312" w:cs="Times New Roman"/>
          <w:snapToGrid w:val="0"/>
          <w:spacing w:val="0"/>
          <w:kern w:val="0"/>
          <w:sz w:val="32"/>
          <w:szCs w:val="32"/>
          <w:lang w:val="en-US" w:eastAsia="zh-CN"/>
        </w:rPr>
        <w:t>有关单位对立法项目拟确定的主要制度和措施有重大分歧意见，经市司法行政部门协调仍不能达成一致的，报请市人民政府决定。</w:t>
      </w:r>
    </w:p>
    <w:p w14:paraId="0DB8986D">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黑体" w:hAnsi="黑体" w:eastAsia="黑体" w:cs="黑体"/>
          <w:snapToGrid w:val="0"/>
          <w:color w:val="auto"/>
          <w:spacing w:val="0"/>
          <w:kern w:val="0"/>
          <w:sz w:val="32"/>
          <w:szCs w:val="32"/>
          <w:shd w:val="clear" w:color="auto" w:fill="FFFFFF"/>
          <w:lang w:val="en-US" w:eastAsia="zh-CN"/>
        </w:rPr>
        <w:t>第二十五条</w:t>
      </w:r>
      <w:r>
        <w:rPr>
          <w:rFonts w:hint="eastAsia" w:ascii="仿宋_GB2312" w:hAnsi="Times New Roman" w:eastAsia="仿宋_GB2312" w:cs="Times New Roman"/>
          <w:snapToGrid w:val="0"/>
          <w:spacing w:val="0"/>
          <w:kern w:val="0"/>
          <w:sz w:val="32"/>
          <w:szCs w:val="32"/>
        </w:rPr>
        <w:t>　</w:t>
      </w:r>
      <w:r>
        <w:rPr>
          <w:rFonts w:hint="eastAsia" w:ascii="仿宋_GB2312" w:hAnsi="Times New Roman" w:eastAsia="仿宋_GB2312" w:cs="Times New Roman"/>
          <w:snapToGrid w:val="0"/>
          <w:spacing w:val="0"/>
          <w:kern w:val="0"/>
          <w:sz w:val="32"/>
          <w:szCs w:val="32"/>
          <w:lang w:val="en-US" w:eastAsia="zh-CN"/>
        </w:rPr>
        <w:t>立法项目送审稿经审查、修改后，形成立法项目草案，随附审查报告、征求意见处理情况等材料，报请市人民政府审议。</w:t>
      </w:r>
    </w:p>
    <w:p w14:paraId="7BEF9903">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snapToGrid w:val="0"/>
          <w:color w:val="auto"/>
          <w:spacing w:val="0"/>
          <w:kern w:val="0"/>
          <w:sz w:val="32"/>
          <w:szCs w:val="32"/>
          <w:shd w:val="clear" w:color="auto" w:fill="FFFFFF"/>
          <w:lang w:val="en-US" w:eastAsia="zh-CN"/>
        </w:rPr>
      </w:pPr>
    </w:p>
    <w:p w14:paraId="05B86649">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snapToGrid w:val="0"/>
          <w:color w:val="auto"/>
          <w:spacing w:val="0"/>
          <w:kern w:val="0"/>
          <w:sz w:val="32"/>
          <w:szCs w:val="32"/>
          <w:shd w:val="clear" w:color="auto" w:fill="FFFFFF"/>
          <w:lang w:val="en-US" w:eastAsia="zh-CN"/>
        </w:rPr>
      </w:pPr>
    </w:p>
    <w:p w14:paraId="51406DCF">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snapToGrid w:val="0"/>
          <w:color w:val="auto"/>
          <w:spacing w:val="0"/>
          <w:kern w:val="0"/>
          <w:sz w:val="32"/>
          <w:szCs w:val="32"/>
          <w:shd w:val="clear" w:color="auto" w:fill="FFFFFF"/>
          <w:lang w:val="en-US" w:eastAsia="zh-CN"/>
        </w:rPr>
      </w:pPr>
    </w:p>
    <w:p w14:paraId="0F1DE3EA">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黑体" w:hAnsi="黑体" w:eastAsia="黑体" w:cs="黑体"/>
          <w:snapToGrid w:val="0"/>
          <w:color w:val="auto"/>
          <w:spacing w:val="0"/>
          <w:kern w:val="0"/>
          <w:sz w:val="32"/>
          <w:szCs w:val="32"/>
          <w:shd w:val="clear" w:color="auto" w:fill="FFFFFF"/>
          <w:lang w:val="en-US" w:eastAsia="zh-CN"/>
        </w:rPr>
      </w:pPr>
      <w:r>
        <w:rPr>
          <w:rFonts w:hint="eastAsia" w:ascii="黑体" w:hAnsi="黑体" w:eastAsia="黑体" w:cs="黑体"/>
          <w:snapToGrid w:val="0"/>
          <w:color w:val="auto"/>
          <w:spacing w:val="0"/>
          <w:kern w:val="0"/>
          <w:sz w:val="32"/>
          <w:szCs w:val="32"/>
          <w:shd w:val="clear" w:color="auto" w:fill="FFFFFF"/>
          <w:lang w:val="en-US" w:eastAsia="zh-CN"/>
        </w:rPr>
        <w:t>第五章  审  议</w:t>
      </w:r>
    </w:p>
    <w:p w14:paraId="2A65E5FB">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snapToGrid w:val="0"/>
          <w:color w:val="auto"/>
          <w:spacing w:val="0"/>
          <w:kern w:val="0"/>
          <w:sz w:val="32"/>
          <w:szCs w:val="32"/>
          <w:shd w:val="clear" w:color="auto" w:fill="FFFFFF"/>
          <w:lang w:val="en-US" w:eastAsia="zh-CN"/>
        </w:rPr>
      </w:pPr>
    </w:p>
    <w:p w14:paraId="39AEE6E3">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黑体" w:hAnsi="黑体" w:eastAsia="黑体" w:cs="黑体"/>
          <w:snapToGrid w:val="0"/>
          <w:color w:val="auto"/>
          <w:spacing w:val="0"/>
          <w:kern w:val="0"/>
          <w:sz w:val="32"/>
          <w:szCs w:val="32"/>
          <w:shd w:val="clear" w:color="auto" w:fill="FFFFFF"/>
          <w:lang w:val="en-US" w:eastAsia="zh-CN"/>
        </w:rPr>
        <w:t>第二十六条</w:t>
      </w:r>
      <w:r>
        <w:rPr>
          <w:rFonts w:hint="eastAsia" w:ascii="仿宋_GB2312" w:hAnsi="Times New Roman" w:eastAsia="仿宋_GB2312" w:cs="Times New Roman"/>
          <w:snapToGrid w:val="0"/>
          <w:spacing w:val="0"/>
          <w:kern w:val="0"/>
          <w:sz w:val="32"/>
          <w:szCs w:val="32"/>
        </w:rPr>
        <w:t>　</w:t>
      </w:r>
      <w:r>
        <w:rPr>
          <w:rFonts w:hint="eastAsia" w:ascii="仿宋_GB2312" w:hAnsi="Times New Roman" w:eastAsia="仿宋_GB2312" w:cs="Times New Roman"/>
          <w:snapToGrid w:val="0"/>
          <w:spacing w:val="0"/>
          <w:kern w:val="0"/>
          <w:sz w:val="32"/>
          <w:szCs w:val="32"/>
          <w:lang w:val="en-US" w:eastAsia="zh-CN"/>
        </w:rPr>
        <w:t>立法项目草案应当提交市人民政府常务会议或者全体会议审议。</w:t>
      </w:r>
    </w:p>
    <w:p w14:paraId="5351FFB8">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市人民政府常务会议或者全体会议审议立法项目草案时，由起草单位或者市司法行政部门主要负责人作说明，与草案拟确定的主要制度和措施有关的单位主要负责人列席会议。</w:t>
      </w:r>
    </w:p>
    <w:p w14:paraId="30E0AB1A">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黑体" w:hAnsi="黑体" w:eastAsia="黑体" w:cs="黑体"/>
          <w:snapToGrid w:val="0"/>
          <w:color w:val="auto"/>
          <w:spacing w:val="0"/>
          <w:kern w:val="0"/>
          <w:sz w:val="32"/>
          <w:szCs w:val="32"/>
          <w:shd w:val="clear" w:color="auto" w:fill="FFFFFF"/>
          <w:lang w:val="en-US" w:eastAsia="zh-CN"/>
        </w:rPr>
        <w:t>第二十七条</w:t>
      </w:r>
      <w:r>
        <w:rPr>
          <w:rFonts w:hint="eastAsia" w:ascii="仿宋_GB2312" w:hAnsi="Times New Roman" w:eastAsia="仿宋_GB2312" w:cs="Times New Roman"/>
          <w:snapToGrid w:val="0"/>
          <w:spacing w:val="0"/>
          <w:kern w:val="0"/>
          <w:sz w:val="32"/>
          <w:szCs w:val="32"/>
        </w:rPr>
        <w:t>　</w:t>
      </w:r>
      <w:r>
        <w:rPr>
          <w:rFonts w:hint="eastAsia" w:ascii="仿宋_GB2312" w:hAnsi="Times New Roman" w:eastAsia="仿宋_GB2312" w:cs="Times New Roman"/>
          <w:snapToGrid w:val="0"/>
          <w:spacing w:val="0"/>
          <w:kern w:val="0"/>
          <w:sz w:val="32"/>
          <w:szCs w:val="32"/>
          <w:lang w:val="en-US" w:eastAsia="zh-CN"/>
        </w:rPr>
        <w:t>地方性法规草案经审议通过后，由市人民政府向市人民代表大会或其常务委员会提出地方性法规案。</w:t>
      </w:r>
    </w:p>
    <w:p w14:paraId="46116772">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规章草案经审议通过后，由市长签署命令予以公布。</w:t>
      </w:r>
    </w:p>
    <w:p w14:paraId="6FE39D02">
      <w:pPr>
        <w:keepNext w:val="0"/>
        <w:keepLines w:val="0"/>
        <w:pageBreakBefore w:val="0"/>
        <w:widowControl w:val="0"/>
        <w:kinsoku/>
        <w:wordWrap/>
        <w:overflowPunct w:val="0"/>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val="0"/>
          <w:color w:val="auto"/>
          <w:spacing w:val="0"/>
          <w:kern w:val="0"/>
          <w:sz w:val="32"/>
          <w:szCs w:val="32"/>
          <w:shd w:val="clear" w:color="auto" w:fill="FFFFFF"/>
          <w:lang w:val="en-US" w:eastAsia="zh-CN"/>
        </w:rPr>
      </w:pPr>
    </w:p>
    <w:p w14:paraId="6595892E">
      <w:pPr>
        <w:keepNext w:val="0"/>
        <w:keepLines w:val="0"/>
        <w:pageBreakBefore w:val="0"/>
        <w:widowControl w:val="0"/>
        <w:kinsoku/>
        <w:wordWrap/>
        <w:overflowPunct w:val="0"/>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val="0"/>
          <w:color w:val="auto"/>
          <w:spacing w:val="0"/>
          <w:kern w:val="0"/>
          <w:sz w:val="32"/>
          <w:szCs w:val="32"/>
          <w:shd w:val="clear" w:color="auto" w:fill="FFFFFF"/>
          <w:lang w:val="en-US" w:eastAsia="zh-CN"/>
        </w:rPr>
      </w:pPr>
      <w:r>
        <w:rPr>
          <w:rFonts w:hint="eastAsia" w:ascii="黑体" w:hAnsi="黑体" w:eastAsia="黑体" w:cs="黑体"/>
          <w:snapToGrid w:val="0"/>
          <w:color w:val="auto"/>
          <w:spacing w:val="0"/>
          <w:kern w:val="0"/>
          <w:sz w:val="32"/>
          <w:szCs w:val="32"/>
          <w:shd w:val="clear" w:color="auto" w:fill="FFFFFF"/>
          <w:lang w:val="en-US" w:eastAsia="zh-CN"/>
        </w:rPr>
        <w:t>第六章  公布、备案、解释和其他规定</w:t>
      </w:r>
    </w:p>
    <w:p w14:paraId="27EB15D3">
      <w:pPr>
        <w:keepNext w:val="0"/>
        <w:keepLines w:val="0"/>
        <w:pageBreakBefore w:val="0"/>
        <w:widowControl w:val="0"/>
        <w:kinsoku/>
        <w:wordWrap/>
        <w:overflowPunct w:val="0"/>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snapToGrid w:val="0"/>
          <w:color w:val="auto"/>
          <w:spacing w:val="0"/>
          <w:kern w:val="0"/>
          <w:sz w:val="32"/>
          <w:szCs w:val="32"/>
          <w:shd w:val="clear" w:color="auto" w:fill="FFFFFF"/>
          <w:lang w:val="en-US" w:eastAsia="zh-CN"/>
        </w:rPr>
      </w:pPr>
    </w:p>
    <w:p w14:paraId="49A9CAB7">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黑体" w:hAnsi="黑体" w:eastAsia="黑体" w:cs="黑体"/>
          <w:snapToGrid w:val="0"/>
          <w:color w:val="auto"/>
          <w:spacing w:val="0"/>
          <w:kern w:val="0"/>
          <w:sz w:val="32"/>
          <w:szCs w:val="32"/>
          <w:shd w:val="clear" w:color="auto" w:fill="FFFFFF"/>
          <w:lang w:val="en-US" w:eastAsia="zh-CN"/>
        </w:rPr>
        <w:t>第二十八条</w:t>
      </w:r>
      <w:r>
        <w:rPr>
          <w:rFonts w:hint="eastAsia" w:ascii="仿宋_GB2312" w:hAnsi="Times New Roman" w:eastAsia="仿宋_GB2312" w:cs="Times New Roman"/>
          <w:snapToGrid w:val="0"/>
          <w:spacing w:val="0"/>
          <w:kern w:val="0"/>
          <w:sz w:val="32"/>
          <w:szCs w:val="32"/>
        </w:rPr>
        <w:t>　</w:t>
      </w:r>
      <w:r>
        <w:rPr>
          <w:rFonts w:hint="eastAsia" w:ascii="仿宋_GB2312" w:hAnsi="Times New Roman" w:eastAsia="仿宋_GB2312" w:cs="Times New Roman"/>
          <w:snapToGrid w:val="0"/>
          <w:spacing w:val="0"/>
          <w:kern w:val="0"/>
          <w:sz w:val="32"/>
          <w:szCs w:val="32"/>
          <w:lang w:val="en-US" w:eastAsia="zh-CN"/>
        </w:rPr>
        <w:t>规章公布后，应当及时在《嘉兴市人民政府公报》、嘉兴市人民政府网站以及在本市行政区域范围内发行的报纸上刊载。《嘉兴市人民政府公报》刊载的规章文本为标准文本，嘉兴市人民政府网站上刊载的规章电子文本为标准电子文本。</w:t>
      </w:r>
    </w:p>
    <w:p w14:paraId="73420B4F">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napToGrid w:val="0"/>
          <w:color w:val="auto"/>
          <w:spacing w:val="0"/>
          <w:kern w:val="0"/>
          <w:sz w:val="32"/>
          <w:szCs w:val="32"/>
          <w:shd w:val="clear" w:color="auto" w:fill="FFFFFF"/>
          <w:lang w:val="en-US" w:eastAsia="zh-CN"/>
        </w:rPr>
      </w:pPr>
      <w:r>
        <w:rPr>
          <w:rFonts w:hint="eastAsia" w:ascii="仿宋_GB2312" w:hAnsi="仿宋_GB2312" w:eastAsia="仿宋_GB2312" w:cs="仿宋_GB2312"/>
          <w:snapToGrid w:val="0"/>
          <w:color w:val="auto"/>
          <w:spacing w:val="0"/>
          <w:kern w:val="0"/>
          <w:sz w:val="32"/>
          <w:szCs w:val="32"/>
          <w:shd w:val="clear" w:color="auto" w:fill="FFFFFF"/>
          <w:lang w:val="en-US" w:eastAsia="zh-CN"/>
        </w:rPr>
        <w:t>规章公布后，起草单位应当通过新闻发布会、座谈会等方式进行宣传。</w:t>
      </w:r>
    </w:p>
    <w:p w14:paraId="4069BC16">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黑体" w:hAnsi="黑体" w:eastAsia="黑体" w:cs="黑体"/>
          <w:snapToGrid w:val="0"/>
          <w:color w:val="auto"/>
          <w:spacing w:val="0"/>
          <w:kern w:val="0"/>
          <w:sz w:val="32"/>
          <w:szCs w:val="32"/>
          <w:shd w:val="clear" w:color="auto" w:fill="FFFFFF"/>
          <w:lang w:val="en-US" w:eastAsia="zh-CN"/>
        </w:rPr>
        <w:t>第二十九条</w:t>
      </w:r>
      <w:r>
        <w:rPr>
          <w:rFonts w:hint="eastAsia" w:ascii="仿宋_GB2312" w:hAnsi="Times New Roman" w:eastAsia="仿宋_GB2312" w:cs="Times New Roman"/>
          <w:snapToGrid w:val="0"/>
          <w:spacing w:val="0"/>
          <w:kern w:val="0"/>
          <w:sz w:val="32"/>
          <w:szCs w:val="32"/>
        </w:rPr>
        <w:t>　</w:t>
      </w:r>
      <w:r>
        <w:rPr>
          <w:rFonts w:hint="eastAsia" w:ascii="仿宋_GB2312" w:hAnsi="Times New Roman" w:eastAsia="仿宋_GB2312" w:cs="Times New Roman"/>
          <w:snapToGrid w:val="0"/>
          <w:spacing w:val="0"/>
          <w:kern w:val="0"/>
          <w:sz w:val="32"/>
          <w:szCs w:val="32"/>
          <w:lang w:val="en-US" w:eastAsia="zh-CN"/>
        </w:rPr>
        <w:t>规章应当自公布之日起30日后施行；但是，涉及国家安全以及公布后不立即施行将有碍规章施行的，可以自公布之日起施行。</w:t>
      </w:r>
    </w:p>
    <w:p w14:paraId="3E56085F">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黑体" w:hAnsi="黑体" w:eastAsia="黑体" w:cs="黑体"/>
          <w:snapToGrid w:val="0"/>
          <w:color w:val="auto"/>
          <w:spacing w:val="0"/>
          <w:kern w:val="0"/>
          <w:sz w:val="32"/>
          <w:szCs w:val="32"/>
          <w:shd w:val="clear" w:color="auto" w:fill="FFFFFF"/>
          <w:lang w:val="en-US" w:eastAsia="zh-CN"/>
        </w:rPr>
        <w:t>第三十条</w:t>
      </w:r>
      <w:r>
        <w:rPr>
          <w:rFonts w:hint="eastAsia" w:ascii="仿宋_GB2312" w:hAnsi="Times New Roman" w:eastAsia="仿宋_GB2312" w:cs="Times New Roman"/>
          <w:snapToGrid w:val="0"/>
          <w:spacing w:val="0"/>
          <w:kern w:val="0"/>
          <w:sz w:val="32"/>
          <w:szCs w:val="32"/>
        </w:rPr>
        <w:t>　</w:t>
      </w:r>
      <w:r>
        <w:rPr>
          <w:rFonts w:hint="eastAsia" w:ascii="仿宋_GB2312" w:hAnsi="Times New Roman" w:eastAsia="仿宋_GB2312" w:cs="Times New Roman"/>
          <w:snapToGrid w:val="0"/>
          <w:spacing w:val="0"/>
          <w:kern w:val="0"/>
          <w:sz w:val="32"/>
          <w:szCs w:val="32"/>
          <w:lang w:val="en-US" w:eastAsia="zh-CN"/>
        </w:rPr>
        <w:t>规章应当自公布之日起30日内，由市人民政府报送国务院、省人民代表大会常务委员会、省人民政府和市人民代表大会常务委员会备案，具体工作由市司法行政部门负责。</w:t>
      </w:r>
    </w:p>
    <w:p w14:paraId="613DAC53">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黑体" w:hAnsi="黑体" w:eastAsia="黑体" w:cs="黑体"/>
          <w:snapToGrid w:val="0"/>
          <w:color w:val="auto"/>
          <w:spacing w:val="0"/>
          <w:kern w:val="0"/>
          <w:sz w:val="32"/>
          <w:szCs w:val="32"/>
          <w:shd w:val="clear" w:color="auto" w:fill="FFFFFF"/>
          <w:lang w:val="en-US" w:eastAsia="zh-CN"/>
        </w:rPr>
        <w:t>第三十一条</w:t>
      </w:r>
      <w:r>
        <w:rPr>
          <w:rFonts w:hint="eastAsia" w:ascii="仿宋_GB2312" w:hAnsi="Times New Roman" w:eastAsia="仿宋_GB2312" w:cs="Times New Roman"/>
          <w:snapToGrid w:val="0"/>
          <w:spacing w:val="0"/>
          <w:kern w:val="0"/>
          <w:sz w:val="32"/>
          <w:szCs w:val="32"/>
        </w:rPr>
        <w:t>　</w:t>
      </w:r>
      <w:r>
        <w:rPr>
          <w:rFonts w:hint="eastAsia" w:ascii="仿宋_GB2312" w:hAnsi="Times New Roman" w:eastAsia="仿宋_GB2312" w:cs="Times New Roman"/>
          <w:snapToGrid w:val="0"/>
          <w:spacing w:val="0"/>
          <w:kern w:val="0"/>
          <w:sz w:val="32"/>
          <w:szCs w:val="32"/>
          <w:lang w:val="en-US" w:eastAsia="zh-CN"/>
        </w:rPr>
        <w:t>规章有下列情形之一的，由市人民政府解释，规章的解释与规章具有同等效力：</w:t>
      </w:r>
    </w:p>
    <w:p w14:paraId="6FB4BA14">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（一）规章的规定需要进一步明确具体含义的；</w:t>
      </w:r>
    </w:p>
    <w:p w14:paraId="2C18357F">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（二）规章公布施行后出现新的情况，需要明确适用规章依据的。</w:t>
      </w:r>
    </w:p>
    <w:p w14:paraId="0467A07A">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规章解释由规章起草单位或者实施单位提出解释意见草案，经市司法行政部门参照规章项目送审稿审查程序提出意见，报请市人民政府批准后公布。</w:t>
      </w:r>
    </w:p>
    <w:p w14:paraId="148B0FC3">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黑体" w:hAnsi="黑体" w:eastAsia="黑体" w:cs="黑体"/>
          <w:snapToGrid w:val="0"/>
          <w:color w:val="auto"/>
          <w:spacing w:val="0"/>
          <w:kern w:val="0"/>
          <w:sz w:val="32"/>
          <w:szCs w:val="32"/>
          <w:shd w:val="clear" w:color="auto" w:fill="FFFFFF"/>
          <w:lang w:val="en-US" w:eastAsia="zh-CN"/>
        </w:rPr>
        <w:t>第三十二条</w:t>
      </w:r>
      <w:r>
        <w:rPr>
          <w:rFonts w:hint="eastAsia" w:ascii="仿宋_GB2312" w:hAnsi="Times New Roman" w:eastAsia="仿宋_GB2312" w:cs="Times New Roman"/>
          <w:snapToGrid w:val="0"/>
          <w:spacing w:val="0"/>
          <w:kern w:val="0"/>
          <w:sz w:val="32"/>
          <w:szCs w:val="32"/>
        </w:rPr>
        <w:t>　</w:t>
      </w:r>
      <w:r>
        <w:rPr>
          <w:rFonts w:hint="eastAsia" w:ascii="仿宋_GB2312" w:hAnsi="Times New Roman" w:eastAsia="仿宋_GB2312" w:cs="Times New Roman"/>
          <w:snapToGrid w:val="0"/>
          <w:spacing w:val="0"/>
          <w:kern w:val="0"/>
          <w:sz w:val="32"/>
          <w:szCs w:val="32"/>
          <w:lang w:val="en-US" w:eastAsia="zh-CN"/>
        </w:rPr>
        <w:t>规章对专门事项要求制定配套规定的，有关单位应当自规章施行之日起1年内制定。未能在规定期限内完成的，应当向市人民政府作出书面报告。规章对配套规定制定期限另有规定的，从其规定。</w:t>
      </w:r>
    </w:p>
    <w:p w14:paraId="7E037174">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黑体" w:hAnsi="黑体" w:eastAsia="黑体" w:cs="黑体"/>
          <w:snapToGrid w:val="0"/>
          <w:color w:val="auto"/>
          <w:spacing w:val="0"/>
          <w:kern w:val="0"/>
          <w:sz w:val="32"/>
          <w:szCs w:val="32"/>
          <w:shd w:val="clear" w:color="auto" w:fill="FFFFFF"/>
          <w:lang w:val="en-US" w:eastAsia="zh-CN"/>
        </w:rPr>
        <w:t>第三十三条</w:t>
      </w:r>
      <w:r>
        <w:rPr>
          <w:rFonts w:hint="eastAsia" w:ascii="仿宋_GB2312" w:hAnsi="Times New Roman" w:eastAsia="仿宋_GB2312" w:cs="Times New Roman"/>
          <w:snapToGrid w:val="0"/>
          <w:spacing w:val="0"/>
          <w:kern w:val="0"/>
          <w:sz w:val="32"/>
          <w:szCs w:val="32"/>
        </w:rPr>
        <w:t>　</w:t>
      </w:r>
      <w:r>
        <w:rPr>
          <w:rFonts w:hint="eastAsia" w:ascii="仿宋_GB2312" w:hAnsi="Times New Roman" w:eastAsia="仿宋_GB2312" w:cs="Times New Roman"/>
          <w:snapToGrid w:val="0"/>
          <w:spacing w:val="0"/>
          <w:kern w:val="0"/>
          <w:sz w:val="32"/>
          <w:szCs w:val="32"/>
          <w:lang w:val="en-US" w:eastAsia="zh-CN"/>
        </w:rPr>
        <w:t>规章有下列情形之一的，应当开展立法后评估：</w:t>
      </w:r>
    </w:p>
    <w:p w14:paraId="5294DD8B">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（一）拟列入地方性法规立法项目的；</w:t>
      </w:r>
    </w:p>
    <w:p w14:paraId="682F54D8">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（二）有关单位认为需要进行全面修订或者较大修改的；</w:t>
      </w:r>
    </w:p>
    <w:p w14:paraId="14C08273">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（三）公民、法人或者其他组织有较多意见的；</w:t>
      </w:r>
    </w:p>
    <w:p w14:paraId="33E246A1">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（四）与经济社会发展或者社会公众利益密切相关，实施满3年的；</w:t>
      </w:r>
    </w:p>
    <w:p w14:paraId="4EC0C9E3">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（五）其他需要开展立法后评估的情形。</w:t>
      </w:r>
    </w:p>
    <w:p w14:paraId="2FDB08F2">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市司法行政部门负责规章立法后评估的组织、协调、指导工作。主要实施单位负责规章立法后评估的具体实施工作。立法后评估报告作为规章修改、废止以及完善配套制度的参考依据。</w:t>
      </w:r>
    </w:p>
    <w:p w14:paraId="3EBBEAE0">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黑体" w:hAnsi="黑体" w:eastAsia="黑体" w:cs="黑体"/>
          <w:snapToGrid w:val="0"/>
          <w:color w:val="auto"/>
          <w:spacing w:val="0"/>
          <w:kern w:val="0"/>
          <w:sz w:val="32"/>
          <w:szCs w:val="32"/>
          <w:shd w:val="clear" w:color="auto" w:fill="FFFFFF"/>
          <w:lang w:val="en-US" w:eastAsia="zh-CN"/>
        </w:rPr>
        <w:t>第三十四条</w:t>
      </w:r>
      <w:r>
        <w:rPr>
          <w:rFonts w:hint="eastAsia" w:ascii="仿宋_GB2312" w:hAnsi="Times New Roman" w:eastAsia="仿宋_GB2312" w:cs="Times New Roman"/>
          <w:snapToGrid w:val="0"/>
          <w:spacing w:val="0"/>
          <w:kern w:val="0"/>
          <w:sz w:val="32"/>
          <w:szCs w:val="32"/>
        </w:rPr>
        <w:t>　</w:t>
      </w:r>
      <w:r>
        <w:rPr>
          <w:rFonts w:hint="eastAsia" w:ascii="仿宋_GB2312" w:hAnsi="Times New Roman" w:eastAsia="仿宋_GB2312" w:cs="Times New Roman"/>
          <w:snapToGrid w:val="0"/>
          <w:spacing w:val="0"/>
          <w:kern w:val="0"/>
          <w:sz w:val="32"/>
          <w:szCs w:val="32"/>
          <w:lang w:val="en-US" w:eastAsia="zh-CN"/>
        </w:rPr>
        <w:t>市人民政府至少每5年组织1次对规章的全面清理。根据国家、省要求或者本市经济社会发展和改革的需要，适时组织对规章的专项清理。清理结果应当向社会公布。</w:t>
      </w:r>
    </w:p>
    <w:p w14:paraId="532A8901">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黑体" w:hAnsi="黑体" w:eastAsia="黑体" w:cs="黑体"/>
          <w:snapToGrid w:val="0"/>
          <w:color w:val="auto"/>
          <w:spacing w:val="0"/>
          <w:kern w:val="0"/>
          <w:sz w:val="32"/>
          <w:szCs w:val="32"/>
          <w:shd w:val="clear" w:color="auto" w:fill="FFFFFF"/>
          <w:lang w:val="en-US" w:eastAsia="zh-CN"/>
        </w:rPr>
        <w:t>第三十五条</w:t>
      </w:r>
      <w:r>
        <w:rPr>
          <w:rFonts w:hint="eastAsia" w:ascii="仿宋_GB2312" w:hAnsi="Times New Roman" w:eastAsia="仿宋_GB2312" w:cs="Times New Roman"/>
          <w:snapToGrid w:val="0"/>
          <w:spacing w:val="0"/>
          <w:kern w:val="0"/>
          <w:sz w:val="32"/>
          <w:szCs w:val="32"/>
        </w:rPr>
        <w:t>　</w:t>
      </w:r>
      <w:r>
        <w:rPr>
          <w:rFonts w:hint="eastAsia" w:ascii="仿宋_GB2312" w:hAnsi="Times New Roman" w:eastAsia="仿宋_GB2312" w:cs="Times New Roman"/>
          <w:snapToGrid w:val="0"/>
          <w:spacing w:val="0"/>
          <w:kern w:val="0"/>
          <w:sz w:val="32"/>
          <w:szCs w:val="32"/>
          <w:lang w:val="en-US" w:eastAsia="zh-CN"/>
        </w:rPr>
        <w:t>规章有下列情形之一的，其主要实施单位应当及时提出修改或者废止的建议：</w:t>
      </w:r>
    </w:p>
    <w:p w14:paraId="3BDE183B">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（一）与新公布的上位法相抵触的；</w:t>
      </w:r>
    </w:p>
    <w:p w14:paraId="51BD1989">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（二）所依据的法律、法规已修改或者废止的；</w:t>
      </w:r>
    </w:p>
    <w:p w14:paraId="0C510EC4">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（三）不适应经济社会发展需要的；</w:t>
      </w:r>
    </w:p>
    <w:p w14:paraId="0FCDEBDC">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（四）行政管理体制机制、调整对象发生重大变化的；</w:t>
      </w:r>
    </w:p>
    <w:p w14:paraId="58C105D6">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（五）主要制度和措施被其他地方性法规或者规章替代的；</w:t>
      </w:r>
    </w:p>
    <w:p w14:paraId="6B8628EF">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（六）需要修改或者废止的其他情形。</w:t>
      </w:r>
    </w:p>
    <w:p w14:paraId="7055F768">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仿宋_GB2312" w:hAnsi="Times New Roman" w:eastAsia="仿宋_GB2312" w:cs="Times New Roman"/>
          <w:snapToGrid w:val="0"/>
          <w:spacing w:val="0"/>
          <w:kern w:val="0"/>
          <w:sz w:val="32"/>
          <w:szCs w:val="32"/>
          <w:lang w:val="en-US" w:eastAsia="zh-CN"/>
        </w:rPr>
      </w:pPr>
      <w:r>
        <w:rPr>
          <w:rFonts w:hint="eastAsia" w:ascii="仿宋_GB2312" w:hAnsi="Times New Roman" w:eastAsia="仿宋_GB2312" w:cs="Times New Roman"/>
          <w:snapToGrid w:val="0"/>
          <w:spacing w:val="0"/>
          <w:kern w:val="0"/>
          <w:sz w:val="32"/>
          <w:szCs w:val="32"/>
          <w:lang w:val="en-US" w:eastAsia="zh-CN"/>
        </w:rPr>
        <w:t>规章的修改、废止程序，参照本办法规定执行。修改后的规章应当重新公布规章文本。</w:t>
      </w:r>
    </w:p>
    <w:p w14:paraId="272E3F6A">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snapToGrid w:val="0"/>
          <w:color w:val="auto"/>
          <w:spacing w:val="0"/>
          <w:kern w:val="0"/>
          <w:sz w:val="32"/>
          <w:szCs w:val="32"/>
          <w:shd w:val="clear" w:color="auto" w:fill="FFFFFF"/>
          <w:lang w:val="en-US" w:eastAsia="zh-CN"/>
        </w:rPr>
      </w:pPr>
    </w:p>
    <w:p w14:paraId="3022F6C9">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黑体" w:hAnsi="黑体" w:eastAsia="黑体" w:cs="黑体"/>
          <w:snapToGrid w:val="0"/>
          <w:color w:val="auto"/>
          <w:spacing w:val="0"/>
          <w:kern w:val="0"/>
          <w:sz w:val="32"/>
          <w:szCs w:val="32"/>
          <w:shd w:val="clear" w:color="auto" w:fill="FFFFFF"/>
          <w:lang w:val="en-US" w:eastAsia="zh-CN"/>
        </w:rPr>
      </w:pPr>
      <w:r>
        <w:rPr>
          <w:rFonts w:hint="eastAsia" w:ascii="黑体" w:hAnsi="黑体" w:eastAsia="黑体" w:cs="黑体"/>
          <w:snapToGrid w:val="0"/>
          <w:color w:val="auto"/>
          <w:spacing w:val="0"/>
          <w:kern w:val="0"/>
          <w:sz w:val="32"/>
          <w:szCs w:val="32"/>
          <w:shd w:val="clear" w:color="auto" w:fill="FFFFFF"/>
          <w:lang w:val="en-US" w:eastAsia="zh-CN"/>
        </w:rPr>
        <w:t>第七章  附  则</w:t>
      </w:r>
    </w:p>
    <w:p w14:paraId="57336454">
      <w:pPr>
        <w:keepNext w:val="0"/>
        <w:keepLines w:val="0"/>
        <w:pageBreakBefore w:val="0"/>
        <w:widowControl w:val="0"/>
        <w:kinsoku/>
        <w:wordWrap/>
        <w:overflowPunct w:val="0"/>
        <w:topLinePunct w:val="0"/>
        <w:autoSpaceDE/>
        <w:autoSpaceDN/>
        <w:bidi w:val="0"/>
        <w:adjustRightInd w:val="0"/>
        <w:snapToGrid w:val="0"/>
        <w:spacing w:line="600" w:lineRule="exact"/>
        <w:ind w:firstLine="640" w:firstLineChars="200"/>
        <w:jc w:val="both"/>
        <w:textAlignment w:val="auto"/>
        <w:rPr>
          <w:rFonts w:hint="eastAsia" w:ascii="黑体" w:hAnsi="黑体" w:eastAsia="黑体" w:cs="黑体"/>
          <w:snapToGrid w:val="0"/>
          <w:color w:val="auto"/>
          <w:spacing w:val="0"/>
          <w:kern w:val="0"/>
          <w:sz w:val="32"/>
          <w:szCs w:val="32"/>
          <w:shd w:val="clear" w:color="auto" w:fill="FFFFFF"/>
          <w:lang w:val="en-US" w:eastAsia="zh-CN"/>
        </w:rPr>
      </w:pPr>
    </w:p>
    <w:p w14:paraId="73BBF0DB">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snapToGrid w:val="0"/>
          <w:color w:val="333333"/>
          <w:spacing w:val="0"/>
          <w:kern w:val="0"/>
          <w:sz w:val="32"/>
          <w:szCs w:val="32"/>
          <w:shd w:val="clear" w:fill="FFFFFF"/>
          <w:lang w:val="en-US" w:eastAsia="zh-CN"/>
        </w:rPr>
      </w:pPr>
      <w:r>
        <w:rPr>
          <w:rFonts w:hint="eastAsia" w:ascii="黑体" w:hAnsi="黑体" w:eastAsia="黑体" w:cs="黑体"/>
          <w:snapToGrid w:val="0"/>
          <w:color w:val="auto"/>
          <w:spacing w:val="0"/>
          <w:kern w:val="0"/>
          <w:sz w:val="32"/>
          <w:szCs w:val="32"/>
          <w:shd w:val="clear" w:color="auto" w:fill="FFFFFF"/>
          <w:lang w:val="en-US" w:eastAsia="zh-CN"/>
        </w:rPr>
        <w:t>第三十六条</w:t>
      </w:r>
      <w:r>
        <w:rPr>
          <w:rFonts w:hint="eastAsia" w:ascii="仿宋_GB2312" w:hAnsi="Times New Roman" w:eastAsia="仿宋_GB2312" w:cs="Times New Roman"/>
          <w:snapToGrid w:val="0"/>
          <w:spacing w:val="0"/>
          <w:kern w:val="0"/>
          <w:sz w:val="32"/>
          <w:szCs w:val="32"/>
        </w:rPr>
        <w:t>　</w:t>
      </w:r>
      <w:r>
        <w:rPr>
          <w:rFonts w:hint="eastAsia" w:ascii="仿宋_GB2312" w:hAnsi="Times New Roman" w:eastAsia="仿宋_GB2312" w:cs="Times New Roman"/>
          <w:snapToGrid w:val="0"/>
          <w:spacing w:val="0"/>
          <w:kern w:val="0"/>
          <w:sz w:val="32"/>
          <w:szCs w:val="32"/>
          <w:lang w:val="en-US" w:eastAsia="zh-CN"/>
        </w:rPr>
        <w:t>本办法自2025年3月1</w:t>
      </w:r>
      <w:bookmarkStart w:id="0" w:name="_GoBack"/>
      <w:bookmarkEnd w:id="0"/>
      <w:r>
        <w:rPr>
          <w:rFonts w:hint="eastAsia" w:ascii="仿宋_GB2312" w:hAnsi="Times New Roman" w:eastAsia="仿宋_GB2312" w:cs="Times New Roman"/>
          <w:snapToGrid w:val="0"/>
          <w:spacing w:val="0"/>
          <w:kern w:val="0"/>
          <w:sz w:val="32"/>
          <w:szCs w:val="32"/>
          <w:lang w:val="en-US" w:eastAsia="zh-CN"/>
        </w:rPr>
        <w:t>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330C6">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571D60">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2571D60">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21E9613E">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嘉兴市人民政府发布     </w:t>
    </w:r>
  </w:p>
  <w:p w14:paraId="6AD61EB4">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15712">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5FA19504">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嘉兴市人民政府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zZTVmZjY0OTk3YTFjNTdiYmI0ZTNkNGEzYzYxN2QifQ=="/>
  </w:docVars>
  <w:rsids>
    <w:rsidRoot w:val="00172A27"/>
    <w:rsid w:val="019E71BD"/>
    <w:rsid w:val="04B679C3"/>
    <w:rsid w:val="080F63D8"/>
    <w:rsid w:val="09341458"/>
    <w:rsid w:val="0B0912D7"/>
    <w:rsid w:val="106F32B9"/>
    <w:rsid w:val="11E87846"/>
    <w:rsid w:val="152D2DCA"/>
    <w:rsid w:val="1DEC284C"/>
    <w:rsid w:val="1E6523AC"/>
    <w:rsid w:val="22440422"/>
    <w:rsid w:val="31A15F24"/>
    <w:rsid w:val="395347B5"/>
    <w:rsid w:val="39A232A0"/>
    <w:rsid w:val="39E745AA"/>
    <w:rsid w:val="3AC02968"/>
    <w:rsid w:val="3B5A6BBB"/>
    <w:rsid w:val="3EDA13A6"/>
    <w:rsid w:val="42F058B7"/>
    <w:rsid w:val="436109F6"/>
    <w:rsid w:val="441A38D4"/>
    <w:rsid w:val="4BC77339"/>
    <w:rsid w:val="4C9236C5"/>
    <w:rsid w:val="4F792F69"/>
    <w:rsid w:val="505C172E"/>
    <w:rsid w:val="52F46F0B"/>
    <w:rsid w:val="53D8014D"/>
    <w:rsid w:val="55E064E0"/>
    <w:rsid w:val="572C6D10"/>
    <w:rsid w:val="5DC34279"/>
    <w:rsid w:val="608816D1"/>
    <w:rsid w:val="60EF4E7F"/>
    <w:rsid w:val="63FCD419"/>
    <w:rsid w:val="665233C1"/>
    <w:rsid w:val="6AD9688B"/>
    <w:rsid w:val="6D0E3F22"/>
    <w:rsid w:val="7C9011D9"/>
    <w:rsid w:val="7DC651C5"/>
    <w:rsid w:val="7EA7F9BF"/>
    <w:rsid w:val="7FCC2834"/>
    <w:rsid w:val="F77F73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able of figures"/>
    <w:next w:val="1"/>
    <w:unhideWhenUsed/>
    <w:qFormat/>
    <w:uiPriority w:val="99"/>
    <w:pPr>
      <w:widowControl w:val="0"/>
      <w:ind w:left="200" w:leftChars="200" w:hanging="200" w:hangingChars="200"/>
      <w:jc w:val="both"/>
    </w:pPr>
    <w:rPr>
      <w:rFonts w:ascii="Times New Roman" w:hAnsi="Times New Roman" w:eastAsia="宋体" w:cs="Times New Roman"/>
      <w:kern w:val="2"/>
      <w:sz w:val="21"/>
      <w:lang w:val="en-US" w:eastAsia="zh-CN" w:bidi="ar-SA"/>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Strong"/>
    <w:basedOn w:val="8"/>
    <w:autoRedefine/>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2316</Words>
  <Characters>2328</Characters>
  <Lines>1</Lines>
  <Paragraphs>1</Paragraphs>
  <TotalTime>4</TotalTime>
  <ScaleCrop>false</ScaleCrop>
  <LinksUpToDate>false</LinksUpToDate>
  <CharactersWithSpaces>2351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曼因布莱克</cp:lastModifiedBy>
  <cp:lastPrinted>2021-10-27T11:30:00Z</cp:lastPrinted>
  <dcterms:modified xsi:type="dcterms:W3CDTF">2025-02-07T09:45:39Z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48C61CB29D3F4D9384F5922CF0F7FFB4</vt:lpwstr>
  </property>
  <property fmtid="{D5CDD505-2E9C-101B-9397-08002B2CF9AE}" pid="4" name="KSOTemplateDocerSaveRecord">
    <vt:lpwstr>eyJoZGlkIjoiOTJiODA0NTZlMjQyNmNhNzc0NzBiMDZlNTBhN2Q4ZTgiLCJ1c2VySWQiOiIyNTk5NTcyNzIifQ==</vt:lpwstr>
  </property>
</Properties>
</file>