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800" w:lineRule="exact"/>
        <w:jc w:val="center"/>
        <w:rPr>
          <w:rFonts w:hint="eastAsia" w:ascii="宋体" w:hAnsi="宋体" w:cs="宋体"/>
          <w:b/>
          <w:color w:val="auto"/>
          <w:spacing w:val="14"/>
          <w:sz w:val="52"/>
          <w:szCs w:val="52"/>
        </w:rPr>
      </w:pPr>
      <w:bookmarkStart w:id="34" w:name="_GoBack"/>
      <w:bookmarkEnd w:id="34"/>
      <w:r>
        <w:rPr>
          <w:rFonts w:hint="eastAsia" w:ascii="宋体" w:hAnsi="宋体" w:cs="宋体"/>
          <w:b/>
          <w:color w:val="auto"/>
          <w:spacing w:val="14"/>
          <w:kern w:val="0"/>
          <w:sz w:val="52"/>
          <w:szCs w:val="52"/>
          <w:lang w:bidi="ar"/>
        </w:rPr>
        <w:t xml:space="preserve"> </w:t>
      </w:r>
    </w:p>
    <w:p>
      <w:pPr>
        <w:widowControl/>
        <w:snapToGrid w:val="0"/>
        <w:spacing w:line="600" w:lineRule="exact"/>
        <w:jc w:val="center"/>
        <w:rPr>
          <w:rFonts w:hint="eastAsia" w:ascii="宋体" w:hAnsi="宋体" w:cs="宋体"/>
          <w:b/>
          <w:color w:val="auto"/>
          <w:spacing w:val="-2"/>
          <w:sz w:val="44"/>
          <w:szCs w:val="44"/>
        </w:rPr>
      </w:pPr>
    </w:p>
    <w:p>
      <w:pPr>
        <w:widowControl/>
        <w:snapToGrid w:val="0"/>
        <w:spacing w:line="600" w:lineRule="exact"/>
        <w:jc w:val="center"/>
        <w:rPr>
          <w:rFonts w:hint="eastAsia" w:ascii="宋体" w:hAnsi="宋体" w:cs="宋体"/>
          <w:b/>
          <w:color w:val="auto"/>
          <w:spacing w:val="-2"/>
          <w:kern w:val="0"/>
          <w:sz w:val="48"/>
          <w:szCs w:val="48"/>
          <w:lang w:bidi="ar"/>
        </w:rPr>
      </w:pPr>
      <w:r>
        <w:rPr>
          <w:rFonts w:hint="eastAsia" w:ascii="宋体" w:hAnsi="宋体" w:cs="宋体"/>
          <w:b/>
          <w:color w:val="auto"/>
          <w:spacing w:val="-2"/>
          <w:kern w:val="0"/>
          <w:sz w:val="48"/>
          <w:szCs w:val="48"/>
          <w:lang w:bidi="ar"/>
        </w:rPr>
        <w:t>温岭市小微企业危险废物集中收集单位</w:t>
      </w:r>
    </w:p>
    <w:p>
      <w:pPr>
        <w:widowControl/>
        <w:snapToGrid w:val="0"/>
        <w:spacing w:line="600" w:lineRule="exact"/>
        <w:jc w:val="center"/>
        <w:rPr>
          <w:rFonts w:hint="eastAsia" w:ascii="宋体" w:hAnsi="宋体" w:cs="宋体"/>
          <w:color w:val="auto"/>
          <w:sz w:val="52"/>
          <w:szCs w:val="52"/>
        </w:rPr>
      </w:pPr>
      <w:r>
        <w:rPr>
          <w:rFonts w:hint="eastAsia" w:ascii="宋体" w:hAnsi="宋体" w:cs="宋体"/>
          <w:b/>
          <w:color w:val="auto"/>
          <w:spacing w:val="-2"/>
          <w:kern w:val="0"/>
          <w:sz w:val="48"/>
          <w:szCs w:val="48"/>
          <w:lang w:bidi="ar"/>
        </w:rPr>
        <w:t>入围项目</w:t>
      </w:r>
    </w:p>
    <w:p>
      <w:pPr>
        <w:widowControl/>
        <w:snapToGrid w:val="0"/>
        <w:spacing w:line="600" w:lineRule="exact"/>
        <w:rPr>
          <w:rFonts w:hint="eastAsia" w:ascii="宋体" w:hAnsi="宋体" w:cs="宋体"/>
          <w:color w:val="auto"/>
          <w:sz w:val="52"/>
          <w:szCs w:val="52"/>
        </w:rPr>
      </w:pPr>
    </w:p>
    <w:p>
      <w:pPr>
        <w:widowControl/>
        <w:snapToGrid w:val="0"/>
        <w:spacing w:line="600" w:lineRule="exact"/>
        <w:jc w:val="center"/>
        <w:rPr>
          <w:rFonts w:hint="eastAsia" w:ascii="宋体" w:hAnsi="宋体" w:cs="宋体"/>
          <w:color w:val="auto"/>
          <w:sz w:val="52"/>
          <w:szCs w:val="52"/>
        </w:rPr>
      </w:pPr>
    </w:p>
    <w:p>
      <w:pPr>
        <w:widowControl/>
        <w:snapToGrid w:val="0"/>
        <w:spacing w:line="600" w:lineRule="exact"/>
        <w:jc w:val="center"/>
        <w:rPr>
          <w:rFonts w:hint="eastAsia" w:ascii="宋体" w:hAnsi="宋体" w:cs="宋体"/>
          <w:color w:val="auto"/>
          <w:sz w:val="52"/>
          <w:szCs w:val="52"/>
        </w:rPr>
      </w:pPr>
    </w:p>
    <w:p>
      <w:pPr>
        <w:jc w:val="center"/>
        <w:rPr>
          <w:rFonts w:hint="eastAsia" w:ascii="宋体" w:hAnsi="宋体" w:cs="宋体"/>
          <w:color w:val="auto"/>
          <w:sz w:val="84"/>
          <w:szCs w:val="84"/>
        </w:rPr>
      </w:pPr>
      <w:r>
        <w:rPr>
          <w:rFonts w:hint="eastAsia" w:ascii="宋体" w:hAnsi="宋体" w:cs="宋体"/>
          <w:color w:val="auto"/>
          <w:kern w:val="0"/>
          <w:sz w:val="84"/>
          <w:szCs w:val="84"/>
          <w:lang w:bidi="ar"/>
        </w:rPr>
        <w:t>磋 商 文 件</w:t>
      </w:r>
    </w:p>
    <w:p>
      <w:pPr>
        <w:jc w:val="center"/>
        <w:rPr>
          <w:rFonts w:hint="eastAsia" w:ascii="宋体" w:hAnsi="宋体" w:cs="宋体"/>
          <w:color w:val="auto"/>
          <w:sz w:val="32"/>
          <w:szCs w:val="32"/>
        </w:rPr>
      </w:pPr>
    </w:p>
    <w:p>
      <w:pPr>
        <w:widowControl/>
        <w:snapToGrid w:val="0"/>
        <w:spacing w:line="500" w:lineRule="exact"/>
        <w:jc w:val="center"/>
        <w:rPr>
          <w:rFonts w:hint="eastAsia" w:ascii="宋体" w:hAnsi="宋体" w:cs="宋体"/>
          <w:color w:val="auto"/>
          <w:sz w:val="36"/>
          <w:szCs w:val="36"/>
        </w:rPr>
      </w:pPr>
      <w:r>
        <w:rPr>
          <w:rFonts w:hint="eastAsia" w:ascii="宋体" w:hAnsi="宋体" w:cs="宋体"/>
          <w:color w:val="auto"/>
          <w:kern w:val="0"/>
          <w:sz w:val="32"/>
          <w:szCs w:val="32"/>
          <w:lang w:bidi="ar"/>
        </w:rPr>
        <w:t xml:space="preserve">项目编号：JJWL21031657         </w:t>
      </w:r>
    </w:p>
    <w:p>
      <w:pPr>
        <w:widowControl/>
        <w:snapToGrid w:val="0"/>
        <w:spacing w:line="500" w:lineRule="exact"/>
        <w:jc w:val="center"/>
        <w:rPr>
          <w:rFonts w:hint="eastAsia" w:ascii="宋体" w:hAnsi="宋体" w:cs="宋体"/>
          <w:color w:val="auto"/>
          <w:sz w:val="36"/>
          <w:szCs w:val="36"/>
        </w:rPr>
      </w:pPr>
    </w:p>
    <w:p>
      <w:pPr>
        <w:widowControl/>
        <w:snapToGrid w:val="0"/>
        <w:spacing w:line="500" w:lineRule="exact"/>
        <w:jc w:val="center"/>
        <w:rPr>
          <w:rFonts w:hint="eastAsia" w:ascii="宋体" w:hAnsi="宋体" w:cs="宋体"/>
          <w:color w:val="auto"/>
          <w:sz w:val="36"/>
          <w:szCs w:val="36"/>
        </w:rPr>
      </w:pPr>
    </w:p>
    <w:p>
      <w:pPr>
        <w:widowControl/>
        <w:snapToGrid w:val="0"/>
        <w:spacing w:line="500" w:lineRule="exact"/>
        <w:rPr>
          <w:rFonts w:hint="eastAsia" w:ascii="宋体" w:hAnsi="宋体" w:cs="宋体"/>
          <w:color w:val="auto"/>
          <w:sz w:val="36"/>
          <w:szCs w:val="36"/>
        </w:rPr>
      </w:pPr>
    </w:p>
    <w:p>
      <w:pPr>
        <w:widowControl/>
        <w:snapToGrid w:val="0"/>
        <w:spacing w:line="500" w:lineRule="exact"/>
        <w:jc w:val="center"/>
        <w:rPr>
          <w:rFonts w:hint="eastAsia" w:ascii="宋体" w:hAnsi="宋体" w:cs="宋体"/>
          <w:color w:val="auto"/>
          <w:sz w:val="36"/>
          <w:szCs w:val="36"/>
        </w:rPr>
      </w:pPr>
      <w:r>
        <w:rPr>
          <w:rFonts w:hint="eastAsia" w:ascii="宋体" w:hAnsi="宋体" w:cs="宋体"/>
          <w:color w:val="auto"/>
          <w:kern w:val="0"/>
          <w:sz w:val="36"/>
          <w:szCs w:val="36"/>
          <w:lang w:bidi="ar"/>
        </w:rPr>
        <w:t xml:space="preserve"> </w:t>
      </w:r>
    </w:p>
    <w:p>
      <w:pPr>
        <w:widowControl/>
        <w:snapToGrid w:val="0"/>
        <w:spacing w:line="500" w:lineRule="exact"/>
        <w:jc w:val="center"/>
        <w:rPr>
          <w:rFonts w:hint="eastAsia" w:ascii="宋体" w:hAnsi="宋体" w:cs="宋体"/>
          <w:color w:val="auto"/>
          <w:sz w:val="36"/>
          <w:szCs w:val="36"/>
        </w:rPr>
      </w:pPr>
    </w:p>
    <w:tbl>
      <w:tblPr>
        <w:tblStyle w:val="30"/>
        <w:tblW w:w="0" w:type="auto"/>
        <w:tblInd w:w="1548" w:type="dxa"/>
        <w:tblLayout w:type="fixed"/>
        <w:tblCellMar>
          <w:top w:w="0" w:type="dxa"/>
          <w:left w:w="108" w:type="dxa"/>
          <w:bottom w:w="0" w:type="dxa"/>
          <w:right w:w="108" w:type="dxa"/>
        </w:tblCellMar>
      </w:tblPr>
      <w:tblGrid>
        <w:gridCol w:w="2340"/>
        <w:gridCol w:w="4500"/>
      </w:tblGrid>
      <w:tr>
        <w:tblPrEx>
          <w:tblCellMar>
            <w:top w:w="0" w:type="dxa"/>
            <w:left w:w="108" w:type="dxa"/>
            <w:bottom w:w="0" w:type="dxa"/>
            <w:right w:w="108" w:type="dxa"/>
          </w:tblCellMar>
        </w:tblPrEx>
        <w:tc>
          <w:tcPr>
            <w:tcW w:w="2340" w:type="dxa"/>
            <w:noWrap w:val="0"/>
            <w:vAlign w:val="top"/>
          </w:tcPr>
          <w:p>
            <w:pPr>
              <w:widowControl/>
              <w:snapToGrid w:val="0"/>
              <w:spacing w:line="500" w:lineRule="exact"/>
              <w:jc w:val="distribute"/>
              <w:rPr>
                <w:rFonts w:hint="eastAsia" w:ascii="宋体" w:hAnsi="宋体" w:cs="宋体"/>
                <w:color w:val="auto"/>
                <w:sz w:val="32"/>
                <w:szCs w:val="32"/>
              </w:rPr>
            </w:pPr>
            <w:r>
              <w:rPr>
                <w:rFonts w:hint="eastAsia" w:ascii="宋体" w:hAnsi="宋体" w:cs="宋体"/>
                <w:color w:val="auto"/>
                <w:kern w:val="0"/>
                <w:sz w:val="32"/>
                <w:szCs w:val="32"/>
                <w:lang w:bidi="ar"/>
              </w:rPr>
              <w:t>采购人：</w:t>
            </w:r>
          </w:p>
        </w:tc>
        <w:tc>
          <w:tcPr>
            <w:tcW w:w="4500" w:type="dxa"/>
            <w:noWrap w:val="0"/>
            <w:vAlign w:val="top"/>
          </w:tcPr>
          <w:p>
            <w:pPr>
              <w:widowControl/>
              <w:snapToGrid w:val="0"/>
              <w:spacing w:line="500" w:lineRule="exact"/>
              <w:rPr>
                <w:rFonts w:hint="eastAsia" w:ascii="宋体" w:hAnsi="宋体" w:cs="宋体"/>
                <w:color w:val="auto"/>
                <w:sz w:val="32"/>
                <w:szCs w:val="32"/>
              </w:rPr>
            </w:pPr>
            <w:r>
              <w:rPr>
                <w:rFonts w:hint="eastAsia" w:ascii="宋体" w:hAnsi="宋体" w:cs="宋体"/>
                <w:color w:val="auto"/>
                <w:kern w:val="0"/>
                <w:sz w:val="32"/>
                <w:szCs w:val="32"/>
                <w:lang w:bidi="ar"/>
              </w:rPr>
              <w:t xml:space="preserve">台州市生态环境局温岭分局           </w:t>
            </w:r>
          </w:p>
        </w:tc>
      </w:tr>
      <w:tr>
        <w:tblPrEx>
          <w:tblCellMar>
            <w:top w:w="0" w:type="dxa"/>
            <w:left w:w="108" w:type="dxa"/>
            <w:bottom w:w="0" w:type="dxa"/>
            <w:right w:w="108" w:type="dxa"/>
          </w:tblCellMar>
        </w:tblPrEx>
        <w:trPr>
          <w:trHeight w:val="516" w:hRule="atLeast"/>
        </w:trPr>
        <w:tc>
          <w:tcPr>
            <w:tcW w:w="2340" w:type="dxa"/>
            <w:noWrap w:val="0"/>
            <w:vAlign w:val="top"/>
          </w:tcPr>
          <w:p>
            <w:pPr>
              <w:widowControl/>
              <w:snapToGrid w:val="0"/>
              <w:spacing w:line="500" w:lineRule="exact"/>
              <w:jc w:val="distribute"/>
              <w:rPr>
                <w:rFonts w:hint="eastAsia" w:ascii="宋体" w:hAnsi="宋体" w:cs="宋体"/>
                <w:color w:val="auto"/>
                <w:sz w:val="32"/>
                <w:szCs w:val="32"/>
              </w:rPr>
            </w:pPr>
            <w:r>
              <w:rPr>
                <w:rFonts w:hint="eastAsia" w:ascii="宋体" w:hAnsi="宋体" w:cs="宋体"/>
                <w:color w:val="auto"/>
                <w:kern w:val="0"/>
                <w:sz w:val="32"/>
                <w:szCs w:val="32"/>
                <w:lang w:bidi="ar"/>
              </w:rPr>
              <w:t>采购代理机构：</w:t>
            </w:r>
          </w:p>
        </w:tc>
        <w:tc>
          <w:tcPr>
            <w:tcW w:w="4500" w:type="dxa"/>
            <w:noWrap w:val="0"/>
            <w:vAlign w:val="top"/>
          </w:tcPr>
          <w:p>
            <w:pPr>
              <w:widowControl/>
              <w:snapToGrid w:val="0"/>
              <w:spacing w:line="500" w:lineRule="exact"/>
              <w:rPr>
                <w:rFonts w:hint="eastAsia" w:ascii="宋体" w:hAnsi="宋体" w:cs="宋体"/>
                <w:color w:val="auto"/>
                <w:sz w:val="32"/>
                <w:szCs w:val="32"/>
              </w:rPr>
            </w:pPr>
            <w:r>
              <w:rPr>
                <w:rFonts w:hint="eastAsia" w:ascii="宋体" w:hAnsi="宋体" w:cs="宋体"/>
                <w:color w:val="auto"/>
                <w:kern w:val="0"/>
                <w:sz w:val="32"/>
                <w:szCs w:val="32"/>
                <w:lang w:bidi="ar"/>
              </w:rPr>
              <w:t>建经投资咨询有限公司</w:t>
            </w:r>
          </w:p>
        </w:tc>
      </w:tr>
      <w:tr>
        <w:tblPrEx>
          <w:tblCellMar>
            <w:top w:w="0" w:type="dxa"/>
            <w:left w:w="108" w:type="dxa"/>
            <w:bottom w:w="0" w:type="dxa"/>
            <w:right w:w="108" w:type="dxa"/>
          </w:tblCellMar>
        </w:tblPrEx>
        <w:tc>
          <w:tcPr>
            <w:tcW w:w="2340" w:type="dxa"/>
            <w:noWrap w:val="0"/>
            <w:vAlign w:val="top"/>
          </w:tcPr>
          <w:p>
            <w:pPr>
              <w:widowControl/>
              <w:snapToGrid w:val="0"/>
              <w:spacing w:line="500" w:lineRule="exact"/>
              <w:jc w:val="distribute"/>
              <w:rPr>
                <w:rFonts w:hint="eastAsia" w:ascii="宋体" w:hAnsi="宋体" w:cs="宋体"/>
                <w:color w:val="auto"/>
                <w:sz w:val="32"/>
                <w:szCs w:val="32"/>
              </w:rPr>
            </w:pPr>
          </w:p>
        </w:tc>
        <w:tc>
          <w:tcPr>
            <w:tcW w:w="4500" w:type="dxa"/>
            <w:noWrap w:val="0"/>
            <w:vAlign w:val="top"/>
          </w:tcPr>
          <w:p>
            <w:pPr>
              <w:widowControl/>
              <w:snapToGrid w:val="0"/>
              <w:spacing w:line="500" w:lineRule="exact"/>
              <w:rPr>
                <w:rFonts w:hint="eastAsia" w:ascii="宋体" w:hAnsi="宋体" w:cs="宋体"/>
                <w:color w:val="auto"/>
                <w:sz w:val="32"/>
                <w:szCs w:val="32"/>
              </w:rPr>
            </w:pPr>
          </w:p>
        </w:tc>
      </w:tr>
      <w:tr>
        <w:tblPrEx>
          <w:tblCellMar>
            <w:top w:w="0" w:type="dxa"/>
            <w:left w:w="108" w:type="dxa"/>
            <w:bottom w:w="0" w:type="dxa"/>
            <w:right w:w="108" w:type="dxa"/>
          </w:tblCellMar>
        </w:tblPrEx>
        <w:tc>
          <w:tcPr>
            <w:tcW w:w="6840" w:type="dxa"/>
            <w:gridSpan w:val="2"/>
            <w:noWrap w:val="0"/>
            <w:vAlign w:val="top"/>
          </w:tcPr>
          <w:p>
            <w:pPr>
              <w:widowControl/>
              <w:snapToGrid w:val="0"/>
              <w:spacing w:before="156" w:beforeLines="50" w:line="500" w:lineRule="exact"/>
              <w:jc w:val="center"/>
              <w:rPr>
                <w:rFonts w:hint="eastAsia" w:ascii="宋体" w:hAnsi="宋体" w:cs="宋体"/>
                <w:color w:val="auto"/>
                <w:spacing w:val="24"/>
                <w:sz w:val="32"/>
                <w:szCs w:val="32"/>
              </w:rPr>
            </w:pPr>
            <w:r>
              <w:rPr>
                <w:rFonts w:hint="eastAsia" w:ascii="宋体" w:hAnsi="宋体" w:cs="宋体"/>
                <w:color w:val="auto"/>
                <w:spacing w:val="24"/>
                <w:kern w:val="0"/>
                <w:sz w:val="32"/>
                <w:szCs w:val="32"/>
                <w:lang w:bidi="ar"/>
              </w:rPr>
              <w:t>二○二一年</w:t>
            </w:r>
            <w:r>
              <w:rPr>
                <w:rFonts w:hint="eastAsia" w:ascii="宋体" w:hAnsi="宋体" w:cs="宋体"/>
                <w:color w:val="auto"/>
                <w:spacing w:val="24"/>
                <w:kern w:val="0"/>
                <w:sz w:val="32"/>
                <w:szCs w:val="32"/>
                <w:lang w:eastAsia="zh-CN" w:bidi="ar"/>
              </w:rPr>
              <w:t>五</w:t>
            </w:r>
            <w:r>
              <w:rPr>
                <w:rFonts w:hint="eastAsia" w:ascii="宋体" w:hAnsi="宋体" w:cs="宋体"/>
                <w:color w:val="auto"/>
                <w:spacing w:val="24"/>
                <w:kern w:val="0"/>
                <w:sz w:val="32"/>
                <w:szCs w:val="32"/>
                <w:lang w:bidi="ar"/>
              </w:rPr>
              <w:t>月</w:t>
            </w:r>
          </w:p>
        </w:tc>
      </w:tr>
    </w:tbl>
    <w:p>
      <w:pPr>
        <w:widowControl/>
        <w:snapToGrid w:val="0"/>
        <w:spacing w:before="156" w:beforeLines="50" w:line="500" w:lineRule="exact"/>
        <w:jc w:val="center"/>
        <w:rPr>
          <w:rFonts w:hint="eastAsia" w:ascii="宋体" w:hAnsi="宋体" w:cs="宋体"/>
          <w:b/>
          <w:color w:val="auto"/>
        </w:rPr>
      </w:pPr>
      <w:r>
        <w:rPr>
          <w:rFonts w:hint="eastAsia" w:ascii="宋体" w:hAnsi="宋体" w:cs="宋体"/>
          <w:b/>
          <w:color w:val="auto"/>
          <w:sz w:val="34"/>
          <w:szCs w:val="20"/>
          <w:lang w:bidi="ar"/>
        </w:rPr>
        <w:br w:type="page"/>
      </w:r>
    </w:p>
    <w:p>
      <w:pPr>
        <w:widowControl/>
        <w:snapToGrid w:val="0"/>
        <w:spacing w:before="156" w:beforeLines="50" w:line="500" w:lineRule="exact"/>
        <w:jc w:val="center"/>
        <w:rPr>
          <w:rFonts w:hint="eastAsia" w:ascii="宋体" w:hAnsi="宋体" w:cs="宋体"/>
          <w:b/>
          <w:color w:val="auto"/>
          <w:sz w:val="48"/>
          <w:szCs w:val="48"/>
        </w:rPr>
      </w:pPr>
      <w:r>
        <w:rPr>
          <w:rFonts w:hint="eastAsia" w:ascii="宋体" w:hAnsi="宋体" w:cs="宋体"/>
          <w:b/>
          <w:color w:val="auto"/>
          <w:kern w:val="0"/>
          <w:sz w:val="48"/>
          <w:szCs w:val="48"/>
          <w:lang w:bidi="ar"/>
        </w:rPr>
        <w:t>目    录</w:t>
      </w:r>
    </w:p>
    <w:p>
      <w:pPr>
        <w:pStyle w:val="23"/>
        <w:widowControl/>
        <w:tabs>
          <w:tab w:val="right" w:leader="dot" w:pos="9628"/>
        </w:tabs>
        <w:rPr>
          <w:rFonts w:hAnsi="宋体" w:cs="宋体"/>
          <w:color w:val="auto"/>
          <w:sz w:val="44"/>
          <w:szCs w:val="44"/>
        </w:rPr>
      </w:pPr>
    </w:p>
    <w:p>
      <w:pPr>
        <w:pStyle w:val="23"/>
        <w:widowControl/>
        <w:tabs>
          <w:tab w:val="right" w:leader="dot" w:pos="8820"/>
        </w:tabs>
        <w:spacing w:line="960" w:lineRule="exact"/>
        <w:rPr>
          <w:rFonts w:hAnsi="宋体" w:cs="宋体"/>
          <w:color w:val="auto"/>
          <w:sz w:val="28"/>
          <w:szCs w:val="28"/>
        </w:rPr>
      </w:pPr>
      <w:r>
        <w:rPr>
          <w:rFonts w:hAnsi="宋体" w:cs="宋体"/>
          <w:color w:val="auto"/>
          <w:sz w:val="28"/>
          <w:szCs w:val="28"/>
        </w:rPr>
        <w:fldChar w:fldCharType="begin"/>
      </w:r>
      <w:r>
        <w:rPr>
          <w:rFonts w:hAnsi="宋体" w:cs="宋体"/>
          <w:color w:val="auto"/>
          <w:sz w:val="28"/>
          <w:szCs w:val="28"/>
        </w:rPr>
        <w:instrText xml:space="preserve"> TOC \o "1-3" \h \z \u </w:instrText>
      </w:r>
      <w:r>
        <w:rPr>
          <w:rFonts w:hAnsi="宋体" w:cs="宋体"/>
          <w:color w:val="auto"/>
          <w:sz w:val="28"/>
          <w:szCs w:val="28"/>
        </w:rPr>
        <w:fldChar w:fldCharType="separate"/>
      </w:r>
      <w:r>
        <w:rPr>
          <w:rFonts w:hAnsi="宋体" w:cs="宋体"/>
          <w:color w:val="auto"/>
          <w:sz w:val="28"/>
          <w:szCs w:val="28"/>
        </w:rPr>
        <w:fldChar w:fldCharType="begin"/>
      </w:r>
      <w:r>
        <w:rPr>
          <w:rFonts w:hAnsi="宋体" w:cs="宋体"/>
          <w:color w:val="auto"/>
          <w:sz w:val="28"/>
          <w:szCs w:val="28"/>
        </w:rPr>
        <w:instrText xml:space="preserve"> HYPERLINK "http://172.26.241.148/dataandfiles/files/u/many/201781103019陶冶9787256125/温岭咪网招标文件（第三版%29.doc" \l "_Toc373154491" </w:instrText>
      </w:r>
      <w:r>
        <w:rPr>
          <w:rFonts w:hAnsi="宋体" w:cs="宋体"/>
          <w:color w:val="auto"/>
          <w:sz w:val="28"/>
          <w:szCs w:val="28"/>
        </w:rPr>
        <w:fldChar w:fldCharType="separate"/>
      </w:r>
      <w:r>
        <w:rPr>
          <w:rStyle w:val="37"/>
          <w:rFonts w:hAnsi="宋体" w:cs="宋体"/>
          <w:color w:val="auto"/>
          <w:sz w:val="28"/>
          <w:szCs w:val="28"/>
        </w:rPr>
        <w:t>第一章  竞争性磋商公告</w:t>
      </w:r>
      <w:r>
        <w:rPr>
          <w:rStyle w:val="37"/>
          <w:rFonts w:hAnsi="宋体" w:cs="宋体"/>
          <w:color w:val="auto"/>
          <w:sz w:val="28"/>
          <w:szCs w:val="28"/>
          <w:u w:val="none"/>
        </w:rPr>
        <w:tab/>
      </w:r>
      <w:bookmarkStart w:id="0" w:name="_Hlt475342815"/>
      <w:bookmarkStart w:id="1" w:name="_Hlt475342814"/>
      <w:r>
        <w:rPr>
          <w:rStyle w:val="37"/>
          <w:rFonts w:hAnsi="宋体" w:cs="宋体"/>
          <w:color w:val="auto"/>
          <w:sz w:val="28"/>
          <w:szCs w:val="28"/>
          <w:u w:val="none"/>
        </w:rPr>
        <w:t>3</w:t>
      </w:r>
      <w:bookmarkEnd w:id="0"/>
      <w:bookmarkEnd w:id="1"/>
      <w:r>
        <w:rPr>
          <w:rFonts w:hAnsi="宋体" w:cs="宋体"/>
          <w:color w:val="auto"/>
          <w:sz w:val="28"/>
          <w:szCs w:val="28"/>
        </w:rPr>
        <w:fldChar w:fldCharType="end"/>
      </w:r>
    </w:p>
    <w:p>
      <w:pPr>
        <w:pStyle w:val="23"/>
        <w:widowControl/>
        <w:tabs>
          <w:tab w:val="right" w:leader="dot" w:pos="8820"/>
        </w:tabs>
        <w:spacing w:line="960" w:lineRule="exact"/>
        <w:rPr>
          <w:rFonts w:hAnsi="宋体" w:cs="宋体"/>
          <w:color w:val="auto"/>
          <w:sz w:val="28"/>
          <w:szCs w:val="28"/>
        </w:rPr>
      </w:pPr>
      <w:r>
        <w:rPr>
          <w:rFonts w:hAnsi="宋体" w:cs="宋体"/>
          <w:color w:val="auto"/>
          <w:sz w:val="28"/>
          <w:szCs w:val="28"/>
        </w:rPr>
        <w:fldChar w:fldCharType="begin"/>
      </w:r>
      <w:r>
        <w:rPr>
          <w:rFonts w:hAnsi="宋体" w:cs="宋体"/>
          <w:color w:val="auto"/>
          <w:sz w:val="28"/>
          <w:szCs w:val="28"/>
        </w:rPr>
        <w:instrText xml:space="preserve"> HYPERLINK "http://172.26.241.148/dataandfiles/files/u/many/201781103019陶冶9787256125/温岭咪网招标文件（第三版%29.doc" \l "_Toc373154492" </w:instrText>
      </w:r>
      <w:r>
        <w:rPr>
          <w:rFonts w:hAnsi="宋体" w:cs="宋体"/>
          <w:color w:val="auto"/>
          <w:sz w:val="28"/>
          <w:szCs w:val="28"/>
        </w:rPr>
        <w:fldChar w:fldCharType="separate"/>
      </w:r>
      <w:r>
        <w:rPr>
          <w:rStyle w:val="37"/>
          <w:rFonts w:hAnsi="宋体" w:cs="宋体"/>
          <w:color w:val="auto"/>
          <w:sz w:val="28"/>
          <w:szCs w:val="28"/>
        </w:rPr>
        <w:t>第二章  供应商须知</w:t>
      </w:r>
      <w:r>
        <w:rPr>
          <w:rStyle w:val="37"/>
          <w:rFonts w:hAnsi="宋体" w:cs="宋体"/>
          <w:color w:val="auto"/>
          <w:sz w:val="28"/>
          <w:szCs w:val="28"/>
          <w:u w:val="none"/>
        </w:rPr>
        <w:tab/>
      </w:r>
      <w:r>
        <w:rPr>
          <w:rStyle w:val="37"/>
          <w:rFonts w:hAnsi="宋体" w:cs="宋体"/>
          <w:color w:val="auto"/>
          <w:sz w:val="28"/>
          <w:szCs w:val="28"/>
          <w:u w:val="none"/>
        </w:rPr>
        <w:t>5</w:t>
      </w:r>
      <w:r>
        <w:rPr>
          <w:rFonts w:hAnsi="宋体" w:cs="宋体"/>
          <w:color w:val="auto"/>
          <w:sz w:val="28"/>
          <w:szCs w:val="28"/>
        </w:rPr>
        <w:fldChar w:fldCharType="end"/>
      </w:r>
    </w:p>
    <w:p>
      <w:pPr>
        <w:pStyle w:val="23"/>
        <w:widowControl/>
        <w:tabs>
          <w:tab w:val="right" w:leader="dot" w:pos="8820"/>
        </w:tabs>
        <w:spacing w:line="960" w:lineRule="exact"/>
        <w:rPr>
          <w:rFonts w:hAnsi="宋体" w:cs="宋体"/>
          <w:color w:val="auto"/>
          <w:sz w:val="28"/>
          <w:szCs w:val="28"/>
        </w:rPr>
      </w:pPr>
      <w:r>
        <w:rPr>
          <w:rFonts w:hAnsi="宋体" w:cs="宋体"/>
          <w:color w:val="auto"/>
          <w:sz w:val="28"/>
          <w:szCs w:val="28"/>
        </w:rPr>
        <w:fldChar w:fldCharType="begin"/>
      </w:r>
      <w:r>
        <w:rPr>
          <w:rFonts w:hAnsi="宋体" w:cs="宋体"/>
          <w:color w:val="auto"/>
          <w:sz w:val="28"/>
          <w:szCs w:val="28"/>
        </w:rPr>
        <w:instrText xml:space="preserve"> HYPERLINK "http://172.26.241.148/dataandfiles/files/u/many/201781103019陶冶9787256125/温岭咪网招标文件（第三版%29.doc" \l "_Toc373154494" </w:instrText>
      </w:r>
      <w:r>
        <w:rPr>
          <w:rFonts w:hAnsi="宋体" w:cs="宋体"/>
          <w:color w:val="auto"/>
          <w:sz w:val="28"/>
          <w:szCs w:val="28"/>
        </w:rPr>
        <w:fldChar w:fldCharType="separate"/>
      </w:r>
      <w:r>
        <w:rPr>
          <w:rStyle w:val="37"/>
          <w:rFonts w:hAnsi="宋体" w:cs="宋体"/>
          <w:color w:val="auto"/>
          <w:sz w:val="28"/>
          <w:szCs w:val="28"/>
        </w:rPr>
        <w:t>第三章  采购需求</w:t>
      </w:r>
      <w:r>
        <w:rPr>
          <w:rStyle w:val="37"/>
          <w:rFonts w:hAnsi="宋体" w:cs="宋体"/>
          <w:color w:val="auto"/>
          <w:sz w:val="28"/>
          <w:szCs w:val="28"/>
          <w:u w:val="none"/>
        </w:rPr>
        <w:tab/>
      </w:r>
      <w:bookmarkStart w:id="2" w:name="_Hlt475342935"/>
      <w:bookmarkStart w:id="3" w:name="_Hlt475342896"/>
      <w:bookmarkStart w:id="4" w:name="_Hlt475342840"/>
      <w:r>
        <w:rPr>
          <w:rStyle w:val="37"/>
          <w:rFonts w:hAnsi="宋体" w:cs="宋体"/>
          <w:color w:val="auto"/>
          <w:sz w:val="28"/>
          <w:szCs w:val="28"/>
          <w:u w:val="none"/>
        </w:rPr>
        <w:t>1</w:t>
      </w:r>
      <w:bookmarkEnd w:id="2"/>
      <w:bookmarkEnd w:id="3"/>
      <w:bookmarkEnd w:id="4"/>
      <w:r>
        <w:rPr>
          <w:rFonts w:hAnsi="宋体" w:cs="宋体"/>
          <w:color w:val="auto"/>
          <w:sz w:val="28"/>
          <w:szCs w:val="28"/>
        </w:rPr>
        <w:fldChar w:fldCharType="end"/>
      </w:r>
      <w:r>
        <w:rPr>
          <w:rFonts w:hAnsi="宋体" w:cs="宋体"/>
          <w:color w:val="auto"/>
          <w:sz w:val="28"/>
          <w:szCs w:val="28"/>
        </w:rPr>
        <w:t>2</w:t>
      </w:r>
    </w:p>
    <w:p>
      <w:pPr>
        <w:pStyle w:val="23"/>
        <w:widowControl/>
        <w:tabs>
          <w:tab w:val="right" w:leader="dot" w:pos="8820"/>
        </w:tabs>
        <w:spacing w:line="960" w:lineRule="exact"/>
        <w:rPr>
          <w:rFonts w:hAnsi="宋体" w:cs="宋体"/>
          <w:color w:val="auto"/>
          <w:sz w:val="28"/>
          <w:szCs w:val="28"/>
        </w:rPr>
      </w:pPr>
      <w:r>
        <w:rPr>
          <w:rFonts w:hAnsi="宋体" w:cs="宋体"/>
          <w:color w:val="auto"/>
          <w:sz w:val="28"/>
          <w:szCs w:val="28"/>
        </w:rPr>
        <w:fldChar w:fldCharType="begin"/>
      </w:r>
      <w:r>
        <w:rPr>
          <w:rFonts w:hAnsi="宋体" w:cs="宋体"/>
          <w:color w:val="auto"/>
          <w:sz w:val="28"/>
          <w:szCs w:val="28"/>
        </w:rPr>
        <w:instrText xml:space="preserve"> HYPERLINK "http://172.26.241.148/dataandfiles/files/u/many/201781103019陶冶9787256125/温岭咪网招标文件（第三版%29.doc" \l "_Toc373154496" </w:instrText>
      </w:r>
      <w:r>
        <w:rPr>
          <w:rFonts w:hAnsi="宋体" w:cs="宋体"/>
          <w:color w:val="auto"/>
          <w:sz w:val="28"/>
          <w:szCs w:val="28"/>
        </w:rPr>
        <w:fldChar w:fldCharType="separate"/>
      </w:r>
      <w:r>
        <w:rPr>
          <w:rStyle w:val="37"/>
          <w:rFonts w:hAnsi="宋体" w:cs="宋体"/>
          <w:color w:val="auto"/>
          <w:sz w:val="28"/>
          <w:szCs w:val="28"/>
        </w:rPr>
        <w:t>第四章  磋商标准和方法</w:t>
      </w:r>
      <w:r>
        <w:rPr>
          <w:rStyle w:val="37"/>
          <w:rFonts w:hAnsi="宋体" w:cs="宋体"/>
          <w:color w:val="auto"/>
          <w:sz w:val="28"/>
          <w:szCs w:val="28"/>
          <w:u w:val="none"/>
        </w:rPr>
        <w:tab/>
      </w:r>
      <w:r>
        <w:rPr>
          <w:rStyle w:val="37"/>
          <w:rFonts w:hAnsi="宋体" w:cs="宋体"/>
          <w:color w:val="auto"/>
          <w:sz w:val="28"/>
          <w:szCs w:val="28"/>
          <w:u w:val="none"/>
        </w:rPr>
        <w:t>1</w:t>
      </w:r>
      <w:r>
        <w:rPr>
          <w:rFonts w:hAnsi="宋体" w:cs="宋体"/>
          <w:color w:val="auto"/>
          <w:sz w:val="28"/>
          <w:szCs w:val="28"/>
        </w:rPr>
        <w:fldChar w:fldCharType="end"/>
      </w:r>
      <w:r>
        <w:rPr>
          <w:rFonts w:hAnsi="宋体" w:cs="宋体"/>
          <w:color w:val="auto"/>
          <w:sz w:val="28"/>
          <w:szCs w:val="28"/>
        </w:rPr>
        <w:t>3</w:t>
      </w:r>
    </w:p>
    <w:p>
      <w:pPr>
        <w:pStyle w:val="23"/>
        <w:widowControl/>
        <w:tabs>
          <w:tab w:val="right" w:leader="dot" w:pos="8820"/>
        </w:tabs>
        <w:spacing w:line="960" w:lineRule="exact"/>
        <w:rPr>
          <w:rFonts w:hint="default" w:hAnsi="宋体" w:cs="宋体"/>
          <w:color w:val="auto"/>
          <w:sz w:val="28"/>
          <w:szCs w:val="28"/>
        </w:rPr>
      </w:pPr>
      <w:r>
        <w:rPr>
          <w:rFonts w:hAnsi="宋体" w:cs="宋体"/>
          <w:color w:val="auto"/>
          <w:sz w:val="28"/>
          <w:szCs w:val="28"/>
        </w:rPr>
        <w:fldChar w:fldCharType="begin"/>
      </w:r>
      <w:r>
        <w:rPr>
          <w:rFonts w:hAnsi="宋体" w:cs="宋体"/>
          <w:color w:val="auto"/>
          <w:sz w:val="28"/>
          <w:szCs w:val="28"/>
        </w:rPr>
        <w:instrText xml:space="preserve"> HYPERLINK "http://172.26.241.148/dataandfiles/files/u/many/201781103019陶冶9787256125/温岭咪网招标文件（第三版%29.doc" \l "_Toc373154497" </w:instrText>
      </w:r>
      <w:r>
        <w:rPr>
          <w:rFonts w:hAnsi="宋体" w:cs="宋体"/>
          <w:color w:val="auto"/>
          <w:sz w:val="28"/>
          <w:szCs w:val="28"/>
        </w:rPr>
        <w:fldChar w:fldCharType="separate"/>
      </w:r>
      <w:r>
        <w:rPr>
          <w:rStyle w:val="37"/>
          <w:rFonts w:hAnsi="宋体" w:cs="宋体"/>
          <w:color w:val="auto"/>
          <w:sz w:val="28"/>
          <w:szCs w:val="28"/>
        </w:rPr>
        <w:t>第五章  磋商响应文件格式</w:t>
      </w:r>
      <w:r>
        <w:rPr>
          <w:rStyle w:val="37"/>
          <w:rFonts w:hAnsi="宋体" w:cs="宋体"/>
          <w:color w:val="auto"/>
          <w:sz w:val="28"/>
          <w:szCs w:val="28"/>
          <w:u w:val="none"/>
        </w:rPr>
        <w:tab/>
      </w:r>
      <w:r>
        <w:rPr>
          <w:rFonts w:hAnsi="宋体" w:cs="宋体"/>
          <w:color w:val="auto"/>
          <w:sz w:val="28"/>
          <w:szCs w:val="28"/>
        </w:rPr>
        <w:fldChar w:fldCharType="end"/>
      </w:r>
      <w:r>
        <w:rPr>
          <w:rFonts w:hAnsi="宋体" w:cs="宋体"/>
          <w:color w:val="auto"/>
          <w:sz w:val="28"/>
          <w:szCs w:val="28"/>
        </w:rPr>
        <w:t>16</w:t>
      </w:r>
    </w:p>
    <w:p>
      <w:pPr>
        <w:tabs>
          <w:tab w:val="right" w:leader="dot" w:pos="8820"/>
        </w:tabs>
        <w:spacing w:line="960" w:lineRule="exact"/>
        <w:jc w:val="center"/>
        <w:rPr>
          <w:rFonts w:hint="eastAsia" w:ascii="宋体" w:hAnsi="宋体" w:cs="宋体"/>
          <w:color w:val="auto"/>
          <w:sz w:val="32"/>
          <w:szCs w:val="32"/>
        </w:rPr>
      </w:pPr>
      <w:r>
        <w:rPr>
          <w:rFonts w:hint="eastAsia" w:ascii="宋体" w:hAnsi="宋体" w:cs="宋体"/>
          <w:color w:val="auto"/>
          <w:kern w:val="0"/>
          <w:sz w:val="28"/>
          <w:szCs w:val="28"/>
          <w:lang w:bidi="ar"/>
        </w:rPr>
        <w:fldChar w:fldCharType="end"/>
      </w:r>
    </w:p>
    <w:p>
      <w:pPr>
        <w:jc w:val="center"/>
        <w:rPr>
          <w:rFonts w:hint="eastAsia" w:ascii="宋体" w:hAnsi="宋体" w:cs="宋体"/>
          <w:color w:val="auto"/>
          <w:sz w:val="32"/>
          <w:szCs w:val="32"/>
        </w:rPr>
      </w:pPr>
    </w:p>
    <w:p>
      <w:pPr>
        <w:jc w:val="center"/>
        <w:rPr>
          <w:rFonts w:hint="eastAsia" w:ascii="宋体" w:hAnsi="宋体" w:cs="宋体"/>
          <w:color w:val="auto"/>
          <w:sz w:val="32"/>
          <w:szCs w:val="32"/>
        </w:rPr>
      </w:pPr>
    </w:p>
    <w:p>
      <w:pPr>
        <w:jc w:val="center"/>
        <w:rPr>
          <w:rFonts w:hint="eastAsia" w:ascii="宋体" w:hAnsi="宋体" w:cs="宋体"/>
          <w:color w:val="auto"/>
          <w:sz w:val="32"/>
          <w:szCs w:val="32"/>
        </w:rPr>
      </w:pPr>
    </w:p>
    <w:p>
      <w:pPr>
        <w:jc w:val="center"/>
        <w:rPr>
          <w:rFonts w:hint="eastAsia" w:ascii="宋体" w:hAnsi="宋体" w:cs="宋体"/>
          <w:color w:val="auto"/>
          <w:sz w:val="32"/>
          <w:szCs w:val="32"/>
        </w:rPr>
      </w:pPr>
    </w:p>
    <w:p>
      <w:pPr>
        <w:jc w:val="center"/>
        <w:rPr>
          <w:rFonts w:hint="eastAsia" w:ascii="宋体" w:hAnsi="宋体" w:cs="宋体"/>
          <w:color w:val="auto"/>
          <w:sz w:val="32"/>
          <w:szCs w:val="32"/>
        </w:rPr>
      </w:pPr>
    </w:p>
    <w:p>
      <w:pPr>
        <w:jc w:val="center"/>
        <w:rPr>
          <w:rFonts w:hint="eastAsia" w:ascii="宋体" w:hAnsi="宋体" w:cs="宋体"/>
          <w:color w:val="auto"/>
          <w:sz w:val="32"/>
          <w:szCs w:val="32"/>
        </w:rPr>
      </w:pPr>
    </w:p>
    <w:p>
      <w:pPr>
        <w:pStyle w:val="84"/>
        <w:widowControl/>
        <w:numPr>
          <w:ilvl w:val="0"/>
          <w:numId w:val="0"/>
        </w:numPr>
        <w:spacing w:before="300" w:after="300" w:line="300" w:lineRule="exact"/>
        <w:jc w:val="center"/>
        <w:rPr>
          <w:rFonts w:hAnsi="宋体" w:cs="宋体"/>
          <w:color w:val="auto"/>
          <w:sz w:val="32"/>
          <w:szCs w:val="32"/>
        </w:rPr>
      </w:pPr>
      <w:r>
        <w:rPr>
          <w:rFonts w:hAnsi="宋体" w:cs="宋体"/>
          <w:color w:val="auto"/>
          <w:sz w:val="32"/>
          <w:szCs w:val="32"/>
          <w:lang w:bidi="ar"/>
        </w:rPr>
        <w:br w:type="page"/>
      </w:r>
      <w:bookmarkStart w:id="5" w:name="_Toc373154491"/>
      <w:r>
        <w:rPr>
          <w:rFonts w:hAnsi="宋体" w:cs="宋体"/>
          <w:color w:val="auto"/>
          <w:sz w:val="32"/>
          <w:szCs w:val="32"/>
        </w:rPr>
        <w:t xml:space="preserve">第一章  </w:t>
      </w:r>
      <w:bookmarkEnd w:id="5"/>
      <w:r>
        <w:rPr>
          <w:rFonts w:hAnsi="宋体" w:cs="宋体"/>
          <w:color w:val="auto"/>
          <w:sz w:val="32"/>
          <w:szCs w:val="32"/>
        </w:rPr>
        <w:t>竞争性磋商公告</w:t>
      </w:r>
    </w:p>
    <w:p>
      <w:pPr>
        <w:spacing w:line="380" w:lineRule="exact"/>
        <w:ind w:firstLine="480" w:firstLineChars="200"/>
        <w:rPr>
          <w:rFonts w:hint="eastAsia" w:ascii="宋体" w:hAnsi="宋体" w:cs="宋体"/>
          <w:color w:val="auto"/>
          <w:sz w:val="24"/>
        </w:rPr>
      </w:pPr>
      <w:bookmarkStart w:id="6" w:name="_Toc373154492"/>
      <w:r>
        <w:rPr>
          <w:rFonts w:hint="eastAsia" w:ascii="宋体" w:hAnsi="宋体" w:cs="宋体"/>
          <w:color w:val="auto"/>
          <w:kern w:val="0"/>
          <w:sz w:val="24"/>
          <w:lang w:bidi="ar"/>
        </w:rPr>
        <w:t>建经投资咨询有限公司受台州市生态环境局温岭分局委托，就温岭市小微企业危险废物集中收集单位入围项目进行竞争性磋商，欢迎国内合格的供应商前来磋商。</w:t>
      </w:r>
    </w:p>
    <w:p>
      <w:pPr>
        <w:spacing w:line="380" w:lineRule="exact"/>
        <w:rPr>
          <w:rFonts w:hint="eastAsia" w:ascii="宋体" w:hAnsi="宋体" w:cs="宋体"/>
          <w:color w:val="auto"/>
          <w:sz w:val="24"/>
        </w:rPr>
      </w:pPr>
      <w:bookmarkStart w:id="7" w:name="_Toc179861433"/>
      <w:r>
        <w:rPr>
          <w:rFonts w:hint="eastAsia" w:ascii="宋体" w:hAnsi="宋体" w:cs="宋体"/>
          <w:b/>
          <w:color w:val="auto"/>
          <w:kern w:val="0"/>
          <w:sz w:val="24"/>
          <w:lang w:bidi="ar"/>
        </w:rPr>
        <w:t>一、竞争性磋商项目编号:</w:t>
      </w:r>
      <w:bookmarkEnd w:id="7"/>
      <w:r>
        <w:rPr>
          <w:rFonts w:hint="eastAsia" w:ascii="宋体" w:hAnsi="宋体" w:cs="宋体"/>
          <w:b/>
          <w:color w:val="auto"/>
          <w:kern w:val="0"/>
          <w:sz w:val="24"/>
          <w:lang w:bidi="ar"/>
        </w:rPr>
        <w:t xml:space="preserve"> </w:t>
      </w:r>
      <w:r>
        <w:rPr>
          <w:rFonts w:hint="eastAsia" w:ascii="宋体" w:hAnsi="宋体" w:cs="宋体"/>
          <w:color w:val="auto"/>
          <w:kern w:val="0"/>
          <w:sz w:val="24"/>
          <w:lang w:bidi="ar"/>
        </w:rPr>
        <w:t xml:space="preserve">JJWL21031657  </w:t>
      </w:r>
    </w:p>
    <w:p>
      <w:pPr>
        <w:spacing w:line="380" w:lineRule="exact"/>
        <w:rPr>
          <w:rFonts w:hint="eastAsia" w:ascii="宋体" w:hAnsi="宋体" w:cs="宋体"/>
          <w:b/>
          <w:color w:val="auto"/>
          <w:kern w:val="0"/>
          <w:sz w:val="24"/>
          <w:lang w:bidi="ar"/>
        </w:rPr>
      </w:pPr>
      <w:bookmarkStart w:id="8" w:name="_Toc179861434"/>
      <w:r>
        <w:rPr>
          <w:rFonts w:hint="eastAsia" w:ascii="宋体" w:hAnsi="宋体" w:cs="宋体"/>
          <w:b/>
          <w:color w:val="auto"/>
          <w:kern w:val="0"/>
          <w:sz w:val="24"/>
          <w:lang w:bidi="ar"/>
        </w:rPr>
        <w:t>二、竞争性磋商项目概况:</w:t>
      </w:r>
      <w:bookmarkEnd w:id="8"/>
      <w:bookmarkStart w:id="9" w:name="_Toc179861436"/>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323"/>
        <w:gridCol w:w="946"/>
        <w:gridCol w:w="1033"/>
        <w:gridCol w:w="4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b/>
                <w:bCs/>
                <w:color w:val="auto"/>
                <w:sz w:val="24"/>
              </w:rPr>
            </w:pPr>
            <w:r>
              <w:rPr>
                <w:rFonts w:hint="eastAsia" w:ascii="Calibri" w:hAnsi="宋体" w:cs="仿宋_GB2312"/>
                <w:b/>
                <w:bCs/>
                <w:color w:val="auto"/>
                <w:sz w:val="24"/>
              </w:rPr>
              <w:t>序号</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b/>
                <w:bCs/>
                <w:color w:val="auto"/>
                <w:sz w:val="24"/>
              </w:rPr>
            </w:pPr>
            <w:r>
              <w:rPr>
                <w:rFonts w:hint="eastAsia" w:ascii="Calibri" w:hAnsi="宋体" w:cs="仿宋_GB2312"/>
                <w:b/>
                <w:bCs/>
                <w:color w:val="auto"/>
                <w:sz w:val="24"/>
              </w:rPr>
              <w:t>标项内容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b/>
                <w:bCs/>
                <w:color w:val="auto"/>
                <w:sz w:val="24"/>
              </w:rPr>
            </w:pPr>
            <w:r>
              <w:rPr>
                <w:rFonts w:hint="eastAsia" w:ascii="Calibri" w:hAnsi="宋体" w:cs="仿宋_GB2312"/>
                <w:b/>
                <w:bCs/>
                <w:color w:val="auto"/>
                <w:sz w:val="24"/>
              </w:rPr>
              <w:t>数量</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b/>
                <w:bCs/>
                <w:color w:val="auto"/>
                <w:sz w:val="24"/>
              </w:rPr>
            </w:pPr>
            <w:r>
              <w:rPr>
                <w:rFonts w:hint="eastAsia" w:ascii="Calibri" w:hAnsi="宋体" w:cs="仿宋_GB2312"/>
                <w:b/>
                <w:bCs/>
                <w:color w:val="auto"/>
                <w:sz w:val="24"/>
              </w:rPr>
              <w:t>单位</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b/>
                <w:bCs/>
                <w:color w:val="auto"/>
                <w:sz w:val="24"/>
              </w:rPr>
            </w:pPr>
            <w:r>
              <w:rPr>
                <w:rFonts w:hint="eastAsia" w:ascii="Calibri" w:hAnsi="宋体" w:cs="仿宋_GB2312"/>
                <w:b/>
                <w:bCs/>
                <w:color w:val="auto"/>
                <w:sz w:val="24"/>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color w:val="auto"/>
                <w:sz w:val="24"/>
              </w:rPr>
            </w:pPr>
            <w:r>
              <w:rPr>
                <w:rFonts w:hint="eastAsia" w:ascii="Calibri" w:hAnsi="宋体" w:cs="仿宋_GB2312"/>
                <w:color w:val="auto"/>
                <w:sz w:val="24"/>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color w:val="auto"/>
                <w:sz w:val="24"/>
              </w:rPr>
            </w:pPr>
            <w:r>
              <w:rPr>
                <w:rFonts w:hint="eastAsia" w:ascii="宋体" w:hAnsi="宋体" w:cs="宋体"/>
                <w:color w:val="auto"/>
                <w:kern w:val="0"/>
                <w:sz w:val="24"/>
                <w:lang w:bidi="ar"/>
              </w:rPr>
              <w:t>温岭市小微企业危险废物集中收集单位入围项目标项一</w:t>
            </w: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color w:val="auto"/>
                <w:sz w:val="24"/>
              </w:rPr>
            </w:pPr>
            <w:r>
              <w:rPr>
                <w:rFonts w:hint="eastAsia" w:ascii="Calibri" w:hAnsi="宋体" w:cs="仿宋_GB2312"/>
                <w:color w:val="auto"/>
                <w:sz w:val="24"/>
              </w:rPr>
              <w:t>1</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color w:val="auto"/>
                <w:sz w:val="24"/>
              </w:rPr>
            </w:pPr>
            <w:r>
              <w:rPr>
                <w:rFonts w:hint="eastAsia" w:ascii="Calibri" w:hAnsi="宋体" w:cs="仿宋_GB2312"/>
                <w:color w:val="auto"/>
                <w:sz w:val="24"/>
              </w:rPr>
              <w:t>项</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rPr>
                <w:rFonts w:hint="eastAsia" w:ascii="Calibri" w:hAnsi="宋体" w:cs="仿宋_GB2312"/>
                <w:color w:val="auto"/>
                <w:sz w:val="24"/>
              </w:rPr>
            </w:pPr>
            <w:r>
              <w:rPr>
                <w:rFonts w:hint="eastAsia" w:ascii="Calibri" w:hAnsi="宋体" w:cs="仿宋_GB2312"/>
                <w:color w:val="auto"/>
                <w:sz w:val="24"/>
              </w:rPr>
              <w:t>温岭市内</w:t>
            </w:r>
            <w:r>
              <w:rPr>
                <w:rFonts w:hint="eastAsia" w:ascii="宋体" w:hAnsi="宋体" w:cs="宋体"/>
                <w:color w:val="auto"/>
                <w:kern w:val="0"/>
                <w:sz w:val="24"/>
                <w:lang w:bidi="ar"/>
              </w:rPr>
              <w:t>小微企业危险废物集中收集，收集地点要求设置在大溪或泽国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color w:val="auto"/>
                <w:sz w:val="24"/>
              </w:rPr>
            </w:pPr>
            <w:r>
              <w:rPr>
                <w:rFonts w:hint="eastAsia" w:ascii="Calibri" w:hAnsi="宋体" w:cs="仿宋_GB2312"/>
                <w:color w:val="auto"/>
                <w:sz w:val="24"/>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宋体" w:hAnsi="宋体" w:cs="宋体"/>
                <w:color w:val="auto"/>
                <w:kern w:val="0"/>
                <w:sz w:val="24"/>
                <w:lang w:bidi="ar"/>
              </w:rPr>
            </w:pPr>
            <w:r>
              <w:rPr>
                <w:rFonts w:hint="eastAsia" w:ascii="宋体" w:hAnsi="宋体" w:cs="宋体"/>
                <w:color w:val="auto"/>
                <w:kern w:val="0"/>
                <w:sz w:val="24"/>
                <w:lang w:bidi="ar"/>
              </w:rPr>
              <w:t>温岭市小微企业危险废物集中收集单位入围项目标项二</w:t>
            </w: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color w:val="auto"/>
                <w:sz w:val="24"/>
              </w:rPr>
            </w:pPr>
            <w:r>
              <w:rPr>
                <w:rFonts w:hint="eastAsia" w:ascii="Calibri" w:hAnsi="宋体" w:cs="仿宋_GB2312"/>
                <w:color w:val="auto"/>
                <w:sz w:val="24"/>
              </w:rPr>
              <w:t>1</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31" w:rightChars="-15"/>
              <w:jc w:val="center"/>
              <w:rPr>
                <w:rFonts w:hint="eastAsia" w:ascii="Calibri" w:hAnsi="宋体" w:cs="仿宋_GB2312"/>
                <w:color w:val="auto"/>
                <w:sz w:val="24"/>
              </w:rPr>
            </w:pPr>
            <w:r>
              <w:rPr>
                <w:rFonts w:hint="eastAsia" w:ascii="Calibri" w:hAnsi="宋体" w:cs="仿宋_GB2312"/>
                <w:color w:val="auto"/>
                <w:sz w:val="24"/>
              </w:rPr>
              <w:t>项</w:t>
            </w:r>
          </w:p>
        </w:tc>
        <w:tc>
          <w:tcPr>
            <w:tcW w:w="4117" w:type="dxa"/>
            <w:tcBorders>
              <w:top w:val="single" w:color="auto" w:sz="4" w:space="0"/>
              <w:left w:val="single" w:color="auto" w:sz="4" w:space="0"/>
              <w:right w:val="single" w:color="auto" w:sz="4" w:space="0"/>
            </w:tcBorders>
            <w:noWrap w:val="0"/>
            <w:vAlign w:val="center"/>
          </w:tcPr>
          <w:p>
            <w:pPr>
              <w:spacing w:line="440" w:lineRule="exact"/>
              <w:ind w:right="-31" w:rightChars="-15"/>
              <w:rPr>
                <w:rFonts w:hint="eastAsia" w:ascii="宋体" w:hAnsi="宋体" w:cs="宋体"/>
                <w:color w:val="auto"/>
                <w:kern w:val="0"/>
                <w:sz w:val="24"/>
                <w:lang w:bidi="ar"/>
              </w:rPr>
            </w:pPr>
            <w:r>
              <w:rPr>
                <w:rFonts w:hint="eastAsia" w:ascii="Calibri" w:hAnsi="宋体" w:cs="仿宋_GB2312"/>
                <w:color w:val="auto"/>
                <w:sz w:val="24"/>
              </w:rPr>
              <w:t>温岭市内</w:t>
            </w:r>
            <w:r>
              <w:rPr>
                <w:rFonts w:hint="eastAsia" w:ascii="宋体" w:hAnsi="宋体" w:cs="宋体"/>
                <w:color w:val="auto"/>
                <w:kern w:val="0"/>
                <w:sz w:val="24"/>
                <w:lang w:bidi="ar"/>
              </w:rPr>
              <w:t>小微企业危险废物集中收集，收集地点要求设置在温峤或横峰</w:t>
            </w:r>
          </w:p>
        </w:tc>
      </w:tr>
    </w:tbl>
    <w:p>
      <w:pPr>
        <w:spacing w:line="380" w:lineRule="exact"/>
        <w:rPr>
          <w:rFonts w:hint="eastAsia" w:ascii="宋体" w:hAnsi="宋体" w:cs="宋体"/>
          <w:b/>
          <w:color w:val="auto"/>
          <w:sz w:val="24"/>
        </w:rPr>
      </w:pPr>
      <w:r>
        <w:rPr>
          <w:rFonts w:hint="eastAsia" w:ascii="宋体" w:hAnsi="宋体" w:cs="宋体"/>
          <w:b/>
          <w:color w:val="auto"/>
          <w:kern w:val="0"/>
          <w:sz w:val="24"/>
          <w:lang w:bidi="ar"/>
        </w:rPr>
        <w:t>三、合格磋商供应商资格要求:</w:t>
      </w:r>
      <w:bookmarkEnd w:id="9"/>
    </w:p>
    <w:p>
      <w:pPr>
        <w:spacing w:line="440" w:lineRule="exact"/>
        <w:rPr>
          <w:rFonts w:hint="eastAsia" w:hAnsi="宋体" w:cs="仿宋_GB2312"/>
          <w:color w:val="auto"/>
          <w:sz w:val="24"/>
        </w:rPr>
      </w:pPr>
      <w:bookmarkStart w:id="10" w:name="OLE_LINK4"/>
      <w:bookmarkStart w:id="11" w:name="_Toc179861437"/>
      <w:r>
        <w:rPr>
          <w:rFonts w:hint="eastAsia" w:hAnsi="宋体" w:cs="仿宋_GB2312"/>
          <w:color w:val="auto"/>
          <w:sz w:val="24"/>
        </w:rPr>
        <w:t>1、具有独立法人资格的企业；</w:t>
      </w:r>
    </w:p>
    <w:p>
      <w:pPr>
        <w:spacing w:line="440" w:lineRule="exact"/>
        <w:rPr>
          <w:rFonts w:hint="eastAsia" w:hAnsi="宋体" w:cs="仿宋_GB2312"/>
          <w:color w:val="auto"/>
          <w:sz w:val="24"/>
        </w:rPr>
      </w:pPr>
      <w:r>
        <w:rPr>
          <w:rFonts w:hint="eastAsia" w:hAnsi="宋体" w:cs="仿宋_GB2312"/>
          <w:color w:val="auto"/>
          <w:sz w:val="24"/>
        </w:rPr>
        <w:t>2、供应商在响应截止时间前三年内无因</w:t>
      </w:r>
      <w:r>
        <w:rPr>
          <w:rFonts w:hint="eastAsia" w:hAnsi="宋体" w:cs="仿宋_GB2312"/>
          <w:color w:val="auto"/>
          <w:sz w:val="24"/>
          <w:lang w:val="zh-CN"/>
        </w:rPr>
        <w:t>安全和环境保护方面受到过刑事犯罪的记录</w:t>
      </w:r>
      <w:r>
        <w:rPr>
          <w:rFonts w:hint="eastAsia" w:hAnsi="宋体" w:cs="仿宋_GB2312"/>
          <w:color w:val="auto"/>
          <w:sz w:val="24"/>
        </w:rPr>
        <w:t>；</w:t>
      </w:r>
    </w:p>
    <w:p>
      <w:pPr>
        <w:spacing w:line="440" w:lineRule="exact"/>
        <w:rPr>
          <w:rFonts w:hint="eastAsia" w:hAnsi="宋体" w:cs="仿宋_GB2312"/>
          <w:color w:val="auto"/>
          <w:sz w:val="24"/>
        </w:rPr>
      </w:pPr>
      <w:r>
        <w:rPr>
          <w:rFonts w:hint="eastAsia" w:hAnsi="宋体" w:cs="仿宋_GB2312"/>
          <w:color w:val="auto"/>
          <w:sz w:val="24"/>
        </w:rPr>
        <w:t>3、本项目不接受联合体投标。</w:t>
      </w:r>
      <w:bookmarkEnd w:id="10"/>
    </w:p>
    <w:p>
      <w:pPr>
        <w:spacing w:line="380" w:lineRule="exact"/>
        <w:rPr>
          <w:rFonts w:hint="eastAsia" w:ascii="宋体" w:hAnsi="宋体" w:cs="宋体"/>
          <w:b/>
          <w:color w:val="auto"/>
          <w:sz w:val="24"/>
        </w:rPr>
      </w:pPr>
      <w:r>
        <w:rPr>
          <w:rFonts w:hint="eastAsia" w:ascii="宋体" w:hAnsi="宋体" w:cs="宋体"/>
          <w:b/>
          <w:color w:val="auto"/>
          <w:kern w:val="0"/>
          <w:sz w:val="24"/>
          <w:lang w:bidi="ar"/>
        </w:rPr>
        <w:t>四、磋商文件的发售</w:t>
      </w:r>
      <w:r>
        <w:rPr>
          <w:rStyle w:val="33"/>
          <w:rFonts w:hint="default" w:ascii="宋体" w:hAnsi="宋体" w:eastAsia="宋体" w:cs="宋体"/>
          <w:color w:val="auto"/>
          <w:szCs w:val="24"/>
          <w:lang w:bidi="ar"/>
        </w:rPr>
        <w:t>时间、地址、售价</w:t>
      </w:r>
      <w:r>
        <w:rPr>
          <w:rFonts w:hint="eastAsia" w:ascii="宋体" w:hAnsi="宋体" w:cs="宋体"/>
          <w:b/>
          <w:color w:val="auto"/>
          <w:kern w:val="0"/>
          <w:sz w:val="24"/>
          <w:lang w:bidi="ar"/>
        </w:rPr>
        <w:t>:</w:t>
      </w:r>
      <w:bookmarkEnd w:id="11"/>
    </w:p>
    <w:p>
      <w:pPr>
        <w:spacing w:line="380" w:lineRule="exact"/>
        <w:ind w:firstLine="540" w:firstLineChars="225"/>
        <w:rPr>
          <w:rFonts w:hint="eastAsia" w:ascii="宋体" w:hAnsi="宋体" w:cs="宋体"/>
          <w:color w:val="auto"/>
          <w:sz w:val="24"/>
        </w:rPr>
      </w:pPr>
      <w:r>
        <w:rPr>
          <w:rFonts w:hint="eastAsia" w:ascii="宋体" w:hAnsi="宋体" w:cs="宋体"/>
          <w:color w:val="auto"/>
          <w:sz w:val="24"/>
        </w:rPr>
        <w:t>报名/发售时间</w:t>
      </w:r>
      <w:r>
        <w:rPr>
          <w:rFonts w:hint="eastAsia" w:ascii="宋体" w:hAnsi="宋体" w:cs="宋体"/>
          <w:color w:val="auto"/>
          <w:kern w:val="0"/>
          <w:sz w:val="24"/>
          <w:lang w:bidi="ar"/>
        </w:rPr>
        <w:t>：</w:t>
      </w:r>
      <w:r>
        <w:rPr>
          <w:rFonts w:hint="eastAsia" w:ascii="宋体" w:hAnsi="宋体" w:cs="宋体"/>
          <w:color w:val="auto"/>
          <w:sz w:val="24"/>
        </w:rPr>
        <w:t>2021-</w:t>
      </w:r>
      <w:r>
        <w:rPr>
          <w:rFonts w:hint="eastAsia" w:ascii="宋体" w:hAnsi="宋体" w:cs="宋体"/>
          <w:color w:val="auto"/>
          <w:sz w:val="24"/>
          <w:lang w:val="en-US" w:eastAsia="zh-CN"/>
        </w:rPr>
        <w:t>5</w:t>
      </w:r>
      <w:r>
        <w:rPr>
          <w:rFonts w:hint="eastAsia" w:ascii="宋体" w:hAnsi="宋体" w:cs="宋体"/>
          <w:color w:val="auto"/>
          <w:sz w:val="24"/>
        </w:rPr>
        <w:t>-</w:t>
      </w:r>
      <w:r>
        <w:rPr>
          <w:rFonts w:hint="eastAsia" w:ascii="宋体" w:hAnsi="宋体" w:cs="宋体"/>
          <w:color w:val="auto"/>
          <w:sz w:val="24"/>
          <w:lang w:val="en-US" w:eastAsia="zh-CN"/>
        </w:rPr>
        <w:t>10</w:t>
      </w:r>
      <w:r>
        <w:rPr>
          <w:rFonts w:hint="eastAsia" w:ascii="宋体" w:hAnsi="宋体" w:cs="宋体"/>
          <w:color w:val="auto"/>
          <w:sz w:val="24"/>
        </w:rPr>
        <w:t>至2021-</w:t>
      </w:r>
      <w:r>
        <w:rPr>
          <w:rFonts w:hint="eastAsia" w:ascii="宋体" w:hAnsi="宋体" w:cs="宋体"/>
          <w:color w:val="auto"/>
          <w:sz w:val="24"/>
          <w:lang w:val="en-US" w:eastAsia="zh-CN"/>
        </w:rPr>
        <w:t>5</w:t>
      </w:r>
      <w:r>
        <w:rPr>
          <w:rFonts w:hint="eastAsia" w:ascii="宋体" w:hAnsi="宋体" w:cs="宋体"/>
          <w:color w:val="auto"/>
          <w:sz w:val="24"/>
        </w:rPr>
        <w:t>-</w:t>
      </w:r>
      <w:r>
        <w:rPr>
          <w:rFonts w:hint="eastAsia" w:ascii="宋体" w:hAnsi="宋体" w:cs="宋体"/>
          <w:color w:val="auto"/>
          <w:sz w:val="24"/>
          <w:lang w:val="en-US" w:eastAsia="zh-CN"/>
        </w:rPr>
        <w:t>18</w:t>
      </w:r>
      <w:r>
        <w:rPr>
          <w:rFonts w:hint="eastAsia" w:ascii="宋体" w:hAnsi="宋体" w:cs="宋体"/>
          <w:color w:val="auto"/>
          <w:kern w:val="0"/>
          <w:sz w:val="24"/>
          <w:lang w:bidi="ar"/>
        </w:rPr>
        <w:t>(双休日及法定节假日除外)</w:t>
      </w:r>
    </w:p>
    <w:p>
      <w:pPr>
        <w:spacing w:line="380" w:lineRule="exact"/>
        <w:ind w:firstLine="540" w:firstLineChars="225"/>
        <w:rPr>
          <w:rFonts w:hint="eastAsia" w:ascii="宋体" w:hAnsi="宋体" w:cs="宋体"/>
          <w:color w:val="auto"/>
          <w:sz w:val="24"/>
        </w:rPr>
      </w:pPr>
      <w:r>
        <w:rPr>
          <w:rFonts w:hint="eastAsia" w:ascii="宋体" w:hAnsi="宋体" w:cs="宋体"/>
          <w:color w:val="auto"/>
          <w:kern w:val="0"/>
          <w:sz w:val="24"/>
          <w:lang w:bidi="ar"/>
        </w:rPr>
        <w:t>上午：8:30-11:30        下午：14:30-17:00</w:t>
      </w:r>
    </w:p>
    <w:p>
      <w:pPr>
        <w:spacing w:line="380" w:lineRule="exact"/>
        <w:ind w:firstLine="540" w:firstLineChars="225"/>
        <w:rPr>
          <w:color w:val="auto"/>
        </w:rPr>
      </w:pPr>
      <w:r>
        <w:rPr>
          <w:rFonts w:hint="eastAsia" w:ascii="宋体" w:hAnsi="宋体" w:cs="宋体"/>
          <w:color w:val="auto"/>
          <w:sz w:val="24"/>
        </w:rPr>
        <w:t>报名/发售地址</w:t>
      </w:r>
      <w:r>
        <w:rPr>
          <w:rFonts w:hint="eastAsia" w:ascii="宋体" w:hAnsi="宋体" w:cs="宋体"/>
          <w:color w:val="auto"/>
          <w:kern w:val="0"/>
          <w:sz w:val="24"/>
          <w:lang w:bidi="ar"/>
        </w:rPr>
        <w:t>：</w:t>
      </w:r>
      <w:bookmarkStart w:id="12" w:name="B23_招标文件的发布地点"/>
      <w:r>
        <w:rPr>
          <w:rFonts w:hint="eastAsia" w:ascii="宋体" w:hAnsi="宋体" w:cs="宋体"/>
          <w:color w:val="auto"/>
          <w:kern w:val="0"/>
          <w:sz w:val="24"/>
          <w:lang w:bidi="ar"/>
        </w:rPr>
        <w:t>浙江省温岭市</w:t>
      </w:r>
      <w:bookmarkEnd w:id="12"/>
      <w:r>
        <w:rPr>
          <w:rFonts w:hint="eastAsia" w:ascii="宋体" w:hAnsi="宋体" w:cs="宋体"/>
          <w:color w:val="auto"/>
          <w:kern w:val="0"/>
          <w:sz w:val="24"/>
          <w:lang w:bidi="ar"/>
        </w:rPr>
        <w:t>万昌路服务业大厦8楼或将报名资料发送至邮箱308526275@qq.com</w:t>
      </w:r>
    </w:p>
    <w:p>
      <w:pPr>
        <w:spacing w:line="380" w:lineRule="exact"/>
        <w:ind w:firstLine="540" w:firstLineChars="225"/>
        <w:rPr>
          <w:rFonts w:ascii="宋体" w:hAnsi="宋体" w:cs="宋体"/>
          <w:color w:val="auto"/>
          <w:sz w:val="24"/>
        </w:rPr>
      </w:pPr>
      <w:r>
        <w:rPr>
          <w:rFonts w:hint="eastAsia" w:ascii="宋体" w:hAnsi="宋体" w:cs="宋体"/>
          <w:color w:val="auto"/>
          <w:kern w:val="0"/>
          <w:sz w:val="24"/>
          <w:lang w:bidi="ar"/>
        </w:rPr>
        <w:t>标书售价(元)：</w:t>
      </w:r>
      <w:r>
        <w:rPr>
          <w:rFonts w:hint="eastAsia" w:ascii="宋体" w:hAnsi="宋体" w:cs="宋体"/>
          <w:color w:val="auto"/>
          <w:kern w:val="0"/>
          <w:sz w:val="24"/>
          <w:lang w:val="en-US" w:eastAsia="zh-CN" w:bidi="ar"/>
        </w:rPr>
        <w:t>300</w:t>
      </w:r>
      <w:r>
        <w:rPr>
          <w:rFonts w:hint="eastAsia" w:ascii="宋体" w:hAnsi="宋体" w:cs="宋体"/>
          <w:color w:val="auto"/>
          <w:kern w:val="0"/>
          <w:sz w:val="24"/>
          <w:lang w:bidi="ar"/>
        </w:rPr>
        <w:t>元/本</w:t>
      </w:r>
    </w:p>
    <w:p>
      <w:pPr>
        <w:spacing w:line="380" w:lineRule="exact"/>
        <w:rPr>
          <w:rFonts w:hint="eastAsia" w:ascii="宋体" w:hAnsi="宋体" w:cs="宋体"/>
          <w:color w:val="auto"/>
          <w:sz w:val="24"/>
        </w:rPr>
      </w:pPr>
      <w:bookmarkStart w:id="13" w:name="_Toc179861438"/>
      <w:r>
        <w:rPr>
          <w:rFonts w:hint="eastAsia" w:ascii="宋体" w:hAnsi="宋体" w:cs="宋体"/>
          <w:b/>
          <w:color w:val="auto"/>
          <w:kern w:val="0"/>
          <w:sz w:val="24"/>
          <w:lang w:bidi="ar"/>
        </w:rPr>
        <w:t>五、响应截止时间：</w:t>
      </w:r>
      <w:bookmarkEnd w:id="13"/>
      <w:r>
        <w:rPr>
          <w:rFonts w:hint="eastAsia" w:ascii="宋体" w:hAnsi="宋体" w:cs="宋体"/>
          <w:color w:val="auto"/>
          <w:kern w:val="0"/>
          <w:sz w:val="24"/>
          <w:lang w:bidi="ar"/>
        </w:rPr>
        <w:t>2021-</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w:t>
      </w:r>
      <w:r>
        <w:rPr>
          <w:rFonts w:hint="eastAsia" w:ascii="宋体" w:hAnsi="宋体" w:cs="宋体"/>
          <w:color w:val="auto"/>
          <w:kern w:val="0"/>
          <w:sz w:val="24"/>
          <w:lang w:val="en-US" w:eastAsia="zh-CN" w:bidi="ar"/>
        </w:rPr>
        <w:t>18</w:t>
      </w:r>
      <w:r>
        <w:rPr>
          <w:rFonts w:hint="eastAsia" w:ascii="宋体" w:hAnsi="宋体" w:cs="宋体"/>
          <w:color w:val="auto"/>
          <w:kern w:val="0"/>
          <w:sz w:val="24"/>
          <w:lang w:bidi="ar"/>
        </w:rPr>
        <w:t xml:space="preserve">    14:</w:t>
      </w: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0:00</w:t>
      </w:r>
    </w:p>
    <w:p>
      <w:pPr>
        <w:spacing w:line="380" w:lineRule="exact"/>
        <w:rPr>
          <w:rFonts w:hint="eastAsia" w:ascii="宋体" w:hAnsi="宋体" w:cs="宋体"/>
          <w:color w:val="auto"/>
          <w:sz w:val="24"/>
        </w:rPr>
      </w:pPr>
      <w:bookmarkStart w:id="14" w:name="_Toc179861439"/>
      <w:r>
        <w:rPr>
          <w:rFonts w:hint="eastAsia" w:ascii="宋体" w:hAnsi="宋体" w:cs="宋体"/>
          <w:b/>
          <w:color w:val="auto"/>
          <w:kern w:val="0"/>
          <w:sz w:val="24"/>
          <w:lang w:bidi="ar"/>
        </w:rPr>
        <w:t>六、响应文件递交地址：</w:t>
      </w:r>
      <w:bookmarkEnd w:id="14"/>
      <w:r>
        <w:rPr>
          <w:rFonts w:hint="eastAsia" w:ascii="宋体" w:hAnsi="宋体" w:cs="宋体"/>
          <w:color w:val="auto"/>
          <w:kern w:val="0"/>
          <w:sz w:val="24"/>
          <w:lang w:bidi="ar"/>
        </w:rPr>
        <w:t>浙江省温岭市万昌路服务业大厦8楼开标厅</w:t>
      </w:r>
    </w:p>
    <w:p>
      <w:pPr>
        <w:spacing w:line="380" w:lineRule="exact"/>
        <w:rPr>
          <w:rFonts w:hint="eastAsia" w:ascii="宋体" w:hAnsi="宋体" w:cs="宋体"/>
          <w:color w:val="auto"/>
          <w:sz w:val="24"/>
        </w:rPr>
      </w:pPr>
      <w:bookmarkStart w:id="15" w:name="_Toc179861440"/>
      <w:r>
        <w:rPr>
          <w:rFonts w:hint="eastAsia" w:ascii="宋体" w:hAnsi="宋体" w:cs="宋体"/>
          <w:b/>
          <w:color w:val="auto"/>
          <w:kern w:val="0"/>
          <w:sz w:val="24"/>
          <w:lang w:bidi="ar"/>
        </w:rPr>
        <w:t>七、磋商时间：</w:t>
      </w:r>
      <w:bookmarkEnd w:id="15"/>
      <w:r>
        <w:rPr>
          <w:rFonts w:hint="eastAsia" w:ascii="宋体" w:hAnsi="宋体" w:cs="宋体"/>
          <w:color w:val="auto"/>
          <w:kern w:val="0"/>
          <w:sz w:val="24"/>
          <w:lang w:bidi="ar"/>
        </w:rPr>
        <w:t>2021-</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w:t>
      </w:r>
      <w:r>
        <w:rPr>
          <w:rFonts w:hint="eastAsia" w:ascii="宋体" w:hAnsi="宋体" w:cs="宋体"/>
          <w:color w:val="auto"/>
          <w:kern w:val="0"/>
          <w:sz w:val="24"/>
          <w:lang w:val="en-US" w:eastAsia="zh-CN" w:bidi="ar"/>
        </w:rPr>
        <w:t>18</w:t>
      </w:r>
      <w:r>
        <w:rPr>
          <w:rFonts w:hint="eastAsia" w:ascii="宋体" w:hAnsi="宋体" w:cs="宋体"/>
          <w:color w:val="auto"/>
          <w:kern w:val="0"/>
          <w:sz w:val="24"/>
          <w:lang w:bidi="ar"/>
        </w:rPr>
        <w:t xml:space="preserve">    14:</w:t>
      </w: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0:00</w:t>
      </w:r>
    </w:p>
    <w:p>
      <w:pPr>
        <w:spacing w:line="380" w:lineRule="exact"/>
        <w:rPr>
          <w:rFonts w:hint="eastAsia" w:ascii="宋体" w:hAnsi="宋体" w:cs="宋体"/>
          <w:color w:val="auto"/>
          <w:sz w:val="24"/>
        </w:rPr>
      </w:pPr>
      <w:r>
        <w:rPr>
          <w:rFonts w:hint="eastAsia" w:ascii="宋体" w:hAnsi="宋体" w:cs="宋体"/>
          <w:b/>
          <w:color w:val="auto"/>
          <w:kern w:val="0"/>
          <w:sz w:val="24"/>
          <w:lang w:bidi="ar"/>
        </w:rPr>
        <w:t>八、磋商地址</w:t>
      </w:r>
      <w:r>
        <w:rPr>
          <w:rFonts w:hint="eastAsia" w:ascii="宋体" w:hAnsi="宋体" w:cs="宋体"/>
          <w:color w:val="auto"/>
          <w:kern w:val="0"/>
          <w:sz w:val="24"/>
          <w:lang w:bidi="ar"/>
        </w:rPr>
        <w:t>：浙江省温岭市万昌路服务业大厦8楼开标厅</w:t>
      </w:r>
    </w:p>
    <w:p>
      <w:pPr>
        <w:spacing w:line="380" w:lineRule="exact"/>
        <w:rPr>
          <w:rFonts w:hint="eastAsia" w:ascii="宋体" w:hAnsi="宋体" w:cs="宋体"/>
          <w:b/>
          <w:color w:val="auto"/>
          <w:sz w:val="24"/>
        </w:rPr>
      </w:pPr>
      <w:r>
        <w:rPr>
          <w:rFonts w:hint="eastAsia" w:ascii="宋体" w:hAnsi="宋体" w:cs="宋体"/>
          <w:b/>
          <w:color w:val="auto"/>
          <w:kern w:val="0"/>
          <w:sz w:val="24"/>
          <w:lang w:bidi="ar"/>
        </w:rPr>
        <w:t>九、其他事项：</w:t>
      </w:r>
    </w:p>
    <w:p>
      <w:pPr>
        <w:spacing w:line="420" w:lineRule="exact"/>
        <w:ind w:right="60"/>
        <w:rPr>
          <w:rFonts w:hint="eastAsia" w:ascii="宋体" w:hAnsi="宋体" w:cs="宋体"/>
          <w:color w:val="auto"/>
          <w:sz w:val="24"/>
          <w:szCs w:val="20"/>
        </w:rPr>
      </w:pPr>
      <w:r>
        <w:rPr>
          <w:rFonts w:hint="eastAsia" w:ascii="宋体" w:hAnsi="宋体" w:cs="宋体"/>
          <w:color w:val="auto"/>
          <w:kern w:val="0"/>
          <w:sz w:val="24"/>
          <w:szCs w:val="20"/>
          <w:lang w:bidi="ar"/>
        </w:rPr>
        <w:t>1</w:t>
      </w:r>
      <w:r>
        <w:rPr>
          <w:rFonts w:hint="eastAsia" w:ascii="宋体" w:hAnsi="宋体" w:cs="宋体"/>
          <w:color w:val="auto"/>
          <w:kern w:val="0"/>
          <w:sz w:val="24"/>
          <w:lang w:bidi="ar"/>
        </w:rPr>
        <w:t>、</w:t>
      </w:r>
      <w:r>
        <w:rPr>
          <w:rFonts w:hint="eastAsia" w:ascii="宋体" w:hAnsi="宋体" w:cs="宋体"/>
          <w:b/>
          <w:color w:val="auto"/>
          <w:kern w:val="0"/>
          <w:sz w:val="24"/>
          <w:szCs w:val="20"/>
          <w:lang w:bidi="ar"/>
        </w:rPr>
        <w:t>供应商购买标书时应提交的资料</w:t>
      </w:r>
      <w:r>
        <w:rPr>
          <w:rFonts w:hint="eastAsia" w:ascii="宋体" w:hAnsi="宋体" w:cs="宋体"/>
          <w:color w:val="auto"/>
          <w:kern w:val="0"/>
          <w:sz w:val="24"/>
          <w:szCs w:val="20"/>
          <w:lang w:bidi="ar"/>
        </w:rPr>
        <w:t>（复印件须加盖单位公章）：</w:t>
      </w:r>
    </w:p>
    <w:p>
      <w:pPr>
        <w:spacing w:line="380" w:lineRule="exact"/>
        <w:ind w:firstLine="420"/>
        <w:rPr>
          <w:rFonts w:hint="eastAsia" w:ascii="宋体" w:hAnsi="宋体" w:cs="宋体"/>
          <w:color w:val="auto"/>
          <w:sz w:val="24"/>
        </w:rPr>
      </w:pPr>
      <w:r>
        <w:rPr>
          <w:rFonts w:hint="eastAsia" w:ascii="宋体" w:hAnsi="宋体" w:cs="宋体"/>
          <w:color w:val="auto"/>
          <w:kern w:val="0"/>
          <w:sz w:val="24"/>
          <w:lang w:bidi="ar"/>
        </w:rPr>
        <w:t>1）供应商营业执照副本复印件；</w:t>
      </w:r>
    </w:p>
    <w:p>
      <w:pPr>
        <w:spacing w:line="380" w:lineRule="exact"/>
        <w:ind w:firstLine="420"/>
        <w:rPr>
          <w:rFonts w:hint="eastAsia" w:ascii="宋体" w:hAnsi="宋体" w:cs="宋体"/>
          <w:color w:val="auto"/>
          <w:kern w:val="0"/>
          <w:sz w:val="24"/>
          <w:lang w:bidi="ar"/>
        </w:rPr>
      </w:pPr>
      <w:r>
        <w:rPr>
          <w:rFonts w:hint="eastAsia" w:ascii="宋体" w:hAnsi="宋体" w:cs="宋体"/>
          <w:color w:val="auto"/>
          <w:kern w:val="0"/>
          <w:sz w:val="24"/>
          <w:lang w:bidi="ar"/>
        </w:rPr>
        <w:t>2）授权委托书原件及</w:t>
      </w:r>
      <w:r>
        <w:rPr>
          <w:rFonts w:hint="eastAsia" w:hAnsi="宋体" w:cs="宋体"/>
          <w:color w:val="auto"/>
          <w:sz w:val="24"/>
        </w:rPr>
        <w:t>被授权人身份证复印件</w:t>
      </w:r>
      <w:r>
        <w:rPr>
          <w:rFonts w:hint="eastAsia" w:ascii="宋体" w:hAnsi="宋体" w:cs="宋体"/>
          <w:color w:val="auto"/>
          <w:kern w:val="0"/>
          <w:sz w:val="24"/>
          <w:lang w:bidi="ar"/>
        </w:rPr>
        <w:t>。</w:t>
      </w:r>
    </w:p>
    <w:p>
      <w:pPr>
        <w:spacing w:line="420" w:lineRule="exact"/>
        <w:ind w:right="60"/>
        <w:rPr>
          <w:rFonts w:hint="eastAsia" w:ascii="宋体" w:hAnsi="宋体" w:cs="宋体"/>
          <w:b/>
          <w:color w:val="auto"/>
          <w:sz w:val="24"/>
          <w:szCs w:val="20"/>
        </w:rPr>
      </w:pPr>
      <w:r>
        <w:rPr>
          <w:rFonts w:hint="eastAsia" w:ascii="宋体" w:hAnsi="宋体" w:cs="宋体"/>
          <w:b/>
          <w:color w:val="auto"/>
          <w:kern w:val="0"/>
          <w:sz w:val="24"/>
          <w:szCs w:val="20"/>
          <w:lang w:bidi="ar"/>
        </w:rPr>
        <w:t>十、联系方式：</w:t>
      </w:r>
    </w:p>
    <w:p>
      <w:pPr>
        <w:spacing w:line="380" w:lineRule="exact"/>
        <w:ind w:left="62" w:right="62" w:firstLine="539"/>
        <w:rPr>
          <w:rFonts w:hint="eastAsia" w:hAnsi="宋体" w:cs="仿宋_GB2312"/>
          <w:color w:val="auto"/>
          <w:sz w:val="24"/>
        </w:rPr>
      </w:pPr>
      <w:r>
        <w:rPr>
          <w:rFonts w:hint="eastAsia" w:hAnsi="宋体"/>
          <w:color w:val="auto"/>
          <w:sz w:val="24"/>
        </w:rPr>
        <w:t>1、采购人名称：</w:t>
      </w:r>
      <w:r>
        <w:rPr>
          <w:rFonts w:hint="eastAsia" w:ascii="宋体" w:hAnsi="宋体" w:cs="宋体"/>
          <w:color w:val="auto"/>
          <w:kern w:val="0"/>
          <w:sz w:val="24"/>
          <w:lang w:bidi="ar"/>
        </w:rPr>
        <w:t>台州市生态环境局温岭分局</w:t>
      </w:r>
    </w:p>
    <w:p>
      <w:pPr>
        <w:spacing w:line="380" w:lineRule="exact"/>
        <w:ind w:left="62" w:right="62" w:firstLine="539"/>
        <w:rPr>
          <w:rFonts w:hint="eastAsia" w:hAnsi="宋体" w:cs="楷体"/>
          <w:color w:val="auto"/>
          <w:sz w:val="24"/>
        </w:rPr>
      </w:pPr>
      <w:r>
        <w:rPr>
          <w:rFonts w:hint="eastAsia" w:hAnsi="宋体"/>
          <w:color w:val="auto"/>
          <w:sz w:val="24"/>
        </w:rPr>
        <w:t xml:space="preserve">联系人： </w:t>
      </w:r>
      <w:r>
        <w:rPr>
          <w:rFonts w:hint="eastAsia" w:hAnsi="宋体"/>
          <w:color w:val="auto"/>
          <w:sz w:val="24"/>
          <w:lang w:eastAsia="zh-CN"/>
        </w:rPr>
        <w:t>王薇</w:t>
      </w:r>
      <w:r>
        <w:rPr>
          <w:rFonts w:hint="eastAsia" w:hAnsi="宋体"/>
          <w:color w:val="auto"/>
          <w:sz w:val="24"/>
          <w:lang w:val="en-US" w:eastAsia="zh-CN"/>
        </w:rPr>
        <w:t xml:space="preserve"> </w:t>
      </w:r>
      <w:r>
        <w:rPr>
          <w:rFonts w:hint="eastAsia" w:hAnsi="宋体"/>
          <w:color w:val="auto"/>
          <w:sz w:val="24"/>
        </w:rPr>
        <w:t xml:space="preserve"> </w:t>
      </w:r>
      <w:r>
        <w:rPr>
          <w:rFonts w:hint="eastAsia" w:hAnsi="宋体" w:cs="楷体"/>
          <w:color w:val="auto"/>
          <w:sz w:val="24"/>
        </w:rPr>
        <w:t xml:space="preserve">   </w:t>
      </w:r>
    </w:p>
    <w:p>
      <w:pPr>
        <w:spacing w:line="380" w:lineRule="exact"/>
        <w:ind w:left="62" w:right="62" w:firstLine="539"/>
        <w:rPr>
          <w:rFonts w:hint="eastAsia" w:ascii="仿宋" w:hAnsi="仿宋" w:cs="仿宋"/>
          <w:color w:val="auto"/>
          <w:sz w:val="24"/>
        </w:rPr>
      </w:pPr>
      <w:r>
        <w:rPr>
          <w:rFonts w:hint="eastAsia" w:hAnsi="宋体" w:cs="楷体"/>
          <w:color w:val="auto"/>
          <w:sz w:val="24"/>
        </w:rPr>
        <w:t>联系电话：</w:t>
      </w:r>
      <w:r>
        <w:rPr>
          <w:rFonts w:hint="eastAsia" w:hAnsi="宋体" w:cs="宋体"/>
          <w:color w:val="auto"/>
          <w:sz w:val="24"/>
        </w:rPr>
        <w:t>0576-8</w:t>
      </w:r>
      <w:r>
        <w:rPr>
          <w:rFonts w:hint="eastAsia" w:hAnsi="宋体" w:cs="宋体"/>
          <w:color w:val="auto"/>
          <w:sz w:val="24"/>
          <w:lang w:val="en-US" w:eastAsia="zh-CN"/>
        </w:rPr>
        <w:t>6117845</w:t>
      </w:r>
      <w:r>
        <w:rPr>
          <w:rFonts w:hint="eastAsia" w:hAnsi="宋体"/>
          <w:color w:val="auto"/>
          <w:sz w:val="24"/>
        </w:rPr>
        <w:t xml:space="preserve">  </w:t>
      </w:r>
      <w:r>
        <w:rPr>
          <w:rFonts w:hint="eastAsia" w:ascii="宋体" w:hAnsi="宋体" w:cs="宋体"/>
          <w:color w:val="auto"/>
          <w:sz w:val="24"/>
        </w:rPr>
        <w:t xml:space="preserve"> </w:t>
      </w:r>
      <w:r>
        <w:rPr>
          <w:rFonts w:hint="eastAsia" w:ascii="宋体" w:hAnsi="宋体"/>
          <w:color w:val="auto"/>
          <w:sz w:val="24"/>
        </w:rPr>
        <w:t xml:space="preserve"> </w:t>
      </w:r>
    </w:p>
    <w:p>
      <w:pPr>
        <w:spacing w:line="380" w:lineRule="exact"/>
        <w:ind w:left="62" w:right="62" w:firstLine="539"/>
        <w:rPr>
          <w:rFonts w:hint="eastAsia" w:hAnsi="宋体"/>
          <w:color w:val="auto"/>
          <w:sz w:val="24"/>
        </w:rPr>
      </w:pPr>
      <w:r>
        <w:rPr>
          <w:rFonts w:hint="eastAsia" w:hAnsi="宋体"/>
          <w:color w:val="auto"/>
          <w:sz w:val="24"/>
        </w:rPr>
        <w:t>2、采购代理机构名称：建经投资咨询有限公司</w:t>
      </w:r>
    </w:p>
    <w:p>
      <w:pPr>
        <w:spacing w:line="380" w:lineRule="exact"/>
        <w:ind w:left="62" w:right="62" w:firstLine="539"/>
        <w:rPr>
          <w:rFonts w:hint="eastAsia" w:hAnsi="宋体" w:cs="宋体"/>
          <w:color w:val="auto"/>
          <w:sz w:val="24"/>
        </w:rPr>
      </w:pPr>
      <w:r>
        <w:rPr>
          <w:rFonts w:hint="eastAsia" w:hAnsi="宋体" w:cs="宋体"/>
          <w:color w:val="auto"/>
          <w:sz w:val="24"/>
        </w:rPr>
        <w:t xml:space="preserve">联系人：王腾潇、刘峰男   </w:t>
      </w:r>
    </w:p>
    <w:p>
      <w:pPr>
        <w:spacing w:line="380" w:lineRule="exact"/>
        <w:ind w:left="62" w:right="62" w:firstLine="539"/>
        <w:rPr>
          <w:rFonts w:hAnsi="宋体" w:cs="宋体"/>
          <w:color w:val="auto"/>
          <w:sz w:val="24"/>
        </w:rPr>
      </w:pPr>
      <w:r>
        <w:rPr>
          <w:rFonts w:hint="eastAsia" w:hAnsi="宋体" w:cs="宋体"/>
          <w:color w:val="auto"/>
          <w:sz w:val="24"/>
        </w:rPr>
        <w:t>联系电话：</w:t>
      </w:r>
      <w:bookmarkStart w:id="16" w:name="B41_联系电话"/>
      <w:r>
        <w:rPr>
          <w:rFonts w:hint="eastAsia" w:hAnsi="宋体" w:cs="宋体"/>
          <w:color w:val="auto"/>
          <w:sz w:val="24"/>
        </w:rPr>
        <w:t>0576-</w:t>
      </w:r>
      <w:bookmarkEnd w:id="16"/>
      <w:r>
        <w:rPr>
          <w:rFonts w:hint="eastAsia" w:hAnsi="宋体" w:cs="宋体"/>
          <w:color w:val="auto"/>
          <w:sz w:val="24"/>
        </w:rPr>
        <w:t>81761086，15867051629</w:t>
      </w:r>
    </w:p>
    <w:p>
      <w:pPr>
        <w:spacing w:line="380" w:lineRule="exact"/>
        <w:ind w:left="62" w:right="62" w:firstLine="539"/>
        <w:rPr>
          <w:rFonts w:hint="eastAsia" w:hAnsi="宋体" w:cs="宋体"/>
          <w:color w:val="auto"/>
          <w:sz w:val="24"/>
        </w:rPr>
      </w:pPr>
      <w:r>
        <w:rPr>
          <w:rFonts w:hint="eastAsia" w:hAnsi="宋体" w:cs="宋体"/>
          <w:color w:val="auto"/>
          <w:sz w:val="24"/>
        </w:rPr>
        <w:t xml:space="preserve">传真：0576-86087802 </w:t>
      </w:r>
    </w:p>
    <w:p>
      <w:pPr>
        <w:spacing w:line="380" w:lineRule="exact"/>
        <w:ind w:left="62" w:right="62" w:firstLine="539"/>
        <w:rPr>
          <w:rFonts w:hint="eastAsia" w:hAnsi="宋体" w:cs="宋体"/>
          <w:color w:val="auto"/>
          <w:sz w:val="24"/>
        </w:rPr>
      </w:pPr>
      <w:r>
        <w:rPr>
          <w:rFonts w:hint="eastAsia" w:hAnsi="宋体" w:cs="宋体"/>
          <w:color w:val="auto"/>
          <w:sz w:val="24"/>
        </w:rPr>
        <w:t>地址：</w:t>
      </w:r>
      <w:r>
        <w:rPr>
          <w:rFonts w:hint="eastAsia" w:hAnsi="宋体" w:cs="仿宋_GB2312"/>
          <w:color w:val="auto"/>
          <w:sz w:val="24"/>
        </w:rPr>
        <w:t>浙江省温岭市万昌路服务业大厦8楼</w:t>
      </w:r>
    </w:p>
    <w:p>
      <w:pPr>
        <w:spacing w:line="420" w:lineRule="exact"/>
        <w:ind w:left="60" w:right="60" w:firstLine="540"/>
        <w:jc w:val="center"/>
        <w:rPr>
          <w:rFonts w:hint="eastAsia" w:ascii="宋体" w:hAnsi="宋体" w:cs="宋体"/>
          <w:color w:val="auto"/>
          <w:sz w:val="36"/>
          <w:szCs w:val="36"/>
        </w:rPr>
      </w:pPr>
      <w:r>
        <w:rPr>
          <w:rFonts w:hint="eastAsia" w:ascii="宋体" w:hAnsi="宋体" w:cs="宋体"/>
          <w:color w:val="auto"/>
          <w:sz w:val="24"/>
          <w:lang w:bidi="ar"/>
        </w:rPr>
        <w:br w:type="page"/>
      </w:r>
      <w:r>
        <w:rPr>
          <w:rFonts w:hint="eastAsia" w:ascii="宋体" w:hAnsi="宋体" w:cs="宋体"/>
          <w:b/>
          <w:bCs/>
          <w:color w:val="auto"/>
          <w:kern w:val="0"/>
          <w:sz w:val="36"/>
          <w:szCs w:val="36"/>
          <w:lang w:bidi="ar"/>
        </w:rPr>
        <w:t xml:space="preserve">第二章  </w:t>
      </w:r>
      <w:bookmarkEnd w:id="6"/>
      <w:r>
        <w:rPr>
          <w:rFonts w:hint="eastAsia" w:ascii="宋体" w:hAnsi="宋体" w:cs="宋体"/>
          <w:b/>
          <w:bCs/>
          <w:color w:val="auto"/>
          <w:kern w:val="0"/>
          <w:sz w:val="36"/>
          <w:szCs w:val="36"/>
          <w:lang w:bidi="ar"/>
        </w:rPr>
        <w:t>供应商须知</w:t>
      </w:r>
    </w:p>
    <w:p>
      <w:pPr>
        <w:spacing w:line="420" w:lineRule="exact"/>
        <w:ind w:left="60" w:right="60" w:firstLine="540"/>
        <w:jc w:val="center"/>
        <w:rPr>
          <w:rFonts w:hint="eastAsia" w:ascii="宋体" w:hAnsi="宋体" w:cs="宋体"/>
          <w:color w:val="auto"/>
          <w:sz w:val="32"/>
          <w:szCs w:val="32"/>
        </w:rPr>
      </w:pPr>
    </w:p>
    <w:p>
      <w:pPr>
        <w:spacing w:line="420" w:lineRule="exact"/>
        <w:ind w:left="60" w:right="60" w:firstLine="540"/>
        <w:jc w:val="center"/>
        <w:rPr>
          <w:rFonts w:hint="eastAsia" w:ascii="宋体" w:hAnsi="宋体" w:cs="宋体"/>
          <w:color w:val="auto"/>
          <w:sz w:val="32"/>
          <w:szCs w:val="32"/>
        </w:rPr>
      </w:pPr>
      <w:r>
        <w:rPr>
          <w:rFonts w:hint="eastAsia" w:ascii="宋体" w:hAnsi="宋体" w:cs="宋体"/>
          <w:color w:val="auto"/>
          <w:kern w:val="0"/>
          <w:sz w:val="32"/>
          <w:szCs w:val="32"/>
          <w:lang w:bidi="ar"/>
        </w:rPr>
        <w:t>供应商须知前附表</w:t>
      </w:r>
    </w:p>
    <w:p>
      <w:pPr>
        <w:spacing w:line="420" w:lineRule="exact"/>
        <w:ind w:left="60" w:right="60" w:firstLine="540"/>
        <w:jc w:val="center"/>
        <w:rPr>
          <w:rFonts w:hint="eastAsia" w:ascii="宋体" w:hAnsi="宋体" w:cs="宋体"/>
          <w:color w:val="auto"/>
          <w:sz w:val="32"/>
          <w:szCs w:val="32"/>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08"/>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bookmarkStart w:id="17" w:name="_Toc373154493"/>
            <w:r>
              <w:rPr>
                <w:rFonts w:hint="eastAsia" w:ascii="Calibri" w:hAnsi="宋体" w:cs="仿宋_GB2312"/>
                <w:color w:val="auto"/>
                <w:sz w:val="24"/>
              </w:rPr>
              <w:t>序号</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项    目</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13"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s="仿宋_GB2312"/>
                <w:color w:val="auto"/>
                <w:sz w:val="24"/>
              </w:rPr>
            </w:pPr>
            <w:r>
              <w:rPr>
                <w:rFonts w:hint="eastAsia" w:ascii="Calibri" w:hAnsi="宋体" w:cs="仿宋_GB2312"/>
                <w:color w:val="auto"/>
                <w:sz w:val="24"/>
              </w:rPr>
              <w:t>1</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采购项目</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ind w:left="1200" w:hanging="1200" w:hangingChars="500"/>
              <w:rPr>
                <w:rFonts w:hint="eastAsia" w:ascii="Calibri" w:hAnsi="宋体"/>
                <w:color w:val="auto"/>
                <w:sz w:val="24"/>
              </w:rPr>
            </w:pPr>
            <w:r>
              <w:rPr>
                <w:rFonts w:hint="eastAsia" w:ascii="Calibri" w:hAnsi="宋体" w:cs="仿宋_GB2312"/>
                <w:color w:val="auto"/>
                <w:sz w:val="24"/>
              </w:rPr>
              <w:t>项目名称：温岭市小微企业危险废物集中收集单位入围项目</w:t>
            </w:r>
          </w:p>
          <w:p>
            <w:pPr>
              <w:widowControl/>
              <w:snapToGrid w:val="0"/>
              <w:spacing w:line="340" w:lineRule="exact"/>
              <w:rPr>
                <w:rFonts w:hint="eastAsia" w:ascii="Calibri" w:hAnsi="宋体" w:cs="仿宋_GB2312"/>
                <w:color w:val="auto"/>
                <w:sz w:val="24"/>
              </w:rPr>
            </w:pPr>
            <w:r>
              <w:rPr>
                <w:rFonts w:hint="eastAsia" w:ascii="Calibri" w:hAnsi="宋体" w:cs="仿宋_GB2312"/>
                <w:color w:val="auto"/>
                <w:sz w:val="24"/>
              </w:rPr>
              <w:t xml:space="preserve">项目编号：JJWL21031657 </w:t>
            </w:r>
          </w:p>
          <w:p>
            <w:pPr>
              <w:spacing w:line="340" w:lineRule="exact"/>
              <w:rPr>
                <w:rFonts w:hint="eastAsia" w:ascii="Calibri" w:hAnsi="宋体"/>
                <w:color w:val="auto"/>
                <w:sz w:val="24"/>
              </w:rPr>
            </w:pPr>
            <w:r>
              <w:rPr>
                <w:rFonts w:hint="eastAsia" w:ascii="Calibri" w:hAnsi="宋体" w:cs="仿宋_GB2312"/>
                <w:color w:val="auto"/>
                <w:sz w:val="24"/>
              </w:rPr>
              <w:t>项目要求：详见第三章“采购需求”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s="仿宋_GB2312"/>
                <w:color w:val="auto"/>
                <w:sz w:val="24"/>
              </w:rPr>
            </w:pPr>
            <w:r>
              <w:rPr>
                <w:rFonts w:hint="eastAsia" w:ascii="Calibri" w:hAnsi="宋体" w:cs="仿宋_GB2312"/>
                <w:color w:val="auto"/>
                <w:sz w:val="24"/>
              </w:rPr>
              <w:t>2</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采购方式</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Calibri" w:hAnsi="宋体"/>
                <w:color w:val="auto"/>
                <w:sz w:val="24"/>
              </w:rPr>
            </w:pPr>
            <w:r>
              <w:rPr>
                <w:rFonts w:hint="eastAsia" w:ascii="Calibri" w:hAnsi="宋体" w:cs="仿宋_GB2312"/>
                <w:color w:val="auto"/>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2"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s="仿宋_GB2312"/>
                <w:color w:val="auto"/>
                <w:sz w:val="24"/>
              </w:rPr>
            </w:pPr>
            <w:r>
              <w:rPr>
                <w:rFonts w:hint="eastAsia" w:ascii="Calibri" w:hAnsi="宋体" w:cs="仿宋_GB2312"/>
                <w:color w:val="auto"/>
                <w:sz w:val="24"/>
              </w:rPr>
              <w:t>3</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供应商资格要求</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Calibri" w:hAnsi="宋体" w:cs="仿宋_GB2312"/>
                <w:color w:val="auto"/>
                <w:sz w:val="24"/>
              </w:rPr>
            </w:pPr>
            <w:r>
              <w:rPr>
                <w:rFonts w:hint="eastAsia" w:ascii="Calibri" w:hAnsi="宋体" w:cs="仿宋_GB2312"/>
                <w:color w:val="auto"/>
                <w:sz w:val="24"/>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2"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s="仿宋_GB2312"/>
                <w:color w:val="auto"/>
                <w:sz w:val="24"/>
              </w:rPr>
            </w:pPr>
            <w:r>
              <w:rPr>
                <w:rFonts w:hint="eastAsia" w:ascii="Calibri" w:hAnsi="宋体" w:cs="仿宋_GB2312"/>
                <w:color w:val="auto"/>
                <w:sz w:val="24"/>
              </w:rPr>
              <w:t>4</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磋商响应文件份数</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Calibri" w:hAnsi="宋体"/>
                <w:color w:val="auto"/>
                <w:sz w:val="24"/>
              </w:rPr>
            </w:pPr>
            <w:r>
              <w:rPr>
                <w:rFonts w:hint="eastAsia" w:ascii="Calibri" w:hAnsi="宋体" w:cs="仿宋_GB2312"/>
                <w:color w:val="auto"/>
                <w:sz w:val="24"/>
              </w:rPr>
              <w:t>磋商响应文件正本一份、副本肆份；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s="仿宋_GB2312"/>
                <w:color w:val="auto"/>
                <w:sz w:val="24"/>
              </w:rPr>
            </w:pPr>
            <w:r>
              <w:rPr>
                <w:rFonts w:hint="eastAsia" w:ascii="Calibri" w:hAnsi="宋体" w:cs="仿宋_GB2312"/>
                <w:color w:val="auto"/>
                <w:sz w:val="24"/>
              </w:rPr>
              <w:t>5</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投标有效期</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Calibri" w:hAnsi="宋体"/>
                <w:color w:val="auto"/>
                <w:sz w:val="24"/>
              </w:rPr>
            </w:pPr>
            <w:r>
              <w:rPr>
                <w:rFonts w:hint="eastAsia" w:ascii="Calibri" w:hAnsi="宋体" w:cs="仿宋_GB2312"/>
                <w:color w:val="auto"/>
                <w:sz w:val="24"/>
              </w:rPr>
              <w:t>自投标截止日起90天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2"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s="仿宋_GB2312"/>
                <w:color w:val="auto"/>
                <w:sz w:val="24"/>
              </w:rPr>
            </w:pPr>
            <w:r>
              <w:rPr>
                <w:rFonts w:hint="eastAsia" w:ascii="Calibri" w:hAnsi="宋体" w:cs="仿宋_GB2312"/>
                <w:color w:val="auto"/>
                <w:sz w:val="24"/>
              </w:rPr>
              <w:t>6</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递交磋商响应文件截止时间与磋商时间</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kern w:val="0"/>
                <w:sz w:val="24"/>
                <w:lang w:bidi="ar"/>
              </w:rPr>
            </w:pPr>
            <w:r>
              <w:rPr>
                <w:rFonts w:hint="eastAsia" w:ascii="宋体" w:hAnsi="宋体" w:cs="宋体"/>
                <w:color w:val="auto"/>
                <w:kern w:val="0"/>
                <w:sz w:val="24"/>
                <w:lang w:bidi="ar"/>
              </w:rPr>
              <w:t>2021-</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w:t>
            </w:r>
            <w:r>
              <w:rPr>
                <w:rFonts w:hint="eastAsia" w:ascii="宋体" w:hAnsi="宋体" w:cs="宋体"/>
                <w:color w:val="auto"/>
                <w:kern w:val="0"/>
                <w:sz w:val="24"/>
                <w:lang w:val="en-US" w:eastAsia="zh-CN" w:bidi="ar"/>
              </w:rPr>
              <w:t>18</w:t>
            </w:r>
            <w:r>
              <w:rPr>
                <w:rFonts w:hint="eastAsia" w:ascii="宋体" w:hAnsi="宋体" w:cs="宋体"/>
                <w:color w:val="auto"/>
                <w:kern w:val="0"/>
                <w:sz w:val="24"/>
                <w:lang w:bidi="ar"/>
              </w:rPr>
              <w:t xml:space="preserve">    14:</w:t>
            </w: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2"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s="仿宋_GB2312"/>
                <w:color w:val="auto"/>
                <w:sz w:val="24"/>
              </w:rPr>
            </w:pPr>
            <w:r>
              <w:rPr>
                <w:rFonts w:hint="eastAsia" w:ascii="Calibri" w:hAnsi="宋体" w:cs="仿宋_GB2312"/>
                <w:color w:val="auto"/>
                <w:sz w:val="24"/>
              </w:rPr>
              <w:t>7</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递交磋商响应文件地点</w:t>
            </w:r>
            <w:r>
              <w:rPr>
                <w:rFonts w:hint="eastAsia" w:ascii="Calibri" w:hAnsi="宋体"/>
                <w:color w:val="auto"/>
                <w:sz w:val="24"/>
              </w:rPr>
              <w:t>与磋商地点</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Calibri" w:hAnsi="宋体"/>
                <w:color w:val="auto"/>
                <w:sz w:val="24"/>
              </w:rPr>
            </w:pPr>
            <w:r>
              <w:rPr>
                <w:rFonts w:hint="eastAsia" w:ascii="宋体" w:hAnsi="宋体" w:cs="宋体"/>
                <w:color w:val="auto"/>
                <w:kern w:val="0"/>
                <w:sz w:val="24"/>
                <w:lang w:bidi="ar"/>
              </w:rPr>
              <w:t>浙江省温岭市万昌路服务业大厦8楼开标厅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3"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s="仿宋_GB2312"/>
                <w:color w:val="auto"/>
                <w:sz w:val="24"/>
              </w:rPr>
            </w:pPr>
            <w:r>
              <w:rPr>
                <w:rFonts w:hint="eastAsia" w:ascii="Calibri" w:hAnsi="宋体" w:cs="仿宋_GB2312"/>
                <w:color w:val="auto"/>
                <w:sz w:val="24"/>
              </w:rPr>
              <w:t>8</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投标保证金</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Calibri" w:hAnsi="宋体" w:cs="仿宋_GB2312"/>
                <w:color w:val="auto"/>
                <w:sz w:val="24"/>
              </w:rPr>
            </w:pPr>
            <w:r>
              <w:rPr>
                <w:rFonts w:hint="eastAsia" w:ascii="Calibri" w:hAnsi="宋体" w:cs="仿宋_GB2312"/>
                <w:color w:val="auto"/>
                <w:sz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s="仿宋_GB2312"/>
                <w:color w:val="auto"/>
                <w:sz w:val="24"/>
              </w:rPr>
            </w:pPr>
            <w:r>
              <w:rPr>
                <w:rFonts w:hint="eastAsia" w:ascii="Calibri" w:hAnsi="宋体" w:cs="仿宋_GB2312"/>
                <w:color w:val="auto"/>
                <w:sz w:val="24"/>
              </w:rPr>
              <w:t>9</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Calibri" w:hAnsi="宋体"/>
                <w:color w:val="auto"/>
                <w:sz w:val="24"/>
              </w:rPr>
            </w:pPr>
            <w:r>
              <w:rPr>
                <w:rFonts w:hint="eastAsia" w:ascii="Calibri" w:hAnsi="宋体" w:cs="仿宋_GB2312"/>
                <w:color w:val="auto"/>
                <w:sz w:val="24"/>
              </w:rPr>
              <w:t>履约保证金</w:t>
            </w:r>
          </w:p>
        </w:tc>
        <w:tc>
          <w:tcPr>
            <w:tcW w:w="6133" w:type="dxa"/>
            <w:tcBorders>
              <w:top w:val="single" w:color="auto" w:sz="4" w:space="0"/>
              <w:left w:val="single" w:color="auto" w:sz="4" w:space="0"/>
              <w:bottom w:val="single" w:color="auto" w:sz="4" w:space="0"/>
              <w:right w:val="single" w:color="auto" w:sz="4" w:space="0"/>
            </w:tcBorders>
            <w:noWrap w:val="0"/>
            <w:vAlign w:val="center"/>
          </w:tcPr>
          <w:p>
            <w:pPr>
              <w:pStyle w:val="18"/>
              <w:spacing w:line="340" w:lineRule="exact"/>
              <w:ind w:left="0" w:leftChars="0"/>
              <w:rPr>
                <w:rFonts w:hAnsi="宋体"/>
                <w:color w:val="auto"/>
                <w:sz w:val="24"/>
                <w:szCs w:val="24"/>
              </w:rPr>
            </w:pPr>
            <w:r>
              <w:rPr>
                <w:rFonts w:hAnsi="宋体"/>
                <w:color w:val="auto"/>
                <w:sz w:val="24"/>
                <w:szCs w:val="24"/>
              </w:rPr>
              <w:t>不收取</w:t>
            </w:r>
          </w:p>
        </w:tc>
      </w:tr>
    </w:tbl>
    <w:p>
      <w:pPr>
        <w:jc w:val="center"/>
        <w:rPr>
          <w:rFonts w:hint="eastAsia" w:ascii="宋体" w:hAnsi="宋体" w:cs="宋体"/>
          <w:color w:val="auto"/>
          <w:sz w:val="32"/>
          <w:szCs w:val="32"/>
        </w:rPr>
      </w:pPr>
      <w:r>
        <w:rPr>
          <w:rFonts w:hint="eastAsia" w:ascii="宋体" w:hAnsi="宋体" w:cs="宋体"/>
          <w:color w:val="auto"/>
          <w:sz w:val="34"/>
          <w:szCs w:val="20"/>
          <w:lang w:bidi="ar"/>
        </w:rPr>
        <w:br w:type="page"/>
      </w:r>
      <w:bookmarkEnd w:id="17"/>
      <w:r>
        <w:rPr>
          <w:rFonts w:hint="eastAsia" w:ascii="宋体" w:hAnsi="宋体" w:cs="宋体"/>
          <w:b/>
          <w:color w:val="auto"/>
          <w:kern w:val="0"/>
          <w:sz w:val="32"/>
          <w:szCs w:val="32"/>
          <w:lang w:bidi="ar"/>
        </w:rPr>
        <w:t>一  总则</w:t>
      </w:r>
    </w:p>
    <w:p>
      <w:pPr>
        <w:pStyle w:val="81"/>
        <w:widowControl/>
        <w:rPr>
          <w:rFonts w:hint="eastAsia" w:ascii="宋体" w:hAnsi="宋体" w:eastAsia="宋体" w:cs="宋体"/>
          <w:color w:val="auto"/>
        </w:rPr>
      </w:pPr>
      <w:r>
        <w:rPr>
          <w:rFonts w:hint="eastAsia" w:ascii="宋体" w:hAnsi="宋体" w:eastAsia="宋体" w:cs="宋体"/>
          <w:color w:val="auto"/>
        </w:rPr>
        <w:t>1、适用范围</w:t>
      </w:r>
    </w:p>
    <w:p>
      <w:pPr>
        <w:widowControl/>
        <w:snapToGrid w:val="0"/>
        <w:spacing w:line="340" w:lineRule="exact"/>
        <w:ind w:firstLine="484" w:firstLineChars="202"/>
        <w:rPr>
          <w:rFonts w:hint="eastAsia" w:ascii="宋体" w:hAnsi="宋体" w:cs="宋体"/>
          <w:color w:val="auto"/>
          <w:sz w:val="24"/>
        </w:rPr>
      </w:pPr>
      <w:r>
        <w:rPr>
          <w:rFonts w:hint="eastAsia" w:ascii="宋体" w:hAnsi="宋体" w:cs="宋体"/>
          <w:color w:val="auto"/>
          <w:kern w:val="0"/>
          <w:sz w:val="24"/>
          <w:lang w:bidi="ar"/>
        </w:rPr>
        <w:t>本磋商文件仅适用于本次招标采购所叙述的货物、工程和服务。</w:t>
      </w:r>
    </w:p>
    <w:p>
      <w:pPr>
        <w:pStyle w:val="81"/>
        <w:widowControl/>
        <w:rPr>
          <w:rFonts w:hint="eastAsia" w:ascii="宋体" w:hAnsi="宋体" w:eastAsia="宋体" w:cs="宋体"/>
          <w:color w:val="auto"/>
        </w:rPr>
      </w:pPr>
      <w:r>
        <w:rPr>
          <w:rFonts w:hint="eastAsia" w:ascii="宋体" w:hAnsi="宋体" w:eastAsia="宋体" w:cs="宋体"/>
          <w:color w:val="auto"/>
        </w:rPr>
        <w:t>2、定义</w:t>
      </w:r>
    </w:p>
    <w:p>
      <w:pPr>
        <w:widowControl/>
        <w:snapToGrid w:val="0"/>
        <w:spacing w:line="340" w:lineRule="exact"/>
        <w:ind w:firstLine="484" w:firstLineChars="202"/>
        <w:rPr>
          <w:rFonts w:hint="eastAsia" w:ascii="宋体" w:hAnsi="宋体" w:cs="宋体"/>
          <w:color w:val="auto"/>
          <w:kern w:val="0"/>
          <w:sz w:val="24"/>
          <w:lang w:bidi="ar"/>
        </w:rPr>
      </w:pPr>
      <w:r>
        <w:rPr>
          <w:rFonts w:hint="eastAsia" w:ascii="宋体" w:hAnsi="宋体" w:cs="宋体"/>
          <w:color w:val="auto"/>
          <w:kern w:val="0"/>
          <w:sz w:val="24"/>
          <w:lang w:bidi="ar"/>
        </w:rPr>
        <w:t>2.1“采购人”系指 台州市生态环境局温岭分局。</w:t>
      </w:r>
    </w:p>
    <w:p>
      <w:pPr>
        <w:widowControl/>
        <w:snapToGrid w:val="0"/>
        <w:spacing w:line="340" w:lineRule="exact"/>
        <w:ind w:firstLine="484" w:firstLineChars="202"/>
        <w:rPr>
          <w:rFonts w:hint="eastAsia" w:ascii="宋体" w:hAnsi="宋体" w:cs="宋体"/>
          <w:color w:val="auto"/>
          <w:sz w:val="24"/>
        </w:rPr>
      </w:pPr>
      <w:r>
        <w:rPr>
          <w:rFonts w:hint="eastAsia" w:ascii="宋体" w:hAnsi="宋体" w:cs="宋体"/>
          <w:color w:val="auto"/>
          <w:kern w:val="0"/>
          <w:sz w:val="24"/>
          <w:lang w:bidi="ar"/>
        </w:rPr>
        <w:t>2.2“采购代理机构”系指组织本次招标的机构，即建经投资咨询有限公司。</w:t>
      </w:r>
    </w:p>
    <w:p>
      <w:pPr>
        <w:widowControl/>
        <w:snapToGrid w:val="0"/>
        <w:spacing w:line="340" w:lineRule="exact"/>
        <w:ind w:firstLine="484" w:firstLineChars="202"/>
        <w:jc w:val="left"/>
        <w:rPr>
          <w:rFonts w:hint="eastAsia" w:ascii="宋体" w:hAnsi="宋体" w:cs="宋体"/>
          <w:color w:val="auto"/>
          <w:sz w:val="24"/>
        </w:rPr>
      </w:pPr>
      <w:r>
        <w:rPr>
          <w:rFonts w:hint="eastAsia" w:ascii="宋体" w:hAnsi="宋体" w:cs="宋体"/>
          <w:color w:val="auto"/>
          <w:kern w:val="0"/>
          <w:sz w:val="24"/>
          <w:lang w:bidi="ar"/>
        </w:rPr>
        <w:t>2.3“供应商”系指提交磋商响应文件的供应商。</w:t>
      </w:r>
    </w:p>
    <w:p>
      <w:pPr>
        <w:widowControl/>
        <w:snapToGrid w:val="0"/>
        <w:spacing w:line="340" w:lineRule="exact"/>
        <w:ind w:firstLine="484" w:firstLineChars="202"/>
        <w:jc w:val="left"/>
        <w:rPr>
          <w:rFonts w:hint="eastAsia" w:ascii="宋体" w:hAnsi="宋体" w:cs="宋体"/>
          <w:color w:val="auto"/>
          <w:kern w:val="0"/>
          <w:sz w:val="24"/>
          <w:lang w:bidi="ar"/>
        </w:rPr>
      </w:pPr>
      <w:r>
        <w:rPr>
          <w:rFonts w:hint="eastAsia" w:ascii="宋体" w:hAnsi="宋体" w:cs="宋体"/>
          <w:color w:val="auto"/>
          <w:kern w:val="0"/>
          <w:sz w:val="24"/>
          <w:lang w:bidi="ar"/>
        </w:rPr>
        <w:t>2.4“中标单位”系指在本次招标采购中中标的供应商。</w:t>
      </w:r>
    </w:p>
    <w:p>
      <w:pPr>
        <w:widowControl/>
        <w:snapToGrid w:val="0"/>
        <w:spacing w:line="340" w:lineRule="exact"/>
        <w:ind w:firstLine="484" w:firstLineChars="202"/>
        <w:jc w:val="left"/>
        <w:rPr>
          <w:rFonts w:hint="eastAsia" w:ascii="宋体" w:hAnsi="宋体" w:cs="宋体"/>
          <w:color w:val="auto"/>
          <w:kern w:val="0"/>
          <w:sz w:val="24"/>
          <w:lang w:bidi="ar"/>
        </w:rPr>
      </w:pPr>
      <w:r>
        <w:rPr>
          <w:rFonts w:hint="eastAsia" w:ascii="宋体" w:hAnsi="宋体" w:cs="宋体"/>
          <w:color w:val="auto"/>
          <w:kern w:val="0"/>
          <w:sz w:val="24"/>
          <w:lang w:bidi="ar"/>
        </w:rPr>
        <w:t>2.5“▲”系指实质性要求条款。</w:t>
      </w:r>
    </w:p>
    <w:p>
      <w:pPr>
        <w:pStyle w:val="81"/>
        <w:widowControl/>
        <w:rPr>
          <w:rFonts w:hint="eastAsia" w:ascii="宋体" w:hAnsi="宋体" w:eastAsia="宋体" w:cs="宋体"/>
          <w:color w:val="auto"/>
        </w:rPr>
      </w:pPr>
      <w:r>
        <w:rPr>
          <w:rFonts w:hint="eastAsia" w:ascii="宋体" w:hAnsi="宋体" w:eastAsia="宋体" w:cs="宋体"/>
          <w:color w:val="auto"/>
        </w:rPr>
        <w:t>3、合格的供应商</w:t>
      </w:r>
    </w:p>
    <w:p>
      <w:pPr>
        <w:widowControl/>
        <w:snapToGrid w:val="0"/>
        <w:spacing w:line="340" w:lineRule="exact"/>
        <w:ind w:firstLine="484" w:firstLineChars="202"/>
        <w:jc w:val="left"/>
        <w:rPr>
          <w:rFonts w:hint="eastAsia" w:ascii="宋体" w:hAnsi="宋体" w:cs="宋体"/>
          <w:b/>
          <w:color w:val="auto"/>
          <w:sz w:val="24"/>
        </w:rPr>
      </w:pPr>
      <w:r>
        <w:rPr>
          <w:rFonts w:hint="eastAsia" w:ascii="宋体" w:hAnsi="宋体" w:cs="宋体"/>
          <w:color w:val="auto"/>
          <w:kern w:val="0"/>
          <w:sz w:val="24"/>
          <w:lang w:bidi="ar"/>
        </w:rPr>
        <w:t>3.1符合竞争性磋商公告要求的供应商。</w:t>
      </w:r>
    </w:p>
    <w:p>
      <w:pPr>
        <w:widowControl/>
        <w:snapToGrid w:val="0"/>
        <w:spacing w:line="340" w:lineRule="exact"/>
        <w:ind w:firstLine="484" w:firstLineChars="202"/>
        <w:jc w:val="left"/>
        <w:rPr>
          <w:rFonts w:hint="eastAsia" w:ascii="宋体" w:hAnsi="宋体" w:cs="宋体"/>
          <w:color w:val="auto"/>
          <w:sz w:val="24"/>
        </w:rPr>
      </w:pPr>
      <w:r>
        <w:rPr>
          <w:rFonts w:hint="eastAsia" w:ascii="宋体" w:hAnsi="宋体" w:cs="宋体"/>
          <w:color w:val="auto"/>
          <w:kern w:val="0"/>
          <w:sz w:val="24"/>
          <w:lang w:bidi="ar"/>
        </w:rPr>
        <w:t>3.2供应商在投标过程中提供虚假材料谋取中标或与其他供应商恶意串通，一经发现，将取消其中标资格，并按有关规定予以处理。</w:t>
      </w:r>
    </w:p>
    <w:p>
      <w:pPr>
        <w:pStyle w:val="81"/>
        <w:widowControl/>
        <w:rPr>
          <w:rFonts w:hint="eastAsia" w:ascii="宋体" w:hAnsi="宋体" w:eastAsia="宋体" w:cs="宋体"/>
          <w:color w:val="auto"/>
        </w:rPr>
      </w:pPr>
      <w:r>
        <w:rPr>
          <w:rFonts w:hint="eastAsia" w:ascii="宋体" w:hAnsi="宋体" w:eastAsia="宋体" w:cs="宋体"/>
          <w:color w:val="auto"/>
        </w:rPr>
        <w:t>4、投标费用</w:t>
      </w:r>
    </w:p>
    <w:p>
      <w:pPr>
        <w:widowControl/>
        <w:snapToGrid w:val="0"/>
        <w:spacing w:line="340" w:lineRule="exact"/>
        <w:ind w:firstLine="480" w:firstLineChars="200"/>
        <w:jc w:val="left"/>
        <w:rPr>
          <w:rFonts w:hint="eastAsia" w:ascii="宋体" w:hAnsi="宋体" w:cs="宋体"/>
          <w:color w:val="auto"/>
          <w:kern w:val="0"/>
          <w:sz w:val="24"/>
          <w:lang w:bidi="ar"/>
        </w:rPr>
      </w:pPr>
      <w:r>
        <w:rPr>
          <w:rFonts w:hint="eastAsia" w:ascii="宋体" w:hAnsi="宋体" w:cs="宋体"/>
          <w:color w:val="auto"/>
          <w:kern w:val="0"/>
          <w:sz w:val="24"/>
          <w:lang w:bidi="ar"/>
        </w:rPr>
        <w:t>4.1供应商自行承担与本次投标有关的全部费用。</w:t>
      </w:r>
    </w:p>
    <w:p>
      <w:pPr>
        <w:widowControl/>
        <w:snapToGrid w:val="0"/>
        <w:spacing w:line="340" w:lineRule="exact"/>
        <w:ind w:firstLine="480" w:firstLineChars="200"/>
        <w:jc w:val="left"/>
        <w:rPr>
          <w:rFonts w:hint="eastAsia" w:ascii="宋体" w:hAnsi="宋体" w:cs="宋体"/>
          <w:color w:val="auto"/>
          <w:kern w:val="0"/>
          <w:sz w:val="24"/>
          <w:lang w:bidi="ar"/>
        </w:rPr>
      </w:pPr>
      <w:r>
        <w:rPr>
          <w:rFonts w:hint="eastAsia" w:ascii="宋体" w:hAnsi="宋体" w:cs="宋体"/>
          <w:color w:val="auto"/>
          <w:kern w:val="0"/>
          <w:sz w:val="24"/>
          <w:lang w:bidi="ar"/>
        </w:rPr>
        <w:t>4.2本项目采购代理服务费按每标项4000元计取；采购代理服务费须包含在总报价中，由采购代理机构在签发中标通知书时向中标单位收取；</w:t>
      </w:r>
    </w:p>
    <w:p>
      <w:pPr>
        <w:widowControl/>
        <w:snapToGrid w:val="0"/>
        <w:spacing w:line="340" w:lineRule="exact"/>
        <w:ind w:firstLine="480" w:firstLineChars="200"/>
        <w:jc w:val="left"/>
        <w:rPr>
          <w:rFonts w:hint="eastAsia" w:ascii="宋体" w:hAnsi="宋体" w:cs="宋体"/>
          <w:color w:val="auto"/>
          <w:kern w:val="0"/>
          <w:sz w:val="24"/>
          <w:lang w:bidi="ar"/>
        </w:rPr>
      </w:pPr>
    </w:p>
    <w:p>
      <w:pPr>
        <w:pStyle w:val="28"/>
        <w:rPr>
          <w:rFonts w:hint="eastAsia"/>
          <w:color w:val="auto"/>
        </w:rPr>
      </w:pPr>
    </w:p>
    <w:p>
      <w:pPr>
        <w:jc w:val="center"/>
        <w:rPr>
          <w:rFonts w:hint="eastAsia" w:ascii="宋体" w:hAnsi="宋体" w:cs="宋体"/>
          <w:b/>
          <w:color w:val="auto"/>
          <w:sz w:val="32"/>
          <w:szCs w:val="32"/>
        </w:rPr>
      </w:pPr>
      <w:r>
        <w:rPr>
          <w:rFonts w:hint="eastAsia" w:ascii="宋体" w:hAnsi="宋体" w:cs="宋体"/>
          <w:b/>
          <w:color w:val="auto"/>
          <w:kern w:val="0"/>
          <w:sz w:val="32"/>
          <w:szCs w:val="32"/>
          <w:lang w:bidi="ar"/>
        </w:rPr>
        <w:t>二  磋商文件</w:t>
      </w:r>
    </w:p>
    <w:p>
      <w:pPr>
        <w:pStyle w:val="81"/>
        <w:widowControl/>
        <w:rPr>
          <w:rFonts w:hint="eastAsia" w:ascii="宋体" w:hAnsi="宋体" w:eastAsia="宋体" w:cs="宋体"/>
          <w:color w:val="auto"/>
        </w:rPr>
      </w:pPr>
      <w:r>
        <w:rPr>
          <w:rFonts w:hint="eastAsia" w:ascii="宋体" w:hAnsi="宋体" w:eastAsia="宋体" w:cs="宋体"/>
          <w:color w:val="auto"/>
        </w:rPr>
        <w:t>5、磋商文件的组成</w:t>
      </w:r>
    </w:p>
    <w:p>
      <w:pPr>
        <w:widowControl/>
        <w:snapToGrid w:val="0"/>
        <w:spacing w:line="340" w:lineRule="exact"/>
        <w:ind w:firstLine="460" w:firstLineChars="192"/>
        <w:jc w:val="left"/>
        <w:rPr>
          <w:rFonts w:hint="eastAsia" w:ascii="宋体" w:hAnsi="宋体" w:cs="宋体"/>
          <w:color w:val="auto"/>
          <w:sz w:val="24"/>
        </w:rPr>
      </w:pPr>
      <w:r>
        <w:rPr>
          <w:rFonts w:hint="eastAsia" w:ascii="宋体" w:hAnsi="宋体" w:cs="宋体"/>
          <w:color w:val="auto"/>
          <w:kern w:val="0"/>
          <w:sz w:val="24"/>
          <w:lang w:bidi="ar"/>
        </w:rPr>
        <w:t>5.1本磋商文件包括以下内容：</w:t>
      </w:r>
    </w:p>
    <w:p>
      <w:pPr>
        <w:snapToGrid w:val="0"/>
        <w:ind w:firstLine="480" w:firstLineChars="200"/>
        <w:jc w:val="left"/>
        <w:rPr>
          <w:rFonts w:hint="eastAsia" w:ascii="宋体" w:hAnsi="宋体" w:cs="宋体"/>
          <w:color w:val="auto"/>
          <w:sz w:val="24"/>
          <w:szCs w:val="20"/>
        </w:rPr>
      </w:pPr>
      <w:r>
        <w:rPr>
          <w:rFonts w:hint="eastAsia" w:ascii="宋体" w:hAnsi="宋体" w:cs="宋体"/>
          <w:color w:val="auto"/>
          <w:kern w:val="0"/>
          <w:sz w:val="24"/>
          <w:szCs w:val="20"/>
          <w:lang w:bidi="ar"/>
        </w:rPr>
        <w:t>1）竞争性磋商公告</w:t>
      </w:r>
    </w:p>
    <w:p>
      <w:pPr>
        <w:snapToGrid w:val="0"/>
        <w:ind w:firstLine="480" w:firstLineChars="200"/>
        <w:jc w:val="left"/>
        <w:rPr>
          <w:rFonts w:hint="eastAsia" w:ascii="宋体" w:hAnsi="宋体" w:cs="宋体"/>
          <w:color w:val="auto"/>
          <w:sz w:val="24"/>
          <w:szCs w:val="20"/>
        </w:rPr>
      </w:pPr>
      <w:r>
        <w:rPr>
          <w:rFonts w:hint="eastAsia" w:ascii="宋体" w:hAnsi="宋体" w:cs="宋体"/>
          <w:color w:val="auto"/>
          <w:kern w:val="0"/>
          <w:sz w:val="24"/>
          <w:szCs w:val="20"/>
          <w:lang w:bidi="ar"/>
        </w:rPr>
        <w:t>2）供应商须知</w:t>
      </w:r>
    </w:p>
    <w:p>
      <w:pPr>
        <w:snapToGrid w:val="0"/>
        <w:ind w:firstLine="480" w:firstLineChars="200"/>
        <w:jc w:val="left"/>
        <w:rPr>
          <w:rFonts w:hint="eastAsia" w:ascii="宋体" w:hAnsi="宋体" w:cs="宋体"/>
          <w:color w:val="auto"/>
          <w:sz w:val="24"/>
          <w:szCs w:val="20"/>
        </w:rPr>
      </w:pPr>
      <w:r>
        <w:rPr>
          <w:rFonts w:hint="eastAsia" w:ascii="宋体" w:hAnsi="宋体" w:cs="宋体"/>
          <w:color w:val="auto"/>
          <w:kern w:val="0"/>
          <w:sz w:val="24"/>
          <w:szCs w:val="20"/>
          <w:lang w:bidi="ar"/>
        </w:rPr>
        <w:t>3）采购需求</w:t>
      </w:r>
    </w:p>
    <w:p>
      <w:pPr>
        <w:snapToGrid w:val="0"/>
        <w:ind w:firstLine="480" w:firstLineChars="200"/>
        <w:jc w:val="left"/>
        <w:rPr>
          <w:rFonts w:hint="eastAsia" w:ascii="宋体" w:hAnsi="宋体" w:cs="宋体"/>
          <w:color w:val="auto"/>
          <w:sz w:val="24"/>
          <w:szCs w:val="20"/>
        </w:rPr>
      </w:pPr>
      <w:r>
        <w:rPr>
          <w:rFonts w:hint="eastAsia" w:ascii="宋体" w:hAnsi="宋体" w:cs="宋体"/>
          <w:color w:val="auto"/>
          <w:kern w:val="0"/>
          <w:sz w:val="24"/>
          <w:szCs w:val="20"/>
          <w:lang w:bidi="ar"/>
        </w:rPr>
        <w:t>4）合同文本</w:t>
      </w:r>
    </w:p>
    <w:p>
      <w:pPr>
        <w:snapToGrid w:val="0"/>
        <w:ind w:firstLine="480" w:firstLineChars="200"/>
        <w:jc w:val="left"/>
        <w:rPr>
          <w:rFonts w:hint="eastAsia" w:ascii="宋体" w:hAnsi="宋体" w:cs="宋体"/>
          <w:color w:val="auto"/>
          <w:sz w:val="24"/>
          <w:szCs w:val="20"/>
        </w:rPr>
      </w:pPr>
      <w:r>
        <w:rPr>
          <w:rFonts w:hint="eastAsia" w:ascii="宋体" w:hAnsi="宋体" w:cs="宋体"/>
          <w:color w:val="auto"/>
          <w:kern w:val="0"/>
          <w:sz w:val="24"/>
          <w:szCs w:val="20"/>
          <w:lang w:bidi="ar"/>
        </w:rPr>
        <w:t>5）磋商标准和方法</w:t>
      </w:r>
    </w:p>
    <w:p>
      <w:pPr>
        <w:snapToGrid w:val="0"/>
        <w:ind w:firstLine="480" w:firstLineChars="200"/>
        <w:jc w:val="left"/>
        <w:rPr>
          <w:rFonts w:hint="eastAsia" w:ascii="宋体" w:hAnsi="宋体" w:cs="宋体"/>
          <w:color w:val="auto"/>
          <w:sz w:val="24"/>
          <w:szCs w:val="20"/>
        </w:rPr>
      </w:pPr>
      <w:r>
        <w:rPr>
          <w:rFonts w:hint="eastAsia" w:ascii="宋体" w:hAnsi="宋体" w:cs="宋体"/>
          <w:color w:val="auto"/>
          <w:kern w:val="0"/>
          <w:sz w:val="24"/>
          <w:szCs w:val="20"/>
          <w:lang w:bidi="ar"/>
        </w:rPr>
        <w:t>6）磋商响应文件格式</w:t>
      </w:r>
    </w:p>
    <w:p>
      <w:pPr>
        <w:widowControl/>
        <w:snapToGrid w:val="0"/>
        <w:spacing w:line="340" w:lineRule="exact"/>
        <w:ind w:firstLine="460" w:firstLineChars="192"/>
        <w:jc w:val="left"/>
        <w:rPr>
          <w:rFonts w:hint="eastAsia" w:ascii="宋体" w:hAnsi="宋体" w:cs="宋体"/>
          <w:color w:val="auto"/>
          <w:sz w:val="24"/>
        </w:rPr>
      </w:pPr>
      <w:r>
        <w:rPr>
          <w:rFonts w:hint="eastAsia" w:ascii="宋体" w:hAnsi="宋体" w:cs="宋体"/>
          <w:color w:val="auto"/>
          <w:kern w:val="0"/>
          <w:sz w:val="24"/>
          <w:lang w:bidi="ar"/>
        </w:rPr>
        <w:t>除本须知第5条内容外，按本须知第6、7条发出的对磋商文件澄清或修改内容，均为本磋商文件的组成部分，对采购人和供应商起约束作用。</w:t>
      </w:r>
    </w:p>
    <w:p>
      <w:pPr>
        <w:pStyle w:val="81"/>
        <w:widowControl/>
        <w:rPr>
          <w:rFonts w:hint="eastAsia" w:ascii="宋体" w:hAnsi="宋体" w:eastAsia="宋体" w:cs="宋体"/>
          <w:color w:val="auto"/>
        </w:rPr>
      </w:pPr>
      <w:r>
        <w:rPr>
          <w:rFonts w:hint="eastAsia" w:ascii="宋体" w:hAnsi="宋体" w:eastAsia="宋体" w:cs="宋体"/>
          <w:color w:val="auto"/>
        </w:rPr>
        <w:t>6、磋商文件的澄清</w:t>
      </w:r>
    </w:p>
    <w:p>
      <w:pPr>
        <w:widowControl/>
        <w:snapToGrid w:val="0"/>
        <w:spacing w:line="340" w:lineRule="exact"/>
        <w:ind w:firstLine="460" w:firstLineChars="192"/>
        <w:jc w:val="left"/>
        <w:rPr>
          <w:rFonts w:hint="eastAsia" w:ascii="宋体" w:hAnsi="宋体" w:cs="宋体"/>
          <w:color w:val="auto"/>
          <w:sz w:val="24"/>
        </w:rPr>
      </w:pPr>
      <w:r>
        <w:rPr>
          <w:rFonts w:hint="eastAsia" w:ascii="宋体" w:hAnsi="宋体" w:cs="宋体"/>
          <w:color w:val="auto"/>
          <w:kern w:val="0"/>
          <w:sz w:val="24"/>
          <w:lang w:bidi="ar"/>
        </w:rPr>
        <w:t>6.1供应商应仔细阅读和检查磋商文件的全部内容。如发现缺页或附件不全、磋商文件中存在含糊不清、自相矛盾、多种含义等问题的，应及时向采购人提出，以便补齐。如有疑问，应以书面形式【包括传真（号码：0576-86087802）等可以有形地表现所载内容的形式，下同】要求采购人对磋商文件予以澄清。</w:t>
      </w:r>
    </w:p>
    <w:p>
      <w:pPr>
        <w:widowControl/>
        <w:snapToGrid w:val="0"/>
        <w:spacing w:line="340" w:lineRule="exact"/>
        <w:ind w:firstLine="460" w:firstLineChars="192"/>
        <w:jc w:val="left"/>
        <w:rPr>
          <w:rFonts w:hint="eastAsia" w:ascii="宋体" w:hAnsi="宋体" w:cs="宋体"/>
          <w:color w:val="auto"/>
          <w:sz w:val="24"/>
        </w:rPr>
      </w:pPr>
      <w:r>
        <w:rPr>
          <w:rFonts w:hint="eastAsia" w:ascii="宋体" w:hAnsi="宋体" w:cs="宋体"/>
          <w:color w:val="auto"/>
          <w:kern w:val="0"/>
          <w:sz w:val="24"/>
          <w:lang w:bidi="ar"/>
        </w:rPr>
        <w:t>6.2磋商文件的澄清将以书面形式发给所有已购买磋商文件的供应商，但不指明澄清问题的来源。如澄清内容影响磋商响应文件编制的，将相应延长响应截止时间。</w:t>
      </w:r>
    </w:p>
    <w:p>
      <w:pPr>
        <w:widowControl/>
        <w:snapToGrid w:val="0"/>
        <w:spacing w:line="340" w:lineRule="exact"/>
        <w:ind w:firstLine="460" w:firstLineChars="192"/>
        <w:jc w:val="left"/>
        <w:rPr>
          <w:rFonts w:hint="eastAsia" w:ascii="宋体" w:hAnsi="宋体" w:cs="宋体"/>
          <w:color w:val="auto"/>
          <w:sz w:val="24"/>
        </w:rPr>
      </w:pPr>
      <w:r>
        <w:rPr>
          <w:rFonts w:hint="eastAsia" w:ascii="宋体" w:hAnsi="宋体" w:cs="宋体"/>
          <w:color w:val="auto"/>
          <w:kern w:val="0"/>
          <w:position w:val="-2"/>
          <w:sz w:val="24"/>
          <w:szCs w:val="20"/>
          <w:lang w:bidi="ar"/>
        </w:rPr>
        <w:t>6.3供应商在收到澄</w:t>
      </w:r>
      <w:r>
        <w:rPr>
          <w:rFonts w:hint="eastAsia" w:ascii="宋体" w:hAnsi="宋体" w:cs="宋体"/>
          <w:color w:val="auto"/>
          <w:spacing w:val="1"/>
          <w:kern w:val="0"/>
          <w:position w:val="-2"/>
          <w:sz w:val="24"/>
          <w:szCs w:val="20"/>
          <w:lang w:bidi="ar"/>
        </w:rPr>
        <w:t>清文件</w:t>
      </w:r>
      <w:r>
        <w:rPr>
          <w:rFonts w:hint="eastAsia" w:ascii="宋体" w:hAnsi="宋体" w:cs="宋体"/>
          <w:color w:val="auto"/>
          <w:kern w:val="0"/>
          <w:position w:val="-2"/>
          <w:sz w:val="24"/>
          <w:szCs w:val="20"/>
          <w:lang w:bidi="ar"/>
        </w:rPr>
        <w:t>后，应在</w:t>
      </w:r>
      <w:r>
        <w:rPr>
          <w:rFonts w:hint="eastAsia" w:ascii="宋体" w:hAnsi="宋体" w:cs="宋体"/>
          <w:color w:val="auto"/>
          <w:spacing w:val="1"/>
          <w:kern w:val="0"/>
          <w:position w:val="-2"/>
          <w:sz w:val="24"/>
          <w:szCs w:val="20"/>
          <w:lang w:bidi="ar"/>
        </w:rPr>
        <w:t>接到澄清文件后一天内</w:t>
      </w:r>
      <w:r>
        <w:rPr>
          <w:rFonts w:hint="eastAsia" w:ascii="宋体" w:hAnsi="宋体" w:cs="宋体"/>
          <w:color w:val="auto"/>
          <w:kern w:val="0"/>
          <w:position w:val="-2"/>
          <w:sz w:val="24"/>
          <w:szCs w:val="20"/>
          <w:lang w:bidi="ar"/>
        </w:rPr>
        <w:t>以</w:t>
      </w:r>
      <w:r>
        <w:rPr>
          <w:rFonts w:hint="eastAsia" w:ascii="宋体" w:hAnsi="宋体" w:cs="宋体"/>
          <w:color w:val="auto"/>
          <w:spacing w:val="1"/>
          <w:kern w:val="0"/>
          <w:position w:val="-2"/>
          <w:sz w:val="24"/>
          <w:szCs w:val="20"/>
          <w:lang w:bidi="ar"/>
        </w:rPr>
        <w:t>书</w:t>
      </w:r>
      <w:r>
        <w:rPr>
          <w:rFonts w:hint="eastAsia" w:ascii="宋体" w:hAnsi="宋体" w:cs="宋体"/>
          <w:color w:val="auto"/>
          <w:kern w:val="0"/>
          <w:position w:val="-2"/>
          <w:sz w:val="24"/>
          <w:szCs w:val="20"/>
          <w:lang w:bidi="ar"/>
        </w:rPr>
        <w:t>面形式通</w:t>
      </w:r>
      <w:r>
        <w:rPr>
          <w:rFonts w:hint="eastAsia" w:ascii="宋体" w:hAnsi="宋体" w:cs="宋体"/>
          <w:color w:val="auto"/>
          <w:spacing w:val="1"/>
          <w:kern w:val="0"/>
          <w:position w:val="-2"/>
          <w:sz w:val="24"/>
          <w:szCs w:val="20"/>
          <w:lang w:bidi="ar"/>
        </w:rPr>
        <w:t>知采购</w:t>
      </w:r>
      <w:r>
        <w:rPr>
          <w:rFonts w:hint="eastAsia" w:ascii="宋体" w:hAnsi="宋体" w:cs="宋体"/>
          <w:color w:val="auto"/>
          <w:kern w:val="0"/>
          <w:sz w:val="24"/>
          <w:szCs w:val="20"/>
          <w:lang w:bidi="ar"/>
        </w:rPr>
        <w:t>人，确认已收到该澄清文件，未以书面形式确认的，则视为已收到该澄清文件并明知其内容。</w:t>
      </w:r>
    </w:p>
    <w:p>
      <w:pPr>
        <w:pStyle w:val="81"/>
        <w:widowControl/>
        <w:rPr>
          <w:rFonts w:hint="eastAsia" w:ascii="宋体" w:hAnsi="宋体" w:eastAsia="宋体" w:cs="宋体"/>
          <w:color w:val="auto"/>
        </w:rPr>
      </w:pPr>
      <w:r>
        <w:rPr>
          <w:rFonts w:hint="eastAsia" w:ascii="宋体" w:hAnsi="宋体" w:eastAsia="宋体" w:cs="宋体"/>
          <w:color w:val="auto"/>
        </w:rPr>
        <w:t>7、磋商文件的修改</w:t>
      </w:r>
    </w:p>
    <w:p>
      <w:pPr>
        <w:widowControl/>
        <w:snapToGrid w:val="0"/>
        <w:spacing w:line="340" w:lineRule="exact"/>
        <w:ind w:firstLine="460" w:firstLineChars="192"/>
        <w:jc w:val="left"/>
        <w:rPr>
          <w:rFonts w:hint="eastAsia" w:ascii="宋体" w:hAnsi="宋体" w:cs="宋体"/>
          <w:color w:val="auto"/>
          <w:sz w:val="24"/>
        </w:rPr>
      </w:pPr>
      <w:r>
        <w:rPr>
          <w:rFonts w:hint="eastAsia" w:ascii="宋体" w:hAnsi="宋体" w:cs="宋体"/>
          <w:color w:val="auto"/>
          <w:kern w:val="0"/>
          <w:sz w:val="24"/>
          <w:lang w:bidi="ar"/>
        </w:rPr>
        <w:t xml:space="preserve">7.1 采购人可以书面形式修改磋商文件，并通知所有已购买磋商文件的供应商。修改磋商文件的时间距供应商须知前附表规定的响应截止时间不足5天的，并且澄清内容影响磋商响应文件编制的，将相应延长响应截止时间。 </w:t>
      </w:r>
    </w:p>
    <w:p>
      <w:pPr>
        <w:widowControl/>
        <w:snapToGrid w:val="0"/>
        <w:spacing w:line="340" w:lineRule="exact"/>
        <w:ind w:firstLine="460" w:firstLineChars="192"/>
        <w:jc w:val="left"/>
        <w:rPr>
          <w:rFonts w:hint="eastAsia" w:ascii="宋体" w:hAnsi="宋体" w:cs="宋体"/>
          <w:color w:val="auto"/>
          <w:sz w:val="24"/>
        </w:rPr>
      </w:pPr>
      <w:r>
        <w:rPr>
          <w:rFonts w:hint="eastAsia" w:ascii="宋体" w:hAnsi="宋体" w:cs="宋体"/>
          <w:color w:val="auto"/>
          <w:kern w:val="0"/>
          <w:sz w:val="24"/>
          <w:lang w:bidi="ar"/>
        </w:rPr>
        <w:t>7.2</w:t>
      </w:r>
      <w:r>
        <w:rPr>
          <w:rFonts w:hint="eastAsia" w:ascii="宋体" w:hAnsi="宋体" w:cs="宋体"/>
          <w:color w:val="auto"/>
          <w:spacing w:val="1"/>
          <w:kern w:val="0"/>
          <w:position w:val="-2"/>
          <w:sz w:val="24"/>
          <w:szCs w:val="20"/>
          <w:lang w:bidi="ar"/>
        </w:rPr>
        <w:t>供应商收到修改文件后，应在接到修改文件后一天内以书面形式通知采购人，确认已收到该修改文件</w:t>
      </w:r>
      <w:r>
        <w:rPr>
          <w:rFonts w:hint="eastAsia" w:ascii="宋体" w:hAnsi="宋体" w:cs="宋体"/>
          <w:color w:val="auto"/>
          <w:kern w:val="0"/>
          <w:sz w:val="24"/>
          <w:szCs w:val="20"/>
          <w:lang w:bidi="ar"/>
        </w:rPr>
        <w:t>，未以书面形式确认的，则视为已收到该修改文件并明知其内容。</w:t>
      </w:r>
    </w:p>
    <w:p>
      <w:pPr>
        <w:jc w:val="center"/>
        <w:rPr>
          <w:rFonts w:hint="eastAsia" w:ascii="宋体" w:hAnsi="宋体" w:cs="宋体"/>
          <w:b/>
          <w:color w:val="auto"/>
          <w:sz w:val="32"/>
          <w:szCs w:val="32"/>
        </w:rPr>
      </w:pPr>
      <w:r>
        <w:rPr>
          <w:rFonts w:hint="eastAsia" w:ascii="宋体" w:hAnsi="宋体" w:cs="宋体"/>
          <w:b/>
          <w:color w:val="auto"/>
          <w:kern w:val="0"/>
          <w:sz w:val="32"/>
          <w:szCs w:val="32"/>
          <w:lang w:bidi="ar"/>
        </w:rPr>
        <w:t>三  磋商响应文件</w:t>
      </w:r>
    </w:p>
    <w:p>
      <w:pPr>
        <w:pStyle w:val="81"/>
        <w:widowControl/>
        <w:rPr>
          <w:rFonts w:hint="eastAsia" w:ascii="宋体" w:hAnsi="宋体" w:eastAsia="宋体" w:cs="宋体"/>
          <w:color w:val="auto"/>
        </w:rPr>
      </w:pPr>
      <w:r>
        <w:rPr>
          <w:rFonts w:hint="eastAsia" w:ascii="宋体" w:hAnsi="宋体" w:eastAsia="宋体" w:cs="宋体"/>
          <w:color w:val="auto"/>
        </w:rPr>
        <w:t>8、磋商响应文件的语言和计量单位</w:t>
      </w:r>
    </w:p>
    <w:p>
      <w:pPr>
        <w:widowControl/>
        <w:snapToGrid w:val="0"/>
        <w:spacing w:line="340" w:lineRule="exact"/>
        <w:ind w:firstLine="475" w:firstLineChars="198"/>
        <w:jc w:val="left"/>
        <w:rPr>
          <w:rFonts w:hint="eastAsia" w:ascii="宋体" w:hAnsi="宋体" w:cs="宋体"/>
          <w:color w:val="auto"/>
          <w:sz w:val="24"/>
        </w:rPr>
      </w:pPr>
      <w:r>
        <w:rPr>
          <w:rFonts w:hint="eastAsia" w:ascii="宋体" w:hAnsi="宋体" w:cs="宋体"/>
          <w:color w:val="auto"/>
          <w:kern w:val="0"/>
          <w:sz w:val="24"/>
          <w:lang w:bidi="ar"/>
        </w:rPr>
        <w:t>8.1供应商提交的磋商响应文件及供应商与采购代理机构就有关投标的所有来往函电均应使用中文。专用术语使用外文的，应附有中文注释。</w:t>
      </w:r>
    </w:p>
    <w:p>
      <w:pPr>
        <w:widowControl/>
        <w:snapToGrid w:val="0"/>
        <w:spacing w:line="340" w:lineRule="exact"/>
        <w:ind w:firstLine="475" w:firstLineChars="198"/>
        <w:jc w:val="left"/>
        <w:rPr>
          <w:rFonts w:hint="eastAsia" w:ascii="宋体" w:hAnsi="宋体" w:cs="宋体"/>
          <w:color w:val="auto"/>
          <w:sz w:val="24"/>
        </w:rPr>
      </w:pPr>
      <w:r>
        <w:rPr>
          <w:rFonts w:hint="eastAsia" w:ascii="宋体" w:hAnsi="宋体" w:cs="宋体"/>
          <w:color w:val="auto"/>
          <w:kern w:val="0"/>
          <w:sz w:val="24"/>
          <w:lang w:bidi="ar"/>
        </w:rPr>
        <w:t>8.2所有计量均采用中华人民共和国法定计量单位。</w:t>
      </w:r>
    </w:p>
    <w:p>
      <w:pPr>
        <w:pStyle w:val="81"/>
        <w:widowControl/>
        <w:rPr>
          <w:rFonts w:hint="eastAsia" w:ascii="宋体" w:hAnsi="宋体" w:eastAsia="宋体" w:cs="宋体"/>
          <w:color w:val="auto"/>
        </w:rPr>
      </w:pPr>
      <w:r>
        <w:rPr>
          <w:rFonts w:hint="eastAsia" w:ascii="宋体" w:hAnsi="宋体" w:eastAsia="宋体" w:cs="宋体"/>
          <w:color w:val="auto"/>
        </w:rPr>
        <w:t>9、磋商响应文件的组成</w:t>
      </w:r>
    </w:p>
    <w:p>
      <w:pPr>
        <w:widowControl/>
        <w:snapToGrid w:val="0"/>
        <w:spacing w:line="340" w:lineRule="exact"/>
        <w:ind w:firstLine="475" w:firstLineChars="198"/>
        <w:rPr>
          <w:rFonts w:hint="eastAsia" w:ascii="宋体" w:hAnsi="宋体" w:cs="宋体"/>
          <w:b/>
          <w:color w:val="auto"/>
          <w:sz w:val="24"/>
        </w:rPr>
      </w:pPr>
      <w:r>
        <w:rPr>
          <w:rFonts w:hint="eastAsia" w:ascii="宋体" w:hAnsi="宋体" w:cs="宋体"/>
          <w:b/>
          <w:color w:val="auto"/>
          <w:kern w:val="0"/>
          <w:sz w:val="24"/>
          <w:lang w:bidi="ar"/>
        </w:rPr>
        <w:t>9.1磋商响应文件包括：</w:t>
      </w:r>
    </w:p>
    <w:p>
      <w:pPr>
        <w:widowControl/>
        <w:snapToGrid w:val="0"/>
        <w:spacing w:line="340" w:lineRule="exact"/>
        <w:ind w:firstLine="475" w:firstLineChars="198"/>
        <w:rPr>
          <w:rFonts w:hint="eastAsia" w:ascii="宋体" w:hAnsi="宋体" w:cs="宋体"/>
          <w:color w:val="auto"/>
          <w:sz w:val="24"/>
        </w:rPr>
      </w:pPr>
      <w:r>
        <w:rPr>
          <w:rFonts w:hint="eastAsia" w:ascii="宋体" w:hAnsi="宋体" w:cs="宋体"/>
          <w:color w:val="auto"/>
          <w:sz w:val="24"/>
        </w:rPr>
        <w:t>1）供应商自评表（格式附后）；</w:t>
      </w:r>
    </w:p>
    <w:p>
      <w:pPr>
        <w:widowControl/>
        <w:snapToGrid w:val="0"/>
        <w:spacing w:line="340" w:lineRule="exact"/>
        <w:ind w:firstLine="475" w:firstLineChars="198"/>
        <w:rPr>
          <w:rFonts w:hint="eastAsia" w:ascii="宋体" w:hAnsi="宋体" w:cs="宋体"/>
          <w:color w:val="auto"/>
          <w:sz w:val="24"/>
        </w:rPr>
      </w:pPr>
      <w:r>
        <w:rPr>
          <w:rFonts w:hint="eastAsia" w:hAnsi="宋体" w:cs="宋体"/>
          <w:color w:val="auto"/>
          <w:sz w:val="24"/>
        </w:rPr>
        <w:t>2）温岭市采购诚信竞投承诺书</w:t>
      </w:r>
      <w:r>
        <w:rPr>
          <w:rFonts w:hint="eastAsia" w:ascii="宋体" w:hAnsi="宋体" w:cs="宋体"/>
          <w:color w:val="auto"/>
          <w:sz w:val="24"/>
        </w:rPr>
        <w:t>（格式附后）；</w:t>
      </w:r>
    </w:p>
    <w:p>
      <w:pPr>
        <w:widowControl/>
        <w:snapToGrid w:val="0"/>
        <w:spacing w:line="340" w:lineRule="exact"/>
        <w:ind w:firstLine="475" w:firstLineChars="198"/>
        <w:rPr>
          <w:rFonts w:hint="eastAsia" w:ascii="宋体" w:hAnsi="宋体" w:cs="宋体"/>
          <w:color w:val="auto"/>
          <w:sz w:val="24"/>
        </w:rPr>
      </w:pPr>
      <w:r>
        <w:rPr>
          <w:rFonts w:hint="eastAsia" w:ascii="宋体" w:hAnsi="宋体" w:cs="宋体"/>
          <w:color w:val="auto"/>
          <w:sz w:val="24"/>
        </w:rPr>
        <w:t>3）授权委托书（格式附后）；</w:t>
      </w:r>
    </w:p>
    <w:p>
      <w:pPr>
        <w:widowControl/>
        <w:snapToGrid w:val="0"/>
        <w:spacing w:line="340" w:lineRule="exact"/>
        <w:ind w:firstLine="475" w:firstLineChars="198"/>
        <w:rPr>
          <w:rFonts w:hint="eastAsia" w:ascii="宋体" w:hAnsi="宋体" w:cs="宋体"/>
          <w:color w:val="auto"/>
          <w:sz w:val="24"/>
        </w:rPr>
      </w:pPr>
      <w:r>
        <w:rPr>
          <w:rFonts w:hint="eastAsia" w:ascii="宋体" w:hAnsi="宋体" w:cs="宋体"/>
          <w:color w:val="auto"/>
          <w:sz w:val="24"/>
        </w:rPr>
        <w:t>4）企业营业执照</w:t>
      </w:r>
      <w:r>
        <w:rPr>
          <w:rFonts w:hint="eastAsia" w:hAnsi="宋体" w:cs="宋体"/>
          <w:color w:val="auto"/>
          <w:sz w:val="24"/>
        </w:rPr>
        <w:t>副本</w:t>
      </w:r>
      <w:r>
        <w:rPr>
          <w:rFonts w:hint="eastAsia" w:ascii="宋体" w:hAnsi="宋体" w:cs="宋体"/>
          <w:color w:val="auto"/>
          <w:sz w:val="24"/>
        </w:rPr>
        <w:t>复印件、</w:t>
      </w:r>
      <w:r>
        <w:rPr>
          <w:rFonts w:hint="eastAsia" w:hAnsi="宋体" w:cs="仿宋_GB2312"/>
          <w:color w:val="auto"/>
          <w:sz w:val="24"/>
        </w:rPr>
        <w:t>危险货物运输资质证书</w:t>
      </w:r>
      <w:r>
        <w:rPr>
          <w:rFonts w:hint="eastAsia" w:ascii="宋体" w:hAnsi="宋体" w:cs="宋体"/>
          <w:color w:val="auto"/>
          <w:sz w:val="24"/>
        </w:rPr>
        <w:t>复印件（委托运输的同时提供委托协议复印件）；</w:t>
      </w:r>
    </w:p>
    <w:p>
      <w:pPr>
        <w:widowControl/>
        <w:snapToGrid w:val="0"/>
        <w:spacing w:line="340" w:lineRule="exact"/>
        <w:ind w:firstLine="475" w:firstLineChars="198"/>
        <w:rPr>
          <w:rFonts w:hint="eastAsia" w:hAnsi="宋体"/>
          <w:color w:val="auto"/>
          <w:sz w:val="24"/>
        </w:rPr>
      </w:pPr>
      <w:r>
        <w:rPr>
          <w:rFonts w:hint="eastAsia" w:hAnsi="宋体" w:cs="宋体"/>
          <w:color w:val="auto"/>
          <w:sz w:val="24"/>
        </w:rPr>
        <w:t>5</w:t>
      </w:r>
      <w:r>
        <w:rPr>
          <w:rFonts w:hint="eastAsia" w:ascii="宋体" w:hAnsi="宋体" w:cs="宋体"/>
          <w:color w:val="auto"/>
          <w:sz w:val="24"/>
        </w:rPr>
        <w:t>）</w:t>
      </w:r>
      <w:r>
        <w:rPr>
          <w:rFonts w:hint="eastAsia" w:hAnsi="宋体"/>
          <w:color w:val="auto"/>
          <w:sz w:val="24"/>
        </w:rPr>
        <w:t>参加采购活动前三年内，无因安全和环境保护方面受到过刑事犯罪的记录声明函（格式附后）；</w:t>
      </w:r>
    </w:p>
    <w:p>
      <w:pPr>
        <w:widowControl/>
        <w:snapToGrid w:val="0"/>
        <w:spacing w:line="340" w:lineRule="exact"/>
        <w:ind w:firstLine="475" w:firstLineChars="198"/>
        <w:rPr>
          <w:rFonts w:hint="eastAsia" w:ascii="宋体" w:hAnsi="宋体" w:cs="宋体"/>
          <w:color w:val="auto"/>
          <w:sz w:val="24"/>
        </w:rPr>
      </w:pPr>
      <w:r>
        <w:rPr>
          <w:rFonts w:hint="eastAsia" w:ascii="宋体" w:hAnsi="宋体" w:cs="宋体"/>
          <w:color w:val="auto"/>
          <w:sz w:val="24"/>
        </w:rPr>
        <w:t>6）供应商概况一览表（格式附后）；</w:t>
      </w:r>
    </w:p>
    <w:p>
      <w:pPr>
        <w:widowControl/>
        <w:snapToGrid w:val="0"/>
        <w:spacing w:line="340" w:lineRule="exact"/>
        <w:ind w:firstLine="475" w:firstLineChars="198"/>
        <w:rPr>
          <w:rFonts w:hint="eastAsia" w:hAnsi="宋体" w:cs="宋体"/>
          <w:color w:val="auto"/>
          <w:sz w:val="24"/>
        </w:rPr>
      </w:pPr>
      <w:r>
        <w:rPr>
          <w:rFonts w:hint="eastAsia" w:hAnsi="宋体" w:cs="宋体"/>
          <w:color w:val="auto"/>
          <w:sz w:val="24"/>
        </w:rPr>
        <w:t>7）技术、商务偏差表（格式附后）；</w:t>
      </w:r>
    </w:p>
    <w:p>
      <w:pPr>
        <w:widowControl/>
        <w:snapToGrid w:val="0"/>
        <w:spacing w:line="340" w:lineRule="exact"/>
        <w:ind w:firstLine="475" w:firstLineChars="198"/>
        <w:rPr>
          <w:rFonts w:hint="eastAsia"/>
          <w:color w:val="auto"/>
        </w:rPr>
      </w:pPr>
      <w:r>
        <w:rPr>
          <w:rFonts w:hint="eastAsia" w:hAnsi="宋体" w:cs="宋体"/>
          <w:color w:val="auto"/>
          <w:sz w:val="24"/>
        </w:rPr>
        <w:t>8）供应商类似项目一览表</w:t>
      </w:r>
      <w:r>
        <w:rPr>
          <w:rFonts w:hint="eastAsia" w:ascii="宋体" w:hAnsi="宋体" w:cs="宋体"/>
          <w:color w:val="auto"/>
          <w:sz w:val="24"/>
        </w:rPr>
        <w:t>（格式附后）</w:t>
      </w:r>
      <w:r>
        <w:rPr>
          <w:rFonts w:hint="eastAsia" w:hAnsi="宋体" w:cs="宋体"/>
          <w:color w:val="auto"/>
          <w:sz w:val="24"/>
        </w:rPr>
        <w:t>；</w:t>
      </w:r>
    </w:p>
    <w:p>
      <w:pPr>
        <w:pStyle w:val="27"/>
        <w:shd w:val="clear" w:color="auto" w:fill="FFFFFF"/>
        <w:spacing w:line="360" w:lineRule="auto"/>
        <w:ind w:firstLine="480" w:firstLineChars="200"/>
        <w:rPr>
          <w:rFonts w:hint="eastAsia" w:cs="宋体"/>
          <w:color w:val="auto"/>
        </w:rPr>
      </w:pPr>
      <w:r>
        <w:rPr>
          <w:rFonts w:hint="eastAsia" w:cs="宋体"/>
          <w:color w:val="auto"/>
        </w:rPr>
        <w:t>9）以下服务方案标项一、标项二分开编写：</w:t>
      </w:r>
    </w:p>
    <w:p>
      <w:pPr>
        <w:widowControl/>
        <w:snapToGrid w:val="0"/>
        <w:spacing w:line="340" w:lineRule="exact"/>
        <w:ind w:firstLine="475" w:firstLineChars="198"/>
        <w:rPr>
          <w:rFonts w:hint="eastAsia" w:ascii="Calibri" w:hAnsi="宋体" w:eastAsia="宋体" w:cs="宋体"/>
          <w:color w:val="auto"/>
          <w:sz w:val="24"/>
        </w:rPr>
      </w:pPr>
      <w:r>
        <w:rPr>
          <w:rFonts w:hint="eastAsia" w:ascii="Calibri" w:hAnsi="宋体" w:eastAsia="宋体" w:cs="宋体"/>
          <w:color w:val="auto"/>
          <w:sz w:val="24"/>
        </w:rPr>
        <w:t>a、供应商拟在温岭市工业</w:t>
      </w:r>
      <w:r>
        <w:rPr>
          <w:rFonts w:hint="eastAsia" w:ascii="Calibri" w:hAnsi="宋体" w:eastAsia="宋体" w:cs="宋体"/>
          <w:color w:val="auto"/>
          <w:sz w:val="24"/>
          <w:lang w:eastAsia="zh-CN"/>
        </w:rPr>
        <w:t>功能区</w:t>
      </w:r>
      <w:r>
        <w:rPr>
          <w:rFonts w:hint="eastAsia" w:ascii="Calibri" w:hAnsi="宋体" w:eastAsia="宋体" w:cs="宋体"/>
          <w:color w:val="auto"/>
          <w:sz w:val="24"/>
        </w:rPr>
        <w:t>（符合项目准入要求，用地性质为二类及以上工业用地）内拟建本项目的场所，占地面积不低于 600 平方米。（需提供租赁意向协议等材料）</w:t>
      </w:r>
    </w:p>
    <w:p>
      <w:pPr>
        <w:widowControl/>
        <w:snapToGrid w:val="0"/>
        <w:spacing w:line="340" w:lineRule="exact"/>
        <w:ind w:firstLine="475" w:firstLineChars="198"/>
        <w:rPr>
          <w:rFonts w:hint="eastAsia" w:ascii="宋体" w:hAnsi="宋体" w:cs="宋体"/>
          <w:color w:val="auto"/>
          <w:sz w:val="24"/>
        </w:rPr>
      </w:pPr>
      <w:r>
        <w:rPr>
          <w:rFonts w:hint="eastAsia" w:hAnsi="宋体" w:cs="宋体"/>
          <w:color w:val="auto"/>
          <w:sz w:val="24"/>
        </w:rPr>
        <w:t>b、</w:t>
      </w:r>
      <w:r>
        <w:rPr>
          <w:rFonts w:hint="eastAsia" w:ascii="宋体" w:hAnsi="宋体" w:cs="宋体"/>
          <w:color w:val="auto"/>
          <w:sz w:val="24"/>
        </w:rPr>
        <w:t>供应商经营管理制度、危废应急预案、项目规划运营方案、收运能力、管理科技化、危险废物处置种类、服务项目等说明；</w:t>
      </w:r>
    </w:p>
    <w:p>
      <w:pPr>
        <w:widowControl/>
        <w:snapToGrid w:val="0"/>
        <w:spacing w:line="340" w:lineRule="exact"/>
        <w:ind w:firstLine="475" w:firstLineChars="198"/>
        <w:rPr>
          <w:rFonts w:hint="eastAsia" w:hAnsi="宋体" w:cs="宋体"/>
          <w:color w:val="auto"/>
          <w:sz w:val="24"/>
        </w:rPr>
      </w:pPr>
      <w:r>
        <w:rPr>
          <w:rFonts w:hint="eastAsia" w:hAnsi="宋体" w:cs="宋体"/>
          <w:color w:val="auto"/>
          <w:sz w:val="24"/>
        </w:rPr>
        <w:t>c、项目小组成员介绍</w:t>
      </w:r>
      <w:r>
        <w:rPr>
          <w:rFonts w:hint="eastAsia" w:ascii="宋体" w:hAnsi="宋体" w:cs="宋体"/>
          <w:color w:val="auto"/>
          <w:sz w:val="24"/>
        </w:rPr>
        <w:t>（格式附后）</w:t>
      </w:r>
      <w:r>
        <w:rPr>
          <w:rFonts w:hint="eastAsia" w:hAnsi="宋体" w:cs="宋体"/>
          <w:color w:val="auto"/>
          <w:sz w:val="24"/>
        </w:rPr>
        <w:t>;</w:t>
      </w:r>
    </w:p>
    <w:p>
      <w:pPr>
        <w:widowControl/>
        <w:snapToGrid w:val="0"/>
        <w:spacing w:line="340" w:lineRule="exact"/>
        <w:ind w:firstLine="475" w:firstLineChars="198"/>
        <w:rPr>
          <w:rFonts w:hint="eastAsia" w:ascii="宋体" w:hAnsi="宋体" w:cs="宋体"/>
          <w:color w:val="auto"/>
          <w:sz w:val="24"/>
        </w:rPr>
      </w:pPr>
      <w:r>
        <w:rPr>
          <w:rFonts w:hint="eastAsia" w:hAnsi="宋体" w:cs="宋体"/>
          <w:color w:val="auto"/>
          <w:sz w:val="24"/>
        </w:rPr>
        <w:t>10</w:t>
      </w:r>
      <w:r>
        <w:rPr>
          <w:rFonts w:hint="eastAsia" w:ascii="宋体" w:hAnsi="宋体" w:cs="宋体"/>
          <w:color w:val="auto"/>
          <w:sz w:val="24"/>
        </w:rPr>
        <w:t>）资信技术评分要求的相关资料复印件</w:t>
      </w:r>
      <w:r>
        <w:rPr>
          <w:rFonts w:hint="eastAsia" w:hAnsi="宋体" w:cs="宋体"/>
          <w:color w:val="auto"/>
          <w:sz w:val="24"/>
        </w:rPr>
        <w:t>；</w:t>
      </w:r>
    </w:p>
    <w:p>
      <w:pPr>
        <w:widowControl/>
        <w:snapToGrid w:val="0"/>
        <w:spacing w:line="340" w:lineRule="exact"/>
        <w:ind w:firstLine="475" w:firstLineChars="198"/>
        <w:rPr>
          <w:rFonts w:hint="eastAsia"/>
          <w:color w:val="auto"/>
          <w:sz w:val="24"/>
        </w:rPr>
      </w:pPr>
      <w:r>
        <w:rPr>
          <w:rFonts w:hint="eastAsia" w:hAnsi="宋体" w:cs="宋体"/>
          <w:color w:val="auto"/>
          <w:sz w:val="24"/>
        </w:rPr>
        <w:t>11</w:t>
      </w:r>
      <w:r>
        <w:rPr>
          <w:rFonts w:hint="eastAsia" w:ascii="宋体" w:hAnsi="宋体" w:cs="宋体"/>
          <w:color w:val="auto"/>
          <w:sz w:val="24"/>
        </w:rPr>
        <w:t>）供应商认为需要提供的其它文件和资料。</w:t>
      </w:r>
    </w:p>
    <w:p>
      <w:pPr>
        <w:pStyle w:val="81"/>
        <w:widowControl/>
        <w:rPr>
          <w:rFonts w:hint="eastAsia" w:ascii="宋体" w:hAnsi="宋体" w:eastAsia="宋体" w:cs="宋体"/>
          <w:color w:val="auto"/>
        </w:rPr>
      </w:pPr>
      <w:r>
        <w:rPr>
          <w:rFonts w:hint="eastAsia" w:ascii="宋体" w:hAnsi="宋体" w:eastAsia="宋体" w:cs="宋体"/>
          <w:color w:val="auto"/>
        </w:rPr>
        <w:t>10、投标报价</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10.1本项目无投标报价</w:t>
      </w:r>
    </w:p>
    <w:p>
      <w:pPr>
        <w:pStyle w:val="81"/>
        <w:widowControl/>
        <w:rPr>
          <w:rFonts w:hint="eastAsia" w:ascii="宋体" w:hAnsi="宋体" w:eastAsia="宋体" w:cs="宋体"/>
          <w:color w:val="auto"/>
        </w:rPr>
      </w:pPr>
      <w:r>
        <w:rPr>
          <w:rFonts w:hint="eastAsia" w:ascii="宋体" w:hAnsi="宋体" w:eastAsia="宋体" w:cs="宋体"/>
          <w:color w:val="auto"/>
        </w:rPr>
        <w:t>11、磋商响应文件的有效期</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11.1自投标截止日起90天磋商响应文件应保持有效。有效期不足的磋商响应文件将被拒绝。</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11.2在特殊情况下，采购人可与供应商协商延长投标书的有效期，这种要求和答复均以书面形式进行。</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11.3供应商可拒绝接受延期要求。</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11.4中标单位的磋商响应文件自磋商之日起至合同履行完毕止均应保持有效。</w:t>
      </w:r>
    </w:p>
    <w:p>
      <w:pPr>
        <w:pStyle w:val="81"/>
        <w:widowControl/>
        <w:rPr>
          <w:rFonts w:hint="eastAsia" w:ascii="宋体" w:hAnsi="宋体" w:eastAsia="宋体" w:cs="宋体"/>
          <w:color w:val="auto"/>
        </w:rPr>
      </w:pPr>
      <w:bookmarkStart w:id="18" w:name="_Toc152042326"/>
      <w:bookmarkStart w:id="19" w:name="_Toc144974518"/>
      <w:bookmarkStart w:id="20" w:name="_Toc152045550"/>
      <w:bookmarkStart w:id="21" w:name="_Toc179632568"/>
      <w:r>
        <w:rPr>
          <w:rFonts w:hint="eastAsia" w:ascii="宋体" w:hAnsi="宋体" w:eastAsia="宋体" w:cs="宋体"/>
          <w:color w:val="auto"/>
        </w:rPr>
        <w:t>12、投标保证金</w:t>
      </w:r>
      <w:bookmarkEnd w:id="18"/>
      <w:bookmarkEnd w:id="19"/>
      <w:bookmarkEnd w:id="20"/>
      <w:bookmarkEnd w:id="21"/>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12.1本项目不收取投标保证金。</w:t>
      </w:r>
    </w:p>
    <w:p>
      <w:pPr>
        <w:pStyle w:val="81"/>
        <w:widowControl/>
        <w:rPr>
          <w:rFonts w:hint="eastAsia" w:ascii="宋体" w:hAnsi="宋体" w:eastAsia="宋体" w:cs="宋体"/>
          <w:color w:val="auto"/>
        </w:rPr>
      </w:pPr>
      <w:r>
        <w:rPr>
          <w:rFonts w:hint="eastAsia" w:ascii="宋体" w:hAnsi="宋体" w:eastAsia="宋体" w:cs="宋体"/>
          <w:color w:val="auto"/>
        </w:rPr>
        <w:t>13、磋商响应文件的编制</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13.1磋商响应文件应按本须知第9条规定及第五章“磋商响应文件格式”进行编制。</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13.2磋商响应文件应用不褪色的材料书写或打印，并由供应商的法定代表人或其委托代理人签字或盖单位章。委托代理人签字的，磋商响应文件应附法定代表人签署的授权委托书。磋商响应文件应尽量避免涂改、行间插字或删除。如果出现上述情况，改动之处应加盖单位章或由供应商的法定代表人或其委托代理人签字确认。</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13.3供应商应按本须知前附表第4项规定，编制相应份数的磋商响应文件。</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13.4磋商响应文件正、副本份数见供应商须知前附表。正本和副本的封面上应清楚地标记“正本”或“副本”的字样。当副本和正本不一致时，以正本为准。</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13.5磋商响应文件的正本与副本应分别装订成册，并编制目录。</w:t>
      </w:r>
    </w:p>
    <w:p>
      <w:pPr>
        <w:jc w:val="center"/>
        <w:rPr>
          <w:rFonts w:hint="eastAsia" w:ascii="宋体" w:hAnsi="宋体" w:cs="宋体"/>
          <w:b/>
          <w:color w:val="auto"/>
          <w:sz w:val="32"/>
          <w:szCs w:val="32"/>
        </w:rPr>
      </w:pPr>
      <w:r>
        <w:rPr>
          <w:rFonts w:hint="eastAsia" w:ascii="宋体" w:hAnsi="宋体" w:cs="宋体"/>
          <w:b/>
          <w:color w:val="auto"/>
          <w:kern w:val="0"/>
          <w:sz w:val="32"/>
          <w:szCs w:val="32"/>
          <w:lang w:bidi="ar"/>
        </w:rPr>
        <w:t>四  投标</w:t>
      </w:r>
    </w:p>
    <w:p>
      <w:pPr>
        <w:pStyle w:val="81"/>
        <w:widowControl/>
        <w:rPr>
          <w:rFonts w:hint="eastAsia" w:ascii="宋体" w:hAnsi="宋体" w:eastAsia="宋体" w:cs="宋体"/>
          <w:color w:val="auto"/>
        </w:rPr>
      </w:pPr>
      <w:r>
        <w:rPr>
          <w:rFonts w:hint="eastAsia" w:ascii="宋体" w:hAnsi="宋体" w:eastAsia="宋体" w:cs="宋体"/>
          <w:color w:val="auto"/>
        </w:rPr>
        <w:t>14、磋商响应文件的包装密封、标识</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14.1磋商响应文件应装订成册，装入一个密封袋里，并在外包装上准确</w:t>
      </w:r>
      <w:r>
        <w:rPr>
          <w:rFonts w:hint="eastAsia" w:ascii="宋体" w:hAnsi="宋体" w:cs="宋体"/>
          <w:color w:val="auto"/>
          <w:kern w:val="21"/>
          <w:sz w:val="24"/>
          <w:szCs w:val="20"/>
          <w:lang w:bidi="ar"/>
        </w:rPr>
        <w:t>标明“项目名称”和“供应商名称”</w:t>
      </w:r>
      <w:r>
        <w:rPr>
          <w:rFonts w:hint="eastAsia" w:ascii="宋体" w:hAnsi="宋体" w:cs="宋体"/>
          <w:color w:val="auto"/>
          <w:kern w:val="0"/>
          <w:sz w:val="24"/>
          <w:lang w:bidi="ar"/>
        </w:rPr>
        <w:t>。</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b/>
          <w:color w:val="auto"/>
          <w:kern w:val="21"/>
          <w:sz w:val="24"/>
          <w:szCs w:val="20"/>
          <w:u w:val="single"/>
          <w:lang w:bidi="ar"/>
        </w:rPr>
        <w:t>未按上述规定进行密封和标识的磋商响应文件，采购人将不予受理。</w:t>
      </w:r>
    </w:p>
    <w:p>
      <w:pPr>
        <w:pStyle w:val="81"/>
        <w:widowControl/>
        <w:rPr>
          <w:rFonts w:hint="eastAsia" w:ascii="宋体" w:hAnsi="宋体" w:eastAsia="宋体" w:cs="宋体"/>
          <w:color w:val="auto"/>
        </w:rPr>
      </w:pPr>
      <w:r>
        <w:rPr>
          <w:rFonts w:hint="eastAsia" w:ascii="宋体" w:hAnsi="宋体" w:eastAsia="宋体" w:cs="宋体"/>
          <w:color w:val="auto"/>
        </w:rPr>
        <w:t>15、磋商响应文件的递交</w:t>
      </w:r>
    </w:p>
    <w:p>
      <w:pPr>
        <w:widowControl/>
        <w:snapToGrid w:val="0"/>
        <w:spacing w:line="340" w:lineRule="exact"/>
        <w:ind w:firstLine="460" w:firstLineChars="192"/>
        <w:rPr>
          <w:rFonts w:hint="eastAsia" w:ascii="宋体" w:hAnsi="宋体" w:cs="宋体"/>
          <w:color w:val="auto"/>
          <w:sz w:val="24"/>
        </w:rPr>
      </w:pPr>
      <w:r>
        <w:rPr>
          <w:rFonts w:hint="eastAsia" w:ascii="宋体" w:hAnsi="宋体" w:cs="宋体"/>
          <w:color w:val="auto"/>
          <w:kern w:val="0"/>
          <w:sz w:val="24"/>
          <w:lang w:bidi="ar"/>
        </w:rPr>
        <w:t>15.1</w:t>
      </w:r>
      <w:r>
        <w:rPr>
          <w:rFonts w:hint="eastAsia" w:ascii="宋体" w:hAnsi="宋体" w:cs="宋体"/>
          <w:b/>
          <w:color w:val="auto"/>
          <w:kern w:val="21"/>
          <w:sz w:val="24"/>
          <w:szCs w:val="20"/>
          <w:u w:val="single"/>
          <w:lang w:bidi="ar"/>
        </w:rPr>
        <w:t>供应商的磋商响应文件在磋商文件规定的响应截止时间前以直接提交形式提交至磋商文件规定的地点，供应商的法定代表人（或委托代理人）必须参加磋商会议，并带身份证原件，提交磋商响应文件时供应商代表应签名报到，未携带身份证原件的，采购人及代理机构将不予受理其磋商响应文件。</w:t>
      </w:r>
    </w:p>
    <w:p>
      <w:pPr>
        <w:widowControl/>
        <w:snapToGrid w:val="0"/>
        <w:spacing w:line="340" w:lineRule="exact"/>
        <w:ind w:firstLine="460" w:firstLineChars="192"/>
        <w:rPr>
          <w:rFonts w:hint="eastAsia" w:ascii="宋体" w:hAnsi="宋体" w:cs="宋体"/>
          <w:bCs/>
          <w:color w:val="auto"/>
          <w:kern w:val="21"/>
          <w:sz w:val="24"/>
          <w:szCs w:val="20"/>
        </w:rPr>
      </w:pPr>
      <w:r>
        <w:rPr>
          <w:rFonts w:hint="eastAsia" w:ascii="宋体" w:hAnsi="宋体" w:cs="宋体"/>
          <w:bCs/>
          <w:color w:val="auto"/>
          <w:kern w:val="21"/>
          <w:sz w:val="24"/>
          <w:szCs w:val="20"/>
          <w:lang w:bidi="ar"/>
        </w:rPr>
        <w:t>15.2 供应商递交磋商响应文件的地点：见供应商须知前附表。</w:t>
      </w:r>
    </w:p>
    <w:p>
      <w:pPr>
        <w:widowControl/>
        <w:snapToGrid w:val="0"/>
        <w:spacing w:line="340" w:lineRule="exact"/>
        <w:ind w:firstLine="460" w:firstLineChars="192"/>
        <w:rPr>
          <w:rFonts w:hint="eastAsia" w:ascii="宋体" w:hAnsi="宋体" w:cs="宋体"/>
          <w:bCs/>
          <w:color w:val="auto"/>
          <w:kern w:val="21"/>
          <w:sz w:val="24"/>
          <w:szCs w:val="20"/>
        </w:rPr>
      </w:pPr>
      <w:r>
        <w:rPr>
          <w:rFonts w:hint="eastAsia" w:ascii="宋体" w:hAnsi="宋体" w:cs="宋体"/>
          <w:bCs/>
          <w:color w:val="auto"/>
          <w:kern w:val="21"/>
          <w:sz w:val="24"/>
          <w:szCs w:val="20"/>
          <w:lang w:bidi="ar"/>
        </w:rPr>
        <w:t>15.3 除供应商须知前附表另有规定外，供应商所递交的磋商响应文件不予退还。</w:t>
      </w:r>
    </w:p>
    <w:p>
      <w:pPr>
        <w:widowControl/>
        <w:snapToGrid w:val="0"/>
        <w:spacing w:line="340" w:lineRule="exact"/>
        <w:ind w:firstLine="460" w:firstLineChars="192"/>
        <w:rPr>
          <w:rFonts w:hint="eastAsia" w:ascii="宋体" w:hAnsi="宋体" w:cs="宋体"/>
          <w:bCs/>
          <w:color w:val="auto"/>
          <w:kern w:val="21"/>
          <w:sz w:val="24"/>
          <w:szCs w:val="20"/>
        </w:rPr>
      </w:pPr>
      <w:r>
        <w:rPr>
          <w:rFonts w:hint="eastAsia" w:ascii="宋体" w:hAnsi="宋体" w:cs="宋体"/>
          <w:bCs/>
          <w:color w:val="auto"/>
          <w:kern w:val="21"/>
          <w:sz w:val="24"/>
          <w:szCs w:val="20"/>
          <w:lang w:bidi="ar"/>
        </w:rPr>
        <w:t>15.4逾期送达的或者未送达指定地点的磋商响应文件，采购人不予受理。</w:t>
      </w:r>
    </w:p>
    <w:p>
      <w:pPr>
        <w:pStyle w:val="81"/>
        <w:widowControl/>
        <w:rPr>
          <w:rFonts w:hint="eastAsia" w:ascii="宋体" w:hAnsi="宋体" w:eastAsia="宋体" w:cs="宋体"/>
          <w:color w:val="auto"/>
        </w:rPr>
      </w:pPr>
      <w:r>
        <w:rPr>
          <w:rFonts w:hint="eastAsia" w:ascii="宋体" w:hAnsi="宋体" w:eastAsia="宋体" w:cs="宋体"/>
          <w:color w:val="auto"/>
        </w:rPr>
        <w:t>16、磋商响应文件的修改与撤回</w:t>
      </w:r>
    </w:p>
    <w:p>
      <w:pPr>
        <w:spacing w:line="400" w:lineRule="exact"/>
        <w:ind w:firstLine="480" w:firstLineChars="200"/>
        <w:rPr>
          <w:rFonts w:hint="eastAsia" w:ascii="宋体" w:hAnsi="宋体" w:cs="宋体"/>
          <w:bCs/>
          <w:color w:val="auto"/>
          <w:kern w:val="21"/>
          <w:sz w:val="24"/>
          <w:szCs w:val="20"/>
        </w:rPr>
      </w:pPr>
      <w:r>
        <w:rPr>
          <w:rFonts w:hint="eastAsia" w:ascii="宋体" w:hAnsi="宋体" w:cs="宋体"/>
          <w:bCs/>
          <w:color w:val="auto"/>
          <w:kern w:val="21"/>
          <w:sz w:val="24"/>
          <w:szCs w:val="20"/>
          <w:lang w:bidi="ar"/>
        </w:rPr>
        <w:t>16.1 在供应商须知前附表第6项规定的响应截止时间前，供应商可以修改或撤回已提交的磋商响应文件，但应以书面形式通知采购人。</w:t>
      </w:r>
    </w:p>
    <w:p>
      <w:pPr>
        <w:spacing w:line="400" w:lineRule="exact"/>
        <w:ind w:firstLine="480" w:firstLineChars="200"/>
        <w:rPr>
          <w:rFonts w:hint="eastAsia" w:ascii="宋体" w:hAnsi="宋体" w:cs="宋体"/>
          <w:bCs/>
          <w:color w:val="auto"/>
          <w:kern w:val="21"/>
          <w:sz w:val="24"/>
          <w:szCs w:val="20"/>
        </w:rPr>
      </w:pPr>
      <w:r>
        <w:rPr>
          <w:rFonts w:hint="eastAsia" w:ascii="宋体" w:hAnsi="宋体" w:cs="宋体"/>
          <w:bCs/>
          <w:color w:val="auto"/>
          <w:kern w:val="21"/>
          <w:sz w:val="24"/>
          <w:szCs w:val="20"/>
          <w:lang w:bidi="ar"/>
        </w:rPr>
        <w:t>16.2 供应商修改或撤回已提交磋商响应文件的书面通知应由供应商的法定代表人（或其委托代理人）签字或盖供应商公章。采购人收到书面通知后，向供应商出具签收凭证。</w:t>
      </w:r>
    </w:p>
    <w:p>
      <w:pPr>
        <w:spacing w:before="100" w:after="50" w:line="400" w:lineRule="exact"/>
        <w:ind w:firstLine="480" w:firstLineChars="200"/>
        <w:rPr>
          <w:rFonts w:hint="eastAsia" w:ascii="宋体" w:hAnsi="宋体" w:cs="宋体"/>
          <w:bCs/>
          <w:color w:val="auto"/>
          <w:kern w:val="21"/>
          <w:sz w:val="24"/>
          <w:szCs w:val="20"/>
        </w:rPr>
      </w:pPr>
      <w:r>
        <w:rPr>
          <w:rFonts w:hint="eastAsia" w:ascii="宋体" w:hAnsi="宋体" w:cs="宋体"/>
          <w:bCs/>
          <w:color w:val="auto"/>
          <w:kern w:val="21"/>
          <w:sz w:val="24"/>
          <w:szCs w:val="20"/>
          <w:lang w:bidi="ar"/>
        </w:rPr>
        <w:t>16.3 修改的内容为磋商响应文件的组成部分。修改的磋商响应文件应由供应商的法定代表人（或其委托代理人）签字或盖供应商公章，并按照本须知第14、15条规定进行密封、标</w:t>
      </w:r>
      <w:r>
        <w:rPr>
          <w:rFonts w:hint="eastAsia" w:ascii="宋体" w:hAnsi="宋体" w:cs="宋体"/>
          <w:color w:val="auto"/>
          <w:kern w:val="21"/>
          <w:sz w:val="24"/>
          <w:szCs w:val="20"/>
          <w:lang w:bidi="ar"/>
        </w:rPr>
        <w:t>识</w:t>
      </w:r>
      <w:r>
        <w:rPr>
          <w:rFonts w:hint="eastAsia" w:ascii="宋体" w:hAnsi="宋体" w:cs="宋体"/>
          <w:bCs/>
          <w:color w:val="auto"/>
          <w:kern w:val="21"/>
          <w:sz w:val="24"/>
          <w:szCs w:val="20"/>
          <w:lang w:bidi="ar"/>
        </w:rPr>
        <w:t>和提交，并标明“修改”字样。</w:t>
      </w:r>
    </w:p>
    <w:p>
      <w:pPr>
        <w:jc w:val="center"/>
        <w:rPr>
          <w:rFonts w:hint="eastAsia" w:ascii="宋体" w:hAnsi="宋体" w:cs="宋体"/>
          <w:b/>
          <w:color w:val="auto"/>
          <w:sz w:val="32"/>
          <w:szCs w:val="32"/>
        </w:rPr>
      </w:pPr>
      <w:r>
        <w:rPr>
          <w:rFonts w:hint="eastAsia" w:ascii="宋体" w:hAnsi="宋体" w:cs="宋体"/>
          <w:b/>
          <w:color w:val="auto"/>
          <w:kern w:val="0"/>
          <w:sz w:val="32"/>
          <w:szCs w:val="32"/>
          <w:lang w:bidi="ar"/>
        </w:rPr>
        <w:t>五 磋商</w:t>
      </w:r>
    </w:p>
    <w:p>
      <w:pPr>
        <w:pStyle w:val="81"/>
        <w:widowControl/>
        <w:rPr>
          <w:rFonts w:hint="eastAsia" w:ascii="宋体" w:hAnsi="宋体" w:eastAsia="宋体" w:cs="宋体"/>
          <w:color w:val="auto"/>
        </w:rPr>
      </w:pPr>
      <w:r>
        <w:rPr>
          <w:rFonts w:hint="eastAsia" w:ascii="宋体" w:hAnsi="宋体" w:eastAsia="宋体" w:cs="宋体"/>
          <w:color w:val="auto"/>
        </w:rPr>
        <w:t>17、磋商</w:t>
      </w:r>
    </w:p>
    <w:p>
      <w:pPr>
        <w:autoSpaceDE w:val="0"/>
        <w:autoSpaceDN w:val="0"/>
        <w:adjustRightInd w:val="0"/>
        <w:spacing w:line="400" w:lineRule="exact"/>
        <w:ind w:firstLine="475" w:firstLineChars="198"/>
        <w:rPr>
          <w:rFonts w:hint="eastAsia" w:ascii="宋体" w:hAnsi="宋体"/>
          <w:color w:val="auto"/>
          <w:sz w:val="24"/>
        </w:rPr>
      </w:pPr>
      <w:r>
        <w:rPr>
          <w:rFonts w:hint="eastAsia" w:ascii="宋体" w:hAnsi="宋体"/>
          <w:color w:val="auto"/>
          <w:sz w:val="24"/>
        </w:rPr>
        <w:t>17.1、采购组织机构将在“磋商公告”规定的时间和地点进行磋商，磋商采购会议由采购组织机构工作人员主持，所有供应商均应准时参加磋商采购会议。</w:t>
      </w:r>
    </w:p>
    <w:p>
      <w:pPr>
        <w:autoSpaceDE w:val="0"/>
        <w:autoSpaceDN w:val="0"/>
        <w:adjustRightInd w:val="0"/>
        <w:spacing w:line="400" w:lineRule="exact"/>
        <w:ind w:firstLine="475" w:firstLineChars="198"/>
        <w:rPr>
          <w:rFonts w:hint="eastAsia" w:ascii="宋体" w:hAnsi="宋体"/>
          <w:color w:val="auto"/>
          <w:sz w:val="24"/>
        </w:rPr>
      </w:pPr>
      <w:r>
        <w:rPr>
          <w:rFonts w:hint="eastAsia" w:ascii="宋体" w:hAnsi="宋体"/>
          <w:color w:val="auto"/>
          <w:sz w:val="24"/>
        </w:rPr>
        <w:t>17.2、采购组织机构工作人员应当核验出席磋商活动现场的各供应商代表及相关单位人员身份，并组织其分别登记、签到，无关人员可拒绝其进入现场。</w:t>
      </w:r>
    </w:p>
    <w:p>
      <w:pPr>
        <w:autoSpaceDE w:val="0"/>
        <w:autoSpaceDN w:val="0"/>
        <w:adjustRightInd w:val="0"/>
        <w:spacing w:line="400" w:lineRule="exact"/>
        <w:ind w:firstLine="475" w:firstLineChars="198"/>
        <w:rPr>
          <w:rFonts w:hint="eastAsia" w:ascii="宋体" w:hAnsi="宋体"/>
          <w:color w:val="auto"/>
          <w:sz w:val="24"/>
        </w:rPr>
      </w:pPr>
      <w:r>
        <w:rPr>
          <w:rFonts w:hint="eastAsia" w:ascii="宋体" w:hAnsi="宋体"/>
          <w:color w:val="auto"/>
          <w:sz w:val="24"/>
        </w:rPr>
        <w:t>17.3、采购组织机构工作人员接收磋商响应文件并登记，并由供应商代表对递交记录情况进行签字确认。</w:t>
      </w:r>
    </w:p>
    <w:p>
      <w:pPr>
        <w:pStyle w:val="17"/>
        <w:snapToGrid w:val="0"/>
        <w:spacing w:line="400" w:lineRule="exact"/>
        <w:ind w:firstLine="480" w:firstLineChars="200"/>
        <w:rPr>
          <w:rFonts w:hAnsi="宋体"/>
          <w:color w:val="auto"/>
          <w:sz w:val="24"/>
        </w:rPr>
      </w:pPr>
      <w:r>
        <w:rPr>
          <w:rFonts w:hAnsi="宋体"/>
          <w:color w:val="auto"/>
          <w:sz w:val="24"/>
        </w:rPr>
        <w:t>17.4、主持人宣布磋商采购会议开始，介绍磋商现场的人员情况，宣读提交磋商响应文件的供应商名单、磋商纪律、应当回避的情形等注意事项，组织供应商签署不存在影响公平竞争的《政府采购活动现场确认声明书》。</w:t>
      </w:r>
    </w:p>
    <w:p>
      <w:pPr>
        <w:pStyle w:val="17"/>
        <w:snapToGrid w:val="0"/>
        <w:spacing w:line="400" w:lineRule="exact"/>
        <w:ind w:firstLine="480" w:firstLineChars="200"/>
        <w:rPr>
          <w:rFonts w:hAnsi="宋体"/>
          <w:color w:val="auto"/>
          <w:sz w:val="24"/>
        </w:rPr>
      </w:pPr>
      <w:r>
        <w:rPr>
          <w:rFonts w:hAnsi="宋体"/>
          <w:color w:val="auto"/>
          <w:sz w:val="24"/>
        </w:rPr>
        <w:t xml:space="preserve">17.5、请供应商代表查验磋商响应文件密封情况。 </w:t>
      </w:r>
    </w:p>
    <w:p>
      <w:pPr>
        <w:spacing w:line="400" w:lineRule="exact"/>
        <w:ind w:firstLine="480" w:firstLineChars="200"/>
        <w:rPr>
          <w:rFonts w:hint="eastAsia" w:ascii="宋体" w:hAnsi="宋体" w:cs="宋体"/>
          <w:color w:val="auto"/>
          <w:sz w:val="24"/>
        </w:rPr>
      </w:pPr>
      <w:r>
        <w:rPr>
          <w:rFonts w:hint="eastAsia" w:ascii="宋体" w:hAnsi="宋体"/>
          <w:color w:val="auto"/>
          <w:sz w:val="24"/>
        </w:rPr>
        <w:t>17.</w:t>
      </w:r>
      <w:r>
        <w:rPr>
          <w:rFonts w:hint="eastAsia" w:ascii="宋体" w:hAnsi="宋体" w:cs="宋体"/>
          <w:color w:val="auto"/>
          <w:sz w:val="24"/>
        </w:rPr>
        <w:t>6、主持人按磋商响应供应商签到的先后顺序当场拆封磋商文件，并送至评审场所。</w:t>
      </w:r>
    </w:p>
    <w:p>
      <w:pPr>
        <w:spacing w:line="400" w:lineRule="exact"/>
        <w:ind w:firstLine="480" w:firstLineChars="200"/>
        <w:rPr>
          <w:rFonts w:hint="eastAsia" w:ascii="宋体" w:hAnsi="宋体" w:cs="宋体"/>
          <w:color w:val="auto"/>
          <w:sz w:val="24"/>
        </w:rPr>
      </w:pPr>
      <w:r>
        <w:rPr>
          <w:rFonts w:hint="eastAsia" w:ascii="宋体" w:hAnsi="宋体"/>
          <w:color w:val="auto"/>
          <w:sz w:val="24"/>
        </w:rPr>
        <w:t>17.</w:t>
      </w:r>
      <w:r>
        <w:rPr>
          <w:rFonts w:hint="eastAsia" w:ascii="宋体" w:hAnsi="宋体" w:cs="宋体"/>
          <w:color w:val="auto"/>
          <w:sz w:val="24"/>
        </w:rPr>
        <w:t>7、磋商小组必须按照客观、公正、审慎的原则，根据磋商文件规定的评审程序、评审方法和评审标准进行独立评审。未实质性响应磋商文件的响应文件按无效响应处理，磋商小组应当告知提交响应文件的供应商。</w:t>
      </w:r>
    </w:p>
    <w:p>
      <w:pPr>
        <w:spacing w:line="400" w:lineRule="exact"/>
        <w:ind w:firstLine="480" w:firstLineChars="200"/>
        <w:rPr>
          <w:rFonts w:hint="eastAsia" w:ascii="宋体" w:hAnsi="宋体" w:cs="宋体"/>
          <w:color w:val="auto"/>
          <w:sz w:val="24"/>
        </w:rPr>
      </w:pPr>
      <w:r>
        <w:rPr>
          <w:rFonts w:hint="eastAsia" w:ascii="宋体" w:hAnsi="宋体"/>
          <w:color w:val="auto"/>
          <w:sz w:val="24"/>
        </w:rPr>
        <w:t>17.</w:t>
      </w:r>
      <w:r>
        <w:rPr>
          <w:rFonts w:hint="eastAsia" w:ascii="宋体" w:hAnsi="宋体" w:cs="宋体"/>
          <w:color w:val="auto"/>
          <w:sz w:val="24"/>
        </w:rPr>
        <w:t>8、磋商小组所有成员集中与单一供应商分别进行磋商，并给予所有参加磋商的供应商平等的磋商机会。</w:t>
      </w:r>
    </w:p>
    <w:p>
      <w:pPr>
        <w:spacing w:line="400" w:lineRule="exact"/>
        <w:ind w:firstLine="480" w:firstLineChars="200"/>
        <w:rPr>
          <w:rFonts w:hint="eastAsia" w:ascii="宋体" w:hAnsi="宋体" w:cs="宋体"/>
          <w:color w:val="auto"/>
          <w:sz w:val="24"/>
        </w:rPr>
      </w:pPr>
      <w:r>
        <w:rPr>
          <w:rFonts w:hint="eastAsia" w:ascii="宋体" w:hAnsi="宋体"/>
          <w:color w:val="auto"/>
          <w:sz w:val="24"/>
        </w:rPr>
        <w:t>17.</w:t>
      </w:r>
      <w:r>
        <w:rPr>
          <w:rFonts w:hint="eastAsia" w:ascii="宋体" w:hAnsi="宋体" w:cs="宋体"/>
          <w:color w:val="auto"/>
          <w:sz w:val="24"/>
        </w:rPr>
        <w:t>9、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spacing w:line="400" w:lineRule="exact"/>
        <w:ind w:firstLine="480" w:firstLineChars="200"/>
        <w:rPr>
          <w:rFonts w:hint="eastAsia" w:ascii="宋体" w:hAnsi="宋体" w:cs="宋体"/>
          <w:color w:val="auto"/>
          <w:sz w:val="24"/>
        </w:rPr>
      </w:pPr>
      <w:r>
        <w:rPr>
          <w:rFonts w:hint="eastAsia" w:ascii="宋体" w:hAnsi="宋体"/>
          <w:color w:val="auto"/>
          <w:sz w:val="24"/>
        </w:rPr>
        <w:t>17.</w:t>
      </w:r>
      <w:r>
        <w:rPr>
          <w:rFonts w:hint="eastAsia" w:ascii="宋体" w:hAnsi="宋体" w:cs="宋体"/>
          <w:color w:val="auto"/>
          <w:sz w:val="24"/>
        </w:rPr>
        <w:t>10、经磋商确定最终采购需求的供应商后，由磋商小组采用综合评分法对供应商的响应文件进行综合评分。</w:t>
      </w:r>
    </w:p>
    <w:p>
      <w:pPr>
        <w:pStyle w:val="17"/>
        <w:snapToGrid w:val="0"/>
        <w:spacing w:line="400" w:lineRule="exact"/>
        <w:ind w:firstLine="480" w:firstLineChars="200"/>
        <w:rPr>
          <w:rFonts w:hAnsi="宋体" w:cs="宋体"/>
          <w:color w:val="auto"/>
          <w:sz w:val="24"/>
        </w:rPr>
      </w:pPr>
      <w:r>
        <w:rPr>
          <w:rFonts w:hAnsi="宋体"/>
          <w:color w:val="auto"/>
          <w:sz w:val="24"/>
        </w:rPr>
        <w:t>17.</w:t>
      </w:r>
      <w:r>
        <w:rPr>
          <w:rFonts w:hAnsi="宋体" w:cs="宋体"/>
          <w:color w:val="auto"/>
          <w:sz w:val="24"/>
        </w:rPr>
        <w:t>11、磋商小组根据综合评分情况，按照评审得分由高到低顺序确定预成交供应商，编写评审报告。</w:t>
      </w:r>
    </w:p>
    <w:p>
      <w:pPr>
        <w:pStyle w:val="17"/>
        <w:snapToGrid w:val="0"/>
        <w:spacing w:line="400" w:lineRule="exact"/>
        <w:ind w:firstLine="480" w:firstLineChars="200"/>
        <w:rPr>
          <w:rFonts w:hAnsi="宋体"/>
          <w:color w:val="auto"/>
          <w:sz w:val="24"/>
        </w:rPr>
      </w:pPr>
      <w:r>
        <w:rPr>
          <w:rFonts w:hAnsi="宋体"/>
          <w:color w:val="auto"/>
          <w:sz w:val="24"/>
        </w:rPr>
        <w:t>17.12、</w:t>
      </w:r>
      <w:r>
        <w:rPr>
          <w:rFonts w:hAnsi="宋体" w:cs="宋体"/>
          <w:color w:val="auto"/>
          <w:sz w:val="24"/>
        </w:rPr>
        <w:t>主持人</w:t>
      </w:r>
      <w:r>
        <w:rPr>
          <w:rFonts w:hAnsi="宋体"/>
          <w:color w:val="auto"/>
          <w:sz w:val="24"/>
        </w:rPr>
        <w:t>到磋商采购会现场宣布磋商结果，磋商采购会议结束。</w:t>
      </w:r>
    </w:p>
    <w:p>
      <w:pPr>
        <w:jc w:val="center"/>
        <w:rPr>
          <w:rFonts w:hint="eastAsia" w:ascii="宋体" w:hAnsi="宋体" w:cs="宋体"/>
          <w:b/>
          <w:color w:val="auto"/>
          <w:sz w:val="32"/>
          <w:szCs w:val="32"/>
        </w:rPr>
      </w:pPr>
      <w:r>
        <w:rPr>
          <w:rFonts w:hint="eastAsia" w:ascii="宋体" w:hAnsi="宋体" w:cs="宋体"/>
          <w:b/>
          <w:color w:val="auto"/>
          <w:kern w:val="0"/>
          <w:sz w:val="32"/>
          <w:szCs w:val="32"/>
          <w:lang w:bidi="ar"/>
        </w:rPr>
        <w:t>六 评标</w:t>
      </w:r>
    </w:p>
    <w:p>
      <w:pPr>
        <w:pStyle w:val="81"/>
        <w:widowControl/>
        <w:rPr>
          <w:rFonts w:hint="eastAsia" w:ascii="宋体" w:hAnsi="宋体" w:eastAsia="宋体" w:cs="宋体"/>
          <w:color w:val="auto"/>
        </w:rPr>
      </w:pPr>
      <w:r>
        <w:rPr>
          <w:rFonts w:hint="eastAsia" w:ascii="宋体" w:hAnsi="宋体" w:eastAsia="宋体" w:cs="宋体"/>
          <w:color w:val="auto"/>
        </w:rPr>
        <w:t>18、磋商小组</w:t>
      </w:r>
    </w:p>
    <w:p>
      <w:pPr>
        <w:spacing w:line="400" w:lineRule="exact"/>
        <w:ind w:firstLine="480" w:firstLineChars="200"/>
        <w:rPr>
          <w:rFonts w:hint="eastAsia" w:ascii="宋体" w:hAnsi="宋体" w:cs="宋体"/>
          <w:bCs/>
          <w:color w:val="auto"/>
          <w:kern w:val="21"/>
          <w:sz w:val="24"/>
          <w:szCs w:val="20"/>
        </w:rPr>
      </w:pPr>
      <w:r>
        <w:rPr>
          <w:rFonts w:hint="eastAsia" w:ascii="宋体" w:hAnsi="宋体" w:cs="宋体"/>
          <w:bCs/>
          <w:color w:val="auto"/>
          <w:kern w:val="21"/>
          <w:sz w:val="24"/>
          <w:szCs w:val="20"/>
          <w:lang w:bidi="ar"/>
        </w:rPr>
        <w:t>18.1 评标由采购人依法组建的磋商小组负责。</w:t>
      </w:r>
    </w:p>
    <w:p>
      <w:pPr>
        <w:pStyle w:val="81"/>
        <w:widowControl/>
        <w:rPr>
          <w:rFonts w:hint="eastAsia" w:ascii="宋体" w:hAnsi="宋体" w:eastAsia="宋体" w:cs="宋体"/>
          <w:color w:val="auto"/>
        </w:rPr>
      </w:pPr>
      <w:r>
        <w:rPr>
          <w:rFonts w:hint="eastAsia" w:ascii="宋体" w:hAnsi="宋体" w:eastAsia="宋体" w:cs="宋体"/>
          <w:color w:val="auto"/>
        </w:rPr>
        <w:t>19、评标</w:t>
      </w:r>
    </w:p>
    <w:p>
      <w:pPr>
        <w:spacing w:line="400" w:lineRule="exact"/>
        <w:ind w:firstLine="480" w:firstLineChars="200"/>
        <w:rPr>
          <w:rFonts w:hint="eastAsia" w:ascii="宋体" w:hAnsi="宋体" w:cs="宋体"/>
          <w:color w:val="auto"/>
          <w:kern w:val="21"/>
          <w:sz w:val="24"/>
          <w:szCs w:val="20"/>
        </w:rPr>
      </w:pPr>
      <w:r>
        <w:rPr>
          <w:rFonts w:hint="eastAsia" w:ascii="宋体" w:hAnsi="宋体" w:cs="宋体"/>
          <w:color w:val="auto"/>
          <w:kern w:val="21"/>
          <w:sz w:val="24"/>
          <w:szCs w:val="20"/>
          <w:lang w:bidi="ar"/>
        </w:rPr>
        <w:t>19.1 磋商小组按照第四章“磋商标准和方法”规定的方法、评审因素、标准和程序对磋商响应文件进行评审。第四章“磋商标准和方法”没有规定的方法、评审因素和标准，不作为评标依据。</w:t>
      </w:r>
    </w:p>
    <w:p>
      <w:pPr>
        <w:jc w:val="center"/>
        <w:rPr>
          <w:rFonts w:hint="eastAsia" w:ascii="宋体" w:hAnsi="宋体" w:cs="宋体"/>
          <w:b/>
          <w:color w:val="auto"/>
          <w:sz w:val="32"/>
          <w:szCs w:val="32"/>
        </w:rPr>
      </w:pPr>
      <w:bookmarkStart w:id="22" w:name="_Toc152042342"/>
      <w:bookmarkStart w:id="23" w:name="_Toc144974534"/>
      <w:bookmarkStart w:id="24" w:name="_Toc179632584"/>
      <w:bookmarkStart w:id="25" w:name="_Toc152045566"/>
      <w:r>
        <w:rPr>
          <w:rFonts w:hint="eastAsia" w:ascii="宋体" w:hAnsi="宋体" w:cs="宋体"/>
          <w:b/>
          <w:color w:val="auto"/>
          <w:kern w:val="0"/>
          <w:sz w:val="32"/>
          <w:szCs w:val="32"/>
          <w:lang w:bidi="ar"/>
        </w:rPr>
        <w:t xml:space="preserve">七  </w:t>
      </w:r>
      <w:bookmarkEnd w:id="22"/>
      <w:bookmarkEnd w:id="23"/>
      <w:bookmarkEnd w:id="24"/>
      <w:bookmarkEnd w:id="25"/>
      <w:r>
        <w:rPr>
          <w:rFonts w:hint="eastAsia" w:ascii="宋体" w:hAnsi="宋体" w:cs="宋体"/>
          <w:b/>
          <w:color w:val="auto"/>
          <w:kern w:val="0"/>
          <w:sz w:val="32"/>
          <w:szCs w:val="32"/>
          <w:lang w:bidi="ar"/>
        </w:rPr>
        <w:t>入围通知</w:t>
      </w:r>
    </w:p>
    <w:p>
      <w:pPr>
        <w:pStyle w:val="81"/>
        <w:widowControl/>
        <w:rPr>
          <w:rFonts w:hint="eastAsia" w:ascii="宋体" w:hAnsi="宋体" w:eastAsia="宋体" w:cs="宋体"/>
          <w:color w:val="auto"/>
        </w:rPr>
      </w:pPr>
      <w:bookmarkStart w:id="26" w:name="_Toc179632585"/>
      <w:bookmarkStart w:id="27" w:name="_Toc152045567"/>
      <w:bookmarkStart w:id="28" w:name="_Toc152042343"/>
      <w:bookmarkStart w:id="29" w:name="_Toc144974535"/>
      <w:r>
        <w:rPr>
          <w:rFonts w:hint="eastAsia" w:ascii="宋体" w:hAnsi="宋体" w:eastAsia="宋体" w:cs="宋体"/>
          <w:color w:val="auto"/>
        </w:rPr>
        <w:t>20、 定标</w:t>
      </w:r>
      <w:bookmarkEnd w:id="26"/>
      <w:bookmarkEnd w:id="27"/>
      <w:bookmarkEnd w:id="28"/>
      <w:bookmarkEnd w:id="29"/>
    </w:p>
    <w:p>
      <w:pPr>
        <w:spacing w:line="400" w:lineRule="exact"/>
        <w:ind w:firstLine="480" w:firstLineChars="200"/>
        <w:rPr>
          <w:rFonts w:hint="eastAsia" w:ascii="宋体" w:hAnsi="宋体" w:cs="宋体"/>
          <w:color w:val="auto"/>
          <w:kern w:val="21"/>
          <w:sz w:val="24"/>
          <w:szCs w:val="20"/>
        </w:rPr>
      </w:pPr>
      <w:r>
        <w:rPr>
          <w:rFonts w:hint="eastAsia" w:ascii="宋体" w:hAnsi="宋体" w:cs="宋体"/>
          <w:color w:val="auto"/>
          <w:kern w:val="21"/>
          <w:sz w:val="24"/>
          <w:szCs w:val="20"/>
          <w:lang w:bidi="ar"/>
        </w:rPr>
        <w:t>20.1确定中标单位。本项目由采购人（或采购人事先授权磋商小组）确定中标单位。</w:t>
      </w:r>
    </w:p>
    <w:p>
      <w:pPr>
        <w:spacing w:line="400" w:lineRule="exact"/>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20.2采购代理机构应当自评审结束之日起2个工作日内将评审报告送交采购人。</w:t>
      </w:r>
    </w:p>
    <w:p>
      <w:pPr>
        <w:spacing w:line="400" w:lineRule="exact"/>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20.3采购人应当自收到评审报告之日起5个工作日内在评审报告推荐的中标候选人中按顺序确定入围供应商。</w:t>
      </w:r>
    </w:p>
    <w:p>
      <w:pPr>
        <w:spacing w:line="400" w:lineRule="exact"/>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20.4采购人或者采购代理机构应当自入围供应商确定之日起2个工作日内，发出中标、成交通知书，并公告入围结果。　</w:t>
      </w:r>
    </w:p>
    <w:p>
      <w:pPr>
        <w:jc w:val="center"/>
        <w:rPr>
          <w:rFonts w:hint="eastAsia" w:ascii="宋体" w:hAnsi="宋体" w:cs="宋体"/>
          <w:b/>
          <w:color w:val="auto"/>
          <w:sz w:val="32"/>
          <w:szCs w:val="32"/>
        </w:rPr>
      </w:pPr>
      <w:r>
        <w:rPr>
          <w:rFonts w:hint="eastAsia" w:ascii="宋体" w:hAnsi="宋体" w:cs="宋体"/>
          <w:b/>
          <w:color w:val="auto"/>
          <w:kern w:val="0"/>
          <w:sz w:val="32"/>
          <w:szCs w:val="32"/>
          <w:lang w:bidi="ar"/>
        </w:rPr>
        <w:t>八 其他</w:t>
      </w:r>
    </w:p>
    <w:p>
      <w:pPr>
        <w:pStyle w:val="81"/>
        <w:widowControl/>
        <w:rPr>
          <w:rFonts w:hint="eastAsia" w:ascii="宋体" w:hAnsi="宋体" w:eastAsia="宋体" w:cs="宋体"/>
          <w:color w:val="auto"/>
        </w:rPr>
      </w:pPr>
      <w:r>
        <w:rPr>
          <w:rFonts w:hint="eastAsia" w:ascii="宋体" w:hAnsi="宋体" w:eastAsia="宋体" w:cs="宋体"/>
          <w:color w:val="auto"/>
        </w:rPr>
        <w:t>23、废标</w:t>
      </w:r>
    </w:p>
    <w:p>
      <w:pPr>
        <w:spacing w:line="400" w:lineRule="exact"/>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23.1发生下列情况之一的予以废标：</w:t>
      </w:r>
    </w:p>
    <w:p>
      <w:pPr>
        <w:widowControl/>
        <w:numPr>
          <w:ilvl w:val="0"/>
          <w:numId w:val="2"/>
        </w:numPr>
        <w:snapToGrid w:val="0"/>
        <w:spacing w:line="360" w:lineRule="exact"/>
        <w:ind w:firstLine="480" w:firstLineChars="200"/>
        <w:rPr>
          <w:rFonts w:hint="eastAsia" w:ascii="宋体" w:hAnsi="宋体" w:cs="宋体"/>
          <w:color w:val="auto"/>
          <w:sz w:val="24"/>
        </w:rPr>
      </w:pPr>
      <w:r>
        <w:rPr>
          <w:rFonts w:hint="eastAsia" w:ascii="宋体" w:hAnsi="宋体" w:cs="宋体"/>
          <w:color w:val="auto"/>
          <w:kern w:val="0"/>
          <w:sz w:val="24"/>
          <w:lang w:bidi="ar"/>
        </w:rPr>
        <w:t>出现影响采购公正的违法、违规行为的；</w:t>
      </w:r>
    </w:p>
    <w:p>
      <w:pPr>
        <w:widowControl/>
        <w:numPr>
          <w:ilvl w:val="0"/>
          <w:numId w:val="2"/>
        </w:numPr>
        <w:snapToGrid w:val="0"/>
        <w:spacing w:line="360" w:lineRule="exact"/>
        <w:ind w:firstLine="480" w:firstLineChars="200"/>
        <w:rPr>
          <w:rFonts w:hint="eastAsia" w:ascii="宋体" w:hAnsi="宋体" w:cs="宋体"/>
          <w:color w:val="auto"/>
          <w:sz w:val="24"/>
        </w:rPr>
      </w:pPr>
      <w:r>
        <w:rPr>
          <w:rFonts w:hint="eastAsia" w:ascii="宋体" w:hAnsi="宋体" w:cs="宋体"/>
          <w:color w:val="auto"/>
          <w:kern w:val="0"/>
          <w:sz w:val="24"/>
          <w:lang w:bidi="ar"/>
        </w:rPr>
        <w:t>因重大变故，采购任务取消的。</w:t>
      </w:r>
    </w:p>
    <w:p>
      <w:pPr>
        <w:pStyle w:val="81"/>
        <w:widowControl/>
        <w:rPr>
          <w:rFonts w:hint="eastAsia" w:ascii="宋体" w:hAnsi="宋体" w:eastAsia="宋体" w:cs="宋体"/>
          <w:color w:val="auto"/>
        </w:rPr>
      </w:pPr>
      <w:r>
        <w:rPr>
          <w:rFonts w:hint="eastAsia" w:ascii="宋体" w:hAnsi="宋体" w:eastAsia="宋体" w:cs="宋体"/>
          <w:color w:val="auto"/>
        </w:rPr>
        <w:t>24、质疑和投诉</w:t>
      </w:r>
    </w:p>
    <w:p>
      <w:pPr>
        <w:widowControl/>
        <w:snapToGrid w:val="0"/>
        <w:spacing w:line="360" w:lineRule="exact"/>
        <w:ind w:firstLine="460" w:firstLineChars="192"/>
        <w:rPr>
          <w:rFonts w:hint="eastAsia" w:ascii="宋体" w:hAnsi="宋体" w:cs="宋体"/>
          <w:color w:val="auto"/>
          <w:kern w:val="0"/>
          <w:sz w:val="24"/>
          <w:lang w:bidi="ar"/>
        </w:rPr>
      </w:pPr>
      <w:r>
        <w:rPr>
          <w:rFonts w:hint="eastAsia" w:ascii="宋体" w:hAnsi="宋体" w:cs="宋体"/>
          <w:color w:val="auto"/>
          <w:kern w:val="0"/>
          <w:sz w:val="24"/>
          <w:lang w:bidi="ar"/>
        </w:rPr>
        <w:t>24.1供应商对本次招标相关事项有疑问的，可以向采购人或代理机构提出询问。</w:t>
      </w:r>
    </w:p>
    <w:p>
      <w:pPr>
        <w:widowControl/>
        <w:snapToGrid w:val="0"/>
        <w:spacing w:line="360" w:lineRule="exact"/>
        <w:ind w:firstLine="460" w:firstLineChars="192"/>
        <w:rPr>
          <w:rFonts w:hint="eastAsia" w:ascii="宋体" w:hAnsi="宋体" w:cs="宋体"/>
          <w:color w:val="auto"/>
          <w:kern w:val="0"/>
          <w:sz w:val="24"/>
          <w:lang w:bidi="ar"/>
        </w:rPr>
      </w:pPr>
      <w:r>
        <w:rPr>
          <w:rFonts w:hint="eastAsia" w:ascii="宋体" w:hAnsi="宋体" w:cs="宋体"/>
          <w:color w:val="auto"/>
          <w:kern w:val="0"/>
          <w:sz w:val="24"/>
          <w:lang w:bidi="ar"/>
        </w:rPr>
        <w:t>24.2供应商认为采购文件、采购过程和中标、成交结果使自己合法权益受到损害的，可以在知道或者应当知道其权益受到损害之日起 7 个工作日内，以书面形式向采购人或代理机构提出质疑。</w:t>
      </w:r>
    </w:p>
    <w:p>
      <w:pPr>
        <w:widowControl/>
        <w:snapToGrid w:val="0"/>
        <w:spacing w:line="360" w:lineRule="exact"/>
        <w:ind w:firstLine="460" w:firstLineChars="192"/>
        <w:rPr>
          <w:rFonts w:hint="eastAsia" w:ascii="宋体" w:hAnsi="宋体" w:cs="宋体"/>
          <w:color w:val="auto"/>
          <w:kern w:val="0"/>
          <w:sz w:val="24"/>
          <w:lang w:bidi="ar"/>
        </w:rPr>
      </w:pPr>
      <w:r>
        <w:rPr>
          <w:rFonts w:hint="eastAsia" w:ascii="宋体" w:hAnsi="宋体" w:cs="宋体"/>
          <w:color w:val="auto"/>
          <w:kern w:val="0"/>
          <w:sz w:val="24"/>
          <w:lang w:bidi="ar"/>
        </w:rPr>
        <w:t>24.3采购人和代理机构应当在收到供应商的书面质疑后 7 个工作日内作出答复，并以书面形式通知质疑供应商，但答复的内容不得涉及商业秘密。</w:t>
      </w:r>
    </w:p>
    <w:p>
      <w:pPr>
        <w:widowControl/>
        <w:snapToGrid w:val="0"/>
        <w:spacing w:line="360" w:lineRule="exact"/>
        <w:ind w:firstLine="460" w:firstLineChars="192"/>
        <w:rPr>
          <w:rFonts w:hint="eastAsia" w:ascii="宋体" w:hAnsi="宋体" w:cs="宋体"/>
          <w:color w:val="auto"/>
          <w:kern w:val="0"/>
          <w:sz w:val="24"/>
          <w:lang w:bidi="ar"/>
        </w:rPr>
      </w:pPr>
      <w:r>
        <w:rPr>
          <w:rFonts w:hint="eastAsia" w:ascii="宋体" w:hAnsi="宋体" w:cs="宋体"/>
          <w:color w:val="auto"/>
          <w:kern w:val="0"/>
          <w:sz w:val="24"/>
          <w:lang w:bidi="ar"/>
        </w:rPr>
        <w:t>24.4质疑供应商对采购人、代理机构的答复不满意或者采购人、代理机构未在规定的时间内作出答复的，可以在答复期满后向温岭市人民法院提起诉讼。</w:t>
      </w:r>
    </w:p>
    <w:p>
      <w:pPr>
        <w:pStyle w:val="81"/>
        <w:widowControl/>
        <w:rPr>
          <w:rFonts w:hint="eastAsia" w:ascii="宋体" w:hAnsi="宋体" w:eastAsia="宋体" w:cs="宋体"/>
          <w:color w:val="auto"/>
        </w:rPr>
      </w:pPr>
      <w:r>
        <w:rPr>
          <w:rFonts w:hint="eastAsia" w:ascii="宋体" w:hAnsi="宋体" w:eastAsia="宋体" w:cs="宋体"/>
          <w:color w:val="auto"/>
        </w:rPr>
        <w:t>25、其它</w:t>
      </w:r>
    </w:p>
    <w:p>
      <w:pPr>
        <w:widowControl/>
        <w:snapToGrid w:val="0"/>
        <w:spacing w:line="360" w:lineRule="exact"/>
        <w:ind w:firstLine="460" w:firstLineChars="192"/>
        <w:rPr>
          <w:rFonts w:hint="eastAsia" w:ascii="宋体" w:hAnsi="宋体" w:cs="宋体"/>
          <w:color w:val="auto"/>
          <w:kern w:val="0"/>
          <w:sz w:val="24"/>
          <w:lang w:bidi="ar"/>
        </w:rPr>
      </w:pPr>
      <w:r>
        <w:rPr>
          <w:rFonts w:hint="eastAsia" w:ascii="宋体" w:hAnsi="宋体" w:cs="宋体"/>
          <w:color w:val="auto"/>
          <w:kern w:val="0"/>
          <w:sz w:val="24"/>
          <w:lang w:bidi="ar"/>
        </w:rPr>
        <w:t>25.1本项目允许供应商在磋商文件发售截止时间后报名获取采购文件，但该供应商对磋商文件内容提出异议，将不予受理及答复。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25.2供应商报名并获取磋商文件后，若不准备参加本次采购项目的投标，请于投标截止日前1天向采购代理机构作出书面说明。</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25.3如供应商在投标过程中提供虚假材料谋取中标或与其他供应商恶意串通，一经发现，将取消其中标资格，并按有关规定予以处理。</w:t>
      </w:r>
      <w:r>
        <w:rPr>
          <w:rFonts w:hint="eastAsia" w:ascii="宋体" w:hAnsi="宋体" w:cs="宋体"/>
          <w:color w:val="auto"/>
          <w:kern w:val="0"/>
          <w:sz w:val="24"/>
          <w:lang w:bidi="ar"/>
        </w:rPr>
        <w:br w:type="textWrapping"/>
      </w:r>
    </w:p>
    <w:p>
      <w:pPr>
        <w:pStyle w:val="84"/>
        <w:widowControl/>
        <w:numPr>
          <w:ilvl w:val="0"/>
          <w:numId w:val="0"/>
        </w:numPr>
        <w:spacing w:before="0" w:after="0" w:line="360" w:lineRule="exact"/>
        <w:jc w:val="center"/>
        <w:rPr>
          <w:rFonts w:hAnsi="宋体" w:cs="宋体"/>
          <w:color w:val="auto"/>
          <w:sz w:val="32"/>
          <w:szCs w:val="32"/>
        </w:rPr>
      </w:pPr>
      <w:r>
        <w:rPr>
          <w:rFonts w:hAnsi="宋体" w:cs="宋体"/>
          <w:color w:val="auto"/>
          <w:sz w:val="24"/>
          <w:lang w:bidi="ar"/>
        </w:rPr>
        <w:br w:type="page"/>
      </w:r>
      <w:bookmarkStart w:id="30" w:name="_Toc373154494"/>
      <w:r>
        <w:rPr>
          <w:rFonts w:hAnsi="宋体" w:cs="宋体"/>
          <w:color w:val="auto"/>
          <w:kern w:val="0"/>
          <w:sz w:val="32"/>
          <w:szCs w:val="32"/>
          <w:lang w:bidi="ar"/>
        </w:rPr>
        <w:t xml:space="preserve">第三章  </w:t>
      </w:r>
      <w:bookmarkStart w:id="31" w:name="_Toc373154496"/>
      <w:r>
        <w:rPr>
          <w:rFonts w:hAnsi="宋体" w:cs="宋体"/>
          <w:color w:val="auto"/>
          <w:sz w:val="32"/>
          <w:szCs w:val="32"/>
        </w:rPr>
        <w:t>采购需求</w:t>
      </w:r>
    </w:p>
    <w:bookmarkEnd w:id="31"/>
    <w:p>
      <w:pPr>
        <w:pStyle w:val="7"/>
        <w:ind w:firstLine="480"/>
        <w:rPr>
          <w:rFonts w:cs="宋体"/>
          <w:snapToGrid w:val="0"/>
          <w:color w:val="auto"/>
          <w:sz w:val="24"/>
          <w:szCs w:val="32"/>
        </w:rPr>
      </w:pPr>
    </w:p>
    <w:p>
      <w:pPr>
        <w:spacing w:line="360" w:lineRule="auto"/>
        <w:ind w:firstLine="640"/>
        <w:rPr>
          <w:rFonts w:hint="eastAsia" w:ascii="宋体" w:hAnsi="宋体" w:cs="Arial"/>
          <w:b/>
          <w:bCs/>
          <w:color w:val="auto"/>
          <w:sz w:val="24"/>
        </w:rPr>
      </w:pPr>
      <w:r>
        <w:rPr>
          <w:rFonts w:hint="eastAsia" w:ascii="宋体" w:hAnsi="宋体" w:cs="Arial"/>
          <w:b/>
          <w:bCs/>
          <w:color w:val="auto"/>
          <w:sz w:val="24"/>
        </w:rPr>
        <w:t>一、采购内容</w:t>
      </w:r>
    </w:p>
    <w:p>
      <w:pPr>
        <w:pStyle w:val="27"/>
        <w:shd w:val="clear" w:color="auto" w:fill="FFFFFF"/>
        <w:spacing w:line="360" w:lineRule="auto"/>
        <w:ind w:firstLine="480" w:firstLineChars="200"/>
        <w:rPr>
          <w:rFonts w:hint="eastAsia" w:cs="Arial"/>
          <w:color w:val="auto"/>
          <w:kern w:val="2"/>
        </w:rPr>
      </w:pPr>
      <w:r>
        <w:rPr>
          <w:rFonts w:hint="eastAsia" w:cs="Arial"/>
          <w:color w:val="auto"/>
          <w:kern w:val="2"/>
        </w:rPr>
        <w:t>1、供应商服务对象原则上为危险废物年产生总量</w:t>
      </w:r>
      <w:r>
        <w:rPr>
          <w:rFonts w:hint="eastAsia" w:cs="Arial"/>
          <w:color w:val="auto"/>
          <w:kern w:val="2"/>
          <w:lang w:val="en-US" w:eastAsia="zh-CN"/>
        </w:rPr>
        <w:t>1</w:t>
      </w:r>
      <w:r>
        <w:rPr>
          <w:rFonts w:hint="eastAsia" w:cs="Arial"/>
          <w:color w:val="auto"/>
          <w:kern w:val="2"/>
        </w:rPr>
        <w:t>0吨以下的</w:t>
      </w:r>
      <w:r>
        <w:rPr>
          <w:rFonts w:hint="eastAsia" w:cs="Arial"/>
          <w:color w:val="auto"/>
        </w:rPr>
        <w:t>产废单位</w:t>
      </w:r>
      <w:r>
        <w:rPr>
          <w:rFonts w:hint="eastAsia" w:cs="Arial"/>
          <w:color w:val="auto"/>
          <w:kern w:val="2"/>
        </w:rPr>
        <w:t>，要求采用互联网管理平台或直接到点服务的形式为</w:t>
      </w:r>
      <w:r>
        <w:rPr>
          <w:rFonts w:hint="eastAsia" w:cs="Arial"/>
          <w:color w:val="auto"/>
        </w:rPr>
        <w:t>产废单位</w:t>
      </w:r>
      <w:r>
        <w:rPr>
          <w:rFonts w:hint="eastAsia" w:cs="Arial"/>
          <w:color w:val="auto"/>
          <w:kern w:val="2"/>
        </w:rPr>
        <w:t>提供服务，</w:t>
      </w:r>
      <w:r>
        <w:rPr>
          <w:rFonts w:hint="eastAsia" w:cs="Arial"/>
          <w:color w:val="auto"/>
        </w:rPr>
        <w:t>不允许收集温岭市域外的危险废物</w:t>
      </w:r>
      <w:r>
        <w:rPr>
          <w:rFonts w:hint="eastAsia" w:cs="Arial"/>
          <w:color w:val="auto"/>
          <w:kern w:val="2"/>
        </w:rPr>
        <w:t>。供应商严禁收集、贮存易爆危险废物、废弃剧毒化学品、有机酸、混合酸、医疗废物及相关行政管理部门认为不适宜收集贮存的危险废物。</w:t>
      </w:r>
    </w:p>
    <w:p>
      <w:pPr>
        <w:pStyle w:val="27"/>
        <w:shd w:val="clear" w:color="auto" w:fill="FFFFFF"/>
        <w:spacing w:line="360" w:lineRule="auto"/>
        <w:ind w:firstLine="480" w:firstLineChars="200"/>
        <w:rPr>
          <w:rFonts w:hint="eastAsia" w:cs="Arial"/>
          <w:color w:val="auto"/>
          <w:kern w:val="2"/>
        </w:rPr>
      </w:pPr>
      <w:r>
        <w:rPr>
          <w:rFonts w:hint="eastAsia" w:cs="Arial"/>
          <w:color w:val="auto"/>
          <w:kern w:val="2"/>
        </w:rPr>
        <w:t>2、供应商须在“浙江省固体废物监管平台”申请帐号，收集、贮存</w:t>
      </w:r>
      <w:r>
        <w:rPr>
          <w:rFonts w:hint="eastAsia" w:cs="Arial"/>
          <w:color w:val="auto"/>
        </w:rPr>
        <w:t>产废单位</w:t>
      </w:r>
      <w:r>
        <w:rPr>
          <w:rFonts w:hint="eastAsia" w:cs="Arial"/>
          <w:color w:val="auto"/>
          <w:kern w:val="2"/>
        </w:rPr>
        <w:t>产生的危废，由有危废运输资质的运输单位负责转运工作，最终由供应商和有资质的处置单位签订危废处置合同，开具转移联单后规范处置。供应商可开展</w:t>
      </w:r>
      <w:r>
        <w:rPr>
          <w:rFonts w:hint="eastAsia" w:cs="Arial"/>
          <w:color w:val="auto"/>
        </w:rPr>
        <w:t>产废单位</w:t>
      </w:r>
      <w:r>
        <w:rPr>
          <w:rFonts w:hint="eastAsia" w:cs="Arial"/>
          <w:color w:val="auto"/>
          <w:kern w:val="2"/>
        </w:rPr>
        <w:t>危险废物规范化管理第三方运维工作，为</w:t>
      </w:r>
      <w:r>
        <w:rPr>
          <w:rFonts w:hint="eastAsia" w:cs="Arial"/>
          <w:color w:val="auto"/>
        </w:rPr>
        <w:t>产废单位</w:t>
      </w:r>
      <w:r>
        <w:rPr>
          <w:rFonts w:hint="eastAsia" w:cs="Arial"/>
          <w:color w:val="auto"/>
          <w:kern w:val="2"/>
        </w:rPr>
        <w:t>内部危废分类、收集、暂存、申报等提供一站式专业化延伸服务。</w:t>
      </w:r>
    </w:p>
    <w:p>
      <w:pPr>
        <w:pStyle w:val="27"/>
        <w:shd w:val="clear" w:color="auto" w:fill="FFFFFF"/>
        <w:spacing w:line="360" w:lineRule="auto"/>
        <w:ind w:firstLine="480" w:firstLineChars="200"/>
        <w:rPr>
          <w:rFonts w:hint="eastAsia" w:cs="Arial"/>
          <w:color w:val="auto"/>
          <w:kern w:val="2"/>
        </w:rPr>
      </w:pPr>
      <w:r>
        <w:rPr>
          <w:rFonts w:hint="eastAsia" w:cs="Arial"/>
          <w:color w:val="auto"/>
          <w:kern w:val="2"/>
        </w:rPr>
        <w:t>3、供应商应建立组织架构清晰、责任体系完备的危险废物规范化、信息化管理体制，依法开展危废经营活动，按时向采购人上报危险废物经营活动季报和年报。</w:t>
      </w:r>
    </w:p>
    <w:p>
      <w:pPr>
        <w:pStyle w:val="27"/>
        <w:shd w:val="clear" w:color="auto" w:fill="FFFFFF"/>
        <w:spacing w:line="360" w:lineRule="auto"/>
        <w:ind w:firstLine="480" w:firstLineChars="200"/>
        <w:rPr>
          <w:rFonts w:cs="宋体"/>
          <w:color w:val="auto"/>
          <w:kern w:val="2"/>
        </w:rPr>
      </w:pPr>
      <w:r>
        <w:rPr>
          <w:rFonts w:hint="eastAsia" w:cs="Arial"/>
          <w:color w:val="auto"/>
          <w:kern w:val="2"/>
        </w:rPr>
        <w:t>二、其他要求</w:t>
      </w:r>
    </w:p>
    <w:p>
      <w:pPr>
        <w:pStyle w:val="27"/>
        <w:shd w:val="clear" w:color="auto" w:fill="FFFFFF"/>
        <w:spacing w:line="360" w:lineRule="auto"/>
        <w:ind w:firstLine="480" w:firstLineChars="200"/>
        <w:rPr>
          <w:rFonts w:hint="eastAsia" w:cs="Arial"/>
          <w:color w:val="auto"/>
          <w:kern w:val="2"/>
        </w:rPr>
      </w:pPr>
      <w:r>
        <w:rPr>
          <w:rFonts w:hint="eastAsia" w:cs="Arial"/>
          <w:color w:val="auto"/>
          <w:kern w:val="2"/>
        </w:rPr>
        <w:t>1、供应商提供</w:t>
      </w:r>
      <w:r>
        <w:rPr>
          <w:rFonts w:hint="eastAsia" w:cs="仿宋_GB2312"/>
          <w:color w:val="auto"/>
        </w:rPr>
        <w:t>危险货物运输资质证书</w:t>
      </w:r>
      <w:r>
        <w:rPr>
          <w:rFonts w:hint="eastAsia" w:cs="Arial"/>
          <w:color w:val="auto"/>
          <w:kern w:val="2"/>
        </w:rPr>
        <w:t>复印件，供应商委托其他公司运输的，提供运输单位</w:t>
      </w:r>
      <w:r>
        <w:rPr>
          <w:rFonts w:hint="eastAsia" w:cs="仿宋_GB2312"/>
          <w:color w:val="auto"/>
        </w:rPr>
        <w:t>危险货物运输资质证书</w:t>
      </w:r>
      <w:r>
        <w:rPr>
          <w:rFonts w:hint="eastAsia" w:cs="Arial"/>
          <w:color w:val="auto"/>
          <w:kern w:val="2"/>
        </w:rPr>
        <w:t>复印件及委托运输协议复印件，加盖供应商公章；</w:t>
      </w:r>
    </w:p>
    <w:p>
      <w:pPr>
        <w:pStyle w:val="27"/>
        <w:shd w:val="clear" w:color="auto" w:fill="FFFFFF"/>
        <w:spacing w:line="360" w:lineRule="auto"/>
        <w:ind w:firstLine="480" w:firstLineChars="200"/>
        <w:rPr>
          <w:rFonts w:hint="eastAsia" w:cs="Arial"/>
          <w:color w:val="auto"/>
          <w:kern w:val="2"/>
        </w:rPr>
      </w:pPr>
      <w:r>
        <w:rPr>
          <w:rFonts w:hint="eastAsia" w:cs="Arial"/>
          <w:color w:val="auto"/>
          <w:kern w:val="2"/>
        </w:rPr>
        <w:t>2、供应商必须在温岭市工业</w:t>
      </w:r>
      <w:r>
        <w:rPr>
          <w:rFonts w:hint="eastAsia" w:cs="Arial"/>
          <w:color w:val="auto"/>
          <w:kern w:val="2"/>
          <w:lang w:eastAsia="zh-CN"/>
        </w:rPr>
        <w:t>功能区</w:t>
      </w:r>
      <w:r>
        <w:rPr>
          <w:rFonts w:hint="eastAsia" w:cs="Arial"/>
          <w:color w:val="auto"/>
          <w:kern w:val="2"/>
        </w:rPr>
        <w:t>（符合项目准入要求，用地性质为二类及以上工业用地）内有拟建本项目的场所，占地面积不低于 600 平方米（必须提供租赁意向协议及产权证等材料）。</w:t>
      </w:r>
    </w:p>
    <w:p>
      <w:pPr>
        <w:pStyle w:val="27"/>
        <w:shd w:val="clear" w:color="auto" w:fill="FFFFFF"/>
        <w:spacing w:line="360" w:lineRule="auto"/>
        <w:ind w:firstLine="480" w:firstLineChars="200"/>
        <w:rPr>
          <w:rFonts w:hint="eastAsia" w:eastAsia="宋体" w:cs="Arial"/>
          <w:color w:val="auto"/>
          <w:kern w:val="2"/>
          <w:lang w:val="en-US" w:eastAsia="zh-CN"/>
        </w:rPr>
      </w:pPr>
      <w:r>
        <w:rPr>
          <w:rFonts w:hint="eastAsia" w:cs="Arial"/>
          <w:color w:val="auto"/>
          <w:kern w:val="2"/>
          <w:lang w:val="en-US" w:eastAsia="zh-CN"/>
        </w:rPr>
        <w:t>3、入围供应商可以由分公司承担危险废物收集工作和办理审批手续,</w:t>
      </w:r>
      <w:r>
        <w:rPr>
          <w:rFonts w:hint="eastAsia" w:eastAsia="宋体" w:cs="Arial"/>
          <w:color w:val="auto"/>
          <w:kern w:val="2"/>
          <w:lang w:val="en-US" w:eastAsia="zh-CN"/>
        </w:rPr>
        <w:t>并在收到入围通知书后30天内完成项目立项，8个月内完成项目建设。</w:t>
      </w:r>
    </w:p>
    <w:p>
      <w:pPr>
        <w:pStyle w:val="27"/>
        <w:shd w:val="clear" w:color="auto" w:fill="FFFFFF"/>
        <w:spacing w:line="360" w:lineRule="auto"/>
        <w:ind w:firstLine="480" w:firstLineChars="200"/>
        <w:rPr>
          <w:rFonts w:cs="Arial"/>
          <w:color w:val="auto"/>
          <w:kern w:val="2"/>
        </w:rPr>
      </w:pPr>
      <w:r>
        <w:rPr>
          <w:rFonts w:hint="eastAsia" w:cs="Arial"/>
          <w:color w:val="auto"/>
          <w:kern w:val="2"/>
          <w:lang w:val="en-US" w:eastAsia="zh-CN"/>
        </w:rPr>
        <w:t>4、</w:t>
      </w:r>
      <w:r>
        <w:rPr>
          <w:rFonts w:hint="eastAsia" w:cs="Arial"/>
          <w:color w:val="auto"/>
          <w:kern w:val="2"/>
        </w:rPr>
        <w:t>本项目分为两个标项，标项一要求地点设置在大溪或泽国，标项二要求地点设置在温峤或横峰。</w:t>
      </w:r>
    </w:p>
    <w:p>
      <w:pPr>
        <w:spacing w:line="400" w:lineRule="exact"/>
        <w:ind w:firstLine="320" w:firstLineChars="100"/>
        <w:jc w:val="center"/>
        <w:rPr>
          <w:rFonts w:hint="eastAsia" w:ascii="宋体" w:hAnsi="宋体" w:cs="Arial"/>
          <w:color w:val="auto"/>
          <w:sz w:val="32"/>
          <w:szCs w:val="32"/>
        </w:rPr>
      </w:pPr>
    </w:p>
    <w:p>
      <w:pPr>
        <w:spacing w:line="400" w:lineRule="exact"/>
        <w:ind w:firstLine="320" w:firstLineChars="100"/>
        <w:jc w:val="center"/>
        <w:rPr>
          <w:rFonts w:hint="eastAsia" w:ascii="宋体" w:hAnsi="宋体" w:cs="Arial"/>
          <w:color w:val="auto"/>
          <w:sz w:val="32"/>
          <w:szCs w:val="32"/>
        </w:rPr>
      </w:pPr>
    </w:p>
    <w:p>
      <w:pPr>
        <w:spacing w:line="400" w:lineRule="exact"/>
        <w:ind w:firstLine="320" w:firstLineChars="100"/>
        <w:jc w:val="center"/>
        <w:rPr>
          <w:rFonts w:hint="eastAsia" w:ascii="宋体" w:hAnsi="宋体" w:cs="Arial"/>
          <w:color w:val="auto"/>
          <w:sz w:val="32"/>
          <w:szCs w:val="32"/>
        </w:rPr>
      </w:pPr>
    </w:p>
    <w:p>
      <w:pPr>
        <w:spacing w:line="400" w:lineRule="exact"/>
        <w:ind w:firstLine="320" w:firstLineChars="100"/>
        <w:jc w:val="center"/>
        <w:rPr>
          <w:rFonts w:hint="eastAsia" w:ascii="宋体" w:hAnsi="宋体" w:cs="Arial"/>
          <w:color w:val="auto"/>
          <w:sz w:val="32"/>
          <w:szCs w:val="32"/>
        </w:rPr>
      </w:pPr>
    </w:p>
    <w:p>
      <w:pPr>
        <w:widowControl/>
        <w:snapToGrid w:val="0"/>
        <w:spacing w:line="360" w:lineRule="exact"/>
        <w:jc w:val="center"/>
        <w:rPr>
          <w:rFonts w:hint="eastAsia" w:ascii="宋体" w:hAnsi="宋体" w:cs="宋体"/>
          <w:color w:val="auto"/>
          <w:sz w:val="32"/>
          <w:szCs w:val="32"/>
        </w:rPr>
      </w:pPr>
      <w:r>
        <w:rPr>
          <w:rFonts w:hAnsi="宋体" w:cs="宋体"/>
          <w:b/>
          <w:bCs/>
          <w:color w:val="auto"/>
          <w:sz w:val="32"/>
          <w:szCs w:val="32"/>
        </w:rPr>
        <w:br w:type="page"/>
      </w:r>
      <w:bookmarkEnd w:id="30"/>
      <w:bookmarkStart w:id="32" w:name="_Toc373154495"/>
      <w:r>
        <w:rPr>
          <w:rFonts w:hAnsi="宋体" w:cs="宋体"/>
          <w:b/>
          <w:bCs/>
          <w:color w:val="auto"/>
          <w:sz w:val="32"/>
          <w:szCs w:val="32"/>
        </w:rPr>
        <w:t>第</w:t>
      </w:r>
      <w:r>
        <w:rPr>
          <w:rFonts w:hint="eastAsia" w:hAnsi="宋体" w:cs="宋体"/>
          <w:b/>
          <w:bCs/>
          <w:color w:val="auto"/>
          <w:sz w:val="32"/>
          <w:szCs w:val="32"/>
        </w:rPr>
        <w:t>四</w:t>
      </w:r>
      <w:r>
        <w:rPr>
          <w:rFonts w:hAnsi="宋体" w:cs="宋体"/>
          <w:b/>
          <w:bCs/>
          <w:color w:val="auto"/>
          <w:sz w:val="32"/>
          <w:szCs w:val="32"/>
        </w:rPr>
        <w:t xml:space="preserve">章  </w:t>
      </w:r>
      <w:bookmarkEnd w:id="32"/>
      <w:bookmarkStart w:id="33" w:name="_Toc373154497"/>
      <w:r>
        <w:rPr>
          <w:rFonts w:hint="eastAsia" w:ascii="宋体" w:hAnsi="宋体" w:cs="宋体"/>
          <w:b/>
          <w:bCs/>
          <w:color w:val="auto"/>
          <w:kern w:val="0"/>
          <w:sz w:val="32"/>
          <w:szCs w:val="32"/>
          <w:lang w:bidi="ar"/>
        </w:rPr>
        <w:t>磋商标准和方法</w:t>
      </w:r>
    </w:p>
    <w:p>
      <w:pPr>
        <w:spacing w:line="360" w:lineRule="exact"/>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为公正、公平、科学地选择中标单位，参照相关法律法规等有关规定，并结合本项目的实际，制定本办法。</w:t>
      </w:r>
    </w:p>
    <w:p>
      <w:pPr>
        <w:snapToGrid w:val="0"/>
        <w:spacing w:line="360" w:lineRule="exact"/>
        <w:ind w:left="-315" w:leftChars="-150" w:firstLine="480" w:firstLineChars="200"/>
        <w:rPr>
          <w:rFonts w:hint="eastAsia" w:ascii="宋体" w:hAnsi="宋体" w:cs="宋体"/>
          <w:b/>
          <w:color w:val="auto"/>
          <w:kern w:val="0"/>
          <w:sz w:val="24"/>
          <w:szCs w:val="20"/>
          <w:lang w:bidi="ar"/>
        </w:rPr>
      </w:pPr>
      <w:r>
        <w:rPr>
          <w:rFonts w:hint="eastAsia" w:ascii="宋体" w:hAnsi="宋体" w:cs="宋体"/>
          <w:b/>
          <w:color w:val="auto"/>
          <w:kern w:val="0"/>
          <w:sz w:val="24"/>
          <w:szCs w:val="20"/>
          <w:lang w:bidi="ar"/>
        </w:rPr>
        <w:t>1、总则</w:t>
      </w:r>
    </w:p>
    <w:p>
      <w:pPr>
        <w:spacing w:line="480" w:lineRule="exact"/>
        <w:ind w:firstLine="480" w:firstLineChars="200"/>
        <w:rPr>
          <w:rFonts w:hint="eastAsia" w:ascii="宋体" w:hAnsi="宋体"/>
          <w:color w:val="auto"/>
          <w:sz w:val="24"/>
        </w:rPr>
      </w:pPr>
      <w:r>
        <w:rPr>
          <w:rFonts w:hint="eastAsia" w:ascii="宋体" w:hAnsi="宋体" w:cs="宋体"/>
          <w:color w:val="auto"/>
          <w:kern w:val="0"/>
          <w:sz w:val="24"/>
          <w:lang w:bidi="ar"/>
        </w:rPr>
        <w:t>1.1本次评标采用综合评分法，总分为100分。评委对供应商磋商响应文件进行资信技术评分，各供应商</w:t>
      </w:r>
      <w:r>
        <w:rPr>
          <w:rFonts w:hint="eastAsia" w:ascii="宋体" w:hAnsi="宋体"/>
          <w:color w:val="auto"/>
          <w:sz w:val="24"/>
        </w:rPr>
        <w:t>的资信技术得分为各评委有效评分的算数平均值。</w:t>
      </w:r>
    </w:p>
    <w:p>
      <w:pPr>
        <w:spacing w:line="48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中标候选资格按总得分由高到低顺序排列，总得分相同的，则由采购人现场抽签确定排序。</w:t>
      </w:r>
    </w:p>
    <w:p>
      <w:pPr>
        <w:spacing w:line="480" w:lineRule="exact"/>
        <w:ind w:firstLine="480" w:firstLineChars="200"/>
        <w:rPr>
          <w:rFonts w:hint="eastAsia" w:ascii="宋体" w:hAnsi="宋体" w:cs="宋体"/>
          <w:b/>
          <w:bCs/>
          <w:color w:val="auto"/>
          <w:kern w:val="0"/>
          <w:sz w:val="24"/>
          <w:lang w:bidi="ar"/>
        </w:rPr>
      </w:pPr>
      <w:r>
        <w:rPr>
          <w:rFonts w:hint="eastAsia" w:ascii="宋体" w:hAnsi="宋体" w:cs="宋体"/>
          <w:color w:val="auto"/>
          <w:kern w:val="0"/>
          <w:sz w:val="24"/>
          <w:lang w:bidi="ar"/>
        </w:rPr>
        <w:t>1.2</w:t>
      </w:r>
      <w:r>
        <w:rPr>
          <w:rFonts w:hint="eastAsia" w:cs="宋体"/>
          <w:color w:val="auto"/>
          <w:sz w:val="24"/>
        </w:rPr>
        <w:t>本项目分两个标项，标项一中标单位不再进入标项二评审。</w:t>
      </w:r>
      <w:r>
        <w:rPr>
          <w:rFonts w:hint="eastAsia" w:ascii="宋体" w:hAnsi="宋体" w:cs="宋体"/>
          <w:b/>
          <w:bCs/>
          <w:color w:val="auto"/>
          <w:kern w:val="0"/>
          <w:sz w:val="24"/>
          <w:lang w:bidi="ar"/>
        </w:rPr>
        <w:t>如各标项有效供应商只有一家的，则此有效供应商为中标候选人。如各标项有效供应商为两家及以上的，磋商小组推荐总得分排名第一的供应商为中标候选人，采购人确定总得分排名第一的中标候选人为中标单位。</w:t>
      </w:r>
    </w:p>
    <w:p>
      <w:pPr>
        <w:spacing w:line="480" w:lineRule="exact"/>
        <w:ind w:firstLine="480" w:firstLineChars="200"/>
        <w:rPr>
          <w:rFonts w:hint="eastAsia" w:ascii="宋体" w:hAnsi="宋体" w:cs="宋体"/>
          <w:color w:val="auto"/>
          <w:sz w:val="24"/>
        </w:rPr>
      </w:pPr>
      <w:r>
        <w:rPr>
          <w:rFonts w:hint="eastAsia" w:ascii="宋体" w:hAnsi="宋体" w:cs="宋体"/>
          <w:color w:val="auto"/>
          <w:kern w:val="0"/>
          <w:sz w:val="24"/>
          <w:lang w:bidi="ar"/>
        </w:rPr>
        <w:t>1.2评分计算过程中均采用四舍五入法，并保留小数2位。</w:t>
      </w:r>
    </w:p>
    <w:p>
      <w:pPr>
        <w:snapToGrid w:val="0"/>
        <w:spacing w:line="360" w:lineRule="exact"/>
        <w:ind w:left="-315" w:leftChars="-150" w:firstLine="480" w:firstLineChars="200"/>
        <w:rPr>
          <w:rFonts w:hint="eastAsia" w:ascii="宋体" w:hAnsi="宋体" w:cs="宋体"/>
          <w:b/>
          <w:color w:val="auto"/>
          <w:sz w:val="24"/>
          <w:szCs w:val="20"/>
        </w:rPr>
      </w:pPr>
      <w:r>
        <w:rPr>
          <w:rFonts w:hint="eastAsia" w:ascii="宋体" w:hAnsi="宋体" w:cs="宋体"/>
          <w:b/>
          <w:color w:val="auto"/>
          <w:kern w:val="0"/>
          <w:sz w:val="24"/>
          <w:szCs w:val="20"/>
          <w:lang w:bidi="ar"/>
        </w:rPr>
        <w:t>2、评标标准及办法</w:t>
      </w:r>
    </w:p>
    <w:p>
      <w:pPr>
        <w:widowControl/>
        <w:snapToGrid w:val="0"/>
        <w:spacing w:line="360" w:lineRule="exact"/>
        <w:ind w:left="420" w:leftChars="200"/>
        <w:jc w:val="left"/>
        <w:rPr>
          <w:rFonts w:ascii="宋体" w:hAnsi="宋体" w:cs="宋体"/>
          <w:color w:val="auto"/>
          <w:sz w:val="24"/>
        </w:rPr>
      </w:pPr>
      <w:r>
        <w:rPr>
          <w:rFonts w:hint="eastAsia" w:ascii="宋体" w:hAnsi="宋体" w:cs="宋体"/>
          <w:b/>
          <w:color w:val="auto"/>
          <w:kern w:val="0"/>
          <w:sz w:val="24"/>
          <w:szCs w:val="20"/>
        </w:rPr>
        <w:t>2.1磋商响应文件的资格审查：</w:t>
      </w:r>
    </w:p>
    <w:p>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未提供下列材料的资格审查认定为无效：</w:t>
      </w:r>
      <w:r>
        <w:rPr>
          <w:rFonts w:hint="eastAsia" w:ascii="宋体" w:hAnsi="宋体" w:cs="宋体"/>
          <w:color w:val="auto"/>
          <w:kern w:val="0"/>
          <w:sz w:val="24"/>
        </w:rPr>
        <w:br w:type="textWrapping"/>
      </w:r>
      <w:r>
        <w:rPr>
          <w:rFonts w:hint="eastAsia" w:ascii="宋体" w:hAnsi="宋体" w:cs="宋体"/>
          <w:color w:val="auto"/>
          <w:kern w:val="0"/>
          <w:sz w:val="24"/>
        </w:rPr>
        <w:t>　　1）法人或者其他组织的营业执照等证明文件（提供企业营业执照副本复印件）；</w:t>
      </w:r>
    </w:p>
    <w:p>
      <w:pPr>
        <w:widowControl/>
        <w:snapToGrid w:val="0"/>
        <w:spacing w:line="340" w:lineRule="exact"/>
        <w:ind w:firstLine="475" w:firstLineChars="198"/>
        <w:rPr>
          <w:rFonts w:ascii="宋体" w:hAnsi="宋体" w:cs="宋体"/>
          <w:b/>
          <w:color w:val="auto"/>
          <w:sz w:val="24"/>
          <w:szCs w:val="20"/>
        </w:rPr>
      </w:pPr>
      <w:r>
        <w:rPr>
          <w:rFonts w:hint="eastAsia" w:hAnsi="宋体" w:cs="宋体"/>
          <w:color w:val="auto"/>
          <w:sz w:val="24"/>
        </w:rPr>
        <w:t>2</w:t>
      </w:r>
      <w:r>
        <w:rPr>
          <w:rFonts w:hint="eastAsia" w:ascii="宋体" w:hAnsi="宋体" w:cs="宋体"/>
          <w:color w:val="auto"/>
          <w:sz w:val="24"/>
        </w:rPr>
        <w:t>）</w:t>
      </w:r>
      <w:r>
        <w:rPr>
          <w:rFonts w:hint="eastAsia" w:hAnsi="宋体"/>
          <w:color w:val="auto"/>
          <w:sz w:val="24"/>
        </w:rPr>
        <w:t>参加采购活动前三年内，无因安全和环境保护方面受到过刑事犯罪的记录声明函；</w:t>
      </w:r>
      <w:r>
        <w:rPr>
          <w:rFonts w:hint="eastAsia" w:ascii="宋体" w:hAnsi="宋体" w:cs="宋体"/>
          <w:color w:val="auto"/>
          <w:sz w:val="24"/>
        </w:rPr>
        <w:br w:type="textWrapping"/>
      </w:r>
      <w:r>
        <w:rPr>
          <w:rFonts w:hint="eastAsia" w:ascii="宋体" w:hAnsi="宋体" w:cs="宋体"/>
          <w:b/>
          <w:color w:val="auto"/>
          <w:kern w:val="0"/>
          <w:sz w:val="24"/>
          <w:szCs w:val="20"/>
        </w:rPr>
        <w:t>2.2磋商响应文件的符合性审查</w:t>
      </w:r>
    </w:p>
    <w:p>
      <w:pPr>
        <w:snapToGrid w:val="0"/>
        <w:spacing w:line="360" w:lineRule="exact"/>
        <w:ind w:firstLine="480" w:firstLineChars="200"/>
        <w:rPr>
          <w:rFonts w:hint="eastAsia" w:ascii="宋体" w:hAnsi="宋体" w:cs="宋体"/>
          <w:bCs/>
          <w:color w:val="auto"/>
          <w:kern w:val="0"/>
          <w:sz w:val="24"/>
          <w:szCs w:val="20"/>
          <w:lang w:bidi="ar"/>
        </w:rPr>
      </w:pPr>
      <w:r>
        <w:rPr>
          <w:rFonts w:hint="eastAsia" w:ascii="宋体" w:hAnsi="宋体" w:cs="宋体"/>
          <w:bCs/>
          <w:color w:val="auto"/>
          <w:kern w:val="0"/>
          <w:sz w:val="24"/>
          <w:szCs w:val="20"/>
          <w:lang w:bidi="ar"/>
        </w:rPr>
        <w:t>发生下列情况之一的磋商响应文件被视为无效：</w:t>
      </w:r>
    </w:p>
    <w:p>
      <w:pPr>
        <w:snapToGrid w:val="0"/>
        <w:spacing w:line="360" w:lineRule="exact"/>
        <w:ind w:firstLine="480" w:firstLineChars="200"/>
        <w:rPr>
          <w:rFonts w:hint="eastAsia" w:ascii="宋体" w:hAnsi="宋体" w:cs="宋体"/>
          <w:bCs/>
          <w:color w:val="auto"/>
          <w:kern w:val="0"/>
          <w:sz w:val="24"/>
          <w:szCs w:val="20"/>
          <w:lang w:bidi="ar"/>
        </w:rPr>
      </w:pPr>
      <w:r>
        <w:rPr>
          <w:rFonts w:hint="eastAsia" w:ascii="宋体" w:hAnsi="宋体" w:cs="宋体"/>
          <w:bCs/>
          <w:color w:val="auto"/>
          <w:kern w:val="0"/>
          <w:sz w:val="24"/>
          <w:szCs w:val="20"/>
          <w:lang w:bidi="ar"/>
        </w:rPr>
        <w:t>1）磋商响应文件未按磋商文件规定的要求提交或密封、签署、盖章的；</w:t>
      </w:r>
    </w:p>
    <w:p>
      <w:pPr>
        <w:snapToGrid w:val="0"/>
        <w:spacing w:line="360" w:lineRule="exact"/>
        <w:ind w:firstLine="480" w:firstLineChars="200"/>
        <w:rPr>
          <w:rFonts w:hint="eastAsia" w:ascii="宋体" w:hAnsi="宋体" w:cs="宋体"/>
          <w:bCs/>
          <w:color w:val="auto"/>
          <w:kern w:val="0"/>
          <w:sz w:val="24"/>
          <w:szCs w:val="20"/>
          <w:lang w:bidi="ar"/>
        </w:rPr>
      </w:pPr>
      <w:r>
        <w:rPr>
          <w:rFonts w:hint="eastAsia" w:ascii="宋体" w:hAnsi="宋体" w:cs="宋体"/>
          <w:bCs/>
          <w:color w:val="auto"/>
          <w:kern w:val="0"/>
          <w:sz w:val="24"/>
          <w:szCs w:val="20"/>
          <w:lang w:bidi="ar"/>
        </w:rPr>
        <w:t>2）供应商递交两份或两份以上内容不同又未在磋商响应文件中声明哪一份有效的磋商响应文件；</w:t>
      </w:r>
    </w:p>
    <w:p>
      <w:pPr>
        <w:snapToGrid w:val="0"/>
        <w:spacing w:line="360" w:lineRule="exact"/>
        <w:ind w:firstLine="480" w:firstLineChars="200"/>
        <w:rPr>
          <w:rFonts w:hint="eastAsia" w:ascii="宋体" w:hAnsi="宋体" w:cs="宋体"/>
          <w:bCs/>
          <w:color w:val="auto"/>
          <w:kern w:val="0"/>
          <w:sz w:val="24"/>
          <w:szCs w:val="20"/>
          <w:lang w:bidi="ar"/>
        </w:rPr>
      </w:pPr>
      <w:r>
        <w:rPr>
          <w:rFonts w:hint="eastAsia" w:ascii="宋体" w:hAnsi="宋体" w:cs="宋体"/>
          <w:bCs/>
          <w:color w:val="auto"/>
          <w:kern w:val="0"/>
          <w:sz w:val="24"/>
          <w:szCs w:val="20"/>
          <w:lang w:bidi="ar"/>
        </w:rPr>
        <w:t xml:space="preserve">3）供应商委托代理人没有提供合法、有效的“授权委托书”原件； </w:t>
      </w:r>
    </w:p>
    <w:p>
      <w:pPr>
        <w:snapToGrid w:val="0"/>
        <w:spacing w:line="360" w:lineRule="exact"/>
        <w:ind w:firstLine="480" w:firstLineChars="200"/>
        <w:rPr>
          <w:rFonts w:hint="eastAsia" w:ascii="宋体" w:hAnsi="宋体" w:cs="宋体"/>
          <w:bCs/>
          <w:color w:val="auto"/>
          <w:kern w:val="0"/>
          <w:sz w:val="24"/>
          <w:szCs w:val="20"/>
          <w:lang w:bidi="ar"/>
        </w:rPr>
      </w:pPr>
      <w:r>
        <w:rPr>
          <w:rFonts w:hint="eastAsia" w:ascii="宋体" w:hAnsi="宋体" w:cs="宋体"/>
          <w:bCs/>
          <w:color w:val="auto"/>
          <w:kern w:val="0"/>
          <w:sz w:val="24"/>
          <w:szCs w:val="20"/>
          <w:lang w:bidi="ar"/>
        </w:rPr>
        <w:t>4）磋商响应文件的实质性内容未使用中文表述、意思表述不明确、前后矛盾或者使用计量单位不符合磋商文件要求的（经磋商小组认定并允许其当场更正的笔误除外）；</w:t>
      </w:r>
    </w:p>
    <w:p>
      <w:pPr>
        <w:snapToGrid w:val="0"/>
        <w:spacing w:line="360" w:lineRule="exact"/>
        <w:ind w:firstLine="480" w:firstLineChars="200"/>
        <w:rPr>
          <w:rFonts w:hint="eastAsia" w:ascii="宋体" w:hAnsi="宋体" w:cs="宋体"/>
          <w:bCs/>
          <w:color w:val="auto"/>
          <w:kern w:val="0"/>
          <w:sz w:val="24"/>
          <w:szCs w:val="20"/>
          <w:lang w:bidi="ar"/>
        </w:rPr>
      </w:pPr>
      <w:r>
        <w:rPr>
          <w:rFonts w:hint="eastAsia" w:ascii="宋体" w:hAnsi="宋体" w:cs="宋体"/>
          <w:bCs/>
          <w:color w:val="auto"/>
          <w:kern w:val="0"/>
          <w:sz w:val="24"/>
          <w:szCs w:val="20"/>
          <w:lang w:bidi="ar"/>
        </w:rPr>
        <w:t>5）未实质性响应磋商文件要求或者磋商响应文件有采购人不能接受的附加条件的；</w:t>
      </w:r>
    </w:p>
    <w:p>
      <w:pPr>
        <w:snapToGrid w:val="0"/>
        <w:spacing w:line="360" w:lineRule="exact"/>
        <w:ind w:firstLine="480" w:firstLineChars="200"/>
        <w:rPr>
          <w:rFonts w:hint="eastAsia" w:ascii="宋体" w:hAnsi="宋体" w:cs="宋体"/>
          <w:bCs/>
          <w:color w:val="auto"/>
          <w:kern w:val="0"/>
          <w:sz w:val="24"/>
          <w:szCs w:val="20"/>
          <w:lang w:bidi="ar"/>
        </w:rPr>
      </w:pPr>
      <w:r>
        <w:rPr>
          <w:rFonts w:hint="eastAsia" w:ascii="宋体" w:hAnsi="宋体" w:cs="宋体"/>
          <w:bCs/>
          <w:color w:val="auto"/>
          <w:kern w:val="0"/>
          <w:sz w:val="24"/>
          <w:szCs w:val="20"/>
          <w:lang w:bidi="ar"/>
        </w:rPr>
        <w:t>6）明显不符合磋商文件要求的技术参数、质量标准，或者与磋商文件中的技术指标、主要功能项目发生实质性偏离的；</w:t>
      </w:r>
    </w:p>
    <w:p>
      <w:pPr>
        <w:snapToGrid w:val="0"/>
        <w:spacing w:line="360" w:lineRule="exact"/>
        <w:ind w:firstLine="480" w:firstLineChars="200"/>
        <w:rPr>
          <w:rFonts w:hint="eastAsia" w:ascii="宋体" w:hAnsi="宋体" w:cs="宋体"/>
          <w:bCs/>
          <w:color w:val="auto"/>
          <w:kern w:val="0"/>
          <w:sz w:val="24"/>
          <w:szCs w:val="20"/>
          <w:lang w:bidi="ar"/>
        </w:rPr>
      </w:pPr>
      <w:r>
        <w:rPr>
          <w:rFonts w:hint="eastAsia" w:ascii="宋体" w:hAnsi="宋体" w:cs="宋体"/>
          <w:bCs/>
          <w:color w:val="auto"/>
          <w:kern w:val="0"/>
          <w:sz w:val="24"/>
          <w:szCs w:val="20"/>
          <w:lang w:bidi="ar"/>
        </w:rPr>
        <w:t>7）投标技术方案不明确，存在一个或一个以上备选（替代）投标方案的；</w:t>
      </w:r>
    </w:p>
    <w:p>
      <w:pPr>
        <w:snapToGrid w:val="0"/>
        <w:spacing w:line="360" w:lineRule="exact"/>
        <w:ind w:firstLine="480" w:firstLineChars="200"/>
        <w:rPr>
          <w:rFonts w:hint="eastAsia" w:ascii="宋体" w:hAnsi="宋体" w:cs="宋体"/>
          <w:bCs/>
          <w:color w:val="auto"/>
          <w:kern w:val="0"/>
          <w:sz w:val="24"/>
          <w:szCs w:val="20"/>
          <w:lang w:bidi="ar"/>
        </w:rPr>
      </w:pPr>
      <w:r>
        <w:rPr>
          <w:rFonts w:hint="eastAsia" w:ascii="宋体" w:hAnsi="宋体" w:cs="宋体"/>
          <w:bCs/>
          <w:color w:val="auto"/>
          <w:kern w:val="0"/>
          <w:sz w:val="24"/>
          <w:szCs w:val="20"/>
          <w:lang w:bidi="ar"/>
        </w:rPr>
        <w:t>8）不符合法律、法规和磋商文件中规定的其他实质性要求的。</w:t>
      </w:r>
    </w:p>
    <w:p>
      <w:pPr>
        <w:spacing w:line="360" w:lineRule="exact"/>
        <w:ind w:left="-315" w:leftChars="-150" w:firstLine="470" w:firstLineChars="196"/>
        <w:rPr>
          <w:rFonts w:hint="eastAsia" w:ascii="宋体" w:hAnsi="宋体" w:cs="宋体"/>
          <w:b/>
          <w:bCs/>
          <w:color w:val="auto"/>
          <w:kern w:val="0"/>
          <w:sz w:val="24"/>
          <w:lang w:bidi="ar"/>
        </w:rPr>
      </w:pPr>
    </w:p>
    <w:p>
      <w:pPr>
        <w:spacing w:line="360" w:lineRule="exact"/>
        <w:ind w:left="-315" w:leftChars="-150" w:firstLine="470" w:firstLineChars="196"/>
        <w:rPr>
          <w:rFonts w:hint="eastAsia" w:ascii="宋体" w:hAnsi="宋体" w:cs="宋体"/>
          <w:b/>
          <w:bCs/>
          <w:color w:val="auto"/>
          <w:kern w:val="0"/>
          <w:sz w:val="24"/>
          <w:lang w:bidi="ar"/>
        </w:rPr>
      </w:pPr>
    </w:p>
    <w:p>
      <w:pPr>
        <w:spacing w:line="360" w:lineRule="exact"/>
        <w:ind w:left="-315" w:leftChars="-150" w:firstLine="470" w:firstLineChars="196"/>
        <w:rPr>
          <w:rFonts w:hint="eastAsia" w:ascii="宋体" w:hAnsi="宋体" w:cs="宋体"/>
          <w:b/>
          <w:bCs/>
          <w:color w:val="auto"/>
          <w:kern w:val="0"/>
          <w:sz w:val="24"/>
          <w:lang w:bidi="ar"/>
        </w:rPr>
      </w:pPr>
    </w:p>
    <w:p>
      <w:pPr>
        <w:spacing w:line="360" w:lineRule="exact"/>
        <w:ind w:left="-315" w:leftChars="-150" w:firstLine="470" w:firstLineChars="196"/>
        <w:rPr>
          <w:rFonts w:hint="eastAsia" w:ascii="宋体" w:hAnsi="宋体" w:cs="宋体"/>
          <w:b/>
          <w:bCs/>
          <w:color w:val="auto"/>
          <w:kern w:val="0"/>
          <w:sz w:val="24"/>
          <w:lang w:bidi="ar"/>
        </w:rPr>
      </w:pPr>
      <w:r>
        <w:rPr>
          <w:rFonts w:hint="eastAsia" w:ascii="宋体" w:hAnsi="宋体" w:cs="宋体"/>
          <w:b/>
          <w:bCs/>
          <w:color w:val="auto"/>
          <w:kern w:val="0"/>
          <w:sz w:val="24"/>
          <w:lang w:bidi="ar"/>
        </w:rPr>
        <w:t>2.3评分标准（100分）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799"/>
        <w:gridCol w:w="872"/>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27" w:type="dxa"/>
            <w:noWrap w:val="0"/>
            <w:vAlign w:val="center"/>
          </w:tcPr>
          <w:p>
            <w:pPr>
              <w:pStyle w:val="3"/>
              <w:spacing w:after="0"/>
              <w:jc w:val="center"/>
              <w:rPr>
                <w:rFonts w:cs="宋体"/>
                <w:b/>
                <w:bCs/>
                <w:color w:val="auto"/>
                <w:sz w:val="24"/>
                <w:szCs w:val="24"/>
              </w:rPr>
            </w:pPr>
            <w:r>
              <w:rPr>
                <w:rFonts w:cs="宋体"/>
                <w:b/>
                <w:bCs/>
                <w:color w:val="auto"/>
                <w:sz w:val="24"/>
                <w:szCs w:val="24"/>
              </w:rPr>
              <w:t>序号</w:t>
            </w:r>
          </w:p>
        </w:tc>
        <w:tc>
          <w:tcPr>
            <w:tcW w:w="1799" w:type="dxa"/>
            <w:noWrap w:val="0"/>
            <w:vAlign w:val="center"/>
          </w:tcPr>
          <w:p>
            <w:pPr>
              <w:pStyle w:val="3"/>
              <w:spacing w:after="0"/>
              <w:jc w:val="center"/>
              <w:rPr>
                <w:rFonts w:cs="宋体"/>
                <w:b/>
                <w:bCs/>
                <w:color w:val="auto"/>
                <w:sz w:val="24"/>
                <w:szCs w:val="24"/>
              </w:rPr>
            </w:pPr>
            <w:r>
              <w:rPr>
                <w:rFonts w:cs="宋体"/>
                <w:b/>
                <w:bCs/>
                <w:color w:val="auto"/>
                <w:sz w:val="24"/>
                <w:szCs w:val="24"/>
              </w:rPr>
              <w:t>评审指标</w:t>
            </w:r>
          </w:p>
        </w:tc>
        <w:tc>
          <w:tcPr>
            <w:tcW w:w="872" w:type="dxa"/>
            <w:noWrap w:val="0"/>
            <w:vAlign w:val="center"/>
          </w:tcPr>
          <w:p>
            <w:pPr>
              <w:pStyle w:val="3"/>
              <w:spacing w:after="0"/>
              <w:jc w:val="center"/>
              <w:rPr>
                <w:rFonts w:cs="宋体"/>
                <w:b/>
                <w:bCs/>
                <w:color w:val="auto"/>
                <w:sz w:val="24"/>
                <w:szCs w:val="24"/>
              </w:rPr>
            </w:pPr>
            <w:r>
              <w:rPr>
                <w:rFonts w:cs="宋体"/>
                <w:b/>
                <w:bCs/>
                <w:color w:val="auto"/>
                <w:sz w:val="24"/>
                <w:szCs w:val="24"/>
              </w:rPr>
              <w:t>分值</w:t>
            </w:r>
          </w:p>
        </w:tc>
        <w:tc>
          <w:tcPr>
            <w:tcW w:w="6582" w:type="dxa"/>
            <w:noWrap w:val="0"/>
            <w:vAlign w:val="center"/>
          </w:tcPr>
          <w:p>
            <w:pPr>
              <w:pStyle w:val="3"/>
              <w:spacing w:after="0"/>
              <w:jc w:val="center"/>
              <w:rPr>
                <w:rFonts w:cs="宋体"/>
                <w:b/>
                <w:bCs/>
                <w:color w:val="auto"/>
                <w:sz w:val="24"/>
                <w:szCs w:val="24"/>
              </w:rPr>
            </w:pPr>
            <w:r>
              <w:rPr>
                <w:rFonts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27" w:type="dxa"/>
            <w:noWrap w:val="0"/>
            <w:vAlign w:val="center"/>
          </w:tcPr>
          <w:p>
            <w:pPr>
              <w:pStyle w:val="3"/>
              <w:spacing w:after="0"/>
              <w:jc w:val="center"/>
              <w:rPr>
                <w:rFonts w:cs="宋体"/>
                <w:color w:val="auto"/>
                <w:sz w:val="24"/>
                <w:szCs w:val="24"/>
              </w:rPr>
            </w:pPr>
            <w:r>
              <w:rPr>
                <w:rFonts w:cs="宋体"/>
                <w:color w:val="auto"/>
                <w:sz w:val="24"/>
                <w:szCs w:val="24"/>
              </w:rPr>
              <w:t>1</w:t>
            </w:r>
          </w:p>
        </w:tc>
        <w:tc>
          <w:tcPr>
            <w:tcW w:w="1799" w:type="dxa"/>
            <w:noWrap w:val="0"/>
            <w:vAlign w:val="center"/>
          </w:tcPr>
          <w:p>
            <w:pPr>
              <w:pStyle w:val="3"/>
              <w:spacing w:after="0"/>
              <w:jc w:val="center"/>
              <w:rPr>
                <w:rFonts w:cs="宋体"/>
                <w:color w:val="auto"/>
                <w:sz w:val="24"/>
                <w:szCs w:val="24"/>
              </w:rPr>
            </w:pPr>
            <w:r>
              <w:rPr>
                <w:rFonts w:cs="宋体"/>
                <w:color w:val="auto"/>
                <w:sz w:val="24"/>
                <w:szCs w:val="24"/>
              </w:rPr>
              <w:t>专职技术人员</w:t>
            </w:r>
          </w:p>
        </w:tc>
        <w:tc>
          <w:tcPr>
            <w:tcW w:w="872" w:type="dxa"/>
            <w:noWrap w:val="0"/>
            <w:vAlign w:val="center"/>
          </w:tcPr>
          <w:p>
            <w:pPr>
              <w:pStyle w:val="3"/>
              <w:spacing w:after="0"/>
              <w:jc w:val="center"/>
              <w:rPr>
                <w:rFonts w:hint="default" w:eastAsia="宋体" w:cs="宋体"/>
                <w:color w:val="auto"/>
                <w:sz w:val="24"/>
                <w:szCs w:val="24"/>
                <w:lang w:val="en-US" w:eastAsia="zh-CN"/>
              </w:rPr>
            </w:pPr>
            <w:r>
              <w:rPr>
                <w:rFonts w:hint="eastAsia" w:cs="宋体"/>
                <w:color w:val="auto"/>
                <w:sz w:val="24"/>
                <w:szCs w:val="24"/>
                <w:lang w:val="en-US" w:eastAsia="zh-CN"/>
              </w:rPr>
              <w:t>15</w:t>
            </w:r>
          </w:p>
        </w:tc>
        <w:tc>
          <w:tcPr>
            <w:tcW w:w="6582" w:type="dxa"/>
            <w:noWrap w:val="0"/>
            <w:vAlign w:val="center"/>
          </w:tcPr>
          <w:p>
            <w:pPr>
              <w:pStyle w:val="74"/>
              <w:jc w:val="left"/>
              <w:rPr>
                <w:rFonts w:hint="eastAsia" w:ascii="宋体" w:hAnsi="宋体" w:eastAsia="宋体" w:cs="宋体"/>
                <w:color w:val="auto"/>
                <w:sz w:val="24"/>
              </w:rPr>
            </w:pPr>
            <w:r>
              <w:rPr>
                <w:rFonts w:hint="eastAsia" w:ascii="宋体" w:hAnsi="宋体" w:eastAsia="宋体" w:cs="宋体"/>
                <w:color w:val="auto"/>
                <w:spacing w:val="-2"/>
                <w:sz w:val="24"/>
                <w:lang w:val="en-US"/>
              </w:rPr>
              <w:t>1、</w:t>
            </w:r>
            <w:r>
              <w:rPr>
                <w:rFonts w:hint="eastAsia" w:ascii="宋体" w:hAnsi="宋体" w:eastAsia="宋体" w:cs="宋体"/>
                <w:color w:val="auto"/>
                <w:spacing w:val="-2"/>
                <w:sz w:val="24"/>
                <w:lang w:eastAsia="zh-CN"/>
              </w:rPr>
              <w:t>具有</w:t>
            </w:r>
            <w:r>
              <w:rPr>
                <w:rFonts w:hint="eastAsia" w:ascii="宋体" w:hAnsi="宋体" w:eastAsia="宋体" w:cs="宋体"/>
                <w:color w:val="auto"/>
                <w:spacing w:val="-2"/>
                <w:sz w:val="24"/>
              </w:rPr>
              <w:t>环境工程专业或</w:t>
            </w:r>
            <w:r>
              <w:rPr>
                <w:rFonts w:hint="eastAsia" w:ascii="宋体" w:hAnsi="宋体" w:eastAsia="宋体" w:cs="宋体"/>
                <w:color w:val="auto"/>
                <w:spacing w:val="-2"/>
                <w:sz w:val="24"/>
                <w:lang w:eastAsia="zh-CN"/>
              </w:rPr>
              <w:t>环保</w:t>
            </w:r>
            <w:r>
              <w:rPr>
                <w:rFonts w:hint="eastAsia" w:ascii="宋体" w:hAnsi="宋体" w:eastAsia="宋体" w:cs="宋体"/>
                <w:color w:val="auto"/>
                <w:spacing w:val="-2"/>
                <w:sz w:val="24"/>
              </w:rPr>
              <w:t>相关专业中级及以上职称</w:t>
            </w:r>
            <w:r>
              <w:rPr>
                <w:rFonts w:hint="eastAsia" w:ascii="宋体" w:hAnsi="宋体" w:eastAsia="宋体" w:cs="宋体"/>
                <w:color w:val="auto"/>
                <w:spacing w:val="-2"/>
                <w:sz w:val="24"/>
                <w:lang w:eastAsia="zh-CN"/>
              </w:rPr>
              <w:t>的技术人员</w:t>
            </w:r>
            <w:r>
              <w:rPr>
                <w:rFonts w:hint="eastAsia" w:ascii="宋体" w:hAnsi="宋体" w:eastAsia="宋体" w:cs="宋体"/>
                <w:color w:val="auto"/>
                <w:spacing w:val="-2"/>
                <w:sz w:val="24"/>
              </w:rPr>
              <w:t>，每有</w:t>
            </w:r>
            <w:r>
              <w:rPr>
                <w:rFonts w:hint="eastAsia" w:ascii="宋体" w:hAnsi="宋体" w:eastAsia="宋体" w:cs="宋体"/>
                <w:color w:val="auto"/>
                <w:spacing w:val="-2"/>
                <w:sz w:val="24"/>
                <w:lang w:val="en-US"/>
              </w:rPr>
              <w:t>1名得2分，最多得</w:t>
            </w:r>
            <w:r>
              <w:rPr>
                <w:rFonts w:hint="eastAsia" w:ascii="宋体" w:hAnsi="宋体" w:eastAsia="宋体" w:cs="宋体"/>
                <w:color w:val="auto"/>
                <w:spacing w:val="-2"/>
                <w:sz w:val="24"/>
                <w:lang w:val="en-US" w:eastAsia="zh-CN"/>
              </w:rPr>
              <w:t>10</w:t>
            </w:r>
            <w:r>
              <w:rPr>
                <w:rFonts w:hint="eastAsia" w:ascii="宋体" w:hAnsi="宋体" w:eastAsia="宋体" w:cs="宋体"/>
                <w:color w:val="auto"/>
                <w:spacing w:val="-2"/>
                <w:sz w:val="24"/>
                <w:lang w:val="en-US"/>
              </w:rPr>
              <w:t>分</w:t>
            </w:r>
            <w:r>
              <w:rPr>
                <w:rFonts w:hint="eastAsia" w:ascii="宋体" w:hAnsi="宋体" w:eastAsia="宋体" w:cs="宋体"/>
                <w:color w:val="auto"/>
                <w:sz w:val="24"/>
              </w:rPr>
              <w:t>。</w:t>
            </w:r>
          </w:p>
          <w:p>
            <w:pPr>
              <w:pStyle w:val="3"/>
              <w:spacing w:after="0"/>
              <w:jc w:val="left"/>
              <w:rPr>
                <w:rFonts w:cs="宋体"/>
                <w:color w:val="auto"/>
                <w:sz w:val="24"/>
                <w:szCs w:val="24"/>
              </w:rPr>
            </w:pPr>
            <w:r>
              <w:rPr>
                <w:rFonts w:cs="宋体"/>
                <w:color w:val="auto"/>
                <w:spacing w:val="-3"/>
                <w:sz w:val="24"/>
                <w:szCs w:val="24"/>
              </w:rPr>
              <w:t>2、有一名具有注册助理安全工程师或以上资格的人员</w:t>
            </w:r>
            <w:r>
              <w:rPr>
                <w:rFonts w:cs="宋体"/>
                <w:color w:val="auto"/>
                <w:sz w:val="24"/>
                <w:szCs w:val="24"/>
              </w:rPr>
              <w:t>的得</w:t>
            </w:r>
            <w:r>
              <w:rPr>
                <w:rFonts w:hint="eastAsia" w:cs="宋体"/>
                <w:color w:val="auto"/>
                <w:sz w:val="24"/>
                <w:szCs w:val="24"/>
                <w:lang w:val="en-US" w:eastAsia="zh-CN"/>
              </w:rPr>
              <w:t>5</w:t>
            </w:r>
            <w:r>
              <w:rPr>
                <w:rFonts w:cs="宋体"/>
                <w:color w:val="auto"/>
                <w:sz w:val="24"/>
                <w:szCs w:val="24"/>
              </w:rPr>
              <w:t>分。</w:t>
            </w:r>
          </w:p>
          <w:p>
            <w:pPr>
              <w:pStyle w:val="3"/>
              <w:spacing w:after="0"/>
              <w:jc w:val="left"/>
              <w:rPr>
                <w:rFonts w:hint="default" w:cs="宋体"/>
                <w:color w:val="auto"/>
                <w:sz w:val="24"/>
                <w:szCs w:val="24"/>
              </w:rPr>
            </w:pPr>
            <w:r>
              <w:rPr>
                <w:rFonts w:cs="宋体"/>
                <w:color w:val="auto"/>
                <w:sz w:val="24"/>
                <w:szCs w:val="24"/>
              </w:rPr>
              <w:t>需提供人员证书复印件及最近社保缴纳证明材料。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27" w:type="dxa"/>
            <w:noWrap w:val="0"/>
            <w:vAlign w:val="center"/>
          </w:tcPr>
          <w:p>
            <w:pPr>
              <w:pStyle w:val="3"/>
              <w:spacing w:after="0"/>
              <w:jc w:val="center"/>
              <w:rPr>
                <w:rFonts w:cs="宋体"/>
                <w:color w:val="auto"/>
                <w:sz w:val="24"/>
                <w:szCs w:val="24"/>
              </w:rPr>
            </w:pPr>
            <w:r>
              <w:rPr>
                <w:rFonts w:cs="宋体"/>
                <w:color w:val="auto"/>
                <w:sz w:val="24"/>
                <w:szCs w:val="24"/>
              </w:rPr>
              <w:t>2</w:t>
            </w:r>
          </w:p>
        </w:tc>
        <w:tc>
          <w:tcPr>
            <w:tcW w:w="1799" w:type="dxa"/>
            <w:noWrap w:val="0"/>
            <w:vAlign w:val="center"/>
          </w:tcPr>
          <w:p>
            <w:pPr>
              <w:pStyle w:val="3"/>
              <w:spacing w:after="0"/>
              <w:jc w:val="center"/>
              <w:rPr>
                <w:rFonts w:cs="宋体"/>
                <w:color w:val="auto"/>
                <w:sz w:val="24"/>
                <w:szCs w:val="24"/>
              </w:rPr>
            </w:pPr>
            <w:r>
              <w:rPr>
                <w:rFonts w:cs="宋体"/>
                <w:color w:val="auto"/>
                <w:sz w:val="24"/>
                <w:szCs w:val="24"/>
              </w:rPr>
              <w:t>资质经验</w:t>
            </w:r>
          </w:p>
        </w:tc>
        <w:tc>
          <w:tcPr>
            <w:tcW w:w="872" w:type="dxa"/>
            <w:noWrap w:val="0"/>
            <w:vAlign w:val="center"/>
          </w:tcPr>
          <w:p>
            <w:pPr>
              <w:pStyle w:val="3"/>
              <w:spacing w:after="0"/>
              <w:jc w:val="center"/>
              <w:rPr>
                <w:rFonts w:cs="宋体"/>
                <w:color w:val="auto"/>
                <w:sz w:val="24"/>
                <w:szCs w:val="24"/>
              </w:rPr>
            </w:pPr>
            <w:r>
              <w:rPr>
                <w:rFonts w:cs="宋体"/>
                <w:color w:val="auto"/>
                <w:sz w:val="24"/>
                <w:szCs w:val="24"/>
              </w:rPr>
              <w:t>3</w:t>
            </w:r>
          </w:p>
        </w:tc>
        <w:tc>
          <w:tcPr>
            <w:tcW w:w="6582" w:type="dxa"/>
            <w:noWrap w:val="0"/>
            <w:vAlign w:val="center"/>
          </w:tcPr>
          <w:p>
            <w:pPr>
              <w:pStyle w:val="74"/>
              <w:tabs>
                <w:tab w:val="left" w:pos="473"/>
              </w:tabs>
              <w:ind w:right="-29"/>
              <w:jc w:val="left"/>
              <w:rPr>
                <w:rFonts w:hint="eastAsia" w:ascii="宋体" w:hAnsi="宋体" w:eastAsia="宋体" w:cs="宋体"/>
                <w:color w:val="auto"/>
                <w:sz w:val="24"/>
              </w:rPr>
            </w:pPr>
            <w:r>
              <w:rPr>
                <w:rFonts w:hint="eastAsia" w:ascii="宋体" w:hAnsi="宋体" w:eastAsia="宋体" w:cs="宋体"/>
                <w:color w:val="auto"/>
                <w:spacing w:val="-4"/>
                <w:sz w:val="24"/>
              </w:rPr>
              <w:t>具有危险废物经营许可证，有危险废物收集、贮存或处置经验的得</w:t>
            </w:r>
            <w:r>
              <w:rPr>
                <w:rFonts w:hint="eastAsia" w:ascii="宋体" w:hAnsi="宋体" w:eastAsia="宋体" w:cs="宋体"/>
                <w:color w:val="auto"/>
                <w:spacing w:val="-4"/>
                <w:sz w:val="24"/>
                <w:lang w:val="en-US"/>
              </w:rPr>
              <w:t>3分</w:t>
            </w:r>
            <w:r>
              <w:rPr>
                <w:rFonts w:hint="eastAsia" w:ascii="宋体" w:hAnsi="宋体" w:eastAsia="宋体" w:cs="宋体"/>
                <w:color w:val="auto"/>
                <w:spacing w:val="-4"/>
                <w:sz w:val="24"/>
              </w:rPr>
              <w:t>。</w:t>
            </w:r>
          </w:p>
          <w:p>
            <w:pPr>
              <w:pStyle w:val="74"/>
              <w:tabs>
                <w:tab w:val="left" w:pos="473"/>
              </w:tabs>
              <w:ind w:right="-29"/>
              <w:jc w:val="left"/>
              <w:rPr>
                <w:rFonts w:hint="eastAsia" w:ascii="宋体" w:hAnsi="宋体" w:eastAsia="宋体" w:cs="宋体"/>
                <w:color w:val="auto"/>
                <w:sz w:val="24"/>
              </w:rPr>
            </w:pPr>
            <w:r>
              <w:rPr>
                <w:rFonts w:hint="eastAsia" w:ascii="宋体" w:hAnsi="宋体" w:eastAsia="宋体" w:cs="宋体"/>
                <w:color w:val="auto"/>
                <w:sz w:val="24"/>
              </w:rPr>
              <w:t>需提供许可证证书复印件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7" w:type="dxa"/>
            <w:noWrap w:val="0"/>
            <w:vAlign w:val="center"/>
          </w:tcPr>
          <w:p>
            <w:pPr>
              <w:pStyle w:val="3"/>
              <w:spacing w:after="0"/>
              <w:jc w:val="center"/>
              <w:rPr>
                <w:rFonts w:cs="宋体"/>
                <w:color w:val="auto"/>
                <w:sz w:val="24"/>
                <w:szCs w:val="24"/>
              </w:rPr>
            </w:pPr>
            <w:r>
              <w:rPr>
                <w:rFonts w:cs="宋体"/>
                <w:color w:val="auto"/>
                <w:sz w:val="24"/>
                <w:szCs w:val="24"/>
              </w:rPr>
              <w:t>3</w:t>
            </w:r>
          </w:p>
        </w:tc>
        <w:tc>
          <w:tcPr>
            <w:tcW w:w="1799" w:type="dxa"/>
            <w:noWrap w:val="0"/>
            <w:vAlign w:val="center"/>
          </w:tcPr>
          <w:p>
            <w:pPr>
              <w:pStyle w:val="3"/>
              <w:spacing w:after="0"/>
              <w:jc w:val="center"/>
              <w:rPr>
                <w:rFonts w:cs="宋体"/>
                <w:color w:val="auto"/>
                <w:sz w:val="24"/>
                <w:szCs w:val="24"/>
              </w:rPr>
            </w:pPr>
            <w:r>
              <w:rPr>
                <w:rFonts w:cs="宋体"/>
                <w:color w:val="auto"/>
                <w:sz w:val="24"/>
                <w:szCs w:val="24"/>
              </w:rPr>
              <w:t>经营</w:t>
            </w:r>
          </w:p>
          <w:p>
            <w:pPr>
              <w:pStyle w:val="3"/>
              <w:spacing w:after="0"/>
              <w:jc w:val="center"/>
              <w:rPr>
                <w:rFonts w:cs="宋体"/>
                <w:color w:val="auto"/>
                <w:sz w:val="24"/>
                <w:szCs w:val="24"/>
              </w:rPr>
            </w:pPr>
            <w:r>
              <w:rPr>
                <w:rFonts w:cs="宋体"/>
                <w:color w:val="auto"/>
                <w:sz w:val="24"/>
                <w:szCs w:val="24"/>
              </w:rPr>
              <w:t>管理制度</w:t>
            </w:r>
          </w:p>
        </w:tc>
        <w:tc>
          <w:tcPr>
            <w:tcW w:w="872" w:type="dxa"/>
            <w:noWrap w:val="0"/>
            <w:vAlign w:val="center"/>
          </w:tcPr>
          <w:p>
            <w:pPr>
              <w:pStyle w:val="3"/>
              <w:spacing w:after="0"/>
              <w:jc w:val="center"/>
              <w:rPr>
                <w:rFonts w:cs="宋体"/>
                <w:color w:val="auto"/>
                <w:sz w:val="24"/>
                <w:szCs w:val="24"/>
              </w:rPr>
            </w:pPr>
            <w:r>
              <w:rPr>
                <w:rFonts w:cs="宋体"/>
                <w:color w:val="auto"/>
                <w:sz w:val="24"/>
                <w:szCs w:val="24"/>
              </w:rPr>
              <w:t>12</w:t>
            </w:r>
          </w:p>
        </w:tc>
        <w:tc>
          <w:tcPr>
            <w:tcW w:w="6582" w:type="dxa"/>
            <w:noWrap w:val="0"/>
            <w:vAlign w:val="center"/>
          </w:tcPr>
          <w:p>
            <w:pPr>
              <w:pStyle w:val="3"/>
              <w:spacing w:after="0"/>
              <w:rPr>
                <w:rFonts w:cs="宋体"/>
                <w:color w:val="auto"/>
                <w:sz w:val="24"/>
                <w:szCs w:val="24"/>
              </w:rPr>
            </w:pPr>
            <w:r>
              <w:rPr>
                <w:rFonts w:cs="宋体"/>
                <w:color w:val="auto"/>
                <w:sz w:val="24"/>
                <w:szCs w:val="24"/>
              </w:rPr>
              <w:t>供应商有规范、完整、可行及针对性强的公司管理制度，</w:t>
            </w:r>
            <w:r>
              <w:rPr>
                <w:rFonts w:cs="宋体"/>
                <w:color w:val="auto"/>
                <w:spacing w:val="-9"/>
                <w:sz w:val="24"/>
                <w:szCs w:val="24"/>
              </w:rPr>
              <w:t>组织架构清晰，部门职责明确，并符合《中华人民共和国固体废物污染环境防治法》、</w:t>
            </w:r>
            <w:r>
              <w:rPr>
                <w:rFonts w:cs="宋体"/>
                <w:color w:val="auto"/>
                <w:sz w:val="24"/>
                <w:szCs w:val="24"/>
              </w:rPr>
              <w:t>《危险废物经营单位规范化管理指标及抽查表》等法律法规要求。（好得</w:t>
            </w:r>
            <w:r>
              <w:rPr>
                <w:rFonts w:hint="eastAsia" w:cs="宋体"/>
                <w:color w:val="auto"/>
                <w:sz w:val="24"/>
                <w:szCs w:val="24"/>
                <w:lang w:val="en-US" w:eastAsia="zh-CN"/>
              </w:rPr>
              <w:t>10</w:t>
            </w:r>
            <w:r>
              <w:rPr>
                <w:rFonts w:cs="宋体"/>
                <w:color w:val="auto"/>
                <w:sz w:val="24"/>
                <w:szCs w:val="24"/>
              </w:rPr>
              <w:t>-12分，</w:t>
            </w:r>
            <w:r>
              <w:rPr>
                <w:rFonts w:hint="eastAsia" w:cs="宋体"/>
                <w:color w:val="auto"/>
                <w:sz w:val="24"/>
                <w:szCs w:val="24"/>
                <w:lang w:eastAsia="zh-CN"/>
              </w:rPr>
              <w:t>较好得</w:t>
            </w:r>
            <w:r>
              <w:rPr>
                <w:rFonts w:hint="eastAsia" w:cs="宋体"/>
                <w:color w:val="auto"/>
                <w:sz w:val="24"/>
                <w:szCs w:val="24"/>
                <w:lang w:val="en-US" w:eastAsia="zh-CN"/>
              </w:rPr>
              <w:t>7-9分，</w:t>
            </w:r>
            <w:r>
              <w:rPr>
                <w:rFonts w:cs="宋体"/>
                <w:color w:val="auto"/>
                <w:sz w:val="24"/>
                <w:szCs w:val="24"/>
              </w:rPr>
              <w:t>一般得4-</w:t>
            </w:r>
            <w:r>
              <w:rPr>
                <w:rFonts w:hint="eastAsia" w:cs="宋体"/>
                <w:color w:val="auto"/>
                <w:sz w:val="24"/>
                <w:szCs w:val="24"/>
                <w:lang w:val="en-US" w:eastAsia="zh-CN"/>
              </w:rPr>
              <w:t>6</w:t>
            </w:r>
            <w:r>
              <w:rPr>
                <w:rFonts w:cs="宋体"/>
                <w:color w:val="auto"/>
                <w:sz w:val="24"/>
                <w:szCs w:val="24"/>
              </w:rPr>
              <w:t>分，较差得1-3分）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27" w:type="dxa"/>
            <w:noWrap w:val="0"/>
            <w:vAlign w:val="center"/>
          </w:tcPr>
          <w:p>
            <w:pPr>
              <w:pStyle w:val="3"/>
              <w:spacing w:after="0"/>
              <w:jc w:val="center"/>
              <w:rPr>
                <w:rFonts w:cs="宋体"/>
                <w:color w:val="auto"/>
                <w:sz w:val="24"/>
                <w:szCs w:val="24"/>
              </w:rPr>
            </w:pPr>
            <w:r>
              <w:rPr>
                <w:rFonts w:cs="宋体"/>
                <w:color w:val="auto"/>
                <w:sz w:val="24"/>
                <w:szCs w:val="24"/>
              </w:rPr>
              <w:t>4</w:t>
            </w:r>
          </w:p>
        </w:tc>
        <w:tc>
          <w:tcPr>
            <w:tcW w:w="1799" w:type="dxa"/>
            <w:noWrap w:val="0"/>
            <w:vAlign w:val="center"/>
          </w:tcPr>
          <w:p>
            <w:pPr>
              <w:pStyle w:val="3"/>
              <w:spacing w:after="0"/>
              <w:jc w:val="center"/>
              <w:rPr>
                <w:rFonts w:cs="宋体"/>
                <w:color w:val="auto"/>
                <w:sz w:val="24"/>
                <w:szCs w:val="24"/>
              </w:rPr>
            </w:pPr>
            <w:r>
              <w:rPr>
                <w:rFonts w:cs="宋体"/>
                <w:color w:val="auto"/>
                <w:sz w:val="24"/>
                <w:szCs w:val="24"/>
              </w:rPr>
              <w:t>危废应急预案</w:t>
            </w:r>
          </w:p>
        </w:tc>
        <w:tc>
          <w:tcPr>
            <w:tcW w:w="872" w:type="dxa"/>
            <w:noWrap w:val="0"/>
            <w:vAlign w:val="center"/>
          </w:tcPr>
          <w:p>
            <w:pPr>
              <w:pStyle w:val="3"/>
              <w:spacing w:after="0"/>
              <w:jc w:val="center"/>
              <w:rPr>
                <w:rFonts w:cs="宋体"/>
                <w:color w:val="auto"/>
                <w:sz w:val="24"/>
                <w:szCs w:val="24"/>
              </w:rPr>
            </w:pPr>
            <w:r>
              <w:rPr>
                <w:rFonts w:cs="宋体"/>
                <w:color w:val="auto"/>
                <w:sz w:val="24"/>
                <w:szCs w:val="24"/>
              </w:rPr>
              <w:t>5</w:t>
            </w:r>
          </w:p>
        </w:tc>
        <w:tc>
          <w:tcPr>
            <w:tcW w:w="6582" w:type="dxa"/>
            <w:noWrap w:val="0"/>
            <w:vAlign w:val="center"/>
          </w:tcPr>
          <w:p>
            <w:pPr>
              <w:pStyle w:val="3"/>
              <w:spacing w:after="0"/>
              <w:rPr>
                <w:rFonts w:cs="宋体"/>
                <w:color w:val="auto"/>
                <w:sz w:val="24"/>
                <w:szCs w:val="24"/>
              </w:rPr>
            </w:pPr>
            <w:r>
              <w:rPr>
                <w:rFonts w:cs="宋体"/>
                <w:color w:val="auto"/>
                <w:sz w:val="24"/>
                <w:szCs w:val="24"/>
                <w:lang w:val="zh-CN"/>
              </w:rPr>
              <w:t>应急方案编制</w:t>
            </w:r>
            <w:r>
              <w:rPr>
                <w:rFonts w:cs="宋体"/>
                <w:color w:val="auto"/>
                <w:sz w:val="24"/>
                <w:szCs w:val="24"/>
              </w:rPr>
              <w:t>完善、合理、可行、针对性强，环境风险分析透彻，事故处理措施科学有效.（好得4-5分，一般得2-3分，较差得1-2分）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27" w:type="dxa"/>
            <w:noWrap w:val="0"/>
            <w:vAlign w:val="center"/>
          </w:tcPr>
          <w:p>
            <w:pPr>
              <w:pStyle w:val="3"/>
              <w:spacing w:after="0"/>
              <w:jc w:val="center"/>
              <w:rPr>
                <w:rFonts w:cs="宋体"/>
                <w:color w:val="auto"/>
                <w:sz w:val="24"/>
                <w:szCs w:val="24"/>
              </w:rPr>
            </w:pPr>
            <w:r>
              <w:rPr>
                <w:rFonts w:cs="宋体"/>
                <w:color w:val="auto"/>
                <w:sz w:val="24"/>
                <w:szCs w:val="24"/>
              </w:rPr>
              <w:t>5</w:t>
            </w:r>
          </w:p>
        </w:tc>
        <w:tc>
          <w:tcPr>
            <w:tcW w:w="1799" w:type="dxa"/>
            <w:noWrap w:val="0"/>
            <w:vAlign w:val="center"/>
          </w:tcPr>
          <w:p>
            <w:pPr>
              <w:pStyle w:val="3"/>
              <w:spacing w:after="0"/>
              <w:jc w:val="center"/>
              <w:rPr>
                <w:rFonts w:cs="宋体"/>
                <w:color w:val="auto"/>
                <w:sz w:val="24"/>
                <w:szCs w:val="24"/>
              </w:rPr>
            </w:pPr>
            <w:r>
              <w:rPr>
                <w:rFonts w:cs="宋体"/>
                <w:color w:val="auto"/>
                <w:sz w:val="24"/>
                <w:szCs w:val="24"/>
              </w:rPr>
              <w:t>项目规划</w:t>
            </w:r>
          </w:p>
          <w:p>
            <w:pPr>
              <w:pStyle w:val="3"/>
              <w:spacing w:after="0"/>
              <w:jc w:val="center"/>
              <w:rPr>
                <w:rFonts w:cs="宋体"/>
                <w:color w:val="auto"/>
                <w:sz w:val="24"/>
                <w:szCs w:val="24"/>
              </w:rPr>
            </w:pPr>
            <w:r>
              <w:rPr>
                <w:rFonts w:cs="宋体"/>
                <w:color w:val="auto"/>
                <w:sz w:val="24"/>
                <w:szCs w:val="24"/>
              </w:rPr>
              <w:t>运营方案</w:t>
            </w:r>
          </w:p>
        </w:tc>
        <w:tc>
          <w:tcPr>
            <w:tcW w:w="872" w:type="dxa"/>
            <w:noWrap w:val="0"/>
            <w:vAlign w:val="center"/>
          </w:tcPr>
          <w:p>
            <w:pPr>
              <w:pStyle w:val="3"/>
              <w:spacing w:after="0"/>
              <w:jc w:val="center"/>
              <w:rPr>
                <w:rFonts w:cs="宋体"/>
                <w:color w:val="auto"/>
                <w:sz w:val="24"/>
                <w:szCs w:val="24"/>
              </w:rPr>
            </w:pPr>
            <w:r>
              <w:rPr>
                <w:rFonts w:cs="宋体"/>
                <w:color w:val="auto"/>
                <w:sz w:val="24"/>
                <w:szCs w:val="24"/>
              </w:rPr>
              <w:t>20</w:t>
            </w:r>
          </w:p>
        </w:tc>
        <w:tc>
          <w:tcPr>
            <w:tcW w:w="6582" w:type="dxa"/>
            <w:noWrap w:val="0"/>
            <w:vAlign w:val="center"/>
          </w:tcPr>
          <w:p>
            <w:pPr>
              <w:pStyle w:val="74"/>
              <w:tabs>
                <w:tab w:val="left" w:pos="473"/>
              </w:tabs>
              <w:ind w:left="110"/>
              <w:jc w:val="left"/>
              <w:rPr>
                <w:rFonts w:hint="eastAsia" w:ascii="宋体" w:hAnsi="宋体" w:eastAsia="宋体" w:cs="宋体"/>
                <w:color w:val="auto"/>
                <w:sz w:val="24"/>
              </w:rPr>
            </w:pPr>
            <w:r>
              <w:rPr>
                <w:rFonts w:hint="eastAsia" w:ascii="宋体" w:hAnsi="宋体" w:eastAsia="宋体" w:cs="宋体"/>
                <w:color w:val="auto"/>
                <w:sz w:val="24"/>
              </w:rPr>
              <w:t>供应商需提供具体的项目建设及运营推广企划方案。（好得</w:t>
            </w:r>
            <w:r>
              <w:rPr>
                <w:rFonts w:hint="eastAsia" w:ascii="宋体" w:hAnsi="宋体" w:eastAsia="宋体" w:cs="宋体"/>
                <w:color w:val="auto"/>
                <w:sz w:val="24"/>
                <w:lang w:val="en-US"/>
              </w:rPr>
              <w:t>16</w:t>
            </w:r>
            <w:r>
              <w:rPr>
                <w:rFonts w:hint="eastAsia" w:ascii="宋体" w:hAnsi="宋体" w:eastAsia="宋体" w:cs="宋体"/>
                <w:color w:val="auto"/>
                <w:sz w:val="24"/>
              </w:rPr>
              <w:t>-</w:t>
            </w:r>
            <w:r>
              <w:rPr>
                <w:rFonts w:hint="eastAsia" w:ascii="宋体" w:hAnsi="宋体" w:eastAsia="宋体" w:cs="宋体"/>
                <w:color w:val="auto"/>
                <w:sz w:val="24"/>
                <w:lang w:val="en-US"/>
              </w:rPr>
              <w:t>20</w:t>
            </w:r>
            <w:r>
              <w:rPr>
                <w:rFonts w:hint="eastAsia" w:ascii="宋体" w:hAnsi="宋体" w:eastAsia="宋体" w:cs="宋体"/>
                <w:color w:val="auto"/>
                <w:sz w:val="24"/>
              </w:rPr>
              <w:t>分，</w:t>
            </w:r>
            <w:r>
              <w:rPr>
                <w:rFonts w:hint="eastAsia" w:ascii="宋体" w:hAnsi="宋体" w:eastAsia="宋体" w:cs="宋体"/>
                <w:color w:val="auto"/>
                <w:sz w:val="24"/>
                <w:lang w:eastAsia="zh-CN"/>
              </w:rPr>
              <w:t>较好</w:t>
            </w:r>
            <w:r>
              <w:rPr>
                <w:rFonts w:hint="eastAsia" w:ascii="宋体" w:hAnsi="宋体" w:eastAsia="宋体" w:cs="宋体"/>
                <w:color w:val="auto"/>
                <w:sz w:val="24"/>
              </w:rPr>
              <w:t>得</w:t>
            </w:r>
            <w:r>
              <w:rPr>
                <w:rFonts w:hint="eastAsia" w:ascii="宋体" w:hAnsi="宋体" w:eastAsia="宋体" w:cs="宋体"/>
                <w:color w:val="auto"/>
                <w:sz w:val="24"/>
                <w:lang w:val="en-US"/>
              </w:rPr>
              <w:t>11</w:t>
            </w:r>
            <w:r>
              <w:rPr>
                <w:rFonts w:hint="eastAsia" w:ascii="宋体" w:hAnsi="宋体" w:eastAsia="宋体" w:cs="宋体"/>
                <w:color w:val="auto"/>
                <w:sz w:val="24"/>
              </w:rPr>
              <w:t>-</w:t>
            </w:r>
            <w:r>
              <w:rPr>
                <w:rFonts w:hint="eastAsia" w:ascii="宋体" w:hAnsi="宋体" w:eastAsia="宋体" w:cs="宋体"/>
                <w:color w:val="auto"/>
                <w:sz w:val="24"/>
                <w:lang w:val="en-US"/>
              </w:rPr>
              <w:t>15</w:t>
            </w:r>
            <w:r>
              <w:rPr>
                <w:rFonts w:hint="eastAsia" w:ascii="宋体" w:hAnsi="宋体" w:eastAsia="宋体" w:cs="宋体"/>
                <w:color w:val="auto"/>
                <w:sz w:val="24"/>
              </w:rPr>
              <w:t>分，</w:t>
            </w:r>
            <w:r>
              <w:rPr>
                <w:rFonts w:hint="eastAsia" w:ascii="宋体" w:hAnsi="宋体" w:eastAsia="宋体" w:cs="宋体"/>
                <w:color w:val="auto"/>
                <w:sz w:val="24"/>
                <w:lang w:eastAsia="zh-CN"/>
              </w:rPr>
              <w:t>一般得</w:t>
            </w:r>
            <w:r>
              <w:rPr>
                <w:rFonts w:hint="eastAsia" w:ascii="宋体" w:hAnsi="宋体" w:eastAsia="宋体" w:cs="宋体"/>
                <w:color w:val="auto"/>
                <w:sz w:val="24"/>
                <w:lang w:val="en-US" w:eastAsia="zh-CN"/>
              </w:rPr>
              <w:t>6-9分，</w:t>
            </w:r>
            <w:r>
              <w:rPr>
                <w:rFonts w:hint="eastAsia" w:ascii="宋体" w:hAnsi="宋体" w:eastAsia="宋体" w:cs="宋体"/>
                <w:color w:val="auto"/>
                <w:sz w:val="24"/>
              </w:rPr>
              <w:t>较差得</w:t>
            </w:r>
            <w:r>
              <w:rPr>
                <w:rFonts w:hint="eastAsia" w:ascii="宋体" w:hAnsi="宋体" w:eastAsia="宋体" w:cs="宋体"/>
                <w:color w:val="auto"/>
                <w:sz w:val="24"/>
                <w:lang w:val="en-US"/>
              </w:rPr>
              <w:t>1-</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27" w:type="dxa"/>
            <w:noWrap w:val="0"/>
            <w:vAlign w:val="center"/>
          </w:tcPr>
          <w:p>
            <w:pPr>
              <w:pStyle w:val="3"/>
              <w:spacing w:after="0"/>
              <w:jc w:val="center"/>
              <w:rPr>
                <w:rFonts w:cs="宋体"/>
                <w:color w:val="auto"/>
                <w:sz w:val="24"/>
                <w:szCs w:val="24"/>
              </w:rPr>
            </w:pPr>
            <w:r>
              <w:rPr>
                <w:rFonts w:cs="宋体"/>
                <w:color w:val="auto"/>
                <w:sz w:val="24"/>
                <w:szCs w:val="24"/>
              </w:rPr>
              <w:t>6</w:t>
            </w:r>
          </w:p>
        </w:tc>
        <w:tc>
          <w:tcPr>
            <w:tcW w:w="1799" w:type="dxa"/>
            <w:noWrap w:val="0"/>
            <w:vAlign w:val="center"/>
          </w:tcPr>
          <w:p>
            <w:pPr>
              <w:pStyle w:val="3"/>
              <w:spacing w:after="0"/>
              <w:jc w:val="center"/>
              <w:rPr>
                <w:rFonts w:cs="宋体"/>
                <w:color w:val="auto"/>
                <w:sz w:val="24"/>
                <w:szCs w:val="24"/>
              </w:rPr>
            </w:pPr>
            <w:r>
              <w:rPr>
                <w:rFonts w:cs="宋体"/>
                <w:color w:val="auto"/>
                <w:sz w:val="24"/>
                <w:szCs w:val="24"/>
              </w:rPr>
              <w:t>收运能力</w:t>
            </w:r>
          </w:p>
        </w:tc>
        <w:tc>
          <w:tcPr>
            <w:tcW w:w="872" w:type="dxa"/>
            <w:noWrap w:val="0"/>
            <w:vAlign w:val="center"/>
          </w:tcPr>
          <w:p>
            <w:pPr>
              <w:pStyle w:val="3"/>
              <w:spacing w:after="0"/>
              <w:jc w:val="center"/>
              <w:rPr>
                <w:rFonts w:hint="default" w:cs="宋体"/>
                <w:color w:val="auto"/>
                <w:sz w:val="24"/>
                <w:szCs w:val="24"/>
              </w:rPr>
            </w:pPr>
            <w:r>
              <w:rPr>
                <w:rFonts w:cs="宋体"/>
                <w:color w:val="auto"/>
                <w:sz w:val="24"/>
                <w:szCs w:val="24"/>
              </w:rPr>
              <w:t>15</w:t>
            </w:r>
          </w:p>
        </w:tc>
        <w:tc>
          <w:tcPr>
            <w:tcW w:w="6582" w:type="dxa"/>
            <w:noWrap w:val="0"/>
            <w:vAlign w:val="center"/>
          </w:tcPr>
          <w:p>
            <w:pPr>
              <w:pStyle w:val="3"/>
              <w:spacing w:after="0"/>
              <w:rPr>
                <w:rFonts w:cs="宋体"/>
                <w:color w:val="auto"/>
                <w:sz w:val="24"/>
                <w:szCs w:val="24"/>
              </w:rPr>
            </w:pPr>
            <w:r>
              <w:rPr>
                <w:rFonts w:cs="宋体"/>
                <w:color w:val="auto"/>
                <w:sz w:val="24"/>
                <w:szCs w:val="24"/>
              </w:rPr>
              <w:t>供应商自备或委托具有运输资质单位的运输车辆和人员的规模情况，以及与实际经营相适应情况。（好得1</w:t>
            </w:r>
            <w:r>
              <w:rPr>
                <w:rFonts w:hint="eastAsia" w:cs="宋体"/>
                <w:color w:val="auto"/>
                <w:sz w:val="24"/>
                <w:szCs w:val="24"/>
                <w:lang w:val="en-US" w:eastAsia="zh-CN"/>
              </w:rPr>
              <w:t>2</w:t>
            </w:r>
            <w:r>
              <w:rPr>
                <w:rFonts w:cs="宋体"/>
                <w:color w:val="auto"/>
                <w:sz w:val="24"/>
                <w:szCs w:val="24"/>
              </w:rPr>
              <w:t>-15分，</w:t>
            </w:r>
            <w:r>
              <w:rPr>
                <w:rFonts w:hint="eastAsia" w:cs="宋体"/>
                <w:color w:val="auto"/>
                <w:sz w:val="24"/>
                <w:szCs w:val="24"/>
                <w:lang w:eastAsia="zh-CN"/>
              </w:rPr>
              <w:t>较好得</w:t>
            </w:r>
            <w:r>
              <w:rPr>
                <w:rFonts w:hint="eastAsia" w:cs="宋体"/>
                <w:color w:val="auto"/>
                <w:sz w:val="24"/>
                <w:szCs w:val="24"/>
                <w:lang w:val="en-US" w:eastAsia="zh-CN"/>
              </w:rPr>
              <w:t>8-11分，</w:t>
            </w:r>
            <w:r>
              <w:rPr>
                <w:rFonts w:cs="宋体"/>
                <w:color w:val="auto"/>
                <w:sz w:val="24"/>
                <w:szCs w:val="24"/>
              </w:rPr>
              <w:t>一般得</w:t>
            </w:r>
            <w:r>
              <w:rPr>
                <w:rFonts w:hint="eastAsia" w:cs="宋体"/>
                <w:color w:val="auto"/>
                <w:sz w:val="24"/>
                <w:szCs w:val="24"/>
                <w:lang w:val="en-US" w:eastAsia="zh-CN"/>
              </w:rPr>
              <w:t>4</w:t>
            </w:r>
            <w:r>
              <w:rPr>
                <w:rFonts w:cs="宋体"/>
                <w:color w:val="auto"/>
                <w:sz w:val="24"/>
                <w:szCs w:val="24"/>
              </w:rPr>
              <w:t>-</w:t>
            </w:r>
            <w:r>
              <w:rPr>
                <w:rFonts w:hint="eastAsia" w:cs="宋体"/>
                <w:color w:val="auto"/>
                <w:sz w:val="24"/>
                <w:szCs w:val="24"/>
                <w:lang w:val="en-US" w:eastAsia="zh-CN"/>
              </w:rPr>
              <w:t>7</w:t>
            </w:r>
            <w:r>
              <w:rPr>
                <w:rFonts w:cs="宋体"/>
                <w:color w:val="auto"/>
                <w:sz w:val="24"/>
                <w:szCs w:val="24"/>
              </w:rPr>
              <w:t>分，较差得1-</w:t>
            </w:r>
            <w:r>
              <w:rPr>
                <w:rFonts w:hint="eastAsia" w:cs="宋体"/>
                <w:color w:val="auto"/>
                <w:sz w:val="24"/>
                <w:szCs w:val="24"/>
                <w:lang w:val="en-US" w:eastAsia="zh-CN"/>
              </w:rPr>
              <w:t>3</w:t>
            </w:r>
            <w:r>
              <w:rPr>
                <w:rFonts w:cs="宋体"/>
                <w:color w:val="auto"/>
                <w:sz w:val="24"/>
                <w:szCs w:val="24"/>
              </w:rPr>
              <w:t>分）</w:t>
            </w:r>
          </w:p>
          <w:p>
            <w:pPr>
              <w:pStyle w:val="3"/>
              <w:spacing w:after="0"/>
              <w:rPr>
                <w:rFonts w:cs="宋体"/>
                <w:color w:val="auto"/>
                <w:sz w:val="24"/>
                <w:szCs w:val="24"/>
              </w:rPr>
            </w:pPr>
            <w:r>
              <w:rPr>
                <w:rFonts w:cs="宋体"/>
                <w:color w:val="auto"/>
                <w:sz w:val="24"/>
                <w:szCs w:val="24"/>
              </w:rPr>
              <w:t>需提供运输资质单位资质证书复印件和协议书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27" w:type="dxa"/>
            <w:noWrap w:val="0"/>
            <w:vAlign w:val="center"/>
          </w:tcPr>
          <w:p>
            <w:pPr>
              <w:pStyle w:val="3"/>
              <w:spacing w:after="0"/>
              <w:jc w:val="center"/>
              <w:rPr>
                <w:rFonts w:hint="eastAsia" w:eastAsia="宋体" w:cs="宋体"/>
                <w:color w:val="auto"/>
                <w:sz w:val="24"/>
                <w:szCs w:val="24"/>
                <w:lang w:val="en-US" w:eastAsia="zh-CN"/>
              </w:rPr>
            </w:pPr>
            <w:r>
              <w:rPr>
                <w:rFonts w:hint="eastAsia" w:cs="宋体"/>
                <w:color w:val="auto"/>
                <w:sz w:val="24"/>
                <w:szCs w:val="24"/>
                <w:lang w:val="en-US" w:eastAsia="zh-CN"/>
              </w:rPr>
              <w:t>7</w:t>
            </w:r>
          </w:p>
        </w:tc>
        <w:tc>
          <w:tcPr>
            <w:tcW w:w="1799" w:type="dxa"/>
            <w:noWrap w:val="0"/>
            <w:vAlign w:val="center"/>
          </w:tcPr>
          <w:p>
            <w:pPr>
              <w:pStyle w:val="3"/>
              <w:spacing w:after="0"/>
              <w:jc w:val="center"/>
              <w:rPr>
                <w:rFonts w:hint="eastAsia" w:eastAsia="宋体" w:cs="宋体"/>
                <w:color w:val="auto"/>
                <w:sz w:val="24"/>
                <w:szCs w:val="24"/>
                <w:lang w:eastAsia="zh-CN"/>
              </w:rPr>
            </w:pPr>
            <w:r>
              <w:rPr>
                <w:rFonts w:hint="eastAsia" w:cs="宋体"/>
                <w:color w:val="auto"/>
                <w:sz w:val="24"/>
                <w:szCs w:val="24"/>
                <w:lang w:eastAsia="zh-CN"/>
              </w:rPr>
              <w:t>贮存能力</w:t>
            </w:r>
          </w:p>
        </w:tc>
        <w:tc>
          <w:tcPr>
            <w:tcW w:w="872" w:type="dxa"/>
            <w:noWrap w:val="0"/>
            <w:vAlign w:val="center"/>
          </w:tcPr>
          <w:p>
            <w:pPr>
              <w:pStyle w:val="3"/>
              <w:spacing w:after="0"/>
              <w:jc w:val="center"/>
              <w:rPr>
                <w:rFonts w:hint="eastAsia" w:eastAsia="宋体" w:cs="宋体"/>
                <w:color w:val="auto"/>
                <w:sz w:val="24"/>
                <w:szCs w:val="24"/>
                <w:lang w:val="en-US" w:eastAsia="zh-CN"/>
              </w:rPr>
            </w:pPr>
            <w:r>
              <w:rPr>
                <w:rFonts w:hint="eastAsia" w:cs="宋体"/>
                <w:color w:val="auto"/>
                <w:sz w:val="24"/>
                <w:szCs w:val="24"/>
                <w:lang w:val="en-US" w:eastAsia="zh-CN"/>
              </w:rPr>
              <w:t>5</w:t>
            </w:r>
          </w:p>
        </w:tc>
        <w:tc>
          <w:tcPr>
            <w:tcW w:w="6582" w:type="dxa"/>
            <w:noWrap w:val="0"/>
            <w:vAlign w:val="center"/>
          </w:tcPr>
          <w:p>
            <w:pPr>
              <w:pStyle w:val="3"/>
              <w:spacing w:after="0"/>
              <w:rPr>
                <w:rFonts w:hint="eastAsia" w:eastAsia="宋体" w:cs="宋体"/>
                <w:color w:val="auto"/>
                <w:sz w:val="24"/>
                <w:szCs w:val="24"/>
                <w:lang w:val="en-US" w:eastAsia="zh-CN"/>
              </w:rPr>
            </w:pPr>
            <w:r>
              <w:rPr>
                <w:rFonts w:hint="eastAsia" w:eastAsia="宋体" w:cs="宋体"/>
                <w:color w:val="auto"/>
                <w:sz w:val="24"/>
                <w:szCs w:val="24"/>
                <w:lang w:eastAsia="zh-CN"/>
              </w:rPr>
              <w:t>供应商</w:t>
            </w:r>
            <w:r>
              <w:rPr>
                <w:rFonts w:hint="eastAsia" w:eastAsia="宋体" w:cs="宋体"/>
                <w:color w:val="auto"/>
                <w:sz w:val="24"/>
                <w:szCs w:val="24"/>
              </w:rPr>
              <w:t>有拟建本项目的场所，占地面积不低于 600 平方米</w:t>
            </w:r>
            <w:r>
              <w:rPr>
                <w:rFonts w:hint="eastAsia" w:eastAsia="宋体" w:cs="宋体"/>
                <w:color w:val="auto"/>
                <w:sz w:val="24"/>
                <w:szCs w:val="24"/>
                <w:lang w:eastAsia="zh-CN"/>
              </w:rPr>
              <w:t>，</w:t>
            </w:r>
            <w:r>
              <w:rPr>
                <w:rFonts w:hint="eastAsia" w:eastAsia="宋体" w:cs="宋体"/>
                <w:color w:val="auto"/>
                <w:sz w:val="24"/>
                <w:szCs w:val="24"/>
                <w:lang w:val="en-US" w:eastAsia="zh-CN"/>
              </w:rPr>
              <w:t>1000平方米以上的得4-5分，800-1000平方米的得2-3分，600-800平方米的得1-2分</w:t>
            </w:r>
          </w:p>
          <w:p>
            <w:pPr>
              <w:pStyle w:val="3"/>
              <w:spacing w:after="0"/>
              <w:rPr>
                <w:rFonts w:hint="default" w:eastAsia="宋体" w:cs="宋体"/>
                <w:color w:val="auto"/>
                <w:sz w:val="24"/>
                <w:szCs w:val="24"/>
                <w:lang w:val="en-US" w:eastAsia="zh-CN"/>
              </w:rPr>
            </w:pPr>
            <w:r>
              <w:rPr>
                <w:rFonts w:hint="eastAsia" w:eastAsia="宋体" w:cs="宋体"/>
                <w:color w:val="auto"/>
                <w:sz w:val="24"/>
                <w:szCs w:val="24"/>
                <w:lang w:val="en-US" w:eastAsia="zh-CN"/>
              </w:rPr>
              <w:t>需提供租赁意向协议及产权证等材料并承诺建设面积不减少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7" w:type="dxa"/>
            <w:noWrap w:val="0"/>
            <w:vAlign w:val="center"/>
          </w:tcPr>
          <w:p>
            <w:pPr>
              <w:pStyle w:val="3"/>
              <w:spacing w:after="0"/>
              <w:jc w:val="center"/>
              <w:rPr>
                <w:rFonts w:hint="eastAsia" w:eastAsia="宋体" w:cs="宋体"/>
                <w:color w:val="auto"/>
                <w:sz w:val="24"/>
                <w:szCs w:val="24"/>
                <w:lang w:eastAsia="zh-CN"/>
              </w:rPr>
            </w:pPr>
            <w:r>
              <w:rPr>
                <w:rFonts w:hint="eastAsia" w:cs="宋体"/>
                <w:color w:val="auto"/>
                <w:sz w:val="24"/>
                <w:szCs w:val="24"/>
                <w:lang w:val="en-US" w:eastAsia="zh-CN"/>
              </w:rPr>
              <w:t>9</w:t>
            </w:r>
          </w:p>
        </w:tc>
        <w:tc>
          <w:tcPr>
            <w:tcW w:w="1799" w:type="dxa"/>
            <w:noWrap w:val="0"/>
            <w:vAlign w:val="center"/>
          </w:tcPr>
          <w:p>
            <w:pPr>
              <w:pStyle w:val="3"/>
              <w:spacing w:after="0"/>
              <w:jc w:val="center"/>
              <w:rPr>
                <w:rFonts w:cs="宋体"/>
                <w:color w:val="auto"/>
                <w:sz w:val="24"/>
                <w:szCs w:val="24"/>
              </w:rPr>
            </w:pPr>
            <w:r>
              <w:rPr>
                <w:rFonts w:cs="宋体"/>
                <w:color w:val="auto"/>
                <w:sz w:val="24"/>
                <w:szCs w:val="24"/>
              </w:rPr>
              <w:t>管理科技化</w:t>
            </w:r>
          </w:p>
        </w:tc>
        <w:tc>
          <w:tcPr>
            <w:tcW w:w="872" w:type="dxa"/>
            <w:noWrap w:val="0"/>
            <w:vAlign w:val="center"/>
          </w:tcPr>
          <w:p>
            <w:pPr>
              <w:pStyle w:val="3"/>
              <w:spacing w:after="0"/>
              <w:jc w:val="center"/>
              <w:rPr>
                <w:rFonts w:cs="宋体"/>
                <w:color w:val="auto"/>
                <w:sz w:val="24"/>
                <w:szCs w:val="24"/>
              </w:rPr>
            </w:pPr>
            <w:r>
              <w:rPr>
                <w:rFonts w:cs="宋体"/>
                <w:color w:val="auto"/>
                <w:sz w:val="24"/>
                <w:szCs w:val="24"/>
              </w:rPr>
              <w:t>8</w:t>
            </w:r>
          </w:p>
        </w:tc>
        <w:tc>
          <w:tcPr>
            <w:tcW w:w="6582" w:type="dxa"/>
            <w:noWrap w:val="0"/>
            <w:vAlign w:val="center"/>
          </w:tcPr>
          <w:p>
            <w:pPr>
              <w:pStyle w:val="74"/>
              <w:tabs>
                <w:tab w:val="left" w:pos="473"/>
              </w:tabs>
              <w:rPr>
                <w:rFonts w:hint="eastAsia" w:ascii="宋体" w:hAnsi="宋体" w:eastAsia="宋体" w:cs="宋体"/>
                <w:color w:val="auto"/>
                <w:sz w:val="24"/>
              </w:rPr>
            </w:pPr>
            <w:r>
              <w:rPr>
                <w:rFonts w:hint="eastAsia" w:ascii="宋体" w:hAnsi="宋体" w:eastAsia="宋体" w:cs="宋体"/>
                <w:color w:val="auto"/>
                <w:spacing w:val="-5"/>
                <w:sz w:val="24"/>
                <w:lang w:val="en-US"/>
              </w:rPr>
              <w:t>1、</w:t>
            </w:r>
            <w:r>
              <w:rPr>
                <w:rFonts w:hint="eastAsia" w:ascii="宋体" w:hAnsi="宋体" w:eastAsia="宋体" w:cs="宋体"/>
                <w:color w:val="auto"/>
                <w:spacing w:val="-5"/>
                <w:sz w:val="24"/>
              </w:rPr>
              <w:t>具有危险废物收集、贮存、转运全流程可追溯功能的信息</w:t>
            </w:r>
            <w:r>
              <w:rPr>
                <w:rFonts w:hint="eastAsia" w:ascii="宋体" w:hAnsi="宋体" w:eastAsia="宋体" w:cs="宋体"/>
                <w:color w:val="auto"/>
                <w:spacing w:val="-4"/>
                <w:sz w:val="24"/>
              </w:rPr>
              <w:t>化管理系统</w:t>
            </w:r>
            <w:r>
              <w:rPr>
                <w:rFonts w:hint="eastAsia" w:ascii="宋体" w:hAnsi="宋体" w:eastAsia="宋体" w:cs="宋体"/>
                <w:color w:val="auto"/>
                <w:sz w:val="24"/>
              </w:rPr>
              <w:t>（产废源头标准化、运输物流统筹化、处置集中规范化、监管数据信息化）</w:t>
            </w:r>
            <w:r>
              <w:rPr>
                <w:rFonts w:hint="eastAsia" w:ascii="宋体" w:hAnsi="宋体" w:eastAsia="宋体" w:cs="宋体"/>
                <w:color w:val="auto"/>
                <w:sz w:val="24"/>
                <w:lang w:val="en-US"/>
              </w:rPr>
              <w:t xml:space="preserve"> </w:t>
            </w:r>
            <w:r>
              <w:rPr>
                <w:rFonts w:hint="eastAsia" w:ascii="宋体" w:hAnsi="宋体" w:eastAsia="宋体" w:cs="宋体"/>
                <w:color w:val="auto"/>
                <w:sz w:val="24"/>
              </w:rPr>
              <w:t>（好得</w:t>
            </w:r>
            <w:r>
              <w:rPr>
                <w:rFonts w:hint="eastAsia" w:ascii="宋体" w:hAnsi="宋体" w:eastAsia="宋体" w:cs="宋体"/>
                <w:color w:val="auto"/>
                <w:sz w:val="24"/>
                <w:lang w:val="en-US"/>
              </w:rPr>
              <w:t>4</w:t>
            </w:r>
            <w:r>
              <w:rPr>
                <w:rFonts w:hint="eastAsia" w:ascii="宋体" w:hAnsi="宋体" w:eastAsia="宋体" w:cs="宋体"/>
                <w:color w:val="auto"/>
                <w:sz w:val="24"/>
              </w:rPr>
              <w:t>-</w:t>
            </w:r>
            <w:r>
              <w:rPr>
                <w:rFonts w:hint="eastAsia" w:ascii="宋体" w:hAnsi="宋体" w:eastAsia="宋体" w:cs="宋体"/>
                <w:color w:val="auto"/>
                <w:sz w:val="24"/>
                <w:lang w:val="en-US"/>
              </w:rPr>
              <w:t>5</w:t>
            </w:r>
            <w:r>
              <w:rPr>
                <w:rFonts w:hint="eastAsia" w:ascii="宋体" w:hAnsi="宋体" w:eastAsia="宋体" w:cs="宋体"/>
                <w:color w:val="auto"/>
                <w:sz w:val="24"/>
              </w:rPr>
              <w:t>分，一般得</w:t>
            </w:r>
            <w:r>
              <w:rPr>
                <w:rFonts w:hint="eastAsia" w:ascii="宋体" w:hAnsi="宋体" w:eastAsia="宋体" w:cs="宋体"/>
                <w:color w:val="auto"/>
                <w:sz w:val="24"/>
                <w:lang w:val="en-US"/>
              </w:rPr>
              <w:t>2</w:t>
            </w:r>
            <w:r>
              <w:rPr>
                <w:rFonts w:hint="eastAsia" w:ascii="宋体" w:hAnsi="宋体" w:eastAsia="宋体" w:cs="宋体"/>
                <w:color w:val="auto"/>
                <w:sz w:val="24"/>
              </w:rPr>
              <w:t>-</w:t>
            </w:r>
            <w:r>
              <w:rPr>
                <w:rFonts w:hint="eastAsia" w:ascii="宋体" w:hAnsi="宋体" w:eastAsia="宋体" w:cs="宋体"/>
                <w:color w:val="auto"/>
                <w:sz w:val="24"/>
                <w:lang w:val="en-US"/>
              </w:rPr>
              <w:t>3</w:t>
            </w:r>
            <w:r>
              <w:rPr>
                <w:rFonts w:hint="eastAsia" w:ascii="宋体" w:hAnsi="宋体" w:eastAsia="宋体" w:cs="宋体"/>
                <w:color w:val="auto"/>
                <w:sz w:val="24"/>
              </w:rPr>
              <w:t>分，较差得</w:t>
            </w:r>
            <w:r>
              <w:rPr>
                <w:rFonts w:hint="eastAsia" w:ascii="宋体" w:hAnsi="宋体" w:eastAsia="宋体" w:cs="宋体"/>
                <w:color w:val="auto"/>
                <w:sz w:val="24"/>
                <w:lang w:val="en-US"/>
              </w:rPr>
              <w:t>1-2</w:t>
            </w:r>
            <w:r>
              <w:rPr>
                <w:rFonts w:hint="eastAsia" w:ascii="宋体" w:hAnsi="宋体" w:eastAsia="宋体" w:cs="宋体"/>
                <w:color w:val="auto"/>
                <w:sz w:val="24"/>
              </w:rPr>
              <w:t>分）</w:t>
            </w:r>
          </w:p>
          <w:p>
            <w:pPr>
              <w:pStyle w:val="3"/>
              <w:spacing w:after="0"/>
              <w:rPr>
                <w:rFonts w:cs="宋体"/>
                <w:color w:val="auto"/>
                <w:sz w:val="24"/>
                <w:szCs w:val="24"/>
              </w:rPr>
            </w:pPr>
            <w:r>
              <w:rPr>
                <w:rFonts w:cs="宋体"/>
                <w:color w:val="auto"/>
                <w:spacing w:val="-3"/>
                <w:sz w:val="24"/>
                <w:szCs w:val="24"/>
              </w:rPr>
              <w:t>2、实时掌握各类危险废物的收集、贮存和转运情况，实时监</w:t>
            </w:r>
            <w:r>
              <w:rPr>
                <w:rFonts w:cs="宋体"/>
                <w:color w:val="auto"/>
                <w:spacing w:val="-4"/>
                <w:sz w:val="24"/>
                <w:szCs w:val="24"/>
              </w:rPr>
              <w:t>管危废流转数据，自动生成相应危废转移联单等</w:t>
            </w:r>
            <w:r>
              <w:rPr>
                <w:rFonts w:cs="宋体"/>
                <w:color w:val="auto"/>
                <w:sz w:val="24"/>
                <w:szCs w:val="24"/>
              </w:rPr>
              <w:t>（好得3分，一般得2分，较差得1分）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7" w:type="dxa"/>
            <w:noWrap w:val="0"/>
            <w:vAlign w:val="center"/>
          </w:tcPr>
          <w:p>
            <w:pPr>
              <w:pStyle w:val="3"/>
              <w:spacing w:after="0"/>
              <w:jc w:val="center"/>
              <w:rPr>
                <w:rFonts w:hint="eastAsia" w:eastAsia="宋体" w:cs="宋体"/>
                <w:color w:val="auto"/>
                <w:sz w:val="24"/>
                <w:szCs w:val="24"/>
                <w:lang w:eastAsia="zh-CN"/>
              </w:rPr>
            </w:pPr>
            <w:r>
              <w:rPr>
                <w:rFonts w:hint="eastAsia" w:cs="宋体"/>
                <w:color w:val="auto"/>
                <w:sz w:val="24"/>
                <w:szCs w:val="24"/>
                <w:lang w:val="en-US" w:eastAsia="zh-CN"/>
              </w:rPr>
              <w:t>9</w:t>
            </w:r>
          </w:p>
        </w:tc>
        <w:tc>
          <w:tcPr>
            <w:tcW w:w="1799" w:type="dxa"/>
            <w:noWrap w:val="0"/>
            <w:vAlign w:val="center"/>
          </w:tcPr>
          <w:p>
            <w:pPr>
              <w:pStyle w:val="3"/>
              <w:spacing w:after="0"/>
              <w:jc w:val="center"/>
              <w:rPr>
                <w:rFonts w:cs="宋体"/>
                <w:color w:val="auto"/>
                <w:sz w:val="24"/>
                <w:szCs w:val="24"/>
              </w:rPr>
            </w:pPr>
            <w:r>
              <w:rPr>
                <w:rFonts w:cs="宋体"/>
                <w:color w:val="auto"/>
                <w:sz w:val="24"/>
                <w:szCs w:val="24"/>
              </w:rPr>
              <w:t>危险废物处置</w:t>
            </w:r>
          </w:p>
          <w:p>
            <w:pPr>
              <w:pStyle w:val="3"/>
              <w:spacing w:after="0"/>
              <w:jc w:val="center"/>
              <w:rPr>
                <w:rFonts w:cs="宋体"/>
                <w:color w:val="auto"/>
                <w:sz w:val="24"/>
                <w:szCs w:val="24"/>
              </w:rPr>
            </w:pPr>
            <w:r>
              <w:rPr>
                <w:rFonts w:cs="宋体"/>
                <w:color w:val="auto"/>
                <w:sz w:val="24"/>
                <w:szCs w:val="24"/>
              </w:rPr>
              <w:t>种类</w:t>
            </w:r>
          </w:p>
        </w:tc>
        <w:tc>
          <w:tcPr>
            <w:tcW w:w="872" w:type="dxa"/>
            <w:noWrap w:val="0"/>
            <w:vAlign w:val="center"/>
          </w:tcPr>
          <w:p>
            <w:pPr>
              <w:pStyle w:val="3"/>
              <w:spacing w:after="0"/>
              <w:jc w:val="center"/>
              <w:rPr>
                <w:rFonts w:hint="default" w:eastAsia="宋体" w:cs="宋体"/>
                <w:color w:val="auto"/>
                <w:sz w:val="24"/>
                <w:szCs w:val="24"/>
                <w:lang w:val="en-US" w:eastAsia="zh-CN"/>
              </w:rPr>
            </w:pPr>
            <w:r>
              <w:rPr>
                <w:rFonts w:hint="eastAsia" w:cs="宋体"/>
                <w:color w:val="auto"/>
                <w:sz w:val="24"/>
                <w:szCs w:val="24"/>
                <w:lang w:val="en-US" w:eastAsia="zh-CN"/>
              </w:rPr>
              <w:t>10</w:t>
            </w:r>
          </w:p>
        </w:tc>
        <w:tc>
          <w:tcPr>
            <w:tcW w:w="6582" w:type="dxa"/>
            <w:noWrap w:val="0"/>
            <w:vAlign w:val="center"/>
          </w:tcPr>
          <w:p>
            <w:pPr>
              <w:pStyle w:val="3"/>
              <w:spacing w:after="0"/>
              <w:rPr>
                <w:rFonts w:cs="宋体"/>
                <w:color w:val="auto"/>
                <w:sz w:val="24"/>
                <w:szCs w:val="24"/>
              </w:rPr>
            </w:pPr>
            <w:r>
              <w:rPr>
                <w:rFonts w:cs="宋体"/>
                <w:color w:val="auto"/>
                <w:sz w:val="24"/>
                <w:szCs w:val="24"/>
              </w:rPr>
              <w:t>供应商需提供与有资质的第三方处置单位合作证明（或自身具备的处置种类证明），</w:t>
            </w:r>
            <w:r>
              <w:rPr>
                <w:rFonts w:cs="宋体"/>
                <w:color w:val="auto"/>
                <w:spacing w:val="-108"/>
                <w:sz w:val="24"/>
                <w:szCs w:val="24"/>
              </w:rPr>
              <w:t xml:space="preserve">    </w:t>
            </w:r>
            <w:r>
              <w:rPr>
                <w:rFonts w:cs="宋体"/>
                <w:color w:val="auto"/>
                <w:spacing w:val="-19"/>
                <w:sz w:val="24"/>
                <w:szCs w:val="24"/>
              </w:rPr>
              <w:t>处置种类需结合我市实际</w:t>
            </w:r>
            <w:r>
              <w:rPr>
                <w:rFonts w:cs="宋体"/>
                <w:color w:val="auto"/>
                <w:sz w:val="24"/>
                <w:szCs w:val="24"/>
              </w:rPr>
              <w:t>（</w:t>
            </w:r>
            <w:r>
              <w:rPr>
                <w:rFonts w:cs="宋体"/>
                <w:color w:val="auto"/>
                <w:spacing w:val="-3"/>
                <w:sz w:val="24"/>
                <w:szCs w:val="24"/>
              </w:rPr>
              <w:t>如废乳化液、</w:t>
            </w:r>
            <w:r>
              <w:rPr>
                <w:rFonts w:cs="宋体"/>
                <w:color w:val="auto"/>
                <w:sz w:val="24"/>
                <w:szCs w:val="24"/>
              </w:rPr>
              <w:t>废油、漆渣、废包装桶、金属表面处理污泥等）（好得</w:t>
            </w:r>
            <w:r>
              <w:rPr>
                <w:rFonts w:hint="eastAsia" w:cs="宋体"/>
                <w:color w:val="auto"/>
                <w:sz w:val="24"/>
                <w:szCs w:val="24"/>
                <w:lang w:val="en-US" w:eastAsia="zh-CN"/>
              </w:rPr>
              <w:t>8</w:t>
            </w:r>
            <w:r>
              <w:rPr>
                <w:rFonts w:cs="宋体"/>
                <w:color w:val="auto"/>
                <w:sz w:val="24"/>
                <w:szCs w:val="24"/>
              </w:rPr>
              <w:t>-</w:t>
            </w:r>
            <w:r>
              <w:rPr>
                <w:rFonts w:hint="eastAsia" w:cs="宋体"/>
                <w:color w:val="auto"/>
                <w:sz w:val="24"/>
                <w:szCs w:val="24"/>
                <w:lang w:val="en-US" w:eastAsia="zh-CN"/>
              </w:rPr>
              <w:t>10</w:t>
            </w:r>
            <w:r>
              <w:rPr>
                <w:rFonts w:cs="宋体"/>
                <w:color w:val="auto"/>
                <w:sz w:val="24"/>
                <w:szCs w:val="24"/>
              </w:rPr>
              <w:t>分，一般得</w:t>
            </w:r>
            <w:r>
              <w:rPr>
                <w:rFonts w:hint="eastAsia" w:cs="宋体"/>
                <w:color w:val="auto"/>
                <w:sz w:val="24"/>
                <w:szCs w:val="24"/>
                <w:lang w:val="en-US" w:eastAsia="zh-CN"/>
              </w:rPr>
              <w:t>5</w:t>
            </w:r>
            <w:r>
              <w:rPr>
                <w:rFonts w:cs="宋体"/>
                <w:color w:val="auto"/>
                <w:sz w:val="24"/>
                <w:szCs w:val="24"/>
              </w:rPr>
              <w:t>-</w:t>
            </w:r>
            <w:r>
              <w:rPr>
                <w:rFonts w:hint="eastAsia" w:cs="宋体"/>
                <w:color w:val="auto"/>
                <w:sz w:val="24"/>
                <w:szCs w:val="24"/>
                <w:lang w:val="en-US" w:eastAsia="zh-CN"/>
              </w:rPr>
              <w:t>7</w:t>
            </w:r>
            <w:r>
              <w:rPr>
                <w:rFonts w:cs="宋体"/>
                <w:color w:val="auto"/>
                <w:sz w:val="24"/>
                <w:szCs w:val="24"/>
              </w:rPr>
              <w:t>分，较差得1-</w:t>
            </w:r>
            <w:r>
              <w:rPr>
                <w:rFonts w:hint="eastAsia" w:cs="宋体"/>
                <w:color w:val="auto"/>
                <w:sz w:val="24"/>
                <w:szCs w:val="24"/>
                <w:lang w:val="en-US" w:eastAsia="zh-CN"/>
              </w:rPr>
              <w:t>4</w:t>
            </w:r>
            <w:r>
              <w:rPr>
                <w:rFonts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7" w:type="dxa"/>
            <w:noWrap w:val="0"/>
            <w:vAlign w:val="center"/>
          </w:tcPr>
          <w:p>
            <w:pPr>
              <w:pStyle w:val="3"/>
              <w:spacing w:after="0"/>
              <w:jc w:val="center"/>
              <w:rPr>
                <w:rFonts w:hint="default" w:eastAsia="宋体" w:cs="宋体"/>
                <w:color w:val="auto"/>
                <w:sz w:val="24"/>
                <w:szCs w:val="24"/>
                <w:lang w:val="en-US" w:eastAsia="zh-CN"/>
              </w:rPr>
            </w:pPr>
            <w:r>
              <w:rPr>
                <w:rFonts w:hint="eastAsia" w:cs="宋体"/>
                <w:color w:val="auto"/>
                <w:sz w:val="24"/>
                <w:szCs w:val="24"/>
                <w:lang w:val="en-US" w:eastAsia="zh-CN"/>
              </w:rPr>
              <w:t>10</w:t>
            </w:r>
          </w:p>
        </w:tc>
        <w:tc>
          <w:tcPr>
            <w:tcW w:w="1799" w:type="dxa"/>
            <w:noWrap w:val="0"/>
            <w:vAlign w:val="center"/>
          </w:tcPr>
          <w:p>
            <w:pPr>
              <w:pStyle w:val="3"/>
              <w:spacing w:after="0"/>
              <w:jc w:val="center"/>
              <w:rPr>
                <w:rFonts w:cs="宋体"/>
                <w:color w:val="auto"/>
                <w:sz w:val="24"/>
                <w:szCs w:val="24"/>
              </w:rPr>
            </w:pPr>
            <w:r>
              <w:rPr>
                <w:rFonts w:cs="宋体"/>
                <w:color w:val="auto"/>
                <w:sz w:val="24"/>
                <w:szCs w:val="24"/>
              </w:rPr>
              <w:t>服务项目</w:t>
            </w:r>
          </w:p>
        </w:tc>
        <w:tc>
          <w:tcPr>
            <w:tcW w:w="872" w:type="dxa"/>
            <w:noWrap w:val="0"/>
            <w:vAlign w:val="center"/>
          </w:tcPr>
          <w:p>
            <w:pPr>
              <w:pStyle w:val="3"/>
              <w:spacing w:after="0"/>
              <w:jc w:val="center"/>
              <w:rPr>
                <w:rFonts w:hint="eastAsia" w:eastAsia="宋体" w:cs="宋体"/>
                <w:color w:val="auto"/>
                <w:sz w:val="24"/>
                <w:szCs w:val="24"/>
                <w:lang w:eastAsia="zh-CN"/>
              </w:rPr>
            </w:pPr>
            <w:r>
              <w:rPr>
                <w:rFonts w:hint="eastAsia" w:cs="宋体"/>
                <w:color w:val="auto"/>
                <w:sz w:val="24"/>
                <w:szCs w:val="24"/>
                <w:lang w:val="en-US" w:eastAsia="zh-CN"/>
              </w:rPr>
              <w:t>7</w:t>
            </w:r>
          </w:p>
        </w:tc>
        <w:tc>
          <w:tcPr>
            <w:tcW w:w="6582" w:type="dxa"/>
            <w:noWrap w:val="0"/>
            <w:vAlign w:val="center"/>
          </w:tcPr>
          <w:p>
            <w:pPr>
              <w:pStyle w:val="3"/>
              <w:spacing w:after="0"/>
              <w:rPr>
                <w:rFonts w:cs="宋体"/>
                <w:color w:val="auto"/>
                <w:sz w:val="24"/>
                <w:szCs w:val="24"/>
              </w:rPr>
            </w:pPr>
            <w:r>
              <w:rPr>
                <w:rFonts w:cs="宋体"/>
                <w:color w:val="auto"/>
                <w:spacing w:val="-7"/>
                <w:sz w:val="24"/>
                <w:szCs w:val="24"/>
              </w:rPr>
              <w:t>供应商提供的具体服务项目清单</w:t>
            </w:r>
            <w:r>
              <w:rPr>
                <w:rFonts w:cs="宋体"/>
                <w:color w:val="auto"/>
                <w:sz w:val="24"/>
                <w:szCs w:val="24"/>
              </w:rPr>
              <w:t>（如定期或定量上门收集</w:t>
            </w:r>
            <w:r>
              <w:rPr>
                <w:rFonts w:cs="宋体"/>
                <w:color w:val="auto"/>
                <w:spacing w:val="-16"/>
                <w:sz w:val="24"/>
                <w:szCs w:val="24"/>
              </w:rPr>
              <w:t>，指导企业开展</w:t>
            </w:r>
            <w:r>
              <w:rPr>
                <w:rFonts w:cs="宋体"/>
                <w:color w:val="auto"/>
                <w:sz w:val="24"/>
                <w:szCs w:val="24"/>
              </w:rPr>
              <w:t>危废仓库建设、台帐等）。（好得</w:t>
            </w:r>
            <w:r>
              <w:rPr>
                <w:rFonts w:hint="eastAsia" w:cs="宋体"/>
                <w:color w:val="auto"/>
                <w:sz w:val="24"/>
                <w:szCs w:val="24"/>
                <w:lang w:val="en-US" w:eastAsia="zh-CN"/>
              </w:rPr>
              <w:t>5</w:t>
            </w:r>
            <w:r>
              <w:rPr>
                <w:rFonts w:cs="宋体"/>
                <w:color w:val="auto"/>
                <w:sz w:val="24"/>
                <w:szCs w:val="24"/>
              </w:rPr>
              <w:t>-</w:t>
            </w:r>
            <w:r>
              <w:rPr>
                <w:rFonts w:hint="eastAsia" w:cs="宋体"/>
                <w:color w:val="auto"/>
                <w:sz w:val="24"/>
                <w:szCs w:val="24"/>
                <w:lang w:val="en-US" w:eastAsia="zh-CN"/>
              </w:rPr>
              <w:t>7</w:t>
            </w:r>
            <w:r>
              <w:rPr>
                <w:rFonts w:cs="宋体"/>
                <w:color w:val="auto"/>
                <w:sz w:val="24"/>
                <w:szCs w:val="24"/>
              </w:rPr>
              <w:t>分，一般得</w:t>
            </w:r>
            <w:r>
              <w:rPr>
                <w:rFonts w:hint="eastAsia" w:cs="宋体"/>
                <w:color w:val="auto"/>
                <w:sz w:val="24"/>
                <w:szCs w:val="24"/>
                <w:lang w:val="en-US" w:eastAsia="zh-CN"/>
              </w:rPr>
              <w:t>3</w:t>
            </w:r>
            <w:r>
              <w:rPr>
                <w:rFonts w:cs="宋体"/>
                <w:color w:val="auto"/>
                <w:sz w:val="24"/>
                <w:szCs w:val="24"/>
              </w:rPr>
              <w:t>-</w:t>
            </w:r>
            <w:r>
              <w:rPr>
                <w:rFonts w:hint="eastAsia" w:cs="宋体"/>
                <w:color w:val="auto"/>
                <w:sz w:val="24"/>
                <w:szCs w:val="24"/>
                <w:lang w:val="en-US" w:eastAsia="zh-CN"/>
              </w:rPr>
              <w:t>4</w:t>
            </w:r>
            <w:r>
              <w:rPr>
                <w:rFonts w:cs="宋体"/>
                <w:color w:val="auto"/>
                <w:sz w:val="24"/>
                <w:szCs w:val="24"/>
              </w:rPr>
              <w:t>分，较差得1-</w:t>
            </w:r>
            <w:r>
              <w:rPr>
                <w:rFonts w:hint="eastAsia" w:cs="宋体"/>
                <w:color w:val="auto"/>
                <w:sz w:val="24"/>
                <w:szCs w:val="24"/>
                <w:lang w:val="en-US" w:eastAsia="zh-CN"/>
              </w:rPr>
              <w:t>2</w:t>
            </w:r>
            <w:r>
              <w:rPr>
                <w:rFonts w:cs="宋体"/>
                <w:color w:val="auto"/>
                <w:sz w:val="24"/>
                <w:szCs w:val="24"/>
              </w:rPr>
              <w:t>分）</w:t>
            </w:r>
          </w:p>
        </w:tc>
      </w:tr>
    </w:tbl>
    <w:p>
      <w:pPr>
        <w:snapToGrid w:val="0"/>
        <w:spacing w:line="360" w:lineRule="exact"/>
        <w:ind w:left="-315" w:leftChars="-150" w:firstLine="480" w:firstLineChars="200"/>
        <w:rPr>
          <w:rFonts w:hint="eastAsia" w:ascii="宋体" w:hAnsi="宋体" w:cs="宋体"/>
          <w:b/>
          <w:color w:val="auto"/>
          <w:sz w:val="24"/>
          <w:szCs w:val="20"/>
        </w:rPr>
      </w:pPr>
      <w:r>
        <w:rPr>
          <w:rFonts w:hint="eastAsia" w:ascii="宋体" w:hAnsi="宋体" w:cs="宋体"/>
          <w:b/>
          <w:color w:val="auto"/>
          <w:kern w:val="0"/>
          <w:sz w:val="24"/>
          <w:szCs w:val="20"/>
          <w:lang w:bidi="ar"/>
        </w:rPr>
        <w:t>3、其他</w:t>
      </w:r>
    </w:p>
    <w:p>
      <w:pPr>
        <w:tabs>
          <w:tab w:val="left" w:pos="4005"/>
          <w:tab w:val="left" w:pos="4080"/>
          <w:tab w:val="left" w:pos="6120"/>
          <w:tab w:val="left" w:pos="7540"/>
          <w:tab w:val="left" w:pos="8320"/>
        </w:tabs>
        <w:autoSpaceDE w:val="0"/>
        <w:autoSpaceDN w:val="0"/>
        <w:adjustRightInd w:val="0"/>
        <w:spacing w:line="360" w:lineRule="exact"/>
        <w:ind w:firstLine="480" w:firstLineChars="200"/>
        <w:rPr>
          <w:rFonts w:hint="eastAsia" w:ascii="宋体" w:hAnsi="宋体" w:cs="宋体"/>
          <w:snapToGrid w:val="0"/>
          <w:color w:val="auto"/>
          <w:sz w:val="24"/>
          <w:szCs w:val="20"/>
        </w:rPr>
      </w:pPr>
      <w:r>
        <w:rPr>
          <w:rFonts w:hint="eastAsia" w:ascii="宋体" w:hAnsi="宋体" w:cs="宋体"/>
          <w:snapToGrid w:val="0"/>
          <w:color w:val="auto"/>
          <w:kern w:val="0"/>
          <w:sz w:val="24"/>
          <w:szCs w:val="20"/>
          <w:lang w:bidi="ar"/>
        </w:rPr>
        <w:t>除特别声明外，所有涉及计算结果均保留小数点后两位，小数点后第三位四舍五入。</w:t>
      </w:r>
      <w:r>
        <w:rPr>
          <w:rFonts w:hint="eastAsia" w:ascii="宋体" w:hAnsi="宋体" w:cs="宋体"/>
          <w:color w:val="auto"/>
          <w:kern w:val="0"/>
          <w:sz w:val="24"/>
          <w:szCs w:val="20"/>
          <w:lang w:bidi="ar"/>
        </w:rPr>
        <w:t>磋商小组不向未中标单位解释落标具体原因，不退还磋商响应文件。</w:t>
      </w:r>
    </w:p>
    <w:p>
      <w:pPr>
        <w:tabs>
          <w:tab w:val="left" w:pos="5940"/>
        </w:tabs>
        <w:spacing w:line="360" w:lineRule="auto"/>
        <w:ind w:right="-89" w:firstLine="480" w:firstLineChars="200"/>
        <w:rPr>
          <w:rFonts w:hint="eastAsia" w:ascii="宋体" w:hAnsi="宋体" w:cs="新宋体"/>
          <w:color w:val="auto"/>
          <w:sz w:val="24"/>
        </w:rPr>
      </w:pPr>
    </w:p>
    <w:p>
      <w:pPr>
        <w:pStyle w:val="84"/>
        <w:widowControl/>
        <w:numPr>
          <w:ilvl w:val="0"/>
          <w:numId w:val="0"/>
        </w:numPr>
        <w:spacing w:before="100" w:after="100" w:line="240" w:lineRule="auto"/>
        <w:jc w:val="center"/>
        <w:rPr>
          <w:rFonts w:hAnsi="宋体" w:cs="宋体"/>
          <w:color w:val="auto"/>
          <w:sz w:val="32"/>
          <w:szCs w:val="32"/>
        </w:rPr>
      </w:pPr>
      <w:r>
        <w:rPr>
          <w:rFonts w:hAnsi="宋体" w:cs="宋体"/>
          <w:color w:val="auto"/>
          <w:sz w:val="32"/>
          <w:szCs w:val="32"/>
        </w:rPr>
        <w:br w:type="page"/>
      </w:r>
      <w:r>
        <w:rPr>
          <w:rFonts w:hAnsi="宋体" w:cs="宋体"/>
          <w:color w:val="auto"/>
          <w:sz w:val="32"/>
          <w:szCs w:val="32"/>
        </w:rPr>
        <w:t>第五章  磋商响应文件格式</w:t>
      </w:r>
      <w:bookmarkEnd w:id="33"/>
    </w:p>
    <w:p>
      <w:pPr>
        <w:widowControl/>
        <w:snapToGrid w:val="0"/>
        <w:spacing w:line="560" w:lineRule="exact"/>
        <w:rPr>
          <w:rFonts w:hint="eastAsia" w:ascii="宋体" w:hAnsi="宋体" w:cs="宋体"/>
          <w:b/>
          <w:color w:val="auto"/>
          <w:sz w:val="28"/>
          <w:szCs w:val="28"/>
        </w:rPr>
      </w:pPr>
      <w:r>
        <w:rPr>
          <w:rFonts w:hint="eastAsia" w:ascii="宋体" w:hAnsi="宋体" w:cs="宋体"/>
          <w:b/>
          <w:color w:val="auto"/>
          <w:kern w:val="0"/>
          <w:sz w:val="28"/>
          <w:szCs w:val="28"/>
          <w:lang w:bidi="ar"/>
        </w:rPr>
        <w:t>附件1：</w:t>
      </w:r>
    </w:p>
    <w:p>
      <w:pPr>
        <w:snapToGrid w:val="0"/>
        <w:spacing w:line="560" w:lineRule="exact"/>
        <w:jc w:val="center"/>
        <w:rPr>
          <w:rFonts w:hint="eastAsia" w:ascii="宋体" w:hAnsi="宋体" w:cs="宋体"/>
          <w:b/>
          <w:color w:val="auto"/>
          <w:sz w:val="36"/>
          <w:szCs w:val="36"/>
        </w:rPr>
      </w:pPr>
      <w:r>
        <w:rPr>
          <w:rFonts w:hint="eastAsia" w:ascii="宋体" w:hAnsi="宋体" w:cs="宋体"/>
          <w:b/>
          <w:color w:val="auto"/>
          <w:kern w:val="0"/>
          <w:sz w:val="36"/>
          <w:szCs w:val="36"/>
          <w:lang w:bidi="ar"/>
        </w:rPr>
        <w:t>温岭市采购诚信竞投承诺书</w:t>
      </w:r>
    </w:p>
    <w:p>
      <w:pPr>
        <w:spacing w:line="460" w:lineRule="exact"/>
        <w:rPr>
          <w:rFonts w:hint="eastAsia" w:ascii="宋体" w:hAnsi="宋体" w:cs="宋体"/>
          <w:color w:val="auto"/>
          <w:sz w:val="24"/>
          <w:szCs w:val="20"/>
        </w:rPr>
      </w:pPr>
    </w:p>
    <w:p>
      <w:pPr>
        <w:spacing w:line="460" w:lineRule="exact"/>
        <w:rPr>
          <w:rFonts w:hint="eastAsia" w:ascii="宋体" w:hAnsi="宋体" w:cs="宋体"/>
          <w:color w:val="auto"/>
          <w:sz w:val="24"/>
          <w:szCs w:val="20"/>
        </w:rPr>
      </w:pPr>
      <w:r>
        <w:rPr>
          <w:rFonts w:hint="eastAsia" w:ascii="宋体" w:hAnsi="宋体" w:cs="宋体"/>
          <w:color w:val="auto"/>
          <w:kern w:val="0"/>
          <w:sz w:val="24"/>
          <w:szCs w:val="20"/>
          <w:lang w:bidi="ar"/>
        </w:rPr>
        <w:t>本供应商郑重承诺：</w:t>
      </w:r>
    </w:p>
    <w:p>
      <w:pPr>
        <w:adjustRightInd w:val="0"/>
        <w:snapToGrid w:val="0"/>
        <w:spacing w:line="360" w:lineRule="auto"/>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一、将遵循公开、公平、公正和诚实信用的原则参加</w:t>
      </w:r>
      <w:r>
        <w:rPr>
          <w:rFonts w:hint="eastAsia" w:ascii="宋体" w:hAnsi="宋体" w:cs="宋体"/>
          <w:color w:val="auto"/>
          <w:kern w:val="0"/>
          <w:sz w:val="24"/>
          <w:szCs w:val="20"/>
          <w:u w:val="single"/>
          <w:lang w:bidi="ar"/>
        </w:rPr>
        <w:t>台州市生态环境局温岭分局温岭市小微企业危险废物集中收集单位入围项目</w:t>
      </w:r>
      <w:r>
        <w:rPr>
          <w:rFonts w:hint="eastAsia" w:ascii="宋体" w:hAnsi="宋体" w:cs="宋体"/>
          <w:color w:val="auto"/>
          <w:kern w:val="0"/>
          <w:sz w:val="24"/>
          <w:szCs w:val="20"/>
          <w:lang w:bidi="ar"/>
        </w:rPr>
        <w:t>的竞投；</w:t>
      </w:r>
    </w:p>
    <w:p>
      <w:pPr>
        <w:spacing w:line="460" w:lineRule="exact"/>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二、不向采购人、采购代理机构和监管部门及其工作人员和评审人员贿赂，或采取其它不正当手段谋取中标或成交；</w:t>
      </w:r>
    </w:p>
    <w:p>
      <w:pPr>
        <w:spacing w:line="460" w:lineRule="exact"/>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 xml:space="preserve">三、应公平竞争、诚实守信，不得采取不正当手段抵毁、排挤其他供应商，不提供虚假材料谋取中标或成交； </w:t>
      </w:r>
    </w:p>
    <w:p>
      <w:pPr>
        <w:spacing w:line="460" w:lineRule="exact"/>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四、中标成交后，不将竞争性磋商项目非法转让他人，或未经采购人或招标监管部门同意，将中标项目分包给他人；</w:t>
      </w:r>
    </w:p>
    <w:p>
      <w:pPr>
        <w:spacing w:line="460" w:lineRule="exact"/>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五、不与采购人、其它供应商和采购代理机构串通或恶意报价，哄抬招标价格；不在招标过程中与招标组织机构协商谈判；</w:t>
      </w:r>
    </w:p>
    <w:p>
      <w:pPr>
        <w:spacing w:line="460" w:lineRule="exact"/>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六、中标成交后，按规定及时与采购人签订合同；无正当理由不拖延或拒绝与采购人签订合同，不与采购人订立有悖于招标结果的合同或协议</w:t>
      </w:r>
    </w:p>
    <w:p>
      <w:pPr>
        <w:spacing w:line="460" w:lineRule="exact"/>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七、严格履行合同，不降低合同约定的产品质量和服务，不擅自变更、中止、终止合同，或拒绝履行合同义务；</w:t>
      </w:r>
    </w:p>
    <w:p>
      <w:pPr>
        <w:spacing w:line="460" w:lineRule="exact"/>
        <w:rPr>
          <w:rFonts w:hint="eastAsia" w:ascii="宋体" w:hAnsi="宋体" w:cs="宋体"/>
          <w:color w:val="auto"/>
          <w:sz w:val="24"/>
          <w:szCs w:val="20"/>
        </w:rPr>
      </w:pPr>
      <w:r>
        <w:rPr>
          <w:rFonts w:hint="eastAsia" w:ascii="宋体" w:hAnsi="宋体" w:cs="宋体"/>
          <w:b/>
          <w:color w:val="auto"/>
          <w:kern w:val="0"/>
          <w:sz w:val="24"/>
          <w:szCs w:val="20"/>
          <w:lang w:bidi="ar"/>
        </w:rPr>
        <w:t>  </w:t>
      </w:r>
      <w:r>
        <w:rPr>
          <w:rFonts w:hint="eastAsia" w:ascii="宋体" w:hAnsi="宋体" w:cs="宋体"/>
          <w:color w:val="auto"/>
          <w:kern w:val="0"/>
          <w:sz w:val="24"/>
          <w:szCs w:val="20"/>
          <w:lang w:bidi="ar"/>
        </w:rPr>
        <w:t>八、不捏造事实或者提供虚假材料，进行虚假、恶意质疑、投诉，扰乱招标工作；</w:t>
      </w:r>
    </w:p>
    <w:p>
      <w:pPr>
        <w:spacing w:line="460" w:lineRule="exact"/>
        <w:ind w:firstLine="470" w:firstLineChars="196"/>
        <w:rPr>
          <w:rFonts w:hint="eastAsia" w:ascii="宋体" w:hAnsi="宋体" w:cs="宋体"/>
          <w:color w:val="auto"/>
          <w:kern w:val="0"/>
          <w:sz w:val="24"/>
          <w:szCs w:val="20"/>
          <w:lang w:bidi="ar"/>
        </w:rPr>
      </w:pPr>
      <w:r>
        <w:rPr>
          <w:rFonts w:hint="eastAsia" w:ascii="宋体" w:hAnsi="宋体" w:cs="宋体"/>
          <w:color w:val="auto"/>
          <w:kern w:val="0"/>
          <w:sz w:val="24"/>
          <w:szCs w:val="20"/>
          <w:lang w:bidi="ar"/>
        </w:rPr>
        <w:t>九、自觉接受和配合有关招标监督部门的监督检查，不拒绝或在检查中提供虚假材料；</w:t>
      </w:r>
    </w:p>
    <w:p>
      <w:pPr>
        <w:spacing w:line="460" w:lineRule="exact"/>
        <w:ind w:firstLine="470" w:firstLineChars="196"/>
        <w:rPr>
          <w:rFonts w:hint="eastAsia"/>
          <w:color w:val="auto"/>
        </w:rPr>
      </w:pPr>
      <w:r>
        <w:rPr>
          <w:rFonts w:hint="eastAsia" w:ascii="宋体" w:hAnsi="宋体" w:cs="宋体"/>
          <w:color w:val="auto"/>
          <w:kern w:val="0"/>
          <w:sz w:val="24"/>
          <w:szCs w:val="20"/>
          <w:lang w:bidi="ar"/>
        </w:rPr>
        <w:t>十、</w:t>
      </w:r>
      <w:r>
        <w:rPr>
          <w:rFonts w:hint="eastAsia" w:hAnsi="宋体" w:cs="仿宋_GB2312"/>
          <w:color w:val="auto"/>
          <w:sz w:val="24"/>
        </w:rPr>
        <w:t>参加采购活动前三年内，在经营活动中没有重大违法记录。</w:t>
      </w:r>
    </w:p>
    <w:p>
      <w:pPr>
        <w:spacing w:line="460" w:lineRule="exact"/>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本公司若有违反承诺内容的行为，自愿接受取消交易席位、记入信用档案、没收投标保证金等有关处理，愿意承担法律责任。如已中标的，自动放弃中标资格给采购人造成损失的，依法承担赔偿责任。</w:t>
      </w:r>
    </w:p>
    <w:p>
      <w:pPr>
        <w:tabs>
          <w:tab w:val="left" w:pos="5792"/>
        </w:tabs>
        <w:spacing w:line="460" w:lineRule="exact"/>
        <w:rPr>
          <w:rFonts w:hint="eastAsia" w:ascii="宋体" w:hAnsi="宋体" w:cs="宋体"/>
          <w:color w:val="auto"/>
          <w:sz w:val="24"/>
          <w:szCs w:val="20"/>
        </w:rPr>
      </w:pPr>
      <w:r>
        <w:rPr>
          <w:rFonts w:hint="eastAsia" w:ascii="宋体" w:hAnsi="宋体" w:cs="宋体"/>
          <w:color w:val="auto"/>
          <w:kern w:val="0"/>
          <w:sz w:val="24"/>
          <w:szCs w:val="20"/>
          <w:lang w:bidi="ar"/>
        </w:rPr>
        <w:t>供应商名称（单位公章）：</w:t>
      </w:r>
    </w:p>
    <w:p>
      <w:pPr>
        <w:tabs>
          <w:tab w:val="left" w:pos="4525"/>
        </w:tabs>
        <w:spacing w:line="460" w:lineRule="exact"/>
        <w:rPr>
          <w:rFonts w:hint="eastAsia" w:ascii="宋体" w:hAnsi="宋体" w:cs="宋体"/>
          <w:color w:val="auto"/>
          <w:sz w:val="24"/>
          <w:szCs w:val="20"/>
        </w:rPr>
      </w:pPr>
      <w:r>
        <w:rPr>
          <w:rFonts w:hint="eastAsia" w:ascii="宋体" w:hAnsi="宋体" w:cs="宋体"/>
          <w:color w:val="auto"/>
          <w:kern w:val="0"/>
          <w:sz w:val="24"/>
          <w:szCs w:val="20"/>
          <w:lang w:bidi="ar"/>
        </w:rPr>
        <w:t>法定代表人</w:t>
      </w:r>
      <w:r>
        <w:rPr>
          <w:rFonts w:hint="eastAsia" w:ascii="宋体" w:hAnsi="宋体" w:cs="宋体"/>
          <w:color w:val="auto"/>
          <w:kern w:val="0"/>
          <w:sz w:val="24"/>
          <w:lang w:bidi="ar"/>
        </w:rPr>
        <w:t>或委托代理人</w:t>
      </w:r>
      <w:r>
        <w:rPr>
          <w:rFonts w:hint="eastAsia" w:ascii="宋体" w:hAnsi="宋体" w:cs="宋体"/>
          <w:color w:val="auto"/>
          <w:kern w:val="0"/>
          <w:sz w:val="24"/>
          <w:szCs w:val="20"/>
          <w:lang w:bidi="ar"/>
        </w:rPr>
        <w:t>（盖章或签名）：</w:t>
      </w:r>
    </w:p>
    <w:p>
      <w:pPr>
        <w:spacing w:line="500" w:lineRule="exact"/>
        <w:jc w:val="right"/>
        <w:rPr>
          <w:rFonts w:hint="eastAsia" w:ascii="宋体" w:hAnsi="宋体" w:cs="宋体"/>
          <w:color w:val="auto"/>
          <w:kern w:val="0"/>
          <w:sz w:val="24"/>
          <w:szCs w:val="20"/>
          <w:lang w:bidi="ar"/>
        </w:rPr>
      </w:pPr>
      <w:r>
        <w:rPr>
          <w:rFonts w:hint="eastAsia" w:ascii="宋体" w:hAnsi="宋体" w:cs="宋体"/>
          <w:color w:val="auto"/>
          <w:kern w:val="0"/>
          <w:sz w:val="24"/>
          <w:szCs w:val="20"/>
          <w:lang w:bidi="ar"/>
        </w:rPr>
        <w:t>年   月   日</w:t>
      </w:r>
    </w:p>
    <w:p>
      <w:pPr>
        <w:spacing w:line="500" w:lineRule="exact"/>
        <w:rPr>
          <w:rFonts w:hint="eastAsia" w:ascii="宋体" w:hAnsi="宋体" w:cs="宋体"/>
          <w:b/>
          <w:color w:val="auto"/>
          <w:kern w:val="0"/>
          <w:sz w:val="28"/>
          <w:szCs w:val="28"/>
          <w:lang w:bidi="ar"/>
        </w:rPr>
      </w:pPr>
      <w:r>
        <w:rPr>
          <w:rFonts w:hint="eastAsia" w:ascii="宋体" w:hAnsi="宋体" w:cs="宋体"/>
          <w:color w:val="auto"/>
          <w:kern w:val="0"/>
          <w:sz w:val="24"/>
          <w:szCs w:val="20"/>
          <w:lang w:bidi="ar"/>
        </w:rPr>
        <w:br w:type="page"/>
      </w:r>
      <w:r>
        <w:rPr>
          <w:rFonts w:hint="eastAsia" w:ascii="宋体" w:hAnsi="宋体" w:cs="宋体"/>
          <w:b/>
          <w:color w:val="auto"/>
          <w:kern w:val="0"/>
          <w:sz w:val="28"/>
          <w:szCs w:val="28"/>
          <w:lang w:bidi="ar"/>
        </w:rPr>
        <w:t>附件2：</w:t>
      </w:r>
    </w:p>
    <w:p>
      <w:pPr>
        <w:spacing w:line="500" w:lineRule="exact"/>
        <w:ind w:firstLine="3600" w:firstLineChars="1000"/>
        <w:rPr>
          <w:rFonts w:hint="eastAsia" w:ascii="宋体" w:hAnsi="宋体" w:cs="宋体"/>
          <w:b/>
          <w:color w:val="auto"/>
          <w:sz w:val="36"/>
          <w:szCs w:val="36"/>
        </w:rPr>
      </w:pPr>
      <w:r>
        <w:rPr>
          <w:rFonts w:hint="eastAsia" w:ascii="宋体" w:hAnsi="宋体" w:cs="宋体"/>
          <w:b/>
          <w:color w:val="auto"/>
          <w:kern w:val="0"/>
          <w:sz w:val="36"/>
          <w:szCs w:val="36"/>
          <w:lang w:bidi="ar"/>
        </w:rPr>
        <w:t>授 权 委 托 书</w:t>
      </w:r>
    </w:p>
    <w:p>
      <w:pPr>
        <w:spacing w:line="440" w:lineRule="exact"/>
        <w:jc w:val="center"/>
        <w:rPr>
          <w:rFonts w:hint="eastAsia" w:ascii="宋体" w:hAnsi="宋体" w:cs="宋体"/>
          <w:color w:val="auto"/>
        </w:rPr>
      </w:pPr>
    </w:p>
    <w:p>
      <w:pPr>
        <w:spacing w:line="440" w:lineRule="exact"/>
        <w:jc w:val="center"/>
        <w:rPr>
          <w:rFonts w:hint="eastAsia" w:ascii="宋体" w:hAnsi="宋体" w:cs="宋体"/>
          <w:color w:val="auto"/>
          <w:sz w:val="24"/>
          <w:szCs w:val="20"/>
        </w:rPr>
      </w:pPr>
    </w:p>
    <w:p>
      <w:pPr>
        <w:spacing w:line="440" w:lineRule="exact"/>
        <w:jc w:val="center"/>
        <w:rPr>
          <w:rFonts w:hint="eastAsia" w:ascii="宋体" w:hAnsi="宋体" w:cs="宋体"/>
          <w:color w:val="auto"/>
          <w:sz w:val="24"/>
          <w:szCs w:val="20"/>
        </w:rPr>
      </w:pPr>
    </w:p>
    <w:p>
      <w:pPr>
        <w:tabs>
          <w:tab w:val="center" w:pos="4153"/>
        </w:tabs>
        <w:spacing w:line="360" w:lineRule="auto"/>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 xml:space="preserve">本授权委托书声明：我 </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 xml:space="preserve">（姓名）系 </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u w:val="single"/>
          <w:lang w:bidi="ar"/>
        </w:rPr>
        <w:tab/>
      </w:r>
      <w:r>
        <w:rPr>
          <w:rFonts w:hint="eastAsia" w:ascii="宋体" w:hAnsi="宋体" w:cs="宋体"/>
          <w:color w:val="auto"/>
          <w:kern w:val="0"/>
          <w:sz w:val="24"/>
          <w:szCs w:val="20"/>
          <w:u w:val="single"/>
          <w:lang w:bidi="ar"/>
        </w:rPr>
        <w:tab/>
      </w:r>
      <w:r>
        <w:rPr>
          <w:rFonts w:hint="eastAsia" w:ascii="宋体" w:hAnsi="宋体" w:cs="宋体"/>
          <w:color w:val="auto"/>
          <w:kern w:val="0"/>
          <w:sz w:val="24"/>
          <w:szCs w:val="20"/>
          <w:lang w:bidi="ar"/>
        </w:rPr>
        <w:t>（供应商名称）的法定代表人，现授权委托</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姓名)为我公司的合法代理人，全权代表我公司参加</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投标活动，以本公司名义签署磋商响应文件、参加磋商、询标以及处理与之有关的一切事宜。我承认代理人在上述活动中所签署的所有内容。</w:t>
      </w:r>
    </w:p>
    <w:p>
      <w:pPr>
        <w:tabs>
          <w:tab w:val="center" w:pos="4153"/>
        </w:tabs>
        <w:spacing w:line="360" w:lineRule="auto"/>
        <w:ind w:firstLine="480" w:firstLineChars="200"/>
        <w:rPr>
          <w:rFonts w:hint="eastAsia" w:ascii="宋体" w:hAnsi="宋体" w:cs="宋体"/>
          <w:color w:val="auto"/>
          <w:sz w:val="24"/>
          <w:szCs w:val="20"/>
        </w:rPr>
      </w:pPr>
      <w:r>
        <w:rPr>
          <w:rFonts w:hint="eastAsia" w:ascii="宋体" w:hAnsi="宋体" w:cs="宋体"/>
          <w:color w:val="auto"/>
          <w:kern w:val="0"/>
          <w:sz w:val="24"/>
          <w:szCs w:val="20"/>
          <w:lang w:bidi="ar"/>
        </w:rPr>
        <w:t>代理人无转委托权，特此委托。</w:t>
      </w:r>
    </w:p>
    <w:p>
      <w:pPr>
        <w:tabs>
          <w:tab w:val="center" w:pos="4153"/>
        </w:tabs>
        <w:spacing w:line="440" w:lineRule="exact"/>
        <w:rPr>
          <w:rFonts w:hint="eastAsia" w:ascii="宋体" w:hAnsi="宋体" w:cs="宋体"/>
          <w:color w:val="auto"/>
          <w:sz w:val="24"/>
          <w:szCs w:val="20"/>
        </w:rPr>
      </w:pPr>
    </w:p>
    <w:p>
      <w:pPr>
        <w:tabs>
          <w:tab w:val="center" w:pos="4153"/>
        </w:tabs>
        <w:spacing w:line="600" w:lineRule="exact"/>
        <w:ind w:firstLine="3084" w:firstLineChars="1285"/>
        <w:rPr>
          <w:rFonts w:hint="eastAsia" w:ascii="宋体" w:hAnsi="宋体" w:cs="宋体"/>
          <w:color w:val="auto"/>
          <w:sz w:val="24"/>
          <w:szCs w:val="20"/>
          <w:u w:val="single"/>
          <w:vertAlign w:val="subscript"/>
        </w:rPr>
      </w:pPr>
      <w:r>
        <w:rPr>
          <w:rFonts w:hint="eastAsia" w:ascii="宋体" w:hAnsi="宋体" w:cs="宋体"/>
          <w:color w:val="auto"/>
          <w:kern w:val="0"/>
          <w:sz w:val="24"/>
          <w:szCs w:val="20"/>
          <w:lang w:bidi="ar"/>
        </w:rPr>
        <w:t>供应商（盖章）：</w:t>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 xml:space="preserve">                       </w:t>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 xml:space="preserve">     </w:t>
      </w:r>
    </w:p>
    <w:p>
      <w:pPr>
        <w:tabs>
          <w:tab w:val="center" w:pos="4153"/>
        </w:tabs>
        <w:spacing w:line="600" w:lineRule="exact"/>
        <w:ind w:firstLine="3084" w:firstLineChars="1285"/>
        <w:rPr>
          <w:rFonts w:hint="eastAsia" w:ascii="宋体" w:hAnsi="宋体" w:cs="宋体"/>
          <w:color w:val="auto"/>
          <w:sz w:val="24"/>
          <w:szCs w:val="20"/>
        </w:rPr>
      </w:pPr>
    </w:p>
    <w:p>
      <w:pPr>
        <w:tabs>
          <w:tab w:val="center" w:pos="4153"/>
        </w:tabs>
        <w:spacing w:line="600" w:lineRule="exact"/>
        <w:ind w:firstLine="3084" w:firstLineChars="1285"/>
        <w:rPr>
          <w:rFonts w:hint="eastAsia" w:ascii="宋体" w:hAnsi="宋体" w:cs="宋体"/>
          <w:color w:val="auto"/>
          <w:sz w:val="24"/>
          <w:szCs w:val="20"/>
          <w:u w:val="single"/>
          <w:vertAlign w:val="subscript"/>
        </w:rPr>
      </w:pPr>
      <w:r>
        <w:rPr>
          <w:rFonts w:hint="eastAsia" w:ascii="宋体" w:hAnsi="宋体" w:cs="宋体"/>
          <w:color w:val="auto"/>
          <w:kern w:val="0"/>
          <w:sz w:val="24"/>
          <w:szCs w:val="20"/>
          <w:lang w:bidi="ar"/>
        </w:rPr>
        <w:t>法定代表人（签名或盖章）：</w:t>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ab/>
      </w:r>
      <w:r>
        <w:rPr>
          <w:rFonts w:hint="eastAsia" w:ascii="宋体" w:hAnsi="宋体" w:cs="宋体"/>
          <w:color w:val="auto"/>
          <w:kern w:val="0"/>
          <w:sz w:val="24"/>
          <w:szCs w:val="20"/>
          <w:u w:val="single"/>
          <w:vertAlign w:val="subscript"/>
          <w:lang w:bidi="ar"/>
        </w:rPr>
        <w:t xml:space="preserve">             </w:t>
      </w:r>
      <w:r>
        <w:rPr>
          <w:rFonts w:hint="eastAsia" w:ascii="宋体" w:hAnsi="宋体" w:cs="宋体"/>
          <w:color w:val="auto"/>
          <w:kern w:val="0"/>
          <w:sz w:val="24"/>
          <w:szCs w:val="20"/>
          <w:u w:val="single"/>
          <w:vertAlign w:val="subscript"/>
          <w:lang w:bidi="ar"/>
        </w:rPr>
        <w:tab/>
      </w:r>
    </w:p>
    <w:p>
      <w:pPr>
        <w:tabs>
          <w:tab w:val="center" w:pos="4153"/>
        </w:tabs>
        <w:spacing w:line="600" w:lineRule="exact"/>
        <w:ind w:firstLine="3084" w:firstLineChars="1285"/>
        <w:rPr>
          <w:rFonts w:hint="eastAsia" w:ascii="宋体" w:hAnsi="宋体" w:cs="宋体"/>
          <w:color w:val="auto"/>
          <w:sz w:val="24"/>
          <w:szCs w:val="20"/>
          <w:u w:val="single"/>
          <w:vertAlign w:val="subscript"/>
        </w:rPr>
      </w:pPr>
    </w:p>
    <w:p>
      <w:pPr>
        <w:tabs>
          <w:tab w:val="center" w:pos="4153"/>
        </w:tabs>
        <w:spacing w:line="600" w:lineRule="exact"/>
        <w:ind w:firstLine="3084" w:firstLineChars="1285"/>
        <w:rPr>
          <w:rFonts w:hint="eastAsia" w:ascii="宋体" w:hAnsi="宋体" w:cs="宋体"/>
          <w:color w:val="auto"/>
          <w:sz w:val="24"/>
          <w:szCs w:val="20"/>
          <w:vertAlign w:val="subscript"/>
        </w:rPr>
      </w:pPr>
      <w:r>
        <w:rPr>
          <w:rFonts w:hint="eastAsia" w:ascii="宋体" w:hAnsi="宋体" w:cs="宋体"/>
          <w:color w:val="auto"/>
          <w:kern w:val="0"/>
          <w:sz w:val="24"/>
          <w:szCs w:val="20"/>
          <w:lang w:bidi="ar"/>
        </w:rPr>
        <w:t>授权委托日期：</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年</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月</w:t>
      </w:r>
      <w:r>
        <w:rPr>
          <w:rFonts w:hint="eastAsia" w:ascii="宋体" w:hAnsi="宋体" w:cs="宋体"/>
          <w:color w:val="auto"/>
          <w:kern w:val="0"/>
          <w:sz w:val="24"/>
          <w:szCs w:val="20"/>
          <w:u w:val="single"/>
          <w:lang w:bidi="ar"/>
        </w:rPr>
        <w:t xml:space="preserve">      </w:t>
      </w:r>
      <w:r>
        <w:rPr>
          <w:rFonts w:hint="eastAsia" w:ascii="宋体" w:hAnsi="宋体" w:cs="宋体"/>
          <w:color w:val="auto"/>
          <w:kern w:val="0"/>
          <w:sz w:val="24"/>
          <w:szCs w:val="20"/>
          <w:lang w:bidi="ar"/>
        </w:rPr>
        <w:t>日</w:t>
      </w:r>
    </w:p>
    <w:p>
      <w:pPr>
        <w:ind w:firstLine="723"/>
        <w:rPr>
          <w:rFonts w:hint="eastAsia" w:ascii="宋体" w:hAnsi="宋体" w:cs="宋体"/>
          <w:color w:val="auto"/>
          <w:sz w:val="24"/>
          <w:lang w:bidi="ar"/>
        </w:rPr>
      </w:pPr>
    </w:p>
    <w:tbl>
      <w:tblPr>
        <w:tblStyle w:val="30"/>
        <w:tblpPr w:leftFromText="180" w:rightFromText="180" w:vertAnchor="text" w:horzAnchor="page" w:tblpX="3409" w:tblpY="59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41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wBefore w:w="0" w:type="dxa"/>
          <w:wAfter w:w="0" w:type="dxa"/>
          <w:trHeight w:val="3361" w:hRule="atLeast"/>
        </w:trPr>
        <w:tc>
          <w:tcPr>
            <w:tcW w:w="5413" w:type="dxa"/>
            <w:noWrap w:val="0"/>
            <w:vAlign w:val="center"/>
          </w:tcPr>
          <w:p>
            <w:pPr>
              <w:ind w:firstLine="480"/>
              <w:jc w:val="center"/>
              <w:rPr>
                <w:rFonts w:ascii="宋体" w:hAnsi="宋体"/>
                <w:color w:val="auto"/>
              </w:rPr>
            </w:pPr>
            <w:r>
              <w:rPr>
                <w:rFonts w:ascii="宋体" w:hAnsi="宋体"/>
                <w:color w:val="auto"/>
              </w:rPr>
              <w:t>代理人身份证复印件粘贴处</w:t>
            </w:r>
          </w:p>
        </w:tc>
      </w:tr>
    </w:tbl>
    <w:p>
      <w:pPr>
        <w:tabs>
          <w:tab w:val="left" w:pos="5792"/>
        </w:tabs>
        <w:spacing w:line="460" w:lineRule="exact"/>
        <w:jc w:val="left"/>
        <w:rPr>
          <w:rFonts w:hint="eastAsia" w:ascii="宋体" w:hAnsi="宋体" w:cs="宋体"/>
          <w:color w:val="auto"/>
          <w:kern w:val="0"/>
          <w:sz w:val="34"/>
          <w:szCs w:val="20"/>
          <w:lang w:bidi="ar"/>
        </w:rPr>
      </w:pPr>
      <w:r>
        <w:rPr>
          <w:rFonts w:hint="eastAsia" w:ascii="宋体" w:hAnsi="宋体" w:cs="宋体"/>
          <w:b/>
          <w:color w:val="auto"/>
          <w:kern w:val="0"/>
          <w:sz w:val="28"/>
          <w:szCs w:val="28"/>
          <w:lang w:bidi="ar"/>
        </w:rPr>
        <w:br w:type="page"/>
      </w:r>
      <w:r>
        <w:rPr>
          <w:rFonts w:hint="eastAsia" w:ascii="宋体" w:hAnsi="宋体" w:cs="宋体"/>
          <w:b/>
          <w:color w:val="auto"/>
          <w:kern w:val="0"/>
          <w:sz w:val="28"/>
          <w:szCs w:val="28"/>
          <w:lang w:bidi="ar"/>
        </w:rPr>
        <w:t>附件3</w:t>
      </w:r>
      <w:r>
        <w:rPr>
          <w:rFonts w:hint="eastAsia" w:ascii="宋体" w:hAnsi="宋体" w:cs="宋体"/>
          <w:color w:val="auto"/>
          <w:kern w:val="0"/>
          <w:sz w:val="34"/>
          <w:szCs w:val="20"/>
          <w:lang w:bidi="ar"/>
        </w:rPr>
        <w:t>：</w:t>
      </w:r>
    </w:p>
    <w:p>
      <w:pPr>
        <w:pStyle w:val="4"/>
        <w:spacing w:line="400" w:lineRule="exact"/>
        <w:ind w:firstLine="2880" w:firstLineChars="800"/>
        <w:rPr>
          <w:rFonts w:cs="宋体"/>
          <w:color w:val="auto"/>
          <w:szCs w:val="36"/>
          <w:lang w:bidi="ar"/>
          <w14:shadow w14:blurRad="50800" w14:dist="38100" w14:dir="2700000" w14:sx="100000" w14:sy="100000" w14:kx="0" w14:ky="0" w14:algn="tl">
            <w14:srgbClr w14:val="000000">
              <w14:alpha w14:val="60000"/>
            </w14:srgbClr>
          </w14:shadow>
        </w:rPr>
      </w:pPr>
      <w:r>
        <w:rPr>
          <w:rFonts w:cs="宋体"/>
          <w:color w:val="auto"/>
          <w:szCs w:val="36"/>
          <w:lang w:bidi="ar"/>
          <w14:shadow w14:blurRad="50800" w14:dist="38100" w14:dir="2700000" w14:sx="100000" w14:sy="100000" w14:kx="0" w14:ky="0" w14:algn="tl">
            <w14:srgbClr w14:val="000000">
              <w14:alpha w14:val="60000"/>
            </w14:srgbClr>
          </w14:shadow>
        </w:rPr>
        <w:t>技术、商务偏离表</w:t>
      </w:r>
    </w:p>
    <w:p>
      <w:pPr>
        <w:ind w:firstLine="480" w:firstLineChars="200"/>
        <w:rPr>
          <w:rFonts w:hint="eastAsia" w:hAnsi="宋体"/>
          <w:color w:val="auto"/>
          <w:sz w:val="24"/>
        </w:rPr>
      </w:pPr>
      <w:r>
        <w:rPr>
          <w:rFonts w:hint="eastAsia" w:hAnsi="宋体"/>
          <w:color w:val="auto"/>
          <w:sz w:val="24"/>
        </w:rPr>
        <w:t>供应商在投标时应对于该部分给予充分的考虑。为了采购人评议的需要，供应商应将这些条款的异议逐条提出或根据以下要求的格式提出偏差。</w:t>
      </w:r>
    </w:p>
    <w:p>
      <w:pPr>
        <w:pStyle w:val="22"/>
        <w:pBdr>
          <w:bottom w:val="none" w:color="auto" w:sz="0" w:space="0"/>
        </w:pBdr>
        <w:tabs>
          <w:tab w:val="clear" w:pos="4153"/>
          <w:tab w:val="clear" w:pos="8306"/>
        </w:tabs>
        <w:snapToGrid/>
        <w:rPr>
          <w:color w:val="auto"/>
        </w:rPr>
      </w:pPr>
      <w:r>
        <w:rPr>
          <w:color w:val="auto"/>
          <w:sz w:val="24"/>
          <w:szCs w:val="24"/>
        </w:rPr>
        <w:t>（如无偏差，请在本页上写“无”）。</w:t>
      </w:r>
    </w:p>
    <w:p>
      <w:pPr>
        <w:autoSpaceDE w:val="0"/>
        <w:autoSpaceDN w:val="0"/>
        <w:adjustRightInd w:val="0"/>
        <w:spacing w:line="450" w:lineRule="exact"/>
        <w:ind w:firstLine="120" w:firstLineChars="50"/>
        <w:rPr>
          <w:rFonts w:hint="eastAsia" w:hAnsi="宋体"/>
          <w:color w:val="auto"/>
          <w:sz w:val="24"/>
        </w:rPr>
      </w:pPr>
      <w:r>
        <w:rPr>
          <w:rFonts w:hint="eastAsia" w:hAnsi="宋体"/>
          <w:color w:val="auto"/>
          <w:sz w:val="24"/>
        </w:rPr>
        <w:t xml:space="preserve">项目编号：  </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0"/>
        <w:gridCol w:w="759"/>
        <w:gridCol w:w="1189"/>
        <w:gridCol w:w="1978"/>
        <w:gridCol w:w="2130"/>
        <w:gridCol w:w="1468"/>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61" w:hRule="atLeast"/>
          <w:jc w:val="center"/>
        </w:trPr>
        <w:tc>
          <w:tcPr>
            <w:tcW w:w="1549" w:type="dxa"/>
            <w:gridSpan w:val="2"/>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序号</w:t>
            </w:r>
          </w:p>
        </w:tc>
        <w:tc>
          <w:tcPr>
            <w:tcW w:w="1189"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名称</w:t>
            </w:r>
          </w:p>
        </w:tc>
        <w:tc>
          <w:tcPr>
            <w:tcW w:w="1978" w:type="dxa"/>
            <w:noWrap w:val="0"/>
            <w:vAlign w:val="center"/>
          </w:tcPr>
          <w:p>
            <w:pPr>
              <w:autoSpaceDE w:val="0"/>
              <w:autoSpaceDN w:val="0"/>
              <w:adjustRightInd w:val="0"/>
              <w:ind w:left="-105" w:leftChars="-50" w:right="-100"/>
              <w:jc w:val="center"/>
              <w:rPr>
                <w:rFonts w:hint="eastAsia" w:ascii="Calibri" w:hAnsi="宋体"/>
                <w:color w:val="auto"/>
                <w:spacing w:val="-12"/>
                <w:sz w:val="24"/>
              </w:rPr>
            </w:pPr>
            <w:r>
              <w:rPr>
                <w:rFonts w:hint="eastAsia" w:ascii="Calibri" w:hAnsi="宋体"/>
                <w:color w:val="auto"/>
                <w:sz w:val="24"/>
              </w:rPr>
              <w:t>磋商文件要求</w:t>
            </w:r>
          </w:p>
        </w:tc>
        <w:tc>
          <w:tcPr>
            <w:tcW w:w="2130"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磋商响应文件响应</w:t>
            </w:r>
          </w:p>
        </w:tc>
        <w:tc>
          <w:tcPr>
            <w:tcW w:w="1468"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偏离情况</w:t>
            </w:r>
          </w:p>
        </w:tc>
        <w:tc>
          <w:tcPr>
            <w:tcW w:w="986"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14" w:hRule="atLeast"/>
          <w:jc w:val="center"/>
        </w:trPr>
        <w:tc>
          <w:tcPr>
            <w:tcW w:w="790" w:type="dxa"/>
            <w:vMerge w:val="restart"/>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技术偏离</w:t>
            </w:r>
          </w:p>
        </w:tc>
        <w:tc>
          <w:tcPr>
            <w:tcW w:w="759" w:type="dxa"/>
            <w:noWrap w:val="0"/>
            <w:vAlign w:val="center"/>
          </w:tcPr>
          <w:p>
            <w:pPr>
              <w:pStyle w:val="17"/>
              <w:spacing w:line="300" w:lineRule="exact"/>
              <w:jc w:val="center"/>
              <w:rPr>
                <w:rFonts w:hAnsi="宋体"/>
                <w:color w:val="auto"/>
                <w:sz w:val="24"/>
              </w:rPr>
            </w:pPr>
            <w:r>
              <w:rPr>
                <w:rFonts w:hAnsi="宋体"/>
                <w:color w:val="auto"/>
                <w:sz w:val="24"/>
              </w:rPr>
              <w:t>1</w:t>
            </w:r>
          </w:p>
        </w:tc>
        <w:tc>
          <w:tcPr>
            <w:tcW w:w="1189" w:type="dxa"/>
            <w:noWrap w:val="0"/>
            <w:vAlign w:val="center"/>
          </w:tcPr>
          <w:p>
            <w:pPr>
              <w:autoSpaceDE w:val="0"/>
              <w:autoSpaceDN w:val="0"/>
              <w:adjustRightInd w:val="0"/>
              <w:jc w:val="center"/>
              <w:rPr>
                <w:rFonts w:hint="eastAsia" w:ascii="Calibri" w:hAnsi="宋体"/>
                <w:color w:val="auto"/>
                <w:sz w:val="24"/>
              </w:rPr>
            </w:pPr>
          </w:p>
        </w:tc>
        <w:tc>
          <w:tcPr>
            <w:tcW w:w="1978" w:type="dxa"/>
            <w:noWrap w:val="0"/>
            <w:vAlign w:val="center"/>
          </w:tcPr>
          <w:p>
            <w:pPr>
              <w:autoSpaceDE w:val="0"/>
              <w:autoSpaceDN w:val="0"/>
              <w:adjustRightInd w:val="0"/>
              <w:jc w:val="center"/>
              <w:rPr>
                <w:rFonts w:hint="eastAsia" w:ascii="Calibri" w:hAnsi="宋体"/>
                <w:color w:val="auto"/>
                <w:sz w:val="24"/>
              </w:rPr>
            </w:pPr>
          </w:p>
        </w:tc>
        <w:tc>
          <w:tcPr>
            <w:tcW w:w="2130" w:type="dxa"/>
            <w:noWrap w:val="0"/>
            <w:vAlign w:val="center"/>
          </w:tcPr>
          <w:p>
            <w:pPr>
              <w:autoSpaceDE w:val="0"/>
              <w:autoSpaceDN w:val="0"/>
              <w:adjustRightInd w:val="0"/>
              <w:jc w:val="center"/>
              <w:rPr>
                <w:rFonts w:hint="eastAsia" w:ascii="Calibri" w:hAnsi="宋体"/>
                <w:color w:val="auto"/>
                <w:sz w:val="24"/>
              </w:rPr>
            </w:pPr>
          </w:p>
        </w:tc>
        <w:tc>
          <w:tcPr>
            <w:tcW w:w="1468" w:type="dxa"/>
            <w:noWrap w:val="0"/>
            <w:vAlign w:val="center"/>
          </w:tcPr>
          <w:p>
            <w:pPr>
              <w:autoSpaceDE w:val="0"/>
              <w:autoSpaceDN w:val="0"/>
              <w:adjustRightInd w:val="0"/>
              <w:jc w:val="center"/>
              <w:rPr>
                <w:rFonts w:hint="eastAsia" w:ascii="Calibri" w:hAnsi="宋体"/>
                <w:color w:val="auto"/>
                <w:sz w:val="24"/>
              </w:rPr>
            </w:pPr>
          </w:p>
        </w:tc>
        <w:tc>
          <w:tcPr>
            <w:tcW w:w="986" w:type="dxa"/>
            <w:noWrap w:val="0"/>
            <w:vAlign w:val="center"/>
          </w:tcPr>
          <w:p>
            <w:pPr>
              <w:autoSpaceDE w:val="0"/>
              <w:autoSpaceDN w:val="0"/>
              <w:adjustRightInd w:val="0"/>
              <w:jc w:val="center"/>
              <w:rPr>
                <w:rFonts w:hint="eastAsia" w:ascii="Calibri"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90" w:hRule="atLeast"/>
          <w:jc w:val="center"/>
        </w:trPr>
        <w:tc>
          <w:tcPr>
            <w:tcW w:w="790" w:type="dxa"/>
            <w:vMerge w:val="continue"/>
            <w:noWrap w:val="0"/>
            <w:vAlign w:val="center"/>
          </w:tcPr>
          <w:p>
            <w:pPr>
              <w:autoSpaceDE w:val="0"/>
              <w:autoSpaceDN w:val="0"/>
              <w:adjustRightInd w:val="0"/>
              <w:jc w:val="center"/>
              <w:rPr>
                <w:rFonts w:hint="eastAsia" w:ascii="Calibri" w:hAnsi="宋体"/>
                <w:color w:val="auto"/>
                <w:sz w:val="24"/>
              </w:rPr>
            </w:pPr>
          </w:p>
        </w:tc>
        <w:tc>
          <w:tcPr>
            <w:tcW w:w="759" w:type="dxa"/>
            <w:noWrap w:val="0"/>
            <w:vAlign w:val="center"/>
          </w:tcPr>
          <w:p>
            <w:pPr>
              <w:pStyle w:val="17"/>
              <w:spacing w:line="300" w:lineRule="exact"/>
              <w:jc w:val="center"/>
              <w:rPr>
                <w:rFonts w:hAnsi="宋体"/>
                <w:color w:val="auto"/>
                <w:sz w:val="24"/>
              </w:rPr>
            </w:pPr>
            <w:r>
              <w:rPr>
                <w:rFonts w:hAnsi="宋体"/>
                <w:color w:val="auto"/>
                <w:sz w:val="24"/>
              </w:rPr>
              <w:t>2</w:t>
            </w:r>
          </w:p>
        </w:tc>
        <w:tc>
          <w:tcPr>
            <w:tcW w:w="1189" w:type="dxa"/>
            <w:noWrap w:val="0"/>
            <w:vAlign w:val="center"/>
          </w:tcPr>
          <w:p>
            <w:pPr>
              <w:autoSpaceDE w:val="0"/>
              <w:autoSpaceDN w:val="0"/>
              <w:adjustRightInd w:val="0"/>
              <w:jc w:val="center"/>
              <w:rPr>
                <w:rFonts w:hint="eastAsia" w:ascii="Calibri" w:hAnsi="宋体"/>
                <w:color w:val="auto"/>
                <w:sz w:val="24"/>
              </w:rPr>
            </w:pPr>
          </w:p>
        </w:tc>
        <w:tc>
          <w:tcPr>
            <w:tcW w:w="1978" w:type="dxa"/>
            <w:noWrap w:val="0"/>
            <w:vAlign w:val="center"/>
          </w:tcPr>
          <w:p>
            <w:pPr>
              <w:autoSpaceDE w:val="0"/>
              <w:autoSpaceDN w:val="0"/>
              <w:adjustRightInd w:val="0"/>
              <w:jc w:val="center"/>
              <w:rPr>
                <w:rFonts w:hint="eastAsia" w:ascii="Calibri" w:hAnsi="宋体"/>
                <w:color w:val="auto"/>
                <w:sz w:val="24"/>
              </w:rPr>
            </w:pPr>
          </w:p>
        </w:tc>
        <w:tc>
          <w:tcPr>
            <w:tcW w:w="2130" w:type="dxa"/>
            <w:noWrap w:val="0"/>
            <w:vAlign w:val="center"/>
          </w:tcPr>
          <w:p>
            <w:pPr>
              <w:autoSpaceDE w:val="0"/>
              <w:autoSpaceDN w:val="0"/>
              <w:adjustRightInd w:val="0"/>
              <w:jc w:val="center"/>
              <w:rPr>
                <w:rFonts w:hint="eastAsia" w:ascii="Calibri" w:hAnsi="宋体"/>
                <w:color w:val="auto"/>
                <w:sz w:val="24"/>
              </w:rPr>
            </w:pPr>
          </w:p>
        </w:tc>
        <w:tc>
          <w:tcPr>
            <w:tcW w:w="1468" w:type="dxa"/>
            <w:noWrap w:val="0"/>
            <w:vAlign w:val="center"/>
          </w:tcPr>
          <w:p>
            <w:pPr>
              <w:autoSpaceDE w:val="0"/>
              <w:autoSpaceDN w:val="0"/>
              <w:adjustRightInd w:val="0"/>
              <w:jc w:val="center"/>
              <w:rPr>
                <w:rFonts w:hint="eastAsia" w:ascii="Calibri" w:hAnsi="宋体"/>
                <w:color w:val="auto"/>
                <w:sz w:val="24"/>
              </w:rPr>
            </w:pPr>
          </w:p>
        </w:tc>
        <w:tc>
          <w:tcPr>
            <w:tcW w:w="986" w:type="dxa"/>
            <w:noWrap w:val="0"/>
            <w:vAlign w:val="center"/>
          </w:tcPr>
          <w:p>
            <w:pPr>
              <w:autoSpaceDE w:val="0"/>
              <w:autoSpaceDN w:val="0"/>
              <w:adjustRightInd w:val="0"/>
              <w:jc w:val="center"/>
              <w:rPr>
                <w:rFonts w:hint="eastAsia" w:ascii="Calibri"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20" w:hRule="atLeast"/>
          <w:jc w:val="center"/>
        </w:trPr>
        <w:tc>
          <w:tcPr>
            <w:tcW w:w="790" w:type="dxa"/>
            <w:vMerge w:val="continue"/>
            <w:noWrap w:val="0"/>
            <w:vAlign w:val="center"/>
          </w:tcPr>
          <w:p>
            <w:pPr>
              <w:autoSpaceDE w:val="0"/>
              <w:autoSpaceDN w:val="0"/>
              <w:adjustRightInd w:val="0"/>
              <w:jc w:val="center"/>
              <w:rPr>
                <w:rFonts w:hint="eastAsia" w:ascii="Calibri" w:hAnsi="宋体"/>
                <w:color w:val="auto"/>
                <w:sz w:val="24"/>
              </w:rPr>
            </w:pPr>
          </w:p>
        </w:tc>
        <w:tc>
          <w:tcPr>
            <w:tcW w:w="759" w:type="dxa"/>
            <w:noWrap w:val="0"/>
            <w:vAlign w:val="center"/>
          </w:tcPr>
          <w:p>
            <w:pPr>
              <w:pStyle w:val="17"/>
              <w:spacing w:line="300" w:lineRule="exact"/>
              <w:jc w:val="center"/>
              <w:rPr>
                <w:rFonts w:hAnsi="宋体"/>
                <w:color w:val="auto"/>
                <w:sz w:val="24"/>
              </w:rPr>
            </w:pPr>
            <w:r>
              <w:rPr>
                <w:rFonts w:hAnsi="宋体"/>
                <w:color w:val="auto"/>
                <w:sz w:val="24"/>
              </w:rPr>
              <w:t>…</w:t>
            </w:r>
          </w:p>
        </w:tc>
        <w:tc>
          <w:tcPr>
            <w:tcW w:w="1189" w:type="dxa"/>
            <w:noWrap w:val="0"/>
            <w:vAlign w:val="center"/>
          </w:tcPr>
          <w:p>
            <w:pPr>
              <w:autoSpaceDE w:val="0"/>
              <w:autoSpaceDN w:val="0"/>
              <w:adjustRightInd w:val="0"/>
              <w:jc w:val="center"/>
              <w:rPr>
                <w:rFonts w:hint="eastAsia" w:ascii="Calibri" w:hAnsi="宋体"/>
                <w:color w:val="auto"/>
                <w:sz w:val="24"/>
              </w:rPr>
            </w:pPr>
          </w:p>
        </w:tc>
        <w:tc>
          <w:tcPr>
            <w:tcW w:w="1978" w:type="dxa"/>
            <w:noWrap w:val="0"/>
            <w:vAlign w:val="center"/>
          </w:tcPr>
          <w:p>
            <w:pPr>
              <w:autoSpaceDE w:val="0"/>
              <w:autoSpaceDN w:val="0"/>
              <w:adjustRightInd w:val="0"/>
              <w:jc w:val="center"/>
              <w:rPr>
                <w:rFonts w:hint="eastAsia" w:ascii="Calibri" w:hAnsi="宋体"/>
                <w:color w:val="auto"/>
                <w:sz w:val="24"/>
              </w:rPr>
            </w:pPr>
          </w:p>
        </w:tc>
        <w:tc>
          <w:tcPr>
            <w:tcW w:w="2130" w:type="dxa"/>
            <w:noWrap w:val="0"/>
            <w:vAlign w:val="center"/>
          </w:tcPr>
          <w:p>
            <w:pPr>
              <w:autoSpaceDE w:val="0"/>
              <w:autoSpaceDN w:val="0"/>
              <w:adjustRightInd w:val="0"/>
              <w:jc w:val="center"/>
              <w:rPr>
                <w:rFonts w:hint="eastAsia" w:ascii="Calibri" w:hAnsi="宋体"/>
                <w:color w:val="auto"/>
                <w:sz w:val="24"/>
              </w:rPr>
            </w:pPr>
          </w:p>
        </w:tc>
        <w:tc>
          <w:tcPr>
            <w:tcW w:w="1468" w:type="dxa"/>
            <w:noWrap w:val="0"/>
            <w:vAlign w:val="center"/>
          </w:tcPr>
          <w:p>
            <w:pPr>
              <w:autoSpaceDE w:val="0"/>
              <w:autoSpaceDN w:val="0"/>
              <w:adjustRightInd w:val="0"/>
              <w:jc w:val="center"/>
              <w:rPr>
                <w:rFonts w:hint="eastAsia" w:ascii="Calibri" w:hAnsi="宋体"/>
                <w:color w:val="auto"/>
                <w:sz w:val="24"/>
              </w:rPr>
            </w:pPr>
          </w:p>
        </w:tc>
        <w:tc>
          <w:tcPr>
            <w:tcW w:w="986" w:type="dxa"/>
            <w:noWrap w:val="0"/>
            <w:vAlign w:val="center"/>
          </w:tcPr>
          <w:p>
            <w:pPr>
              <w:autoSpaceDE w:val="0"/>
              <w:autoSpaceDN w:val="0"/>
              <w:adjustRightInd w:val="0"/>
              <w:jc w:val="center"/>
              <w:rPr>
                <w:rFonts w:hint="eastAsia" w:ascii="Calibri"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20" w:hRule="atLeast"/>
          <w:jc w:val="center"/>
        </w:trPr>
        <w:tc>
          <w:tcPr>
            <w:tcW w:w="790" w:type="dxa"/>
            <w:vMerge w:val="continue"/>
            <w:noWrap w:val="0"/>
            <w:vAlign w:val="center"/>
          </w:tcPr>
          <w:p>
            <w:pPr>
              <w:autoSpaceDE w:val="0"/>
              <w:autoSpaceDN w:val="0"/>
              <w:adjustRightInd w:val="0"/>
              <w:jc w:val="center"/>
              <w:rPr>
                <w:rFonts w:hint="eastAsia" w:ascii="Calibri" w:hAnsi="宋体"/>
                <w:color w:val="auto"/>
                <w:sz w:val="24"/>
              </w:rPr>
            </w:pPr>
          </w:p>
        </w:tc>
        <w:tc>
          <w:tcPr>
            <w:tcW w:w="759" w:type="dxa"/>
            <w:noWrap w:val="0"/>
            <w:vAlign w:val="center"/>
          </w:tcPr>
          <w:p>
            <w:pPr>
              <w:autoSpaceDE w:val="0"/>
              <w:autoSpaceDN w:val="0"/>
              <w:adjustRightInd w:val="0"/>
              <w:jc w:val="center"/>
              <w:rPr>
                <w:rFonts w:hint="eastAsia" w:ascii="Calibri" w:hAnsi="宋体"/>
                <w:color w:val="auto"/>
                <w:sz w:val="24"/>
              </w:rPr>
            </w:pPr>
          </w:p>
        </w:tc>
        <w:tc>
          <w:tcPr>
            <w:tcW w:w="1189" w:type="dxa"/>
            <w:noWrap w:val="0"/>
            <w:vAlign w:val="center"/>
          </w:tcPr>
          <w:p>
            <w:pPr>
              <w:autoSpaceDE w:val="0"/>
              <w:autoSpaceDN w:val="0"/>
              <w:adjustRightInd w:val="0"/>
              <w:jc w:val="center"/>
              <w:rPr>
                <w:rFonts w:hint="eastAsia" w:ascii="Calibri" w:hAnsi="宋体"/>
                <w:color w:val="auto"/>
                <w:sz w:val="24"/>
              </w:rPr>
            </w:pPr>
          </w:p>
        </w:tc>
        <w:tc>
          <w:tcPr>
            <w:tcW w:w="1978" w:type="dxa"/>
            <w:noWrap w:val="0"/>
            <w:vAlign w:val="center"/>
          </w:tcPr>
          <w:p>
            <w:pPr>
              <w:autoSpaceDE w:val="0"/>
              <w:autoSpaceDN w:val="0"/>
              <w:adjustRightInd w:val="0"/>
              <w:jc w:val="center"/>
              <w:rPr>
                <w:rFonts w:hint="eastAsia" w:ascii="Calibri" w:hAnsi="宋体"/>
                <w:color w:val="auto"/>
                <w:sz w:val="24"/>
              </w:rPr>
            </w:pPr>
          </w:p>
        </w:tc>
        <w:tc>
          <w:tcPr>
            <w:tcW w:w="2130" w:type="dxa"/>
            <w:noWrap w:val="0"/>
            <w:vAlign w:val="center"/>
          </w:tcPr>
          <w:p>
            <w:pPr>
              <w:autoSpaceDE w:val="0"/>
              <w:autoSpaceDN w:val="0"/>
              <w:adjustRightInd w:val="0"/>
              <w:jc w:val="center"/>
              <w:rPr>
                <w:rFonts w:hint="eastAsia" w:ascii="Calibri" w:hAnsi="宋体"/>
                <w:color w:val="auto"/>
                <w:sz w:val="24"/>
              </w:rPr>
            </w:pPr>
          </w:p>
        </w:tc>
        <w:tc>
          <w:tcPr>
            <w:tcW w:w="1468" w:type="dxa"/>
            <w:noWrap w:val="0"/>
            <w:vAlign w:val="center"/>
          </w:tcPr>
          <w:p>
            <w:pPr>
              <w:autoSpaceDE w:val="0"/>
              <w:autoSpaceDN w:val="0"/>
              <w:adjustRightInd w:val="0"/>
              <w:jc w:val="center"/>
              <w:rPr>
                <w:rFonts w:hint="eastAsia" w:ascii="Calibri" w:hAnsi="宋体"/>
                <w:color w:val="auto"/>
                <w:sz w:val="24"/>
              </w:rPr>
            </w:pPr>
          </w:p>
        </w:tc>
        <w:tc>
          <w:tcPr>
            <w:tcW w:w="986" w:type="dxa"/>
            <w:noWrap w:val="0"/>
            <w:vAlign w:val="center"/>
          </w:tcPr>
          <w:p>
            <w:pPr>
              <w:autoSpaceDE w:val="0"/>
              <w:autoSpaceDN w:val="0"/>
              <w:adjustRightInd w:val="0"/>
              <w:jc w:val="center"/>
              <w:rPr>
                <w:rFonts w:hint="eastAsia" w:ascii="Calibri"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29" w:hRule="atLeast"/>
          <w:jc w:val="center"/>
        </w:trPr>
        <w:tc>
          <w:tcPr>
            <w:tcW w:w="790" w:type="dxa"/>
            <w:vMerge w:val="restart"/>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商务偏离</w:t>
            </w:r>
          </w:p>
        </w:tc>
        <w:tc>
          <w:tcPr>
            <w:tcW w:w="759" w:type="dxa"/>
            <w:noWrap w:val="0"/>
            <w:vAlign w:val="center"/>
          </w:tcPr>
          <w:p>
            <w:pPr>
              <w:pStyle w:val="17"/>
              <w:spacing w:line="300" w:lineRule="exact"/>
              <w:jc w:val="center"/>
              <w:rPr>
                <w:rFonts w:hAnsi="宋体"/>
                <w:color w:val="auto"/>
                <w:sz w:val="24"/>
              </w:rPr>
            </w:pPr>
            <w:r>
              <w:rPr>
                <w:rFonts w:hAnsi="宋体"/>
                <w:color w:val="auto"/>
                <w:sz w:val="24"/>
              </w:rPr>
              <w:t>1</w:t>
            </w:r>
          </w:p>
        </w:tc>
        <w:tc>
          <w:tcPr>
            <w:tcW w:w="1189" w:type="dxa"/>
            <w:noWrap w:val="0"/>
            <w:vAlign w:val="center"/>
          </w:tcPr>
          <w:p>
            <w:pPr>
              <w:autoSpaceDE w:val="0"/>
              <w:autoSpaceDN w:val="0"/>
              <w:adjustRightInd w:val="0"/>
              <w:jc w:val="center"/>
              <w:rPr>
                <w:rFonts w:hint="eastAsia" w:ascii="Calibri" w:hAnsi="宋体"/>
                <w:color w:val="auto"/>
                <w:sz w:val="24"/>
              </w:rPr>
            </w:pPr>
          </w:p>
        </w:tc>
        <w:tc>
          <w:tcPr>
            <w:tcW w:w="1978" w:type="dxa"/>
            <w:noWrap w:val="0"/>
            <w:vAlign w:val="center"/>
          </w:tcPr>
          <w:p>
            <w:pPr>
              <w:autoSpaceDE w:val="0"/>
              <w:autoSpaceDN w:val="0"/>
              <w:adjustRightInd w:val="0"/>
              <w:jc w:val="center"/>
              <w:rPr>
                <w:rFonts w:hint="eastAsia" w:ascii="Calibri" w:hAnsi="宋体"/>
                <w:color w:val="auto"/>
                <w:sz w:val="24"/>
              </w:rPr>
            </w:pPr>
          </w:p>
        </w:tc>
        <w:tc>
          <w:tcPr>
            <w:tcW w:w="2130" w:type="dxa"/>
            <w:noWrap w:val="0"/>
            <w:vAlign w:val="center"/>
          </w:tcPr>
          <w:p>
            <w:pPr>
              <w:autoSpaceDE w:val="0"/>
              <w:autoSpaceDN w:val="0"/>
              <w:adjustRightInd w:val="0"/>
              <w:jc w:val="center"/>
              <w:rPr>
                <w:rFonts w:hint="eastAsia" w:ascii="Calibri" w:hAnsi="宋体"/>
                <w:color w:val="auto"/>
                <w:sz w:val="24"/>
              </w:rPr>
            </w:pPr>
          </w:p>
        </w:tc>
        <w:tc>
          <w:tcPr>
            <w:tcW w:w="1468" w:type="dxa"/>
            <w:noWrap w:val="0"/>
            <w:vAlign w:val="center"/>
          </w:tcPr>
          <w:p>
            <w:pPr>
              <w:autoSpaceDE w:val="0"/>
              <w:autoSpaceDN w:val="0"/>
              <w:adjustRightInd w:val="0"/>
              <w:jc w:val="center"/>
              <w:rPr>
                <w:rFonts w:hint="eastAsia" w:ascii="Calibri" w:hAnsi="宋体"/>
                <w:color w:val="auto"/>
                <w:sz w:val="24"/>
              </w:rPr>
            </w:pPr>
          </w:p>
        </w:tc>
        <w:tc>
          <w:tcPr>
            <w:tcW w:w="986" w:type="dxa"/>
            <w:noWrap w:val="0"/>
            <w:vAlign w:val="center"/>
          </w:tcPr>
          <w:p>
            <w:pPr>
              <w:autoSpaceDE w:val="0"/>
              <w:autoSpaceDN w:val="0"/>
              <w:adjustRightInd w:val="0"/>
              <w:jc w:val="center"/>
              <w:rPr>
                <w:rFonts w:hint="eastAsia" w:ascii="Calibri"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96" w:hRule="atLeast"/>
          <w:jc w:val="center"/>
        </w:trPr>
        <w:tc>
          <w:tcPr>
            <w:tcW w:w="790" w:type="dxa"/>
            <w:vMerge w:val="continue"/>
            <w:noWrap w:val="0"/>
            <w:vAlign w:val="center"/>
          </w:tcPr>
          <w:p>
            <w:pPr>
              <w:autoSpaceDE w:val="0"/>
              <w:autoSpaceDN w:val="0"/>
              <w:adjustRightInd w:val="0"/>
              <w:jc w:val="center"/>
              <w:rPr>
                <w:rFonts w:hint="eastAsia" w:ascii="Calibri" w:hAnsi="宋体"/>
                <w:color w:val="auto"/>
                <w:sz w:val="24"/>
              </w:rPr>
            </w:pPr>
          </w:p>
        </w:tc>
        <w:tc>
          <w:tcPr>
            <w:tcW w:w="759" w:type="dxa"/>
            <w:noWrap w:val="0"/>
            <w:vAlign w:val="center"/>
          </w:tcPr>
          <w:p>
            <w:pPr>
              <w:pStyle w:val="17"/>
              <w:spacing w:line="300" w:lineRule="exact"/>
              <w:jc w:val="center"/>
              <w:rPr>
                <w:rFonts w:hAnsi="宋体"/>
                <w:color w:val="auto"/>
                <w:sz w:val="24"/>
              </w:rPr>
            </w:pPr>
            <w:r>
              <w:rPr>
                <w:rFonts w:hAnsi="宋体"/>
                <w:color w:val="auto"/>
                <w:sz w:val="24"/>
              </w:rPr>
              <w:t>2</w:t>
            </w:r>
          </w:p>
        </w:tc>
        <w:tc>
          <w:tcPr>
            <w:tcW w:w="1189" w:type="dxa"/>
            <w:noWrap w:val="0"/>
            <w:vAlign w:val="center"/>
          </w:tcPr>
          <w:p>
            <w:pPr>
              <w:autoSpaceDE w:val="0"/>
              <w:autoSpaceDN w:val="0"/>
              <w:adjustRightInd w:val="0"/>
              <w:jc w:val="center"/>
              <w:rPr>
                <w:rFonts w:hint="eastAsia" w:ascii="Calibri" w:hAnsi="宋体"/>
                <w:color w:val="auto"/>
                <w:sz w:val="24"/>
              </w:rPr>
            </w:pPr>
          </w:p>
        </w:tc>
        <w:tc>
          <w:tcPr>
            <w:tcW w:w="1978" w:type="dxa"/>
            <w:noWrap w:val="0"/>
            <w:vAlign w:val="center"/>
          </w:tcPr>
          <w:p>
            <w:pPr>
              <w:autoSpaceDE w:val="0"/>
              <w:autoSpaceDN w:val="0"/>
              <w:adjustRightInd w:val="0"/>
              <w:jc w:val="center"/>
              <w:rPr>
                <w:rFonts w:hint="eastAsia" w:ascii="Calibri" w:hAnsi="宋体"/>
                <w:color w:val="auto"/>
                <w:sz w:val="24"/>
              </w:rPr>
            </w:pPr>
          </w:p>
        </w:tc>
        <w:tc>
          <w:tcPr>
            <w:tcW w:w="2130" w:type="dxa"/>
            <w:noWrap w:val="0"/>
            <w:vAlign w:val="center"/>
          </w:tcPr>
          <w:p>
            <w:pPr>
              <w:autoSpaceDE w:val="0"/>
              <w:autoSpaceDN w:val="0"/>
              <w:adjustRightInd w:val="0"/>
              <w:jc w:val="center"/>
              <w:rPr>
                <w:rFonts w:hint="eastAsia" w:ascii="Calibri" w:hAnsi="宋体"/>
                <w:color w:val="auto"/>
                <w:sz w:val="24"/>
              </w:rPr>
            </w:pPr>
          </w:p>
        </w:tc>
        <w:tc>
          <w:tcPr>
            <w:tcW w:w="1468" w:type="dxa"/>
            <w:noWrap w:val="0"/>
            <w:vAlign w:val="center"/>
          </w:tcPr>
          <w:p>
            <w:pPr>
              <w:autoSpaceDE w:val="0"/>
              <w:autoSpaceDN w:val="0"/>
              <w:adjustRightInd w:val="0"/>
              <w:jc w:val="center"/>
              <w:rPr>
                <w:rFonts w:hint="eastAsia" w:ascii="Calibri" w:hAnsi="宋体"/>
                <w:color w:val="auto"/>
                <w:sz w:val="24"/>
              </w:rPr>
            </w:pPr>
          </w:p>
        </w:tc>
        <w:tc>
          <w:tcPr>
            <w:tcW w:w="986" w:type="dxa"/>
            <w:noWrap w:val="0"/>
            <w:vAlign w:val="center"/>
          </w:tcPr>
          <w:p>
            <w:pPr>
              <w:autoSpaceDE w:val="0"/>
              <w:autoSpaceDN w:val="0"/>
              <w:adjustRightInd w:val="0"/>
              <w:jc w:val="center"/>
              <w:rPr>
                <w:rFonts w:hint="eastAsia" w:ascii="Calibri"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28" w:hRule="atLeast"/>
          <w:jc w:val="center"/>
        </w:trPr>
        <w:tc>
          <w:tcPr>
            <w:tcW w:w="790" w:type="dxa"/>
            <w:vMerge w:val="continue"/>
            <w:noWrap w:val="0"/>
            <w:vAlign w:val="center"/>
          </w:tcPr>
          <w:p>
            <w:pPr>
              <w:autoSpaceDE w:val="0"/>
              <w:autoSpaceDN w:val="0"/>
              <w:adjustRightInd w:val="0"/>
              <w:jc w:val="center"/>
              <w:rPr>
                <w:rFonts w:hint="eastAsia" w:ascii="Calibri" w:hAnsi="宋体"/>
                <w:color w:val="auto"/>
                <w:sz w:val="24"/>
              </w:rPr>
            </w:pPr>
          </w:p>
        </w:tc>
        <w:tc>
          <w:tcPr>
            <w:tcW w:w="759" w:type="dxa"/>
            <w:noWrap w:val="0"/>
            <w:vAlign w:val="center"/>
          </w:tcPr>
          <w:p>
            <w:pPr>
              <w:pStyle w:val="17"/>
              <w:spacing w:line="300" w:lineRule="exact"/>
              <w:jc w:val="center"/>
              <w:rPr>
                <w:rFonts w:hAnsi="宋体"/>
                <w:color w:val="auto"/>
                <w:sz w:val="24"/>
              </w:rPr>
            </w:pPr>
            <w:r>
              <w:rPr>
                <w:rFonts w:hAnsi="宋体"/>
                <w:color w:val="auto"/>
                <w:sz w:val="24"/>
              </w:rPr>
              <w:t>3</w:t>
            </w:r>
          </w:p>
        </w:tc>
        <w:tc>
          <w:tcPr>
            <w:tcW w:w="1189" w:type="dxa"/>
            <w:noWrap w:val="0"/>
            <w:vAlign w:val="center"/>
          </w:tcPr>
          <w:p>
            <w:pPr>
              <w:autoSpaceDE w:val="0"/>
              <w:autoSpaceDN w:val="0"/>
              <w:adjustRightInd w:val="0"/>
              <w:jc w:val="center"/>
              <w:rPr>
                <w:rFonts w:hint="eastAsia" w:ascii="Calibri" w:hAnsi="宋体"/>
                <w:color w:val="auto"/>
                <w:sz w:val="24"/>
              </w:rPr>
            </w:pPr>
          </w:p>
        </w:tc>
        <w:tc>
          <w:tcPr>
            <w:tcW w:w="1978" w:type="dxa"/>
            <w:noWrap w:val="0"/>
            <w:vAlign w:val="center"/>
          </w:tcPr>
          <w:p>
            <w:pPr>
              <w:autoSpaceDE w:val="0"/>
              <w:autoSpaceDN w:val="0"/>
              <w:adjustRightInd w:val="0"/>
              <w:jc w:val="center"/>
              <w:rPr>
                <w:rFonts w:hint="eastAsia" w:ascii="Calibri" w:hAnsi="宋体"/>
                <w:color w:val="auto"/>
                <w:sz w:val="24"/>
              </w:rPr>
            </w:pPr>
          </w:p>
        </w:tc>
        <w:tc>
          <w:tcPr>
            <w:tcW w:w="2130" w:type="dxa"/>
            <w:noWrap w:val="0"/>
            <w:vAlign w:val="center"/>
          </w:tcPr>
          <w:p>
            <w:pPr>
              <w:autoSpaceDE w:val="0"/>
              <w:autoSpaceDN w:val="0"/>
              <w:adjustRightInd w:val="0"/>
              <w:jc w:val="center"/>
              <w:rPr>
                <w:rFonts w:hint="eastAsia" w:ascii="Calibri" w:hAnsi="宋体"/>
                <w:color w:val="auto"/>
                <w:sz w:val="24"/>
              </w:rPr>
            </w:pPr>
          </w:p>
        </w:tc>
        <w:tc>
          <w:tcPr>
            <w:tcW w:w="1468" w:type="dxa"/>
            <w:noWrap w:val="0"/>
            <w:vAlign w:val="center"/>
          </w:tcPr>
          <w:p>
            <w:pPr>
              <w:autoSpaceDE w:val="0"/>
              <w:autoSpaceDN w:val="0"/>
              <w:adjustRightInd w:val="0"/>
              <w:jc w:val="center"/>
              <w:rPr>
                <w:rFonts w:hint="eastAsia" w:ascii="Calibri" w:hAnsi="宋体"/>
                <w:color w:val="auto"/>
                <w:sz w:val="24"/>
              </w:rPr>
            </w:pPr>
          </w:p>
        </w:tc>
        <w:tc>
          <w:tcPr>
            <w:tcW w:w="986" w:type="dxa"/>
            <w:noWrap w:val="0"/>
            <w:vAlign w:val="center"/>
          </w:tcPr>
          <w:p>
            <w:pPr>
              <w:autoSpaceDE w:val="0"/>
              <w:autoSpaceDN w:val="0"/>
              <w:adjustRightInd w:val="0"/>
              <w:jc w:val="center"/>
              <w:rPr>
                <w:rFonts w:hint="eastAsia" w:ascii="Calibri"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15" w:hRule="atLeast"/>
          <w:jc w:val="center"/>
        </w:trPr>
        <w:tc>
          <w:tcPr>
            <w:tcW w:w="790" w:type="dxa"/>
            <w:vMerge w:val="continue"/>
            <w:noWrap w:val="0"/>
            <w:vAlign w:val="center"/>
          </w:tcPr>
          <w:p>
            <w:pPr>
              <w:autoSpaceDE w:val="0"/>
              <w:autoSpaceDN w:val="0"/>
              <w:adjustRightInd w:val="0"/>
              <w:jc w:val="center"/>
              <w:rPr>
                <w:rFonts w:hint="eastAsia" w:ascii="Calibri" w:hAnsi="宋体"/>
                <w:color w:val="auto"/>
                <w:sz w:val="24"/>
              </w:rPr>
            </w:pPr>
          </w:p>
        </w:tc>
        <w:tc>
          <w:tcPr>
            <w:tcW w:w="759"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w:t>
            </w:r>
          </w:p>
        </w:tc>
        <w:tc>
          <w:tcPr>
            <w:tcW w:w="1189" w:type="dxa"/>
            <w:noWrap w:val="0"/>
            <w:vAlign w:val="center"/>
          </w:tcPr>
          <w:p>
            <w:pPr>
              <w:autoSpaceDE w:val="0"/>
              <w:autoSpaceDN w:val="0"/>
              <w:adjustRightInd w:val="0"/>
              <w:jc w:val="center"/>
              <w:rPr>
                <w:rFonts w:hint="eastAsia" w:ascii="Calibri" w:hAnsi="宋体"/>
                <w:color w:val="auto"/>
                <w:sz w:val="24"/>
              </w:rPr>
            </w:pPr>
          </w:p>
        </w:tc>
        <w:tc>
          <w:tcPr>
            <w:tcW w:w="1978" w:type="dxa"/>
            <w:noWrap w:val="0"/>
            <w:vAlign w:val="center"/>
          </w:tcPr>
          <w:p>
            <w:pPr>
              <w:autoSpaceDE w:val="0"/>
              <w:autoSpaceDN w:val="0"/>
              <w:adjustRightInd w:val="0"/>
              <w:jc w:val="center"/>
              <w:rPr>
                <w:rFonts w:hint="eastAsia" w:ascii="Calibri" w:hAnsi="宋体"/>
                <w:color w:val="auto"/>
                <w:sz w:val="24"/>
              </w:rPr>
            </w:pPr>
          </w:p>
        </w:tc>
        <w:tc>
          <w:tcPr>
            <w:tcW w:w="2130" w:type="dxa"/>
            <w:noWrap w:val="0"/>
            <w:vAlign w:val="center"/>
          </w:tcPr>
          <w:p>
            <w:pPr>
              <w:autoSpaceDE w:val="0"/>
              <w:autoSpaceDN w:val="0"/>
              <w:adjustRightInd w:val="0"/>
              <w:jc w:val="center"/>
              <w:rPr>
                <w:rFonts w:hint="eastAsia" w:ascii="Calibri" w:hAnsi="宋体"/>
                <w:color w:val="auto"/>
                <w:sz w:val="24"/>
              </w:rPr>
            </w:pPr>
          </w:p>
        </w:tc>
        <w:tc>
          <w:tcPr>
            <w:tcW w:w="1468" w:type="dxa"/>
            <w:noWrap w:val="0"/>
            <w:vAlign w:val="center"/>
          </w:tcPr>
          <w:p>
            <w:pPr>
              <w:autoSpaceDE w:val="0"/>
              <w:autoSpaceDN w:val="0"/>
              <w:adjustRightInd w:val="0"/>
              <w:jc w:val="center"/>
              <w:rPr>
                <w:rFonts w:hint="eastAsia" w:ascii="Calibri" w:hAnsi="宋体"/>
                <w:color w:val="auto"/>
                <w:sz w:val="24"/>
              </w:rPr>
            </w:pPr>
          </w:p>
        </w:tc>
        <w:tc>
          <w:tcPr>
            <w:tcW w:w="986" w:type="dxa"/>
            <w:noWrap w:val="0"/>
            <w:vAlign w:val="center"/>
          </w:tcPr>
          <w:p>
            <w:pPr>
              <w:autoSpaceDE w:val="0"/>
              <w:autoSpaceDN w:val="0"/>
              <w:adjustRightInd w:val="0"/>
              <w:jc w:val="center"/>
              <w:rPr>
                <w:rFonts w:hint="eastAsia" w:ascii="Calibri" w:hAnsi="宋体"/>
                <w:color w:val="auto"/>
                <w:sz w:val="24"/>
              </w:rPr>
            </w:pPr>
          </w:p>
        </w:tc>
      </w:tr>
    </w:tbl>
    <w:p>
      <w:pPr>
        <w:autoSpaceDE w:val="0"/>
        <w:autoSpaceDN w:val="0"/>
        <w:adjustRightInd w:val="0"/>
        <w:spacing w:line="450" w:lineRule="exact"/>
        <w:rPr>
          <w:rFonts w:hint="eastAsia"/>
          <w:color w:val="auto"/>
          <w:sz w:val="24"/>
        </w:rPr>
      </w:pPr>
      <w:r>
        <w:rPr>
          <w:rFonts w:hint="eastAsia"/>
          <w:color w:val="auto"/>
          <w:sz w:val="24"/>
        </w:rPr>
        <w:t>注：供应商应对照磋商文件要求在“偏离情况”栏注明“正偏离”、“负偏离”或“无偏离”。如供应商不填写内容，视为完全响应本次磋商文件要求。</w:t>
      </w:r>
    </w:p>
    <w:p>
      <w:pPr>
        <w:autoSpaceDE w:val="0"/>
        <w:autoSpaceDN w:val="0"/>
        <w:adjustRightInd w:val="0"/>
        <w:spacing w:line="450" w:lineRule="exact"/>
        <w:rPr>
          <w:rFonts w:hint="eastAsia"/>
          <w:color w:val="auto"/>
          <w:sz w:val="24"/>
        </w:rPr>
      </w:pPr>
    </w:p>
    <w:p>
      <w:pPr>
        <w:autoSpaceDE w:val="0"/>
        <w:autoSpaceDN w:val="0"/>
        <w:adjustRightInd w:val="0"/>
        <w:spacing w:line="450" w:lineRule="exact"/>
        <w:rPr>
          <w:rFonts w:hint="eastAsia"/>
          <w:color w:val="auto"/>
          <w:sz w:val="24"/>
        </w:rPr>
      </w:pPr>
    </w:p>
    <w:p>
      <w:pPr>
        <w:spacing w:line="500" w:lineRule="exact"/>
        <w:jc w:val="left"/>
        <w:textAlignment w:val="baseline"/>
        <w:rPr>
          <w:rFonts w:hint="eastAsia" w:hAnsi="宋体"/>
          <w:color w:val="auto"/>
          <w:sz w:val="24"/>
        </w:rPr>
      </w:pPr>
      <w:r>
        <w:rPr>
          <w:rFonts w:hint="eastAsia" w:hAnsi="宋体"/>
          <w:color w:val="auto"/>
          <w:sz w:val="24"/>
        </w:rPr>
        <w:t>供应商全称（盖章）：</w:t>
      </w:r>
    </w:p>
    <w:p>
      <w:pPr>
        <w:spacing w:line="500" w:lineRule="exact"/>
        <w:textAlignment w:val="baseline"/>
        <w:rPr>
          <w:rFonts w:hint="eastAsia" w:hAnsi="宋体"/>
          <w:color w:val="auto"/>
          <w:sz w:val="24"/>
        </w:rPr>
      </w:pPr>
      <w:r>
        <w:rPr>
          <w:rFonts w:hint="eastAsia" w:hAnsi="宋体" w:cs="仿宋_GB2312"/>
          <w:color w:val="auto"/>
          <w:sz w:val="24"/>
        </w:rPr>
        <w:t>法定代表人或</w:t>
      </w:r>
      <w:r>
        <w:rPr>
          <w:rFonts w:hint="eastAsia" w:hAnsi="宋体"/>
          <w:color w:val="auto"/>
          <w:sz w:val="24"/>
        </w:rPr>
        <w:t>委托代理人（盖章或</w:t>
      </w:r>
      <w:r>
        <w:rPr>
          <w:rFonts w:hint="eastAsia" w:ascii="宋体" w:hAnsi="宋体" w:cs="宋体"/>
          <w:color w:val="auto"/>
          <w:kern w:val="0"/>
          <w:sz w:val="24"/>
          <w:szCs w:val="20"/>
          <w:lang w:bidi="ar"/>
        </w:rPr>
        <w:t>签名</w:t>
      </w:r>
      <w:r>
        <w:rPr>
          <w:rFonts w:hint="eastAsia" w:hAnsi="宋体"/>
          <w:color w:val="auto"/>
          <w:sz w:val="24"/>
        </w:rPr>
        <w:t>）：</w:t>
      </w:r>
    </w:p>
    <w:p>
      <w:pPr>
        <w:adjustRightInd w:val="0"/>
        <w:spacing w:line="500" w:lineRule="exact"/>
        <w:textAlignment w:val="baseline"/>
        <w:rPr>
          <w:rFonts w:hint="eastAsia" w:hAnsi="宋体"/>
          <w:color w:val="auto"/>
          <w:sz w:val="24"/>
        </w:rPr>
      </w:pPr>
      <w:r>
        <w:rPr>
          <w:rFonts w:hint="eastAsia" w:hAnsi="宋体"/>
          <w:color w:val="auto"/>
          <w:sz w:val="24"/>
        </w:rPr>
        <w:t xml:space="preserve">日  </w:t>
      </w:r>
      <w:r>
        <w:rPr>
          <w:rFonts w:hAnsi="宋体"/>
          <w:color w:val="auto"/>
          <w:sz w:val="24"/>
        </w:rPr>
        <w:t xml:space="preserve">  </w:t>
      </w:r>
      <w:r>
        <w:rPr>
          <w:rFonts w:hint="eastAsia" w:hAnsi="宋体"/>
          <w:color w:val="auto"/>
          <w:sz w:val="24"/>
        </w:rPr>
        <w:t xml:space="preserve">期： </w:t>
      </w:r>
      <w:r>
        <w:rPr>
          <w:rFonts w:hAnsi="宋体"/>
          <w:color w:val="auto"/>
          <w:sz w:val="24"/>
        </w:rPr>
        <w:t xml:space="preserve">  </w:t>
      </w:r>
      <w:r>
        <w:rPr>
          <w:rFonts w:hint="eastAsia" w:hAnsi="宋体"/>
          <w:color w:val="auto"/>
          <w:sz w:val="24"/>
        </w:rPr>
        <w:t xml:space="preserve"> </w:t>
      </w:r>
    </w:p>
    <w:p>
      <w:pPr>
        <w:tabs>
          <w:tab w:val="left" w:pos="5792"/>
        </w:tabs>
        <w:spacing w:line="460" w:lineRule="exact"/>
        <w:jc w:val="left"/>
        <w:rPr>
          <w:rFonts w:ascii="宋体" w:hAnsi="宋体" w:cs="宋体"/>
          <w:color w:val="auto"/>
          <w:kern w:val="0"/>
          <w:sz w:val="34"/>
          <w:szCs w:val="20"/>
          <w:lang w:bidi="ar"/>
        </w:rPr>
      </w:pPr>
      <w:r>
        <w:rPr>
          <w:rFonts w:hint="eastAsia" w:ascii="宋体" w:hAnsi="宋体" w:cs="宋体"/>
          <w:b/>
          <w:color w:val="auto"/>
          <w:kern w:val="0"/>
          <w:sz w:val="36"/>
          <w:szCs w:val="36"/>
          <w:lang w:bidi="ar"/>
        </w:rPr>
        <w:br w:type="page"/>
      </w:r>
      <w:r>
        <w:rPr>
          <w:rFonts w:hint="eastAsia" w:ascii="宋体" w:hAnsi="宋体" w:cs="宋体"/>
          <w:b/>
          <w:color w:val="auto"/>
          <w:kern w:val="0"/>
          <w:sz w:val="24"/>
          <w:lang w:bidi="ar"/>
        </w:rPr>
        <w:t>附件4</w:t>
      </w:r>
      <w:r>
        <w:rPr>
          <w:rFonts w:hint="eastAsia" w:ascii="宋体" w:hAnsi="宋体" w:cs="宋体"/>
          <w:color w:val="auto"/>
          <w:kern w:val="0"/>
          <w:sz w:val="32"/>
          <w:szCs w:val="18"/>
          <w:lang w:bidi="ar"/>
        </w:rPr>
        <w:t>：</w:t>
      </w:r>
    </w:p>
    <w:p>
      <w:pPr>
        <w:pStyle w:val="28"/>
        <w:rPr>
          <w:rFonts w:hint="eastAsia" w:ascii="宋体" w:hAnsi="宋体" w:cs="宋体"/>
          <w:color w:val="auto"/>
          <w:sz w:val="36"/>
          <w:szCs w:val="36"/>
        </w:rPr>
      </w:pPr>
      <w:r>
        <w:rPr>
          <w:rFonts w:hint="eastAsia" w:ascii="宋体" w:hAnsi="宋体" w:cs="宋体"/>
          <w:color w:val="auto"/>
          <w:sz w:val="36"/>
          <w:szCs w:val="36"/>
        </w:rPr>
        <w:t>参加采购活动前三年内，无因安全和环境保护方面受到过刑事犯罪的记录声明函</w:t>
      </w:r>
    </w:p>
    <w:p>
      <w:pPr>
        <w:pStyle w:val="28"/>
        <w:jc w:val="left"/>
        <w:rPr>
          <w:rFonts w:ascii="宋体" w:hAnsi="宋体" w:cs="宋体"/>
          <w:b w:val="0"/>
          <w:bCs/>
          <w:color w:val="auto"/>
          <w:sz w:val="28"/>
          <w:szCs w:val="28"/>
        </w:rPr>
      </w:pPr>
      <w:r>
        <w:rPr>
          <w:rFonts w:ascii="宋体" w:hAnsi="宋体" w:cs="宋体"/>
          <w:b w:val="0"/>
          <w:bCs/>
          <w:color w:val="auto"/>
          <w:sz w:val="28"/>
          <w:szCs w:val="28"/>
        </w:rPr>
        <w:t xml:space="preserve">本供应商郑重承诺： </w:t>
      </w:r>
    </w:p>
    <w:p>
      <w:pPr>
        <w:pStyle w:val="28"/>
        <w:spacing w:line="360" w:lineRule="auto"/>
        <w:ind w:firstLine="560" w:firstLineChars="200"/>
        <w:jc w:val="both"/>
        <w:rPr>
          <w:rFonts w:ascii="宋体" w:hAnsi="宋体" w:cs="宋体"/>
          <w:b w:val="0"/>
          <w:bCs/>
          <w:color w:val="auto"/>
          <w:sz w:val="28"/>
          <w:szCs w:val="28"/>
        </w:rPr>
      </w:pPr>
      <w:r>
        <w:rPr>
          <w:rFonts w:ascii="宋体" w:hAnsi="宋体" w:cs="宋体"/>
          <w:b w:val="0"/>
          <w:bCs/>
          <w:color w:val="auto"/>
          <w:sz w:val="28"/>
          <w:szCs w:val="28"/>
        </w:rPr>
        <w:t>参加本项目采购活动前三年内，在经营活动中</w:t>
      </w:r>
      <w:r>
        <w:rPr>
          <w:rFonts w:hint="eastAsia" w:ascii="宋体" w:hAnsi="宋体" w:cs="宋体"/>
          <w:b w:val="0"/>
          <w:bCs/>
          <w:color w:val="auto"/>
          <w:sz w:val="28"/>
          <w:szCs w:val="28"/>
        </w:rPr>
        <w:t>无因安全和环境保护方面受到过刑事犯罪的记录。</w:t>
      </w:r>
      <w:r>
        <w:rPr>
          <w:rFonts w:ascii="宋体" w:hAnsi="宋体" w:cs="宋体"/>
          <w:b w:val="0"/>
          <w:bCs/>
          <w:color w:val="auto"/>
          <w:sz w:val="28"/>
          <w:szCs w:val="28"/>
        </w:rPr>
        <w:t>本公司若有违反承诺内容的行为，自愿接受取消</w:t>
      </w:r>
      <w:r>
        <w:rPr>
          <w:rFonts w:hint="eastAsia" w:ascii="宋体" w:hAnsi="宋体" w:cs="宋体"/>
          <w:b w:val="0"/>
          <w:bCs/>
          <w:color w:val="auto"/>
          <w:sz w:val="28"/>
          <w:szCs w:val="28"/>
        </w:rPr>
        <w:t>投标</w:t>
      </w:r>
      <w:r>
        <w:rPr>
          <w:rFonts w:ascii="宋体" w:hAnsi="宋体" w:cs="宋体"/>
          <w:b w:val="0"/>
          <w:bCs/>
          <w:color w:val="auto"/>
          <w:sz w:val="28"/>
          <w:szCs w:val="28"/>
        </w:rPr>
        <w:t>资格、记入信用档案、</w:t>
      </w:r>
      <w:r>
        <w:rPr>
          <w:rFonts w:hint="eastAsia" w:ascii="宋体" w:hAnsi="宋体" w:cs="宋体"/>
          <w:b w:val="0"/>
          <w:bCs/>
          <w:color w:val="auto"/>
          <w:sz w:val="28"/>
          <w:szCs w:val="28"/>
        </w:rPr>
        <w:t>赔偿采购人损失</w:t>
      </w:r>
      <w:r>
        <w:rPr>
          <w:rFonts w:ascii="宋体" w:hAnsi="宋体" w:cs="宋体"/>
          <w:b w:val="0"/>
          <w:bCs/>
          <w:color w:val="auto"/>
          <w:sz w:val="28"/>
          <w:szCs w:val="28"/>
        </w:rPr>
        <w:t>等有关处理，愿意承担法律责任。如已</w:t>
      </w:r>
      <w:r>
        <w:rPr>
          <w:rFonts w:hint="eastAsia" w:ascii="宋体" w:hAnsi="宋体" w:cs="宋体"/>
          <w:b w:val="0"/>
          <w:bCs/>
          <w:color w:val="auto"/>
          <w:sz w:val="28"/>
          <w:szCs w:val="28"/>
        </w:rPr>
        <w:t>中标</w:t>
      </w:r>
      <w:r>
        <w:rPr>
          <w:rFonts w:ascii="宋体" w:hAnsi="宋体" w:cs="宋体"/>
          <w:b w:val="0"/>
          <w:bCs/>
          <w:color w:val="auto"/>
          <w:sz w:val="28"/>
          <w:szCs w:val="28"/>
        </w:rPr>
        <w:t>的，自动放弃</w:t>
      </w:r>
      <w:r>
        <w:rPr>
          <w:rFonts w:hint="eastAsia" w:ascii="宋体" w:hAnsi="宋体" w:cs="宋体"/>
          <w:b w:val="0"/>
          <w:bCs/>
          <w:color w:val="auto"/>
          <w:sz w:val="28"/>
          <w:szCs w:val="28"/>
        </w:rPr>
        <w:t>中标</w:t>
      </w:r>
      <w:r>
        <w:rPr>
          <w:rFonts w:ascii="宋体" w:hAnsi="宋体" w:cs="宋体"/>
          <w:b w:val="0"/>
          <w:bCs/>
          <w:color w:val="auto"/>
          <w:sz w:val="28"/>
          <w:szCs w:val="28"/>
        </w:rPr>
        <w:t>资格，给采购人造成损失的，依法承担赔偿责任。</w:t>
      </w:r>
    </w:p>
    <w:p>
      <w:pPr>
        <w:rPr>
          <w:color w:val="auto"/>
        </w:rPr>
      </w:pPr>
    </w:p>
    <w:p>
      <w:pPr>
        <w:tabs>
          <w:tab w:val="left" w:pos="5792"/>
        </w:tabs>
        <w:spacing w:line="460" w:lineRule="exact"/>
        <w:jc w:val="center"/>
        <w:rPr>
          <w:rFonts w:ascii="宋体" w:hAnsi="宋体" w:cs="宋体"/>
          <w:color w:val="auto"/>
          <w:kern w:val="0"/>
          <w:sz w:val="24"/>
          <w:szCs w:val="20"/>
          <w:lang w:bidi="ar"/>
        </w:rPr>
      </w:pPr>
    </w:p>
    <w:p>
      <w:pPr>
        <w:tabs>
          <w:tab w:val="left" w:pos="5792"/>
        </w:tabs>
        <w:spacing w:line="460" w:lineRule="exact"/>
        <w:jc w:val="center"/>
        <w:rPr>
          <w:rFonts w:ascii="宋体" w:hAnsi="宋体" w:cs="宋体"/>
          <w:color w:val="auto"/>
          <w:kern w:val="0"/>
          <w:sz w:val="24"/>
          <w:szCs w:val="20"/>
          <w:lang w:bidi="ar"/>
        </w:rPr>
      </w:pPr>
    </w:p>
    <w:p>
      <w:pPr>
        <w:tabs>
          <w:tab w:val="left" w:pos="5792"/>
        </w:tabs>
        <w:spacing w:line="460" w:lineRule="exact"/>
        <w:jc w:val="center"/>
        <w:rPr>
          <w:rFonts w:ascii="宋体" w:hAnsi="宋体" w:cs="宋体"/>
          <w:color w:val="auto"/>
          <w:sz w:val="24"/>
          <w:szCs w:val="20"/>
        </w:rPr>
      </w:pPr>
      <w:r>
        <w:rPr>
          <w:rFonts w:hint="eastAsia" w:ascii="宋体" w:hAnsi="宋体" w:cs="宋体"/>
          <w:color w:val="auto"/>
          <w:kern w:val="0"/>
          <w:sz w:val="24"/>
          <w:szCs w:val="20"/>
          <w:lang w:bidi="ar"/>
        </w:rPr>
        <w:t>供应商名称（单位公章）：</w:t>
      </w:r>
    </w:p>
    <w:p>
      <w:pPr>
        <w:tabs>
          <w:tab w:val="left" w:pos="4525"/>
        </w:tabs>
        <w:spacing w:line="460" w:lineRule="exact"/>
        <w:jc w:val="center"/>
        <w:rPr>
          <w:rFonts w:ascii="宋体" w:hAnsi="宋体" w:cs="宋体"/>
          <w:color w:val="auto"/>
          <w:sz w:val="24"/>
          <w:szCs w:val="20"/>
        </w:rPr>
      </w:pPr>
    </w:p>
    <w:p>
      <w:pPr>
        <w:tabs>
          <w:tab w:val="left" w:pos="4525"/>
        </w:tabs>
        <w:spacing w:line="460" w:lineRule="exact"/>
        <w:jc w:val="center"/>
        <w:rPr>
          <w:rFonts w:ascii="宋体" w:hAnsi="宋体" w:cs="宋体"/>
          <w:color w:val="auto"/>
          <w:sz w:val="24"/>
          <w:szCs w:val="20"/>
        </w:rPr>
      </w:pPr>
      <w:r>
        <w:rPr>
          <w:rFonts w:hint="eastAsia" w:ascii="宋体" w:hAnsi="宋体" w:cs="宋体"/>
          <w:color w:val="auto"/>
          <w:kern w:val="0"/>
          <w:sz w:val="24"/>
          <w:lang w:bidi="ar"/>
        </w:rPr>
        <w:t>法定代表人或</w:t>
      </w:r>
      <w:r>
        <w:rPr>
          <w:rFonts w:hint="eastAsia" w:ascii="宋体" w:hAnsi="宋体" w:cs="宋体"/>
          <w:color w:val="auto"/>
          <w:kern w:val="0"/>
          <w:sz w:val="24"/>
          <w:szCs w:val="20"/>
          <w:lang w:bidi="ar"/>
        </w:rPr>
        <w:t>委托代理人（盖章或签名）：</w:t>
      </w:r>
    </w:p>
    <w:p>
      <w:pPr>
        <w:tabs>
          <w:tab w:val="left" w:pos="5792"/>
        </w:tabs>
        <w:spacing w:line="460" w:lineRule="exact"/>
        <w:jc w:val="center"/>
        <w:rPr>
          <w:rFonts w:ascii="宋体" w:hAnsi="宋体" w:cs="宋体"/>
          <w:color w:val="auto"/>
          <w:sz w:val="24"/>
          <w:szCs w:val="20"/>
        </w:rPr>
      </w:pPr>
    </w:p>
    <w:p>
      <w:pPr>
        <w:tabs>
          <w:tab w:val="left" w:pos="5792"/>
        </w:tabs>
        <w:spacing w:line="460" w:lineRule="exact"/>
        <w:jc w:val="center"/>
        <w:rPr>
          <w:rFonts w:ascii="宋体" w:hAnsi="宋体" w:cs="宋体"/>
          <w:color w:val="auto"/>
          <w:kern w:val="0"/>
          <w:sz w:val="24"/>
          <w:szCs w:val="20"/>
          <w:lang w:bidi="ar"/>
        </w:rPr>
      </w:pPr>
      <w:r>
        <w:rPr>
          <w:rFonts w:hint="eastAsia" w:ascii="宋体" w:hAnsi="宋体" w:cs="宋体"/>
          <w:color w:val="auto"/>
          <w:kern w:val="0"/>
          <w:sz w:val="24"/>
          <w:szCs w:val="20"/>
          <w:lang w:bidi="ar"/>
        </w:rPr>
        <w:t>年   月   日</w:t>
      </w:r>
    </w:p>
    <w:p>
      <w:pPr>
        <w:adjustRightInd w:val="0"/>
        <w:snapToGrid w:val="0"/>
        <w:spacing w:line="360" w:lineRule="auto"/>
        <w:rPr>
          <w:rFonts w:hint="eastAsia" w:ascii="宋体" w:hAnsi="宋体" w:cs="宋体"/>
          <w:color w:val="auto"/>
          <w:kern w:val="0"/>
          <w:sz w:val="24"/>
          <w:szCs w:val="20"/>
          <w:lang w:bidi="ar"/>
        </w:rPr>
      </w:pPr>
      <w:r>
        <w:rPr>
          <w:rFonts w:hint="eastAsia" w:ascii="宋体" w:hAnsi="宋体" w:cs="宋体"/>
          <w:b/>
          <w:color w:val="auto"/>
          <w:kern w:val="0"/>
          <w:sz w:val="28"/>
          <w:szCs w:val="28"/>
          <w:lang w:bidi="ar"/>
        </w:rPr>
        <w:br w:type="page"/>
      </w:r>
      <w:r>
        <w:rPr>
          <w:rFonts w:hint="eastAsia" w:ascii="宋体" w:hAnsi="宋体" w:cs="宋体"/>
          <w:b/>
          <w:color w:val="auto"/>
          <w:kern w:val="0"/>
          <w:sz w:val="28"/>
          <w:szCs w:val="28"/>
          <w:lang w:bidi="ar"/>
        </w:rPr>
        <w:t>附件5：</w:t>
      </w:r>
    </w:p>
    <w:p>
      <w:pPr>
        <w:jc w:val="center"/>
        <w:rPr>
          <w:rFonts w:hint="eastAsia" w:ascii="宋体" w:hAnsi="宋体" w:cs="宋体"/>
          <w:b/>
          <w:bCs/>
          <w:color w:val="auto"/>
          <w:sz w:val="28"/>
          <w:szCs w:val="28"/>
        </w:rPr>
      </w:pPr>
      <w:r>
        <w:rPr>
          <w:rFonts w:hint="eastAsia" w:ascii="宋体" w:hAnsi="宋体" w:cs="宋体"/>
          <w:b/>
          <w:bCs/>
          <w:color w:val="auto"/>
          <w:sz w:val="28"/>
          <w:szCs w:val="28"/>
        </w:rPr>
        <w:t>供应商概况一览表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47"/>
        <w:gridCol w:w="1537"/>
        <w:gridCol w:w="1407"/>
        <w:gridCol w:w="1673"/>
        <w:gridCol w:w="1345"/>
        <w:gridCol w:w="125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399" w:hRule="atLeast"/>
          <w:jc w:val="center"/>
        </w:trPr>
        <w:tc>
          <w:tcPr>
            <w:tcW w:w="1947"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企业注册名称</w:t>
            </w:r>
          </w:p>
        </w:tc>
        <w:tc>
          <w:tcPr>
            <w:tcW w:w="4617" w:type="dxa"/>
            <w:gridSpan w:val="3"/>
            <w:noWrap w:val="0"/>
            <w:vAlign w:val="center"/>
          </w:tcPr>
          <w:p>
            <w:pPr>
              <w:spacing w:line="360" w:lineRule="auto"/>
              <w:jc w:val="center"/>
              <w:rPr>
                <w:rFonts w:hint="eastAsia" w:ascii="宋体" w:hAnsi="宋体" w:cs="宋体"/>
                <w:color w:val="auto"/>
                <w:sz w:val="24"/>
              </w:rPr>
            </w:pPr>
          </w:p>
        </w:tc>
        <w:tc>
          <w:tcPr>
            <w:tcW w:w="1345"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建立日期</w:t>
            </w:r>
          </w:p>
        </w:tc>
        <w:tc>
          <w:tcPr>
            <w:tcW w:w="1256" w:type="dxa"/>
            <w:noWrap w:val="0"/>
            <w:vAlign w:val="center"/>
          </w:tcPr>
          <w:p>
            <w:pPr>
              <w:spacing w:line="360" w:lineRule="auto"/>
              <w:jc w:val="center"/>
              <w:rPr>
                <w:rFonts w:hint="eastAsia"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399" w:hRule="atLeast"/>
          <w:jc w:val="center"/>
        </w:trPr>
        <w:tc>
          <w:tcPr>
            <w:tcW w:w="1947"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企业法人代表</w:t>
            </w:r>
          </w:p>
        </w:tc>
        <w:tc>
          <w:tcPr>
            <w:tcW w:w="1537" w:type="dxa"/>
            <w:noWrap w:val="0"/>
            <w:vAlign w:val="center"/>
          </w:tcPr>
          <w:p>
            <w:pPr>
              <w:spacing w:line="360" w:lineRule="auto"/>
              <w:jc w:val="center"/>
              <w:rPr>
                <w:rFonts w:hint="eastAsia" w:ascii="宋体" w:hAnsi="宋体" w:cs="宋体"/>
                <w:color w:val="auto"/>
                <w:sz w:val="24"/>
              </w:rPr>
            </w:pPr>
          </w:p>
        </w:tc>
        <w:tc>
          <w:tcPr>
            <w:tcW w:w="1407"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企业性质</w:t>
            </w:r>
          </w:p>
        </w:tc>
        <w:tc>
          <w:tcPr>
            <w:tcW w:w="1673" w:type="dxa"/>
            <w:noWrap w:val="0"/>
            <w:vAlign w:val="center"/>
          </w:tcPr>
          <w:p>
            <w:pPr>
              <w:spacing w:line="360" w:lineRule="auto"/>
              <w:jc w:val="center"/>
              <w:rPr>
                <w:rFonts w:hint="eastAsia" w:ascii="宋体" w:hAnsi="宋体" w:cs="宋体"/>
                <w:color w:val="auto"/>
                <w:sz w:val="24"/>
              </w:rPr>
            </w:pPr>
          </w:p>
        </w:tc>
        <w:tc>
          <w:tcPr>
            <w:tcW w:w="1345"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联系人</w:t>
            </w:r>
          </w:p>
        </w:tc>
        <w:tc>
          <w:tcPr>
            <w:tcW w:w="1256" w:type="dxa"/>
            <w:noWrap w:val="0"/>
            <w:vAlign w:val="center"/>
          </w:tcPr>
          <w:p>
            <w:pPr>
              <w:spacing w:line="360" w:lineRule="auto"/>
              <w:jc w:val="center"/>
              <w:rPr>
                <w:rFonts w:hint="eastAsia"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399" w:hRule="atLeast"/>
          <w:jc w:val="center"/>
        </w:trPr>
        <w:tc>
          <w:tcPr>
            <w:tcW w:w="1947"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企业资质等级</w:t>
            </w:r>
          </w:p>
        </w:tc>
        <w:tc>
          <w:tcPr>
            <w:tcW w:w="1537" w:type="dxa"/>
            <w:noWrap w:val="0"/>
            <w:vAlign w:val="center"/>
          </w:tcPr>
          <w:p>
            <w:pPr>
              <w:spacing w:line="360" w:lineRule="auto"/>
              <w:jc w:val="center"/>
              <w:rPr>
                <w:rFonts w:hint="eastAsia" w:ascii="宋体" w:hAnsi="宋体" w:cs="宋体"/>
                <w:color w:val="auto"/>
                <w:sz w:val="24"/>
              </w:rPr>
            </w:pPr>
          </w:p>
        </w:tc>
        <w:tc>
          <w:tcPr>
            <w:tcW w:w="1407"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经营方式</w:t>
            </w:r>
          </w:p>
        </w:tc>
        <w:tc>
          <w:tcPr>
            <w:tcW w:w="1673" w:type="dxa"/>
            <w:noWrap w:val="0"/>
            <w:vAlign w:val="center"/>
          </w:tcPr>
          <w:p>
            <w:pPr>
              <w:spacing w:line="360" w:lineRule="auto"/>
              <w:jc w:val="center"/>
              <w:rPr>
                <w:rFonts w:hint="eastAsia" w:ascii="宋体" w:hAnsi="宋体" w:cs="宋体"/>
                <w:color w:val="auto"/>
                <w:sz w:val="24"/>
              </w:rPr>
            </w:pPr>
          </w:p>
        </w:tc>
        <w:tc>
          <w:tcPr>
            <w:tcW w:w="1345"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联系电话</w:t>
            </w:r>
          </w:p>
        </w:tc>
        <w:tc>
          <w:tcPr>
            <w:tcW w:w="1256" w:type="dxa"/>
            <w:noWrap w:val="0"/>
            <w:vAlign w:val="center"/>
          </w:tcPr>
          <w:p>
            <w:pPr>
              <w:spacing w:line="360" w:lineRule="auto"/>
              <w:jc w:val="center"/>
              <w:rPr>
                <w:rFonts w:hint="eastAsia"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wBefore w:w="0" w:type="dxa"/>
          <w:wAfter w:w="0" w:type="dxa"/>
          <w:cantSplit/>
          <w:trHeight w:val="416" w:hRule="atLeast"/>
          <w:jc w:val="center"/>
        </w:trPr>
        <w:tc>
          <w:tcPr>
            <w:tcW w:w="1947"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上级主管部门</w:t>
            </w:r>
          </w:p>
        </w:tc>
        <w:tc>
          <w:tcPr>
            <w:tcW w:w="2944" w:type="dxa"/>
            <w:gridSpan w:val="2"/>
            <w:noWrap w:val="0"/>
            <w:vAlign w:val="center"/>
          </w:tcPr>
          <w:p>
            <w:pPr>
              <w:spacing w:line="360" w:lineRule="auto"/>
              <w:jc w:val="center"/>
              <w:rPr>
                <w:rFonts w:hint="eastAsia" w:ascii="宋体" w:hAnsi="宋体" w:cs="宋体"/>
                <w:color w:val="auto"/>
                <w:sz w:val="24"/>
              </w:rPr>
            </w:pPr>
          </w:p>
        </w:tc>
        <w:tc>
          <w:tcPr>
            <w:tcW w:w="1673"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批准成立机构</w:t>
            </w:r>
          </w:p>
        </w:tc>
        <w:tc>
          <w:tcPr>
            <w:tcW w:w="2601" w:type="dxa"/>
            <w:gridSpan w:val="2"/>
            <w:noWrap w:val="0"/>
            <w:vAlign w:val="center"/>
          </w:tcPr>
          <w:p>
            <w:pPr>
              <w:spacing w:line="360" w:lineRule="auto"/>
              <w:jc w:val="center"/>
              <w:rPr>
                <w:rFonts w:hint="eastAsia"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wBefore w:w="0" w:type="dxa"/>
          <w:wAfter w:w="0" w:type="dxa"/>
          <w:cantSplit/>
          <w:trHeight w:val="571" w:hRule="atLeast"/>
          <w:jc w:val="center"/>
        </w:trPr>
        <w:tc>
          <w:tcPr>
            <w:tcW w:w="1947"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单位地址</w:t>
            </w:r>
          </w:p>
        </w:tc>
        <w:tc>
          <w:tcPr>
            <w:tcW w:w="7218" w:type="dxa"/>
            <w:gridSpan w:val="5"/>
            <w:noWrap w:val="0"/>
            <w:vAlign w:val="center"/>
          </w:tcPr>
          <w:p>
            <w:pPr>
              <w:spacing w:line="360" w:lineRule="auto"/>
              <w:jc w:val="center"/>
              <w:rPr>
                <w:rFonts w:hint="eastAsia"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1113" w:hRule="atLeast"/>
          <w:jc w:val="center"/>
        </w:trPr>
        <w:tc>
          <w:tcPr>
            <w:tcW w:w="1947" w:type="dxa"/>
            <w:noWrap w:val="0"/>
            <w:vAlign w:val="center"/>
          </w:tcPr>
          <w:p>
            <w:pPr>
              <w:jc w:val="center"/>
              <w:rPr>
                <w:rFonts w:hint="eastAsia" w:ascii="宋体" w:hAnsi="宋体" w:cs="宋体"/>
                <w:color w:val="auto"/>
                <w:sz w:val="24"/>
              </w:rPr>
            </w:pPr>
            <w:r>
              <w:rPr>
                <w:rFonts w:hint="eastAsia" w:ascii="宋体" w:hAnsi="宋体" w:cs="宋体"/>
                <w:color w:val="auto"/>
                <w:sz w:val="24"/>
              </w:rPr>
              <w:t>经营范围</w:t>
            </w:r>
          </w:p>
        </w:tc>
        <w:tc>
          <w:tcPr>
            <w:tcW w:w="7218" w:type="dxa"/>
            <w:gridSpan w:val="5"/>
            <w:noWrap w:val="0"/>
            <w:vAlign w:val="center"/>
          </w:tcPr>
          <w:p>
            <w:pPr>
              <w:jc w:val="center"/>
              <w:rPr>
                <w:rFonts w:hint="eastAsia"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wBefore w:w="0" w:type="dxa"/>
          <w:wAfter w:w="0" w:type="dxa"/>
          <w:trHeight w:val="4660" w:hRule="atLeast"/>
          <w:jc w:val="center"/>
        </w:trPr>
        <w:tc>
          <w:tcPr>
            <w:tcW w:w="1947" w:type="dxa"/>
            <w:noWrap w:val="0"/>
            <w:vAlign w:val="center"/>
          </w:tcPr>
          <w:p>
            <w:pPr>
              <w:jc w:val="center"/>
              <w:rPr>
                <w:rFonts w:hint="eastAsia" w:ascii="宋体" w:hAnsi="宋体" w:cs="宋体"/>
                <w:color w:val="auto"/>
                <w:sz w:val="24"/>
              </w:rPr>
            </w:pPr>
            <w:r>
              <w:rPr>
                <w:rFonts w:hint="eastAsia" w:ascii="宋体" w:hAnsi="宋体" w:cs="宋体"/>
                <w:color w:val="auto"/>
                <w:sz w:val="24"/>
              </w:rPr>
              <w:t>企业简介</w:t>
            </w:r>
          </w:p>
          <w:p>
            <w:pPr>
              <w:jc w:val="center"/>
              <w:rPr>
                <w:rFonts w:hint="eastAsia" w:ascii="宋体" w:hAnsi="宋体" w:cs="宋体"/>
                <w:color w:val="auto"/>
                <w:sz w:val="24"/>
              </w:rPr>
            </w:pPr>
            <w:r>
              <w:rPr>
                <w:rFonts w:hint="eastAsia" w:ascii="宋体" w:hAnsi="宋体" w:cs="宋体"/>
                <w:color w:val="auto"/>
                <w:sz w:val="24"/>
              </w:rPr>
              <w:t>（可另附）</w:t>
            </w:r>
          </w:p>
        </w:tc>
        <w:tc>
          <w:tcPr>
            <w:tcW w:w="7218" w:type="dxa"/>
            <w:gridSpan w:val="5"/>
            <w:noWrap w:val="0"/>
            <w:vAlign w:val="center"/>
          </w:tcPr>
          <w:p>
            <w:pPr>
              <w:jc w:val="center"/>
              <w:rPr>
                <w:rFonts w:hint="eastAsia" w:ascii="宋体" w:hAnsi="宋体" w:cs="宋体"/>
                <w:color w:val="auto"/>
                <w:sz w:val="24"/>
              </w:rPr>
            </w:pPr>
          </w:p>
        </w:tc>
      </w:tr>
    </w:tbl>
    <w:p>
      <w:pPr>
        <w:rPr>
          <w:rFonts w:hint="eastAsia" w:ascii="宋体" w:hAnsi="宋体" w:cs="宋体"/>
          <w:color w:val="auto"/>
          <w:sz w:val="24"/>
        </w:rPr>
      </w:pPr>
      <w:r>
        <w:rPr>
          <w:rFonts w:hint="eastAsia" w:ascii="宋体" w:hAnsi="宋体" w:cs="宋体"/>
          <w:color w:val="auto"/>
          <w:sz w:val="24"/>
        </w:rPr>
        <w:t>注：1、应如实填写，若隐瞒不报，后果自负。</w:t>
      </w:r>
    </w:p>
    <w:p>
      <w:pPr>
        <w:rPr>
          <w:rFonts w:hint="eastAsia" w:ascii="宋体" w:hAnsi="宋体" w:cs="宋体"/>
          <w:color w:val="auto"/>
          <w:sz w:val="24"/>
        </w:rPr>
      </w:pPr>
      <w:r>
        <w:rPr>
          <w:rFonts w:hint="eastAsia" w:ascii="宋体" w:hAnsi="宋体" w:cs="宋体"/>
          <w:color w:val="auto"/>
          <w:sz w:val="24"/>
        </w:rPr>
        <w:t xml:space="preserve">    </w:t>
      </w:r>
    </w:p>
    <w:p>
      <w:pPr>
        <w:rPr>
          <w:rFonts w:hint="eastAsia" w:ascii="宋体" w:hAnsi="宋体" w:cs="宋体"/>
          <w:color w:val="auto"/>
          <w:sz w:val="24"/>
        </w:rPr>
      </w:pPr>
    </w:p>
    <w:p>
      <w:pPr>
        <w:ind w:firstLine="4080" w:firstLineChars="1700"/>
        <w:rPr>
          <w:rFonts w:hint="eastAsia" w:ascii="宋体" w:hAnsi="宋体" w:cs="宋体"/>
          <w:color w:val="auto"/>
          <w:sz w:val="24"/>
        </w:rPr>
      </w:pPr>
      <w:r>
        <w:rPr>
          <w:rFonts w:hint="eastAsia" w:ascii="宋体" w:hAnsi="宋体" w:cs="宋体"/>
          <w:color w:val="auto"/>
          <w:sz w:val="24"/>
        </w:rPr>
        <w:t>投  标  人（盖章）：</w:t>
      </w:r>
    </w:p>
    <w:p>
      <w:pPr>
        <w:pStyle w:val="17"/>
        <w:spacing w:before="120" w:after="120" w:line="480" w:lineRule="auto"/>
        <w:jc w:val="both"/>
        <w:rPr>
          <w:rFonts w:hAnsi="宋体" w:cs="宋体"/>
          <w:b/>
          <w:color w:val="auto"/>
          <w:sz w:val="28"/>
          <w:szCs w:val="28"/>
          <w:lang w:bidi="ar"/>
        </w:rPr>
      </w:pPr>
    </w:p>
    <w:p>
      <w:pPr>
        <w:pStyle w:val="17"/>
        <w:spacing w:before="120" w:after="120" w:line="480" w:lineRule="auto"/>
        <w:jc w:val="both"/>
        <w:rPr>
          <w:rFonts w:hAnsi="宋体" w:cs="宋体"/>
          <w:b/>
          <w:color w:val="auto"/>
          <w:sz w:val="28"/>
          <w:szCs w:val="28"/>
          <w:lang w:bidi="ar"/>
        </w:rPr>
      </w:pPr>
    </w:p>
    <w:p>
      <w:pPr>
        <w:pStyle w:val="17"/>
        <w:spacing w:before="120" w:after="120" w:line="480" w:lineRule="auto"/>
        <w:jc w:val="both"/>
        <w:rPr>
          <w:rFonts w:hAnsi="宋体" w:cs="宋体"/>
          <w:b/>
          <w:color w:val="auto"/>
          <w:sz w:val="28"/>
          <w:szCs w:val="28"/>
          <w:lang w:bidi="ar"/>
        </w:rPr>
      </w:pPr>
    </w:p>
    <w:p>
      <w:pPr>
        <w:spacing w:before="46"/>
        <w:jc w:val="left"/>
        <w:rPr>
          <w:b/>
          <w:color w:val="auto"/>
          <w:sz w:val="24"/>
          <w:szCs w:val="21"/>
        </w:rPr>
      </w:pPr>
      <w:r>
        <w:rPr>
          <w:rFonts w:hint="eastAsia"/>
          <w:b/>
          <w:color w:val="auto"/>
          <w:sz w:val="24"/>
          <w:szCs w:val="21"/>
        </w:rPr>
        <w:br w:type="page"/>
      </w:r>
      <w:r>
        <w:rPr>
          <w:rFonts w:hint="eastAsia"/>
          <w:b/>
          <w:color w:val="auto"/>
          <w:sz w:val="24"/>
          <w:szCs w:val="21"/>
        </w:rPr>
        <w:t>附件6：</w:t>
      </w:r>
    </w:p>
    <w:p>
      <w:pPr>
        <w:spacing w:line="440" w:lineRule="exact"/>
        <w:jc w:val="center"/>
        <w:rPr>
          <w:rFonts w:hint="eastAsia" w:ascii="仿宋_GB2312" w:eastAsia="仿宋_GB2312"/>
          <w:color w:val="auto"/>
          <w:sz w:val="32"/>
          <w:szCs w:val="32"/>
        </w:rPr>
      </w:pPr>
      <w:r>
        <w:rPr>
          <w:rFonts w:hint="eastAsia" w:ascii="仿宋_GB2312" w:eastAsia="仿宋_GB2312"/>
          <w:color w:val="auto"/>
          <w:sz w:val="32"/>
          <w:szCs w:val="32"/>
        </w:rPr>
        <w:t xml:space="preserve">       </w:t>
      </w:r>
    </w:p>
    <w:p>
      <w:pPr>
        <w:spacing w:line="440" w:lineRule="exact"/>
        <w:jc w:val="center"/>
        <w:rPr>
          <w:rFonts w:hint="eastAsia" w:ascii="仿宋_GB2312" w:eastAsia="仿宋_GB2312"/>
          <w:b/>
          <w:bCs/>
          <w:color w:val="auto"/>
          <w:sz w:val="32"/>
          <w:szCs w:val="32"/>
        </w:rPr>
      </w:pPr>
      <w:r>
        <w:rPr>
          <w:rFonts w:hint="eastAsia" w:ascii="仿宋_GB2312" w:eastAsia="仿宋_GB2312"/>
          <w:b/>
          <w:bCs/>
          <w:color w:val="auto"/>
          <w:sz w:val="32"/>
          <w:szCs w:val="32"/>
        </w:rPr>
        <w:t>项目小组成员介绍</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96"/>
        <w:gridCol w:w="900"/>
        <w:gridCol w:w="540"/>
        <w:gridCol w:w="901"/>
        <w:gridCol w:w="900"/>
        <w:gridCol w:w="2879"/>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44"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姓 名</w:t>
            </w:r>
          </w:p>
        </w:tc>
        <w:tc>
          <w:tcPr>
            <w:tcW w:w="596"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年龄</w:t>
            </w:r>
          </w:p>
        </w:tc>
        <w:tc>
          <w:tcPr>
            <w:tcW w:w="900"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职务</w:t>
            </w:r>
          </w:p>
        </w:tc>
        <w:tc>
          <w:tcPr>
            <w:tcW w:w="540"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学历</w:t>
            </w:r>
          </w:p>
        </w:tc>
        <w:tc>
          <w:tcPr>
            <w:tcW w:w="901"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职称</w:t>
            </w:r>
          </w:p>
        </w:tc>
        <w:tc>
          <w:tcPr>
            <w:tcW w:w="900"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资格</w:t>
            </w:r>
          </w:p>
          <w:p>
            <w:pPr>
              <w:autoSpaceDE w:val="0"/>
              <w:autoSpaceDN w:val="0"/>
              <w:adjustRightInd w:val="0"/>
              <w:jc w:val="center"/>
              <w:rPr>
                <w:rFonts w:hint="eastAsia" w:ascii="Calibri" w:hAnsi="宋体"/>
                <w:color w:val="auto"/>
                <w:sz w:val="24"/>
              </w:rPr>
            </w:pPr>
            <w:r>
              <w:rPr>
                <w:rFonts w:hint="eastAsia" w:ascii="Calibri" w:hAnsi="宋体"/>
                <w:color w:val="auto"/>
                <w:sz w:val="24"/>
              </w:rPr>
              <w:t>等级</w:t>
            </w:r>
          </w:p>
        </w:tc>
        <w:tc>
          <w:tcPr>
            <w:tcW w:w="2879"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本项目中拟负责的内容</w:t>
            </w:r>
          </w:p>
        </w:tc>
        <w:tc>
          <w:tcPr>
            <w:tcW w:w="1620" w:type="dxa"/>
            <w:noWrap w:val="0"/>
            <w:vAlign w:val="center"/>
          </w:tcPr>
          <w:p>
            <w:pPr>
              <w:autoSpaceDE w:val="0"/>
              <w:autoSpaceDN w:val="0"/>
              <w:adjustRightInd w:val="0"/>
              <w:jc w:val="center"/>
              <w:rPr>
                <w:rFonts w:hint="eastAsia" w:ascii="Calibri" w:hAnsi="宋体"/>
                <w:color w:val="auto"/>
                <w:sz w:val="24"/>
              </w:rPr>
            </w:pPr>
            <w:r>
              <w:rPr>
                <w:rFonts w:hint="eastAsia" w:ascii="Calibri" w:hAnsi="宋体"/>
                <w:color w:val="auto"/>
                <w:sz w:val="24"/>
              </w:rPr>
              <w:t>曾经承担过的工作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4" w:type="dxa"/>
            <w:noWrap w:val="0"/>
            <w:vAlign w:val="center"/>
          </w:tcPr>
          <w:p>
            <w:pPr>
              <w:jc w:val="center"/>
              <w:rPr>
                <w:rFonts w:hint="eastAsia" w:ascii="仿宋_GB2312" w:hAnsi="Calibri" w:eastAsia="仿宋_GB2312"/>
                <w:color w:val="auto"/>
                <w:sz w:val="24"/>
              </w:rPr>
            </w:pPr>
          </w:p>
        </w:tc>
        <w:tc>
          <w:tcPr>
            <w:tcW w:w="596"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540" w:type="dxa"/>
            <w:noWrap w:val="0"/>
            <w:vAlign w:val="center"/>
          </w:tcPr>
          <w:p>
            <w:pPr>
              <w:jc w:val="center"/>
              <w:rPr>
                <w:rFonts w:hint="eastAsia" w:ascii="仿宋_GB2312" w:hAnsi="Calibri" w:eastAsia="仿宋_GB2312"/>
                <w:color w:val="auto"/>
                <w:sz w:val="24"/>
              </w:rPr>
            </w:pPr>
          </w:p>
        </w:tc>
        <w:tc>
          <w:tcPr>
            <w:tcW w:w="901"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2879" w:type="dxa"/>
            <w:noWrap w:val="0"/>
            <w:vAlign w:val="center"/>
          </w:tcPr>
          <w:p>
            <w:pPr>
              <w:jc w:val="center"/>
              <w:rPr>
                <w:rFonts w:hint="eastAsia" w:ascii="仿宋_GB2312" w:hAnsi="Calibri" w:eastAsia="仿宋_GB2312"/>
                <w:color w:val="auto"/>
                <w:sz w:val="24"/>
              </w:rPr>
            </w:pPr>
          </w:p>
        </w:tc>
        <w:tc>
          <w:tcPr>
            <w:tcW w:w="1620" w:type="dxa"/>
            <w:noWrap w:val="0"/>
            <w:vAlign w:val="center"/>
          </w:tcPr>
          <w:p>
            <w:pPr>
              <w:jc w:val="center"/>
              <w:rPr>
                <w:rFonts w:hint="eastAsia"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4" w:type="dxa"/>
            <w:noWrap w:val="0"/>
            <w:vAlign w:val="center"/>
          </w:tcPr>
          <w:p>
            <w:pPr>
              <w:jc w:val="center"/>
              <w:rPr>
                <w:rFonts w:hint="eastAsia" w:ascii="仿宋_GB2312" w:hAnsi="Calibri" w:eastAsia="仿宋_GB2312"/>
                <w:color w:val="auto"/>
                <w:sz w:val="24"/>
              </w:rPr>
            </w:pPr>
          </w:p>
        </w:tc>
        <w:tc>
          <w:tcPr>
            <w:tcW w:w="596"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540" w:type="dxa"/>
            <w:noWrap w:val="0"/>
            <w:vAlign w:val="center"/>
          </w:tcPr>
          <w:p>
            <w:pPr>
              <w:jc w:val="center"/>
              <w:rPr>
                <w:rFonts w:hint="eastAsia" w:ascii="仿宋_GB2312" w:hAnsi="Calibri" w:eastAsia="仿宋_GB2312"/>
                <w:color w:val="auto"/>
                <w:sz w:val="24"/>
              </w:rPr>
            </w:pPr>
          </w:p>
        </w:tc>
        <w:tc>
          <w:tcPr>
            <w:tcW w:w="901"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2879" w:type="dxa"/>
            <w:noWrap w:val="0"/>
            <w:vAlign w:val="center"/>
          </w:tcPr>
          <w:p>
            <w:pPr>
              <w:jc w:val="center"/>
              <w:rPr>
                <w:rFonts w:hint="eastAsia" w:ascii="仿宋_GB2312" w:hAnsi="Calibri" w:eastAsia="仿宋_GB2312"/>
                <w:color w:val="auto"/>
                <w:sz w:val="24"/>
              </w:rPr>
            </w:pPr>
          </w:p>
        </w:tc>
        <w:tc>
          <w:tcPr>
            <w:tcW w:w="1620" w:type="dxa"/>
            <w:noWrap w:val="0"/>
            <w:vAlign w:val="center"/>
          </w:tcPr>
          <w:p>
            <w:pPr>
              <w:jc w:val="center"/>
              <w:rPr>
                <w:rFonts w:hint="eastAsia"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noWrap w:val="0"/>
            <w:vAlign w:val="center"/>
          </w:tcPr>
          <w:p>
            <w:pPr>
              <w:jc w:val="center"/>
              <w:rPr>
                <w:rFonts w:hint="eastAsia" w:ascii="仿宋_GB2312" w:hAnsi="Calibri" w:eastAsia="仿宋_GB2312"/>
                <w:color w:val="auto"/>
                <w:sz w:val="24"/>
              </w:rPr>
            </w:pPr>
          </w:p>
        </w:tc>
        <w:tc>
          <w:tcPr>
            <w:tcW w:w="596"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540" w:type="dxa"/>
            <w:noWrap w:val="0"/>
            <w:vAlign w:val="center"/>
          </w:tcPr>
          <w:p>
            <w:pPr>
              <w:jc w:val="center"/>
              <w:rPr>
                <w:rFonts w:hint="eastAsia" w:ascii="仿宋_GB2312" w:hAnsi="Calibri" w:eastAsia="仿宋_GB2312"/>
                <w:color w:val="auto"/>
                <w:sz w:val="24"/>
              </w:rPr>
            </w:pPr>
          </w:p>
        </w:tc>
        <w:tc>
          <w:tcPr>
            <w:tcW w:w="901"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2879" w:type="dxa"/>
            <w:noWrap w:val="0"/>
            <w:vAlign w:val="center"/>
          </w:tcPr>
          <w:p>
            <w:pPr>
              <w:jc w:val="center"/>
              <w:rPr>
                <w:rFonts w:hint="eastAsia" w:ascii="仿宋_GB2312" w:hAnsi="Calibri" w:eastAsia="仿宋_GB2312"/>
                <w:color w:val="auto"/>
                <w:sz w:val="24"/>
              </w:rPr>
            </w:pPr>
          </w:p>
        </w:tc>
        <w:tc>
          <w:tcPr>
            <w:tcW w:w="1620" w:type="dxa"/>
            <w:noWrap w:val="0"/>
            <w:vAlign w:val="center"/>
          </w:tcPr>
          <w:p>
            <w:pPr>
              <w:jc w:val="center"/>
              <w:rPr>
                <w:rFonts w:hint="eastAsia"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noWrap w:val="0"/>
            <w:vAlign w:val="center"/>
          </w:tcPr>
          <w:p>
            <w:pPr>
              <w:jc w:val="center"/>
              <w:rPr>
                <w:rFonts w:hint="eastAsia" w:ascii="仿宋_GB2312" w:hAnsi="Calibri" w:eastAsia="仿宋_GB2312"/>
                <w:color w:val="auto"/>
                <w:sz w:val="24"/>
              </w:rPr>
            </w:pPr>
          </w:p>
        </w:tc>
        <w:tc>
          <w:tcPr>
            <w:tcW w:w="596"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540" w:type="dxa"/>
            <w:noWrap w:val="0"/>
            <w:vAlign w:val="center"/>
          </w:tcPr>
          <w:p>
            <w:pPr>
              <w:jc w:val="center"/>
              <w:rPr>
                <w:rFonts w:hint="eastAsia" w:ascii="仿宋_GB2312" w:hAnsi="Calibri" w:eastAsia="仿宋_GB2312"/>
                <w:color w:val="auto"/>
                <w:sz w:val="24"/>
              </w:rPr>
            </w:pPr>
          </w:p>
        </w:tc>
        <w:tc>
          <w:tcPr>
            <w:tcW w:w="901"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2879" w:type="dxa"/>
            <w:noWrap w:val="0"/>
            <w:vAlign w:val="center"/>
          </w:tcPr>
          <w:p>
            <w:pPr>
              <w:jc w:val="center"/>
              <w:rPr>
                <w:rFonts w:hint="eastAsia" w:ascii="仿宋_GB2312" w:hAnsi="Calibri" w:eastAsia="仿宋_GB2312"/>
                <w:color w:val="auto"/>
                <w:sz w:val="24"/>
              </w:rPr>
            </w:pPr>
          </w:p>
        </w:tc>
        <w:tc>
          <w:tcPr>
            <w:tcW w:w="1620" w:type="dxa"/>
            <w:noWrap w:val="0"/>
            <w:vAlign w:val="center"/>
          </w:tcPr>
          <w:p>
            <w:pPr>
              <w:jc w:val="center"/>
              <w:rPr>
                <w:rFonts w:hint="eastAsia"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noWrap w:val="0"/>
            <w:vAlign w:val="center"/>
          </w:tcPr>
          <w:p>
            <w:pPr>
              <w:jc w:val="center"/>
              <w:rPr>
                <w:rFonts w:hint="eastAsia" w:ascii="仿宋_GB2312" w:hAnsi="Calibri" w:eastAsia="仿宋_GB2312"/>
                <w:color w:val="auto"/>
                <w:sz w:val="24"/>
              </w:rPr>
            </w:pPr>
          </w:p>
        </w:tc>
        <w:tc>
          <w:tcPr>
            <w:tcW w:w="596"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540" w:type="dxa"/>
            <w:noWrap w:val="0"/>
            <w:vAlign w:val="center"/>
          </w:tcPr>
          <w:p>
            <w:pPr>
              <w:jc w:val="center"/>
              <w:rPr>
                <w:rFonts w:hint="eastAsia" w:ascii="仿宋_GB2312" w:hAnsi="Calibri" w:eastAsia="仿宋_GB2312"/>
                <w:color w:val="auto"/>
                <w:sz w:val="24"/>
              </w:rPr>
            </w:pPr>
          </w:p>
        </w:tc>
        <w:tc>
          <w:tcPr>
            <w:tcW w:w="901"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2879" w:type="dxa"/>
            <w:noWrap w:val="0"/>
            <w:vAlign w:val="center"/>
          </w:tcPr>
          <w:p>
            <w:pPr>
              <w:jc w:val="center"/>
              <w:rPr>
                <w:rFonts w:hint="eastAsia" w:ascii="仿宋_GB2312" w:hAnsi="Calibri" w:eastAsia="仿宋_GB2312"/>
                <w:color w:val="auto"/>
                <w:sz w:val="24"/>
              </w:rPr>
            </w:pPr>
          </w:p>
        </w:tc>
        <w:tc>
          <w:tcPr>
            <w:tcW w:w="1620" w:type="dxa"/>
            <w:noWrap w:val="0"/>
            <w:vAlign w:val="center"/>
          </w:tcPr>
          <w:p>
            <w:pPr>
              <w:jc w:val="center"/>
              <w:rPr>
                <w:rFonts w:hint="eastAsia"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noWrap w:val="0"/>
            <w:vAlign w:val="center"/>
          </w:tcPr>
          <w:p>
            <w:pPr>
              <w:jc w:val="center"/>
              <w:rPr>
                <w:rFonts w:hint="eastAsia" w:ascii="仿宋_GB2312" w:hAnsi="Calibri" w:eastAsia="仿宋_GB2312"/>
                <w:color w:val="auto"/>
                <w:sz w:val="24"/>
              </w:rPr>
            </w:pPr>
          </w:p>
        </w:tc>
        <w:tc>
          <w:tcPr>
            <w:tcW w:w="596"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540" w:type="dxa"/>
            <w:noWrap w:val="0"/>
            <w:vAlign w:val="center"/>
          </w:tcPr>
          <w:p>
            <w:pPr>
              <w:jc w:val="center"/>
              <w:rPr>
                <w:rFonts w:hint="eastAsia" w:ascii="仿宋_GB2312" w:hAnsi="Calibri" w:eastAsia="仿宋_GB2312"/>
                <w:color w:val="auto"/>
                <w:sz w:val="24"/>
              </w:rPr>
            </w:pPr>
          </w:p>
        </w:tc>
        <w:tc>
          <w:tcPr>
            <w:tcW w:w="901"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2879" w:type="dxa"/>
            <w:noWrap w:val="0"/>
            <w:vAlign w:val="center"/>
          </w:tcPr>
          <w:p>
            <w:pPr>
              <w:jc w:val="center"/>
              <w:rPr>
                <w:rFonts w:hint="eastAsia" w:ascii="仿宋_GB2312" w:hAnsi="Calibri" w:eastAsia="仿宋_GB2312"/>
                <w:color w:val="auto"/>
                <w:sz w:val="24"/>
              </w:rPr>
            </w:pPr>
          </w:p>
        </w:tc>
        <w:tc>
          <w:tcPr>
            <w:tcW w:w="1620" w:type="dxa"/>
            <w:noWrap w:val="0"/>
            <w:vAlign w:val="center"/>
          </w:tcPr>
          <w:p>
            <w:pPr>
              <w:jc w:val="center"/>
              <w:rPr>
                <w:rFonts w:hint="eastAsia"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noWrap w:val="0"/>
            <w:vAlign w:val="center"/>
          </w:tcPr>
          <w:p>
            <w:pPr>
              <w:jc w:val="center"/>
              <w:rPr>
                <w:rFonts w:hint="eastAsia" w:ascii="仿宋_GB2312" w:hAnsi="Calibri" w:eastAsia="仿宋_GB2312"/>
                <w:color w:val="auto"/>
                <w:sz w:val="24"/>
              </w:rPr>
            </w:pPr>
          </w:p>
        </w:tc>
        <w:tc>
          <w:tcPr>
            <w:tcW w:w="596"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540" w:type="dxa"/>
            <w:noWrap w:val="0"/>
            <w:vAlign w:val="center"/>
          </w:tcPr>
          <w:p>
            <w:pPr>
              <w:jc w:val="center"/>
              <w:rPr>
                <w:rFonts w:hint="eastAsia" w:ascii="仿宋_GB2312" w:hAnsi="Calibri" w:eastAsia="仿宋_GB2312"/>
                <w:color w:val="auto"/>
                <w:sz w:val="24"/>
              </w:rPr>
            </w:pPr>
          </w:p>
        </w:tc>
        <w:tc>
          <w:tcPr>
            <w:tcW w:w="901"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2879" w:type="dxa"/>
            <w:noWrap w:val="0"/>
            <w:vAlign w:val="center"/>
          </w:tcPr>
          <w:p>
            <w:pPr>
              <w:jc w:val="center"/>
              <w:rPr>
                <w:rFonts w:hint="eastAsia" w:ascii="仿宋_GB2312" w:hAnsi="Calibri" w:eastAsia="仿宋_GB2312"/>
                <w:color w:val="auto"/>
                <w:sz w:val="24"/>
              </w:rPr>
            </w:pPr>
          </w:p>
        </w:tc>
        <w:tc>
          <w:tcPr>
            <w:tcW w:w="1620" w:type="dxa"/>
            <w:noWrap w:val="0"/>
            <w:vAlign w:val="center"/>
          </w:tcPr>
          <w:p>
            <w:pPr>
              <w:jc w:val="center"/>
              <w:rPr>
                <w:rFonts w:hint="eastAsia"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noWrap w:val="0"/>
            <w:vAlign w:val="center"/>
          </w:tcPr>
          <w:p>
            <w:pPr>
              <w:jc w:val="center"/>
              <w:rPr>
                <w:rFonts w:hint="eastAsia" w:ascii="仿宋_GB2312" w:hAnsi="Calibri" w:eastAsia="仿宋_GB2312"/>
                <w:color w:val="auto"/>
                <w:sz w:val="24"/>
              </w:rPr>
            </w:pPr>
          </w:p>
        </w:tc>
        <w:tc>
          <w:tcPr>
            <w:tcW w:w="596"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540" w:type="dxa"/>
            <w:noWrap w:val="0"/>
            <w:vAlign w:val="center"/>
          </w:tcPr>
          <w:p>
            <w:pPr>
              <w:jc w:val="center"/>
              <w:rPr>
                <w:rFonts w:hint="eastAsia" w:ascii="仿宋_GB2312" w:hAnsi="Calibri" w:eastAsia="仿宋_GB2312"/>
                <w:color w:val="auto"/>
                <w:sz w:val="24"/>
              </w:rPr>
            </w:pPr>
          </w:p>
        </w:tc>
        <w:tc>
          <w:tcPr>
            <w:tcW w:w="901"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2879" w:type="dxa"/>
            <w:noWrap w:val="0"/>
            <w:vAlign w:val="center"/>
          </w:tcPr>
          <w:p>
            <w:pPr>
              <w:jc w:val="center"/>
              <w:rPr>
                <w:rFonts w:hint="eastAsia" w:ascii="仿宋_GB2312" w:hAnsi="Calibri" w:eastAsia="仿宋_GB2312"/>
                <w:color w:val="auto"/>
                <w:sz w:val="24"/>
              </w:rPr>
            </w:pPr>
          </w:p>
        </w:tc>
        <w:tc>
          <w:tcPr>
            <w:tcW w:w="1620" w:type="dxa"/>
            <w:noWrap w:val="0"/>
            <w:vAlign w:val="center"/>
          </w:tcPr>
          <w:p>
            <w:pPr>
              <w:jc w:val="center"/>
              <w:rPr>
                <w:rFonts w:hint="eastAsia"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4" w:type="dxa"/>
            <w:noWrap w:val="0"/>
            <w:vAlign w:val="center"/>
          </w:tcPr>
          <w:p>
            <w:pPr>
              <w:jc w:val="center"/>
              <w:rPr>
                <w:rFonts w:hint="eastAsia" w:ascii="仿宋_GB2312" w:hAnsi="Calibri" w:eastAsia="仿宋_GB2312"/>
                <w:color w:val="auto"/>
                <w:sz w:val="24"/>
              </w:rPr>
            </w:pPr>
          </w:p>
        </w:tc>
        <w:tc>
          <w:tcPr>
            <w:tcW w:w="596"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540" w:type="dxa"/>
            <w:noWrap w:val="0"/>
            <w:vAlign w:val="center"/>
          </w:tcPr>
          <w:p>
            <w:pPr>
              <w:jc w:val="center"/>
              <w:rPr>
                <w:rFonts w:hint="eastAsia" w:ascii="仿宋_GB2312" w:hAnsi="Calibri" w:eastAsia="仿宋_GB2312"/>
                <w:color w:val="auto"/>
                <w:sz w:val="24"/>
              </w:rPr>
            </w:pPr>
          </w:p>
        </w:tc>
        <w:tc>
          <w:tcPr>
            <w:tcW w:w="901" w:type="dxa"/>
            <w:noWrap w:val="0"/>
            <w:vAlign w:val="center"/>
          </w:tcPr>
          <w:p>
            <w:pPr>
              <w:jc w:val="center"/>
              <w:rPr>
                <w:rFonts w:hint="eastAsia" w:ascii="仿宋_GB2312" w:hAnsi="Calibri" w:eastAsia="仿宋_GB2312"/>
                <w:color w:val="auto"/>
                <w:sz w:val="24"/>
              </w:rPr>
            </w:pPr>
          </w:p>
        </w:tc>
        <w:tc>
          <w:tcPr>
            <w:tcW w:w="900" w:type="dxa"/>
            <w:noWrap w:val="0"/>
            <w:vAlign w:val="center"/>
          </w:tcPr>
          <w:p>
            <w:pPr>
              <w:jc w:val="center"/>
              <w:rPr>
                <w:rFonts w:hint="eastAsia" w:ascii="仿宋_GB2312" w:hAnsi="Calibri" w:eastAsia="仿宋_GB2312"/>
                <w:color w:val="auto"/>
                <w:sz w:val="24"/>
              </w:rPr>
            </w:pPr>
          </w:p>
        </w:tc>
        <w:tc>
          <w:tcPr>
            <w:tcW w:w="2879" w:type="dxa"/>
            <w:noWrap w:val="0"/>
            <w:vAlign w:val="center"/>
          </w:tcPr>
          <w:p>
            <w:pPr>
              <w:jc w:val="center"/>
              <w:rPr>
                <w:rFonts w:hint="eastAsia" w:ascii="仿宋_GB2312" w:hAnsi="Calibri" w:eastAsia="仿宋_GB2312"/>
                <w:color w:val="auto"/>
                <w:sz w:val="24"/>
              </w:rPr>
            </w:pPr>
          </w:p>
        </w:tc>
        <w:tc>
          <w:tcPr>
            <w:tcW w:w="1620" w:type="dxa"/>
            <w:noWrap w:val="0"/>
            <w:vAlign w:val="center"/>
          </w:tcPr>
          <w:p>
            <w:pPr>
              <w:jc w:val="center"/>
              <w:rPr>
                <w:rFonts w:hint="eastAsia" w:ascii="仿宋_GB2312" w:hAnsi="Calibri" w:eastAsia="仿宋_GB2312"/>
                <w:color w:val="auto"/>
                <w:sz w:val="24"/>
              </w:rPr>
            </w:pPr>
          </w:p>
        </w:tc>
      </w:tr>
    </w:tbl>
    <w:p>
      <w:pPr>
        <w:rPr>
          <w:rFonts w:hint="eastAsia" w:hAnsi="宋体"/>
          <w:color w:val="auto"/>
          <w:sz w:val="24"/>
        </w:rPr>
      </w:pPr>
      <w:r>
        <w:rPr>
          <w:rFonts w:hint="eastAsia"/>
          <w:color w:val="auto"/>
          <w:sz w:val="24"/>
          <w:szCs w:val="32"/>
        </w:rPr>
        <w:t>注：（1）列入本表人员如要更换，需经采购单位同意。擅自更换或不到位属违约行为；</w:t>
      </w:r>
    </w:p>
    <w:p>
      <w:pPr>
        <w:spacing w:before="46"/>
        <w:jc w:val="left"/>
        <w:rPr>
          <w:b/>
          <w:color w:val="auto"/>
          <w:sz w:val="24"/>
          <w:szCs w:val="21"/>
        </w:rPr>
      </w:pPr>
      <w:r>
        <w:rPr>
          <w:rFonts w:hint="eastAsia"/>
          <w:b/>
          <w:color w:val="auto"/>
          <w:sz w:val="24"/>
          <w:szCs w:val="21"/>
        </w:rPr>
        <w:br w:type="page"/>
      </w:r>
      <w:r>
        <w:rPr>
          <w:rFonts w:hint="eastAsia"/>
          <w:b/>
          <w:color w:val="auto"/>
          <w:sz w:val="24"/>
          <w:szCs w:val="21"/>
        </w:rPr>
        <w:t>附件7：</w:t>
      </w:r>
    </w:p>
    <w:p>
      <w:pPr>
        <w:jc w:val="center"/>
        <w:rPr>
          <w:rFonts w:hint="eastAsia" w:hAnsi="宋体" w:cs="宋体"/>
          <w:b/>
          <w:bCs/>
          <w:color w:val="auto"/>
          <w:sz w:val="32"/>
          <w:szCs w:val="32"/>
        </w:rPr>
      </w:pPr>
      <w:r>
        <w:rPr>
          <w:rFonts w:hint="eastAsia" w:hAnsi="宋体" w:cs="宋体"/>
          <w:b/>
          <w:bCs/>
          <w:color w:val="auto"/>
          <w:sz w:val="32"/>
          <w:szCs w:val="32"/>
        </w:rPr>
        <w:t>供应商类似项目一览表</w:t>
      </w:r>
    </w:p>
    <w:tbl>
      <w:tblPr>
        <w:tblStyle w:val="30"/>
        <w:tblW w:w="0" w:type="auto"/>
        <w:tblInd w:w="-359" w:type="dxa"/>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fixed"/>
        <w:tblCellMar>
          <w:top w:w="0" w:type="dxa"/>
          <w:left w:w="108" w:type="dxa"/>
          <w:bottom w:w="0" w:type="dxa"/>
          <w:right w:w="108" w:type="dxa"/>
        </w:tblCellMar>
      </w:tblPr>
      <w:tblGrid>
        <w:gridCol w:w="1180"/>
        <w:gridCol w:w="2445"/>
        <w:gridCol w:w="2204"/>
        <w:gridCol w:w="1990"/>
        <w:gridCol w:w="1681"/>
      </w:tblGrid>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180" w:type="dxa"/>
            <w:tcBorders>
              <w:top w:val="double" w:color="000000" w:sz="6" w:space="0"/>
              <w:left w:val="doub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序号</w:t>
            </w:r>
          </w:p>
        </w:tc>
        <w:tc>
          <w:tcPr>
            <w:tcW w:w="2445" w:type="dxa"/>
            <w:tcBorders>
              <w:top w:val="doub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项目名称</w:t>
            </w:r>
          </w:p>
        </w:tc>
        <w:tc>
          <w:tcPr>
            <w:tcW w:w="2204" w:type="dxa"/>
            <w:tcBorders>
              <w:top w:val="doub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业主名称</w:t>
            </w:r>
          </w:p>
        </w:tc>
        <w:tc>
          <w:tcPr>
            <w:tcW w:w="1990" w:type="dxa"/>
            <w:tcBorders>
              <w:top w:val="doub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合同金额</w:t>
            </w:r>
          </w:p>
        </w:tc>
        <w:tc>
          <w:tcPr>
            <w:tcW w:w="1681" w:type="dxa"/>
            <w:tcBorders>
              <w:top w:val="double" w:color="000000" w:sz="6" w:space="0"/>
              <w:left w:val="sing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签约日期</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180" w:type="dxa"/>
            <w:tcBorders>
              <w:top w:val="single" w:color="000000" w:sz="6" w:space="0"/>
              <w:left w:val="doub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1</w:t>
            </w:r>
          </w:p>
        </w:tc>
        <w:tc>
          <w:tcPr>
            <w:tcW w:w="24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2204"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99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180" w:type="dxa"/>
            <w:tcBorders>
              <w:top w:val="single" w:color="000000" w:sz="6" w:space="0"/>
              <w:left w:val="doub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2</w:t>
            </w:r>
          </w:p>
        </w:tc>
        <w:tc>
          <w:tcPr>
            <w:tcW w:w="24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p>
        </w:tc>
        <w:tc>
          <w:tcPr>
            <w:tcW w:w="2204"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99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180" w:type="dxa"/>
            <w:tcBorders>
              <w:top w:val="single" w:color="000000" w:sz="6" w:space="0"/>
              <w:left w:val="doub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3</w:t>
            </w:r>
          </w:p>
        </w:tc>
        <w:tc>
          <w:tcPr>
            <w:tcW w:w="24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r>
              <w:rPr>
                <w:rFonts w:hint="eastAsia" w:ascii="宋体" w:hAnsi="宋体"/>
                <w:color w:val="auto"/>
              </w:rPr>
              <w:t>……</w:t>
            </w:r>
          </w:p>
        </w:tc>
        <w:tc>
          <w:tcPr>
            <w:tcW w:w="2204"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99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180" w:type="dxa"/>
            <w:tcBorders>
              <w:top w:val="single" w:color="000000" w:sz="6" w:space="0"/>
              <w:left w:val="doub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4</w:t>
            </w:r>
          </w:p>
        </w:tc>
        <w:tc>
          <w:tcPr>
            <w:tcW w:w="24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2204"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99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180" w:type="dxa"/>
            <w:tcBorders>
              <w:top w:val="single" w:color="000000" w:sz="6" w:space="0"/>
              <w:left w:val="doub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5</w:t>
            </w:r>
          </w:p>
        </w:tc>
        <w:tc>
          <w:tcPr>
            <w:tcW w:w="24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c>
          <w:tcPr>
            <w:tcW w:w="2204"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c>
          <w:tcPr>
            <w:tcW w:w="199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180" w:type="dxa"/>
            <w:tcBorders>
              <w:top w:val="single" w:color="000000" w:sz="6" w:space="0"/>
              <w:left w:val="doub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6</w:t>
            </w:r>
          </w:p>
        </w:tc>
        <w:tc>
          <w:tcPr>
            <w:tcW w:w="24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c>
          <w:tcPr>
            <w:tcW w:w="2204"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c>
          <w:tcPr>
            <w:tcW w:w="199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180" w:type="dxa"/>
            <w:tcBorders>
              <w:top w:val="single" w:color="000000" w:sz="6" w:space="0"/>
              <w:left w:val="double" w:color="000000" w:sz="6" w:space="0"/>
              <w:bottom w:val="single" w:color="000000" w:sz="6"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7</w:t>
            </w:r>
          </w:p>
        </w:tc>
        <w:tc>
          <w:tcPr>
            <w:tcW w:w="244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c>
          <w:tcPr>
            <w:tcW w:w="2204"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c>
          <w:tcPr>
            <w:tcW w:w="199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rPr>
                <w:rFonts w:ascii="宋体" w:hAnsi="宋体"/>
                <w:color w:val="auto"/>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1180" w:type="dxa"/>
            <w:tcBorders>
              <w:top w:val="single" w:color="000000" w:sz="6" w:space="0"/>
              <w:left w:val="double" w:color="000000" w:sz="6" w:space="0"/>
              <w:bottom w:val="double" w:color="auto" w:sz="4" w:space="0"/>
              <w:right w:val="single" w:color="000000" w:sz="6" w:space="0"/>
            </w:tcBorders>
            <w:noWrap w:val="0"/>
            <w:vAlign w:val="center"/>
          </w:tcPr>
          <w:p>
            <w:pPr>
              <w:spacing w:line="360" w:lineRule="auto"/>
              <w:jc w:val="center"/>
              <w:rPr>
                <w:rFonts w:ascii="宋体" w:hAnsi="宋体"/>
                <w:caps/>
                <w:color w:val="auto"/>
                <w:spacing w:val="20"/>
              </w:rPr>
            </w:pPr>
            <w:r>
              <w:rPr>
                <w:rFonts w:hint="eastAsia" w:ascii="宋体" w:hAnsi="宋体"/>
                <w:caps/>
                <w:color w:val="auto"/>
                <w:spacing w:val="20"/>
              </w:rPr>
              <w:t>8</w:t>
            </w:r>
          </w:p>
        </w:tc>
        <w:tc>
          <w:tcPr>
            <w:tcW w:w="2445" w:type="dxa"/>
            <w:tcBorders>
              <w:top w:val="single" w:color="000000" w:sz="6" w:space="0"/>
              <w:left w:val="single" w:color="000000" w:sz="6" w:space="0"/>
              <w:bottom w:val="double" w:color="auto" w:sz="4"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2204" w:type="dxa"/>
            <w:tcBorders>
              <w:top w:val="single" w:color="000000" w:sz="6" w:space="0"/>
              <w:left w:val="single" w:color="000000" w:sz="6" w:space="0"/>
              <w:bottom w:val="double" w:color="auto" w:sz="4"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990" w:type="dxa"/>
            <w:tcBorders>
              <w:top w:val="single" w:color="000000" w:sz="6" w:space="0"/>
              <w:left w:val="single" w:color="000000" w:sz="6" w:space="0"/>
              <w:bottom w:val="double" w:color="auto" w:sz="4"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c>
          <w:tcPr>
            <w:tcW w:w="1681" w:type="dxa"/>
            <w:tcBorders>
              <w:top w:val="single" w:color="000000" w:sz="6" w:space="0"/>
              <w:left w:val="single" w:color="000000" w:sz="6" w:space="0"/>
              <w:bottom w:val="double" w:color="auto" w:sz="4" w:space="0"/>
              <w:right w:val="single" w:color="000000" w:sz="6" w:space="0"/>
            </w:tcBorders>
            <w:noWrap w:val="0"/>
            <w:vAlign w:val="center"/>
          </w:tcPr>
          <w:p>
            <w:pPr>
              <w:spacing w:line="360" w:lineRule="auto"/>
              <w:rPr>
                <w:rFonts w:ascii="宋体" w:hAnsi="宋体"/>
                <w:color w:val="auto"/>
                <w:spacing w:val="20"/>
                <w:sz w:val="24"/>
              </w:rPr>
            </w:pPr>
            <w:r>
              <w:rPr>
                <w:rFonts w:ascii="宋体" w:hAnsi="宋体"/>
                <w:color w:val="auto"/>
              </w:rPr>
              <w:t> </w:t>
            </w:r>
          </w:p>
        </w:tc>
      </w:tr>
    </w:tbl>
    <w:p>
      <w:pPr>
        <w:tabs>
          <w:tab w:val="left" w:pos="4525"/>
        </w:tabs>
        <w:spacing w:line="460" w:lineRule="exact"/>
        <w:jc w:val="left"/>
        <w:rPr>
          <w:rFonts w:hAnsi="宋体"/>
          <w:color w:val="auto"/>
          <w:sz w:val="24"/>
        </w:rPr>
      </w:pPr>
      <w:r>
        <w:rPr>
          <w:rFonts w:hint="eastAsia" w:hAnsi="宋体"/>
          <w:color w:val="auto"/>
          <w:sz w:val="24"/>
        </w:rPr>
        <w:t>注：以上内容填写必须完整、真实，需提供相关业绩合同复印件。</w:t>
      </w:r>
    </w:p>
    <w:p>
      <w:pPr>
        <w:tabs>
          <w:tab w:val="left" w:pos="4525"/>
        </w:tabs>
        <w:spacing w:line="460" w:lineRule="exact"/>
        <w:jc w:val="left"/>
        <w:rPr>
          <w:rFonts w:hAnsi="宋体"/>
          <w:color w:val="auto"/>
          <w:sz w:val="24"/>
        </w:rPr>
      </w:pPr>
    </w:p>
    <w:p>
      <w:pPr>
        <w:tabs>
          <w:tab w:val="left" w:pos="4525"/>
        </w:tabs>
        <w:spacing w:line="460" w:lineRule="exact"/>
        <w:jc w:val="left"/>
        <w:rPr>
          <w:rFonts w:hAnsi="宋体"/>
          <w:color w:val="auto"/>
          <w:sz w:val="24"/>
        </w:rPr>
      </w:pPr>
      <w:r>
        <w:rPr>
          <w:rFonts w:hint="eastAsia" w:hAnsi="宋体"/>
          <w:color w:val="auto"/>
          <w:sz w:val="24"/>
        </w:rPr>
        <w:t>供应商全称(单位公章)：</w:t>
      </w:r>
    </w:p>
    <w:p>
      <w:pPr>
        <w:tabs>
          <w:tab w:val="left" w:pos="4525"/>
        </w:tabs>
        <w:spacing w:line="460" w:lineRule="exact"/>
        <w:jc w:val="left"/>
        <w:rPr>
          <w:rFonts w:hAnsi="宋体"/>
          <w:color w:val="auto"/>
          <w:sz w:val="24"/>
        </w:rPr>
      </w:pPr>
      <w:r>
        <w:rPr>
          <w:rFonts w:hint="eastAsia" w:hAnsi="宋体"/>
          <w:color w:val="auto"/>
          <w:sz w:val="24"/>
        </w:rPr>
        <w:t>法定代表人或委托代理人（盖章或签名）：</w:t>
      </w:r>
    </w:p>
    <w:p>
      <w:pPr>
        <w:tabs>
          <w:tab w:val="left" w:pos="4525"/>
        </w:tabs>
        <w:spacing w:line="460" w:lineRule="exact"/>
        <w:jc w:val="left"/>
        <w:rPr>
          <w:rFonts w:hAnsi="宋体"/>
          <w:color w:val="auto"/>
          <w:sz w:val="24"/>
        </w:rPr>
      </w:pPr>
      <w:r>
        <w:rPr>
          <w:rFonts w:hint="eastAsia" w:hAnsi="宋体"/>
          <w:color w:val="auto"/>
          <w:sz w:val="24"/>
        </w:rPr>
        <w:t>日期：</w:t>
      </w:r>
    </w:p>
    <w:p>
      <w:pPr>
        <w:pStyle w:val="17"/>
        <w:spacing w:before="120" w:after="120" w:line="480" w:lineRule="auto"/>
        <w:jc w:val="both"/>
        <w:rPr>
          <w:rFonts w:hAnsi="宋体" w:cs="宋体"/>
          <w:b/>
          <w:color w:val="auto"/>
          <w:sz w:val="28"/>
          <w:szCs w:val="28"/>
          <w:lang w:bidi="ar"/>
        </w:rPr>
      </w:pPr>
    </w:p>
    <w:p>
      <w:pPr>
        <w:pStyle w:val="17"/>
        <w:spacing w:before="120" w:after="120" w:line="480" w:lineRule="auto"/>
        <w:jc w:val="both"/>
        <w:rPr>
          <w:rFonts w:hAnsi="宋体" w:cs="宋体"/>
          <w:color w:val="auto"/>
          <w:sz w:val="28"/>
          <w:szCs w:val="28"/>
        </w:rPr>
      </w:pPr>
      <w:r>
        <w:rPr>
          <w:rFonts w:hAnsi="宋体" w:cs="宋体"/>
          <w:b/>
          <w:color w:val="auto"/>
          <w:sz w:val="28"/>
          <w:szCs w:val="28"/>
          <w:lang w:bidi="ar"/>
        </w:rPr>
        <w:br w:type="page"/>
      </w:r>
      <w:r>
        <w:rPr>
          <w:rFonts w:ascii="Calibri" w:hAnsi="Calibri"/>
          <w:b/>
          <w:color w:val="auto"/>
          <w:kern w:val="2"/>
          <w:sz w:val="24"/>
        </w:rPr>
        <w:t>附件8：</w:t>
      </w:r>
    </w:p>
    <w:p>
      <w:pPr>
        <w:pStyle w:val="17"/>
        <w:spacing w:before="120" w:after="120" w:line="480" w:lineRule="auto"/>
        <w:jc w:val="center"/>
        <w:rPr>
          <w:rFonts w:hAnsi="宋体" w:cs="宋体"/>
          <w:b/>
          <w:color w:val="auto"/>
          <w:sz w:val="36"/>
          <w:szCs w:val="36"/>
          <w:lang w:bidi="ar"/>
        </w:rPr>
      </w:pPr>
      <w:r>
        <w:rPr>
          <w:rFonts w:hAnsi="宋体" w:cs="宋体"/>
          <w:b/>
          <w:color w:val="auto"/>
          <w:sz w:val="36"/>
          <w:szCs w:val="36"/>
          <w:lang w:bidi="ar"/>
        </w:rPr>
        <w:t>供应商自评表</w:t>
      </w:r>
    </w:p>
    <w:tbl>
      <w:tblPr>
        <w:tblStyle w:val="30"/>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6536"/>
        <w:gridCol w:w="1070"/>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791" w:type="dxa"/>
            <w:noWrap w:val="0"/>
            <w:vAlign w:val="top"/>
          </w:tcPr>
          <w:p>
            <w:pPr>
              <w:spacing w:line="360" w:lineRule="exact"/>
              <w:ind w:left="-27" w:leftChars="-13" w:firstLine="27" w:firstLineChars="13"/>
              <w:jc w:val="center"/>
              <w:rPr>
                <w:rFonts w:hint="eastAsia" w:ascii="宋体" w:hAnsi="宋体" w:cs="宋体"/>
                <w:color w:val="auto"/>
                <w:szCs w:val="21"/>
              </w:rPr>
            </w:pPr>
            <w:r>
              <w:rPr>
                <w:rFonts w:hint="eastAsia" w:ascii="宋体" w:hAnsi="宋体" w:cs="宋体"/>
                <w:color w:val="auto"/>
                <w:szCs w:val="21"/>
              </w:rPr>
              <w:t>序号</w:t>
            </w:r>
          </w:p>
        </w:tc>
        <w:tc>
          <w:tcPr>
            <w:tcW w:w="6536" w:type="dxa"/>
            <w:noWrap w:val="0"/>
            <w:vAlign w:val="top"/>
          </w:tcPr>
          <w:p>
            <w:pPr>
              <w:spacing w:line="360" w:lineRule="exact"/>
              <w:ind w:left="-27" w:leftChars="-13" w:firstLine="27" w:firstLineChars="13"/>
              <w:jc w:val="center"/>
              <w:rPr>
                <w:rFonts w:hint="eastAsia" w:ascii="宋体" w:hAnsi="宋体" w:cs="宋体"/>
                <w:color w:val="auto"/>
                <w:szCs w:val="21"/>
              </w:rPr>
            </w:pPr>
            <w:r>
              <w:rPr>
                <w:rFonts w:hint="eastAsia" w:ascii="宋体" w:hAnsi="宋体" w:cs="宋体"/>
                <w:color w:val="auto"/>
                <w:szCs w:val="21"/>
              </w:rPr>
              <w:t>评分内容</w:t>
            </w:r>
          </w:p>
        </w:tc>
        <w:tc>
          <w:tcPr>
            <w:tcW w:w="1070" w:type="dxa"/>
            <w:noWrap w:val="0"/>
            <w:vAlign w:val="top"/>
          </w:tcPr>
          <w:p>
            <w:pPr>
              <w:spacing w:line="360" w:lineRule="exact"/>
              <w:ind w:left="-27" w:leftChars="-13" w:firstLine="27" w:firstLineChars="13"/>
              <w:jc w:val="center"/>
              <w:rPr>
                <w:rFonts w:hint="eastAsia" w:ascii="宋体" w:hAnsi="宋体" w:cs="宋体"/>
                <w:color w:val="auto"/>
                <w:szCs w:val="21"/>
              </w:rPr>
            </w:pPr>
            <w:r>
              <w:rPr>
                <w:rFonts w:hint="eastAsia" w:ascii="宋体" w:hAnsi="宋体" w:cs="宋体"/>
                <w:color w:val="auto"/>
                <w:szCs w:val="21"/>
              </w:rPr>
              <w:t>自评分值</w:t>
            </w:r>
          </w:p>
        </w:tc>
        <w:tc>
          <w:tcPr>
            <w:tcW w:w="1363" w:type="dxa"/>
            <w:noWrap w:val="0"/>
            <w:vAlign w:val="top"/>
          </w:tcPr>
          <w:p>
            <w:pPr>
              <w:spacing w:line="360" w:lineRule="exact"/>
              <w:ind w:left="-27" w:leftChars="-13" w:firstLine="27" w:firstLineChars="13"/>
              <w:jc w:val="center"/>
              <w:rPr>
                <w:rFonts w:hint="eastAsia" w:ascii="宋体" w:hAnsi="宋体" w:cs="宋体"/>
                <w:color w:val="auto"/>
                <w:szCs w:val="21"/>
              </w:rPr>
            </w:pPr>
            <w:r>
              <w:rPr>
                <w:rFonts w:hint="eastAsia" w:ascii="宋体" w:hAnsi="宋体" w:cs="宋体"/>
                <w:color w:val="auto"/>
                <w:szCs w:val="21"/>
              </w:rPr>
              <w:t>评分依据对应页码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noWrap w:val="0"/>
            <w:vAlign w:val="center"/>
          </w:tcPr>
          <w:p>
            <w:pPr>
              <w:pStyle w:val="17"/>
              <w:spacing w:before="120" w:after="120" w:line="480" w:lineRule="auto"/>
              <w:jc w:val="center"/>
              <w:rPr>
                <w:rFonts w:hAnsi="宋体" w:cs="宋体"/>
                <w:b/>
                <w:color w:val="auto"/>
                <w:lang w:bidi="ar"/>
              </w:rPr>
            </w:pPr>
            <w:r>
              <w:rPr>
                <w:rFonts w:hAnsi="宋体" w:cs="宋体"/>
                <w:b/>
                <w:color w:val="auto"/>
                <w:lang w:bidi="ar"/>
              </w:rPr>
              <w:t>1</w:t>
            </w:r>
          </w:p>
        </w:tc>
        <w:tc>
          <w:tcPr>
            <w:tcW w:w="6536" w:type="dxa"/>
            <w:noWrap w:val="0"/>
            <w:vAlign w:val="center"/>
          </w:tcPr>
          <w:p>
            <w:pPr>
              <w:pStyle w:val="3"/>
              <w:spacing w:after="0"/>
              <w:jc w:val="left"/>
              <w:rPr>
                <w:rFonts w:ascii="仿宋_GB2312" w:eastAsia="仿宋_GB2312"/>
                <w:color w:val="auto"/>
                <w:sz w:val="24"/>
              </w:rPr>
            </w:pPr>
          </w:p>
        </w:tc>
        <w:tc>
          <w:tcPr>
            <w:tcW w:w="1070" w:type="dxa"/>
            <w:noWrap w:val="0"/>
            <w:vAlign w:val="center"/>
          </w:tcPr>
          <w:p>
            <w:pPr>
              <w:rPr>
                <w:rFonts w:hint="eastAsia" w:ascii="宋体" w:hAnsi="宋体" w:cs="宋体"/>
                <w:b/>
                <w:color w:val="auto"/>
                <w:szCs w:val="21"/>
                <w:lang w:bidi="ar"/>
              </w:rPr>
            </w:pPr>
          </w:p>
        </w:tc>
        <w:tc>
          <w:tcPr>
            <w:tcW w:w="1363" w:type="dxa"/>
            <w:noWrap w:val="0"/>
            <w:vAlign w:val="top"/>
          </w:tcPr>
          <w:p>
            <w:pPr>
              <w:pStyle w:val="17"/>
              <w:spacing w:before="120" w:after="120" w:line="480" w:lineRule="auto"/>
              <w:jc w:val="center"/>
              <w:rPr>
                <w:rFonts w:hAnsi="宋体" w:cs="宋体"/>
                <w:b/>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noWrap w:val="0"/>
            <w:vAlign w:val="center"/>
          </w:tcPr>
          <w:p>
            <w:pPr>
              <w:pStyle w:val="17"/>
              <w:spacing w:before="120" w:after="120" w:line="480" w:lineRule="auto"/>
              <w:jc w:val="center"/>
              <w:rPr>
                <w:rFonts w:hAnsi="宋体" w:cs="宋体"/>
                <w:b/>
                <w:color w:val="auto"/>
                <w:lang w:bidi="ar"/>
              </w:rPr>
            </w:pPr>
            <w:r>
              <w:rPr>
                <w:rFonts w:hAnsi="宋体" w:cs="宋体"/>
                <w:b/>
                <w:color w:val="auto"/>
                <w:lang w:bidi="ar"/>
              </w:rPr>
              <w:t>2</w:t>
            </w:r>
          </w:p>
        </w:tc>
        <w:tc>
          <w:tcPr>
            <w:tcW w:w="6536" w:type="dxa"/>
            <w:noWrap w:val="0"/>
            <w:vAlign w:val="center"/>
          </w:tcPr>
          <w:p>
            <w:pPr>
              <w:pStyle w:val="74"/>
              <w:tabs>
                <w:tab w:val="left" w:pos="473"/>
              </w:tabs>
              <w:ind w:right="-29"/>
              <w:jc w:val="left"/>
              <w:rPr>
                <w:rFonts w:hint="eastAsia" w:ascii="仿宋_GB2312" w:eastAsia="仿宋_GB2312"/>
                <w:color w:val="auto"/>
                <w:sz w:val="24"/>
              </w:rPr>
            </w:pPr>
          </w:p>
        </w:tc>
        <w:tc>
          <w:tcPr>
            <w:tcW w:w="1070" w:type="dxa"/>
            <w:noWrap w:val="0"/>
            <w:vAlign w:val="center"/>
          </w:tcPr>
          <w:p>
            <w:pPr>
              <w:rPr>
                <w:rFonts w:hint="eastAsia" w:ascii="宋体" w:hAnsi="宋体" w:cs="宋体"/>
                <w:b/>
                <w:color w:val="auto"/>
                <w:szCs w:val="21"/>
                <w:lang w:bidi="ar"/>
              </w:rPr>
            </w:pPr>
          </w:p>
        </w:tc>
        <w:tc>
          <w:tcPr>
            <w:tcW w:w="1363" w:type="dxa"/>
            <w:noWrap w:val="0"/>
            <w:vAlign w:val="top"/>
          </w:tcPr>
          <w:p>
            <w:pPr>
              <w:pStyle w:val="17"/>
              <w:spacing w:before="120" w:after="120" w:line="480" w:lineRule="auto"/>
              <w:jc w:val="center"/>
              <w:rPr>
                <w:rFonts w:hAnsi="宋体" w:cs="宋体"/>
                <w:b/>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noWrap w:val="0"/>
            <w:vAlign w:val="center"/>
          </w:tcPr>
          <w:p>
            <w:pPr>
              <w:pStyle w:val="17"/>
              <w:spacing w:before="120" w:after="120" w:line="480" w:lineRule="auto"/>
              <w:jc w:val="center"/>
              <w:rPr>
                <w:rFonts w:hAnsi="宋体" w:cs="宋体"/>
                <w:b/>
                <w:color w:val="auto"/>
                <w:lang w:bidi="ar"/>
              </w:rPr>
            </w:pPr>
            <w:r>
              <w:rPr>
                <w:rFonts w:hAnsi="宋体" w:cs="宋体"/>
                <w:b/>
                <w:color w:val="auto"/>
                <w:lang w:bidi="ar"/>
              </w:rPr>
              <w:t>3</w:t>
            </w:r>
          </w:p>
        </w:tc>
        <w:tc>
          <w:tcPr>
            <w:tcW w:w="6536" w:type="dxa"/>
            <w:noWrap w:val="0"/>
            <w:vAlign w:val="center"/>
          </w:tcPr>
          <w:p>
            <w:pPr>
              <w:topLinePunct/>
              <w:rPr>
                <w:rFonts w:hint="eastAsia" w:ascii="仿宋_GB2312" w:hAnsi="Calibri" w:eastAsia="仿宋_GB2312"/>
                <w:color w:val="auto"/>
                <w:sz w:val="24"/>
              </w:rPr>
            </w:pPr>
          </w:p>
        </w:tc>
        <w:tc>
          <w:tcPr>
            <w:tcW w:w="1070" w:type="dxa"/>
            <w:noWrap w:val="0"/>
            <w:vAlign w:val="center"/>
          </w:tcPr>
          <w:p>
            <w:pPr>
              <w:spacing w:line="400" w:lineRule="exact"/>
              <w:rPr>
                <w:rFonts w:hint="eastAsia" w:ascii="宋体" w:hAnsi="宋体" w:cs="宋体"/>
                <w:b/>
                <w:color w:val="auto"/>
                <w:szCs w:val="21"/>
                <w:lang w:bidi="ar"/>
              </w:rPr>
            </w:pPr>
          </w:p>
        </w:tc>
        <w:tc>
          <w:tcPr>
            <w:tcW w:w="1363" w:type="dxa"/>
            <w:noWrap w:val="0"/>
            <w:vAlign w:val="top"/>
          </w:tcPr>
          <w:p>
            <w:pPr>
              <w:pStyle w:val="17"/>
              <w:spacing w:before="120" w:after="120" w:line="480" w:lineRule="auto"/>
              <w:jc w:val="center"/>
              <w:rPr>
                <w:rFonts w:hAnsi="宋体" w:cs="宋体"/>
                <w:b/>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noWrap w:val="0"/>
            <w:vAlign w:val="center"/>
          </w:tcPr>
          <w:p>
            <w:pPr>
              <w:pStyle w:val="17"/>
              <w:spacing w:before="120" w:after="120" w:line="480" w:lineRule="auto"/>
              <w:jc w:val="center"/>
              <w:rPr>
                <w:rFonts w:hAnsi="宋体" w:cs="宋体"/>
                <w:b/>
                <w:color w:val="auto"/>
                <w:lang w:bidi="ar"/>
              </w:rPr>
            </w:pPr>
            <w:r>
              <w:rPr>
                <w:rFonts w:hAnsi="宋体" w:cs="宋体"/>
                <w:b/>
                <w:color w:val="auto"/>
                <w:lang w:bidi="ar"/>
              </w:rPr>
              <w:t>4</w:t>
            </w:r>
          </w:p>
        </w:tc>
        <w:tc>
          <w:tcPr>
            <w:tcW w:w="6536" w:type="dxa"/>
            <w:noWrap w:val="0"/>
            <w:vAlign w:val="center"/>
          </w:tcPr>
          <w:p>
            <w:pPr>
              <w:topLinePunct/>
              <w:rPr>
                <w:rFonts w:hint="eastAsia" w:ascii="仿宋_GB2312" w:hAnsi="Calibri" w:eastAsia="仿宋_GB2312"/>
                <w:color w:val="auto"/>
                <w:sz w:val="24"/>
              </w:rPr>
            </w:pPr>
          </w:p>
        </w:tc>
        <w:tc>
          <w:tcPr>
            <w:tcW w:w="1070" w:type="dxa"/>
            <w:noWrap w:val="0"/>
            <w:vAlign w:val="top"/>
          </w:tcPr>
          <w:p>
            <w:pPr>
              <w:pStyle w:val="17"/>
              <w:spacing w:before="120" w:after="120" w:line="480" w:lineRule="auto"/>
              <w:jc w:val="center"/>
              <w:rPr>
                <w:rFonts w:hAnsi="宋体" w:cs="宋体"/>
                <w:b/>
                <w:color w:val="auto"/>
                <w:lang w:bidi="ar"/>
              </w:rPr>
            </w:pPr>
          </w:p>
        </w:tc>
        <w:tc>
          <w:tcPr>
            <w:tcW w:w="1363" w:type="dxa"/>
            <w:noWrap w:val="0"/>
            <w:vAlign w:val="top"/>
          </w:tcPr>
          <w:p>
            <w:pPr>
              <w:pStyle w:val="17"/>
              <w:spacing w:before="120" w:after="120" w:line="480" w:lineRule="auto"/>
              <w:jc w:val="center"/>
              <w:rPr>
                <w:rFonts w:hAnsi="宋体" w:cs="宋体"/>
                <w:b/>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noWrap w:val="0"/>
            <w:vAlign w:val="center"/>
          </w:tcPr>
          <w:p>
            <w:pPr>
              <w:pStyle w:val="17"/>
              <w:spacing w:before="120" w:after="120" w:line="480" w:lineRule="auto"/>
              <w:jc w:val="center"/>
              <w:rPr>
                <w:rFonts w:hAnsi="宋体" w:cs="宋体"/>
                <w:b/>
                <w:color w:val="auto"/>
                <w:lang w:bidi="ar"/>
              </w:rPr>
            </w:pPr>
            <w:r>
              <w:rPr>
                <w:rFonts w:hAnsi="宋体" w:cs="宋体"/>
                <w:b/>
                <w:color w:val="auto"/>
                <w:lang w:bidi="ar"/>
              </w:rPr>
              <w:t>5</w:t>
            </w:r>
          </w:p>
        </w:tc>
        <w:tc>
          <w:tcPr>
            <w:tcW w:w="6536" w:type="dxa"/>
            <w:noWrap w:val="0"/>
            <w:vAlign w:val="center"/>
          </w:tcPr>
          <w:p>
            <w:pPr>
              <w:topLinePunct/>
              <w:jc w:val="left"/>
              <w:rPr>
                <w:rFonts w:hint="eastAsia" w:ascii="仿宋_GB2312" w:hAnsi="Calibri" w:eastAsia="仿宋_GB2312"/>
                <w:color w:val="auto"/>
                <w:sz w:val="24"/>
              </w:rPr>
            </w:pPr>
          </w:p>
        </w:tc>
        <w:tc>
          <w:tcPr>
            <w:tcW w:w="1070" w:type="dxa"/>
            <w:noWrap w:val="0"/>
            <w:vAlign w:val="top"/>
          </w:tcPr>
          <w:p>
            <w:pPr>
              <w:pStyle w:val="17"/>
              <w:spacing w:before="120" w:after="120" w:line="480" w:lineRule="auto"/>
              <w:jc w:val="center"/>
              <w:rPr>
                <w:rFonts w:hAnsi="宋体" w:cs="宋体"/>
                <w:b/>
                <w:color w:val="auto"/>
                <w:lang w:bidi="ar"/>
              </w:rPr>
            </w:pPr>
          </w:p>
        </w:tc>
        <w:tc>
          <w:tcPr>
            <w:tcW w:w="1363" w:type="dxa"/>
            <w:noWrap w:val="0"/>
            <w:vAlign w:val="top"/>
          </w:tcPr>
          <w:p>
            <w:pPr>
              <w:pStyle w:val="17"/>
              <w:spacing w:before="120" w:after="120" w:line="480" w:lineRule="auto"/>
              <w:jc w:val="center"/>
              <w:rPr>
                <w:rFonts w:hAnsi="宋体" w:cs="宋体"/>
                <w:b/>
                <w:color w:val="auto"/>
                <w:lang w:bidi="ar"/>
              </w:rPr>
            </w:pPr>
          </w:p>
        </w:tc>
      </w:tr>
    </w:tbl>
    <w:p>
      <w:pPr>
        <w:pStyle w:val="17"/>
        <w:spacing w:before="120" w:after="120" w:line="480" w:lineRule="auto"/>
        <w:rPr>
          <w:color w:val="auto"/>
        </w:rPr>
      </w:pPr>
    </w:p>
    <w:sectPr>
      <w:footerReference r:id="rId3" w:type="default"/>
      <w:pgSz w:w="11915" w:h="16840"/>
      <w:pgMar w:top="1134" w:right="1418" w:bottom="1134" w:left="1418" w:header="851" w:footer="130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287" w:usb1="080F0000" w:usb2="00000000" w:usb3="00000000" w:csb0="0004009F" w:csb1="DFD70000"/>
  </w:font>
  <w:font w:name="Futura Bk">
    <w:altName w:val="Arial"/>
    <w:panose1 w:val="00000000000000000000"/>
    <w:charset w:val="00"/>
    <w:family w:val="swiss"/>
    <w:pitch w:val="default"/>
    <w:sig w:usb0="00000001" w:usb1="5000204A"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4"/>
      </w:rPr>
    </w:pPr>
    <w:r>
      <w:fldChar w:fldCharType="begin"/>
    </w:r>
    <w:r>
      <w:rPr>
        <w:rStyle w:val="34"/>
      </w:rPr>
      <w:instrText xml:space="preserve">PAGE  </w:instrText>
    </w:r>
    <w:r>
      <w:fldChar w:fldCharType="separate"/>
    </w:r>
    <w:r>
      <w:rPr>
        <w:rStyle w:val="34"/>
        <w:rFonts w:hint="default"/>
        <w:lang/>
      </w:rPr>
      <w:t>13</w:t>
    </w:r>
    <w:r>
      <w:fldChar w:fldCharType="end"/>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030D5"/>
    <w:multiLevelType w:val="multilevel"/>
    <w:tmpl w:val="598030D5"/>
    <w:lvl w:ilvl="0" w:tentative="0">
      <w:start w:val="1"/>
      <w:numFmt w:val="decimal"/>
      <w:lvlText w:val="%1)"/>
      <w:lvlJc w:val="left"/>
      <w:pPr>
        <w:tabs>
          <w:tab w:val="left" w:pos="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98030E0"/>
    <w:multiLevelType w:val="multilevel"/>
    <w:tmpl w:val="598030E0"/>
    <w:lvl w:ilvl="0" w:tentative="0">
      <w:start w:val="1"/>
      <w:numFmt w:val="decimal"/>
      <w:pStyle w:val="8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62"/>
    <w:rsid w:val="00006E4D"/>
    <w:rsid w:val="00016042"/>
    <w:rsid w:val="00031AD2"/>
    <w:rsid w:val="000321B8"/>
    <w:rsid w:val="00057C33"/>
    <w:rsid w:val="00091554"/>
    <w:rsid w:val="00091B06"/>
    <w:rsid w:val="000A1162"/>
    <w:rsid w:val="000C3389"/>
    <w:rsid w:val="000C71B7"/>
    <w:rsid w:val="000F2224"/>
    <w:rsid w:val="001131AE"/>
    <w:rsid w:val="00120B67"/>
    <w:rsid w:val="001216EA"/>
    <w:rsid w:val="00122338"/>
    <w:rsid w:val="00125020"/>
    <w:rsid w:val="00146450"/>
    <w:rsid w:val="00182952"/>
    <w:rsid w:val="00183C04"/>
    <w:rsid w:val="00196FA6"/>
    <w:rsid w:val="001A3FE2"/>
    <w:rsid w:val="001B79C7"/>
    <w:rsid w:val="001D180D"/>
    <w:rsid w:val="001D530D"/>
    <w:rsid w:val="001E06D2"/>
    <w:rsid w:val="001E6FBF"/>
    <w:rsid w:val="0021184F"/>
    <w:rsid w:val="00211EC3"/>
    <w:rsid w:val="0022303D"/>
    <w:rsid w:val="00223E3E"/>
    <w:rsid w:val="002250F5"/>
    <w:rsid w:val="00231411"/>
    <w:rsid w:val="0023486F"/>
    <w:rsid w:val="0028185F"/>
    <w:rsid w:val="00286BA4"/>
    <w:rsid w:val="002872BC"/>
    <w:rsid w:val="002A0B94"/>
    <w:rsid w:val="002A4436"/>
    <w:rsid w:val="002C0967"/>
    <w:rsid w:val="002C46BB"/>
    <w:rsid w:val="002E3CCE"/>
    <w:rsid w:val="002E59F1"/>
    <w:rsid w:val="003019FB"/>
    <w:rsid w:val="00377E26"/>
    <w:rsid w:val="003804C3"/>
    <w:rsid w:val="003A22D2"/>
    <w:rsid w:val="003E4EEB"/>
    <w:rsid w:val="003E69B4"/>
    <w:rsid w:val="00412724"/>
    <w:rsid w:val="00414DE3"/>
    <w:rsid w:val="0042430B"/>
    <w:rsid w:val="00432B03"/>
    <w:rsid w:val="00447C4A"/>
    <w:rsid w:val="004B19B5"/>
    <w:rsid w:val="004B3716"/>
    <w:rsid w:val="004C1CCF"/>
    <w:rsid w:val="004D05BF"/>
    <w:rsid w:val="004D0610"/>
    <w:rsid w:val="004D61BC"/>
    <w:rsid w:val="00507C88"/>
    <w:rsid w:val="00512DF8"/>
    <w:rsid w:val="005210C5"/>
    <w:rsid w:val="00540FE1"/>
    <w:rsid w:val="005429A4"/>
    <w:rsid w:val="005960E9"/>
    <w:rsid w:val="005A00ED"/>
    <w:rsid w:val="005B3E73"/>
    <w:rsid w:val="005C06E9"/>
    <w:rsid w:val="005D1F3A"/>
    <w:rsid w:val="005F2E8E"/>
    <w:rsid w:val="00603C64"/>
    <w:rsid w:val="00611178"/>
    <w:rsid w:val="00637C9B"/>
    <w:rsid w:val="0065256D"/>
    <w:rsid w:val="00654C60"/>
    <w:rsid w:val="00657950"/>
    <w:rsid w:val="00664B7F"/>
    <w:rsid w:val="00670DA6"/>
    <w:rsid w:val="006B19C0"/>
    <w:rsid w:val="006B7EAE"/>
    <w:rsid w:val="006C3549"/>
    <w:rsid w:val="006F018A"/>
    <w:rsid w:val="006F3897"/>
    <w:rsid w:val="0071172D"/>
    <w:rsid w:val="00722CB4"/>
    <w:rsid w:val="00736D26"/>
    <w:rsid w:val="00745014"/>
    <w:rsid w:val="00761EF2"/>
    <w:rsid w:val="00766FFF"/>
    <w:rsid w:val="00782A0C"/>
    <w:rsid w:val="007A7314"/>
    <w:rsid w:val="007B35E5"/>
    <w:rsid w:val="007E24CA"/>
    <w:rsid w:val="008261AD"/>
    <w:rsid w:val="00830F13"/>
    <w:rsid w:val="00832851"/>
    <w:rsid w:val="00840F53"/>
    <w:rsid w:val="0084444E"/>
    <w:rsid w:val="00850C2F"/>
    <w:rsid w:val="008536E9"/>
    <w:rsid w:val="00866EC1"/>
    <w:rsid w:val="00875CA1"/>
    <w:rsid w:val="00881469"/>
    <w:rsid w:val="00895DAA"/>
    <w:rsid w:val="008A2989"/>
    <w:rsid w:val="008A7897"/>
    <w:rsid w:val="008E07E0"/>
    <w:rsid w:val="0093395A"/>
    <w:rsid w:val="009418FF"/>
    <w:rsid w:val="00965E76"/>
    <w:rsid w:val="009879C3"/>
    <w:rsid w:val="009903BD"/>
    <w:rsid w:val="009B2220"/>
    <w:rsid w:val="009F38E9"/>
    <w:rsid w:val="00A05BA6"/>
    <w:rsid w:val="00A06CAB"/>
    <w:rsid w:val="00A120DE"/>
    <w:rsid w:val="00A5469B"/>
    <w:rsid w:val="00A67DCE"/>
    <w:rsid w:val="00A7741D"/>
    <w:rsid w:val="00A926D6"/>
    <w:rsid w:val="00A97EE2"/>
    <w:rsid w:val="00AB0460"/>
    <w:rsid w:val="00AC2164"/>
    <w:rsid w:val="00AE0A15"/>
    <w:rsid w:val="00AE5C28"/>
    <w:rsid w:val="00B12E41"/>
    <w:rsid w:val="00B13507"/>
    <w:rsid w:val="00B54BFE"/>
    <w:rsid w:val="00B73453"/>
    <w:rsid w:val="00B75B68"/>
    <w:rsid w:val="00BB3BEB"/>
    <w:rsid w:val="00BD2A62"/>
    <w:rsid w:val="00BE0137"/>
    <w:rsid w:val="00C04CC9"/>
    <w:rsid w:val="00C25C88"/>
    <w:rsid w:val="00C37507"/>
    <w:rsid w:val="00C60532"/>
    <w:rsid w:val="00C60753"/>
    <w:rsid w:val="00C75EDE"/>
    <w:rsid w:val="00C92327"/>
    <w:rsid w:val="00CA23C2"/>
    <w:rsid w:val="00CB7ABE"/>
    <w:rsid w:val="00CC7640"/>
    <w:rsid w:val="00CF0906"/>
    <w:rsid w:val="00D31535"/>
    <w:rsid w:val="00D44D0D"/>
    <w:rsid w:val="00D51861"/>
    <w:rsid w:val="00D530EA"/>
    <w:rsid w:val="00D538DE"/>
    <w:rsid w:val="00DA1AB9"/>
    <w:rsid w:val="00DB3F60"/>
    <w:rsid w:val="00DD5E36"/>
    <w:rsid w:val="00E0102D"/>
    <w:rsid w:val="00E0200E"/>
    <w:rsid w:val="00E10E79"/>
    <w:rsid w:val="00E1669B"/>
    <w:rsid w:val="00E2693C"/>
    <w:rsid w:val="00E30DB9"/>
    <w:rsid w:val="00E44F7F"/>
    <w:rsid w:val="00E527D1"/>
    <w:rsid w:val="00E6028A"/>
    <w:rsid w:val="00E64D88"/>
    <w:rsid w:val="00E934CD"/>
    <w:rsid w:val="00E9536C"/>
    <w:rsid w:val="00ED198F"/>
    <w:rsid w:val="00ED4A70"/>
    <w:rsid w:val="00F0360B"/>
    <w:rsid w:val="00F06FCF"/>
    <w:rsid w:val="00F2354E"/>
    <w:rsid w:val="00F321F2"/>
    <w:rsid w:val="00F5255D"/>
    <w:rsid w:val="00F722DC"/>
    <w:rsid w:val="00F74F74"/>
    <w:rsid w:val="00F96236"/>
    <w:rsid w:val="00FB6A24"/>
    <w:rsid w:val="010318AD"/>
    <w:rsid w:val="010A2F46"/>
    <w:rsid w:val="01133C85"/>
    <w:rsid w:val="013D3822"/>
    <w:rsid w:val="01433770"/>
    <w:rsid w:val="015F7DEF"/>
    <w:rsid w:val="019772D5"/>
    <w:rsid w:val="01DE454A"/>
    <w:rsid w:val="02181299"/>
    <w:rsid w:val="02437C07"/>
    <w:rsid w:val="02652F5B"/>
    <w:rsid w:val="029E2369"/>
    <w:rsid w:val="02F812C1"/>
    <w:rsid w:val="02F877AC"/>
    <w:rsid w:val="02F87A9B"/>
    <w:rsid w:val="0385418A"/>
    <w:rsid w:val="045B0F3B"/>
    <w:rsid w:val="045C2563"/>
    <w:rsid w:val="04724BC2"/>
    <w:rsid w:val="04A553B8"/>
    <w:rsid w:val="04E963C5"/>
    <w:rsid w:val="050E22E1"/>
    <w:rsid w:val="051F5D4F"/>
    <w:rsid w:val="05727D20"/>
    <w:rsid w:val="05C66324"/>
    <w:rsid w:val="05D57D4E"/>
    <w:rsid w:val="063B6AC4"/>
    <w:rsid w:val="068223D6"/>
    <w:rsid w:val="06DB364E"/>
    <w:rsid w:val="071A55AC"/>
    <w:rsid w:val="07243DFB"/>
    <w:rsid w:val="07342C89"/>
    <w:rsid w:val="075B0B3B"/>
    <w:rsid w:val="076722B6"/>
    <w:rsid w:val="07A878E6"/>
    <w:rsid w:val="080F618E"/>
    <w:rsid w:val="08340816"/>
    <w:rsid w:val="086F1E2D"/>
    <w:rsid w:val="08F86EE2"/>
    <w:rsid w:val="096838DE"/>
    <w:rsid w:val="099A1723"/>
    <w:rsid w:val="09A2378F"/>
    <w:rsid w:val="09A50C5F"/>
    <w:rsid w:val="09AF1D82"/>
    <w:rsid w:val="0A8F3E72"/>
    <w:rsid w:val="0AEC4195"/>
    <w:rsid w:val="0AEF5AA0"/>
    <w:rsid w:val="0AF30E65"/>
    <w:rsid w:val="0AF3636A"/>
    <w:rsid w:val="0B4D2A42"/>
    <w:rsid w:val="0B962EF2"/>
    <w:rsid w:val="0BB32076"/>
    <w:rsid w:val="0BE06765"/>
    <w:rsid w:val="0C34197A"/>
    <w:rsid w:val="0C470F73"/>
    <w:rsid w:val="0C73522D"/>
    <w:rsid w:val="0D0C0368"/>
    <w:rsid w:val="0D0D3168"/>
    <w:rsid w:val="0D1C704D"/>
    <w:rsid w:val="0DA05137"/>
    <w:rsid w:val="0E3C432E"/>
    <w:rsid w:val="0E7D6CA1"/>
    <w:rsid w:val="0EAC3C31"/>
    <w:rsid w:val="0EE32E18"/>
    <w:rsid w:val="0EE448C0"/>
    <w:rsid w:val="0F1C649D"/>
    <w:rsid w:val="0F2B001C"/>
    <w:rsid w:val="0F407287"/>
    <w:rsid w:val="0F44712E"/>
    <w:rsid w:val="0FC67958"/>
    <w:rsid w:val="0FFB6864"/>
    <w:rsid w:val="10157FDC"/>
    <w:rsid w:val="106D4696"/>
    <w:rsid w:val="10F66A23"/>
    <w:rsid w:val="11032ED9"/>
    <w:rsid w:val="115D20C1"/>
    <w:rsid w:val="11F026D1"/>
    <w:rsid w:val="11FC1E78"/>
    <w:rsid w:val="1259172B"/>
    <w:rsid w:val="127A5495"/>
    <w:rsid w:val="12EB5D1C"/>
    <w:rsid w:val="131B5C2A"/>
    <w:rsid w:val="136E20DB"/>
    <w:rsid w:val="13A20138"/>
    <w:rsid w:val="13ED1756"/>
    <w:rsid w:val="14A02088"/>
    <w:rsid w:val="14CB44CC"/>
    <w:rsid w:val="150D5ABD"/>
    <w:rsid w:val="15112767"/>
    <w:rsid w:val="15277095"/>
    <w:rsid w:val="157A22A6"/>
    <w:rsid w:val="15960835"/>
    <w:rsid w:val="159B20FB"/>
    <w:rsid w:val="15F64004"/>
    <w:rsid w:val="16554D1A"/>
    <w:rsid w:val="169E2847"/>
    <w:rsid w:val="16C12363"/>
    <w:rsid w:val="1735442B"/>
    <w:rsid w:val="17B454E7"/>
    <w:rsid w:val="17D212CD"/>
    <w:rsid w:val="17DA28FE"/>
    <w:rsid w:val="182A2CED"/>
    <w:rsid w:val="185F36CA"/>
    <w:rsid w:val="18CA06C8"/>
    <w:rsid w:val="18D8595C"/>
    <w:rsid w:val="1917169F"/>
    <w:rsid w:val="192B295D"/>
    <w:rsid w:val="193276A8"/>
    <w:rsid w:val="19AD7324"/>
    <w:rsid w:val="19D5541E"/>
    <w:rsid w:val="1A2C4A28"/>
    <w:rsid w:val="1A524BDE"/>
    <w:rsid w:val="1AA77726"/>
    <w:rsid w:val="1AC74144"/>
    <w:rsid w:val="1AF664AC"/>
    <w:rsid w:val="1B467C33"/>
    <w:rsid w:val="1B4E340D"/>
    <w:rsid w:val="1BDD76BB"/>
    <w:rsid w:val="1BEF6E8F"/>
    <w:rsid w:val="1C107458"/>
    <w:rsid w:val="1C410182"/>
    <w:rsid w:val="1C4216B8"/>
    <w:rsid w:val="1C605221"/>
    <w:rsid w:val="1C787615"/>
    <w:rsid w:val="1CAD05A9"/>
    <w:rsid w:val="1CF64644"/>
    <w:rsid w:val="1D16628F"/>
    <w:rsid w:val="1D423474"/>
    <w:rsid w:val="1D6E0969"/>
    <w:rsid w:val="1D990B56"/>
    <w:rsid w:val="1DB61D15"/>
    <w:rsid w:val="1E0658A7"/>
    <w:rsid w:val="1E4A75CC"/>
    <w:rsid w:val="1E4C07D9"/>
    <w:rsid w:val="1E933F51"/>
    <w:rsid w:val="1ED1430A"/>
    <w:rsid w:val="1ED332C5"/>
    <w:rsid w:val="1ED755A4"/>
    <w:rsid w:val="1EE620FB"/>
    <w:rsid w:val="1EEF515A"/>
    <w:rsid w:val="1F012C34"/>
    <w:rsid w:val="1F1213E7"/>
    <w:rsid w:val="1F1B37AD"/>
    <w:rsid w:val="1F507DBB"/>
    <w:rsid w:val="1FB06518"/>
    <w:rsid w:val="200C7EB2"/>
    <w:rsid w:val="20365697"/>
    <w:rsid w:val="20450365"/>
    <w:rsid w:val="206D7D98"/>
    <w:rsid w:val="20770A00"/>
    <w:rsid w:val="20870E09"/>
    <w:rsid w:val="20CA1792"/>
    <w:rsid w:val="20DB1CA3"/>
    <w:rsid w:val="20DB4743"/>
    <w:rsid w:val="20ED5D93"/>
    <w:rsid w:val="214533D2"/>
    <w:rsid w:val="21911652"/>
    <w:rsid w:val="21AD54A6"/>
    <w:rsid w:val="21B94FCA"/>
    <w:rsid w:val="22584961"/>
    <w:rsid w:val="225C3944"/>
    <w:rsid w:val="22603325"/>
    <w:rsid w:val="22FC6B31"/>
    <w:rsid w:val="23077E6C"/>
    <w:rsid w:val="23083CB4"/>
    <w:rsid w:val="23401AC4"/>
    <w:rsid w:val="23894C0E"/>
    <w:rsid w:val="239111A7"/>
    <w:rsid w:val="23B0084D"/>
    <w:rsid w:val="23E6438F"/>
    <w:rsid w:val="23FD4161"/>
    <w:rsid w:val="2402454F"/>
    <w:rsid w:val="24312033"/>
    <w:rsid w:val="245C50AD"/>
    <w:rsid w:val="247B58EE"/>
    <w:rsid w:val="248A2B5D"/>
    <w:rsid w:val="249B3A06"/>
    <w:rsid w:val="24B344F2"/>
    <w:rsid w:val="24BD46BB"/>
    <w:rsid w:val="24C40BA3"/>
    <w:rsid w:val="24DE2351"/>
    <w:rsid w:val="24F854DE"/>
    <w:rsid w:val="24FA0C19"/>
    <w:rsid w:val="25657A71"/>
    <w:rsid w:val="258B550F"/>
    <w:rsid w:val="25CA4557"/>
    <w:rsid w:val="26126D7F"/>
    <w:rsid w:val="26157C9B"/>
    <w:rsid w:val="263110C4"/>
    <w:rsid w:val="26350B9B"/>
    <w:rsid w:val="26543284"/>
    <w:rsid w:val="26611641"/>
    <w:rsid w:val="266913E9"/>
    <w:rsid w:val="26B77F3A"/>
    <w:rsid w:val="26E7356F"/>
    <w:rsid w:val="27570A52"/>
    <w:rsid w:val="27867DF8"/>
    <w:rsid w:val="27D14A4B"/>
    <w:rsid w:val="27D16367"/>
    <w:rsid w:val="27E0507E"/>
    <w:rsid w:val="289F1113"/>
    <w:rsid w:val="28A91283"/>
    <w:rsid w:val="28CC2DE2"/>
    <w:rsid w:val="28D233A0"/>
    <w:rsid w:val="290858D5"/>
    <w:rsid w:val="29EC219F"/>
    <w:rsid w:val="29FD4F91"/>
    <w:rsid w:val="2A0F641B"/>
    <w:rsid w:val="2A444950"/>
    <w:rsid w:val="2A64301A"/>
    <w:rsid w:val="2A97745D"/>
    <w:rsid w:val="2AB324F1"/>
    <w:rsid w:val="2AB47C3A"/>
    <w:rsid w:val="2ADE35E1"/>
    <w:rsid w:val="2B106785"/>
    <w:rsid w:val="2B3D66AA"/>
    <w:rsid w:val="2B644496"/>
    <w:rsid w:val="2B735F4A"/>
    <w:rsid w:val="2B95260D"/>
    <w:rsid w:val="2BE91DC0"/>
    <w:rsid w:val="2C4276C6"/>
    <w:rsid w:val="2C57485E"/>
    <w:rsid w:val="2CBE78F6"/>
    <w:rsid w:val="2CEB4EE3"/>
    <w:rsid w:val="2D157811"/>
    <w:rsid w:val="2D645761"/>
    <w:rsid w:val="2D80642F"/>
    <w:rsid w:val="2D8E0845"/>
    <w:rsid w:val="2D9363FA"/>
    <w:rsid w:val="2DCB5CB8"/>
    <w:rsid w:val="2DEF2D58"/>
    <w:rsid w:val="2DF711B5"/>
    <w:rsid w:val="2E435A3E"/>
    <w:rsid w:val="2E601D0D"/>
    <w:rsid w:val="2E8750F0"/>
    <w:rsid w:val="2EA75A4C"/>
    <w:rsid w:val="2EB50019"/>
    <w:rsid w:val="2FA371FB"/>
    <w:rsid w:val="2FA704F9"/>
    <w:rsid w:val="2FD8218A"/>
    <w:rsid w:val="30351A87"/>
    <w:rsid w:val="30466FAD"/>
    <w:rsid w:val="309B3457"/>
    <w:rsid w:val="30A27899"/>
    <w:rsid w:val="30C70573"/>
    <w:rsid w:val="30CB40F7"/>
    <w:rsid w:val="3110709C"/>
    <w:rsid w:val="31A3511C"/>
    <w:rsid w:val="320432A7"/>
    <w:rsid w:val="324D792B"/>
    <w:rsid w:val="32BC329A"/>
    <w:rsid w:val="32F45E47"/>
    <w:rsid w:val="32F91E5D"/>
    <w:rsid w:val="32FD54F2"/>
    <w:rsid w:val="331A1AE9"/>
    <w:rsid w:val="33215900"/>
    <w:rsid w:val="33987816"/>
    <w:rsid w:val="339C4B4A"/>
    <w:rsid w:val="33C77198"/>
    <w:rsid w:val="33C911E6"/>
    <w:rsid w:val="34A558AB"/>
    <w:rsid w:val="34B5044C"/>
    <w:rsid w:val="34E647E5"/>
    <w:rsid w:val="34F3304E"/>
    <w:rsid w:val="35122567"/>
    <w:rsid w:val="356F6271"/>
    <w:rsid w:val="357472B2"/>
    <w:rsid w:val="35C46059"/>
    <w:rsid w:val="3699109A"/>
    <w:rsid w:val="36F36852"/>
    <w:rsid w:val="37175064"/>
    <w:rsid w:val="371C2A7A"/>
    <w:rsid w:val="37313A8C"/>
    <w:rsid w:val="37490E2A"/>
    <w:rsid w:val="379C3497"/>
    <w:rsid w:val="37AC5CE5"/>
    <w:rsid w:val="37E40CAF"/>
    <w:rsid w:val="380C3FFA"/>
    <w:rsid w:val="386B3FE7"/>
    <w:rsid w:val="38872877"/>
    <w:rsid w:val="3945725B"/>
    <w:rsid w:val="39A74C06"/>
    <w:rsid w:val="3A1644A6"/>
    <w:rsid w:val="3A1D5AC7"/>
    <w:rsid w:val="3A3664C6"/>
    <w:rsid w:val="3A3F1242"/>
    <w:rsid w:val="3A9061D3"/>
    <w:rsid w:val="3AE4029D"/>
    <w:rsid w:val="3B1E18AB"/>
    <w:rsid w:val="3B4C3370"/>
    <w:rsid w:val="3B77586D"/>
    <w:rsid w:val="3B9D1A08"/>
    <w:rsid w:val="3BBF5EFB"/>
    <w:rsid w:val="3BCC7DBE"/>
    <w:rsid w:val="3BD97E61"/>
    <w:rsid w:val="3C977F7F"/>
    <w:rsid w:val="3C9A2955"/>
    <w:rsid w:val="3CAF7A88"/>
    <w:rsid w:val="3D071E86"/>
    <w:rsid w:val="3D1E172C"/>
    <w:rsid w:val="3D24090E"/>
    <w:rsid w:val="3D324AAF"/>
    <w:rsid w:val="3D544AA8"/>
    <w:rsid w:val="3DA7762E"/>
    <w:rsid w:val="3E1E35BF"/>
    <w:rsid w:val="3E3F7351"/>
    <w:rsid w:val="3E5E5864"/>
    <w:rsid w:val="3F09627E"/>
    <w:rsid w:val="3F4030FD"/>
    <w:rsid w:val="3F557119"/>
    <w:rsid w:val="3F7E31EE"/>
    <w:rsid w:val="3F9137AF"/>
    <w:rsid w:val="3FB31FCF"/>
    <w:rsid w:val="3FC36E17"/>
    <w:rsid w:val="3FE332F4"/>
    <w:rsid w:val="3FFC05E0"/>
    <w:rsid w:val="401B17EE"/>
    <w:rsid w:val="402C78DF"/>
    <w:rsid w:val="407C59FD"/>
    <w:rsid w:val="40B953FE"/>
    <w:rsid w:val="415A1A6B"/>
    <w:rsid w:val="415E2774"/>
    <w:rsid w:val="41742ADD"/>
    <w:rsid w:val="41D54F7C"/>
    <w:rsid w:val="420D7A0D"/>
    <w:rsid w:val="423F6721"/>
    <w:rsid w:val="425760A6"/>
    <w:rsid w:val="425D4DB1"/>
    <w:rsid w:val="42933883"/>
    <w:rsid w:val="42980894"/>
    <w:rsid w:val="42A80545"/>
    <w:rsid w:val="441041F1"/>
    <w:rsid w:val="44737612"/>
    <w:rsid w:val="447D42F5"/>
    <w:rsid w:val="44CE099B"/>
    <w:rsid w:val="450D0B4E"/>
    <w:rsid w:val="45175C0C"/>
    <w:rsid w:val="453558C0"/>
    <w:rsid w:val="454635BD"/>
    <w:rsid w:val="45776DED"/>
    <w:rsid w:val="457814BB"/>
    <w:rsid w:val="45A418B0"/>
    <w:rsid w:val="45B37DF5"/>
    <w:rsid w:val="45C23A1D"/>
    <w:rsid w:val="45CE2535"/>
    <w:rsid w:val="45EE417E"/>
    <w:rsid w:val="460B6DBC"/>
    <w:rsid w:val="4616191D"/>
    <w:rsid w:val="467F32E4"/>
    <w:rsid w:val="470251DA"/>
    <w:rsid w:val="47790C22"/>
    <w:rsid w:val="478162E8"/>
    <w:rsid w:val="47E551A5"/>
    <w:rsid w:val="48051CD6"/>
    <w:rsid w:val="48214BA2"/>
    <w:rsid w:val="489B0A52"/>
    <w:rsid w:val="48FE3C81"/>
    <w:rsid w:val="491308C7"/>
    <w:rsid w:val="49642548"/>
    <w:rsid w:val="49A6582E"/>
    <w:rsid w:val="49DB041B"/>
    <w:rsid w:val="49ED0EC8"/>
    <w:rsid w:val="49F50AD9"/>
    <w:rsid w:val="4A26291C"/>
    <w:rsid w:val="4A474E9F"/>
    <w:rsid w:val="4A7D1239"/>
    <w:rsid w:val="4ABA6086"/>
    <w:rsid w:val="4ABB679B"/>
    <w:rsid w:val="4AEE36D7"/>
    <w:rsid w:val="4AF27F03"/>
    <w:rsid w:val="4B4865BA"/>
    <w:rsid w:val="4B597E6D"/>
    <w:rsid w:val="4B8B3392"/>
    <w:rsid w:val="4BCA2C3A"/>
    <w:rsid w:val="4BF62A62"/>
    <w:rsid w:val="4BF85373"/>
    <w:rsid w:val="4C092A6A"/>
    <w:rsid w:val="4C451E3B"/>
    <w:rsid w:val="4CA572C4"/>
    <w:rsid w:val="4CA90C2F"/>
    <w:rsid w:val="4D1612A0"/>
    <w:rsid w:val="4D1E7B16"/>
    <w:rsid w:val="4D93396D"/>
    <w:rsid w:val="4D9A185C"/>
    <w:rsid w:val="4DC04FE8"/>
    <w:rsid w:val="4DCA781E"/>
    <w:rsid w:val="4E04012C"/>
    <w:rsid w:val="4E1B433D"/>
    <w:rsid w:val="4E265055"/>
    <w:rsid w:val="4E2715C4"/>
    <w:rsid w:val="4E421D95"/>
    <w:rsid w:val="4E4E17AF"/>
    <w:rsid w:val="4E75301D"/>
    <w:rsid w:val="4EB63326"/>
    <w:rsid w:val="4ED843F8"/>
    <w:rsid w:val="4EEA0101"/>
    <w:rsid w:val="4F1004D0"/>
    <w:rsid w:val="4FAF2B40"/>
    <w:rsid w:val="502138B3"/>
    <w:rsid w:val="50BF4B88"/>
    <w:rsid w:val="50E12FB0"/>
    <w:rsid w:val="50EF759D"/>
    <w:rsid w:val="50F07D5F"/>
    <w:rsid w:val="513F65CD"/>
    <w:rsid w:val="515807F2"/>
    <w:rsid w:val="52026066"/>
    <w:rsid w:val="522F26C8"/>
    <w:rsid w:val="52AE6FED"/>
    <w:rsid w:val="52C908FA"/>
    <w:rsid w:val="53211130"/>
    <w:rsid w:val="533F582A"/>
    <w:rsid w:val="5360651F"/>
    <w:rsid w:val="542A0934"/>
    <w:rsid w:val="543C0829"/>
    <w:rsid w:val="54C760C7"/>
    <w:rsid w:val="54C962DC"/>
    <w:rsid w:val="55252156"/>
    <w:rsid w:val="557C6BD3"/>
    <w:rsid w:val="55BE2D63"/>
    <w:rsid w:val="55F30D4F"/>
    <w:rsid w:val="55F847F1"/>
    <w:rsid w:val="56D42713"/>
    <w:rsid w:val="57104326"/>
    <w:rsid w:val="57203F0F"/>
    <w:rsid w:val="57353063"/>
    <w:rsid w:val="57811BAC"/>
    <w:rsid w:val="57820E32"/>
    <w:rsid w:val="5786505D"/>
    <w:rsid w:val="57B53E3E"/>
    <w:rsid w:val="57BC45B5"/>
    <w:rsid w:val="57F70546"/>
    <w:rsid w:val="58054101"/>
    <w:rsid w:val="586226CA"/>
    <w:rsid w:val="586D0356"/>
    <w:rsid w:val="5899672B"/>
    <w:rsid w:val="59465622"/>
    <w:rsid w:val="594D4BE8"/>
    <w:rsid w:val="597B0E9A"/>
    <w:rsid w:val="597E7D55"/>
    <w:rsid w:val="5A1802DC"/>
    <w:rsid w:val="5A4D035B"/>
    <w:rsid w:val="5A7944D2"/>
    <w:rsid w:val="5AC60701"/>
    <w:rsid w:val="5AF848DA"/>
    <w:rsid w:val="5BC8428A"/>
    <w:rsid w:val="5BC97683"/>
    <w:rsid w:val="5C3901B1"/>
    <w:rsid w:val="5C59751D"/>
    <w:rsid w:val="5C8127AB"/>
    <w:rsid w:val="5CCA62C1"/>
    <w:rsid w:val="5D17115F"/>
    <w:rsid w:val="5D23568E"/>
    <w:rsid w:val="5D69683B"/>
    <w:rsid w:val="5D7E72C6"/>
    <w:rsid w:val="5DA50B0A"/>
    <w:rsid w:val="5DEB4100"/>
    <w:rsid w:val="5E2B6F37"/>
    <w:rsid w:val="5EA56FD4"/>
    <w:rsid w:val="5EC86EB4"/>
    <w:rsid w:val="5FE8644F"/>
    <w:rsid w:val="5FF71237"/>
    <w:rsid w:val="60144101"/>
    <w:rsid w:val="603F5713"/>
    <w:rsid w:val="606D5DD1"/>
    <w:rsid w:val="608045D3"/>
    <w:rsid w:val="60881098"/>
    <w:rsid w:val="60984474"/>
    <w:rsid w:val="60997E05"/>
    <w:rsid w:val="60E25F1F"/>
    <w:rsid w:val="613A6564"/>
    <w:rsid w:val="61483F51"/>
    <w:rsid w:val="61520AA9"/>
    <w:rsid w:val="61DD7401"/>
    <w:rsid w:val="61EC3DF7"/>
    <w:rsid w:val="626E7FC4"/>
    <w:rsid w:val="628B633B"/>
    <w:rsid w:val="62B84C08"/>
    <w:rsid w:val="62FE60A7"/>
    <w:rsid w:val="63025A1C"/>
    <w:rsid w:val="630A5DDA"/>
    <w:rsid w:val="63CF4F07"/>
    <w:rsid w:val="642520AC"/>
    <w:rsid w:val="643C58A6"/>
    <w:rsid w:val="645C6F0D"/>
    <w:rsid w:val="64A36202"/>
    <w:rsid w:val="64C013F6"/>
    <w:rsid w:val="651041CD"/>
    <w:rsid w:val="65211E27"/>
    <w:rsid w:val="65457573"/>
    <w:rsid w:val="6555068A"/>
    <w:rsid w:val="65DB6C4A"/>
    <w:rsid w:val="66132345"/>
    <w:rsid w:val="66233FBE"/>
    <w:rsid w:val="665C3C5A"/>
    <w:rsid w:val="6675446F"/>
    <w:rsid w:val="667C3F10"/>
    <w:rsid w:val="66EB4804"/>
    <w:rsid w:val="67165C34"/>
    <w:rsid w:val="67210B9C"/>
    <w:rsid w:val="67535A3B"/>
    <w:rsid w:val="67B64384"/>
    <w:rsid w:val="67D2566B"/>
    <w:rsid w:val="67EE0CF8"/>
    <w:rsid w:val="68AC15AB"/>
    <w:rsid w:val="694577E9"/>
    <w:rsid w:val="69AA2D85"/>
    <w:rsid w:val="69E8543D"/>
    <w:rsid w:val="69E87C5F"/>
    <w:rsid w:val="6A3230A0"/>
    <w:rsid w:val="6A916CF0"/>
    <w:rsid w:val="6B6852DB"/>
    <w:rsid w:val="6BC8027B"/>
    <w:rsid w:val="6BFB0E67"/>
    <w:rsid w:val="6C251379"/>
    <w:rsid w:val="6C6B2ABC"/>
    <w:rsid w:val="6CD2365D"/>
    <w:rsid w:val="6D1F26DD"/>
    <w:rsid w:val="6D28077F"/>
    <w:rsid w:val="6D823509"/>
    <w:rsid w:val="6DAF63AF"/>
    <w:rsid w:val="6DDF631F"/>
    <w:rsid w:val="6E9E6873"/>
    <w:rsid w:val="6EB52D88"/>
    <w:rsid w:val="6EDA5B91"/>
    <w:rsid w:val="6F1E1136"/>
    <w:rsid w:val="6F29759A"/>
    <w:rsid w:val="6FCC2410"/>
    <w:rsid w:val="6FEB6DA7"/>
    <w:rsid w:val="70222C77"/>
    <w:rsid w:val="70B256C2"/>
    <w:rsid w:val="70B920B2"/>
    <w:rsid w:val="70C64442"/>
    <w:rsid w:val="7139453C"/>
    <w:rsid w:val="717A150A"/>
    <w:rsid w:val="71E92EEF"/>
    <w:rsid w:val="720C1DE3"/>
    <w:rsid w:val="72692A63"/>
    <w:rsid w:val="72AE06D2"/>
    <w:rsid w:val="73107B61"/>
    <w:rsid w:val="7354358F"/>
    <w:rsid w:val="736116CB"/>
    <w:rsid w:val="73E70E2B"/>
    <w:rsid w:val="73EF7B88"/>
    <w:rsid w:val="74100752"/>
    <w:rsid w:val="74165E33"/>
    <w:rsid w:val="742302EE"/>
    <w:rsid w:val="746C113A"/>
    <w:rsid w:val="74764126"/>
    <w:rsid w:val="74817B07"/>
    <w:rsid w:val="748A3FB6"/>
    <w:rsid w:val="74B91F7B"/>
    <w:rsid w:val="74B94F50"/>
    <w:rsid w:val="74CD3DF4"/>
    <w:rsid w:val="74D24C7E"/>
    <w:rsid w:val="74D8356D"/>
    <w:rsid w:val="74EA174E"/>
    <w:rsid w:val="7504711A"/>
    <w:rsid w:val="750A1654"/>
    <w:rsid w:val="75153960"/>
    <w:rsid w:val="75CA5135"/>
    <w:rsid w:val="75ED11B6"/>
    <w:rsid w:val="760736EC"/>
    <w:rsid w:val="76106978"/>
    <w:rsid w:val="7687172E"/>
    <w:rsid w:val="76B66D9A"/>
    <w:rsid w:val="774A20E2"/>
    <w:rsid w:val="77886FAA"/>
    <w:rsid w:val="778D0D60"/>
    <w:rsid w:val="77B452D1"/>
    <w:rsid w:val="78081911"/>
    <w:rsid w:val="781F29B5"/>
    <w:rsid w:val="78314239"/>
    <w:rsid w:val="78747805"/>
    <w:rsid w:val="789032CD"/>
    <w:rsid w:val="78C77218"/>
    <w:rsid w:val="79012C87"/>
    <w:rsid w:val="792E69F8"/>
    <w:rsid w:val="796C07B0"/>
    <w:rsid w:val="796C5866"/>
    <w:rsid w:val="798A4CBB"/>
    <w:rsid w:val="79991E74"/>
    <w:rsid w:val="79BF1EF6"/>
    <w:rsid w:val="79F356FA"/>
    <w:rsid w:val="79FE2FAF"/>
    <w:rsid w:val="7A287F4C"/>
    <w:rsid w:val="7A393D5D"/>
    <w:rsid w:val="7A8375A4"/>
    <w:rsid w:val="7AD73923"/>
    <w:rsid w:val="7B6F4353"/>
    <w:rsid w:val="7B7748F2"/>
    <w:rsid w:val="7B89169D"/>
    <w:rsid w:val="7BC05514"/>
    <w:rsid w:val="7C0515B7"/>
    <w:rsid w:val="7C206DD8"/>
    <w:rsid w:val="7C5157CE"/>
    <w:rsid w:val="7C5A3009"/>
    <w:rsid w:val="7C731919"/>
    <w:rsid w:val="7CA74CD5"/>
    <w:rsid w:val="7CA95B17"/>
    <w:rsid w:val="7CB52372"/>
    <w:rsid w:val="7CEB6E3A"/>
    <w:rsid w:val="7CFC14B3"/>
    <w:rsid w:val="7D2220BA"/>
    <w:rsid w:val="7D2E73B6"/>
    <w:rsid w:val="7D742300"/>
    <w:rsid w:val="7E1E5407"/>
    <w:rsid w:val="7E291EA3"/>
    <w:rsid w:val="7E597F54"/>
    <w:rsid w:val="7E7D178C"/>
    <w:rsid w:val="7EBC223C"/>
    <w:rsid w:val="7EF42982"/>
    <w:rsid w:val="7F092E7C"/>
    <w:rsid w:val="7F1F2DBB"/>
    <w:rsid w:val="7F4251C1"/>
    <w:rsid w:val="7F712841"/>
    <w:rsid w:val="7F9B41CE"/>
    <w:rsid w:val="7F9C309E"/>
    <w:rsid w:val="7FCE74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40"/>
    <w:qFormat/>
    <w:uiPriority w:val="0"/>
    <w:pPr>
      <w:keepNext/>
      <w:keepLines/>
      <w:spacing w:before="340" w:beforeLines="0" w:beforeAutospacing="0" w:after="330" w:afterLines="0" w:afterAutospacing="0" w:line="576" w:lineRule="auto"/>
      <w:outlineLvl w:val="0"/>
    </w:pPr>
    <w:rPr>
      <w:rFonts w:hint="eastAsia" w:ascii="宋体" w:hAnsi="宋体"/>
      <w:b/>
      <w:color w:val="000000"/>
      <w:kern w:val="0"/>
      <w:sz w:val="36"/>
      <w:szCs w:val="20"/>
      <w14:shadow w14:blurRad="50800" w14:dist="38100" w14:dir="2700000" w14:sx="100000" w14:sy="100000" w14:kx="0" w14:ky="0" w14:algn="tl">
        <w14:srgbClr w14:val="000000">
          <w14:alpha w14:val="60000"/>
        </w14:srgbClr>
      </w14:shadow>
    </w:rPr>
  </w:style>
  <w:style w:type="paragraph" w:styleId="5">
    <w:name w:val="heading 2"/>
    <w:basedOn w:val="1"/>
    <w:next w:val="1"/>
    <w:link w:val="41"/>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32"/>
    </w:rPr>
  </w:style>
  <w:style w:type="paragraph" w:styleId="6">
    <w:name w:val="heading 3"/>
    <w:basedOn w:val="1"/>
    <w:next w:val="7"/>
    <w:link w:val="42"/>
    <w:qFormat/>
    <w:uiPriority w:val="0"/>
    <w:pPr>
      <w:keepNext/>
      <w:keepLines/>
      <w:spacing w:before="260" w:beforeLines="0" w:beforeAutospacing="0" w:after="260" w:afterLines="0" w:afterAutospacing="0" w:line="413" w:lineRule="auto"/>
      <w:outlineLvl w:val="2"/>
    </w:pPr>
    <w:rPr>
      <w:rFonts w:hint="eastAsia" w:ascii="宋体" w:hAnsi="宋体"/>
      <w:b/>
      <w:sz w:val="32"/>
      <w:szCs w:val="32"/>
    </w:rPr>
  </w:style>
  <w:style w:type="paragraph" w:styleId="8">
    <w:name w:val="heading 4"/>
    <w:basedOn w:val="1"/>
    <w:next w:val="1"/>
    <w:link w:val="44"/>
    <w:qFormat/>
    <w:uiPriority w:val="0"/>
    <w:pPr>
      <w:keepNext/>
      <w:keepLines/>
      <w:spacing w:before="280" w:beforeLines="0" w:beforeAutospacing="0" w:after="290" w:afterLines="0" w:afterAutospacing="0" w:line="372" w:lineRule="auto"/>
      <w:outlineLvl w:val="3"/>
    </w:pPr>
    <w:rPr>
      <w:rFonts w:ascii="Arial" w:hAnsi="Arial" w:eastAsia="黑体"/>
      <w:b/>
      <w:sz w:val="28"/>
      <w:szCs w:val="28"/>
    </w:rPr>
  </w:style>
  <w:style w:type="paragraph" w:styleId="9">
    <w:name w:val="heading 5"/>
    <w:basedOn w:val="1"/>
    <w:next w:val="1"/>
    <w:link w:val="45"/>
    <w:qFormat/>
    <w:uiPriority w:val="0"/>
    <w:pPr>
      <w:keepNext/>
      <w:keepLines/>
      <w:spacing w:before="280" w:beforeLines="0" w:beforeAutospacing="0" w:after="290" w:afterLines="0" w:afterAutospacing="0" w:line="372" w:lineRule="auto"/>
      <w:outlineLvl w:val="4"/>
    </w:pPr>
    <w:rPr>
      <w:rFonts w:hint="eastAsia" w:ascii="宋体" w:hAnsi="宋体"/>
      <w:b/>
      <w:sz w:val="28"/>
      <w:szCs w:val="28"/>
    </w:rPr>
  </w:style>
  <w:style w:type="paragraph" w:styleId="10">
    <w:name w:val="heading 6"/>
    <w:basedOn w:val="1"/>
    <w:next w:val="1"/>
    <w:link w:val="46"/>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1">
    <w:name w:val="heading 7"/>
    <w:basedOn w:val="1"/>
    <w:next w:val="1"/>
    <w:link w:val="47"/>
    <w:qFormat/>
    <w:uiPriority w:val="0"/>
    <w:pPr>
      <w:keepNext/>
      <w:keepLines/>
      <w:spacing w:before="240" w:beforeLines="0" w:beforeAutospacing="0" w:after="64" w:afterLines="0" w:afterAutospacing="0" w:line="317" w:lineRule="auto"/>
      <w:outlineLvl w:val="6"/>
    </w:pPr>
    <w:rPr>
      <w:rFonts w:hint="eastAsia" w:ascii="宋体" w:hAnsi="宋体"/>
      <w:b/>
      <w:sz w:val="24"/>
    </w:rPr>
  </w:style>
  <w:style w:type="paragraph" w:styleId="12">
    <w:name w:val="heading 8"/>
    <w:basedOn w:val="1"/>
    <w:next w:val="1"/>
    <w:link w:val="48"/>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3">
    <w:name w:val="heading 9"/>
    <w:basedOn w:val="1"/>
    <w:next w:val="1"/>
    <w:link w:val="49"/>
    <w:qFormat/>
    <w:uiPriority w:val="0"/>
    <w:pPr>
      <w:keepNext/>
      <w:keepLines/>
      <w:spacing w:before="240" w:beforeLines="0" w:beforeAutospacing="0" w:after="64" w:afterLines="0" w:afterAutospacing="0" w:line="317" w:lineRule="auto"/>
      <w:outlineLvl w:val="8"/>
    </w:pPr>
    <w:rPr>
      <w:rFonts w:ascii="Arial" w:hAnsi="Arial" w:eastAsia="黑体"/>
      <w:szCs w:val="21"/>
    </w:rPr>
  </w:style>
  <w:style w:type="character" w:default="1" w:styleId="32">
    <w:name w:val="Default Paragraph Font"/>
    <w:semiHidden/>
    <w:uiPriority w:val="0"/>
  </w:style>
  <w:style w:type="table" w:default="1" w:styleId="30">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30"/>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rFonts w:ascii="Times New Roman" w:hAnsi="Times New Roman" w:cs="Times New Roman"/>
      <w:kern w:val="0"/>
      <w:szCs w:val="24"/>
    </w:rPr>
  </w:style>
  <w:style w:type="paragraph" w:styleId="3">
    <w:name w:val="Body Text"/>
    <w:basedOn w:val="1"/>
    <w:link w:val="39"/>
    <w:uiPriority w:val="0"/>
    <w:pPr>
      <w:spacing w:after="120" w:afterLines="0" w:afterAutospacing="0"/>
    </w:pPr>
    <w:rPr>
      <w:rFonts w:hint="eastAsia" w:ascii="宋体" w:hAnsi="宋体"/>
      <w:kern w:val="0"/>
      <w:sz w:val="34"/>
      <w:szCs w:val="20"/>
    </w:rPr>
  </w:style>
  <w:style w:type="paragraph" w:styleId="7">
    <w:name w:val="Normal Indent"/>
    <w:basedOn w:val="1"/>
    <w:link w:val="43"/>
    <w:uiPriority w:val="0"/>
    <w:pPr>
      <w:ind w:firstLine="420" w:firstLineChars="200"/>
    </w:pPr>
    <w:rPr>
      <w:rFonts w:hint="eastAsia" w:ascii="宋体" w:hAnsi="宋体"/>
      <w:szCs w:val="21"/>
    </w:rPr>
  </w:style>
  <w:style w:type="paragraph" w:styleId="14">
    <w:name w:val="caption"/>
    <w:basedOn w:val="1"/>
    <w:next w:val="1"/>
    <w:qFormat/>
    <w:uiPriority w:val="0"/>
    <w:pPr>
      <w:tabs>
        <w:tab w:val="center" w:pos="10467"/>
        <w:tab w:val="left" w:pos="13095"/>
      </w:tabs>
      <w:ind w:firstLine="576"/>
      <w:jc w:val="center"/>
    </w:pPr>
    <w:rPr>
      <w:rFonts w:ascii="Arial" w:hAnsi="Arial" w:eastAsia="宋体" w:cs="Arial"/>
      <w:b/>
      <w:sz w:val="24"/>
    </w:rPr>
  </w:style>
  <w:style w:type="paragraph" w:styleId="15">
    <w:name w:val="annotation text"/>
    <w:basedOn w:val="1"/>
    <w:link w:val="50"/>
    <w:uiPriority w:val="0"/>
    <w:pPr>
      <w:jc w:val="left"/>
    </w:pPr>
    <w:rPr>
      <w:rFonts w:hint="eastAsia" w:ascii="宋体" w:hAnsi="宋体"/>
      <w:kern w:val="0"/>
      <w:sz w:val="34"/>
      <w:szCs w:val="20"/>
    </w:rPr>
  </w:style>
  <w:style w:type="paragraph" w:styleId="16">
    <w:name w:val="Body Text Indent"/>
    <w:basedOn w:val="1"/>
    <w:uiPriority w:val="0"/>
    <w:pPr>
      <w:keepNext w:val="0"/>
      <w:keepLines w:val="0"/>
      <w:widowControl w:val="0"/>
      <w:suppressLineNumbers w:val="0"/>
      <w:spacing w:before="0" w:beforeAutospacing="0" w:after="0" w:afterAutospacing="0"/>
      <w:ind w:left="0" w:right="0" w:firstLine="570"/>
      <w:jc w:val="both"/>
    </w:pPr>
    <w:rPr>
      <w:rFonts w:hint="eastAsia" w:ascii="宋体" w:hAnsi="Times New Roman" w:eastAsia="宋体" w:cs="Times New Roman"/>
      <w:kern w:val="0"/>
      <w:sz w:val="28"/>
      <w:szCs w:val="20"/>
      <w:lang w:val="en-US" w:eastAsia="zh-CN" w:bidi="ar"/>
    </w:rPr>
  </w:style>
  <w:style w:type="paragraph" w:styleId="17">
    <w:name w:val="Plain Text"/>
    <w:basedOn w:val="1"/>
    <w:link w:val="51"/>
    <w:uiPriority w:val="0"/>
    <w:pPr>
      <w:keepNext w:val="0"/>
      <w:keepLines w:val="0"/>
      <w:widowControl/>
      <w:suppressLineNumbers w:val="0"/>
      <w:overflowPunct w:val="0"/>
      <w:autoSpaceDE w:val="0"/>
      <w:autoSpaceDN w:val="0"/>
      <w:adjustRightInd w:val="0"/>
      <w:spacing w:before="0" w:beforeAutospacing="0" w:after="0" w:afterAutospacing="0"/>
      <w:ind w:left="0" w:right="0"/>
      <w:jc w:val="left"/>
    </w:pPr>
    <w:rPr>
      <w:rFonts w:hint="eastAsia" w:ascii="宋体" w:hAnsi="Courier New"/>
      <w:kern w:val="0"/>
      <w:szCs w:val="21"/>
    </w:rPr>
  </w:style>
  <w:style w:type="paragraph" w:styleId="18">
    <w:name w:val="Date"/>
    <w:basedOn w:val="1"/>
    <w:next w:val="1"/>
    <w:uiPriority w:val="0"/>
    <w:pPr>
      <w:keepNext w:val="0"/>
      <w:keepLines w:val="0"/>
      <w:widowControl w:val="0"/>
      <w:suppressLineNumbers w:val="0"/>
      <w:spacing w:before="0" w:beforeAutospacing="0" w:after="0" w:afterAutospacing="0"/>
      <w:ind w:left="100" w:leftChars="2500" w:right="0"/>
      <w:jc w:val="both"/>
    </w:pPr>
    <w:rPr>
      <w:rFonts w:hint="eastAsia" w:ascii="宋体" w:hAnsi="Times New Roman" w:eastAsia="宋体" w:cs="Times New Roman"/>
      <w:kern w:val="0"/>
      <w:sz w:val="34"/>
      <w:szCs w:val="20"/>
      <w:lang w:val="en-US" w:eastAsia="zh-CN" w:bidi="ar"/>
    </w:rPr>
  </w:style>
  <w:style w:type="paragraph" w:styleId="19">
    <w:name w:val="Body Text Indent 2"/>
    <w:basedOn w:val="1"/>
    <w:uiPriority w:val="0"/>
    <w:pPr>
      <w:spacing w:after="120" w:afterLines="0" w:line="480" w:lineRule="auto"/>
      <w:ind w:left="420" w:leftChars="200"/>
    </w:pPr>
  </w:style>
  <w:style w:type="paragraph" w:styleId="20">
    <w:name w:val="Balloon Text"/>
    <w:basedOn w:val="1"/>
    <w:link w:val="52"/>
    <w:uiPriority w:val="0"/>
    <w:rPr>
      <w:rFonts w:hint="eastAsia" w:ascii="宋体" w:hAnsi="宋体"/>
      <w:sz w:val="18"/>
      <w:szCs w:val="18"/>
    </w:rPr>
  </w:style>
  <w:style w:type="paragraph" w:styleId="21">
    <w:name w:val="footer"/>
    <w:basedOn w:val="1"/>
    <w:link w:val="53"/>
    <w:uiPriority w:val="0"/>
    <w:pPr>
      <w:tabs>
        <w:tab w:val="center" w:pos="4153"/>
        <w:tab w:val="right" w:pos="8306"/>
      </w:tabs>
      <w:snapToGrid w:val="0"/>
      <w:jc w:val="left"/>
    </w:pPr>
    <w:rPr>
      <w:rFonts w:hint="eastAsia" w:ascii="黑体"/>
      <w:sz w:val="18"/>
      <w:szCs w:val="18"/>
    </w:rPr>
  </w:style>
  <w:style w:type="paragraph" w:styleId="22">
    <w:name w:val="header"/>
    <w:basedOn w:val="1"/>
    <w:link w:val="5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hint="eastAsia" w:ascii="宋体" w:hAnsi="宋体"/>
      <w:sz w:val="18"/>
      <w:szCs w:val="18"/>
    </w:rPr>
  </w:style>
  <w:style w:type="paragraph" w:styleId="23">
    <w:name w:val="toc 1"/>
    <w:basedOn w:val="1"/>
    <w:next w:val="1"/>
    <w:uiPriority w:val="0"/>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0"/>
      <w:sz w:val="34"/>
      <w:szCs w:val="20"/>
      <w:lang w:val="en-US" w:eastAsia="zh-CN" w:bidi="ar"/>
    </w:rPr>
  </w:style>
  <w:style w:type="paragraph" w:styleId="24">
    <w:name w:val="footnote text"/>
    <w:basedOn w:val="1"/>
    <w:link w:val="55"/>
    <w:uiPriority w:val="0"/>
    <w:pPr>
      <w:snapToGrid w:val="0"/>
      <w:jc w:val="left"/>
    </w:pPr>
    <w:rPr>
      <w:rFonts w:hint="eastAsia" w:ascii="仿宋_GB2312" w:eastAsia="仿宋_GB2312"/>
      <w:kern w:val="0"/>
      <w:sz w:val="18"/>
      <w:szCs w:val="18"/>
    </w:rPr>
  </w:style>
  <w:style w:type="paragraph" w:styleId="25">
    <w:name w:val="Body Text Indent 3"/>
    <w:basedOn w:val="1"/>
    <w:link w:val="56"/>
    <w:uiPriority w:val="0"/>
    <w:pPr>
      <w:spacing w:after="120" w:afterLines="0" w:afterAutospacing="0"/>
      <w:ind w:left="420" w:leftChars="200"/>
    </w:pPr>
    <w:rPr>
      <w:rFonts w:hint="eastAsia" w:ascii="宋体" w:hAnsi="宋体"/>
      <w:sz w:val="16"/>
      <w:szCs w:val="16"/>
    </w:rPr>
  </w:style>
  <w:style w:type="paragraph" w:styleId="26">
    <w:name w:val="HTML Preformatted"/>
    <w:basedOn w:val="1"/>
    <w:link w:val="57"/>
    <w:uiPriority w:val="0"/>
    <w:rPr>
      <w:rFonts w:hint="eastAsia" w:ascii="宋体" w:hAnsi="宋体"/>
      <w:kern w:val="0"/>
      <w:sz w:val="24"/>
    </w:rPr>
  </w:style>
  <w:style w:type="paragraph" w:styleId="27">
    <w:name w:val="Normal (Web)"/>
    <w:basedOn w:val="1"/>
    <w:uiPriority w:val="0"/>
    <w:pPr>
      <w:widowControl/>
      <w:jc w:val="left"/>
    </w:pPr>
    <w:rPr>
      <w:rFonts w:ascii="宋体" w:hAnsi="宋体"/>
      <w:kern w:val="0"/>
      <w:sz w:val="24"/>
    </w:rPr>
  </w:style>
  <w:style w:type="paragraph" w:styleId="28">
    <w:name w:val="Title"/>
    <w:basedOn w:val="1"/>
    <w:next w:val="1"/>
    <w:link w:val="58"/>
    <w:qFormat/>
    <w:uiPriority w:val="0"/>
    <w:pPr>
      <w:keepNext w:val="0"/>
      <w:keepLines w:val="0"/>
      <w:widowControl w:val="0"/>
      <w:suppressLineNumbers w:val="0"/>
      <w:autoSpaceDE w:val="0"/>
      <w:autoSpaceDN w:val="0"/>
      <w:adjustRightInd w:val="0"/>
      <w:spacing w:before="240" w:beforeAutospacing="0" w:after="60" w:afterAutospacing="0"/>
      <w:ind w:left="0" w:right="0"/>
      <w:jc w:val="center"/>
      <w:outlineLvl w:val="0"/>
    </w:pPr>
    <w:rPr>
      <w:rFonts w:ascii="Cambria" w:hAnsi="Cambria"/>
      <w:b/>
      <w:color w:val="000000"/>
      <w:kern w:val="0"/>
      <w:sz w:val="32"/>
      <w:szCs w:val="32"/>
    </w:rPr>
  </w:style>
  <w:style w:type="paragraph" w:styleId="29">
    <w:name w:val="annotation subject"/>
    <w:basedOn w:val="15"/>
    <w:next w:val="15"/>
    <w:link w:val="59"/>
    <w:uiPriority w:val="0"/>
    <w:rPr>
      <w:rFonts w:ascii="仿宋_GB2312" w:hAnsi="Calibri" w:eastAsia="仿宋_GB2312"/>
      <w:b/>
      <w:sz w:val="24"/>
    </w:rPr>
  </w:style>
  <w:style w:type="table" w:styleId="31">
    <w:name w:val="Table Grid"/>
    <w:basedOn w:val="30"/>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3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qFormat/>
    <w:uiPriority w:val="0"/>
    <w:rPr>
      <w:rFonts w:hint="eastAsia" w:ascii="黑体" w:eastAsia="黑体" w:cs="黑体"/>
      <w:b/>
      <w:kern w:val="0"/>
      <w:sz w:val="24"/>
      <w:szCs w:val="20"/>
    </w:rPr>
  </w:style>
  <w:style w:type="character" w:styleId="34">
    <w:name w:val="page number"/>
    <w:basedOn w:val="32"/>
    <w:uiPriority w:val="0"/>
  </w:style>
  <w:style w:type="character" w:styleId="35">
    <w:name w:val="FollowedHyperlink"/>
    <w:uiPriority w:val="0"/>
    <w:rPr>
      <w:color w:val="800080"/>
      <w:u w:val="single"/>
    </w:rPr>
  </w:style>
  <w:style w:type="character" w:styleId="36">
    <w:name w:val="Emphasis"/>
    <w:qFormat/>
    <w:uiPriority w:val="0"/>
  </w:style>
  <w:style w:type="character" w:styleId="37">
    <w:name w:val="Hyperlink"/>
    <w:uiPriority w:val="0"/>
    <w:rPr>
      <w:color w:val="0000FF"/>
      <w:u w:val="single"/>
    </w:rPr>
  </w:style>
  <w:style w:type="character" w:styleId="38">
    <w:name w:val="annotation reference"/>
    <w:uiPriority w:val="0"/>
    <w:rPr>
      <w:sz w:val="21"/>
      <w:szCs w:val="21"/>
    </w:rPr>
  </w:style>
  <w:style w:type="character" w:customStyle="1" w:styleId="39">
    <w:name w:val="正文文本 Char"/>
    <w:link w:val="3"/>
    <w:uiPriority w:val="0"/>
    <w:rPr>
      <w:rFonts w:hint="eastAsia" w:ascii="宋体" w:hAnsi="宋体" w:eastAsia="宋体" w:cs="宋体"/>
      <w:sz w:val="34"/>
      <w:lang w:val="en-US" w:eastAsia="zh-CN" w:bidi="ar"/>
    </w:rPr>
  </w:style>
  <w:style w:type="character" w:customStyle="1" w:styleId="40">
    <w:name w:val="标题 1 Char"/>
    <w:link w:val="4"/>
    <w:uiPriority w:val="0"/>
    <w:rPr>
      <w:rFonts w:hint="eastAsia" w:ascii="宋体" w:hAnsi="宋体" w:eastAsia="宋体" w:cs="宋体"/>
      <w:b/>
      <w:color w:val="000000"/>
      <w:sz w:val="36"/>
      <w:lang w:val="en-US" w:eastAsia="zh-CN" w:bidi="ar"/>
      <w14:shadow w14:blurRad="50800" w14:dist="38100" w14:dir="2700000" w14:sx="100000" w14:sy="100000" w14:kx="0" w14:ky="0" w14:algn="tl">
        <w14:srgbClr w14:val="000000">
          <w14:alpha w14:val="60000"/>
        </w14:srgbClr>
      </w14:shadow>
    </w:rPr>
  </w:style>
  <w:style w:type="character" w:customStyle="1" w:styleId="41">
    <w:name w:val="标题 2 Char"/>
    <w:link w:val="5"/>
    <w:uiPriority w:val="0"/>
    <w:rPr>
      <w:rFonts w:hint="default" w:ascii="Arial" w:hAnsi="Arial" w:eastAsia="黑体" w:cs="Arial"/>
      <w:b/>
      <w:sz w:val="32"/>
      <w:szCs w:val="32"/>
      <w:lang w:val="en-US" w:eastAsia="zh-CN" w:bidi="ar"/>
    </w:rPr>
  </w:style>
  <w:style w:type="character" w:customStyle="1" w:styleId="42">
    <w:name w:val="标题 3 Char"/>
    <w:link w:val="6"/>
    <w:uiPriority w:val="0"/>
    <w:rPr>
      <w:rFonts w:hint="eastAsia" w:ascii="宋体" w:hAnsi="宋体" w:eastAsia="宋体" w:cs="宋体"/>
      <w:b/>
      <w:kern w:val="2"/>
      <w:sz w:val="32"/>
      <w:szCs w:val="32"/>
      <w:lang w:val="en-US" w:eastAsia="zh-CN" w:bidi="ar"/>
    </w:rPr>
  </w:style>
  <w:style w:type="character" w:customStyle="1" w:styleId="43">
    <w:name w:val="正文缩进 Char"/>
    <w:link w:val="7"/>
    <w:uiPriority w:val="0"/>
    <w:rPr>
      <w:rFonts w:hint="eastAsia" w:ascii="宋体" w:hAnsi="宋体" w:eastAsia="宋体" w:cs="宋体"/>
      <w:kern w:val="2"/>
      <w:sz w:val="21"/>
      <w:szCs w:val="21"/>
      <w:lang w:val="en-US" w:eastAsia="zh-CN" w:bidi="ar"/>
    </w:rPr>
  </w:style>
  <w:style w:type="character" w:customStyle="1" w:styleId="44">
    <w:name w:val="标题 4 Char"/>
    <w:link w:val="8"/>
    <w:uiPriority w:val="0"/>
    <w:rPr>
      <w:rFonts w:ascii="Arial" w:hAnsi="Arial" w:eastAsia="黑体" w:cs="Arial"/>
      <w:b/>
      <w:kern w:val="2"/>
      <w:sz w:val="28"/>
      <w:szCs w:val="28"/>
      <w:lang w:val="en-US" w:eastAsia="zh-CN" w:bidi="ar"/>
    </w:rPr>
  </w:style>
  <w:style w:type="character" w:customStyle="1" w:styleId="45">
    <w:name w:val="标题 5 Char"/>
    <w:link w:val="9"/>
    <w:uiPriority w:val="0"/>
    <w:rPr>
      <w:rFonts w:hint="eastAsia" w:ascii="宋体" w:hAnsi="宋体" w:eastAsia="宋体" w:cs="宋体"/>
      <w:b/>
      <w:kern w:val="2"/>
      <w:sz w:val="28"/>
      <w:szCs w:val="28"/>
      <w:lang w:val="en-US" w:eastAsia="zh-CN" w:bidi="ar"/>
    </w:rPr>
  </w:style>
  <w:style w:type="character" w:customStyle="1" w:styleId="46">
    <w:name w:val="标题 6 Char"/>
    <w:link w:val="10"/>
    <w:uiPriority w:val="0"/>
    <w:rPr>
      <w:rFonts w:hint="default" w:ascii="Arial" w:hAnsi="Arial" w:eastAsia="黑体" w:cs="Arial"/>
      <w:b/>
      <w:kern w:val="2"/>
      <w:sz w:val="24"/>
      <w:szCs w:val="24"/>
      <w:lang w:val="en-US" w:eastAsia="zh-CN" w:bidi="ar"/>
    </w:rPr>
  </w:style>
  <w:style w:type="character" w:customStyle="1" w:styleId="47">
    <w:name w:val="标题 7 Char"/>
    <w:link w:val="11"/>
    <w:uiPriority w:val="0"/>
    <w:rPr>
      <w:rFonts w:hint="eastAsia" w:ascii="宋体" w:hAnsi="宋体" w:eastAsia="宋体" w:cs="宋体"/>
      <w:b/>
      <w:kern w:val="2"/>
      <w:sz w:val="24"/>
      <w:szCs w:val="24"/>
      <w:lang w:val="en-US" w:eastAsia="zh-CN" w:bidi="ar"/>
    </w:rPr>
  </w:style>
  <w:style w:type="character" w:customStyle="1" w:styleId="48">
    <w:name w:val="标题 8 Char"/>
    <w:link w:val="12"/>
    <w:uiPriority w:val="0"/>
    <w:rPr>
      <w:rFonts w:hint="default" w:ascii="Arial" w:hAnsi="Arial" w:eastAsia="黑体" w:cs="Arial"/>
      <w:kern w:val="2"/>
      <w:sz w:val="24"/>
      <w:szCs w:val="24"/>
      <w:lang w:val="en-US" w:eastAsia="zh-CN" w:bidi="ar"/>
    </w:rPr>
  </w:style>
  <w:style w:type="character" w:customStyle="1" w:styleId="49">
    <w:name w:val="标题 9 Char"/>
    <w:link w:val="13"/>
    <w:uiPriority w:val="0"/>
    <w:rPr>
      <w:rFonts w:hint="default" w:ascii="Arial" w:hAnsi="Arial" w:eastAsia="黑体" w:cs="Arial"/>
      <w:kern w:val="2"/>
      <w:sz w:val="21"/>
      <w:szCs w:val="21"/>
      <w:lang w:val="en-US" w:eastAsia="zh-CN" w:bidi="ar"/>
    </w:rPr>
  </w:style>
  <w:style w:type="character" w:customStyle="1" w:styleId="50">
    <w:name w:val="批注文字 Char"/>
    <w:link w:val="15"/>
    <w:uiPriority w:val="0"/>
    <w:rPr>
      <w:rFonts w:hint="eastAsia" w:ascii="宋体" w:hAnsi="宋体" w:eastAsia="宋体" w:cs="宋体"/>
      <w:sz w:val="34"/>
      <w:lang w:val="en-US" w:eastAsia="zh-CN" w:bidi="ar"/>
    </w:rPr>
  </w:style>
  <w:style w:type="character" w:customStyle="1" w:styleId="51">
    <w:name w:val="纯文本 Char"/>
    <w:link w:val="17"/>
    <w:uiPriority w:val="0"/>
    <w:rPr>
      <w:rFonts w:hint="eastAsia" w:ascii="宋体" w:hAnsi="Courier New" w:eastAsia="宋体" w:cs="宋体"/>
      <w:sz w:val="21"/>
      <w:szCs w:val="21"/>
      <w:lang w:val="en-US" w:eastAsia="zh-CN" w:bidi="ar"/>
    </w:rPr>
  </w:style>
  <w:style w:type="character" w:customStyle="1" w:styleId="52">
    <w:name w:val="批注框文本 Char"/>
    <w:link w:val="20"/>
    <w:uiPriority w:val="0"/>
    <w:rPr>
      <w:rFonts w:hint="eastAsia" w:ascii="宋体" w:hAnsi="宋体" w:eastAsia="宋体" w:cs="宋体"/>
      <w:kern w:val="2"/>
      <w:sz w:val="18"/>
      <w:szCs w:val="18"/>
      <w:lang w:val="en-US" w:eastAsia="zh-CN" w:bidi="ar"/>
    </w:rPr>
  </w:style>
  <w:style w:type="character" w:customStyle="1" w:styleId="53">
    <w:name w:val="页脚 Char"/>
    <w:link w:val="21"/>
    <w:uiPriority w:val="0"/>
    <w:rPr>
      <w:rFonts w:hint="eastAsia" w:ascii="黑体" w:eastAsia="宋体" w:cs="黑体"/>
      <w:kern w:val="2"/>
      <w:sz w:val="18"/>
      <w:szCs w:val="18"/>
      <w:lang w:val="en-US" w:eastAsia="zh-CN" w:bidi="ar"/>
    </w:rPr>
  </w:style>
  <w:style w:type="character" w:customStyle="1" w:styleId="54">
    <w:name w:val="页眉 Char"/>
    <w:link w:val="22"/>
    <w:uiPriority w:val="0"/>
    <w:rPr>
      <w:rFonts w:hint="eastAsia" w:ascii="宋体" w:hAnsi="宋体" w:eastAsia="宋体" w:cs="宋体"/>
      <w:kern w:val="2"/>
      <w:sz w:val="18"/>
      <w:szCs w:val="18"/>
      <w:lang w:val="en-US" w:eastAsia="zh-CN" w:bidi="ar"/>
    </w:rPr>
  </w:style>
  <w:style w:type="character" w:customStyle="1" w:styleId="55">
    <w:name w:val="脚注文本 Char"/>
    <w:link w:val="24"/>
    <w:uiPriority w:val="0"/>
    <w:rPr>
      <w:rFonts w:hint="eastAsia" w:ascii="仿宋_GB2312" w:eastAsia="仿宋_GB2312" w:cs="仿宋_GB2312"/>
      <w:sz w:val="18"/>
      <w:szCs w:val="18"/>
      <w:lang w:bidi="ar"/>
    </w:rPr>
  </w:style>
  <w:style w:type="character" w:customStyle="1" w:styleId="56">
    <w:name w:val="正文文本缩进 3 Char"/>
    <w:link w:val="25"/>
    <w:uiPriority w:val="0"/>
    <w:rPr>
      <w:rFonts w:hint="eastAsia" w:ascii="宋体" w:hAnsi="宋体" w:eastAsia="宋体" w:cs="宋体"/>
      <w:kern w:val="2"/>
      <w:sz w:val="16"/>
      <w:szCs w:val="16"/>
      <w:lang w:val="en-US" w:eastAsia="zh-CN" w:bidi="ar"/>
    </w:rPr>
  </w:style>
  <w:style w:type="character" w:customStyle="1" w:styleId="57">
    <w:name w:val="HTML 预设格式 Char"/>
    <w:link w:val="26"/>
    <w:uiPriority w:val="0"/>
    <w:rPr>
      <w:rFonts w:hint="eastAsia" w:ascii="宋体" w:hAnsi="宋体" w:eastAsia="宋体" w:cs="宋体"/>
      <w:sz w:val="24"/>
      <w:szCs w:val="24"/>
      <w:lang w:bidi="ar"/>
    </w:rPr>
  </w:style>
  <w:style w:type="character" w:customStyle="1" w:styleId="58">
    <w:name w:val="标题 Char"/>
    <w:link w:val="28"/>
    <w:uiPriority w:val="0"/>
    <w:rPr>
      <w:rFonts w:hint="default" w:ascii="Cambria" w:hAnsi="Cambria" w:eastAsia="宋体" w:cs="Cambria"/>
      <w:b/>
      <w:color w:val="000000"/>
      <w:sz w:val="32"/>
      <w:szCs w:val="32"/>
      <w:lang w:val="en-US" w:eastAsia="zh-CN" w:bidi="ar"/>
    </w:rPr>
  </w:style>
  <w:style w:type="character" w:customStyle="1" w:styleId="59">
    <w:name w:val="批注主题 Char"/>
    <w:link w:val="29"/>
    <w:uiPriority w:val="0"/>
    <w:rPr>
      <w:rFonts w:hint="eastAsia" w:ascii="仿宋_GB2312" w:eastAsia="仿宋_GB2312" w:cs="仿宋_GB2312"/>
      <w:b/>
      <w:sz w:val="24"/>
      <w:lang w:bidi="ar"/>
    </w:rPr>
  </w:style>
  <w:style w:type="character" w:customStyle="1" w:styleId="60">
    <w:name w:val="Header Char"/>
    <w:uiPriority w:val="0"/>
    <w:rPr>
      <w:rFonts w:hint="eastAsia" w:ascii="黑体" w:eastAsia="黑体" w:cs="Times New Roman"/>
      <w:kern w:val="0"/>
      <w:sz w:val="18"/>
      <w:szCs w:val="18"/>
    </w:rPr>
  </w:style>
  <w:style w:type="character" w:customStyle="1" w:styleId="61">
    <w:name w:val="List Paragraph Char Char"/>
    <w:uiPriority w:val="0"/>
    <w:rPr>
      <w:rFonts w:hint="eastAsia" w:ascii="宋体" w:hAnsi="宋体" w:eastAsia="宋体" w:cs="宋体"/>
      <w:kern w:val="2"/>
      <w:sz w:val="21"/>
      <w:szCs w:val="21"/>
      <w:lang w:val="en-US" w:eastAsia="zh-CN" w:bidi="ar"/>
    </w:rPr>
  </w:style>
  <w:style w:type="character" w:customStyle="1" w:styleId="62">
    <w:name w:val=" Char Char7"/>
    <w:uiPriority w:val="0"/>
    <w:rPr>
      <w:rFonts w:hint="default" w:ascii="Arial" w:hAnsi="Arial" w:eastAsia="黑体" w:cs="Arial"/>
      <w:b/>
      <w:kern w:val="2"/>
      <w:sz w:val="32"/>
      <w:szCs w:val="32"/>
      <w:lang w:val="en-US" w:eastAsia="zh-CN" w:bidi="ar"/>
    </w:rPr>
  </w:style>
  <w:style w:type="character" w:customStyle="1" w:styleId="63">
    <w:name w:val="表格 Char Char"/>
    <w:uiPriority w:val="0"/>
    <w:rPr>
      <w:rFonts w:hint="eastAsia" w:ascii="宋体" w:hAnsi="宋体" w:eastAsia="宋体" w:cs="宋体"/>
      <w:lang w:val="en-US" w:eastAsia="zh-CN" w:bidi="ar"/>
    </w:rPr>
  </w:style>
  <w:style w:type="character" w:customStyle="1" w:styleId="64">
    <w:name w:val="Para head"/>
    <w:uiPriority w:val="0"/>
    <w:rPr>
      <w:rFonts w:hint="default" w:ascii="Arial" w:hAnsi="Arial" w:eastAsia="Times New Roman" w:cs="Arial"/>
      <w:sz w:val="20"/>
    </w:rPr>
  </w:style>
  <w:style w:type="character" w:customStyle="1" w:styleId="65">
    <w:name w:val="style261"/>
    <w:uiPriority w:val="0"/>
    <w:rPr>
      <w:sz w:val="20"/>
      <w:szCs w:val="20"/>
    </w:rPr>
  </w:style>
  <w:style w:type="character" w:customStyle="1" w:styleId="66">
    <w:name w:val="普通文字 Char Char2"/>
    <w:aliases w:val="纯文本 Char Char Char1,纯文本 Char Char2,普通文字 Char Char Char Char1"/>
    <w:uiPriority w:val="0"/>
    <w:rPr>
      <w:rFonts w:hint="eastAsia" w:ascii="宋体" w:hAnsi="Courier New" w:eastAsia="宋体" w:cs="Courier New"/>
      <w:kern w:val="2"/>
      <w:sz w:val="21"/>
      <w:szCs w:val="21"/>
      <w:lang w:val="en-US" w:eastAsia="zh-CN" w:bidi="ar"/>
    </w:rPr>
  </w:style>
  <w:style w:type="character" w:customStyle="1" w:styleId="67">
    <w:name w:val="bumpedfont15"/>
    <w:basedOn w:val="32"/>
    <w:uiPriority w:val="0"/>
  </w:style>
  <w:style w:type="character" w:customStyle="1" w:styleId="68">
    <w:name w:val="para1"/>
    <w:uiPriority w:val="0"/>
    <w:rPr>
      <w:rFonts w:hint="default" w:ascii="Arial" w:hAnsi="Arial" w:cs="Arial"/>
      <w:sz w:val="18"/>
      <w:szCs w:val="18"/>
    </w:rPr>
  </w:style>
  <w:style w:type="character" w:customStyle="1" w:styleId="69">
    <w:name w:val="表格小项 Char Char"/>
    <w:uiPriority w:val="0"/>
    <w:rPr>
      <w:rFonts w:hint="eastAsia" w:ascii="华文宋体" w:hAnsi="华文宋体" w:eastAsia="华文宋体" w:cs="华文宋体"/>
      <w:bCs/>
      <w:sz w:val="24"/>
      <w:szCs w:val="24"/>
      <w:lang w:bidi="ar"/>
    </w:rPr>
  </w:style>
  <w:style w:type="character" w:customStyle="1" w:styleId="70">
    <w:name w:val="表格内容 Char Char"/>
    <w:uiPriority w:val="0"/>
    <w:rPr>
      <w:rFonts w:hint="eastAsia" w:ascii="华文宋体" w:hAnsi="华文宋体" w:eastAsia="华文宋体" w:cs="华文宋体"/>
      <w:bCs/>
      <w:sz w:val="24"/>
      <w:szCs w:val="24"/>
      <w:lang w:bidi="ar"/>
    </w:rPr>
  </w:style>
  <w:style w:type="character" w:customStyle="1" w:styleId="71">
    <w:name w:val="表格非标题文字 Char Char"/>
    <w:uiPriority w:val="0"/>
    <w:rPr>
      <w:rFonts w:hint="default" w:ascii="Futura Bk" w:hAnsi="Futura Bk" w:eastAsia="Futura Bk" w:cs="Futura Bk"/>
      <w:kern w:val="2"/>
      <w:sz w:val="18"/>
      <w:szCs w:val="21"/>
      <w:lang w:val="en-US" w:eastAsia="zh-CN" w:bidi="ar"/>
    </w:rPr>
  </w:style>
  <w:style w:type="character" w:customStyle="1" w:styleId="72">
    <w:name w:val="font31"/>
    <w:uiPriority w:val="0"/>
    <w:rPr>
      <w:rFonts w:hint="eastAsia" w:ascii="宋体" w:hAnsi="宋体" w:eastAsia="宋体" w:cs="宋体"/>
      <w:color w:val="000000"/>
      <w:sz w:val="20"/>
      <w:szCs w:val="20"/>
      <w:u w:val="none"/>
    </w:rPr>
  </w:style>
  <w:style w:type="character" w:customStyle="1" w:styleId="73">
    <w:name w:val="apple-converted-space"/>
    <w:basedOn w:val="32"/>
    <w:uiPriority w:val="0"/>
  </w:style>
  <w:style w:type="paragraph" w:customStyle="1" w:styleId="74">
    <w:name w:val="Table Paragraph"/>
    <w:basedOn w:val="1"/>
    <w:qFormat/>
    <w:uiPriority w:val="1"/>
    <w:rPr>
      <w:rFonts w:ascii="微软雅黑" w:hAnsi="微软雅黑" w:eastAsia="微软雅黑" w:cs="微软雅黑"/>
      <w:lang w:val="zh-CN" w:eastAsia="zh-CN" w:bidi="zh-CN"/>
    </w:rPr>
  </w:style>
  <w:style w:type="paragraph" w:customStyle="1" w:styleId="75">
    <w:name w:val="正文缩进1"/>
    <w:basedOn w:val="1"/>
    <w:next w:val="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76">
    <w:name w:val=" Char Char Char Char"/>
    <w:basedOn w:val="1"/>
    <w:uiPriority w:val="0"/>
    <w:rPr>
      <w:rFonts w:ascii="黑体" w:hAnsi="Times New Roman" w:eastAsia="黑体"/>
      <w:kern w:val="0"/>
      <w:sz w:val="24"/>
      <w:szCs w:val="20"/>
    </w:rPr>
  </w:style>
  <w:style w:type="paragraph" w:customStyle="1" w:styleId="77">
    <w:name w:val="正文_17"/>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78">
    <w:name w:val="List Paragraph"/>
    <w:basedOn w:val="1"/>
    <w:qFormat/>
    <w:uiPriority w:val="99"/>
    <w:pPr>
      <w:ind w:firstLine="420" w:firstLineChars="200"/>
    </w:pPr>
  </w:style>
  <w:style w:type="paragraph" w:customStyle="1" w:styleId="79">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80">
    <w:name w:val="样式 小四 首行缩进:  2 字符"/>
    <w:basedOn w:val="1"/>
    <w:uiPriority w:val="0"/>
    <w:pPr>
      <w:spacing w:line="360" w:lineRule="auto"/>
      <w:ind w:firstLine="200" w:firstLineChars="200"/>
    </w:pPr>
    <w:rPr>
      <w:rFonts w:cs="宋体"/>
      <w:sz w:val="24"/>
      <w:szCs w:val="20"/>
    </w:rPr>
  </w:style>
  <w:style w:type="paragraph" w:customStyle="1" w:styleId="81">
    <w:name w:val="样式 标题 3 + (中文) 黑体 小四 非加粗 段前: 7.8 磅 段后: 0 磅 行距: 固定值 20 磅"/>
    <w:basedOn w:val="6"/>
    <w:uiPriority w:val="0"/>
    <w:pPr>
      <w:keepNext/>
      <w:keepLines/>
      <w:widowControl w:val="0"/>
      <w:suppressLineNumbers w:val="0"/>
      <w:spacing w:before="0" w:beforeAutospacing="0" w:after="0" w:afterAutospacing="0" w:line="400" w:lineRule="exact"/>
      <w:ind w:left="0" w:right="0"/>
      <w:jc w:val="both"/>
      <w:outlineLvl w:val="2"/>
    </w:pPr>
    <w:rPr>
      <w:rFonts w:hint="default" w:ascii="Times New Roman" w:hAnsi="Times New Roman" w:eastAsia="黑体" w:cs="宋体"/>
      <w:kern w:val="2"/>
      <w:sz w:val="24"/>
      <w:szCs w:val="20"/>
      <w:lang w:val="en-US" w:eastAsia="zh-CN" w:bidi="ar"/>
    </w:rPr>
  </w:style>
  <w:style w:type="paragraph" w:customStyle="1" w:styleId="82">
    <w:name w:val="正文_6"/>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83">
    <w:name w:val="列出段落1"/>
    <w:basedOn w:val="1"/>
    <w:uiPriority w:val="0"/>
    <w:pPr>
      <w:widowControl/>
      <w:ind w:firstLine="420" w:firstLineChars="200"/>
      <w:jc w:val="left"/>
    </w:pPr>
    <w:rPr>
      <w:rFonts w:ascii="宋体" w:hAnsi="Times New Roman"/>
      <w:kern w:val="0"/>
      <w:sz w:val="24"/>
      <w:szCs w:val="20"/>
    </w:rPr>
  </w:style>
  <w:style w:type="paragraph" w:customStyle="1" w:styleId="84">
    <w:name w:val="hea"/>
    <w:basedOn w:val="1"/>
    <w:next w:val="1"/>
    <w:uiPriority w:val="0"/>
    <w:pPr>
      <w:keepNext/>
      <w:keepLines/>
      <w:widowControl w:val="0"/>
      <w:numPr>
        <w:ilvl w:val="0"/>
        <w:numId w:val="1"/>
      </w:numPr>
      <w:suppressLineNumbers w:val="0"/>
      <w:spacing w:before="340" w:beforeAutospacing="0" w:after="330" w:afterAutospacing="0" w:line="576" w:lineRule="auto"/>
      <w:ind w:left="432" w:right="0" w:hanging="432"/>
      <w:jc w:val="both"/>
      <w:outlineLvl w:val="0"/>
    </w:pPr>
    <w:rPr>
      <w:rFonts w:hint="eastAsia" w:ascii="宋体" w:hAnsi="Times New Roman" w:eastAsia="宋体" w:cs="Times New Roman"/>
      <w:b/>
      <w:kern w:val="44"/>
      <w:sz w:val="44"/>
      <w:szCs w:val="4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22</Pages>
  <Words>1689</Words>
  <Characters>9632</Characters>
  <Lines>80</Lines>
  <Paragraphs>22</Paragraphs>
  <TotalTime>7</TotalTime>
  <ScaleCrop>false</ScaleCrop>
  <LinksUpToDate>false</LinksUpToDate>
  <CharactersWithSpaces>11299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2019-10-11T06:07:00Z</dcterms:created>
  <dc:creator>Administrator</dc:creator>
  <cp:lastModifiedBy>Administrator</cp:lastModifiedBy>
  <cp:lastPrinted>2021-04-01T06:06:14Z</cp:lastPrinted>
  <dcterms:modified xsi:type="dcterms:W3CDTF">2021-05-10T09:17:14Z</dcterms:modified>
  <dc:title> </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079B347E9053466EAACEC23E8C66305E</vt:lpwstr>
  </property>
</Properties>
</file>